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beforeLines="50"/>
        <w:jc w:val="center"/>
        <w:rPr>
          <w:b/>
          <w:color w:val="auto"/>
          <w:sz w:val="48"/>
          <w:szCs w:val="48"/>
          <w:highlight w:val="none"/>
        </w:rPr>
      </w:pPr>
    </w:p>
    <w:p>
      <w:pPr>
        <w:pStyle w:val="5"/>
        <w:jc w:val="center"/>
        <w:rPr>
          <w:rFonts w:hint="eastAsia" w:ascii="宋体" w:hAnsi="宋体" w:eastAsia="宋体" w:cs="宋体"/>
          <w:color w:val="auto"/>
          <w:highlight w:val="none"/>
          <w:lang w:eastAsia="zh-CN"/>
        </w:rPr>
      </w:pPr>
      <w:r>
        <w:rPr>
          <w:rFonts w:hint="eastAsia" w:ascii="宋体" w:hAnsi="宋体" w:eastAsia="宋体" w:cs="宋体"/>
          <w:color w:val="auto"/>
          <w:sz w:val="48"/>
          <w:szCs w:val="48"/>
          <w:highlight w:val="none"/>
          <w:lang w:eastAsia="zh-CN"/>
        </w:rPr>
        <w:t>上海世外教育附属平湖经开实验小学迁建工程学生课桌椅采购项目</w:t>
      </w:r>
    </w:p>
    <w:p>
      <w:pPr>
        <w:spacing w:before="120" w:beforeLines="50"/>
        <w:jc w:val="center"/>
        <w:rPr>
          <w:rFonts w:hint="eastAsia" w:ascii="宋体" w:hAnsi="宋体"/>
          <w:color w:val="auto"/>
          <w:sz w:val="72"/>
          <w:szCs w:val="72"/>
          <w:highlight w:val="none"/>
        </w:rPr>
      </w:pPr>
      <w:r>
        <w:rPr>
          <w:rFonts w:hint="eastAsia" w:ascii="宋体" w:hAnsi="宋体"/>
          <w:color w:val="auto"/>
          <w:sz w:val="72"/>
          <w:szCs w:val="72"/>
          <w:highlight w:val="none"/>
        </w:rPr>
        <w:t>招标文件</w:t>
      </w:r>
    </w:p>
    <w:p>
      <w:pPr>
        <w:snapToGrid w:val="0"/>
        <w:spacing w:before="120" w:beforeLines="50" w:line="360" w:lineRule="auto"/>
        <w:rPr>
          <w:rFonts w:hint="eastAsia" w:ascii="宋体" w:hAnsi="宋体"/>
          <w:color w:val="auto"/>
          <w:sz w:val="30"/>
          <w:szCs w:val="72"/>
          <w:highlight w:val="none"/>
        </w:rPr>
      </w:pPr>
    </w:p>
    <w:p>
      <w:pPr>
        <w:snapToGrid w:val="0"/>
        <w:spacing w:before="120" w:beforeLines="50" w:line="360" w:lineRule="auto"/>
        <w:rPr>
          <w:rFonts w:hint="eastAsia" w:ascii="宋体" w:hAnsi="宋体"/>
          <w:color w:val="auto"/>
          <w:sz w:val="30"/>
          <w:szCs w:val="72"/>
          <w:highlight w:val="none"/>
        </w:rPr>
      </w:pPr>
    </w:p>
    <w:p>
      <w:pPr>
        <w:snapToGrid w:val="0"/>
        <w:spacing w:before="120" w:beforeLines="50" w:line="360" w:lineRule="auto"/>
        <w:rPr>
          <w:rFonts w:hint="eastAsia" w:ascii="宋体" w:hAnsi="宋体"/>
          <w:color w:val="auto"/>
          <w:sz w:val="30"/>
          <w:szCs w:val="72"/>
          <w:highlight w:val="none"/>
        </w:rPr>
      </w:pPr>
    </w:p>
    <w:p>
      <w:pPr>
        <w:snapToGrid w:val="0"/>
        <w:spacing w:before="120" w:beforeLines="50" w:line="360" w:lineRule="auto"/>
        <w:rPr>
          <w:rFonts w:hint="eastAsia" w:ascii="宋体" w:hAnsi="宋体"/>
          <w:color w:val="auto"/>
          <w:sz w:val="30"/>
          <w:szCs w:val="72"/>
          <w:highlight w:val="none"/>
        </w:rPr>
      </w:pPr>
    </w:p>
    <w:p>
      <w:pPr>
        <w:pStyle w:val="18"/>
        <w:snapToGrid w:val="0"/>
        <w:spacing w:beforeLines="0" w:afterLines="0" w:line="360" w:lineRule="auto"/>
        <w:rPr>
          <w:rFonts w:hint="eastAsia" w:eastAsia="宋体"/>
          <w:b/>
          <w:color w:val="auto"/>
          <w:sz w:val="30"/>
          <w:szCs w:val="30"/>
          <w:highlight w:val="none"/>
          <w:lang w:eastAsia="zh-CN"/>
        </w:rPr>
      </w:pPr>
      <w:r>
        <w:rPr>
          <w:b/>
          <w:color w:val="auto"/>
          <w:sz w:val="30"/>
          <w:szCs w:val="30"/>
          <w:highlight w:val="none"/>
        </w:rPr>
        <w:t>项目编号：</w:t>
      </w:r>
      <w:r>
        <w:rPr>
          <w:rFonts w:hint="eastAsia"/>
          <w:b/>
          <w:color w:val="auto"/>
          <w:sz w:val="30"/>
          <w:szCs w:val="30"/>
          <w:highlight w:val="none"/>
          <w:lang w:eastAsia="zh-CN"/>
        </w:rPr>
        <w:t>平政采招2024-39</w:t>
      </w:r>
    </w:p>
    <w:p>
      <w:pPr>
        <w:pStyle w:val="18"/>
        <w:snapToGrid w:val="0"/>
        <w:spacing w:beforeLines="0" w:afterLines="0" w:line="360" w:lineRule="auto"/>
        <w:rPr>
          <w:rFonts w:hint="eastAsia" w:eastAsia="宋体"/>
          <w:b/>
          <w:color w:val="auto"/>
          <w:spacing w:val="-6"/>
          <w:sz w:val="30"/>
          <w:szCs w:val="30"/>
          <w:highlight w:val="none"/>
          <w:lang w:eastAsia="zh-CN"/>
        </w:rPr>
      </w:pPr>
      <w:r>
        <w:rPr>
          <w:rFonts w:hint="eastAsia"/>
          <w:b/>
          <w:color w:val="auto"/>
          <w:sz w:val="30"/>
          <w:szCs w:val="30"/>
          <w:highlight w:val="none"/>
        </w:rPr>
        <w:t>项目名称：</w:t>
      </w:r>
      <w:r>
        <w:rPr>
          <w:rFonts w:hint="eastAsia"/>
          <w:b/>
          <w:color w:val="auto"/>
          <w:spacing w:val="-6"/>
          <w:sz w:val="30"/>
          <w:szCs w:val="30"/>
          <w:highlight w:val="none"/>
          <w:lang w:eastAsia="zh-CN"/>
        </w:rPr>
        <w:t>上海世外教育附属平湖经开实验小学迁建工程学生课桌椅采购项目</w:t>
      </w:r>
    </w:p>
    <w:p>
      <w:pPr>
        <w:pStyle w:val="18"/>
        <w:snapToGrid w:val="0"/>
        <w:spacing w:beforeLines="0" w:afterLines="0" w:line="360" w:lineRule="auto"/>
        <w:rPr>
          <w:b/>
          <w:color w:val="auto"/>
          <w:sz w:val="30"/>
          <w:szCs w:val="30"/>
          <w:highlight w:val="none"/>
        </w:rPr>
      </w:pPr>
      <w:r>
        <w:rPr>
          <w:b/>
          <w:color w:val="auto"/>
          <w:sz w:val="30"/>
          <w:szCs w:val="30"/>
          <w:highlight w:val="none"/>
        </w:rPr>
        <w:t>采</w:t>
      </w:r>
      <w:r>
        <w:rPr>
          <w:rFonts w:hint="eastAsia"/>
          <w:b/>
          <w:color w:val="auto"/>
          <w:sz w:val="30"/>
          <w:szCs w:val="30"/>
          <w:highlight w:val="none"/>
        </w:rPr>
        <w:t xml:space="preserve"> </w:t>
      </w:r>
      <w:r>
        <w:rPr>
          <w:b/>
          <w:color w:val="auto"/>
          <w:sz w:val="30"/>
          <w:szCs w:val="30"/>
          <w:highlight w:val="none"/>
        </w:rPr>
        <w:t>购</w:t>
      </w:r>
      <w:r>
        <w:rPr>
          <w:rFonts w:hint="eastAsia"/>
          <w:b/>
          <w:color w:val="auto"/>
          <w:sz w:val="30"/>
          <w:szCs w:val="30"/>
          <w:highlight w:val="none"/>
        </w:rPr>
        <w:t xml:space="preserve"> </w:t>
      </w:r>
      <w:r>
        <w:rPr>
          <w:b/>
          <w:color w:val="auto"/>
          <w:sz w:val="30"/>
          <w:szCs w:val="30"/>
          <w:highlight w:val="none"/>
        </w:rPr>
        <w:t>人：</w:t>
      </w:r>
      <w:r>
        <w:rPr>
          <w:rFonts w:hint="eastAsia"/>
          <w:b/>
          <w:color w:val="auto"/>
          <w:sz w:val="30"/>
          <w:szCs w:val="30"/>
          <w:highlight w:val="none"/>
        </w:rPr>
        <w:t>上海世外教育附属平湖经开实验小学</w:t>
      </w:r>
    </w:p>
    <w:p>
      <w:pPr>
        <w:pStyle w:val="18"/>
        <w:snapToGrid w:val="0"/>
        <w:spacing w:beforeLines="0" w:afterLines="0" w:line="360" w:lineRule="auto"/>
        <w:rPr>
          <w:rFonts w:hint="eastAsia" w:hAnsi="宋体"/>
          <w:b/>
          <w:bCs/>
          <w:color w:val="auto"/>
          <w:w w:val="95"/>
          <w:sz w:val="30"/>
          <w:szCs w:val="30"/>
          <w:highlight w:val="none"/>
        </w:rPr>
      </w:pPr>
      <w:r>
        <w:rPr>
          <w:rFonts w:hint="eastAsia"/>
          <w:b/>
          <w:color w:val="auto"/>
          <w:sz w:val="30"/>
          <w:szCs w:val="30"/>
          <w:highlight w:val="none"/>
        </w:rPr>
        <w:t>采购</w:t>
      </w:r>
      <w:r>
        <w:rPr>
          <w:b/>
          <w:color w:val="auto"/>
          <w:sz w:val="30"/>
          <w:szCs w:val="30"/>
          <w:highlight w:val="none"/>
        </w:rPr>
        <w:t>机构：</w:t>
      </w:r>
      <w:r>
        <w:rPr>
          <w:rFonts w:hint="eastAsia" w:hAnsi="宋体"/>
          <w:b/>
          <w:color w:val="auto"/>
          <w:sz w:val="30"/>
          <w:szCs w:val="48"/>
          <w:highlight w:val="none"/>
        </w:rPr>
        <w:t>平湖市公共资源交易中心</w:t>
      </w:r>
    </w:p>
    <w:p>
      <w:pPr>
        <w:snapToGrid w:val="0"/>
        <w:spacing w:before="120" w:beforeLines="50" w:line="360" w:lineRule="auto"/>
        <w:ind w:right="572" w:firstLine="143" w:firstLineChars="50"/>
        <w:jc w:val="right"/>
        <w:rPr>
          <w:rFonts w:hint="eastAsia" w:ascii="宋体" w:hAnsi="宋体"/>
          <w:b/>
          <w:bCs/>
          <w:color w:val="auto"/>
          <w:w w:val="95"/>
          <w:sz w:val="30"/>
          <w:szCs w:val="30"/>
          <w:highlight w:val="none"/>
        </w:rPr>
      </w:pPr>
    </w:p>
    <w:p>
      <w:pPr>
        <w:snapToGrid w:val="0"/>
        <w:spacing w:before="120" w:beforeLines="50" w:line="360" w:lineRule="auto"/>
        <w:ind w:right="572" w:firstLine="143" w:firstLineChars="50"/>
        <w:jc w:val="right"/>
        <w:rPr>
          <w:rFonts w:hint="eastAsia" w:ascii="宋体" w:hAnsi="宋体"/>
          <w:b/>
          <w:bCs/>
          <w:color w:val="auto"/>
          <w:w w:val="95"/>
          <w:sz w:val="30"/>
          <w:szCs w:val="30"/>
          <w:highlight w:val="none"/>
        </w:rPr>
      </w:pPr>
      <w:r>
        <w:rPr>
          <w:rFonts w:hint="eastAsia" w:ascii="宋体" w:hAnsi="宋体"/>
          <w:b/>
          <w:bCs/>
          <w:color w:val="auto"/>
          <w:w w:val="95"/>
          <w:sz w:val="30"/>
          <w:szCs w:val="30"/>
          <w:highlight w:val="none"/>
        </w:rPr>
        <w:t>2024年</w:t>
      </w:r>
      <w:r>
        <w:rPr>
          <w:rFonts w:hint="eastAsia" w:ascii="宋体" w:hAnsi="宋体"/>
          <w:b/>
          <w:bCs/>
          <w:color w:val="auto"/>
          <w:w w:val="95"/>
          <w:sz w:val="30"/>
          <w:szCs w:val="30"/>
          <w:highlight w:val="none"/>
          <w:lang w:val="en-US" w:eastAsia="zh-CN"/>
        </w:rPr>
        <w:t>11</w:t>
      </w:r>
      <w:r>
        <w:rPr>
          <w:rFonts w:hint="eastAsia" w:ascii="宋体" w:hAnsi="宋体"/>
          <w:b/>
          <w:bCs/>
          <w:color w:val="auto"/>
          <w:w w:val="95"/>
          <w:sz w:val="30"/>
          <w:szCs w:val="30"/>
          <w:highlight w:val="none"/>
        </w:rPr>
        <w:t>月</w:t>
      </w:r>
      <w:r>
        <w:rPr>
          <w:rFonts w:hint="eastAsia" w:ascii="宋体" w:hAnsi="宋体"/>
          <w:b/>
          <w:bCs/>
          <w:color w:val="auto"/>
          <w:w w:val="95"/>
          <w:sz w:val="30"/>
          <w:szCs w:val="30"/>
          <w:highlight w:val="none"/>
          <w:lang w:val="en-US" w:eastAsia="zh-CN"/>
        </w:rPr>
        <w:t>15</w:t>
      </w:r>
      <w:r>
        <w:rPr>
          <w:rFonts w:hint="eastAsia" w:ascii="宋体" w:hAnsi="宋体"/>
          <w:b/>
          <w:bCs/>
          <w:color w:val="auto"/>
          <w:w w:val="95"/>
          <w:sz w:val="30"/>
          <w:szCs w:val="30"/>
          <w:highlight w:val="none"/>
        </w:rPr>
        <w:t>日</w:t>
      </w:r>
    </w:p>
    <w:p>
      <w:pPr>
        <w:snapToGrid w:val="0"/>
        <w:spacing w:before="120" w:beforeLines="50" w:line="360" w:lineRule="auto"/>
        <w:ind w:left="384" w:leftChars="183" w:firstLine="4579" w:firstLineChars="1607"/>
        <w:jc w:val="right"/>
        <w:rPr>
          <w:rFonts w:hint="eastAsia" w:ascii="宋体" w:hAnsi="宋体"/>
          <w:color w:val="auto"/>
          <w:w w:val="95"/>
          <w:sz w:val="30"/>
          <w:szCs w:val="30"/>
          <w:highlight w:val="none"/>
        </w:rPr>
      </w:pPr>
    </w:p>
    <w:p>
      <w:pPr>
        <w:snapToGrid w:val="0"/>
        <w:spacing w:before="120" w:beforeLines="50" w:line="360" w:lineRule="auto"/>
        <w:ind w:left="384" w:leftChars="183" w:firstLine="4599" w:firstLineChars="1607"/>
        <w:jc w:val="right"/>
        <w:rPr>
          <w:rFonts w:hint="eastAsia" w:ascii="宋体" w:hAnsi="宋体"/>
          <w:b/>
          <w:bCs/>
          <w:color w:val="auto"/>
          <w:w w:val="95"/>
          <w:sz w:val="30"/>
          <w:szCs w:val="30"/>
          <w:highlight w:val="none"/>
        </w:rPr>
      </w:pPr>
    </w:p>
    <w:p>
      <w:pPr>
        <w:pStyle w:val="18"/>
        <w:spacing w:beforeLines="0" w:afterLines="0" w:line="600" w:lineRule="exact"/>
        <w:jc w:val="center"/>
        <w:rPr>
          <w:rFonts w:ascii="黑体" w:hAnsi="Times New Roman" w:eastAsia="黑体"/>
          <w:color w:val="auto"/>
          <w:sz w:val="32"/>
          <w:szCs w:val="32"/>
          <w:highlight w:val="none"/>
        </w:rPr>
      </w:pPr>
    </w:p>
    <w:p>
      <w:pPr>
        <w:pStyle w:val="18"/>
        <w:spacing w:beforeLines="0" w:afterLines="0" w:line="600" w:lineRule="exact"/>
        <w:jc w:val="center"/>
        <w:rPr>
          <w:rFonts w:ascii="黑体" w:hAnsi="Times New Roman" w:eastAsia="黑体"/>
          <w:color w:val="auto"/>
          <w:sz w:val="32"/>
          <w:szCs w:val="32"/>
          <w:highlight w:val="none"/>
        </w:rPr>
      </w:pPr>
    </w:p>
    <w:p>
      <w:pPr>
        <w:pStyle w:val="18"/>
        <w:spacing w:beforeLines="0" w:afterLines="0" w:line="600" w:lineRule="exact"/>
        <w:jc w:val="center"/>
        <w:rPr>
          <w:rFonts w:hint="eastAsia" w:ascii="创艺简标宋" w:hAnsi="宋体" w:eastAsia="创艺简标宋"/>
          <w:b/>
          <w:color w:val="auto"/>
          <w:sz w:val="44"/>
          <w:szCs w:val="44"/>
          <w:highlight w:val="none"/>
        </w:rPr>
      </w:pPr>
    </w:p>
    <w:p>
      <w:pPr>
        <w:pStyle w:val="18"/>
        <w:spacing w:beforeLines="0" w:afterLines="0" w:line="600" w:lineRule="exact"/>
        <w:jc w:val="center"/>
        <w:rPr>
          <w:rFonts w:hint="eastAsia" w:ascii="创艺简标宋" w:hAnsi="宋体" w:eastAsia="创艺简标宋"/>
          <w:b/>
          <w:color w:val="auto"/>
          <w:sz w:val="44"/>
          <w:szCs w:val="44"/>
          <w:highlight w:val="none"/>
        </w:rPr>
      </w:pPr>
      <w:r>
        <w:rPr>
          <w:rFonts w:hint="eastAsia" w:ascii="创艺简标宋" w:hAnsi="宋体" w:eastAsia="创艺简标宋"/>
          <w:b/>
          <w:color w:val="auto"/>
          <w:sz w:val="44"/>
          <w:szCs w:val="44"/>
          <w:highlight w:val="none"/>
        </w:rPr>
        <w:t>目    录</w:t>
      </w:r>
    </w:p>
    <w:p>
      <w:pPr>
        <w:pStyle w:val="18"/>
        <w:spacing w:beforeLines="0" w:afterLines="0" w:line="600" w:lineRule="exact"/>
        <w:jc w:val="center"/>
        <w:rPr>
          <w:rFonts w:hint="eastAsia" w:ascii="创艺简标宋" w:hAnsi="宋体" w:eastAsia="创艺简标宋"/>
          <w:b/>
          <w:color w:val="auto"/>
          <w:sz w:val="44"/>
          <w:szCs w:val="44"/>
          <w:highlight w:val="none"/>
        </w:rPr>
      </w:pPr>
    </w:p>
    <w:p>
      <w:pPr>
        <w:pStyle w:val="24"/>
        <w:tabs>
          <w:tab w:val="right" w:leader="dot" w:pos="8834"/>
        </w:tabs>
        <w:spacing w:line="480" w:lineRule="auto"/>
        <w:rPr>
          <w:b/>
          <w:color w:val="auto"/>
          <w:sz w:val="28"/>
          <w:szCs w:val="28"/>
          <w:highlight w:val="none"/>
        </w:rPr>
      </w:pPr>
      <w:r>
        <w:rPr>
          <w:b/>
          <w:color w:val="auto"/>
          <w:sz w:val="32"/>
          <w:szCs w:val="32"/>
          <w:highlight w:val="none"/>
        </w:rPr>
        <w:fldChar w:fldCharType="begin"/>
      </w:r>
      <w:r>
        <w:rPr>
          <w:b/>
          <w:color w:val="auto"/>
          <w:sz w:val="32"/>
          <w:szCs w:val="32"/>
          <w:highlight w:val="none"/>
        </w:rPr>
        <w:instrText xml:space="preserve"> TOC \o "1-1" \h \z \u </w:instrText>
      </w:r>
      <w:r>
        <w:rPr>
          <w:b/>
          <w:color w:val="auto"/>
          <w:sz w:val="32"/>
          <w:szCs w:val="32"/>
          <w:highlight w:val="none"/>
        </w:rPr>
        <w:fldChar w:fldCharType="separate"/>
      </w:r>
      <w:r>
        <w:rPr>
          <w:color w:val="auto"/>
          <w:highlight w:val="none"/>
        </w:rPr>
        <w:fldChar w:fldCharType="begin"/>
      </w:r>
      <w:r>
        <w:rPr>
          <w:color w:val="auto"/>
          <w:highlight w:val="none"/>
        </w:rPr>
        <w:instrText xml:space="preserve"> HYPERLINK \l "_Toc406402981" </w:instrText>
      </w:r>
      <w:r>
        <w:rPr>
          <w:color w:val="auto"/>
          <w:highlight w:val="none"/>
        </w:rPr>
        <w:fldChar w:fldCharType="separate"/>
      </w:r>
      <w:r>
        <w:rPr>
          <w:rStyle w:val="32"/>
          <w:rFonts w:hint="eastAsia"/>
          <w:b/>
          <w:color w:val="auto"/>
          <w:sz w:val="28"/>
          <w:szCs w:val="28"/>
          <w:highlight w:val="none"/>
        </w:rPr>
        <w:t>第一章公开招标采购公告</w:t>
      </w:r>
      <w:r>
        <w:rPr>
          <w:b/>
          <w:color w:val="auto"/>
          <w:sz w:val="28"/>
          <w:szCs w:val="28"/>
          <w:highlight w:val="none"/>
        </w:rPr>
        <w:tab/>
      </w:r>
      <w:r>
        <w:rPr>
          <w:b/>
          <w:color w:val="auto"/>
          <w:sz w:val="28"/>
          <w:szCs w:val="28"/>
          <w:highlight w:val="none"/>
        </w:rPr>
        <w:fldChar w:fldCharType="end"/>
      </w:r>
      <w:r>
        <w:rPr>
          <w:rFonts w:hint="eastAsia"/>
          <w:b/>
          <w:color w:val="auto"/>
          <w:sz w:val="28"/>
          <w:szCs w:val="28"/>
          <w:highlight w:val="none"/>
        </w:rPr>
        <w:t>3</w:t>
      </w:r>
    </w:p>
    <w:p>
      <w:pPr>
        <w:pStyle w:val="24"/>
        <w:tabs>
          <w:tab w:val="right" w:leader="dot" w:pos="8834"/>
        </w:tabs>
        <w:spacing w:line="480" w:lineRule="auto"/>
        <w:rPr>
          <w:b/>
          <w:color w:val="auto"/>
          <w:sz w:val="28"/>
          <w:szCs w:val="28"/>
          <w:highlight w:val="none"/>
        </w:rPr>
      </w:pPr>
      <w:r>
        <w:rPr>
          <w:color w:val="auto"/>
          <w:highlight w:val="none"/>
        </w:rPr>
        <w:fldChar w:fldCharType="begin"/>
      </w:r>
      <w:r>
        <w:rPr>
          <w:color w:val="auto"/>
          <w:highlight w:val="none"/>
        </w:rPr>
        <w:instrText xml:space="preserve"> HYPERLINK \l "_Toc406402982" </w:instrText>
      </w:r>
      <w:r>
        <w:rPr>
          <w:color w:val="auto"/>
          <w:highlight w:val="none"/>
        </w:rPr>
        <w:fldChar w:fldCharType="separate"/>
      </w:r>
      <w:r>
        <w:rPr>
          <w:rStyle w:val="32"/>
          <w:rFonts w:hint="eastAsia"/>
          <w:b/>
          <w:color w:val="auto"/>
          <w:sz w:val="28"/>
          <w:szCs w:val="28"/>
          <w:highlight w:val="none"/>
        </w:rPr>
        <w:t>第二章采购需求</w:t>
      </w:r>
      <w:r>
        <w:rPr>
          <w:b/>
          <w:color w:val="auto"/>
          <w:sz w:val="28"/>
          <w:szCs w:val="28"/>
          <w:highlight w:val="none"/>
        </w:rPr>
        <w:tab/>
      </w:r>
      <w:r>
        <w:rPr>
          <w:b/>
          <w:color w:val="auto"/>
          <w:sz w:val="28"/>
          <w:szCs w:val="28"/>
          <w:highlight w:val="none"/>
        </w:rPr>
        <w:fldChar w:fldCharType="end"/>
      </w:r>
      <w:r>
        <w:rPr>
          <w:rFonts w:hint="eastAsia"/>
          <w:b/>
          <w:color w:val="auto"/>
          <w:sz w:val="28"/>
          <w:szCs w:val="28"/>
          <w:highlight w:val="none"/>
        </w:rPr>
        <w:t>8</w:t>
      </w:r>
    </w:p>
    <w:p>
      <w:pPr>
        <w:pStyle w:val="24"/>
        <w:tabs>
          <w:tab w:val="right" w:leader="dot" w:pos="8834"/>
        </w:tabs>
        <w:spacing w:line="480" w:lineRule="auto"/>
        <w:rPr>
          <w:rFonts w:hint="default" w:eastAsia="宋体"/>
          <w:b/>
          <w:color w:val="auto"/>
          <w:sz w:val="28"/>
          <w:szCs w:val="28"/>
          <w:highlight w:val="none"/>
          <w:lang w:val="en-US" w:eastAsia="zh-CN"/>
        </w:rPr>
      </w:pPr>
      <w:r>
        <w:rPr>
          <w:color w:val="auto"/>
          <w:highlight w:val="none"/>
        </w:rPr>
        <w:fldChar w:fldCharType="begin"/>
      </w:r>
      <w:r>
        <w:rPr>
          <w:color w:val="auto"/>
          <w:highlight w:val="none"/>
        </w:rPr>
        <w:instrText xml:space="preserve"> HYPERLINK \l "_Toc406402986" </w:instrText>
      </w:r>
      <w:r>
        <w:rPr>
          <w:color w:val="auto"/>
          <w:highlight w:val="none"/>
        </w:rPr>
        <w:fldChar w:fldCharType="separate"/>
      </w:r>
      <w:r>
        <w:rPr>
          <w:rStyle w:val="32"/>
          <w:rFonts w:hint="eastAsia"/>
          <w:b/>
          <w:color w:val="auto"/>
          <w:sz w:val="28"/>
          <w:szCs w:val="28"/>
          <w:highlight w:val="none"/>
        </w:rPr>
        <w:t>第三章投标人须知</w:t>
      </w:r>
      <w:r>
        <w:rPr>
          <w:b/>
          <w:color w:val="auto"/>
          <w:sz w:val="28"/>
          <w:szCs w:val="28"/>
          <w:highlight w:val="none"/>
        </w:rPr>
        <w:tab/>
      </w:r>
      <w:r>
        <w:rPr>
          <w:b/>
          <w:color w:val="auto"/>
          <w:sz w:val="28"/>
          <w:szCs w:val="28"/>
          <w:highlight w:val="none"/>
        </w:rPr>
        <w:fldChar w:fldCharType="end"/>
      </w:r>
      <w:r>
        <w:rPr>
          <w:rFonts w:hint="eastAsia"/>
          <w:b/>
          <w:color w:val="auto"/>
          <w:sz w:val="28"/>
          <w:szCs w:val="28"/>
          <w:highlight w:val="none"/>
          <w:lang w:val="en-US" w:eastAsia="zh-CN"/>
        </w:rPr>
        <w:t>19</w:t>
      </w:r>
    </w:p>
    <w:p>
      <w:pPr>
        <w:pStyle w:val="24"/>
        <w:tabs>
          <w:tab w:val="right" w:leader="dot" w:pos="8834"/>
        </w:tabs>
        <w:spacing w:line="480" w:lineRule="auto"/>
        <w:rPr>
          <w:rFonts w:hint="default" w:eastAsia="宋体"/>
          <w:b/>
          <w:color w:val="auto"/>
          <w:sz w:val="28"/>
          <w:szCs w:val="28"/>
          <w:highlight w:val="none"/>
          <w:lang w:val="en-US" w:eastAsia="zh-CN"/>
        </w:rPr>
      </w:pPr>
      <w:r>
        <w:rPr>
          <w:color w:val="auto"/>
          <w:highlight w:val="none"/>
        </w:rPr>
        <w:fldChar w:fldCharType="begin"/>
      </w:r>
      <w:r>
        <w:rPr>
          <w:color w:val="auto"/>
          <w:highlight w:val="none"/>
        </w:rPr>
        <w:instrText xml:space="preserve"> HYPERLINK \l "_Toc406402996" </w:instrText>
      </w:r>
      <w:r>
        <w:rPr>
          <w:color w:val="auto"/>
          <w:highlight w:val="none"/>
        </w:rPr>
        <w:fldChar w:fldCharType="separate"/>
      </w:r>
      <w:r>
        <w:rPr>
          <w:rStyle w:val="32"/>
          <w:rFonts w:hint="eastAsia"/>
          <w:b/>
          <w:color w:val="auto"/>
          <w:sz w:val="28"/>
          <w:szCs w:val="28"/>
          <w:highlight w:val="none"/>
        </w:rPr>
        <w:t>第四章评标办法及评分标准</w:t>
      </w:r>
      <w:r>
        <w:rPr>
          <w:b/>
          <w:color w:val="auto"/>
          <w:sz w:val="28"/>
          <w:szCs w:val="28"/>
          <w:highlight w:val="none"/>
        </w:rPr>
        <w:tab/>
      </w:r>
      <w:r>
        <w:rPr>
          <w:b/>
          <w:color w:val="auto"/>
          <w:sz w:val="28"/>
          <w:szCs w:val="28"/>
          <w:highlight w:val="none"/>
        </w:rPr>
        <w:fldChar w:fldCharType="end"/>
      </w:r>
      <w:r>
        <w:rPr>
          <w:rFonts w:hint="eastAsia"/>
          <w:b/>
          <w:color w:val="auto"/>
          <w:sz w:val="28"/>
          <w:szCs w:val="28"/>
          <w:highlight w:val="none"/>
          <w:lang w:val="en-US" w:eastAsia="zh-CN"/>
        </w:rPr>
        <w:t>35</w:t>
      </w:r>
    </w:p>
    <w:p>
      <w:pPr>
        <w:pStyle w:val="24"/>
        <w:tabs>
          <w:tab w:val="right" w:leader="dot" w:pos="8834"/>
        </w:tabs>
        <w:spacing w:line="480" w:lineRule="auto"/>
        <w:rPr>
          <w:rFonts w:hint="default" w:eastAsia="宋体"/>
          <w:b/>
          <w:color w:val="auto"/>
          <w:sz w:val="28"/>
          <w:szCs w:val="28"/>
          <w:highlight w:val="none"/>
          <w:lang w:val="en-US" w:eastAsia="zh-CN"/>
        </w:rPr>
      </w:pPr>
      <w:r>
        <w:rPr>
          <w:color w:val="auto"/>
          <w:highlight w:val="none"/>
        </w:rPr>
        <w:fldChar w:fldCharType="begin"/>
      </w:r>
      <w:r>
        <w:rPr>
          <w:color w:val="auto"/>
          <w:highlight w:val="none"/>
        </w:rPr>
        <w:instrText xml:space="preserve"> HYPERLINK \l "_Toc406402998" </w:instrText>
      </w:r>
      <w:r>
        <w:rPr>
          <w:color w:val="auto"/>
          <w:highlight w:val="none"/>
        </w:rPr>
        <w:fldChar w:fldCharType="separate"/>
      </w:r>
      <w:r>
        <w:rPr>
          <w:rStyle w:val="32"/>
          <w:rFonts w:hint="eastAsia"/>
          <w:b/>
          <w:color w:val="auto"/>
          <w:sz w:val="28"/>
          <w:szCs w:val="28"/>
          <w:highlight w:val="none"/>
        </w:rPr>
        <w:t>第五章平湖市政府采购合同（</w:t>
      </w:r>
      <w:bookmarkStart w:id="0" w:name="_Hlt497308216"/>
      <w:r>
        <w:rPr>
          <w:rStyle w:val="32"/>
          <w:rFonts w:hint="eastAsia"/>
          <w:b/>
          <w:color w:val="auto"/>
          <w:sz w:val="28"/>
          <w:szCs w:val="28"/>
          <w:highlight w:val="none"/>
        </w:rPr>
        <w:t>指</w:t>
      </w:r>
      <w:bookmarkEnd w:id="0"/>
      <w:bookmarkStart w:id="1" w:name="_Hlt497308220"/>
      <w:r>
        <w:rPr>
          <w:rStyle w:val="32"/>
          <w:rFonts w:hint="eastAsia"/>
          <w:b/>
          <w:color w:val="auto"/>
          <w:sz w:val="28"/>
          <w:szCs w:val="28"/>
          <w:highlight w:val="none"/>
        </w:rPr>
        <w:t>引</w:t>
      </w:r>
      <w:bookmarkEnd w:id="1"/>
      <w:r>
        <w:rPr>
          <w:rStyle w:val="32"/>
          <w:rFonts w:hint="eastAsia"/>
          <w:b/>
          <w:color w:val="auto"/>
          <w:sz w:val="28"/>
          <w:szCs w:val="28"/>
          <w:highlight w:val="none"/>
        </w:rPr>
        <w:t>）</w:t>
      </w:r>
      <w:bookmarkStart w:id="2" w:name="_Hlt497308213"/>
      <w:bookmarkStart w:id="3" w:name="_Hlt497308212"/>
      <w:r>
        <w:rPr>
          <w:b/>
          <w:color w:val="auto"/>
          <w:sz w:val="28"/>
          <w:szCs w:val="28"/>
          <w:highlight w:val="none"/>
        </w:rPr>
        <w:tab/>
      </w:r>
      <w:bookmarkEnd w:id="2"/>
      <w:bookmarkEnd w:id="3"/>
      <w:r>
        <w:rPr>
          <w:b/>
          <w:color w:val="auto"/>
          <w:sz w:val="28"/>
          <w:szCs w:val="28"/>
          <w:highlight w:val="none"/>
        </w:rPr>
        <w:fldChar w:fldCharType="end"/>
      </w:r>
      <w:r>
        <w:rPr>
          <w:rFonts w:hint="eastAsia"/>
          <w:b/>
          <w:color w:val="auto"/>
          <w:sz w:val="28"/>
          <w:szCs w:val="28"/>
          <w:highlight w:val="none"/>
          <w:lang w:val="en-US" w:eastAsia="zh-CN"/>
        </w:rPr>
        <w:t>40</w:t>
      </w:r>
    </w:p>
    <w:p>
      <w:pPr>
        <w:pStyle w:val="24"/>
        <w:tabs>
          <w:tab w:val="right" w:leader="dot" w:pos="8834"/>
        </w:tabs>
        <w:spacing w:line="480" w:lineRule="auto"/>
        <w:rPr>
          <w:rFonts w:hint="default" w:eastAsia="宋体"/>
          <w:b/>
          <w:color w:val="auto"/>
          <w:sz w:val="32"/>
          <w:szCs w:val="32"/>
          <w:highlight w:val="none"/>
          <w:lang w:val="en-US" w:eastAsia="zh-CN"/>
        </w:rPr>
      </w:pPr>
      <w:r>
        <w:rPr>
          <w:color w:val="auto"/>
          <w:highlight w:val="none"/>
        </w:rPr>
        <w:fldChar w:fldCharType="begin"/>
      </w:r>
      <w:r>
        <w:rPr>
          <w:color w:val="auto"/>
          <w:highlight w:val="none"/>
        </w:rPr>
        <w:instrText xml:space="preserve"> HYPERLINK \l "_Toc406403000" </w:instrText>
      </w:r>
      <w:r>
        <w:rPr>
          <w:color w:val="auto"/>
          <w:highlight w:val="none"/>
        </w:rPr>
        <w:fldChar w:fldCharType="separate"/>
      </w:r>
      <w:r>
        <w:rPr>
          <w:rStyle w:val="32"/>
          <w:rFonts w:hint="eastAsia"/>
          <w:b/>
          <w:color w:val="auto"/>
          <w:sz w:val="28"/>
          <w:szCs w:val="28"/>
          <w:highlight w:val="none"/>
        </w:rPr>
        <w:t>第六章投标文件格式</w:t>
      </w:r>
      <w:r>
        <w:rPr>
          <w:b/>
          <w:color w:val="auto"/>
          <w:sz w:val="28"/>
          <w:szCs w:val="28"/>
          <w:highlight w:val="none"/>
        </w:rPr>
        <w:tab/>
      </w:r>
      <w:r>
        <w:rPr>
          <w:b/>
          <w:color w:val="auto"/>
          <w:sz w:val="28"/>
          <w:szCs w:val="28"/>
          <w:highlight w:val="none"/>
        </w:rPr>
        <w:fldChar w:fldCharType="end"/>
      </w:r>
      <w:r>
        <w:rPr>
          <w:rFonts w:hint="eastAsia"/>
          <w:b/>
          <w:color w:val="auto"/>
          <w:sz w:val="28"/>
          <w:szCs w:val="28"/>
          <w:highlight w:val="none"/>
          <w:lang w:val="en-US" w:eastAsia="zh-CN"/>
        </w:rPr>
        <w:t>45</w:t>
      </w:r>
      <w:bookmarkStart w:id="142" w:name="_GoBack"/>
      <w:bookmarkEnd w:id="142"/>
    </w:p>
    <w:p>
      <w:pPr>
        <w:pStyle w:val="24"/>
        <w:tabs>
          <w:tab w:val="right" w:leader="dot" w:pos="8834"/>
        </w:tabs>
        <w:spacing w:line="480" w:lineRule="auto"/>
        <w:rPr>
          <w:b/>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r>
        <w:rPr>
          <w:color w:val="auto"/>
          <w:szCs w:val="32"/>
          <w:highlight w:val="none"/>
        </w:rPr>
        <w:fldChar w:fldCharType="end"/>
      </w: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jc w:val="center"/>
        <w:outlineLvl w:val="0"/>
        <w:rPr>
          <w:rFonts w:ascii="Times New Roman" w:hAnsi="Times New Roman" w:eastAsia="黑体"/>
          <w:color w:val="auto"/>
          <w:sz w:val="32"/>
          <w:szCs w:val="32"/>
          <w:highlight w:val="none"/>
        </w:rPr>
      </w:pPr>
    </w:p>
    <w:p>
      <w:pPr>
        <w:pStyle w:val="18"/>
        <w:snapToGrid w:val="0"/>
        <w:spacing w:beforeLines="0" w:afterLines="0" w:line="240" w:lineRule="auto"/>
        <w:outlineLvl w:val="0"/>
        <w:rPr>
          <w:rFonts w:ascii="Times New Roman" w:hAnsi="Times New Roman" w:eastAsia="黑体"/>
          <w:color w:val="auto"/>
          <w:sz w:val="32"/>
          <w:szCs w:val="32"/>
          <w:highlight w:val="none"/>
        </w:rPr>
      </w:pPr>
    </w:p>
    <w:p>
      <w:pPr>
        <w:pStyle w:val="5"/>
        <w:tabs>
          <w:tab w:val="center" w:pos="4649"/>
        </w:tabs>
        <w:jc w:val="center"/>
        <w:rPr>
          <w:color w:val="auto"/>
          <w:highlight w:val="none"/>
        </w:rPr>
      </w:pPr>
      <w:bookmarkStart w:id="4" w:name="_第一章__公开招标采购公告"/>
      <w:bookmarkEnd w:id="4"/>
      <w:r>
        <w:rPr>
          <w:color w:val="auto"/>
          <w:highlight w:val="none"/>
        </w:rPr>
        <w:t>第一章  公开招标采购公告</w:t>
      </w:r>
    </w:p>
    <w:p>
      <w:pPr>
        <w:pBdr>
          <w:top w:val="single" w:color="auto" w:sz="4" w:space="1"/>
          <w:left w:val="single" w:color="auto" w:sz="4" w:space="4"/>
          <w:bottom w:val="single" w:color="auto" w:sz="4" w:space="1"/>
          <w:right w:val="single" w:color="auto" w:sz="4" w:space="4"/>
        </w:pBdr>
        <w:spacing w:line="360" w:lineRule="auto"/>
        <w:ind w:left="840"/>
        <w:rPr>
          <w:rFonts w:hint="eastAsia" w:ascii="宋体" w:hAnsi="宋体" w:cs="宋体"/>
          <w:color w:val="auto"/>
          <w:sz w:val="24"/>
          <w:highlight w:val="none"/>
        </w:rPr>
      </w:pPr>
      <w:bookmarkStart w:id="5" w:name="_第二章__招标需求"/>
      <w:bookmarkEnd w:id="5"/>
      <w:bookmarkStart w:id="6" w:name="csmb"/>
      <w:bookmarkEnd w:id="6"/>
      <w:r>
        <w:rPr>
          <w:rFonts w:hint="eastAsia" w:ascii="宋体" w:hAnsi="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left="840"/>
        <w:rPr>
          <w:rFonts w:hint="eastAsia" w:ascii="宋体" w:hAnsi="宋体" w:cs="宋体"/>
          <w:color w:val="auto"/>
          <w:sz w:val="24"/>
          <w:highlight w:val="none"/>
        </w:rPr>
      </w:pP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上海世外教育附属平湖经开实验小学迁建工程学生课桌椅采购项目</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 招标项目的潜在投标人应在</w:t>
      </w:r>
      <w:r>
        <w:rPr>
          <w:rFonts w:hint="eastAsia" w:ascii="宋体" w:hAnsi="宋体" w:cs="宋体"/>
          <w:color w:val="auto"/>
          <w:sz w:val="24"/>
          <w:highlight w:val="none"/>
          <w:u w:val="single"/>
        </w:rPr>
        <w:t>政采云系统在线</w:t>
      </w:r>
      <w:r>
        <w:rPr>
          <w:rFonts w:hint="eastAsia" w:ascii="宋体" w:hAnsi="宋体" w:cs="宋体"/>
          <w:color w:val="auto"/>
          <w:sz w:val="24"/>
          <w:highlight w:val="none"/>
        </w:rPr>
        <w:t>获取招标文件，并于</w:t>
      </w:r>
      <w:r>
        <w:rPr>
          <w:rFonts w:hint="eastAsia" w:ascii="宋体" w:hAnsi="宋体" w:cs="宋体"/>
          <w:color w:val="auto"/>
          <w:sz w:val="24"/>
          <w:highlight w:val="none"/>
          <w:u w:val="single"/>
          <w:lang w:eastAsia="zh-CN"/>
        </w:rPr>
        <w:t>2024年12月10日</w:t>
      </w:r>
      <w:r>
        <w:rPr>
          <w:rFonts w:hint="eastAsia" w:ascii="宋体" w:hAnsi="宋体" w:cs="宋体"/>
          <w:bCs/>
          <w:color w:val="auto"/>
          <w:sz w:val="24"/>
          <w:highlight w:val="none"/>
          <w:u w:val="single"/>
        </w:rPr>
        <w:t>9:</w:t>
      </w:r>
      <w:r>
        <w:rPr>
          <w:rFonts w:hint="eastAsia" w:ascii="宋体" w:hAnsi="宋体" w:cs="宋体"/>
          <w:bCs/>
          <w:color w:val="auto"/>
          <w:sz w:val="24"/>
          <w:highlight w:val="none"/>
          <w:u w:val="single"/>
          <w:lang w:val="en-US" w:eastAsia="zh-CN"/>
        </w:rPr>
        <w:t>3</w:t>
      </w:r>
      <w:r>
        <w:rPr>
          <w:rFonts w:hint="eastAsia" w:ascii="宋体" w:hAnsi="宋体" w:cs="宋体"/>
          <w:bCs/>
          <w:color w:val="auto"/>
          <w:sz w:val="24"/>
          <w:highlight w:val="none"/>
          <w:u w:val="single"/>
        </w:rPr>
        <w:t>0时</w:t>
      </w:r>
      <w:r>
        <w:rPr>
          <w:rFonts w:hint="eastAsia" w:ascii="宋体" w:hAnsi="宋体" w:cs="宋体"/>
          <w:bCs/>
          <w:color w:val="auto"/>
          <w:sz w:val="24"/>
          <w:highlight w:val="none"/>
        </w:rPr>
        <w:t>（北京时间）前递交投标文件</w:t>
      </w:r>
      <w:r>
        <w:rPr>
          <w:rFonts w:hint="eastAsia" w:ascii="宋体" w:hAnsi="宋体" w:cs="宋体"/>
          <w:color w:val="auto"/>
          <w:sz w:val="24"/>
          <w:highlight w:val="none"/>
        </w:rPr>
        <w:t>。</w:t>
      </w:r>
    </w:p>
    <w:p>
      <w:pPr>
        <w:pStyle w:val="5"/>
        <w:spacing w:line="360" w:lineRule="auto"/>
        <w:rPr>
          <w:rFonts w:hint="eastAsia" w:ascii="宋体" w:hAnsi="宋体" w:eastAsia="宋体" w:cs="宋体"/>
          <w:color w:val="auto"/>
          <w:sz w:val="24"/>
          <w:szCs w:val="24"/>
          <w:highlight w:val="none"/>
        </w:rPr>
      </w:pPr>
      <w:bookmarkStart w:id="7" w:name="_Toc28359002"/>
      <w:bookmarkStart w:id="8" w:name="_Toc28359079"/>
      <w:bookmarkStart w:id="9" w:name="_Toc35393790"/>
      <w:bookmarkStart w:id="10" w:name="_Toc35393621"/>
      <w:bookmarkStart w:id="11" w:name="_Hlk24379207"/>
      <w:r>
        <w:rPr>
          <w:rFonts w:hint="eastAsia" w:ascii="宋体" w:hAnsi="宋体" w:eastAsia="宋体" w:cs="宋体"/>
          <w:color w:val="auto"/>
          <w:sz w:val="24"/>
          <w:szCs w:val="24"/>
          <w:highlight w:val="none"/>
        </w:rPr>
        <w:t>一、项目基本情况</w:t>
      </w:r>
      <w:bookmarkEnd w:id="7"/>
      <w:bookmarkEnd w:id="8"/>
      <w:bookmarkEnd w:id="9"/>
      <w:bookmarkEnd w:id="10"/>
    </w:p>
    <w:p>
      <w:pPr>
        <w:spacing w:line="360" w:lineRule="auto"/>
        <w:ind w:left="420" w:leftChars="2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平政采招2024-39</w:t>
      </w:r>
    </w:p>
    <w:p>
      <w:pPr>
        <w:spacing w:line="360" w:lineRule="auto"/>
        <w:ind w:left="420" w:leftChars="2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项目名称：</w:t>
      </w:r>
      <w:bookmarkEnd w:id="11"/>
      <w:r>
        <w:rPr>
          <w:rFonts w:hint="eastAsia" w:ascii="宋体" w:hAnsi="宋体" w:cs="宋体"/>
          <w:color w:val="auto"/>
          <w:sz w:val="24"/>
          <w:highlight w:val="none"/>
          <w:lang w:eastAsia="zh-CN"/>
        </w:rPr>
        <w:t>上海世外教育附属平湖经开实验小学迁建工程学生课桌椅采购项目</w:t>
      </w:r>
    </w:p>
    <w:p>
      <w:pPr>
        <w:spacing w:line="360" w:lineRule="auto"/>
        <w:ind w:left="420" w:leftChars="200"/>
        <w:jc w:val="left"/>
        <w:rPr>
          <w:rFonts w:hint="eastAsia" w:eastAsia="宋体"/>
          <w:color w:val="auto"/>
          <w:highlight w:val="none"/>
          <w:lang w:eastAsia="zh-CN"/>
        </w:rPr>
      </w:pPr>
      <w:r>
        <w:rPr>
          <w:rFonts w:hint="eastAsia" w:ascii="宋体" w:hAnsi="宋体" w:cs="宋体"/>
          <w:color w:val="auto"/>
          <w:sz w:val="24"/>
          <w:highlight w:val="none"/>
        </w:rPr>
        <w:t>预算金额：人民币</w:t>
      </w:r>
      <w:r>
        <w:rPr>
          <w:rFonts w:hint="eastAsia" w:ascii="宋体" w:hAnsi="宋体" w:cs="宋体"/>
          <w:color w:val="auto"/>
          <w:sz w:val="24"/>
          <w:highlight w:val="none"/>
          <w:lang w:val="en-US" w:eastAsia="zh-CN"/>
        </w:rPr>
        <w:t>120</w:t>
      </w:r>
      <w:r>
        <w:rPr>
          <w:rFonts w:hint="eastAsia" w:ascii="宋体" w:hAnsi="宋体" w:cs="宋体"/>
          <w:color w:val="auto"/>
          <w:sz w:val="24"/>
          <w:highlight w:val="none"/>
          <w:lang w:eastAsia="zh-CN"/>
        </w:rPr>
        <w:t>万元</w:t>
      </w:r>
    </w:p>
    <w:p>
      <w:pPr>
        <w:spacing w:line="360" w:lineRule="auto"/>
        <w:ind w:left="420" w:leftChars="200"/>
        <w:jc w:val="left"/>
        <w:rPr>
          <w:rFonts w:hint="eastAsia" w:eastAsia="宋体"/>
          <w:color w:val="auto"/>
          <w:highlight w:val="none"/>
          <w:lang w:eastAsia="zh-CN"/>
        </w:rPr>
      </w:pPr>
      <w:r>
        <w:rPr>
          <w:rFonts w:hint="eastAsia" w:ascii="宋体" w:hAnsi="宋体" w:cs="宋体"/>
          <w:color w:val="auto"/>
          <w:sz w:val="24"/>
          <w:highlight w:val="none"/>
        </w:rPr>
        <w:t>最高限价：人民币</w:t>
      </w:r>
      <w:r>
        <w:rPr>
          <w:rFonts w:hint="eastAsia" w:ascii="宋体" w:hAnsi="宋体" w:cs="宋体"/>
          <w:color w:val="auto"/>
          <w:sz w:val="24"/>
          <w:highlight w:val="none"/>
          <w:lang w:val="en-US" w:eastAsia="zh-CN"/>
        </w:rPr>
        <w:t>120</w:t>
      </w:r>
      <w:r>
        <w:rPr>
          <w:rFonts w:hint="eastAsia" w:ascii="宋体" w:hAnsi="宋体" w:cs="宋体"/>
          <w:color w:val="auto"/>
          <w:sz w:val="24"/>
          <w:highlight w:val="none"/>
          <w:lang w:eastAsia="zh-CN"/>
        </w:rPr>
        <w:t>万元</w:t>
      </w:r>
    </w:p>
    <w:p>
      <w:pPr>
        <w:spacing w:line="360" w:lineRule="auto"/>
        <w:ind w:left="420" w:leftChars="200"/>
        <w:jc w:val="left"/>
        <w:rPr>
          <w:rFonts w:hint="eastAsia" w:ascii="宋体" w:hAnsi="宋体" w:cs="宋体"/>
          <w:color w:val="auto"/>
          <w:sz w:val="24"/>
          <w:highlight w:val="none"/>
          <w:u w:val="single"/>
        </w:rPr>
      </w:pPr>
      <w:r>
        <w:rPr>
          <w:rFonts w:hint="eastAsia" w:ascii="宋体" w:hAnsi="宋体" w:cs="宋体"/>
          <w:color w:val="auto"/>
          <w:sz w:val="24"/>
          <w:highlight w:val="none"/>
        </w:rPr>
        <w:t>采购需求：（详见招标文件）</w:t>
      </w:r>
    </w:p>
    <w:p>
      <w:pPr>
        <w:spacing w:line="360" w:lineRule="auto"/>
        <w:ind w:left="420" w:leftChars="200"/>
        <w:jc w:val="left"/>
        <w:rPr>
          <w:rFonts w:hint="eastAsia" w:ascii="宋体" w:hAnsi="宋体" w:cs="宋体"/>
          <w:color w:val="auto"/>
          <w:sz w:val="24"/>
          <w:highlight w:val="none"/>
          <w:u w:val="single"/>
        </w:rPr>
      </w:pPr>
      <w:r>
        <w:rPr>
          <w:rFonts w:hint="eastAsia" w:ascii="宋体" w:hAnsi="宋体" w:cs="宋体"/>
          <w:color w:val="auto"/>
          <w:sz w:val="24"/>
          <w:highlight w:val="none"/>
        </w:rPr>
        <w:t>合同履行期限：自合同签订之日起至质保期结束</w:t>
      </w:r>
    </w:p>
    <w:p>
      <w:pPr>
        <w:spacing w:line="360" w:lineRule="auto"/>
        <w:ind w:left="420" w:leftChars="200"/>
        <w:jc w:val="left"/>
        <w:rPr>
          <w:rFonts w:hint="eastAsia" w:ascii="宋体" w:hAnsi="宋体" w:cs="宋体"/>
          <w:color w:val="auto"/>
          <w:sz w:val="24"/>
          <w:highlight w:val="none"/>
        </w:rPr>
      </w:pPr>
      <w:r>
        <w:rPr>
          <w:rFonts w:hint="eastAsia" w:ascii="宋体" w:hAnsi="宋体" w:cs="宋体"/>
          <w:color w:val="auto"/>
          <w:sz w:val="24"/>
          <w:highlight w:val="none"/>
        </w:rPr>
        <w:t>本项目不接受联合体投标。</w:t>
      </w:r>
    </w:p>
    <w:p>
      <w:pPr>
        <w:pStyle w:val="5"/>
        <w:spacing w:line="360" w:lineRule="auto"/>
        <w:rPr>
          <w:rFonts w:hint="eastAsia" w:ascii="宋体" w:hAnsi="宋体" w:eastAsia="宋体" w:cs="宋体"/>
          <w:color w:val="auto"/>
          <w:sz w:val="24"/>
          <w:szCs w:val="24"/>
          <w:highlight w:val="none"/>
        </w:rPr>
      </w:pPr>
      <w:bookmarkStart w:id="12" w:name="_Toc28359080"/>
      <w:bookmarkStart w:id="13" w:name="_Toc35393791"/>
      <w:bookmarkStart w:id="14" w:name="_Toc28359003"/>
      <w:bookmarkStart w:id="15" w:name="_Toc35393622"/>
      <w:r>
        <w:rPr>
          <w:rFonts w:hint="eastAsia" w:ascii="宋体" w:hAnsi="宋体" w:eastAsia="宋体" w:cs="宋体"/>
          <w:color w:val="auto"/>
          <w:sz w:val="24"/>
          <w:szCs w:val="24"/>
          <w:highlight w:val="none"/>
        </w:rPr>
        <w:t>二、申请人的资格要求：</w:t>
      </w:r>
      <w:bookmarkEnd w:id="12"/>
      <w:bookmarkEnd w:id="13"/>
      <w:bookmarkEnd w:id="14"/>
      <w:bookmarkEnd w:id="15"/>
    </w:p>
    <w:p>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1.满足《中华人民共和国政府采购法》第二十二条规定；</w:t>
      </w:r>
    </w:p>
    <w:p>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符合浙财采监【2013】24号《关于规范政府采购供应商资格设定及资格审查的通知》第六条规定,且未被“信用中国”（www.creditchina.gov.cn）、中国政府采购网（www.ccgp.gov.cn/search/cr/）列入失信被执行人、重大税收违法案件当事人名单、政府采购严重违法失信行为记录名单。</w:t>
      </w:r>
    </w:p>
    <w:p>
      <w:pPr>
        <w:spacing w:line="360" w:lineRule="auto"/>
        <w:ind w:firstLine="480" w:firstLineChars="200"/>
        <w:jc w:val="left"/>
        <w:rPr>
          <w:rFonts w:hint="eastAsia" w:ascii="宋体" w:hAnsi="宋体" w:cs="宋体"/>
          <w:color w:val="auto"/>
          <w:sz w:val="24"/>
          <w:highlight w:val="none"/>
        </w:rPr>
      </w:pPr>
      <w:bookmarkStart w:id="16" w:name="_Toc28359004"/>
      <w:bookmarkStart w:id="17" w:name="_Toc28359081"/>
      <w:r>
        <w:rPr>
          <w:rFonts w:hint="eastAsia" w:ascii="宋体" w:hAnsi="宋体" w:cs="宋体"/>
          <w:color w:val="auto"/>
          <w:sz w:val="24"/>
          <w:highlight w:val="none"/>
        </w:rPr>
        <w:t>3.落实政府采购政策需满足的资格要求：本项目专门面向中小企业采购，监狱企业或残疾人福利企业参加政府采购活动的，视为中小企业。</w:t>
      </w:r>
    </w:p>
    <w:p>
      <w:pPr>
        <w:spacing w:line="360" w:lineRule="auto"/>
        <w:ind w:firstLine="480" w:firstLineChars="200"/>
        <w:jc w:val="left"/>
        <w:rPr>
          <w:color w:val="auto"/>
          <w:highlight w:val="none"/>
        </w:rPr>
      </w:pPr>
      <w:r>
        <w:rPr>
          <w:rFonts w:hint="eastAsia" w:ascii="宋体" w:hAnsi="宋体" w:cs="宋体"/>
          <w:color w:val="auto"/>
          <w:sz w:val="24"/>
          <w:highlight w:val="none"/>
        </w:rPr>
        <w:t>4.本项目的特定资格要求：无。</w:t>
      </w:r>
    </w:p>
    <w:p>
      <w:pPr>
        <w:pStyle w:val="5"/>
        <w:spacing w:line="360" w:lineRule="auto"/>
        <w:rPr>
          <w:rFonts w:hint="eastAsia" w:ascii="宋体" w:hAnsi="宋体" w:eastAsia="宋体" w:cs="宋体"/>
          <w:color w:val="auto"/>
          <w:sz w:val="24"/>
          <w:szCs w:val="24"/>
          <w:highlight w:val="none"/>
        </w:rPr>
      </w:pPr>
      <w:bookmarkStart w:id="18" w:name="_Toc35393792"/>
      <w:bookmarkStart w:id="19" w:name="_Toc35393623"/>
      <w:r>
        <w:rPr>
          <w:rFonts w:hint="eastAsia" w:ascii="宋体" w:hAnsi="宋体" w:eastAsia="宋体" w:cs="宋体"/>
          <w:color w:val="auto"/>
          <w:sz w:val="24"/>
          <w:szCs w:val="24"/>
          <w:highlight w:val="none"/>
        </w:rPr>
        <w:t>三、获取招标文件</w:t>
      </w:r>
      <w:bookmarkEnd w:id="16"/>
      <w:bookmarkEnd w:id="17"/>
      <w:bookmarkEnd w:id="18"/>
      <w:bookmarkEnd w:id="19"/>
    </w:p>
    <w:p>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时间： 公告发布之日起到投标截止时间；</w:t>
      </w:r>
    </w:p>
    <w:p>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地点（网址）：政采云平台（</w:t>
      </w:r>
      <w:r>
        <w:rPr>
          <w:rFonts w:hint="eastAsia"/>
          <w:color w:val="auto"/>
          <w:highlight w:val="none"/>
        </w:rPr>
        <w:fldChar w:fldCharType="begin"/>
      </w:r>
      <w:r>
        <w:rPr>
          <w:color w:val="auto"/>
          <w:highlight w:val="none"/>
        </w:rPr>
        <w:instrText xml:space="preserve"> HYPERLINK "https://www.zcygov.cn/" </w:instrText>
      </w:r>
      <w:r>
        <w:rPr>
          <w:rFonts w:hint="eastAsia"/>
          <w:color w:val="auto"/>
          <w:highlight w:val="none"/>
        </w:rPr>
        <w:fldChar w:fldCharType="separate"/>
      </w:r>
      <w:r>
        <w:rPr>
          <w:rFonts w:hint="eastAsia" w:ascii="宋体" w:hAnsi="宋体" w:cs="宋体"/>
          <w:color w:val="auto"/>
          <w:sz w:val="24"/>
          <w:highlight w:val="none"/>
        </w:rPr>
        <w:t>https://www.zcygov.cn/</w:t>
      </w:r>
      <w:r>
        <w:rPr>
          <w:rFonts w:hint="eastAsia" w:ascii="宋体" w:hAnsi="宋体" w:cs="宋体"/>
          <w:color w:val="auto"/>
          <w:sz w:val="24"/>
          <w:highlight w:val="none"/>
        </w:rPr>
        <w:fldChar w:fldCharType="end"/>
      </w:r>
      <w:r>
        <w:rPr>
          <w:rFonts w:hint="eastAsia" w:ascii="宋体" w:hAnsi="宋体" w:cs="宋体"/>
          <w:color w:val="auto"/>
          <w:sz w:val="24"/>
          <w:highlight w:val="none"/>
        </w:rPr>
        <w:t>）</w:t>
      </w:r>
    </w:p>
    <w:p>
      <w:pPr>
        <w:spacing w:line="360" w:lineRule="auto"/>
        <w:ind w:firstLine="480" w:firstLineChars="200"/>
        <w:jc w:val="left"/>
        <w:rPr>
          <w:rFonts w:hint="eastAsia" w:ascii="宋体" w:hAnsi="宋体" w:cs="宋体"/>
          <w:color w:val="auto"/>
          <w:sz w:val="24"/>
          <w:highlight w:val="none"/>
          <w:u w:val="single"/>
        </w:rPr>
      </w:pPr>
      <w:r>
        <w:rPr>
          <w:rFonts w:hint="eastAsia" w:ascii="宋体" w:hAnsi="宋体" w:cs="宋体"/>
          <w:color w:val="auto"/>
          <w:sz w:val="24"/>
          <w:highlight w:val="none"/>
        </w:rPr>
        <w:t>方式：使用账号登录或者使用CA登录政采云平台；进入“项目采购”应用，在获取采购文件菜单中选择项目，获取采购文件。（注册账号--点击“商家入驻”，进行政府采购供应商资料填写；申领CA数字证书--申领流程详见“浙江政府采购网-下载专区-电子交易客户端-CA驱动和申领流程”。）首次使用的供应商需要在“系统管理”-“权限管理”中打开对应功能权限。公告页面附件招标文件可以下载，仅供浏览使用；</w:t>
      </w:r>
    </w:p>
    <w:p>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售价：免费。</w:t>
      </w:r>
    </w:p>
    <w:p>
      <w:pPr>
        <w:pStyle w:val="5"/>
        <w:spacing w:line="360" w:lineRule="auto"/>
        <w:rPr>
          <w:rFonts w:hint="eastAsia" w:ascii="宋体" w:hAnsi="宋体" w:eastAsia="宋体" w:cs="宋体"/>
          <w:color w:val="auto"/>
          <w:sz w:val="24"/>
          <w:szCs w:val="24"/>
          <w:highlight w:val="none"/>
        </w:rPr>
      </w:pPr>
      <w:bookmarkStart w:id="20" w:name="_Toc28359005"/>
      <w:bookmarkStart w:id="21" w:name="_Toc28359082"/>
      <w:bookmarkStart w:id="22" w:name="_Toc35393793"/>
      <w:bookmarkStart w:id="23" w:name="_Toc35393624"/>
      <w:r>
        <w:rPr>
          <w:rFonts w:hint="eastAsia" w:ascii="宋体" w:hAnsi="宋体" w:eastAsia="宋体" w:cs="宋体"/>
          <w:color w:val="auto"/>
          <w:sz w:val="24"/>
          <w:szCs w:val="24"/>
          <w:highlight w:val="none"/>
        </w:rPr>
        <w:t>四、提交投标文件</w:t>
      </w:r>
      <w:bookmarkEnd w:id="20"/>
      <w:bookmarkEnd w:id="21"/>
      <w:r>
        <w:rPr>
          <w:rFonts w:hint="eastAsia" w:ascii="宋体" w:hAnsi="宋体" w:eastAsia="宋体" w:cs="宋体"/>
          <w:color w:val="auto"/>
          <w:sz w:val="24"/>
          <w:szCs w:val="24"/>
          <w:highlight w:val="none"/>
        </w:rPr>
        <w:t>截止时间、开标时间和地点</w:t>
      </w:r>
      <w:bookmarkEnd w:id="22"/>
      <w:bookmarkEnd w:id="23"/>
    </w:p>
    <w:p>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lang w:eastAsia="zh-CN"/>
        </w:rPr>
        <w:t>2024年12月10日</w:t>
      </w:r>
      <w:r>
        <w:rPr>
          <w:rFonts w:hint="eastAsia" w:ascii="宋体" w:hAnsi="宋体" w:cs="宋体"/>
          <w:color w:val="auto"/>
          <w:sz w:val="24"/>
          <w:highlight w:val="none"/>
        </w:rPr>
        <w:t>9点</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0分（北京时间）</w:t>
      </w:r>
    </w:p>
    <w:p>
      <w:pPr>
        <w:spacing w:line="360" w:lineRule="auto"/>
        <w:ind w:firstLine="482" w:firstLineChars="200"/>
        <w:rPr>
          <w:rFonts w:hint="eastAsia" w:ascii="宋体" w:hAnsi="宋体" w:cs="宋体"/>
          <w:bCs/>
          <w:color w:val="auto"/>
          <w:sz w:val="24"/>
          <w:highlight w:val="none"/>
        </w:rPr>
      </w:pPr>
      <w:r>
        <w:rPr>
          <w:rFonts w:hint="eastAsia" w:ascii="宋体" w:hAnsi="宋体" w:cs="宋体"/>
          <w:b/>
          <w:color w:val="auto"/>
          <w:sz w:val="24"/>
          <w:highlight w:val="none"/>
        </w:rPr>
        <w:t>投标地点：</w:t>
      </w:r>
      <w:r>
        <w:rPr>
          <w:rFonts w:hint="eastAsia" w:ascii="宋体" w:hAnsi="宋体" w:cs="宋体"/>
          <w:bCs/>
          <w:color w:val="auto"/>
          <w:sz w:val="24"/>
          <w:highlight w:val="none"/>
        </w:rPr>
        <w:t>政采云平台</w:t>
      </w:r>
    </w:p>
    <w:p>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开标时间：</w:t>
      </w:r>
      <w:r>
        <w:rPr>
          <w:rFonts w:hint="eastAsia" w:ascii="宋体" w:hAnsi="宋体" w:cs="宋体"/>
          <w:color w:val="auto"/>
          <w:sz w:val="24"/>
          <w:highlight w:val="none"/>
          <w:lang w:eastAsia="zh-CN"/>
        </w:rPr>
        <w:t>2024年12月10日</w:t>
      </w:r>
      <w:r>
        <w:rPr>
          <w:rFonts w:hint="eastAsia" w:ascii="宋体" w:hAnsi="宋体" w:cs="宋体"/>
          <w:color w:val="auto"/>
          <w:sz w:val="24"/>
          <w:highlight w:val="none"/>
        </w:rPr>
        <w:t>9点</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0分</w:t>
      </w:r>
    </w:p>
    <w:p>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开标地点：</w:t>
      </w:r>
      <w:r>
        <w:rPr>
          <w:rFonts w:hint="eastAsia" w:ascii="宋体" w:hAnsi="宋体" w:cs="宋体"/>
          <w:color w:val="auto"/>
          <w:sz w:val="24"/>
          <w:highlight w:val="none"/>
        </w:rPr>
        <w:t xml:space="preserve"> 平湖市政务服务中心三楼 平湖市公共资源交易中心315室</w:t>
      </w:r>
    </w:p>
    <w:p>
      <w:pPr>
        <w:pStyle w:val="5"/>
        <w:spacing w:line="360" w:lineRule="auto"/>
        <w:rPr>
          <w:rFonts w:hint="eastAsia" w:ascii="宋体" w:hAnsi="宋体" w:eastAsia="宋体" w:cs="宋体"/>
          <w:color w:val="auto"/>
          <w:sz w:val="24"/>
          <w:szCs w:val="24"/>
          <w:highlight w:val="none"/>
        </w:rPr>
      </w:pPr>
      <w:bookmarkStart w:id="24" w:name="_Toc28359007"/>
      <w:bookmarkStart w:id="25" w:name="_Toc35393625"/>
      <w:bookmarkStart w:id="26" w:name="_Toc35393794"/>
      <w:bookmarkStart w:id="27" w:name="_Toc28359084"/>
      <w:r>
        <w:rPr>
          <w:rFonts w:hint="eastAsia" w:ascii="宋体" w:hAnsi="宋体" w:eastAsia="宋体" w:cs="宋体"/>
          <w:color w:val="auto"/>
          <w:sz w:val="24"/>
          <w:szCs w:val="24"/>
          <w:highlight w:val="none"/>
        </w:rPr>
        <w:t>五、公告期限</w:t>
      </w:r>
      <w:bookmarkEnd w:id="24"/>
      <w:bookmarkEnd w:id="25"/>
      <w:bookmarkEnd w:id="26"/>
      <w:bookmarkEnd w:id="27"/>
    </w:p>
    <w:p>
      <w:pPr>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自本公告发布之日起5个工作日。</w:t>
      </w:r>
    </w:p>
    <w:p>
      <w:pPr>
        <w:pStyle w:val="5"/>
        <w:spacing w:line="360" w:lineRule="auto"/>
        <w:rPr>
          <w:rFonts w:hint="eastAsia" w:ascii="宋体" w:hAnsi="宋体" w:eastAsia="宋体" w:cs="宋体"/>
          <w:color w:val="auto"/>
          <w:sz w:val="24"/>
          <w:szCs w:val="24"/>
          <w:highlight w:val="none"/>
        </w:rPr>
      </w:pPr>
      <w:bookmarkStart w:id="28" w:name="_Toc35393626"/>
      <w:bookmarkStart w:id="29" w:name="_Toc35393795"/>
      <w:r>
        <w:rPr>
          <w:rFonts w:hint="eastAsia" w:ascii="宋体" w:hAnsi="宋体" w:eastAsia="宋体" w:cs="宋体"/>
          <w:color w:val="auto"/>
          <w:sz w:val="24"/>
          <w:szCs w:val="24"/>
          <w:highlight w:val="none"/>
        </w:rPr>
        <w:t>六、其他补充事宜</w:t>
      </w:r>
      <w:bookmarkEnd w:id="28"/>
      <w:bookmarkEnd w:id="29"/>
    </w:p>
    <w:p>
      <w:pPr>
        <w:pStyle w:val="6"/>
        <w:ind w:firstLine="480"/>
        <w:rPr>
          <w:rFonts w:hint="eastAsia" w:asciiTheme="minorEastAsia" w:hAnsiTheme="minorEastAsia" w:eastAsiaTheme="minorEastAsia" w:cstheme="minorEastAsia"/>
          <w:color w:val="auto"/>
          <w:szCs w:val="24"/>
          <w:highlight w:val="none"/>
          <w:shd w:val="clear" w:color="auto" w:fill="FFFFFF"/>
        </w:rPr>
      </w:pPr>
      <w:bookmarkStart w:id="30" w:name="_Toc28359008"/>
      <w:bookmarkStart w:id="31" w:name="_Toc35393627"/>
      <w:bookmarkStart w:id="32" w:name="_Toc35393796"/>
      <w:bookmarkStart w:id="33" w:name="_Toc28359085"/>
      <w:r>
        <w:rPr>
          <w:rFonts w:hint="eastAsia" w:asciiTheme="minorEastAsia" w:hAnsiTheme="minorEastAsia" w:eastAsiaTheme="minorEastAsia" w:cstheme="minorEastAsia"/>
          <w:color w:val="auto"/>
          <w:szCs w:val="24"/>
          <w:highlight w:val="none"/>
          <w:shd w:val="clear" w:color="auto" w:fill="FFFFFF"/>
        </w:rPr>
        <w:t>1.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2.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3.本项目按照《浙江省财政厅关于印发浙江省政府采购项电子交易管理暂行办法的通知》实行电子交易。</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3.1.投标文件制作注意事项</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3.1.1供应商将政采云电子交易客户端下载、安装完成后，可通过账号密码或CA登录客户端进行投标文件制作。</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注：供应商先要申领CA，拿到CA后需要在政采云平台进行绑定，CA相关操作可参考CA驱动和申领流程。完成CA数字证书办理在资料齐全的情况下预计7个工作日左右，建议供应商获取招标文件后立即办理。</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3.1.2 CA驱动和申领流程</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color w:val="auto"/>
          <w:highlight w:val="none"/>
        </w:rPr>
        <w:fldChar w:fldCharType="begin"/>
      </w:r>
      <w:r>
        <w:rPr>
          <w:color w:val="auto"/>
          <w:highlight w:val="none"/>
        </w:rPr>
        <w:instrText xml:space="preserve"> HYPERLINK "https://zfcg.czt.zj.gov.cn/bidClientTemplate/2019-05-27/12945.html" \t "_blank" </w:instrText>
      </w:r>
      <w:r>
        <w:rPr>
          <w:color w:val="auto"/>
          <w:highlight w:val="none"/>
        </w:rPr>
        <w:fldChar w:fldCharType="separate"/>
      </w:r>
      <w:r>
        <w:rPr>
          <w:rStyle w:val="32"/>
          <w:rFonts w:hint="eastAsia" w:asciiTheme="minorEastAsia" w:hAnsiTheme="minorEastAsia" w:eastAsiaTheme="minorEastAsia" w:cstheme="minorEastAsia"/>
          <w:color w:val="auto"/>
          <w:szCs w:val="24"/>
          <w:highlight w:val="none"/>
          <w:shd w:val="clear" w:color="auto" w:fill="FFFFFF"/>
        </w:rPr>
        <w:t>https://zfcg.czt.zj.gov.cn/bidClientTemplate/2019-05-27/12945.html</w:t>
      </w:r>
      <w:r>
        <w:rPr>
          <w:rStyle w:val="32"/>
          <w:rFonts w:hint="eastAsia" w:asciiTheme="minorEastAsia" w:hAnsiTheme="minorEastAsia" w:eastAsiaTheme="minorEastAsia" w:cstheme="minorEastAsia"/>
          <w:color w:val="auto"/>
          <w:szCs w:val="24"/>
          <w:highlight w:val="none"/>
          <w:shd w:val="clear" w:color="auto" w:fill="FFFFFF"/>
        </w:rPr>
        <w:fldChar w:fldCharType="end"/>
      </w:r>
      <w:r>
        <w:rPr>
          <w:rFonts w:hint="eastAsia" w:asciiTheme="minorEastAsia" w:hAnsiTheme="minorEastAsia" w:eastAsiaTheme="minorEastAsia" w:cstheme="minorEastAsia"/>
          <w:color w:val="auto"/>
          <w:szCs w:val="24"/>
          <w:highlight w:val="none"/>
          <w:shd w:val="clear" w:color="auto" w:fill="FFFFFF"/>
        </w:rPr>
        <w:t xml:space="preserve"> </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注：CA证书遗失补办、延期、解锁、质保等业务可以在联连客户端上进行操作；使用政采云投标客户端时，建议使用windows7以上且64位的操作系统。</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3.1.3 CA证书办理操作视频</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color w:val="auto"/>
          <w:highlight w:val="none"/>
        </w:rPr>
        <w:fldChar w:fldCharType="begin"/>
      </w:r>
      <w:r>
        <w:rPr>
          <w:color w:val="auto"/>
          <w:highlight w:val="none"/>
        </w:rPr>
        <w:instrText xml:space="preserve"> HYPERLINK "https://service.zcygov.cn/" \l "/knowledges/UgcbC3EBiyELHE-opz1b/EWqqyXEByNnJ3A2CPyDI" \t "_blank" </w:instrText>
      </w:r>
      <w:r>
        <w:rPr>
          <w:color w:val="auto"/>
          <w:highlight w:val="none"/>
        </w:rPr>
        <w:fldChar w:fldCharType="separate"/>
      </w:r>
      <w:r>
        <w:rPr>
          <w:rStyle w:val="32"/>
          <w:rFonts w:hint="eastAsia" w:asciiTheme="minorEastAsia" w:hAnsiTheme="minorEastAsia" w:eastAsiaTheme="minorEastAsia" w:cstheme="minorEastAsia"/>
          <w:color w:val="auto"/>
          <w:szCs w:val="24"/>
          <w:highlight w:val="none"/>
          <w:shd w:val="clear" w:color="auto" w:fill="FFFFFF"/>
        </w:rPr>
        <w:t>https://service.zcygov.cn/#/knowledges/UgcbC3EBiyELHE-opz1b/EWqqyXEByNnJ3A2CPyDI</w:t>
      </w:r>
      <w:r>
        <w:rPr>
          <w:rStyle w:val="32"/>
          <w:rFonts w:hint="eastAsia" w:asciiTheme="minorEastAsia" w:hAnsiTheme="minorEastAsia" w:eastAsiaTheme="minorEastAsia" w:cstheme="minorEastAsia"/>
          <w:color w:val="auto"/>
          <w:szCs w:val="24"/>
          <w:highlight w:val="none"/>
          <w:shd w:val="clear" w:color="auto" w:fill="FFFFFF"/>
        </w:rPr>
        <w:fldChar w:fldCharType="end"/>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3.1.4 CA绑定登录操作视频</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color w:val="auto"/>
          <w:highlight w:val="none"/>
        </w:rPr>
        <w:fldChar w:fldCharType="begin"/>
      </w:r>
      <w:r>
        <w:rPr>
          <w:color w:val="auto"/>
          <w:highlight w:val="none"/>
        </w:rPr>
        <w:instrText xml:space="preserve"> HYPERLINK "https://service.zcygov.cn/" \l "/knowledges/UgcbC3EBiyELHE-opz1b/nAkmyXEBiyELHE-o-983" \t "_blank" </w:instrText>
      </w:r>
      <w:r>
        <w:rPr>
          <w:color w:val="auto"/>
          <w:highlight w:val="none"/>
        </w:rPr>
        <w:fldChar w:fldCharType="separate"/>
      </w:r>
      <w:r>
        <w:rPr>
          <w:rStyle w:val="32"/>
          <w:rFonts w:hint="eastAsia" w:asciiTheme="minorEastAsia" w:hAnsiTheme="minorEastAsia" w:eastAsiaTheme="minorEastAsia" w:cstheme="minorEastAsia"/>
          <w:color w:val="auto"/>
          <w:szCs w:val="24"/>
          <w:highlight w:val="none"/>
          <w:shd w:val="clear" w:color="auto" w:fill="FFFFFF"/>
        </w:rPr>
        <w:t>https://service.zcygov.cn/#/knowledges/UgcbC3EBiyELHE-opz1b/nAkmyXEBiyELHE-o-983</w:t>
      </w:r>
      <w:r>
        <w:rPr>
          <w:rStyle w:val="32"/>
          <w:rFonts w:hint="eastAsia" w:asciiTheme="minorEastAsia" w:hAnsiTheme="minorEastAsia" w:eastAsiaTheme="minorEastAsia" w:cstheme="minorEastAsia"/>
          <w:color w:val="auto"/>
          <w:szCs w:val="24"/>
          <w:highlight w:val="none"/>
          <w:shd w:val="clear" w:color="auto" w:fill="FFFFFF"/>
        </w:rPr>
        <w:fldChar w:fldCharType="end"/>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3.1.5浙江省“项目采购电子交易系统/不见面开评审”学习专题：</w:t>
      </w:r>
      <w:r>
        <w:rPr>
          <w:rFonts w:hint="eastAsia"/>
          <w:color w:val="auto"/>
          <w:highlight w:val="none"/>
        </w:rPr>
        <w:fldChar w:fldCharType="begin"/>
      </w:r>
      <w:r>
        <w:rPr>
          <w:color w:val="auto"/>
          <w:highlight w:val="none"/>
        </w:rPr>
        <w:instrText xml:space="preserve"> HYPERLINK "https://edu.zcygov.cn/luban/e-biding" \t "_blank" </w:instrText>
      </w:r>
      <w:r>
        <w:rPr>
          <w:rFonts w:hint="eastAsia"/>
          <w:color w:val="auto"/>
          <w:highlight w:val="none"/>
        </w:rPr>
        <w:fldChar w:fldCharType="separate"/>
      </w:r>
      <w:r>
        <w:rPr>
          <w:rStyle w:val="32"/>
          <w:rFonts w:hint="eastAsia" w:asciiTheme="minorEastAsia" w:hAnsiTheme="minorEastAsia" w:eastAsiaTheme="minorEastAsia" w:cstheme="minorEastAsia"/>
          <w:color w:val="auto"/>
          <w:szCs w:val="24"/>
          <w:highlight w:val="none"/>
          <w:shd w:val="clear" w:color="auto" w:fill="FFFFFF"/>
        </w:rPr>
        <w:t>https://edu.zcygov.cn/luban/e-biding</w:t>
      </w:r>
      <w:r>
        <w:rPr>
          <w:rStyle w:val="32"/>
          <w:rFonts w:hint="eastAsia" w:asciiTheme="minorEastAsia" w:hAnsiTheme="minorEastAsia" w:eastAsiaTheme="minorEastAsia" w:cstheme="minorEastAsia"/>
          <w:color w:val="auto"/>
          <w:szCs w:val="24"/>
          <w:highlight w:val="none"/>
          <w:shd w:val="clear" w:color="auto" w:fill="FFFFFF"/>
        </w:rPr>
        <w:fldChar w:fldCharType="end"/>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3.2.投标文件提交注意事项</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3.2.1本项目实行电子投标。投标文件应按照本项目招标文件和电子交易平台的要求编制、加密，并应当在投标截止时间前在规定电子交易平台完成传输递交，投标截止时间后送达的投标文件，将被电子交易平台拒收。</w:t>
      </w:r>
    </w:p>
    <w:p>
      <w:pPr>
        <w:pStyle w:val="6"/>
        <w:ind w:firstLine="48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3.2.2为确保采购项目顺利实施，避免因解密失败导致投标方投标无效，投标方可在</w:t>
      </w:r>
      <w:r>
        <w:rPr>
          <w:rFonts w:hint="eastAsia" w:asciiTheme="minorEastAsia" w:hAnsiTheme="minorEastAsia" w:eastAsiaTheme="minorEastAsia" w:cstheme="minorEastAsia"/>
          <w:color w:val="auto"/>
          <w:szCs w:val="24"/>
          <w:highlight w:val="none"/>
          <w:shd w:val="clear" w:color="auto" w:fill="FFFFFF"/>
          <w:lang w:eastAsia="zh-CN"/>
        </w:rPr>
        <w:t>2024年12月10日</w:t>
      </w:r>
      <w:r>
        <w:rPr>
          <w:rFonts w:hint="eastAsia" w:asciiTheme="minorEastAsia" w:hAnsiTheme="minorEastAsia" w:eastAsiaTheme="minorEastAsia" w:cstheme="minorEastAsia"/>
          <w:color w:val="auto"/>
          <w:szCs w:val="24"/>
          <w:highlight w:val="none"/>
          <w:shd w:val="clear" w:color="auto" w:fill="FFFFFF"/>
        </w:rPr>
        <w:t>上午9点30分前将在政采云平台上最后生成的具备电子签章的备份电子标文件装袋密封后邮寄或直接送达至平湖市公共资源交易中心（包裹外包装上应当用不褪色墨水笔注明投标人名称、项目名称以及法定代表人或其委托代理人签名，投标人应当确保U盘能够打开运行并正常使用）（送达地址：浙江省嘉兴市平湖市行政服务中心，收件人：</w:t>
      </w:r>
      <w:r>
        <w:rPr>
          <w:rFonts w:hint="eastAsia" w:asciiTheme="minorEastAsia" w:hAnsiTheme="minorEastAsia" w:eastAsiaTheme="minorEastAsia" w:cstheme="minorEastAsia"/>
          <w:color w:val="auto"/>
          <w:szCs w:val="24"/>
          <w:highlight w:val="none"/>
          <w:shd w:val="clear" w:color="auto" w:fill="FFFFFF"/>
          <w:lang w:eastAsia="zh-CN"/>
        </w:rPr>
        <w:t>钱镇平</w:t>
      </w:r>
      <w:r>
        <w:rPr>
          <w:rFonts w:hint="eastAsia" w:asciiTheme="minorEastAsia" w:hAnsiTheme="minorEastAsia" w:eastAsiaTheme="minorEastAsia" w:cstheme="minorEastAsia"/>
          <w:color w:val="auto"/>
          <w:szCs w:val="24"/>
          <w:highlight w:val="none"/>
          <w:shd w:val="clear" w:color="auto" w:fill="FFFFFF"/>
        </w:rPr>
        <w:t>；联系电话：0573-85631736），如在开标过程中出现解密失败情况，以备份文件作为替代投标文件，如投标人未按照规定时间及要求提供有效备份文件，同时政采云上投标文件解密失败的，将导致投标无效。</w:t>
      </w:r>
    </w:p>
    <w:p>
      <w:pPr>
        <w:pStyle w:val="6"/>
        <w:ind w:left="479" w:leftChars="228" w:firstLine="0" w:firstLineChars="0"/>
        <w:rPr>
          <w:rFonts w:hint="eastAsia" w:asciiTheme="minorEastAsia" w:hAnsiTheme="minorEastAsia" w:eastAsiaTheme="minorEastAsia" w:cstheme="minorEastAsia"/>
          <w:color w:val="auto"/>
          <w:szCs w:val="24"/>
          <w:highlight w:val="none"/>
          <w:shd w:val="clear" w:color="auto" w:fill="FFFFFF"/>
        </w:rPr>
      </w:pPr>
      <w:r>
        <w:rPr>
          <w:rFonts w:hint="eastAsia" w:asciiTheme="minorEastAsia" w:hAnsiTheme="minorEastAsia" w:eastAsiaTheme="minorEastAsia" w:cstheme="minorEastAsia"/>
          <w:color w:val="auto"/>
          <w:szCs w:val="24"/>
          <w:highlight w:val="none"/>
          <w:shd w:val="clear" w:color="auto" w:fill="FFFFFF"/>
        </w:rPr>
        <w:t>4.惠企政策</w:t>
      </w:r>
    </w:p>
    <w:p>
      <w:pPr>
        <w:pStyle w:val="6"/>
        <w:ind w:firstLine="480"/>
        <w:rPr>
          <w:rFonts w:hint="eastAsia" w:ascii="宋体" w:hAnsi="宋体"/>
          <w:bCs/>
          <w:color w:val="auto"/>
          <w:highlight w:val="none"/>
        </w:rPr>
      </w:pPr>
      <w:r>
        <w:rPr>
          <w:rFonts w:hint="eastAsia" w:asciiTheme="minorEastAsia" w:hAnsiTheme="minorEastAsia" w:eastAsiaTheme="minorEastAsia" w:cstheme="minorEastAsia"/>
          <w:color w:val="auto"/>
          <w:szCs w:val="24"/>
          <w:highlight w:val="none"/>
          <w:shd w:val="clear" w:color="auto" w:fill="FFFFFF"/>
        </w:rPr>
        <w:t>本采购项目，中标单位与采购人签订的政府采购合同适用于平湖市政府采购贷款政策，简称“政采贷”，具体内容可参阅各银行政府采购贷款流程：</w:t>
      </w:r>
      <w:r>
        <w:rPr>
          <w:rFonts w:hint="eastAsia" w:ascii="宋体" w:hAnsi="宋体" w:cs="宋体"/>
          <w:color w:val="auto"/>
          <w:szCs w:val="24"/>
          <w:highlight w:val="none"/>
        </w:rPr>
        <w:t>http://jxszwsjb.jiaxing.gov.cn/art/2021/1/26/art_1229743922_103958.html</w:t>
      </w:r>
    </w:p>
    <w:p>
      <w:pPr>
        <w:pStyle w:val="5"/>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七、对本次招标提出询问，请按以下方式联系。</w:t>
      </w:r>
      <w:bookmarkEnd w:id="30"/>
      <w:bookmarkEnd w:id="31"/>
      <w:bookmarkEnd w:id="32"/>
      <w:bookmarkEnd w:id="33"/>
    </w:p>
    <w:p>
      <w:pPr>
        <w:widowControl/>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1.采购人信息</w:t>
      </w:r>
    </w:p>
    <w:p>
      <w:pPr>
        <w:spacing w:line="360" w:lineRule="auto"/>
        <w:jc w:val="left"/>
        <w:rPr>
          <w:rFonts w:hint="eastAsia" w:ascii="宋体" w:hAnsi="宋体" w:cs="宋体"/>
          <w:color w:val="auto"/>
          <w:sz w:val="24"/>
          <w:highlight w:val="none"/>
        </w:rPr>
      </w:pPr>
      <w:bookmarkStart w:id="34" w:name="_Toc28359086"/>
      <w:bookmarkStart w:id="35" w:name="_Toc28359009"/>
      <w:r>
        <w:rPr>
          <w:rFonts w:hint="eastAsia" w:ascii="宋体" w:hAnsi="宋体" w:cs="宋体"/>
          <w:color w:val="auto"/>
          <w:sz w:val="24"/>
          <w:highlight w:val="none"/>
        </w:rPr>
        <w:t>名称：上海世外教育附属平湖经开实验小学</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地址：平湖经济技术开发区福善线福臻段518号</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项目联系人（询问）：陈亮</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项目联系方式（询问）：0573-85633627</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质疑联系人：陈亮</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质疑联系方式：0573-85633627</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2.集中采购机构信息</w:t>
      </w:r>
      <w:bookmarkEnd w:id="34"/>
      <w:bookmarkEnd w:id="35"/>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名 称：平湖市公共资源交易中心</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地址：平湖市政务服务中心三楼</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传真：0573-85631737</w:t>
      </w:r>
    </w:p>
    <w:p>
      <w:pPr>
        <w:spacing w:line="360" w:lineRule="auto"/>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eastAsia="zh-CN"/>
        </w:rPr>
        <w:t>钱镇平</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项目联系方式（询问）：0573-85631736</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质疑联系人：于金成</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质疑联系方式：0573-85631720</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3.同级政府采购监督管理部门            </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名称：平湖市财政局政府采购监管科             </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地址：平湖市望湖路318号                         </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联系人：陆先生             </w:t>
      </w:r>
    </w:p>
    <w:p>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监督投诉电话：0573-85013033         </w:t>
      </w:r>
    </w:p>
    <w:p>
      <w:pPr>
        <w:wordWrap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 xml:space="preserve">若对项目采购电子交易系统操作有疑问，可登录政采云（https://www.zcygov.cn/），点击右侧咨询小采，获取采小蜜智能服务管家帮助，或拨打政采云服务热线400-881-7190获取热线服务帮助。       </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pPr>
        <w:pStyle w:val="5"/>
        <w:tabs>
          <w:tab w:val="center" w:pos="4649"/>
        </w:tabs>
        <w:spacing w:before="0" w:after="0" w:line="460" w:lineRule="exact"/>
        <w:jc w:val="center"/>
        <w:rPr>
          <w:color w:val="auto"/>
          <w:highlight w:val="none"/>
        </w:rPr>
      </w:pPr>
    </w:p>
    <w:p>
      <w:pPr>
        <w:pStyle w:val="5"/>
        <w:tabs>
          <w:tab w:val="center" w:pos="4649"/>
        </w:tabs>
        <w:spacing w:before="0" w:after="0" w:line="460" w:lineRule="exact"/>
        <w:jc w:val="center"/>
        <w:rPr>
          <w:color w:val="auto"/>
          <w:highlight w:val="none"/>
        </w:rPr>
      </w:pPr>
    </w:p>
    <w:p>
      <w:pPr>
        <w:pStyle w:val="5"/>
        <w:tabs>
          <w:tab w:val="center" w:pos="4649"/>
        </w:tabs>
        <w:spacing w:before="0" w:after="0" w:line="460" w:lineRule="exact"/>
        <w:jc w:val="center"/>
        <w:rPr>
          <w:color w:val="auto"/>
          <w:highlight w:val="none"/>
        </w:rPr>
      </w:pPr>
    </w:p>
    <w:p>
      <w:pPr>
        <w:pStyle w:val="5"/>
        <w:tabs>
          <w:tab w:val="center" w:pos="4649"/>
        </w:tabs>
        <w:spacing w:before="0" w:after="0" w:line="460" w:lineRule="exact"/>
        <w:jc w:val="center"/>
        <w:rPr>
          <w:color w:val="auto"/>
          <w:highlight w:val="none"/>
        </w:rPr>
      </w:pPr>
    </w:p>
    <w:p>
      <w:pPr>
        <w:pStyle w:val="5"/>
        <w:tabs>
          <w:tab w:val="center" w:pos="4649"/>
        </w:tabs>
        <w:spacing w:before="0" w:after="0" w:line="460" w:lineRule="exact"/>
        <w:jc w:val="center"/>
        <w:rPr>
          <w:color w:val="auto"/>
          <w:highlight w:val="none"/>
        </w:rPr>
      </w:pPr>
    </w:p>
    <w:p>
      <w:pPr>
        <w:pStyle w:val="5"/>
        <w:tabs>
          <w:tab w:val="center" w:pos="4649"/>
        </w:tabs>
        <w:spacing w:before="0" w:after="0" w:line="460" w:lineRule="exact"/>
        <w:jc w:val="center"/>
        <w:rPr>
          <w:color w:val="auto"/>
          <w:highlight w:val="none"/>
        </w:rPr>
      </w:pPr>
    </w:p>
    <w:p>
      <w:pPr>
        <w:pStyle w:val="5"/>
        <w:tabs>
          <w:tab w:val="center" w:pos="4649"/>
        </w:tabs>
        <w:spacing w:before="0" w:after="0" w:line="460" w:lineRule="exact"/>
        <w:jc w:val="center"/>
        <w:rPr>
          <w:color w:val="auto"/>
          <w:highlight w:val="none"/>
        </w:rPr>
      </w:pPr>
    </w:p>
    <w:p>
      <w:pPr>
        <w:pStyle w:val="5"/>
        <w:tabs>
          <w:tab w:val="center" w:pos="4649"/>
        </w:tabs>
        <w:spacing w:before="0" w:after="0" w:line="460" w:lineRule="exact"/>
        <w:jc w:val="center"/>
        <w:rPr>
          <w:color w:val="auto"/>
          <w:highlight w:val="none"/>
        </w:rPr>
      </w:pPr>
    </w:p>
    <w:p>
      <w:pPr>
        <w:pStyle w:val="5"/>
        <w:tabs>
          <w:tab w:val="center" w:pos="4649"/>
        </w:tabs>
        <w:spacing w:before="0" w:after="0" w:line="460" w:lineRule="exact"/>
        <w:jc w:val="center"/>
        <w:rPr>
          <w:color w:val="auto"/>
          <w:highlight w:val="none"/>
        </w:rPr>
      </w:pPr>
    </w:p>
    <w:p>
      <w:pPr>
        <w:rPr>
          <w:color w:val="auto"/>
          <w:highlight w:val="none"/>
        </w:rPr>
      </w:pPr>
    </w:p>
    <w:p>
      <w:pPr>
        <w:pStyle w:val="5"/>
        <w:rPr>
          <w:color w:val="auto"/>
          <w:highlight w:val="none"/>
        </w:rPr>
      </w:pPr>
    </w:p>
    <w:p>
      <w:pPr>
        <w:rPr>
          <w:color w:val="auto"/>
          <w:highlight w:val="none"/>
        </w:rPr>
      </w:pPr>
    </w:p>
    <w:p>
      <w:pPr>
        <w:pStyle w:val="5"/>
        <w:rPr>
          <w:color w:val="auto"/>
          <w:highlight w:val="none"/>
        </w:rPr>
      </w:pPr>
    </w:p>
    <w:p>
      <w:pPr>
        <w:rPr>
          <w:color w:val="auto"/>
          <w:highlight w:val="none"/>
        </w:rPr>
      </w:pPr>
    </w:p>
    <w:p>
      <w:pPr>
        <w:pStyle w:val="5"/>
        <w:rPr>
          <w:color w:val="auto"/>
          <w:highlight w:val="none"/>
        </w:rPr>
      </w:pPr>
    </w:p>
    <w:p>
      <w:pPr>
        <w:rPr>
          <w:color w:val="auto"/>
          <w:highlight w:val="none"/>
        </w:rPr>
      </w:pPr>
    </w:p>
    <w:p>
      <w:pPr>
        <w:rPr>
          <w:color w:val="auto"/>
          <w:highlight w:val="none"/>
        </w:rPr>
      </w:pPr>
      <w:r>
        <w:rPr>
          <w:color w:val="auto"/>
          <w:highlight w:val="none"/>
        </w:rPr>
        <w:br w:type="page"/>
      </w:r>
    </w:p>
    <w:p>
      <w:pPr>
        <w:pStyle w:val="5"/>
        <w:numPr>
          <w:ilvl w:val="0"/>
          <w:numId w:val="2"/>
        </w:numPr>
        <w:tabs>
          <w:tab w:val="center" w:pos="4649"/>
        </w:tabs>
        <w:spacing w:before="0" w:after="0" w:line="460" w:lineRule="exact"/>
        <w:jc w:val="both"/>
        <w:sectPr>
          <w:headerReference r:id="rId3" w:type="default"/>
          <w:footerReference r:id="rId4" w:type="default"/>
          <w:pgSz w:w="11906" w:h="16838"/>
          <w:pgMar w:top="1440" w:right="1797" w:bottom="1440" w:left="1797" w:header="851" w:footer="992" w:gutter="0"/>
          <w:pgBorders>
            <w:top w:val="none" w:sz="0" w:space="0"/>
            <w:left w:val="none" w:sz="0" w:space="0"/>
            <w:bottom w:val="none" w:sz="0" w:space="0"/>
            <w:right w:val="none" w:sz="0" w:space="0"/>
          </w:pgBorders>
          <w:cols w:space="720" w:num="1"/>
          <w:docGrid w:linePitch="312" w:charSpace="0"/>
        </w:sectPr>
      </w:pPr>
      <w:bookmarkStart w:id="36" w:name="_第三章__投标人须知"/>
      <w:bookmarkEnd w:id="36"/>
    </w:p>
    <w:p>
      <w:pPr>
        <w:pStyle w:val="5"/>
        <w:numPr>
          <w:ilvl w:val="0"/>
          <w:numId w:val="2"/>
        </w:numPr>
        <w:tabs>
          <w:tab w:val="center" w:pos="4649"/>
        </w:tabs>
        <w:spacing w:before="0" w:after="0" w:line="460" w:lineRule="exact"/>
        <w:jc w:val="center"/>
        <w:rPr>
          <w:color w:val="auto"/>
          <w:highlight w:val="none"/>
        </w:rPr>
      </w:pPr>
      <w:r>
        <w:rPr>
          <w:rFonts w:hint="eastAsia"/>
          <w:color w:val="auto"/>
          <w:highlight w:val="none"/>
        </w:rPr>
        <w:t xml:space="preserve"> 采购</w:t>
      </w:r>
      <w:r>
        <w:rPr>
          <w:color w:val="auto"/>
          <w:highlight w:val="none"/>
        </w:rPr>
        <w:t>需求</w:t>
      </w:r>
    </w:p>
    <w:p>
      <w:pPr>
        <w:pStyle w:val="6"/>
        <w:rPr>
          <w:color w:val="auto"/>
          <w:highlight w:val="none"/>
        </w:rPr>
      </w:pPr>
    </w:p>
    <w:p>
      <w:pPr>
        <w:numPr>
          <w:ilvl w:val="0"/>
          <w:numId w:val="3"/>
        </w:numPr>
        <w:spacing w:line="360" w:lineRule="auto"/>
        <w:rPr>
          <w:rFonts w:hint="eastAsia" w:ascii="宋体" w:hAnsi="宋体" w:eastAsia="宋体" w:cs="宋体"/>
          <w:color w:val="auto"/>
          <w:sz w:val="24"/>
          <w:szCs w:val="24"/>
          <w:highlight w:val="none"/>
          <w:lang w:eastAsia="zh-CN"/>
        </w:rPr>
      </w:pPr>
      <w:r>
        <w:rPr>
          <w:rFonts w:hint="eastAsia" w:ascii="宋体" w:hAnsi="宋体" w:cs="宋体"/>
          <w:b/>
          <w:bCs/>
          <w:color w:val="auto"/>
          <w:sz w:val="24"/>
          <w:highlight w:val="none"/>
          <w:lang w:eastAsia="zh-CN"/>
        </w:rPr>
        <w:t>采购清单</w:t>
      </w:r>
    </w:p>
    <w:tbl>
      <w:tblPr>
        <w:tblStyle w:val="28"/>
        <w:tblpPr w:leftFromText="180" w:rightFromText="180" w:vertAnchor="text" w:horzAnchor="page" w:tblpX="1806" w:tblpY="449"/>
        <w:tblOverlap w:val="never"/>
        <w:tblW w:w="8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275"/>
        <w:gridCol w:w="5"/>
        <w:gridCol w:w="5020"/>
        <w:gridCol w:w="750"/>
        <w:gridCol w:w="7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739" w:type="dxa"/>
            <w:noWrap/>
            <w:vAlign w:val="center"/>
          </w:tcPr>
          <w:p>
            <w:pPr>
              <w:rPr>
                <w:rFonts w:cs="宋体"/>
                <w:kern w:val="0"/>
                <w:sz w:val="24"/>
                <w:szCs w:val="20"/>
              </w:rPr>
            </w:pPr>
            <w:r>
              <w:rPr>
                <w:rFonts w:hint="eastAsia" w:cs="宋体"/>
                <w:kern w:val="0"/>
                <w:sz w:val="24"/>
                <w:szCs w:val="20"/>
              </w:rPr>
              <w:t>序号</w:t>
            </w:r>
          </w:p>
        </w:tc>
        <w:tc>
          <w:tcPr>
            <w:tcW w:w="1275" w:type="dxa"/>
            <w:noWrap/>
            <w:vAlign w:val="center"/>
          </w:tcPr>
          <w:p>
            <w:pPr>
              <w:rPr>
                <w:rFonts w:cs="宋体"/>
                <w:kern w:val="0"/>
                <w:sz w:val="24"/>
                <w:szCs w:val="20"/>
              </w:rPr>
            </w:pPr>
            <w:r>
              <w:rPr>
                <w:rFonts w:hint="eastAsia" w:cs="宋体"/>
                <w:kern w:val="0"/>
                <w:sz w:val="24"/>
                <w:szCs w:val="20"/>
              </w:rPr>
              <w:t>产品名称</w:t>
            </w:r>
          </w:p>
        </w:tc>
        <w:tc>
          <w:tcPr>
            <w:tcW w:w="5025" w:type="dxa"/>
            <w:gridSpan w:val="2"/>
            <w:noWrap/>
            <w:vAlign w:val="center"/>
          </w:tcPr>
          <w:p>
            <w:pPr>
              <w:jc w:val="center"/>
              <w:rPr>
                <w:rFonts w:hint="eastAsia" w:eastAsia="宋体" w:cs="宋体"/>
                <w:kern w:val="0"/>
                <w:sz w:val="24"/>
                <w:szCs w:val="20"/>
                <w:lang w:eastAsia="zh-CN"/>
              </w:rPr>
            </w:pPr>
            <w:r>
              <w:rPr>
                <w:rFonts w:hint="eastAsia" w:cs="宋体"/>
                <w:kern w:val="0"/>
                <w:sz w:val="24"/>
                <w:szCs w:val="20"/>
                <w:lang w:eastAsia="zh-CN"/>
              </w:rPr>
              <w:t>技术参数</w:t>
            </w:r>
          </w:p>
        </w:tc>
        <w:tc>
          <w:tcPr>
            <w:tcW w:w="750" w:type="dxa"/>
            <w:noWrap/>
            <w:vAlign w:val="center"/>
          </w:tcPr>
          <w:p>
            <w:pPr>
              <w:rPr>
                <w:rFonts w:cs="宋体"/>
                <w:kern w:val="0"/>
                <w:sz w:val="24"/>
                <w:szCs w:val="20"/>
              </w:rPr>
            </w:pPr>
            <w:r>
              <w:rPr>
                <w:rFonts w:hint="eastAsia" w:cs="宋体"/>
                <w:kern w:val="0"/>
                <w:sz w:val="24"/>
                <w:szCs w:val="20"/>
              </w:rPr>
              <w:t>数量</w:t>
            </w:r>
          </w:p>
        </w:tc>
        <w:tc>
          <w:tcPr>
            <w:tcW w:w="711" w:type="dxa"/>
            <w:noWrap/>
            <w:vAlign w:val="center"/>
          </w:tcPr>
          <w:p>
            <w:pPr>
              <w:rPr>
                <w:rFonts w:cs="宋体"/>
                <w:kern w:val="0"/>
                <w:sz w:val="24"/>
                <w:szCs w:val="20"/>
              </w:rPr>
            </w:pPr>
            <w:r>
              <w:rPr>
                <w:rFonts w:hint="eastAsia" w:cs="宋体"/>
                <w:kern w:val="0"/>
                <w:sz w:val="24"/>
                <w:szCs w:val="20"/>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8500" w:type="dxa"/>
            <w:gridSpan w:val="6"/>
            <w:noWrap/>
            <w:vAlign w:val="center"/>
          </w:tcPr>
          <w:p>
            <w:pPr>
              <w:jc w:val="center"/>
              <w:rPr>
                <w:rFonts w:hint="eastAsia" w:cs="宋体"/>
                <w:kern w:val="0"/>
                <w:sz w:val="24"/>
                <w:szCs w:val="20"/>
              </w:rPr>
            </w:pPr>
            <w:r>
              <w:rPr>
                <w:rFonts w:hint="eastAsia" w:cs="宋体"/>
                <w:kern w:val="0"/>
                <w:sz w:val="24"/>
                <w:szCs w:val="20"/>
              </w:rPr>
              <w:t>小学1-3年级教室24个班级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739" w:type="dxa"/>
            <w:vAlign w:val="center"/>
          </w:tcPr>
          <w:p>
            <w:pPr>
              <w:rPr>
                <w:rFonts w:cs="宋体"/>
                <w:kern w:val="0"/>
                <w:sz w:val="24"/>
                <w:szCs w:val="20"/>
              </w:rPr>
            </w:pPr>
            <w:r>
              <w:rPr>
                <w:rFonts w:hint="eastAsia" w:cs="宋体"/>
                <w:kern w:val="0"/>
                <w:sz w:val="24"/>
                <w:szCs w:val="20"/>
              </w:rPr>
              <w:t>1</w:t>
            </w:r>
          </w:p>
        </w:tc>
        <w:tc>
          <w:tcPr>
            <w:tcW w:w="1275" w:type="dxa"/>
            <w:vAlign w:val="center"/>
          </w:tcPr>
          <w:p>
            <w:pPr>
              <w:rPr>
                <w:rFonts w:hint="default" w:eastAsia="宋体" w:cs="宋体"/>
                <w:kern w:val="0"/>
                <w:sz w:val="24"/>
                <w:szCs w:val="20"/>
                <w:lang w:val="en-US" w:eastAsia="zh-CN"/>
              </w:rPr>
            </w:pPr>
            <w:r>
              <w:rPr>
                <w:rFonts w:hint="eastAsia" w:cs="宋体"/>
                <w:kern w:val="0"/>
                <w:sz w:val="24"/>
                <w:szCs w:val="20"/>
              </w:rPr>
              <w:t>午休桌</w:t>
            </w:r>
            <w:r>
              <w:rPr>
                <w:rFonts w:hint="eastAsia" w:cs="宋体"/>
                <w:kern w:val="0"/>
                <w:sz w:val="24"/>
                <w:szCs w:val="20"/>
                <w:lang w:val="en-US" w:eastAsia="zh-CN"/>
              </w:rPr>
              <w:t>(提供样品)</w:t>
            </w:r>
          </w:p>
        </w:tc>
        <w:tc>
          <w:tcPr>
            <w:tcW w:w="5025" w:type="dxa"/>
            <w:gridSpan w:val="2"/>
            <w:vAlign w:val="center"/>
          </w:tcPr>
          <w:p>
            <w:pPr>
              <w:rPr>
                <w:rFonts w:hint="eastAsia"/>
                <w:sz w:val="21"/>
                <w:szCs w:val="21"/>
              </w:rPr>
            </w:pPr>
            <w:r>
              <w:rPr>
                <w:rFonts w:hint="eastAsia"/>
                <w:sz w:val="21"/>
                <w:szCs w:val="21"/>
              </w:rPr>
              <w:t>1.尺寸规格长60cm、宽45cm、高61-79cm高度可手摇调节，桌面可翻转倾斜角度40°±2°满足午休空间，午休课桌符合QB/T4071-2021《课桌椅》行业标准。</w:t>
            </w:r>
          </w:p>
          <w:p>
            <w:pPr>
              <w:rPr>
                <w:rFonts w:hint="eastAsia"/>
                <w:sz w:val="21"/>
                <w:szCs w:val="21"/>
              </w:rPr>
            </w:pPr>
            <w:r>
              <w:rPr>
                <w:rFonts w:hint="eastAsia"/>
                <w:sz w:val="21"/>
                <w:szCs w:val="21"/>
              </w:rPr>
              <w:t>2.午休课桌力学性能，桌面垂直静载荷加载1000N/10次、桌面垂直耐久性600N/1万次、桌面垂直冲击高度180mm/2次、桌腿跌落高度300mm/10次、桌面水平静载荷400N/10次，均符合QB/T4071-2021《课桌椅》行业标准。</w:t>
            </w:r>
          </w:p>
          <w:p>
            <w:pPr>
              <w:rPr>
                <w:rFonts w:hint="eastAsia"/>
                <w:b/>
                <w:bCs/>
                <w:sz w:val="21"/>
                <w:szCs w:val="21"/>
              </w:rPr>
            </w:pPr>
            <w:r>
              <w:rPr>
                <w:rFonts w:hint="eastAsia"/>
                <w:b/>
                <w:bCs/>
                <w:sz w:val="21"/>
                <w:szCs w:val="21"/>
              </w:rPr>
              <w:t>桌面</w:t>
            </w:r>
          </w:p>
          <w:p>
            <w:pPr>
              <w:rPr>
                <w:rFonts w:hint="eastAsia"/>
                <w:sz w:val="21"/>
                <w:szCs w:val="21"/>
              </w:rPr>
            </w:pPr>
            <w:r>
              <w:rPr>
                <w:rFonts w:hint="eastAsia"/>
                <w:sz w:val="21"/>
                <w:szCs w:val="21"/>
              </w:rPr>
              <w:t>1.桌面规格：长600mm、宽450mm、厚度18mm。</w:t>
            </w:r>
          </w:p>
          <w:p>
            <w:pPr>
              <w:rPr>
                <w:rFonts w:hint="eastAsia"/>
                <w:sz w:val="21"/>
                <w:szCs w:val="21"/>
              </w:rPr>
            </w:pPr>
            <w:r>
              <w:rPr>
                <w:rFonts w:hint="eastAsia"/>
                <w:sz w:val="21"/>
                <w:szCs w:val="21"/>
              </w:rPr>
              <w:t>2.桌面材质：采用浸渍胶膜纸饰面刨花板，含水率3%-13%，2小时吸水膨胀率≤8%，密度0.6g/m³-0.9g/m³,表面胶合强度≥0.6Mpa，内结合强度≥0.35Mpa，板面握螺钉力≥900N，板边握螺钉力≥600N，表面耐冷热循坏、表面耐磨、表面耐干热、表面耐污染腐蚀、表面耐龟裂、表面耐水蒸气、耐光色牢度，均符合GB/T15102-2017《浸溃胶膜纸饰面纤维板和刨花板》国家标准；桌面板甲醛释放量≤0.025mg/m³，符合GB/T39600-2021《人造板及其制品甲醛释放量分级》标准要求。</w:t>
            </w:r>
          </w:p>
          <w:p>
            <w:pPr>
              <w:rPr>
                <w:rFonts w:hint="eastAsia"/>
                <w:sz w:val="21"/>
                <w:szCs w:val="21"/>
              </w:rPr>
            </w:pPr>
            <w:r>
              <w:rPr>
                <w:rFonts w:hint="eastAsia"/>
                <w:sz w:val="21"/>
                <w:szCs w:val="21"/>
              </w:rPr>
              <w:t>3.桌面结构：采用注塑包边工艺包边一体成型包边剥离强度≥1500N/m，桌面带笔槽设计，鸭嘴边设计。</w:t>
            </w:r>
          </w:p>
          <w:p>
            <w:pPr>
              <w:rPr>
                <w:rFonts w:hint="eastAsia"/>
                <w:sz w:val="21"/>
                <w:szCs w:val="21"/>
              </w:rPr>
            </w:pPr>
            <w:r>
              <w:rPr>
                <w:rFonts w:hint="eastAsia"/>
                <w:sz w:val="21"/>
                <w:szCs w:val="21"/>
              </w:rPr>
              <w:t>4.桌面功能：采用漫反射饰面具有护眼功能，刨花板具有抗菌功能，抗菌率≥90%，符合JC/T2039-2010《抗菌防霉木质装饰板》标准要求。</w:t>
            </w:r>
          </w:p>
          <w:p>
            <w:pPr>
              <w:rPr>
                <w:rFonts w:hint="eastAsia"/>
                <w:b/>
                <w:bCs/>
                <w:sz w:val="21"/>
                <w:szCs w:val="21"/>
              </w:rPr>
            </w:pPr>
            <w:r>
              <w:rPr>
                <w:rFonts w:hint="eastAsia"/>
                <w:b/>
                <w:bCs/>
                <w:sz w:val="21"/>
                <w:szCs w:val="21"/>
              </w:rPr>
              <w:t>抽屉</w:t>
            </w:r>
          </w:p>
          <w:p>
            <w:pPr>
              <w:rPr>
                <w:rFonts w:hint="eastAsia"/>
                <w:sz w:val="21"/>
                <w:szCs w:val="21"/>
              </w:rPr>
            </w:pPr>
            <w:r>
              <w:rPr>
                <w:rFonts w:hint="eastAsia"/>
                <w:sz w:val="21"/>
                <w:szCs w:val="21"/>
              </w:rPr>
              <w:t>1.抽屉规格：有效内空高100mm。</w:t>
            </w:r>
          </w:p>
          <w:p>
            <w:pPr>
              <w:rPr>
                <w:rFonts w:hint="eastAsia"/>
                <w:sz w:val="21"/>
                <w:szCs w:val="21"/>
              </w:rPr>
            </w:pPr>
            <w:r>
              <w:rPr>
                <w:rFonts w:hint="eastAsia"/>
                <w:sz w:val="21"/>
                <w:szCs w:val="21"/>
              </w:rPr>
              <w:t>2.抽屉材质：选用优质聚丙烯PP塑料，重金属可溶性铅≤90、可溶性镉≤75、可溶性铬≤60、可溶性汞≤60，均未检出；邻苯二甲酸酯、多溴联苯≤1000、多溴二苯醚≤1000，检测均符合GB28481-2012《塑料家具中有害物质限量》标准要求；</w:t>
            </w:r>
          </w:p>
          <w:p>
            <w:pPr>
              <w:rPr>
                <w:rFonts w:hint="eastAsia"/>
                <w:sz w:val="21"/>
                <w:szCs w:val="21"/>
              </w:rPr>
            </w:pPr>
            <w:r>
              <w:rPr>
                <w:rFonts w:hint="eastAsia"/>
                <w:sz w:val="21"/>
                <w:szCs w:val="21"/>
              </w:rPr>
              <w:t>采用的聚丙烯PP原料感官要求、总迁移量≤10、高锰酸钾消耗量≤10、重金属≤1、芳香族伯胺迁移总量不得检出。符合GB4806.7-2023《食品安全国家标准 食品接触用塑料材料及制品》标准要求。</w:t>
            </w:r>
          </w:p>
          <w:p>
            <w:pPr>
              <w:rPr>
                <w:rFonts w:hint="eastAsia"/>
                <w:sz w:val="21"/>
                <w:szCs w:val="21"/>
              </w:rPr>
            </w:pPr>
            <w:r>
              <w:rPr>
                <w:rFonts w:hint="eastAsia"/>
                <w:sz w:val="21"/>
                <w:szCs w:val="21"/>
              </w:rPr>
              <w:t>3.抽屉结构：采用高精密注塑一体成型抽屉结实耐用。</w:t>
            </w:r>
          </w:p>
          <w:p>
            <w:pPr>
              <w:rPr>
                <w:rFonts w:hint="eastAsia"/>
                <w:b/>
                <w:bCs/>
                <w:sz w:val="21"/>
                <w:szCs w:val="21"/>
              </w:rPr>
            </w:pPr>
            <w:r>
              <w:rPr>
                <w:rFonts w:hint="eastAsia"/>
                <w:b/>
                <w:bCs/>
                <w:sz w:val="21"/>
                <w:szCs w:val="21"/>
              </w:rPr>
              <w:t>桌架</w:t>
            </w:r>
          </w:p>
          <w:p>
            <w:pPr>
              <w:rPr>
                <w:rFonts w:hint="eastAsia"/>
                <w:sz w:val="21"/>
                <w:szCs w:val="21"/>
              </w:rPr>
            </w:pPr>
            <w:r>
              <w:rPr>
                <w:rFonts w:hint="eastAsia"/>
                <w:sz w:val="21"/>
                <w:szCs w:val="21"/>
              </w:rPr>
              <w:t>1.桌架规格：桌腿采用60*30mm扁圆钢管，壁厚1.4mm；桌脚采用50*30mm扁圆钢管，壁厚1.2mm；升降杆采用50*25mm扁圆钢管，壁厚1.2mm。</w:t>
            </w:r>
          </w:p>
          <w:p>
            <w:pPr>
              <w:rPr>
                <w:rFonts w:hint="eastAsia"/>
                <w:sz w:val="21"/>
                <w:szCs w:val="21"/>
              </w:rPr>
            </w:pPr>
            <w:r>
              <w:rPr>
                <w:rFonts w:hint="eastAsia"/>
                <w:sz w:val="21"/>
                <w:szCs w:val="21"/>
              </w:rPr>
              <w:t>2.桌架材质：桌架采用牌号Q195直缝高频电阻焊焊接钢管；表面喷涂采用静电喷塑工艺高温固化，可抗盐雾24小时以上，附着力≥3级。喷涂的塑粉重金属可溶性铅≤90、可溶性镉≤75、可溶性铬≤60、可溶性汞≤60，均未检出；有毒有害物质多环芳烃≤10、苯并［a］芘≤1.0、多溴联苯≤1000、多溴二苯醚≤1000、领苯二甲酸酯≤0.1，检测均符合GB28481-2012《塑料家具中有害物质限量》标准要求。</w:t>
            </w:r>
          </w:p>
          <w:p>
            <w:pPr>
              <w:rPr>
                <w:rFonts w:hint="eastAsia"/>
                <w:sz w:val="21"/>
                <w:szCs w:val="21"/>
              </w:rPr>
            </w:pPr>
            <w:r>
              <w:rPr>
                <w:rFonts w:hint="eastAsia"/>
                <w:sz w:val="21"/>
                <w:szCs w:val="21"/>
              </w:rPr>
              <w:t>3.桌架结构：桌架采用二氧化碳保护焊接技术结构稳固，连接桌腿的横梁采用自动双弯机U字型设计。</w:t>
            </w:r>
          </w:p>
          <w:p>
            <w:pPr>
              <w:rPr>
                <w:rFonts w:hint="eastAsia"/>
                <w:sz w:val="21"/>
                <w:szCs w:val="21"/>
              </w:rPr>
            </w:pPr>
            <w:r>
              <w:rPr>
                <w:rFonts w:hint="eastAsia"/>
                <w:sz w:val="21"/>
                <w:szCs w:val="21"/>
              </w:rPr>
              <w:t>4.桌架功能：喷塑铁件具有抗菌功能，抗菌率&gt;99%，符合HG/T3950-2007《抗菌涂料》标准要求。</w:t>
            </w:r>
          </w:p>
          <w:p>
            <w:pPr>
              <w:rPr>
                <w:rFonts w:hint="eastAsia"/>
                <w:b/>
                <w:bCs/>
                <w:sz w:val="21"/>
                <w:szCs w:val="21"/>
              </w:rPr>
            </w:pPr>
            <w:r>
              <w:rPr>
                <w:rFonts w:hint="eastAsia"/>
                <w:b/>
                <w:bCs/>
                <w:sz w:val="21"/>
                <w:szCs w:val="21"/>
              </w:rPr>
              <w:t>手摇升降器</w:t>
            </w:r>
          </w:p>
          <w:p>
            <w:pPr>
              <w:rPr>
                <w:rFonts w:hint="eastAsia"/>
                <w:sz w:val="21"/>
                <w:szCs w:val="21"/>
              </w:rPr>
            </w:pPr>
            <w:r>
              <w:rPr>
                <w:rFonts w:hint="eastAsia"/>
                <w:sz w:val="21"/>
                <w:szCs w:val="21"/>
              </w:rPr>
              <w:t>1.手摇升降器规格：升降器行程可实现180mm高度的无极升降功能。</w:t>
            </w:r>
          </w:p>
          <w:p>
            <w:pPr>
              <w:rPr>
                <w:rFonts w:hint="eastAsia"/>
                <w:sz w:val="21"/>
                <w:szCs w:val="21"/>
              </w:rPr>
            </w:pPr>
            <w:r>
              <w:rPr>
                <w:rFonts w:hint="eastAsia"/>
                <w:sz w:val="21"/>
                <w:szCs w:val="21"/>
              </w:rPr>
              <w:t>2.手摇升降器材质：升降螺杆采用碳钢T型螺纹传动，齿轮采用粉末冶金压铸而成，齿轮箱采用锌合金压铸。</w:t>
            </w:r>
          </w:p>
          <w:p>
            <w:pPr>
              <w:rPr>
                <w:rFonts w:hint="eastAsia"/>
                <w:sz w:val="21"/>
                <w:szCs w:val="21"/>
              </w:rPr>
            </w:pPr>
            <w:r>
              <w:rPr>
                <w:rFonts w:hint="eastAsia"/>
                <w:sz w:val="21"/>
                <w:szCs w:val="21"/>
              </w:rPr>
              <w:t>3.手摇升降器结构：午休课桌采用两支手摇升降器，用六角转轴连接同步传动，尺寸精密升降螺杆与齿轮咬合精密，传动无虚位。</w:t>
            </w:r>
          </w:p>
          <w:p>
            <w:pPr>
              <w:rPr>
                <w:rFonts w:hint="eastAsia"/>
                <w:b/>
                <w:bCs/>
                <w:sz w:val="21"/>
                <w:szCs w:val="21"/>
              </w:rPr>
            </w:pPr>
            <w:r>
              <w:rPr>
                <w:rFonts w:hint="eastAsia"/>
                <w:b/>
                <w:bCs/>
                <w:sz w:val="21"/>
                <w:szCs w:val="21"/>
              </w:rPr>
              <w:t>脚套</w:t>
            </w:r>
          </w:p>
          <w:p>
            <w:pPr>
              <w:rPr>
                <w:rFonts w:hint="eastAsia"/>
                <w:sz w:val="21"/>
                <w:szCs w:val="21"/>
              </w:rPr>
            </w:pPr>
            <w:r>
              <w:rPr>
                <w:rFonts w:hint="eastAsia"/>
                <w:sz w:val="21"/>
                <w:szCs w:val="21"/>
              </w:rPr>
              <w:t>1.脚套规格：尺寸为68*55*47mm</w:t>
            </w:r>
          </w:p>
          <w:p>
            <w:pPr>
              <w:rPr>
                <w:rFonts w:hint="eastAsia"/>
                <w:sz w:val="21"/>
                <w:szCs w:val="21"/>
              </w:rPr>
            </w:pPr>
            <w:r>
              <w:rPr>
                <w:rFonts w:hint="eastAsia"/>
                <w:sz w:val="21"/>
                <w:szCs w:val="21"/>
              </w:rPr>
              <w:t>2.脚套材质：采用PP工程塑料注塑，具有坚固耐磨防滑的特点。</w:t>
            </w:r>
          </w:p>
          <w:p>
            <w:pPr>
              <w:rPr>
                <w:rFonts w:hint="eastAsia"/>
                <w:sz w:val="21"/>
                <w:szCs w:val="21"/>
              </w:rPr>
            </w:pPr>
            <w:r>
              <w:rPr>
                <w:rFonts w:hint="eastAsia"/>
                <w:sz w:val="21"/>
                <w:szCs w:val="21"/>
              </w:rPr>
              <w:t>3.脚套结构：脚套配有内嵌式调节轮，可应对不同平整度的地面进行微调使桌子着地平稳。</w:t>
            </w:r>
          </w:p>
          <w:p>
            <w:pPr>
              <w:rPr>
                <w:rFonts w:hint="eastAsia"/>
                <w:b/>
                <w:bCs/>
                <w:sz w:val="21"/>
                <w:szCs w:val="21"/>
              </w:rPr>
            </w:pPr>
            <w:r>
              <w:rPr>
                <w:rFonts w:hint="eastAsia"/>
                <w:b/>
                <w:bCs/>
                <w:sz w:val="21"/>
                <w:szCs w:val="21"/>
              </w:rPr>
              <w:t>安全要求</w:t>
            </w:r>
          </w:p>
          <w:p>
            <w:pPr>
              <w:rPr>
                <w:rFonts w:hint="eastAsia"/>
                <w:sz w:val="21"/>
                <w:szCs w:val="21"/>
              </w:rPr>
            </w:pPr>
            <w:r>
              <w:rPr>
                <w:rFonts w:hint="eastAsia"/>
                <w:sz w:val="21"/>
                <w:szCs w:val="21"/>
              </w:rPr>
              <w:t>1.相对运动的机械装置部件与人体接触部位的间隙应≤5mm或≥25mm。</w:t>
            </w:r>
          </w:p>
          <w:p>
            <w:pPr>
              <w:rPr>
                <w:rFonts w:hint="eastAsia"/>
                <w:sz w:val="21"/>
                <w:szCs w:val="21"/>
              </w:rPr>
            </w:pPr>
            <w:r>
              <w:rPr>
                <w:rFonts w:hint="eastAsia"/>
                <w:sz w:val="21"/>
                <w:szCs w:val="21"/>
              </w:rPr>
              <w:t>2.与人体接触的座面、椅背和扶手等边缘倒圆角的半径至少应为2mm。</w:t>
            </w:r>
          </w:p>
          <w:p>
            <w:pPr>
              <w:rPr>
                <w:rFonts w:hint="eastAsia"/>
                <w:sz w:val="21"/>
                <w:szCs w:val="21"/>
              </w:rPr>
            </w:pPr>
            <w:r>
              <w:rPr>
                <w:rFonts w:hint="eastAsia"/>
                <w:sz w:val="21"/>
                <w:szCs w:val="21"/>
              </w:rPr>
              <w:t>3.所有无覆盖的孔洞直径及间隙应≤5mm或≥25mm。</w:t>
            </w:r>
          </w:p>
        </w:tc>
        <w:tc>
          <w:tcPr>
            <w:tcW w:w="750" w:type="dxa"/>
            <w:noWrap/>
            <w:vAlign w:val="center"/>
          </w:tcPr>
          <w:p>
            <w:pPr>
              <w:rPr>
                <w:rFonts w:cs="宋体"/>
                <w:kern w:val="0"/>
                <w:sz w:val="24"/>
                <w:szCs w:val="20"/>
              </w:rPr>
            </w:pPr>
            <w:r>
              <w:rPr>
                <w:rFonts w:hint="eastAsia" w:cs="宋体"/>
                <w:kern w:val="0"/>
                <w:sz w:val="24"/>
                <w:szCs w:val="20"/>
              </w:rPr>
              <w:t>1080</w:t>
            </w:r>
          </w:p>
        </w:tc>
        <w:tc>
          <w:tcPr>
            <w:tcW w:w="711" w:type="dxa"/>
            <w:noWrap/>
            <w:vAlign w:val="center"/>
          </w:tcPr>
          <w:p>
            <w:pPr>
              <w:rPr>
                <w:rFonts w:cs="宋体"/>
                <w:kern w:val="0"/>
                <w:sz w:val="24"/>
                <w:szCs w:val="20"/>
              </w:rPr>
            </w:pPr>
            <w:r>
              <w:rPr>
                <w:rFonts w:hint="eastAsia" w:cs="宋体"/>
                <w:kern w:val="0"/>
                <w:sz w:val="24"/>
                <w:szCs w:val="20"/>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739" w:type="dxa"/>
            <w:vAlign w:val="center"/>
          </w:tcPr>
          <w:p>
            <w:pPr>
              <w:rPr>
                <w:rFonts w:cs="宋体"/>
                <w:kern w:val="0"/>
                <w:sz w:val="24"/>
                <w:szCs w:val="20"/>
              </w:rPr>
            </w:pPr>
            <w:r>
              <w:rPr>
                <w:rFonts w:hint="eastAsia" w:cs="宋体"/>
                <w:kern w:val="0"/>
                <w:sz w:val="24"/>
                <w:szCs w:val="20"/>
              </w:rPr>
              <w:t>2</w:t>
            </w:r>
          </w:p>
        </w:tc>
        <w:tc>
          <w:tcPr>
            <w:tcW w:w="1275" w:type="dxa"/>
            <w:vAlign w:val="center"/>
          </w:tcPr>
          <w:p>
            <w:pPr>
              <w:rPr>
                <w:rFonts w:cs="宋体"/>
                <w:kern w:val="0"/>
                <w:sz w:val="24"/>
                <w:szCs w:val="20"/>
              </w:rPr>
            </w:pPr>
            <w:r>
              <w:rPr>
                <w:rFonts w:hint="eastAsia" w:cs="宋体"/>
                <w:kern w:val="0"/>
                <w:sz w:val="24"/>
                <w:szCs w:val="20"/>
              </w:rPr>
              <w:t>午休椅</w:t>
            </w:r>
            <w:r>
              <w:rPr>
                <w:rFonts w:hint="eastAsia" w:cs="宋体"/>
                <w:kern w:val="0"/>
                <w:sz w:val="24"/>
                <w:szCs w:val="20"/>
                <w:lang w:val="en-US" w:eastAsia="zh-CN"/>
              </w:rPr>
              <w:t>(提供样品)</w:t>
            </w:r>
          </w:p>
        </w:tc>
        <w:tc>
          <w:tcPr>
            <w:tcW w:w="5025" w:type="dxa"/>
            <w:gridSpan w:val="2"/>
            <w:vAlign w:val="center"/>
          </w:tcPr>
          <w:p>
            <w:pPr>
              <w:rPr>
                <w:rFonts w:hint="eastAsia" w:cs="宋体"/>
                <w:kern w:val="0"/>
                <w:sz w:val="21"/>
                <w:szCs w:val="21"/>
              </w:rPr>
            </w:pPr>
            <w:r>
              <w:rPr>
                <w:rFonts w:hint="eastAsia" w:cs="宋体"/>
                <w:kern w:val="0"/>
                <w:sz w:val="21"/>
                <w:szCs w:val="21"/>
              </w:rPr>
              <w:t>1.尺寸规格座高340mm-440mm（±5mm）、座宽440mm（±5mm）、座深385mm（±5mm），靠背宽445mm（±5mm）、靠背高498mm（±5mm），午休模式展开全长1150mm。靠背可后躺靠90-165°躺姿任意角度调节且可悬停。</w:t>
            </w:r>
          </w:p>
          <w:p>
            <w:pPr>
              <w:rPr>
                <w:rFonts w:hint="eastAsia" w:cs="宋体"/>
                <w:kern w:val="0"/>
                <w:sz w:val="21"/>
                <w:szCs w:val="21"/>
              </w:rPr>
            </w:pPr>
            <w:r>
              <w:rPr>
                <w:rFonts w:hint="eastAsia" w:cs="宋体"/>
                <w:kern w:val="0"/>
                <w:sz w:val="21"/>
                <w:szCs w:val="21"/>
              </w:rPr>
              <w:t>2.午休椅力学性能座面、椅背联合静载荷（椅面加载1600N、靠背加载760N）10次、座面、椅背联合耐久性（椅面加载1250N、靠背加载300N）5万次，均符合QB/T4071-2021《课桌椅》行业标准。</w:t>
            </w:r>
          </w:p>
          <w:p>
            <w:pPr>
              <w:rPr>
                <w:rFonts w:hint="eastAsia" w:cs="宋体"/>
                <w:b/>
                <w:bCs/>
                <w:kern w:val="0"/>
                <w:sz w:val="21"/>
                <w:szCs w:val="21"/>
              </w:rPr>
            </w:pPr>
            <w:r>
              <w:rPr>
                <w:rFonts w:hint="eastAsia" w:cs="宋体"/>
                <w:b/>
                <w:bCs/>
                <w:kern w:val="0"/>
                <w:sz w:val="21"/>
                <w:szCs w:val="21"/>
              </w:rPr>
              <w:t>座板、靠背</w:t>
            </w:r>
          </w:p>
          <w:p>
            <w:pPr>
              <w:rPr>
                <w:rFonts w:hint="eastAsia" w:cs="宋体"/>
                <w:kern w:val="0"/>
                <w:sz w:val="21"/>
                <w:szCs w:val="21"/>
              </w:rPr>
            </w:pPr>
            <w:r>
              <w:rPr>
                <w:rFonts w:hint="eastAsia" w:cs="宋体"/>
                <w:kern w:val="0"/>
                <w:sz w:val="21"/>
                <w:szCs w:val="21"/>
              </w:rPr>
              <w:t>1.学生午休椅座板靠背规格：座板靠背采用PP工程塑料注塑一次成型，座板长440mm（±5mm），座深385mm（±5mm），靠背宽445mm（±5mm）、靠背高498mm（±5mm）。</w:t>
            </w:r>
          </w:p>
          <w:p>
            <w:pPr>
              <w:rPr>
                <w:rFonts w:hint="eastAsia" w:cs="宋体"/>
                <w:kern w:val="0"/>
                <w:sz w:val="21"/>
                <w:szCs w:val="21"/>
              </w:rPr>
            </w:pPr>
            <w:r>
              <w:rPr>
                <w:rFonts w:hint="eastAsia" w:cs="宋体"/>
                <w:kern w:val="0"/>
                <w:sz w:val="21"/>
                <w:szCs w:val="21"/>
              </w:rPr>
              <w:t>2.学生午休椅座板靠背材质：选用优质聚丙烯PP塑料，重金属可溶性铅≤90、可溶性镉≤75、可溶性铬≤60、可溶性汞≤60，均未检出；邻苯二甲酸酯、多溴联苯≤1000、多溴二苯醚≤1000，检测均符合GB28481-2012《塑料家具中有害物质限量》标准要求；</w:t>
            </w:r>
          </w:p>
          <w:p>
            <w:pPr>
              <w:rPr>
                <w:rFonts w:hint="eastAsia" w:cs="宋体"/>
                <w:kern w:val="0"/>
                <w:sz w:val="21"/>
                <w:szCs w:val="21"/>
              </w:rPr>
            </w:pPr>
            <w:r>
              <w:rPr>
                <w:rFonts w:hint="eastAsia" w:cs="宋体"/>
                <w:kern w:val="0"/>
                <w:sz w:val="21"/>
                <w:szCs w:val="21"/>
              </w:rPr>
              <w:t>采用的聚丙烯PP原料感官要求、总迁移量≤10、高锰酸钾消耗量≤10、重金属≤1、芳香族伯胺迁移总量不得检出。符合GB4806.7-2023《食品安全国家标准食品接触用塑料材料及制品》标准要求。</w:t>
            </w:r>
          </w:p>
          <w:p>
            <w:pPr>
              <w:rPr>
                <w:rFonts w:hint="eastAsia" w:cs="宋体"/>
                <w:kern w:val="0"/>
                <w:sz w:val="21"/>
                <w:szCs w:val="21"/>
              </w:rPr>
            </w:pPr>
            <w:r>
              <w:rPr>
                <w:rFonts w:hint="eastAsia" w:cs="宋体"/>
                <w:kern w:val="0"/>
                <w:sz w:val="21"/>
                <w:szCs w:val="21"/>
              </w:rPr>
              <w:t>3.学生午休椅座板靠背结构：靠背座板设有直径&lt;5mm的镂空透气圆孔，具有透气舒适性的同时也保证了孔洞安全要求。靠背上沿设有长95mm*宽35mm（±2mm）的椭圆形孔洞提手，便于提拿移动椅子；靠背设有滑道用于头枕调节上下高度来适用不同身高的学生。课桌椅塑料件耐老化性能500小时外观颜色变色评级≥3级符合GB/T32487-2016《塑料家具通用技术条件》标准要求；力学性能座面、椅背联合静载荷（椅面加载1600N、靠背加载760N）10次、座面、椅背联合耐久性（椅面加载1250N、靠背加载300N）5万次，均符合QB/T4071-2021《课桌椅》行业标准。</w:t>
            </w:r>
          </w:p>
          <w:p>
            <w:pPr>
              <w:rPr>
                <w:rFonts w:hint="eastAsia" w:cs="宋体"/>
                <w:kern w:val="0"/>
                <w:sz w:val="21"/>
                <w:szCs w:val="21"/>
              </w:rPr>
            </w:pPr>
            <w:r>
              <w:rPr>
                <w:rFonts w:hint="eastAsia" w:cs="宋体"/>
                <w:kern w:val="0"/>
                <w:sz w:val="21"/>
                <w:szCs w:val="21"/>
              </w:rPr>
              <w:t>4.学生午休椅座板靠背功能：靠背可实现一键向后躺靠90-165°且躺姿任意角度调节且可悬停，保障坐姿和躺姿轻松切换。</w:t>
            </w:r>
          </w:p>
          <w:p>
            <w:pPr>
              <w:rPr>
                <w:rFonts w:hint="eastAsia" w:cs="宋体"/>
                <w:b/>
                <w:bCs/>
                <w:kern w:val="0"/>
                <w:sz w:val="21"/>
                <w:szCs w:val="21"/>
              </w:rPr>
            </w:pPr>
            <w:r>
              <w:rPr>
                <w:rFonts w:hint="eastAsia" w:cs="宋体"/>
                <w:b/>
                <w:bCs/>
                <w:kern w:val="0"/>
                <w:sz w:val="21"/>
                <w:szCs w:val="21"/>
              </w:rPr>
              <w:t>脚踏</w:t>
            </w:r>
          </w:p>
          <w:p>
            <w:pPr>
              <w:rPr>
                <w:rFonts w:hint="eastAsia" w:cs="宋体"/>
                <w:kern w:val="0"/>
                <w:sz w:val="21"/>
                <w:szCs w:val="21"/>
              </w:rPr>
            </w:pPr>
            <w:r>
              <w:rPr>
                <w:rFonts w:hint="eastAsia" w:cs="宋体"/>
                <w:kern w:val="0"/>
                <w:sz w:val="21"/>
                <w:szCs w:val="21"/>
              </w:rPr>
              <w:t>1.脚踏规格：尺寸为390*210mm</w:t>
            </w:r>
          </w:p>
          <w:p>
            <w:pPr>
              <w:rPr>
                <w:rFonts w:hint="eastAsia" w:cs="宋体"/>
                <w:kern w:val="0"/>
                <w:sz w:val="21"/>
                <w:szCs w:val="21"/>
              </w:rPr>
            </w:pPr>
            <w:r>
              <w:rPr>
                <w:rFonts w:hint="eastAsia" w:cs="宋体"/>
                <w:kern w:val="0"/>
                <w:sz w:val="21"/>
                <w:szCs w:val="21"/>
              </w:rPr>
              <w:t>2.脚踏材质：选用优质聚丙烯PP工程塑料，重金属可溶性铅≤90、可溶性镉≤75、可溶性铬≤60、可溶性汞≤60，均未检出；邻苯二甲酸酯、多溴联苯≤1000、多溴二苯醚≤1000，检测均符合GB28481-2012《塑料家具中有害物质限量》标准要求。</w:t>
            </w:r>
          </w:p>
          <w:p>
            <w:pPr>
              <w:rPr>
                <w:rFonts w:hint="eastAsia" w:cs="宋体"/>
                <w:kern w:val="0"/>
                <w:sz w:val="21"/>
                <w:szCs w:val="21"/>
              </w:rPr>
            </w:pPr>
            <w:r>
              <w:rPr>
                <w:rFonts w:hint="eastAsia" w:cs="宋体"/>
                <w:kern w:val="0"/>
                <w:sz w:val="21"/>
                <w:szCs w:val="21"/>
              </w:rPr>
              <w:t>3.脚踏结构：脚踏背面有钢制铁架支撑增加其承重能力，脚踏与靠背联动功能，靠背下躺姿状态时，脚踏缓缓抬起。靠背调整为坐姿状态时，脚踏自动回位。</w:t>
            </w:r>
          </w:p>
          <w:p>
            <w:pPr>
              <w:rPr>
                <w:rFonts w:hint="eastAsia" w:cs="宋体"/>
                <w:b/>
                <w:bCs/>
                <w:kern w:val="0"/>
                <w:sz w:val="21"/>
                <w:szCs w:val="21"/>
              </w:rPr>
            </w:pPr>
            <w:r>
              <w:rPr>
                <w:rFonts w:hint="eastAsia" w:cs="宋体"/>
                <w:b/>
                <w:bCs/>
                <w:kern w:val="0"/>
                <w:sz w:val="21"/>
                <w:szCs w:val="21"/>
              </w:rPr>
              <w:t>椅架</w:t>
            </w:r>
          </w:p>
          <w:p>
            <w:pPr>
              <w:rPr>
                <w:rFonts w:hint="eastAsia" w:cs="宋体"/>
                <w:kern w:val="0"/>
                <w:sz w:val="21"/>
                <w:szCs w:val="21"/>
              </w:rPr>
            </w:pPr>
            <w:r>
              <w:rPr>
                <w:rFonts w:hint="eastAsia" w:cs="宋体"/>
                <w:kern w:val="0"/>
                <w:sz w:val="21"/>
                <w:szCs w:val="21"/>
              </w:rPr>
              <w:t>1.椅架规格：椅架分椅腿、升降支架和靠背支架三部分组成。①椅腿尺寸60mm×30mm×1.4mm（±0.1mm），横管尺寸40mm×20mm×1.2mm（±0.1mm），椅脚尺寸为50mm×30mm×1.2mm（±0.1mm）；②升降支架升降杆采用50mm×25mm×1.2mm（±0.1mm）的扁圆管，与升降杆相连接的横杆采用41.5mm×25.2mm×1.5mm（±0.1mm）的椭圆管。升降支架与座板相连接的框架采用尺寸为24mm×12mm×1.2mm（±0.1mm）的方管；③靠背支架采用两条尺寸为32mm×16mm×1.8mm（±0.1mm）的椭圆管与靠背相连接。</w:t>
            </w:r>
          </w:p>
          <w:p>
            <w:pPr>
              <w:rPr>
                <w:rFonts w:hint="eastAsia" w:cs="宋体"/>
                <w:kern w:val="0"/>
                <w:sz w:val="21"/>
                <w:szCs w:val="21"/>
              </w:rPr>
            </w:pPr>
            <w:r>
              <w:rPr>
                <w:rFonts w:hint="eastAsia" w:cs="宋体"/>
                <w:kern w:val="0"/>
                <w:sz w:val="21"/>
                <w:szCs w:val="21"/>
              </w:rPr>
              <w:t>2.椅架材质：椅架均采用牌号Q195直缝高频电阻焊焊接钢管；表面喷涂采用静电喷塑工艺高温固化，可抗盐雾24小时以上，附着力≥3级。喷涂的塑粉重金属可溶性铅≤90、可溶性镉≤75、可溶性铬≤60、可溶性汞≤60，均未检出；有毒有害物质多环芳烃≤10、苯并［a］芘≤1.0、多溴联苯≤1000、多溴二苯醚≤1000、领苯二甲酸酯≤0.1，检测均符合GB28481-2012《塑料家具中有害物质限量》标准要求。</w:t>
            </w:r>
          </w:p>
          <w:p>
            <w:pPr>
              <w:rPr>
                <w:rFonts w:hint="eastAsia" w:cs="宋体"/>
                <w:kern w:val="0"/>
                <w:sz w:val="21"/>
                <w:szCs w:val="21"/>
              </w:rPr>
            </w:pPr>
            <w:r>
              <w:rPr>
                <w:rFonts w:hint="eastAsia" w:cs="宋体"/>
                <w:kern w:val="0"/>
                <w:sz w:val="21"/>
                <w:szCs w:val="21"/>
              </w:rPr>
              <w:t>3.椅架结构：桌架采用二氧化碳保护焊接技术结构稳固午休椅力学性能座面、椅背联合静载荷（椅面加载1600N、靠背加载760N）10次、座面、椅背联合耐久性（椅面加载1250N、靠背加载300N）5万次，均符合QB/T4071-2021《课桌椅》行业标准。</w:t>
            </w:r>
          </w:p>
          <w:p>
            <w:pPr>
              <w:rPr>
                <w:rFonts w:hint="eastAsia" w:cs="宋体"/>
                <w:kern w:val="0"/>
                <w:sz w:val="21"/>
                <w:szCs w:val="21"/>
              </w:rPr>
            </w:pPr>
            <w:r>
              <w:rPr>
                <w:rFonts w:hint="eastAsia" w:cs="宋体"/>
                <w:kern w:val="0"/>
                <w:sz w:val="21"/>
                <w:szCs w:val="21"/>
              </w:rPr>
              <w:t>4.椅架功能： 喷塑铁件具有抗菌功能，抗菌率&gt;99%，符合HG/T3950-2007《抗菌涂料》标准要求。</w:t>
            </w:r>
          </w:p>
          <w:p>
            <w:pPr>
              <w:rPr>
                <w:rFonts w:hint="eastAsia" w:cs="宋体"/>
                <w:b/>
                <w:bCs/>
                <w:kern w:val="0"/>
                <w:sz w:val="21"/>
                <w:szCs w:val="21"/>
              </w:rPr>
            </w:pPr>
            <w:r>
              <w:rPr>
                <w:rFonts w:hint="eastAsia" w:cs="宋体"/>
                <w:b/>
                <w:bCs/>
                <w:kern w:val="0"/>
                <w:sz w:val="21"/>
                <w:szCs w:val="21"/>
              </w:rPr>
              <w:t>头枕</w:t>
            </w:r>
          </w:p>
          <w:p>
            <w:pPr>
              <w:rPr>
                <w:rFonts w:hint="eastAsia" w:cs="宋体"/>
                <w:kern w:val="0"/>
                <w:sz w:val="21"/>
                <w:szCs w:val="21"/>
              </w:rPr>
            </w:pPr>
            <w:r>
              <w:rPr>
                <w:rFonts w:hint="eastAsia" w:cs="宋体"/>
                <w:kern w:val="0"/>
                <w:sz w:val="21"/>
                <w:szCs w:val="21"/>
              </w:rPr>
              <w:t>1.头枕规格：270*140mm</w:t>
            </w:r>
          </w:p>
          <w:p>
            <w:pPr>
              <w:rPr>
                <w:rFonts w:hint="eastAsia" w:cs="宋体"/>
                <w:kern w:val="0"/>
                <w:sz w:val="21"/>
                <w:szCs w:val="21"/>
              </w:rPr>
            </w:pPr>
            <w:r>
              <w:rPr>
                <w:rFonts w:hint="eastAsia" w:cs="宋体"/>
                <w:kern w:val="0"/>
                <w:sz w:val="21"/>
                <w:szCs w:val="21"/>
              </w:rPr>
              <w:t>2.头枕材质：头枕表面采用亲肤纺织面料软包，内胆采用高回弹记忆棉材质填充。</w:t>
            </w:r>
          </w:p>
          <w:p>
            <w:pPr>
              <w:rPr>
                <w:rFonts w:hint="eastAsia" w:cs="宋体"/>
                <w:kern w:val="0"/>
                <w:sz w:val="21"/>
                <w:szCs w:val="21"/>
              </w:rPr>
            </w:pPr>
            <w:r>
              <w:rPr>
                <w:rFonts w:hint="eastAsia" w:cs="宋体"/>
                <w:kern w:val="0"/>
                <w:sz w:val="21"/>
                <w:szCs w:val="21"/>
              </w:rPr>
              <w:t>3.头枕结构：头枕与滑轨靠背连接，躺姿可上下调整头枕高度适应不同身高的学生。</w:t>
            </w:r>
          </w:p>
          <w:p>
            <w:pPr>
              <w:rPr>
                <w:rFonts w:hint="eastAsia" w:cs="宋体"/>
                <w:b/>
                <w:bCs/>
                <w:kern w:val="0"/>
                <w:sz w:val="21"/>
                <w:szCs w:val="21"/>
              </w:rPr>
            </w:pPr>
            <w:r>
              <w:rPr>
                <w:rFonts w:hint="eastAsia" w:cs="宋体"/>
                <w:b/>
                <w:bCs/>
                <w:kern w:val="0"/>
                <w:sz w:val="21"/>
                <w:szCs w:val="21"/>
              </w:rPr>
              <w:t>扶手</w:t>
            </w:r>
          </w:p>
          <w:p>
            <w:pPr>
              <w:rPr>
                <w:rFonts w:hint="eastAsia" w:cs="宋体"/>
                <w:kern w:val="0"/>
                <w:sz w:val="21"/>
                <w:szCs w:val="21"/>
              </w:rPr>
            </w:pPr>
            <w:r>
              <w:rPr>
                <w:rFonts w:hint="eastAsia" w:cs="宋体"/>
                <w:kern w:val="0"/>
                <w:sz w:val="21"/>
                <w:szCs w:val="21"/>
              </w:rPr>
              <w:t>扶手背采用PP工程塑料与靠背一体注塑一次成型，整体呈U字型，具有航空座椅的包裹性。</w:t>
            </w:r>
          </w:p>
          <w:p>
            <w:pPr>
              <w:rPr>
                <w:rFonts w:hint="eastAsia" w:cs="宋体"/>
                <w:kern w:val="0"/>
                <w:sz w:val="21"/>
                <w:szCs w:val="21"/>
              </w:rPr>
            </w:pPr>
            <w:r>
              <w:rPr>
                <w:rFonts w:hint="eastAsia" w:cs="宋体"/>
                <w:kern w:val="0"/>
                <w:sz w:val="21"/>
                <w:szCs w:val="21"/>
              </w:rPr>
              <w:t>手摇升降器</w:t>
            </w:r>
          </w:p>
          <w:p>
            <w:pPr>
              <w:rPr>
                <w:rFonts w:hint="eastAsia" w:cs="宋体"/>
                <w:kern w:val="0"/>
                <w:sz w:val="21"/>
                <w:szCs w:val="21"/>
              </w:rPr>
            </w:pPr>
            <w:r>
              <w:rPr>
                <w:rFonts w:hint="eastAsia" w:cs="宋体"/>
                <w:kern w:val="0"/>
                <w:sz w:val="21"/>
                <w:szCs w:val="21"/>
              </w:rPr>
              <w:t>1.手摇升降器规格：升降器行程可实现100mm高度的无极升降功能。</w:t>
            </w:r>
          </w:p>
          <w:p>
            <w:pPr>
              <w:rPr>
                <w:rFonts w:hint="eastAsia" w:cs="宋体"/>
                <w:kern w:val="0"/>
                <w:sz w:val="21"/>
                <w:szCs w:val="21"/>
              </w:rPr>
            </w:pPr>
            <w:r>
              <w:rPr>
                <w:rFonts w:hint="eastAsia" w:cs="宋体"/>
                <w:kern w:val="0"/>
                <w:sz w:val="21"/>
                <w:szCs w:val="21"/>
              </w:rPr>
              <w:t>2.手摇升降器材质：升降螺杆采用碳钢T型螺纹传动，齿轮采用粉末冶金压铸而成，齿轮箱采用锌合金压铸。</w:t>
            </w:r>
          </w:p>
          <w:p>
            <w:pPr>
              <w:rPr>
                <w:rFonts w:hint="eastAsia" w:cs="宋体"/>
                <w:kern w:val="0"/>
                <w:sz w:val="21"/>
                <w:szCs w:val="21"/>
              </w:rPr>
            </w:pPr>
            <w:r>
              <w:rPr>
                <w:rFonts w:hint="eastAsia" w:cs="宋体"/>
                <w:kern w:val="0"/>
                <w:sz w:val="21"/>
                <w:szCs w:val="21"/>
              </w:rPr>
              <w:t>3.手摇升降器结构：午休课桌采用两支手摇升降器，用六角转轴连接同步传动，尺寸精密升降螺杆与齿轮咬合精密，传动无虚位。</w:t>
            </w:r>
          </w:p>
          <w:p>
            <w:pPr>
              <w:rPr>
                <w:rFonts w:hint="eastAsia" w:cs="宋体"/>
                <w:b/>
                <w:bCs/>
                <w:kern w:val="0"/>
                <w:sz w:val="21"/>
                <w:szCs w:val="21"/>
              </w:rPr>
            </w:pPr>
            <w:r>
              <w:rPr>
                <w:rFonts w:hint="eastAsia" w:cs="宋体"/>
                <w:b/>
                <w:bCs/>
                <w:kern w:val="0"/>
                <w:sz w:val="21"/>
                <w:szCs w:val="21"/>
              </w:rPr>
              <w:t>脚套</w:t>
            </w:r>
          </w:p>
          <w:p>
            <w:pPr>
              <w:rPr>
                <w:rFonts w:hint="eastAsia" w:cs="宋体"/>
                <w:kern w:val="0"/>
                <w:sz w:val="21"/>
                <w:szCs w:val="21"/>
              </w:rPr>
            </w:pPr>
            <w:r>
              <w:rPr>
                <w:rFonts w:hint="eastAsia" w:cs="宋体"/>
                <w:kern w:val="0"/>
                <w:sz w:val="21"/>
                <w:szCs w:val="21"/>
              </w:rPr>
              <w:t>1.脚套规格：尺寸为68*55*47mm</w:t>
            </w:r>
          </w:p>
          <w:p>
            <w:pPr>
              <w:rPr>
                <w:rFonts w:hint="eastAsia" w:cs="宋体"/>
                <w:kern w:val="0"/>
                <w:sz w:val="21"/>
                <w:szCs w:val="21"/>
              </w:rPr>
            </w:pPr>
            <w:r>
              <w:rPr>
                <w:rFonts w:hint="eastAsia" w:cs="宋体"/>
                <w:kern w:val="0"/>
                <w:sz w:val="21"/>
                <w:szCs w:val="21"/>
              </w:rPr>
              <w:t>2.脚套材质：采用PP工程塑料注塑，具有坚固耐磨防滑的特点。</w:t>
            </w:r>
          </w:p>
          <w:p>
            <w:pPr>
              <w:rPr>
                <w:rFonts w:hint="eastAsia" w:cs="宋体"/>
                <w:kern w:val="0"/>
                <w:sz w:val="21"/>
                <w:szCs w:val="21"/>
              </w:rPr>
            </w:pPr>
            <w:r>
              <w:rPr>
                <w:rFonts w:hint="eastAsia" w:cs="宋体"/>
                <w:kern w:val="0"/>
                <w:sz w:val="21"/>
                <w:szCs w:val="21"/>
              </w:rPr>
              <w:t>3.脚套结构：脚套配有内嵌式调节轮，可应对不同平整度的地面进行微调使桌子着地平稳。</w:t>
            </w:r>
          </w:p>
          <w:p>
            <w:pPr>
              <w:rPr>
                <w:rFonts w:hint="eastAsia" w:cs="宋体"/>
                <w:b/>
                <w:bCs/>
                <w:kern w:val="0"/>
                <w:sz w:val="21"/>
                <w:szCs w:val="21"/>
              </w:rPr>
            </w:pPr>
            <w:r>
              <w:rPr>
                <w:rFonts w:hint="eastAsia" w:cs="宋体"/>
                <w:b/>
                <w:bCs/>
                <w:kern w:val="0"/>
                <w:sz w:val="21"/>
                <w:szCs w:val="21"/>
              </w:rPr>
              <w:t>升降套</w:t>
            </w:r>
          </w:p>
          <w:p>
            <w:pPr>
              <w:rPr>
                <w:rFonts w:hint="eastAsia" w:cs="宋体"/>
                <w:kern w:val="0"/>
                <w:sz w:val="21"/>
                <w:szCs w:val="21"/>
              </w:rPr>
            </w:pPr>
            <w:r>
              <w:rPr>
                <w:rFonts w:hint="eastAsia" w:cs="宋体"/>
                <w:kern w:val="0"/>
                <w:sz w:val="21"/>
                <w:szCs w:val="21"/>
              </w:rPr>
              <w:t>1.升降套规格：尺寸为75*35*50mm。</w:t>
            </w:r>
          </w:p>
          <w:p>
            <w:pPr>
              <w:rPr>
                <w:rFonts w:hint="eastAsia" w:cs="宋体"/>
                <w:kern w:val="0"/>
                <w:sz w:val="21"/>
                <w:szCs w:val="21"/>
              </w:rPr>
            </w:pPr>
            <w:r>
              <w:rPr>
                <w:rFonts w:hint="eastAsia" w:cs="宋体"/>
                <w:kern w:val="0"/>
                <w:sz w:val="21"/>
                <w:szCs w:val="21"/>
              </w:rPr>
              <w:t>2.升降套材质：采用PP工程塑料注塑，具有坚固耐磨的特点。</w:t>
            </w:r>
          </w:p>
          <w:p>
            <w:pPr>
              <w:rPr>
                <w:rFonts w:hint="eastAsia" w:cs="宋体"/>
                <w:kern w:val="0"/>
                <w:sz w:val="21"/>
                <w:szCs w:val="21"/>
              </w:rPr>
            </w:pPr>
            <w:r>
              <w:rPr>
                <w:rFonts w:hint="eastAsia" w:cs="宋体"/>
                <w:kern w:val="0"/>
                <w:sz w:val="21"/>
                <w:szCs w:val="21"/>
              </w:rPr>
              <w:t>3.升降套结构： 升降配有内嵌式螺母，搭配螺丝通过螺丝对椅腿的固定具有锁定功能和椅子高度升至最高时防止晃动功能。</w:t>
            </w:r>
          </w:p>
          <w:p>
            <w:pPr>
              <w:rPr>
                <w:rFonts w:hint="eastAsia" w:cs="宋体"/>
                <w:b/>
                <w:bCs/>
                <w:kern w:val="0"/>
                <w:sz w:val="21"/>
                <w:szCs w:val="21"/>
              </w:rPr>
            </w:pPr>
            <w:r>
              <w:rPr>
                <w:rFonts w:hint="eastAsia" w:cs="宋体"/>
                <w:b/>
                <w:bCs/>
                <w:kern w:val="0"/>
                <w:sz w:val="21"/>
                <w:szCs w:val="21"/>
              </w:rPr>
              <w:t>安全要求</w:t>
            </w:r>
          </w:p>
          <w:p>
            <w:pPr>
              <w:rPr>
                <w:rFonts w:hint="eastAsia" w:cs="宋体"/>
                <w:kern w:val="0"/>
                <w:sz w:val="21"/>
                <w:szCs w:val="21"/>
              </w:rPr>
            </w:pPr>
            <w:r>
              <w:rPr>
                <w:rFonts w:hint="eastAsia" w:cs="宋体"/>
                <w:kern w:val="0"/>
                <w:sz w:val="21"/>
                <w:szCs w:val="21"/>
              </w:rPr>
              <w:t>1.相对运动的机械装置部件与人体接触部位的间隙应≤5mm或≥25mm。</w:t>
            </w:r>
          </w:p>
          <w:p>
            <w:pPr>
              <w:rPr>
                <w:rFonts w:hint="eastAsia" w:cs="宋体"/>
                <w:kern w:val="0"/>
                <w:sz w:val="21"/>
                <w:szCs w:val="21"/>
              </w:rPr>
            </w:pPr>
            <w:r>
              <w:rPr>
                <w:rFonts w:hint="eastAsia" w:cs="宋体"/>
                <w:kern w:val="0"/>
                <w:sz w:val="21"/>
                <w:szCs w:val="21"/>
              </w:rPr>
              <w:t>2.与人体接触的座面、椅背和扶手等边缘倒圆角的半径至少应为2mm。</w:t>
            </w:r>
          </w:p>
          <w:p>
            <w:pPr>
              <w:rPr>
                <w:rFonts w:hint="eastAsia" w:cs="宋体"/>
                <w:kern w:val="0"/>
                <w:sz w:val="21"/>
                <w:szCs w:val="21"/>
              </w:rPr>
            </w:pPr>
            <w:r>
              <w:rPr>
                <w:rFonts w:hint="eastAsia" w:cs="宋体"/>
                <w:kern w:val="0"/>
                <w:sz w:val="21"/>
                <w:szCs w:val="21"/>
              </w:rPr>
              <w:t>所有无覆盖的孔洞直径及间隙应≤5mm或≥25mm。</w:t>
            </w:r>
          </w:p>
        </w:tc>
        <w:tc>
          <w:tcPr>
            <w:tcW w:w="750" w:type="dxa"/>
            <w:noWrap/>
            <w:vAlign w:val="center"/>
          </w:tcPr>
          <w:p>
            <w:pPr>
              <w:rPr>
                <w:rFonts w:cs="宋体"/>
                <w:kern w:val="0"/>
                <w:sz w:val="24"/>
                <w:szCs w:val="20"/>
              </w:rPr>
            </w:pPr>
            <w:r>
              <w:rPr>
                <w:rFonts w:hint="eastAsia" w:cs="宋体"/>
                <w:kern w:val="0"/>
                <w:sz w:val="24"/>
                <w:szCs w:val="20"/>
              </w:rPr>
              <w:t>1080</w:t>
            </w:r>
          </w:p>
        </w:tc>
        <w:tc>
          <w:tcPr>
            <w:tcW w:w="711" w:type="dxa"/>
            <w:noWrap/>
            <w:vAlign w:val="center"/>
          </w:tcPr>
          <w:p>
            <w:pPr>
              <w:rPr>
                <w:rFonts w:cs="宋体"/>
                <w:kern w:val="0"/>
                <w:sz w:val="24"/>
                <w:szCs w:val="20"/>
              </w:rPr>
            </w:pPr>
            <w:r>
              <w:rPr>
                <w:rFonts w:hint="eastAsia" w:cs="宋体"/>
                <w:kern w:val="0"/>
                <w:sz w:val="24"/>
                <w:szCs w:val="20"/>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739" w:type="dxa"/>
            <w:vAlign w:val="center"/>
          </w:tcPr>
          <w:p>
            <w:pPr>
              <w:rPr>
                <w:rFonts w:cs="宋体"/>
                <w:kern w:val="0"/>
                <w:sz w:val="24"/>
                <w:szCs w:val="20"/>
              </w:rPr>
            </w:pPr>
            <w:r>
              <w:rPr>
                <w:rFonts w:hint="eastAsia" w:cs="宋体"/>
                <w:kern w:val="0"/>
                <w:sz w:val="24"/>
                <w:szCs w:val="20"/>
              </w:rPr>
              <w:t>3</w:t>
            </w:r>
          </w:p>
        </w:tc>
        <w:tc>
          <w:tcPr>
            <w:tcW w:w="1275" w:type="dxa"/>
            <w:noWrap/>
            <w:vAlign w:val="center"/>
          </w:tcPr>
          <w:p>
            <w:pPr>
              <w:rPr>
                <w:rFonts w:cs="宋体"/>
                <w:kern w:val="0"/>
                <w:sz w:val="24"/>
                <w:szCs w:val="20"/>
              </w:rPr>
            </w:pPr>
            <w:r>
              <w:rPr>
                <w:rFonts w:hint="eastAsia" w:cs="宋体"/>
                <w:kern w:val="0"/>
                <w:sz w:val="24"/>
                <w:szCs w:val="20"/>
              </w:rPr>
              <w:t>卫生柜</w:t>
            </w:r>
          </w:p>
        </w:tc>
        <w:tc>
          <w:tcPr>
            <w:tcW w:w="5025" w:type="dxa"/>
            <w:gridSpan w:val="2"/>
            <w:noWrap/>
            <w:vAlign w:val="center"/>
          </w:tcPr>
          <w:p>
            <w:pPr>
              <w:rPr>
                <w:rFonts w:hint="eastAsia" w:cs="宋体"/>
                <w:kern w:val="0"/>
                <w:sz w:val="21"/>
                <w:szCs w:val="21"/>
              </w:rPr>
            </w:pPr>
            <w:r>
              <w:rPr>
                <w:rFonts w:hint="eastAsia" w:cs="宋体"/>
                <w:kern w:val="0"/>
                <w:sz w:val="21"/>
                <w:szCs w:val="21"/>
              </w:rPr>
              <w:t>1、干湿分离柜规格：长450mm×宽450mm×高1150mm。（±5mm）</w:t>
            </w:r>
          </w:p>
          <w:p>
            <w:pPr>
              <w:rPr>
                <w:rFonts w:hint="eastAsia" w:cs="宋体"/>
                <w:kern w:val="0"/>
                <w:sz w:val="21"/>
                <w:szCs w:val="21"/>
              </w:rPr>
            </w:pPr>
            <w:r>
              <w:rPr>
                <w:rFonts w:hint="eastAsia" w:cs="宋体"/>
                <w:kern w:val="0"/>
                <w:sz w:val="21"/>
                <w:szCs w:val="21"/>
              </w:rPr>
              <w:t>2、干湿分离柜整体采用≥0.6mm镀锌钢板经激光数控雕刻、折弯、焊接、精工打磨，并通过流水线高温除油处理，采用静电喷塑高温固化，使涂层与金属表面的附着力更强、耐腐蚀、不易脱落。</w:t>
            </w:r>
          </w:p>
          <w:p>
            <w:pPr>
              <w:rPr>
                <w:rFonts w:hint="eastAsia" w:cs="宋体"/>
                <w:kern w:val="0"/>
                <w:sz w:val="21"/>
                <w:szCs w:val="21"/>
              </w:rPr>
            </w:pPr>
            <w:r>
              <w:rPr>
                <w:rFonts w:hint="eastAsia" w:cs="宋体"/>
                <w:kern w:val="0"/>
                <w:sz w:val="21"/>
                <w:szCs w:val="21"/>
              </w:rPr>
              <w:t>3、柜子有干柜和湿柜之分：干柜内部为三层分区隔断，可用于放置各类清洁卫生的消毒液、洗手液、洗衣粉等；湿柜可用于放置水桶、扫把、拖把等物品；</w:t>
            </w:r>
          </w:p>
          <w:p>
            <w:pPr>
              <w:rPr>
                <w:rFonts w:hint="eastAsia" w:cs="宋体"/>
                <w:kern w:val="0"/>
                <w:sz w:val="21"/>
                <w:szCs w:val="21"/>
              </w:rPr>
            </w:pPr>
            <w:r>
              <w:rPr>
                <w:rFonts w:hint="eastAsia" w:cs="宋体"/>
                <w:kern w:val="0"/>
                <w:sz w:val="21"/>
                <w:szCs w:val="21"/>
              </w:rPr>
              <w:t>4、干湿分离柜柜门均为侧拉式设计，并配置有防潮、通风孔。底部内置一个可调节高度为25mm（±1mm）的调节轮，遇不平整地面时，可通过调节轮进行柜体水平调节。</w:t>
            </w:r>
          </w:p>
        </w:tc>
        <w:tc>
          <w:tcPr>
            <w:tcW w:w="750" w:type="dxa"/>
            <w:vAlign w:val="center"/>
          </w:tcPr>
          <w:p>
            <w:pPr>
              <w:rPr>
                <w:rFonts w:cs="宋体"/>
                <w:kern w:val="0"/>
                <w:sz w:val="24"/>
                <w:szCs w:val="20"/>
              </w:rPr>
            </w:pPr>
            <w:r>
              <w:rPr>
                <w:rFonts w:hint="eastAsia" w:cs="宋体"/>
                <w:kern w:val="0"/>
                <w:sz w:val="24"/>
                <w:szCs w:val="20"/>
              </w:rPr>
              <w:t>48</w:t>
            </w:r>
          </w:p>
        </w:tc>
        <w:tc>
          <w:tcPr>
            <w:tcW w:w="711" w:type="dxa"/>
            <w:noWrap/>
            <w:vAlign w:val="center"/>
          </w:tcPr>
          <w:p>
            <w:pPr>
              <w:rPr>
                <w:rFonts w:cs="宋体"/>
                <w:kern w:val="0"/>
                <w:sz w:val="24"/>
                <w:szCs w:val="20"/>
              </w:rPr>
            </w:pPr>
            <w:r>
              <w:rPr>
                <w:rFonts w:hint="eastAsia" w:cs="宋体"/>
                <w:kern w:val="0"/>
                <w:sz w:val="24"/>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8500" w:type="dxa"/>
            <w:gridSpan w:val="6"/>
            <w:vAlign w:val="center"/>
          </w:tcPr>
          <w:p>
            <w:pPr>
              <w:jc w:val="center"/>
              <w:rPr>
                <w:rFonts w:cs="宋体"/>
                <w:kern w:val="0"/>
                <w:sz w:val="24"/>
                <w:szCs w:val="20"/>
              </w:rPr>
            </w:pPr>
            <w:r>
              <w:rPr>
                <w:rFonts w:cs="宋体"/>
                <w:kern w:val="0"/>
                <w:sz w:val="24"/>
                <w:szCs w:val="20"/>
              </w:rPr>
              <w:t>小学4-6年级教室24个班级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739" w:type="dxa"/>
            <w:vAlign w:val="center"/>
          </w:tcPr>
          <w:p>
            <w:pPr>
              <w:rPr>
                <w:rFonts w:hint="eastAsia" w:ascii="Times New Roman" w:hAnsi="Times New Roman" w:eastAsia="宋体" w:cs="宋体"/>
                <w:kern w:val="0"/>
                <w:sz w:val="24"/>
                <w:szCs w:val="20"/>
                <w:lang w:val="en-US" w:eastAsia="zh-CN" w:bidi="ar-SA"/>
              </w:rPr>
            </w:pPr>
            <w:r>
              <w:rPr>
                <w:rFonts w:hint="eastAsia" w:cs="宋体"/>
                <w:kern w:val="0"/>
                <w:sz w:val="24"/>
                <w:szCs w:val="20"/>
                <w:lang w:val="en-US" w:eastAsia="zh-CN"/>
              </w:rPr>
              <w:t>4</w:t>
            </w:r>
          </w:p>
        </w:tc>
        <w:tc>
          <w:tcPr>
            <w:tcW w:w="1280" w:type="dxa"/>
            <w:gridSpan w:val="2"/>
            <w:noWrap/>
            <w:vAlign w:val="center"/>
          </w:tcPr>
          <w:p>
            <w:pPr>
              <w:rPr>
                <w:rFonts w:ascii="Times New Roman" w:hAnsi="Times New Roman" w:eastAsia="宋体" w:cs="宋体"/>
                <w:kern w:val="0"/>
                <w:sz w:val="24"/>
                <w:szCs w:val="20"/>
                <w:lang w:val="en-US" w:eastAsia="zh-CN" w:bidi="ar-SA"/>
              </w:rPr>
            </w:pPr>
            <w:r>
              <w:rPr>
                <w:rFonts w:hint="eastAsia" w:cs="宋体"/>
                <w:kern w:val="0"/>
                <w:sz w:val="24"/>
                <w:szCs w:val="20"/>
              </w:rPr>
              <w:t>课桌</w:t>
            </w:r>
          </w:p>
        </w:tc>
        <w:tc>
          <w:tcPr>
            <w:tcW w:w="5020" w:type="dxa"/>
            <w:noWrap/>
            <w:vAlign w:val="center"/>
          </w:tcPr>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1.尺寸规格长60cm、宽45cm、高61-79cm高度可手摇调节，桌面可翻转倾斜角度40°±2°满足午休空间，午休课桌符合QB/T4071-2021《课桌椅》行业标准。</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2.午休课桌力学性能，桌面垂直静载荷加载1000N/10次、桌面垂直耐久性600N/1万次、桌面垂直冲击高度180mm/2次、桌腿跌落高度300mm/10次、桌面水平静载荷400N/10次，均符合QB/T4071-2021《课桌椅》行业标准。</w:t>
            </w:r>
          </w:p>
          <w:p>
            <w:pPr>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桌面</w:t>
            </w:r>
          </w:p>
          <w:p>
            <w:pPr>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1</w:t>
            </w:r>
            <w:r>
              <w:rPr>
                <w:rFonts w:hint="eastAsia" w:ascii="宋体" w:hAnsi="宋体" w:eastAsia="宋体" w:cs="宋体"/>
                <w:kern w:val="0"/>
                <w:sz w:val="21"/>
                <w:szCs w:val="21"/>
                <w:lang w:val="en-US" w:eastAsia="zh-CN" w:bidi="ar-SA"/>
              </w:rPr>
              <w:t>.桌面规格：长600mm、宽450mm、厚度18mm。</w:t>
            </w:r>
          </w:p>
          <w:p>
            <w:pPr>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2</w:t>
            </w:r>
            <w:r>
              <w:rPr>
                <w:rFonts w:hint="eastAsia" w:ascii="宋体" w:hAnsi="宋体" w:eastAsia="宋体" w:cs="宋体"/>
                <w:kern w:val="0"/>
                <w:sz w:val="21"/>
                <w:szCs w:val="21"/>
                <w:lang w:val="en-US" w:eastAsia="zh-CN" w:bidi="ar-SA"/>
              </w:rPr>
              <w:t>.桌面材质：采用浸渍胶膜纸饰面刨花板，含水率3%-13%，2小时吸水膨胀率≤8%，密度0.6g/m³-0.9g/m³,表面胶合强度≥0.6Mpa，内结合强度≥0.35Mpa，板面握螺钉力≥900N，板边握螺钉力≥600N，表面耐冷热循坏、表面耐磨、表面耐干热、表面耐污染腐蚀、表面耐龟裂、表面耐水蒸气、耐光色牢度，均符合GB/T15102-2017《浸溃胶膜纸饰面纤维板和刨花板》国家标准；桌面板甲醛释放量≤0.025mg/m³，符合GB/T39600-2021《人造板及其制品甲醛释放量分级》标准要求。</w:t>
            </w:r>
          </w:p>
          <w:p>
            <w:pPr>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3</w:t>
            </w:r>
            <w:r>
              <w:rPr>
                <w:rFonts w:hint="eastAsia" w:ascii="宋体" w:hAnsi="宋体" w:eastAsia="宋体" w:cs="宋体"/>
                <w:kern w:val="0"/>
                <w:sz w:val="21"/>
                <w:szCs w:val="21"/>
                <w:lang w:val="en-US" w:eastAsia="zh-CN" w:bidi="ar-SA"/>
              </w:rPr>
              <w:t>.桌面结构：采用注塑包边工艺包边一体成型包边剥离强度≥1500N/m，桌面带笔槽设计，鸭嘴边设计。</w:t>
            </w:r>
          </w:p>
          <w:p>
            <w:pPr>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4</w:t>
            </w:r>
            <w:r>
              <w:rPr>
                <w:rFonts w:hint="eastAsia" w:ascii="宋体" w:hAnsi="宋体" w:eastAsia="宋体" w:cs="宋体"/>
                <w:kern w:val="0"/>
                <w:sz w:val="21"/>
                <w:szCs w:val="21"/>
                <w:lang w:val="en-US" w:eastAsia="zh-CN" w:bidi="ar-SA"/>
              </w:rPr>
              <w:t>.桌面功能：采用漫反射饰面具有护眼功能，刨花板具有抗菌功能，抗菌率≥90%，符合JC/T2039-2010《抗菌防霉木质装饰板》标准要求。</w:t>
            </w:r>
          </w:p>
          <w:p>
            <w:pPr>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抽屉</w:t>
            </w:r>
          </w:p>
          <w:p>
            <w:pPr>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1</w:t>
            </w:r>
            <w:r>
              <w:rPr>
                <w:rFonts w:hint="eastAsia" w:ascii="宋体" w:hAnsi="宋体" w:eastAsia="宋体" w:cs="宋体"/>
                <w:kern w:val="0"/>
                <w:sz w:val="21"/>
                <w:szCs w:val="21"/>
                <w:lang w:val="en-US" w:eastAsia="zh-CN" w:bidi="ar-SA"/>
              </w:rPr>
              <w:t>.抽屉规格：有效内空高100mm。</w:t>
            </w:r>
          </w:p>
          <w:p>
            <w:pPr>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2</w:t>
            </w:r>
            <w:r>
              <w:rPr>
                <w:rFonts w:hint="eastAsia" w:ascii="宋体" w:hAnsi="宋体" w:eastAsia="宋体" w:cs="宋体"/>
                <w:kern w:val="0"/>
                <w:sz w:val="21"/>
                <w:szCs w:val="21"/>
                <w:lang w:val="en-US" w:eastAsia="zh-CN" w:bidi="ar-SA"/>
              </w:rPr>
              <w:t>.抽屉材质：选用优质聚丙烯PP塑料，重金属可溶性铅≤90、可溶性镉≤75、可溶性铬≤60、可溶性汞≤60，均未检出；邻苯二甲酸酯、多溴联苯≤1000、多溴二苯醚≤1000，检测均符合GB28481-2012《塑料家具中有害物质限量》标准要求；</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采用的聚丙烯PP原料感官要求、总迁移量≤10、高锰酸钾消耗量≤10、重金属≤1、芳香族伯胺迁移总量不得检出。符合GB4806.7-2023《食品安全国家标准 食品接触用塑料材料及制品》标准要求。</w:t>
            </w:r>
          </w:p>
          <w:p>
            <w:pPr>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3</w:t>
            </w:r>
            <w:r>
              <w:rPr>
                <w:rFonts w:hint="eastAsia" w:ascii="宋体" w:hAnsi="宋体" w:eastAsia="宋体" w:cs="宋体"/>
                <w:kern w:val="0"/>
                <w:sz w:val="21"/>
                <w:szCs w:val="21"/>
                <w:lang w:val="en-US" w:eastAsia="zh-CN" w:bidi="ar-SA"/>
              </w:rPr>
              <w:t>.抽屉结构：采用高精密注塑一体成型抽屉结实耐用。</w:t>
            </w:r>
          </w:p>
          <w:p>
            <w:pPr>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桌架</w:t>
            </w:r>
          </w:p>
          <w:p>
            <w:pPr>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1</w:t>
            </w:r>
            <w:r>
              <w:rPr>
                <w:rFonts w:hint="eastAsia" w:ascii="宋体" w:hAnsi="宋体" w:eastAsia="宋体" w:cs="宋体"/>
                <w:kern w:val="0"/>
                <w:sz w:val="21"/>
                <w:szCs w:val="21"/>
                <w:lang w:val="en-US" w:eastAsia="zh-CN" w:bidi="ar-SA"/>
              </w:rPr>
              <w:t>.桌架规格：桌腿采用60*30mm扁圆钢管，壁厚1.4mm；桌脚采用50*30mm扁圆钢管，壁厚1.2mm；升降杆采用50*25mm扁圆钢管，壁厚1.2mm。</w:t>
            </w:r>
          </w:p>
          <w:p>
            <w:pPr>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2</w:t>
            </w:r>
            <w:r>
              <w:rPr>
                <w:rFonts w:hint="eastAsia" w:ascii="宋体" w:hAnsi="宋体" w:eastAsia="宋体" w:cs="宋体"/>
                <w:kern w:val="0"/>
                <w:sz w:val="21"/>
                <w:szCs w:val="21"/>
                <w:lang w:val="en-US" w:eastAsia="zh-CN" w:bidi="ar-SA"/>
              </w:rPr>
              <w:t>.桌架材质：桌架采用牌号Q195直缝高频电阻焊焊接钢管；表面喷涂采用静电喷塑工艺高温固化，可抗盐雾24小时以上，附着力≥3级。喷涂的塑粉重金属可溶性铅≤90、可溶性镉≤75、可溶性铬≤60、可溶性汞≤60，均未检出；有毒有害物质多环芳烃≤10、苯并［a］芘≤1.0、多溴联苯≤1000、多溴二苯醚≤1000、领苯二甲酸酯≤0.1，检测均符合GB28481-2012《塑料家具中有害物质限量》标准要求。</w:t>
            </w:r>
          </w:p>
          <w:p>
            <w:pPr>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3</w:t>
            </w:r>
            <w:r>
              <w:rPr>
                <w:rFonts w:hint="eastAsia" w:ascii="宋体" w:hAnsi="宋体" w:eastAsia="宋体" w:cs="宋体"/>
                <w:kern w:val="0"/>
                <w:sz w:val="21"/>
                <w:szCs w:val="21"/>
                <w:lang w:val="en-US" w:eastAsia="zh-CN" w:bidi="ar-SA"/>
              </w:rPr>
              <w:t>.桌架结构：桌架采用二氧化碳保护焊接技术结构稳固，连接桌腿的横梁采用自动双弯机U字型设计。</w:t>
            </w:r>
          </w:p>
          <w:p>
            <w:pPr>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4</w:t>
            </w:r>
            <w:r>
              <w:rPr>
                <w:rFonts w:hint="eastAsia" w:ascii="宋体" w:hAnsi="宋体" w:eastAsia="宋体" w:cs="宋体"/>
                <w:kern w:val="0"/>
                <w:sz w:val="21"/>
                <w:szCs w:val="21"/>
                <w:lang w:val="en-US" w:eastAsia="zh-CN" w:bidi="ar-SA"/>
              </w:rPr>
              <w:t>.桌架功能：喷塑铁件具有抗菌功能，抗菌率&gt;99%，符合HG/T3950-2007《抗菌涂料》标准要求。</w:t>
            </w:r>
          </w:p>
          <w:p>
            <w:pPr>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手摇升降器</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1.手摇升降器规格：升降器行程可实现180mm高度的无极升降功能。</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2.手摇升降器材质：升降螺杆采用碳钢T型螺纹传动，齿轮采用粉末冶金压铸而成，齿轮箱采用锌合金压铸。</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3.手摇升降器结构：午休课桌采用两支手摇升降器，用六角转轴连接同步传动，尺寸精密升降螺杆与齿轮咬合精密，传动无虚位。</w:t>
            </w:r>
          </w:p>
          <w:p>
            <w:pPr>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脚套</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1.脚套规格：尺寸为68*55*47mm</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2.脚套材质：采用PP工程塑料注塑，具有坚固耐磨防滑的特点。</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3.脚套结构：脚套配有内嵌式调节轮，可应对不同平整度的地面进行微调使桌子着地平稳。</w:t>
            </w:r>
          </w:p>
          <w:p>
            <w:pPr>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安全要求</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1.相对运动的机械装置部件与人体接触部位的间隙应≤5mm或≥25mm。</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2.与人体接触的座面、椅背和扶手等边缘倒圆角的半径至少应为2mm。</w:t>
            </w:r>
          </w:p>
          <w:p>
            <w:pPr>
              <w:rPr>
                <w:rFonts w:hint="eastAsia" w:ascii="Times New Roman" w:hAnsi="Times New Roman" w:eastAsia="宋体" w:cs="宋体"/>
                <w:kern w:val="0"/>
                <w:sz w:val="24"/>
                <w:szCs w:val="20"/>
                <w:lang w:val="en-US" w:eastAsia="zh-CN" w:bidi="ar-SA"/>
              </w:rPr>
            </w:pPr>
            <w:r>
              <w:rPr>
                <w:rFonts w:hint="eastAsia" w:ascii="宋体" w:hAnsi="宋体" w:eastAsia="宋体" w:cs="宋体"/>
                <w:kern w:val="0"/>
                <w:sz w:val="21"/>
                <w:szCs w:val="21"/>
                <w:lang w:val="en-US" w:eastAsia="zh-CN" w:bidi="ar-SA"/>
              </w:rPr>
              <w:t>3.所有无覆盖的孔洞直径及间隙应≤5mm或≥25mm。</w:t>
            </w:r>
          </w:p>
        </w:tc>
        <w:tc>
          <w:tcPr>
            <w:tcW w:w="750" w:type="dxa"/>
            <w:vAlign w:val="center"/>
          </w:tcPr>
          <w:p>
            <w:pPr>
              <w:rPr>
                <w:rFonts w:ascii="Times New Roman" w:hAnsi="Times New Roman" w:eastAsia="宋体" w:cs="宋体"/>
                <w:kern w:val="0"/>
                <w:sz w:val="24"/>
                <w:szCs w:val="20"/>
                <w:lang w:val="en-US" w:eastAsia="zh-CN" w:bidi="ar-SA"/>
              </w:rPr>
            </w:pPr>
            <w:r>
              <w:rPr>
                <w:rFonts w:hint="eastAsia" w:cs="宋体"/>
                <w:kern w:val="0"/>
                <w:sz w:val="24"/>
                <w:szCs w:val="20"/>
              </w:rPr>
              <w:t>765</w:t>
            </w:r>
          </w:p>
        </w:tc>
        <w:tc>
          <w:tcPr>
            <w:tcW w:w="711" w:type="dxa"/>
            <w:noWrap/>
            <w:vAlign w:val="center"/>
          </w:tcPr>
          <w:p>
            <w:pPr>
              <w:rPr>
                <w:rFonts w:ascii="Times New Roman" w:hAnsi="Times New Roman" w:eastAsia="宋体" w:cs="宋体"/>
                <w:kern w:val="0"/>
                <w:sz w:val="24"/>
                <w:szCs w:val="20"/>
                <w:lang w:val="en-US" w:eastAsia="zh-CN" w:bidi="ar-SA"/>
              </w:rPr>
            </w:pPr>
            <w:r>
              <w:rPr>
                <w:rFonts w:hint="eastAsia" w:cs="宋体"/>
                <w:kern w:val="0"/>
                <w:sz w:val="24"/>
                <w:szCs w:val="20"/>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739" w:type="dxa"/>
            <w:vAlign w:val="center"/>
          </w:tcPr>
          <w:p>
            <w:pPr>
              <w:rPr>
                <w:rFonts w:hint="eastAsia" w:ascii="Times New Roman" w:hAnsi="Times New Roman" w:eastAsia="宋体" w:cs="宋体"/>
                <w:kern w:val="0"/>
                <w:sz w:val="24"/>
                <w:szCs w:val="20"/>
                <w:lang w:val="en-US" w:eastAsia="zh-CN" w:bidi="ar-SA"/>
              </w:rPr>
            </w:pPr>
            <w:r>
              <w:rPr>
                <w:rFonts w:hint="eastAsia" w:cs="宋体"/>
                <w:kern w:val="0"/>
                <w:sz w:val="24"/>
                <w:szCs w:val="20"/>
                <w:lang w:val="en-US" w:eastAsia="zh-CN"/>
              </w:rPr>
              <w:t>5</w:t>
            </w:r>
          </w:p>
        </w:tc>
        <w:tc>
          <w:tcPr>
            <w:tcW w:w="1280" w:type="dxa"/>
            <w:gridSpan w:val="2"/>
            <w:noWrap/>
            <w:vAlign w:val="center"/>
          </w:tcPr>
          <w:p>
            <w:pPr>
              <w:rPr>
                <w:rFonts w:ascii="Times New Roman" w:hAnsi="Times New Roman" w:eastAsia="宋体" w:cs="宋体"/>
                <w:kern w:val="0"/>
                <w:sz w:val="24"/>
                <w:szCs w:val="20"/>
                <w:lang w:val="en-US" w:eastAsia="zh-CN" w:bidi="ar-SA"/>
              </w:rPr>
            </w:pPr>
            <w:r>
              <w:rPr>
                <w:rFonts w:hint="eastAsia" w:cs="宋体"/>
                <w:kern w:val="0"/>
                <w:sz w:val="24"/>
                <w:szCs w:val="20"/>
              </w:rPr>
              <w:t>课椅</w:t>
            </w:r>
          </w:p>
        </w:tc>
        <w:tc>
          <w:tcPr>
            <w:tcW w:w="5020" w:type="dxa"/>
            <w:noWrap/>
            <w:vAlign w:val="center"/>
          </w:tcPr>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1.课椅尺寸规格，座高360mm-460mm(±5mm)、座宽410mm（±5mm）、座深355mm（±5mm），靠背宽405mm（±5mm）、靠背高255mm（±5mm），椅脚长420mm（±5mm）。</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2.课椅力学性能座面、椅背联合静载荷（椅面加载1600N、靠背加载760N）10次、座面、椅背联合耐久性（椅面加载1250N、靠背加载300N）5万次，符合QB/T4071-2021《课桌椅》行业标准。</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3.检测报告应具有CMA认证资质检测认证机构出具的检测报告。</w:t>
            </w:r>
          </w:p>
          <w:p>
            <w:pPr>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座板、靠背</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1.课椅座板靠背规格：座板靠背采用PP工程塑料注塑一次成型，座宽410mm（±5mm）、座深355mm（±5mm），靠背宽405mm（±5mm）、靠背高255mm（±5mm）。</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课椅座板靠背材质：选用优质聚丙烯PP工程塑料，有毒有害物质限量重金属可溶性铅≤90、可溶性镉≤75、可溶性铬≤60、可溶性汞≤60，均未检出；有毒有害物质限量邻苯二甲酸酯、多溴联苯≤1000、多溴二苯醚≤1000，检测均符合GB28481-2012《塑料家具中有害物质限量》标准要求。</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采用的聚丙烯PP原料感官要求、总迁移量≤10、高锰酸钾消耗量≤10、重金属≤1、芳香族伯胺迁移总量不得检出。符合GB4806.7-2023《食品安全国家标准 食品接触用塑料材料及制品》标准要求。</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3.课椅座板靠背结构：坐板前沿底部设有铁条增加承重能力，力学性能座面、椅背联合静载荷（椅面加载1600N、靠背加载760N）10次、座面、椅背联合耐久性（椅面加载1250N、靠背加载300N）5万次，均符合QB/T4071-2021《课桌椅》行业标准；课桌椅塑料件耐老化性能500小时外观颜色变色评级≥3级符合GB/T32487-2016塑料家具通用技术条件标准要求。</w:t>
            </w:r>
          </w:p>
          <w:p>
            <w:pPr>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椅架</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椅架规格：椅架分椅腿、升降弯管两部分组成。①椅腿尺寸60mm×30mm×1.4mm（±0.1mm），横樑尺寸40mm×20mm×1.2mm（±0.1mm），椅脚尺寸50mm×30mm×1.2mm（±0.1mm）；②升降弯管升降杆采用50mm×25mm×1.2mm（±0.1mm）的扁圆管与16×24×1.4mm弯管焊接。</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椅架材质：椅架均采用牌号Q195直缝高频电阻焊焊接钢管；表面喷涂采用静电喷塑工艺高温固化，可抗盐雾24小时以上，附着力≥3级。喷涂的塑粉重金属可溶性铅≤90、可溶性镉≤75、可溶性铬≤60、可溶性汞≤60，有毒有害物质多环芳烃、多溴联苯≤1000、多溴二苯醚≤1000、领苯二甲酸酯≤0.1，根据GB28481-2012《塑料家具中有害物质限量》检测均未测出。</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3.椅架结构：椅架采用二氧化碳保护焊接技术结构稳固课椅力学性能座面、椅背联合静载荷（椅面加载1600N、靠背加载760N）10次、座面、椅背联合耐久性（椅面加载1250N、靠背加载300N）5万次，均符合QB/T4071-2021《课桌椅》行业标准。</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4.椅架功能：椅架高度采用手摇升降可调节100mm；喷塑铁件具有抗菌功能，抗细菌性能≥99%，符合HG/T3950-2007《抗菌涂料》标准要求。</w:t>
            </w:r>
          </w:p>
          <w:p>
            <w:pPr>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手摇升降器</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1.手摇升降器规格：升降器行程可实现100mm高度的无极升降功能。</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2.手摇升降器材质：升降螺杆采用碳钢T型螺纹传动，齿轮采用粉末冶金压铸而成，齿轮箱采用锌合金压铸。</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3.手摇升降器结构：课椅采用两支手摇升降器，用六角转轴连接同步传动，尺寸精密升降螺杆与齿轮咬合精密，传动无虚位。</w:t>
            </w:r>
          </w:p>
          <w:p>
            <w:pPr>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脚套</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1.脚套规格：尺寸为68*55*47mm</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2.脚套材质：采用PP工程塑料注塑，具有坚固耐磨防滑的特点。</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3.脚套结构：脚套配有内嵌式调节轮，可应对不同平整度的地面进行微调使桌子着地平稳。</w:t>
            </w:r>
          </w:p>
          <w:p>
            <w:pPr>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升降套</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1.升降套规格：尺寸为75*35*50mm</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2.升降套材质：采用PP工程塑料注塑，具有坚固耐磨的特点。</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3.升降套结构： 升降配有内嵌式螺母，搭配螺丝通过螺丝对椅腿的固定具有锁定功能和椅子高度升至最高时防止晃动功能。</w:t>
            </w:r>
          </w:p>
          <w:p>
            <w:pPr>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安全要求</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1.相对运动的机械装置部件与人体接触部位的间隙应≤5mm或≥25mm。</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2.与人体接触的座面、椅背和扶手等边缘倒圆角的半径至少应为2mm。</w:t>
            </w:r>
          </w:p>
          <w:p>
            <w:pPr>
              <w:rPr>
                <w:rFonts w:hint="eastAsia" w:ascii="Times New Roman" w:hAnsi="Times New Roman" w:eastAsia="宋体" w:cs="宋体"/>
                <w:kern w:val="0"/>
                <w:sz w:val="24"/>
                <w:szCs w:val="20"/>
                <w:lang w:val="en-US" w:eastAsia="zh-CN" w:bidi="ar-SA"/>
              </w:rPr>
            </w:pPr>
            <w:r>
              <w:rPr>
                <w:rFonts w:hint="eastAsia" w:ascii="宋体" w:hAnsi="宋体" w:eastAsia="宋体" w:cs="宋体"/>
                <w:kern w:val="0"/>
                <w:sz w:val="21"/>
                <w:szCs w:val="21"/>
                <w:lang w:val="en-US" w:eastAsia="zh-CN" w:bidi="ar-SA"/>
              </w:rPr>
              <w:t>3.所有无覆盖的孔洞直径及间隙应≤5mm或≥25mm。</w:t>
            </w:r>
          </w:p>
        </w:tc>
        <w:tc>
          <w:tcPr>
            <w:tcW w:w="750" w:type="dxa"/>
            <w:vAlign w:val="center"/>
          </w:tcPr>
          <w:p>
            <w:pPr>
              <w:rPr>
                <w:rFonts w:ascii="Times New Roman" w:hAnsi="Times New Roman" w:eastAsia="宋体" w:cs="宋体"/>
                <w:kern w:val="0"/>
                <w:sz w:val="24"/>
                <w:szCs w:val="20"/>
                <w:lang w:val="en-US" w:eastAsia="zh-CN" w:bidi="ar-SA"/>
              </w:rPr>
            </w:pPr>
            <w:r>
              <w:rPr>
                <w:rFonts w:hint="eastAsia" w:cs="宋体"/>
                <w:kern w:val="0"/>
                <w:sz w:val="24"/>
                <w:szCs w:val="20"/>
              </w:rPr>
              <w:t>765</w:t>
            </w:r>
          </w:p>
        </w:tc>
        <w:tc>
          <w:tcPr>
            <w:tcW w:w="711" w:type="dxa"/>
            <w:noWrap/>
            <w:vAlign w:val="center"/>
          </w:tcPr>
          <w:p>
            <w:pPr>
              <w:rPr>
                <w:rFonts w:ascii="Times New Roman" w:hAnsi="Times New Roman" w:eastAsia="宋体" w:cs="宋体"/>
                <w:kern w:val="0"/>
                <w:sz w:val="24"/>
                <w:szCs w:val="20"/>
                <w:lang w:val="en-US" w:eastAsia="zh-CN" w:bidi="ar-SA"/>
              </w:rPr>
            </w:pPr>
            <w:r>
              <w:rPr>
                <w:rFonts w:hint="eastAsia" w:cs="宋体"/>
                <w:kern w:val="0"/>
                <w:sz w:val="24"/>
                <w:szCs w:val="20"/>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739" w:type="dxa"/>
            <w:vAlign w:val="center"/>
          </w:tcPr>
          <w:p>
            <w:pPr>
              <w:rPr>
                <w:rFonts w:hint="eastAsia" w:ascii="Times New Roman" w:hAnsi="Times New Roman" w:eastAsia="宋体" w:cs="宋体"/>
                <w:kern w:val="0"/>
                <w:sz w:val="24"/>
                <w:szCs w:val="20"/>
                <w:lang w:val="en-US" w:eastAsia="zh-CN" w:bidi="ar-SA"/>
              </w:rPr>
            </w:pPr>
            <w:r>
              <w:rPr>
                <w:rFonts w:hint="eastAsia" w:cs="宋体"/>
                <w:kern w:val="0"/>
                <w:sz w:val="24"/>
                <w:szCs w:val="20"/>
                <w:lang w:val="en-US" w:eastAsia="zh-CN"/>
              </w:rPr>
              <w:t>6</w:t>
            </w:r>
          </w:p>
        </w:tc>
        <w:tc>
          <w:tcPr>
            <w:tcW w:w="1280" w:type="dxa"/>
            <w:gridSpan w:val="2"/>
            <w:noWrap/>
            <w:vAlign w:val="center"/>
          </w:tcPr>
          <w:p>
            <w:pPr>
              <w:rPr>
                <w:rFonts w:hint="eastAsia" w:ascii="Times New Roman" w:hAnsi="Times New Roman" w:eastAsia="宋体" w:cs="宋体"/>
                <w:kern w:val="0"/>
                <w:sz w:val="24"/>
                <w:szCs w:val="20"/>
                <w:lang w:val="en-US" w:eastAsia="zh-CN" w:bidi="ar-SA"/>
              </w:rPr>
            </w:pPr>
            <w:r>
              <w:rPr>
                <w:rFonts w:hint="eastAsia" w:cs="宋体"/>
                <w:kern w:val="0"/>
                <w:sz w:val="24"/>
                <w:szCs w:val="20"/>
              </w:rPr>
              <w:t>卫生柜</w:t>
            </w:r>
          </w:p>
        </w:tc>
        <w:tc>
          <w:tcPr>
            <w:tcW w:w="5020" w:type="dxa"/>
            <w:noWrap/>
            <w:vAlign w:val="center"/>
          </w:tcPr>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1、干湿分离柜规格：长450mm×宽450mm×高1150mm。（±5mm）</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2、干湿分离柜整体采用≥0.6mm镀锌钢板经激光数控雕刻、折弯、焊接、精工打磨，并通过流水线高温除油处理，采用静电喷塑高温固化，使涂层与金属表面的附着力更强、耐腐蚀、不易脱落。</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3、柜子有干柜和湿柜之分：</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干柜内部为三层分区隔断，可用于放置各类清洁卫生的消毒液、洗手液、洗衣粉等；</w:t>
            </w:r>
          </w:p>
          <w:p>
            <w:pP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湿柜可用于放置水桶、扫把、拖把等物品；</w:t>
            </w:r>
          </w:p>
          <w:p>
            <w:pPr>
              <w:rPr>
                <w:rFonts w:hint="eastAsia" w:ascii="Times New Roman" w:hAnsi="Times New Roman" w:eastAsia="宋体" w:cs="宋体"/>
                <w:kern w:val="0"/>
                <w:sz w:val="24"/>
                <w:szCs w:val="20"/>
                <w:lang w:val="en-US" w:eastAsia="zh-CN" w:bidi="ar-SA"/>
              </w:rPr>
            </w:pPr>
            <w:r>
              <w:rPr>
                <w:rFonts w:hint="eastAsia" w:ascii="宋体" w:hAnsi="宋体" w:eastAsia="宋体" w:cs="宋体"/>
                <w:kern w:val="0"/>
                <w:sz w:val="21"/>
                <w:szCs w:val="21"/>
                <w:lang w:val="en-US" w:eastAsia="zh-CN" w:bidi="ar-SA"/>
              </w:rPr>
              <w:t>4、干湿分离柜柜门均为侧拉式设计，并配置有防潮、通风孔。底部内置一个可调节高度为25mm（±1mm）的调节轮，遇不平整地面时，可通过调节轮进行柜体水平调节。</w:t>
            </w:r>
          </w:p>
        </w:tc>
        <w:tc>
          <w:tcPr>
            <w:tcW w:w="750" w:type="dxa"/>
            <w:vAlign w:val="center"/>
          </w:tcPr>
          <w:p>
            <w:pPr>
              <w:rPr>
                <w:rFonts w:hint="eastAsia" w:ascii="Times New Roman" w:hAnsi="Times New Roman" w:eastAsia="宋体" w:cs="宋体"/>
                <w:kern w:val="0"/>
                <w:sz w:val="24"/>
                <w:szCs w:val="20"/>
                <w:lang w:val="en-US" w:eastAsia="zh-CN" w:bidi="ar-SA"/>
              </w:rPr>
            </w:pPr>
            <w:r>
              <w:rPr>
                <w:rFonts w:hint="eastAsia" w:cs="宋体"/>
                <w:kern w:val="0"/>
                <w:sz w:val="24"/>
                <w:szCs w:val="20"/>
              </w:rPr>
              <w:t>34</w:t>
            </w:r>
          </w:p>
        </w:tc>
        <w:tc>
          <w:tcPr>
            <w:tcW w:w="711" w:type="dxa"/>
            <w:noWrap/>
            <w:vAlign w:val="center"/>
          </w:tcPr>
          <w:p>
            <w:pPr>
              <w:rPr>
                <w:rFonts w:hint="eastAsia" w:ascii="Times New Roman" w:hAnsi="Times New Roman" w:eastAsia="宋体" w:cs="宋体"/>
                <w:kern w:val="0"/>
                <w:sz w:val="24"/>
                <w:szCs w:val="20"/>
                <w:lang w:val="en-US" w:eastAsia="zh-CN" w:bidi="ar-SA"/>
              </w:rPr>
            </w:pPr>
            <w:r>
              <w:rPr>
                <w:rFonts w:hint="eastAsia" w:cs="宋体"/>
                <w:kern w:val="0"/>
                <w:sz w:val="24"/>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500" w:type="dxa"/>
            <w:gridSpan w:val="6"/>
            <w:vAlign w:val="center"/>
          </w:tcPr>
          <w:p>
            <w:pPr>
              <w:jc w:val="center"/>
              <w:rPr>
                <w:rFonts w:cs="宋体"/>
                <w:kern w:val="0"/>
                <w:sz w:val="24"/>
                <w:szCs w:val="20"/>
              </w:rPr>
            </w:pPr>
            <w:r>
              <w:rPr>
                <w:rFonts w:hint="eastAsia" w:cs="宋体"/>
                <w:kern w:val="0"/>
                <w:sz w:val="24"/>
                <w:szCs w:val="20"/>
              </w:rPr>
              <w:t>图书角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739" w:type="dxa"/>
            <w:vAlign w:val="center"/>
          </w:tcPr>
          <w:p>
            <w:pPr>
              <w:rPr>
                <w:rFonts w:hint="eastAsia" w:ascii="Times New Roman" w:hAnsi="Times New Roman" w:eastAsia="宋体" w:cs="宋体"/>
                <w:kern w:val="0"/>
                <w:sz w:val="24"/>
                <w:szCs w:val="20"/>
                <w:lang w:val="en-US" w:eastAsia="zh-CN" w:bidi="ar-SA"/>
              </w:rPr>
            </w:pPr>
            <w:r>
              <w:rPr>
                <w:rFonts w:hint="eastAsia" w:cs="宋体"/>
                <w:kern w:val="0"/>
                <w:sz w:val="24"/>
                <w:szCs w:val="20"/>
                <w:lang w:val="en-US" w:eastAsia="zh-CN"/>
              </w:rPr>
              <w:t>7</w:t>
            </w:r>
          </w:p>
        </w:tc>
        <w:tc>
          <w:tcPr>
            <w:tcW w:w="1280" w:type="dxa"/>
            <w:gridSpan w:val="2"/>
            <w:noWrap/>
            <w:vAlign w:val="center"/>
          </w:tcPr>
          <w:p>
            <w:pPr>
              <w:rPr>
                <w:rFonts w:hint="eastAsia" w:ascii="Times New Roman" w:hAnsi="Times New Roman" w:eastAsia="宋体" w:cs="宋体"/>
                <w:kern w:val="0"/>
                <w:sz w:val="24"/>
                <w:szCs w:val="20"/>
                <w:lang w:val="en-US" w:eastAsia="zh-CN" w:bidi="ar-SA"/>
              </w:rPr>
            </w:pPr>
            <w:r>
              <w:rPr>
                <w:rFonts w:hint="eastAsia" w:cs="宋体"/>
                <w:kern w:val="0"/>
                <w:sz w:val="24"/>
                <w:szCs w:val="20"/>
              </w:rPr>
              <w:t>转角一体柜</w:t>
            </w:r>
          </w:p>
        </w:tc>
        <w:tc>
          <w:tcPr>
            <w:tcW w:w="5020" w:type="dxa"/>
            <w:noWrap/>
            <w:vAlign w:val="center"/>
          </w:tcPr>
          <w:p>
            <w:pPr>
              <w:spacing w:after="120"/>
              <w:rPr>
                <w:rFonts w:hint="eastAsia" w:ascii="宋体" w:hAnsi="宋体" w:eastAsia="宋体" w:cs="宋体"/>
                <w:b/>
                <w:bCs/>
                <w:sz w:val="21"/>
                <w:szCs w:val="21"/>
              </w:rPr>
            </w:pPr>
            <w:r>
              <w:rPr>
                <w:rFonts w:hint="eastAsia" w:ascii="宋体" w:hAnsi="宋体" w:eastAsia="宋体" w:cs="宋体"/>
                <w:b/>
                <w:bCs/>
                <w:sz w:val="21"/>
                <w:szCs w:val="21"/>
              </w:rPr>
              <w:t>柜体</w:t>
            </w:r>
          </w:p>
          <w:p>
            <w:pPr>
              <w:rPr>
                <w:rFonts w:hint="eastAsia" w:ascii="宋体" w:hAnsi="宋体" w:eastAsia="宋体" w:cs="宋体"/>
                <w:kern w:val="0"/>
                <w:sz w:val="21"/>
                <w:szCs w:val="21"/>
              </w:rPr>
            </w:pPr>
            <w:r>
              <w:rPr>
                <w:rFonts w:hint="eastAsia" w:ascii="宋体" w:hAnsi="宋体" w:eastAsia="宋体" w:cs="宋体"/>
                <w:kern w:val="0"/>
                <w:sz w:val="21"/>
                <w:szCs w:val="21"/>
              </w:rPr>
              <w:t>1.整体规格：长1800mm*宽450mm*高1150mm（±5mm），厚度18mm(±0.5mm)。</w:t>
            </w:r>
          </w:p>
          <w:p>
            <w:pPr>
              <w:rPr>
                <w:rFonts w:hint="eastAsia" w:ascii="宋体" w:hAnsi="宋体" w:eastAsia="宋体" w:cs="宋体"/>
                <w:kern w:val="0"/>
                <w:sz w:val="21"/>
                <w:szCs w:val="21"/>
              </w:rPr>
            </w:pPr>
            <w:r>
              <w:rPr>
                <w:rFonts w:hint="eastAsia" w:ascii="宋体" w:hAnsi="宋体" w:eastAsia="宋体" w:cs="宋体"/>
                <w:kern w:val="0"/>
                <w:sz w:val="21"/>
                <w:szCs w:val="21"/>
              </w:rPr>
              <w:t>2.柜体材质：采用浸渍胶膜纸饰面刨花板，含水率3%-13%，2小时吸水膨胀率≤8%，密度0.6g/m³-0.9g/m³,表面胶合强度≥0.6Mpa，内结合强度≥0.35Mpa，板面握螺钉力≥900N，板边握螺钉力≥600N，表面耐冷热循坏、表面耐磨、表面耐干热、表面耐污染腐蚀、表面耐龟裂、表面耐水蒸气、耐光色牢度，均符合GB/T15102-2017《浸溃胶膜纸饰面纤维板和刨花板》国家标准。</w:t>
            </w:r>
          </w:p>
          <w:p>
            <w:pPr>
              <w:rPr>
                <w:rFonts w:hint="eastAsia" w:ascii="宋体" w:hAnsi="宋体" w:eastAsia="宋体" w:cs="宋体"/>
                <w:b/>
                <w:bCs/>
                <w:kern w:val="0"/>
                <w:sz w:val="21"/>
                <w:szCs w:val="21"/>
              </w:rPr>
            </w:pPr>
            <w:r>
              <w:rPr>
                <w:rFonts w:hint="eastAsia" w:ascii="宋体" w:hAnsi="宋体" w:eastAsia="宋体" w:cs="宋体"/>
                <w:b/>
                <w:bCs/>
                <w:kern w:val="0"/>
                <w:sz w:val="21"/>
                <w:szCs w:val="21"/>
              </w:rPr>
              <w:t>书柜坐垫</w:t>
            </w:r>
          </w:p>
          <w:p>
            <w:pPr>
              <w:rPr>
                <w:rFonts w:hint="eastAsia" w:ascii="宋体" w:hAnsi="宋体" w:eastAsia="宋体" w:cs="宋体"/>
                <w:kern w:val="0"/>
                <w:sz w:val="21"/>
                <w:szCs w:val="21"/>
              </w:rPr>
            </w:pPr>
            <w:r>
              <w:rPr>
                <w:rFonts w:hint="eastAsia" w:ascii="宋体" w:hAnsi="宋体" w:eastAsia="宋体" w:cs="宋体"/>
                <w:kern w:val="0"/>
                <w:sz w:val="21"/>
                <w:szCs w:val="21"/>
              </w:rPr>
              <w:t>1.书柜坐垫规格：长900mm(±5mm)、宽450mm(±5mm)、厚30mm(±5mm)。</w:t>
            </w:r>
          </w:p>
          <w:p>
            <w:pPr>
              <w:rPr>
                <w:rFonts w:hint="eastAsia" w:ascii="宋体" w:hAnsi="宋体" w:eastAsia="宋体" w:cs="宋体"/>
                <w:kern w:val="0"/>
                <w:sz w:val="21"/>
                <w:szCs w:val="21"/>
              </w:rPr>
            </w:pPr>
            <w:r>
              <w:rPr>
                <w:rFonts w:hint="eastAsia" w:ascii="宋体" w:hAnsi="宋体" w:eastAsia="宋体" w:cs="宋体"/>
                <w:kern w:val="0"/>
                <w:sz w:val="21"/>
                <w:szCs w:val="21"/>
              </w:rPr>
              <w:t>2.书柜坐垫材质：采用聚氨酯PU自结皮材质坐垫，具有高回弹性和抗压性。</w:t>
            </w:r>
          </w:p>
          <w:p>
            <w:pPr>
              <w:rPr>
                <w:rFonts w:hint="eastAsia" w:cs="宋体"/>
                <w:kern w:val="0"/>
                <w:sz w:val="24"/>
                <w:szCs w:val="20"/>
              </w:rPr>
            </w:pPr>
            <w:r>
              <w:rPr>
                <w:rFonts w:hint="eastAsia" w:ascii="宋体" w:hAnsi="宋体" w:eastAsia="宋体" w:cs="宋体"/>
                <w:kern w:val="0"/>
                <w:sz w:val="21"/>
                <w:szCs w:val="21"/>
              </w:rPr>
              <w:t>书柜坐垫结构：坐垫与柜体采用拆装结构。</w:t>
            </w:r>
          </w:p>
        </w:tc>
        <w:tc>
          <w:tcPr>
            <w:tcW w:w="750" w:type="dxa"/>
            <w:vAlign w:val="center"/>
          </w:tcPr>
          <w:p>
            <w:pPr>
              <w:rPr>
                <w:rFonts w:hint="eastAsia" w:ascii="Times New Roman" w:hAnsi="Times New Roman" w:eastAsia="宋体" w:cs="宋体"/>
                <w:kern w:val="0"/>
                <w:sz w:val="24"/>
                <w:szCs w:val="20"/>
                <w:lang w:val="en-US" w:eastAsia="zh-CN" w:bidi="ar-SA"/>
              </w:rPr>
            </w:pPr>
            <w:r>
              <w:rPr>
                <w:rFonts w:hint="eastAsia" w:cs="宋体"/>
                <w:kern w:val="0"/>
                <w:sz w:val="24"/>
                <w:szCs w:val="20"/>
              </w:rPr>
              <w:t>48</w:t>
            </w:r>
          </w:p>
        </w:tc>
        <w:tc>
          <w:tcPr>
            <w:tcW w:w="711" w:type="dxa"/>
            <w:noWrap/>
            <w:vAlign w:val="center"/>
          </w:tcPr>
          <w:p>
            <w:pPr>
              <w:rPr>
                <w:rFonts w:hint="eastAsia" w:ascii="Times New Roman" w:hAnsi="Times New Roman" w:eastAsia="宋体" w:cs="宋体"/>
                <w:kern w:val="0"/>
                <w:sz w:val="24"/>
                <w:szCs w:val="20"/>
                <w:lang w:val="en-US" w:eastAsia="zh-CN" w:bidi="ar-SA"/>
              </w:rPr>
            </w:pPr>
            <w:r>
              <w:rPr>
                <w:rFonts w:hint="eastAsia" w:cs="宋体"/>
                <w:kern w:val="0"/>
                <w:sz w:val="24"/>
                <w:szCs w:val="20"/>
              </w:rPr>
              <w:t>个</w:t>
            </w:r>
          </w:p>
        </w:tc>
      </w:tr>
    </w:tbl>
    <w:p>
      <w:pPr>
        <w:numPr>
          <w:ilvl w:val="0"/>
          <w:numId w:val="0"/>
        </w:numPr>
        <w:spacing w:line="360" w:lineRule="auto"/>
        <w:rPr>
          <w:rFonts w:hint="eastAsia" w:ascii="宋体" w:hAnsi="宋体" w:cs="宋体"/>
          <w:b/>
          <w:bCs/>
          <w:color w:val="auto"/>
          <w:sz w:val="24"/>
          <w:highlight w:val="none"/>
        </w:rPr>
        <w:sectPr>
          <w:pgSz w:w="11906" w:h="16838"/>
          <w:pgMar w:top="1440" w:right="1797" w:bottom="1440" w:left="1797" w:header="851" w:footer="992" w:gutter="0"/>
          <w:pgBorders>
            <w:top w:val="none" w:sz="0" w:space="0"/>
            <w:left w:val="none" w:sz="0" w:space="0"/>
            <w:bottom w:val="none" w:sz="0" w:space="0"/>
            <w:right w:val="none" w:sz="0" w:space="0"/>
          </w:pgBorders>
          <w:cols w:space="0" w:num="1"/>
          <w:rtlGutter w:val="0"/>
          <w:docGrid w:linePitch="312" w:charSpace="0"/>
        </w:sectPr>
      </w:pPr>
    </w:p>
    <w:p>
      <w:pPr>
        <w:numPr>
          <w:ilvl w:val="0"/>
          <w:numId w:val="3"/>
        </w:numPr>
        <w:spacing w:line="360" w:lineRule="auto"/>
        <w:rPr>
          <w:rFonts w:hint="eastAsia" w:ascii="宋体" w:hAnsi="宋体" w:cs="宋体"/>
          <w:b/>
          <w:bCs/>
          <w:color w:val="auto"/>
          <w:sz w:val="24"/>
          <w:highlight w:val="none"/>
          <w:lang w:eastAsia="zh-CN"/>
        </w:rPr>
      </w:pPr>
      <w:r>
        <w:rPr>
          <w:rFonts w:hint="eastAsia" w:ascii="宋体" w:hAnsi="宋体" w:cs="宋体"/>
          <w:b/>
          <w:bCs/>
          <w:color w:val="auto"/>
          <w:sz w:val="24"/>
          <w:highlight w:val="none"/>
          <w:lang w:eastAsia="zh-CN"/>
        </w:rPr>
        <w:t>技术参数要求</w:t>
      </w:r>
    </w:p>
    <w:p>
      <w:pPr>
        <w:keepNext w:val="0"/>
        <w:keepLines w:val="0"/>
        <w:pageBreakBefore w:val="0"/>
        <w:widowControl w:val="0"/>
        <w:kinsoku/>
        <w:wordWrap/>
        <w:overflowPunct/>
        <w:topLinePunct w:val="0"/>
        <w:bidi w:val="0"/>
        <w:adjustRightInd/>
        <w:spacing w:line="360" w:lineRule="auto"/>
        <w:ind w:firstLine="482" w:firstLineChars="200"/>
        <w:rPr>
          <w:rFonts w:hint="eastAsia" w:ascii="宋体" w:hAnsi="宋体" w:eastAsia="宋体" w:cs="宋体"/>
          <w:b/>
          <w:bCs w:val="0"/>
          <w:color w:val="auto"/>
          <w:sz w:val="24"/>
          <w:szCs w:val="24"/>
          <w:highlight w:val="none"/>
          <w:lang w:val="en-US" w:eastAsia="zh-CN"/>
        </w:rPr>
      </w:pPr>
    </w:p>
    <w:p>
      <w:pPr>
        <w:keepNext w:val="0"/>
        <w:keepLines w:val="0"/>
        <w:pageBreakBefore w:val="0"/>
        <w:widowControl w:val="0"/>
        <w:kinsoku/>
        <w:wordWrap/>
        <w:overflowPunct/>
        <w:topLinePunct w:val="0"/>
        <w:bidi w:val="0"/>
        <w:adjustRightInd/>
        <w:spacing w:line="360" w:lineRule="auto"/>
        <w:ind w:firstLine="482" w:firstLineChars="200"/>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样品要求</w:t>
      </w:r>
    </w:p>
    <w:p>
      <w:pPr>
        <w:keepNext w:val="0"/>
        <w:keepLines w:val="0"/>
        <w:pageBreakBefore w:val="0"/>
        <w:widowControl w:val="0"/>
        <w:kinsoku/>
        <w:wordWrap/>
        <w:overflowPunct/>
        <w:topLinePunct w:val="0"/>
        <w:bidi w:val="0"/>
        <w:adjustRightInd/>
        <w:spacing w:line="360" w:lineRule="auto"/>
        <w:ind w:firstLine="480" w:firstLineChars="200"/>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提供</w:t>
      </w:r>
      <w:r>
        <w:rPr>
          <w:rFonts w:hint="eastAsia" w:ascii="宋体" w:hAnsi="宋体" w:cs="宋体"/>
          <w:bCs/>
          <w:color w:val="auto"/>
          <w:sz w:val="24"/>
          <w:szCs w:val="24"/>
          <w:highlight w:val="none"/>
          <w:lang w:val="en-US" w:eastAsia="zh-CN"/>
        </w:rPr>
        <w:t>：</w:t>
      </w:r>
      <w:r>
        <w:rPr>
          <w:rFonts w:hint="eastAsia" w:ascii="宋体" w:hAnsi="宋体" w:cs="宋体"/>
          <w:bCs/>
          <w:sz w:val="24"/>
        </w:rPr>
        <w:t>午休桌、午休椅各一张</w:t>
      </w:r>
      <w:r>
        <w:rPr>
          <w:rFonts w:hint="eastAsia" w:ascii="宋体" w:hAnsi="宋体" w:eastAsia="宋体" w:cs="宋体"/>
          <w:b w:val="0"/>
          <w:bCs w:val="0"/>
          <w:sz w:val="24"/>
          <w:szCs w:val="24"/>
          <w:highlight w:val="none"/>
          <w:lang w:val="en-US" w:eastAsia="zh-CN"/>
        </w:rPr>
        <w:t>。</w:t>
      </w:r>
      <w:r>
        <w:rPr>
          <w:rFonts w:hint="eastAsia" w:ascii="宋体" w:hAnsi="宋体" w:cs="宋体"/>
          <w:b w:val="0"/>
          <w:bCs w:val="0"/>
          <w:sz w:val="24"/>
          <w:szCs w:val="24"/>
          <w:highlight w:val="none"/>
          <w:lang w:val="en-US" w:eastAsia="zh-CN"/>
        </w:rPr>
        <w:t>序号1、2</w:t>
      </w:r>
    </w:p>
    <w:p>
      <w:pPr>
        <w:keepNext w:val="0"/>
        <w:keepLines w:val="0"/>
        <w:pageBreakBefore w:val="0"/>
        <w:widowControl w:val="0"/>
        <w:kinsoku/>
        <w:wordWrap/>
        <w:overflowPunct/>
        <w:topLinePunct w:val="0"/>
        <w:bidi w:val="0"/>
        <w:adjustRightInd/>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en-US" w:eastAsia="zh-CN"/>
        </w:rPr>
        <w:t xml:space="preserve">提供样品的时间：投标单位于开标时间当天9时30分前提交至平湖市行政服务中心四楼电梯口。 </w:t>
      </w:r>
    </w:p>
    <w:p>
      <w:pPr>
        <w:keepNext w:val="0"/>
        <w:keepLines w:val="0"/>
        <w:pageBreakBefore w:val="0"/>
        <w:widowControl w:val="0"/>
        <w:kinsoku/>
        <w:wordWrap/>
        <w:overflowPunct/>
        <w:topLinePunct w:val="0"/>
        <w:bidi w:val="0"/>
        <w:adjustRightInd/>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en-US" w:eastAsia="zh-CN"/>
        </w:rPr>
        <w:t>各个供应商所提供的样品需做好标识</w:t>
      </w:r>
      <w:r>
        <w:rPr>
          <w:rFonts w:hint="eastAsia" w:ascii="宋体" w:hAnsi="宋体" w:cs="宋体"/>
          <w:bCs/>
          <w:color w:val="auto"/>
          <w:sz w:val="24"/>
          <w:szCs w:val="24"/>
          <w:highlight w:val="none"/>
          <w:lang w:val="en-US" w:eastAsia="zh-CN"/>
        </w:rPr>
        <w:t>，注明投标人名称</w:t>
      </w:r>
      <w:r>
        <w:rPr>
          <w:rFonts w:hint="eastAsia" w:ascii="宋体" w:hAnsi="宋体" w:eastAsia="宋体" w:cs="宋体"/>
          <w:bCs/>
          <w:color w:val="auto"/>
          <w:sz w:val="24"/>
          <w:szCs w:val="24"/>
          <w:highlight w:val="none"/>
          <w:lang w:val="en-US" w:eastAsia="zh-CN"/>
        </w:rPr>
        <w:t>。</w:t>
      </w:r>
    </w:p>
    <w:p>
      <w:pPr>
        <w:keepNext w:val="0"/>
        <w:keepLines w:val="0"/>
        <w:pageBreakBefore w:val="0"/>
        <w:widowControl w:val="0"/>
        <w:kinsoku/>
        <w:wordWrap/>
        <w:overflowPunct/>
        <w:topLinePunct w:val="0"/>
        <w:bidi w:val="0"/>
        <w:adjustRightInd/>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lang w:val="en-US" w:eastAsia="zh-CN"/>
        </w:rPr>
        <w:t>评标结束后1个工作日内，对于未中标人提供的样品，采购人、采购机构将通知未中标人在规定的时间内取回，逾期未取回的，采购人不负保管义务；对于中标人提供的样品，采购人将进行保管、封存，并作为履约验收的参考。</w:t>
      </w:r>
    </w:p>
    <w:p>
      <w:pPr>
        <w:keepNext w:val="0"/>
        <w:keepLines w:val="0"/>
        <w:pageBreakBefore w:val="0"/>
        <w:widowControl w:val="0"/>
        <w:kinsoku/>
        <w:wordWrap/>
        <w:overflowPunct/>
        <w:topLinePunct w:val="0"/>
        <w:bidi w:val="0"/>
        <w:adjustRightInd/>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（5）</w:t>
      </w:r>
      <w:r>
        <w:rPr>
          <w:rFonts w:hint="eastAsia" w:ascii="宋体" w:hAnsi="宋体" w:eastAsia="宋体" w:cs="宋体"/>
          <w:bCs/>
          <w:color w:val="auto"/>
          <w:sz w:val="24"/>
          <w:szCs w:val="24"/>
          <w:highlight w:val="none"/>
          <w:lang w:val="en-US" w:eastAsia="zh-CN"/>
        </w:rPr>
        <w:t>制作、运输、安装和保管样品所发生的一切费用由投标人自理。</w:t>
      </w:r>
    </w:p>
    <w:p>
      <w:pPr>
        <w:keepNext w:val="0"/>
        <w:keepLines w:val="0"/>
        <w:pageBreakBefore w:val="0"/>
        <w:widowControl w:val="0"/>
        <w:kinsoku/>
        <w:wordWrap/>
        <w:overflowPunct/>
        <w:topLinePunct w:val="0"/>
        <w:bidi w:val="0"/>
        <w:adjustRightInd/>
        <w:spacing w:line="360" w:lineRule="auto"/>
        <w:ind w:firstLine="482" w:firstLineChars="200"/>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（6）未递交样品或样品数量不全的，其投标文件将被视为无效。</w:t>
      </w:r>
    </w:p>
    <w:p>
      <w:pPr>
        <w:pStyle w:val="5"/>
        <w:keepNext/>
        <w:keepLines/>
        <w:widowControl w:val="0"/>
        <w:numPr>
          <w:ilvl w:val="0"/>
          <w:numId w:val="0"/>
        </w:numPr>
        <w:spacing w:before="260" w:after="260" w:line="416" w:lineRule="auto"/>
        <w:jc w:val="both"/>
        <w:outlineLvl w:val="1"/>
        <w:rPr>
          <w:rFonts w:hint="eastAsia"/>
        </w:rPr>
      </w:pPr>
    </w:p>
    <w:p>
      <w:pPr>
        <w:numPr>
          <w:ilvl w:val="0"/>
          <w:numId w:val="4"/>
        </w:numPr>
        <w:spacing w:line="360" w:lineRule="auto"/>
        <w:rPr>
          <w:rFonts w:hint="eastAsia" w:ascii="宋体" w:hAnsi="宋体" w:cs="宋体"/>
          <w:b/>
          <w:bCs/>
          <w:color w:val="auto"/>
          <w:sz w:val="24"/>
          <w:highlight w:val="none"/>
        </w:rPr>
        <w:sectPr>
          <w:pgSz w:w="16838" w:h="11906" w:orient="landscape"/>
          <w:pgMar w:top="1797" w:right="1440" w:bottom="1797" w:left="1440" w:header="851" w:footer="992" w:gutter="0"/>
          <w:pgBorders>
            <w:top w:val="none" w:sz="0" w:space="0"/>
            <w:left w:val="none" w:sz="0" w:space="0"/>
            <w:bottom w:val="none" w:sz="0" w:space="0"/>
            <w:right w:val="none" w:sz="0" w:space="0"/>
          </w:pgBorders>
          <w:cols w:space="0" w:num="1"/>
          <w:rtlGutter w:val="0"/>
          <w:docGrid w:linePitch="312" w:charSpace="0"/>
        </w:sectPr>
      </w:pPr>
    </w:p>
    <w:p>
      <w:pPr>
        <w:numPr>
          <w:ilvl w:val="0"/>
          <w:numId w:val="4"/>
        </w:numPr>
        <w:spacing w:line="360" w:lineRule="auto"/>
        <w:rPr>
          <w:rFonts w:hint="eastAsia" w:ascii="宋体" w:hAnsi="宋体" w:cs="宋体"/>
          <w:b/>
          <w:bCs/>
          <w:color w:val="auto"/>
          <w:sz w:val="24"/>
          <w:highlight w:val="none"/>
          <w:lang w:eastAsia="zh-CN"/>
        </w:rPr>
      </w:pPr>
      <w:r>
        <w:rPr>
          <w:rFonts w:hint="eastAsia" w:ascii="宋体" w:hAnsi="宋体" w:cs="宋体"/>
          <w:b/>
          <w:bCs/>
          <w:color w:val="auto"/>
          <w:sz w:val="24"/>
          <w:highlight w:val="none"/>
          <w:lang w:eastAsia="zh-CN"/>
        </w:rPr>
        <w:t>其他要求</w:t>
      </w:r>
    </w:p>
    <w:tbl>
      <w:tblPr>
        <w:tblStyle w:val="27"/>
        <w:tblW w:w="848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12"/>
        <w:gridCol w:w="69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1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rPr>
              <w:t>交货及安装调试时间</w:t>
            </w:r>
          </w:p>
        </w:tc>
        <w:tc>
          <w:tcPr>
            <w:tcW w:w="6971" w:type="dxa"/>
            <w:tcBorders>
              <w:top w:val="single" w:color="auto" w:sz="4" w:space="0"/>
              <w:left w:val="single" w:color="auto" w:sz="4" w:space="0"/>
              <w:bottom w:val="single" w:color="auto" w:sz="4" w:space="0"/>
              <w:right w:val="single" w:color="auto" w:sz="4" w:space="0"/>
            </w:tcBorders>
            <w:vAlign w:val="center"/>
          </w:tcPr>
          <w:p>
            <w:pPr>
              <w:numPr>
                <w:ilvl w:val="0"/>
                <w:numId w:val="5"/>
              </w:num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rPr>
              <w:t>交货及安装调试时间：合同签订后30个工作日内完成设备交付与安装调试；2.交货地点：采购人指定地点。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1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rPr>
              <w:t>付款方式</w:t>
            </w:r>
          </w:p>
        </w:tc>
        <w:tc>
          <w:tcPr>
            <w:tcW w:w="6971" w:type="dxa"/>
            <w:tcBorders>
              <w:top w:val="single" w:color="auto" w:sz="4" w:space="0"/>
              <w:left w:val="single" w:color="auto" w:sz="4" w:space="0"/>
              <w:bottom w:val="single" w:color="auto" w:sz="4" w:space="0"/>
              <w:right w:val="single" w:color="auto" w:sz="4" w:space="0"/>
            </w:tcBorders>
            <w:vAlign w:val="center"/>
          </w:tcPr>
          <w:p>
            <w:pPr>
              <w:spacing w:line="360" w:lineRule="auto"/>
              <w:outlineLvl w:val="0"/>
              <w:rPr>
                <w:rFonts w:hint="eastAsia" w:ascii="宋体" w:hAnsi="宋体" w:cs="宋体"/>
                <w:color w:val="auto"/>
                <w:sz w:val="24"/>
                <w:highlight w:val="none"/>
              </w:rPr>
            </w:pPr>
            <w:r>
              <w:rPr>
                <w:rFonts w:hint="eastAsia" w:ascii="宋体" w:hAnsi="宋体" w:cs="宋体"/>
                <w:bCs/>
                <w:color w:val="auto"/>
                <w:sz w:val="24"/>
                <w:highlight w:val="none"/>
              </w:rPr>
              <w:t>1.合同签订并具备实施条件后七个工作日内，中标供应商开具发票，采购人向中标供应商支付合同金额</w:t>
            </w:r>
            <w:r>
              <w:rPr>
                <w:rFonts w:hint="eastAsia" w:ascii="宋体" w:hAnsi="宋体" w:cs="宋体"/>
                <w:bCs/>
                <w:color w:val="auto"/>
                <w:sz w:val="24"/>
                <w:highlight w:val="none"/>
                <w:lang w:val="en-US" w:eastAsia="zh-CN"/>
              </w:rPr>
              <w:t>50</w:t>
            </w:r>
            <w:r>
              <w:rPr>
                <w:rFonts w:hint="eastAsia" w:ascii="宋体" w:hAnsi="宋体" w:cs="宋体"/>
                <w:bCs/>
                <w:color w:val="auto"/>
                <w:sz w:val="24"/>
                <w:highlight w:val="none"/>
              </w:rPr>
              <w:t>%预付款；2.全部安装完毕、验收合格且收到发票后，支付至合同价的100%。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1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lang w:bidi="ar"/>
              </w:rPr>
              <w:t>质保期</w:t>
            </w:r>
          </w:p>
        </w:tc>
        <w:tc>
          <w:tcPr>
            <w:tcW w:w="6971"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napToGrid w:val="0"/>
              <w:spacing w:line="360" w:lineRule="auto"/>
              <w:textAlignment w:val="bottom"/>
              <w:rPr>
                <w:rFonts w:hint="eastAsia" w:ascii="宋体" w:hAnsi="宋体" w:cs="宋体"/>
                <w:color w:val="auto"/>
                <w:sz w:val="24"/>
                <w:highlight w:val="none"/>
              </w:rPr>
            </w:pPr>
            <w:r>
              <w:rPr>
                <w:rFonts w:hint="eastAsia" w:ascii="宋体" w:hAnsi="宋体" w:cs="宋体"/>
                <w:b/>
                <w:bCs/>
                <w:color w:val="auto"/>
                <w:sz w:val="24"/>
                <w:highlight w:val="none"/>
              </w:rPr>
              <w:t>本项目原厂三年免费质保，自验收合格之日起开始计算保修期。签订合同时提供原厂质保函、产品合格证和出厂检测报告原件</w:t>
            </w:r>
            <w:r>
              <w:rPr>
                <w:rFonts w:hint="eastAsia" w:ascii="宋体" w:hAnsi="宋体" w:cs="宋体"/>
                <w:color w:val="auto"/>
                <w:sz w:val="24"/>
                <w:highlight w:val="none"/>
              </w:rPr>
              <w:t>。质保期内非人为因素出现的质量问题，须按国家有关规定和要求（如无国家规定和要求的，按承诺和厂方“三包”规定）立即进行免费维修、免费更换有缺陷的零部件、直至免费更换新产品。因产品本身问题在 48 小时之内仍不能排除的故障，应提供与原产品相同或不低于原产品性能的备用产品。故障排除后应出具书面故障诊断报告备案。</w:t>
            </w:r>
          </w:p>
          <w:p>
            <w:p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rPr>
              <w:t>在质保期内，中标人应负责对其提供的产品进行现场维修、损坏件更换，不收取额外费用。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1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lang w:bidi="ar"/>
              </w:rPr>
              <w:t>售后（技术）服务要求</w:t>
            </w:r>
          </w:p>
        </w:tc>
        <w:tc>
          <w:tcPr>
            <w:tcW w:w="6971" w:type="dxa"/>
            <w:tcBorders>
              <w:top w:val="single" w:color="auto" w:sz="4" w:space="0"/>
              <w:left w:val="single" w:color="auto" w:sz="4" w:space="0"/>
              <w:bottom w:val="single" w:color="auto" w:sz="4" w:space="0"/>
              <w:right w:val="single" w:color="auto" w:sz="4" w:space="0"/>
            </w:tcBorders>
            <w:vAlign w:val="center"/>
          </w:tcPr>
          <w:p>
            <w:pPr>
              <w:spacing w:line="360" w:lineRule="auto"/>
              <w:outlineLvl w:val="0"/>
              <w:rPr>
                <w:rFonts w:hint="eastAsia" w:ascii="宋体" w:hAnsi="宋体" w:cs="宋体"/>
                <w:color w:val="auto"/>
                <w:sz w:val="24"/>
                <w:highlight w:val="none"/>
                <w:lang w:bidi="ar"/>
              </w:rPr>
            </w:pPr>
            <w:r>
              <w:rPr>
                <w:rFonts w:hint="eastAsia" w:ascii="宋体" w:hAnsi="宋体" w:cs="宋体"/>
                <w:color w:val="auto"/>
                <w:sz w:val="24"/>
                <w:highlight w:val="none"/>
              </w:rPr>
              <w:t>中标人有义务对产品的正常使用和维护提供必要的培训。培训的内容包括主要产品的安装、使用、配置管理、性能优化以及硬件基本维护知识。</w:t>
            </w:r>
          </w:p>
          <w:p>
            <w:p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lang w:bidi="ar"/>
              </w:rPr>
              <w:t>投标人设有投标产品的售后技术服务机构，配有较强的技术队伍，能提供快速的售后服务响应。提供7*24小时售后服务响应，24小时内上门服务。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1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rPr>
              <w:t>验收</w:t>
            </w:r>
          </w:p>
        </w:tc>
        <w:tc>
          <w:tcPr>
            <w:tcW w:w="6971" w:type="dxa"/>
            <w:tcBorders>
              <w:top w:val="single" w:color="auto" w:sz="4" w:space="0"/>
              <w:left w:val="single" w:color="auto" w:sz="4" w:space="0"/>
              <w:bottom w:val="single" w:color="auto" w:sz="4" w:space="0"/>
              <w:right w:val="single" w:color="auto" w:sz="4" w:space="0"/>
            </w:tcBorders>
            <w:vAlign w:val="center"/>
          </w:tcPr>
          <w:p>
            <w:p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rPr>
              <w:t>1.验收以采购文件和技术文件、投标文件、合同及安装技术要求为依据。</w:t>
            </w:r>
          </w:p>
          <w:p>
            <w:p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rPr>
              <w:t>2. 供货安装完成后，中标人应该向采购人提交申请验收报告，并且提供主要货物的出厂合格证书（或报告）、检测报告等完整的技术档案资料，若中标人未能按照上述要求履行的，导致无法及时验收的，则须由中标人承担一切责任。采购人在10个工作日内组织验收。</w:t>
            </w:r>
          </w:p>
          <w:p>
            <w:p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rPr>
              <w:t>3.验收必须符合国家、地方有关规范、标准及设计要求。</w:t>
            </w:r>
          </w:p>
          <w:p>
            <w:p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rPr>
              <w:t>4. 符合验收条件的，由采购人组织有关部门按照国家、地方有关规范、标准及设计要求进行验收。验收后中标人应按照验收中提出的意见整改。</w:t>
            </w:r>
          </w:p>
          <w:p>
            <w:p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rPr>
              <w:t>5. 整改完毕且复验合格后将本项目货物交给采购人使用，完成日期以通过复验日期为准。</w:t>
            </w:r>
          </w:p>
          <w:p>
            <w:p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rPr>
              <w:t>6.采购人在中标人送货、安装、调试后对货物服务进行检查验收，如果发现数量不足或有质量、技术等问题，中标人应负责根据合同及采购人的要求采取补足或更换等处理措施，并承担由此发生的一切损失和费用。验收合格后，采购人在验收单上签字并加盖单位公章。</w:t>
            </w:r>
          </w:p>
          <w:p>
            <w:p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rPr>
              <w:t>7.设备安装调试完毕后须进行现场清理干净。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1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lang w:bidi="ar"/>
              </w:rPr>
              <w:t>备品备件及耗材等要求</w:t>
            </w:r>
          </w:p>
        </w:tc>
        <w:tc>
          <w:tcPr>
            <w:tcW w:w="6971" w:type="dxa"/>
            <w:tcBorders>
              <w:top w:val="single" w:color="auto" w:sz="4" w:space="0"/>
              <w:left w:val="single" w:color="auto" w:sz="4" w:space="0"/>
              <w:bottom w:val="single" w:color="auto" w:sz="4" w:space="0"/>
              <w:right w:val="single" w:color="auto" w:sz="4" w:space="0"/>
            </w:tcBorders>
            <w:vAlign w:val="center"/>
          </w:tcPr>
          <w:p>
            <w:p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rPr>
              <w:t>质保期内免费更换一切在正常情况下损坏的零配件，每年提供两次免费上门巡检服务；质保期后，中标人负责设备的终身维修及零配件的及时供应。</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1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lang w:bidi="ar"/>
              </w:rPr>
              <w:t>责任认定</w:t>
            </w:r>
          </w:p>
        </w:tc>
        <w:tc>
          <w:tcPr>
            <w:tcW w:w="6971" w:type="dxa"/>
            <w:tcBorders>
              <w:top w:val="single" w:color="auto" w:sz="4" w:space="0"/>
              <w:left w:val="single" w:color="auto" w:sz="4" w:space="0"/>
              <w:bottom w:val="single" w:color="auto" w:sz="4" w:space="0"/>
              <w:right w:val="single" w:color="auto" w:sz="4" w:space="0"/>
            </w:tcBorders>
            <w:vAlign w:val="center"/>
          </w:tcPr>
          <w:p>
            <w:p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lang w:bidi="ar"/>
              </w:rPr>
              <w:t>在合同有效期内，因中标人原因，未能完全履行质保承诺，采购人有权追究中标人的责任。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51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特殊条款</w:t>
            </w:r>
          </w:p>
        </w:tc>
        <w:tc>
          <w:tcPr>
            <w:tcW w:w="697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招标文件中的技术要求（规格）书为原则性要求，并不是详尽的要求，中标供应商有责任对投标文件中提出的技术规范、标准负责。中标供应商对投标内容所涉及的专利承担责任，并负责保护采购人的利益不受任何损害。一切由于文字、商标、技术等专利引起的法律裁决、诉讼和费用均与采购人无关。</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51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lang w:bidi="ar"/>
              </w:rPr>
              <w:t>其他</w:t>
            </w:r>
          </w:p>
        </w:tc>
        <w:tc>
          <w:tcPr>
            <w:tcW w:w="6971"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s="宋体"/>
                <w:color w:val="auto"/>
                <w:sz w:val="24"/>
                <w:highlight w:val="none"/>
              </w:rPr>
            </w:pPr>
            <w:r>
              <w:rPr>
                <w:rFonts w:hint="eastAsia" w:ascii="宋体" w:hAnsi="宋体" w:cs="宋体"/>
                <w:color w:val="auto"/>
                <w:sz w:val="24"/>
                <w:highlight w:val="none"/>
                <w:lang w:val="zh-CN"/>
              </w:rPr>
              <w:t>投标人可根据以上所列</w:t>
            </w:r>
            <w:r>
              <w:rPr>
                <w:rFonts w:hint="eastAsia" w:ascii="宋体" w:hAnsi="宋体" w:cs="宋体"/>
                <w:color w:val="auto"/>
                <w:sz w:val="24"/>
                <w:highlight w:val="none"/>
              </w:rPr>
              <w:t>产品</w:t>
            </w:r>
            <w:r>
              <w:rPr>
                <w:rFonts w:hint="eastAsia" w:ascii="宋体" w:hAnsi="宋体" w:cs="宋体"/>
                <w:color w:val="auto"/>
                <w:sz w:val="24"/>
                <w:highlight w:val="none"/>
                <w:lang w:val="zh-CN"/>
              </w:rPr>
              <w:t>的技术配置及技术性能要求作为参考选择投标产品，但所选投标产品的技术配置及技术性能应相当于或高于招标文件要求，并满足采购需求，否则将可能作出对投标人不利的评定。</w:t>
            </w:r>
            <w:r>
              <w:rPr>
                <w:rFonts w:hint="eastAsia" w:ascii="宋体" w:hAnsi="宋体" w:cs="宋体"/>
                <w:bCs/>
                <w:color w:val="auto"/>
                <w:sz w:val="24"/>
                <w:highlight w:val="none"/>
              </w:rPr>
              <w:t>投标人提供的产品需标明所执行的质量标准，若同一标准已颁发新标准，则按最新标准执行。</w:t>
            </w:r>
          </w:p>
        </w:tc>
      </w:tr>
    </w:tbl>
    <w:p>
      <w:pPr>
        <w:pStyle w:val="6"/>
        <w:rPr>
          <w:rFonts w:hint="eastAsia" w:ascii="宋体" w:hAnsi="宋体" w:cs="宋体"/>
          <w:color w:val="auto"/>
          <w:sz w:val="24"/>
          <w:highlight w:val="none"/>
        </w:rPr>
      </w:pPr>
    </w:p>
    <w:p>
      <w:pPr>
        <w:pStyle w:val="5"/>
        <w:spacing w:line="240" w:lineRule="auto"/>
        <w:jc w:val="center"/>
        <w:rPr>
          <w:color w:val="auto"/>
          <w:highlight w:val="none"/>
        </w:rPr>
      </w:pPr>
      <w:r>
        <w:rPr>
          <w:color w:val="auto"/>
          <w:highlight w:val="none"/>
        </w:rPr>
        <w:t>第三章  投标人须知</w:t>
      </w:r>
    </w:p>
    <w:p>
      <w:pPr>
        <w:snapToGrid w:val="0"/>
        <w:spacing w:before="240" w:beforeLines="100"/>
        <w:jc w:val="center"/>
        <w:rPr>
          <w:rFonts w:hint="eastAsia" w:ascii="宋体" w:hAnsi="宋体"/>
          <w:b/>
          <w:color w:val="auto"/>
          <w:sz w:val="24"/>
          <w:highlight w:val="none"/>
        </w:rPr>
      </w:pPr>
      <w:r>
        <w:rPr>
          <w:rFonts w:ascii="宋体" w:hAnsi="宋体"/>
          <w:b/>
          <w:color w:val="auto"/>
          <w:sz w:val="24"/>
          <w:highlight w:val="none"/>
        </w:rPr>
        <w:t>前附表</w:t>
      </w:r>
    </w:p>
    <w:tbl>
      <w:tblPr>
        <w:tblStyle w:val="27"/>
        <w:tblW w:w="964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2"/>
        <w:gridCol w:w="886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b/>
                <w:bCs/>
                <w:color w:val="auto"/>
                <w:sz w:val="24"/>
                <w:highlight w:val="none"/>
              </w:rPr>
            </w:pPr>
            <w:r>
              <w:rPr>
                <w:rFonts w:ascii="宋体" w:hAnsi="宋体"/>
                <w:b/>
                <w:bCs/>
                <w:color w:val="auto"/>
                <w:sz w:val="24"/>
                <w:highlight w:val="none"/>
              </w:rPr>
              <w:t>序号</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b/>
                <w:bCs/>
                <w:color w:val="auto"/>
                <w:sz w:val="24"/>
                <w:highlight w:val="none"/>
              </w:rPr>
            </w:pPr>
            <w:r>
              <w:rPr>
                <w:rFonts w:ascii="宋体" w:hAnsi="宋体"/>
                <w:b/>
                <w:bCs/>
                <w:color w:val="auto"/>
                <w:sz w:val="24"/>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ascii="宋体" w:hAnsi="宋体"/>
                <w:color w:val="auto"/>
                <w:sz w:val="24"/>
                <w:highlight w:val="none"/>
              </w:rPr>
              <w:t>1</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eastAsia="宋体"/>
                <w:color w:val="auto"/>
                <w:sz w:val="24"/>
                <w:highlight w:val="none"/>
                <w:lang w:eastAsia="zh-CN"/>
              </w:rPr>
            </w:pPr>
            <w:r>
              <w:rPr>
                <w:rFonts w:ascii="宋体" w:hAnsi="宋体"/>
                <w:b/>
                <w:color w:val="auto"/>
                <w:sz w:val="24"/>
                <w:highlight w:val="none"/>
              </w:rPr>
              <w:t>项目名称：</w:t>
            </w:r>
            <w:r>
              <w:rPr>
                <w:rFonts w:hint="eastAsia" w:ascii="宋体" w:hAnsi="宋体"/>
                <w:color w:val="auto"/>
                <w:kern w:val="0"/>
                <w:sz w:val="24"/>
                <w:highlight w:val="none"/>
                <w:lang w:eastAsia="zh-CN"/>
              </w:rPr>
              <w:t>上海世外教育附属平湖经开实验小学迁建工程学生课桌椅采购项目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ascii="宋体" w:hAnsi="宋体"/>
                <w:color w:val="auto"/>
                <w:sz w:val="24"/>
                <w:highlight w:val="none"/>
              </w:rPr>
              <w:t>2</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color w:val="auto"/>
                <w:sz w:val="24"/>
                <w:highlight w:val="none"/>
              </w:rPr>
            </w:pPr>
            <w:r>
              <w:rPr>
                <w:rFonts w:ascii="宋体" w:hAnsi="宋体"/>
                <w:b/>
                <w:bCs/>
                <w:color w:val="auto"/>
                <w:sz w:val="24"/>
                <w:highlight w:val="none"/>
              </w:rPr>
              <w:t>采购内容</w:t>
            </w:r>
            <w:r>
              <w:rPr>
                <w:rFonts w:hint="eastAsia" w:ascii="宋体" w:hAnsi="宋体"/>
                <w:b/>
                <w:bCs/>
                <w:color w:val="auto"/>
                <w:sz w:val="24"/>
                <w:highlight w:val="none"/>
              </w:rPr>
              <w:t>：</w:t>
            </w:r>
            <w:r>
              <w:rPr>
                <w:rFonts w:ascii="宋体" w:hAnsi="宋体" w:eastAsia="宋体" w:cs="宋体"/>
                <w:sz w:val="24"/>
                <w:szCs w:val="24"/>
              </w:rPr>
              <w:t>学生课桌椅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3"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hint="eastAsia" w:ascii="宋体" w:hAnsi="宋体"/>
                <w:color w:val="auto"/>
                <w:sz w:val="24"/>
                <w:highlight w:val="none"/>
              </w:rPr>
              <w:t>3</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color w:val="auto"/>
                <w:sz w:val="24"/>
                <w:highlight w:val="none"/>
              </w:rPr>
            </w:pPr>
            <w:r>
              <w:rPr>
                <w:rFonts w:hint="eastAsia" w:ascii="宋体" w:hAnsi="宋体"/>
                <w:b/>
                <w:color w:val="auto"/>
                <w:sz w:val="24"/>
                <w:highlight w:val="none"/>
              </w:rPr>
              <w:t>投标报价及费用：</w:t>
            </w:r>
            <w:r>
              <w:rPr>
                <w:rFonts w:ascii="宋体" w:hAnsi="宋体"/>
                <w:color w:val="auto"/>
                <w:sz w:val="24"/>
                <w:highlight w:val="none"/>
              </w:rPr>
              <w:t>1</w:t>
            </w:r>
            <w:r>
              <w:rPr>
                <w:rFonts w:hint="eastAsia" w:ascii="宋体" w:hAnsi="宋体"/>
                <w:color w:val="auto"/>
                <w:sz w:val="24"/>
                <w:highlight w:val="none"/>
              </w:rPr>
              <w:t>、本项目投标应以人民币报价；</w:t>
            </w:r>
            <w:r>
              <w:rPr>
                <w:rFonts w:ascii="宋体" w:hAnsi="宋体"/>
                <w:color w:val="auto"/>
                <w:sz w:val="24"/>
                <w:highlight w:val="none"/>
              </w:rPr>
              <w:t>2</w:t>
            </w:r>
            <w:r>
              <w:rPr>
                <w:rFonts w:hint="eastAsia" w:ascii="宋体" w:hAnsi="宋体"/>
                <w:color w:val="auto"/>
                <w:sz w:val="24"/>
                <w:highlight w:val="none"/>
              </w:rPr>
              <w:t>、不论投标结果如何，投标人均应自行承担所有与投标有关的全部费用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hint="eastAsia" w:ascii="宋体" w:hAnsi="宋体"/>
                <w:color w:val="auto"/>
                <w:sz w:val="24"/>
                <w:highlight w:val="none"/>
              </w:rPr>
              <w:t>4</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color w:val="auto"/>
                <w:sz w:val="24"/>
                <w:highlight w:val="none"/>
              </w:rPr>
            </w:pPr>
            <w:r>
              <w:rPr>
                <w:rFonts w:ascii="宋体" w:hAnsi="宋体"/>
                <w:b/>
                <w:color w:val="auto"/>
                <w:sz w:val="24"/>
                <w:highlight w:val="none"/>
              </w:rPr>
              <w:t>投标保证金：</w:t>
            </w:r>
            <w:r>
              <w:rPr>
                <w:rFonts w:hint="eastAsia" w:ascii="宋体" w:hAnsi="宋体"/>
                <w:color w:val="auto"/>
                <w:sz w:val="24"/>
                <w:highlight w:val="none"/>
              </w:rPr>
              <w:t>0元</w:t>
            </w:r>
            <w:r>
              <w:rPr>
                <w:rFonts w:ascii="宋体" w:hAnsi="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hint="eastAsia" w:ascii="宋体" w:hAnsi="宋体"/>
                <w:color w:val="auto"/>
                <w:sz w:val="24"/>
                <w:highlight w:val="none"/>
              </w:rPr>
              <w:t>5</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color w:val="auto"/>
                <w:highlight w:val="none"/>
              </w:rPr>
            </w:pPr>
            <w:r>
              <w:rPr>
                <w:rFonts w:hint="eastAsia" w:ascii="宋体" w:hAnsi="宋体"/>
                <w:b/>
                <w:color w:val="auto"/>
                <w:sz w:val="24"/>
                <w:highlight w:val="none"/>
              </w:rPr>
              <w:t>答疑与澄清：</w:t>
            </w:r>
            <w:r>
              <w:rPr>
                <w:rFonts w:hint="eastAsia" w:ascii="宋体" w:hAnsi="宋体"/>
                <w:color w:val="auto"/>
                <w:sz w:val="24"/>
                <w:highlight w:val="none"/>
              </w:rPr>
              <w:t>投标人应认真阅读本招标文件，发现其中有误或有不合理要求的，供应商可在获取招标文件之日或者招标文件公告期限届满之日（公告期限届满后获取招标文件的，以公告期限届满之日为准）起7个工作日内以书面形式向招标人一次性提出。采购代理机构对已发出的招标文件进行必要澄清、答复、修改或补充的，应当在招标文件要求提交投标文件截止时间十五日前，在浙江政府采购网</w:t>
            </w:r>
            <w:r>
              <w:rPr>
                <w:rFonts w:hint="eastAsia" w:ascii="宋体" w:hAnsi="宋体" w:cs="宋体"/>
                <w:color w:val="auto"/>
                <w:sz w:val="24"/>
                <w:highlight w:val="none"/>
              </w:rPr>
              <w:t>(https://zfcg.czt.zj.gov.cn/)和平湖市公共资源交易中心网（</w:t>
            </w:r>
            <w:r>
              <w:rPr>
                <w:rFonts w:hint="eastAsia" w:ascii="宋体" w:hAnsi="宋体"/>
                <w:color w:val="auto"/>
                <w:sz w:val="24"/>
                <w:highlight w:val="none"/>
              </w:rPr>
              <w:t>http://jxszwsjb.jiaxing.gov.cn/col/col1229743843/index.html</w:t>
            </w:r>
            <w:r>
              <w:rPr>
                <w:rFonts w:hint="eastAsia" w:ascii="宋体" w:hAnsi="宋体" w:cs="宋体"/>
                <w:color w:val="auto"/>
                <w:sz w:val="24"/>
                <w:highlight w:val="none"/>
              </w:rPr>
              <w:t>）</w:t>
            </w:r>
            <w:r>
              <w:rPr>
                <w:rFonts w:hint="eastAsia" w:ascii="宋体" w:hAnsi="宋体"/>
                <w:color w:val="auto"/>
                <w:sz w:val="24"/>
                <w:highlight w:val="none"/>
              </w:rPr>
              <w:t>上发布更正公告，请投标人在投标截止前及时关注。招标文件的要澄清、答复、修改或补充，一经在上述媒体发布，即视所有投标人都已经收到相关文件。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hint="eastAsia" w:ascii="宋体" w:hAnsi="宋体"/>
                <w:color w:val="auto"/>
                <w:sz w:val="24"/>
                <w:highlight w:val="none"/>
              </w:rPr>
              <w:t>6</w:t>
            </w:r>
          </w:p>
        </w:tc>
        <w:tc>
          <w:tcPr>
            <w:tcW w:w="8866"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hint="eastAsia" w:ascii="宋体" w:hAnsi="宋体"/>
                <w:b/>
                <w:color w:val="auto"/>
                <w:sz w:val="24"/>
                <w:highlight w:val="none"/>
              </w:rPr>
            </w:pPr>
            <w:r>
              <w:rPr>
                <w:rFonts w:hint="eastAsia" w:ascii="宋体" w:hAnsi="宋体" w:cs="宋体"/>
                <w:b/>
                <w:bCs/>
                <w:color w:val="auto"/>
                <w:sz w:val="24"/>
                <w:highlight w:val="none"/>
              </w:rPr>
              <w:t>本项目实行网上投标，投标人于“政采云”上提供电子投标文件。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hint="eastAsia" w:ascii="宋体" w:hAnsi="宋体"/>
                <w:color w:val="auto"/>
                <w:sz w:val="24"/>
                <w:highlight w:val="none"/>
              </w:rPr>
              <w:t>7</w:t>
            </w:r>
          </w:p>
        </w:tc>
        <w:tc>
          <w:tcPr>
            <w:tcW w:w="8866" w:type="dxa"/>
            <w:tcBorders>
              <w:top w:val="single" w:color="auto" w:sz="4" w:space="0"/>
              <w:left w:val="single" w:color="auto" w:sz="4" w:space="0"/>
              <w:bottom w:val="single" w:color="auto" w:sz="4" w:space="0"/>
              <w:right w:val="single" w:color="auto" w:sz="4" w:space="0"/>
            </w:tcBorders>
            <w:noWrap/>
            <w:vAlign w:val="center"/>
          </w:tcPr>
          <w:p>
            <w:pPr>
              <w:autoSpaceDE w:val="0"/>
              <w:autoSpaceDN w:val="0"/>
              <w:snapToGrid w:val="0"/>
              <w:spacing w:line="360" w:lineRule="auto"/>
              <w:textAlignment w:val="bottom"/>
              <w:rPr>
                <w:rFonts w:hint="eastAsia" w:ascii="宋体" w:hAnsi="宋体"/>
                <w:b/>
                <w:color w:val="auto"/>
                <w:sz w:val="24"/>
                <w:highlight w:val="none"/>
              </w:rPr>
            </w:pPr>
            <w:r>
              <w:rPr>
                <w:rFonts w:hint="eastAsia" w:ascii="宋体" w:hAnsi="宋体" w:cs="宋体"/>
                <w:b/>
                <w:bCs/>
                <w:color w:val="auto"/>
                <w:sz w:val="24"/>
                <w:highlight w:val="none"/>
              </w:rPr>
              <w:t>上传电子投标文件时间</w:t>
            </w:r>
            <w:r>
              <w:rPr>
                <w:rFonts w:hint="eastAsia" w:ascii="宋体" w:hAnsi="宋体" w:cs="宋体"/>
                <w:color w:val="auto"/>
                <w:sz w:val="24"/>
                <w:highlight w:val="none"/>
              </w:rPr>
              <w:t>：</w:t>
            </w:r>
            <w:r>
              <w:rPr>
                <w:rFonts w:hint="eastAsia" w:ascii="宋体" w:hAnsi="宋体" w:cs="宋体"/>
                <w:color w:val="auto"/>
                <w:sz w:val="24"/>
                <w:highlight w:val="none"/>
                <w:lang w:eastAsia="zh-CN"/>
              </w:rPr>
              <w:t>2024年12月10日</w:t>
            </w:r>
            <w:r>
              <w:rPr>
                <w:rFonts w:hint="eastAsia" w:ascii="宋体" w:hAnsi="宋体" w:cs="宋体"/>
                <w:color w:val="auto"/>
                <w:sz w:val="24"/>
                <w:highlight w:val="none"/>
              </w:rPr>
              <w:t>9时</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0分前在“政采云”上自行加密上传电子投标文件，逾期上传或未按要求上传的投标文件将予以拒收。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8</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color w:val="auto"/>
                <w:sz w:val="24"/>
                <w:highlight w:val="none"/>
              </w:rPr>
            </w:pPr>
            <w:r>
              <w:rPr>
                <w:rFonts w:ascii="宋体" w:hAnsi="宋体"/>
                <w:b/>
                <w:color w:val="auto"/>
                <w:sz w:val="24"/>
                <w:highlight w:val="none"/>
              </w:rPr>
              <w:t>评标办法及评分标准：</w:t>
            </w:r>
            <w:r>
              <w:rPr>
                <w:rFonts w:ascii="宋体" w:hAnsi="宋体"/>
                <w:color w:val="auto"/>
                <w:sz w:val="24"/>
                <w:highlight w:val="none"/>
              </w:rPr>
              <w:t>详见第四章。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3"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9</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b/>
                <w:color w:val="auto"/>
                <w:sz w:val="24"/>
                <w:highlight w:val="none"/>
              </w:rPr>
            </w:pPr>
            <w:r>
              <w:rPr>
                <w:rFonts w:hint="eastAsia" w:ascii="宋体" w:hAnsi="宋体" w:cs="宋体"/>
                <w:b/>
                <w:bCs/>
                <w:color w:val="auto"/>
                <w:sz w:val="24"/>
                <w:highlight w:val="none"/>
              </w:rPr>
              <w:t>评标结果公告：</w:t>
            </w:r>
            <w:r>
              <w:rPr>
                <w:rFonts w:hint="eastAsia" w:ascii="宋体" w:hAnsi="宋体" w:cs="宋体"/>
                <w:color w:val="auto"/>
                <w:sz w:val="24"/>
                <w:highlight w:val="none"/>
              </w:rPr>
              <w:t>评标结束后2个工作日内，评标结果公告于浙江省政府采购网(http://zfcg.czt.zj.gov.cn)和</w:t>
            </w:r>
            <w:r>
              <w:rPr>
                <w:rFonts w:hint="eastAsia" w:ascii="宋体" w:hAnsi="宋体"/>
                <w:color w:val="auto"/>
                <w:sz w:val="24"/>
                <w:highlight w:val="none"/>
              </w:rPr>
              <w:t>平湖市</w:t>
            </w:r>
            <w:r>
              <w:rPr>
                <w:rFonts w:ascii="宋体" w:hAnsi="宋体"/>
                <w:color w:val="auto"/>
                <w:sz w:val="24"/>
                <w:highlight w:val="none"/>
              </w:rPr>
              <w:t>公共资源交易中心网（</w:t>
            </w:r>
            <w:r>
              <w:rPr>
                <w:rFonts w:hint="eastAsia" w:ascii="宋体" w:hAnsi="宋体"/>
                <w:color w:val="auto"/>
                <w:sz w:val="24"/>
                <w:highlight w:val="none"/>
              </w:rPr>
              <w:t>http://jxszwsjb.jiaxing.gov.cn/col/col1229743843/index.html</w:t>
            </w:r>
            <w:r>
              <w:rPr>
                <w:rFonts w:ascii="宋体" w:hAnsi="宋体"/>
                <w:color w:val="auto"/>
                <w:sz w:val="24"/>
                <w:highlight w:val="none"/>
              </w:rPr>
              <w:t>）</w:t>
            </w:r>
            <w:r>
              <w:rPr>
                <w:rFonts w:hint="eastAsia" w:ascii="宋体" w:hAnsi="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8"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default" w:ascii="宋体" w:hAnsi="宋体" w:eastAsia="宋体"/>
                <w:color w:val="auto"/>
                <w:sz w:val="24"/>
                <w:highlight w:val="none"/>
                <w:lang w:val="en-US" w:eastAsia="zh-CN"/>
              </w:rPr>
            </w:pPr>
            <w:r>
              <w:rPr>
                <w:rFonts w:hint="eastAsia" w:ascii="宋体" w:hAnsi="宋体" w:cs="宋体"/>
                <w:color w:val="auto"/>
                <w:sz w:val="24"/>
                <w:highlight w:val="none"/>
                <w:lang w:val="en-US" w:eastAsia="zh-CN"/>
              </w:rPr>
              <w:t>10</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color w:val="auto"/>
                <w:sz w:val="24"/>
                <w:highlight w:val="none"/>
              </w:rPr>
            </w:pPr>
            <w:r>
              <w:rPr>
                <w:rFonts w:hint="eastAsia" w:ascii="宋体" w:hAnsi="宋体" w:cs="宋体"/>
                <w:b/>
                <w:bCs/>
                <w:color w:val="auto"/>
                <w:sz w:val="24"/>
                <w:highlight w:val="none"/>
              </w:rPr>
              <w:t>中标公告及中标通知书：</w:t>
            </w:r>
            <w:r>
              <w:rPr>
                <w:rFonts w:hint="eastAsia" w:ascii="宋体" w:hAnsi="宋体" w:cs="宋体"/>
                <w:color w:val="auto"/>
                <w:sz w:val="24"/>
                <w:highlight w:val="none"/>
              </w:rPr>
              <w:t>中标公告发布于上述媒体，中标公告期限为1个工作日。在公告中标结果的同时，集中采购机构向中标人发出中标通知书。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24"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p>
        </w:tc>
        <w:tc>
          <w:tcPr>
            <w:tcW w:w="8866" w:type="dxa"/>
            <w:tcBorders>
              <w:top w:val="single" w:color="auto" w:sz="4" w:space="0"/>
              <w:left w:val="single" w:color="auto" w:sz="4" w:space="0"/>
              <w:bottom w:val="single" w:color="auto" w:sz="4" w:space="0"/>
              <w:right w:val="single" w:color="auto" w:sz="4" w:space="0"/>
            </w:tcBorders>
            <w:noWrap/>
            <w:vAlign w:val="center"/>
          </w:tcPr>
          <w:p>
            <w:pPr>
              <w:autoSpaceDE w:val="0"/>
              <w:autoSpaceDN w:val="0"/>
              <w:snapToGrid w:val="0"/>
              <w:spacing w:line="360" w:lineRule="auto"/>
              <w:jc w:val="left"/>
              <w:textAlignment w:val="bottom"/>
              <w:rPr>
                <w:rFonts w:hint="eastAsia" w:ascii="宋体" w:hAnsi="宋体" w:cs="宋体"/>
                <w:color w:val="auto"/>
                <w:sz w:val="24"/>
                <w:highlight w:val="none"/>
              </w:rPr>
            </w:pPr>
            <w:r>
              <w:rPr>
                <w:rFonts w:hint="eastAsia" w:ascii="宋体" w:hAnsi="宋体"/>
                <w:b/>
                <w:color w:val="auto"/>
                <w:sz w:val="24"/>
                <w:highlight w:val="none"/>
              </w:rPr>
              <w:t>信用记录：</w:t>
            </w:r>
            <w:r>
              <w:rPr>
                <w:rFonts w:hint="eastAsia" w:ascii="宋体" w:hAnsi="宋体"/>
                <w:color w:val="auto"/>
                <w:sz w:val="24"/>
                <w:highlight w:val="none"/>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85"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2</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b/>
                <w:bCs/>
                <w:color w:val="auto"/>
                <w:sz w:val="24"/>
                <w:highlight w:val="none"/>
              </w:rPr>
            </w:pPr>
            <w:r>
              <w:rPr>
                <w:rFonts w:hint="eastAsia" w:ascii="宋体" w:hAnsi="宋体"/>
                <w:b/>
                <w:bCs/>
                <w:color w:val="auto"/>
                <w:sz w:val="24"/>
                <w:highlight w:val="none"/>
              </w:rPr>
              <w:t>政府采购节能环保产品：</w:t>
            </w:r>
          </w:p>
          <w:p>
            <w:pPr>
              <w:snapToGrid w:val="0"/>
              <w:spacing w:line="360" w:lineRule="auto"/>
              <w:rPr>
                <w:rFonts w:hint="eastAsia" w:ascii="宋体" w:hAnsi="宋体"/>
                <w:color w:val="auto"/>
                <w:sz w:val="24"/>
                <w:highlight w:val="none"/>
              </w:rPr>
            </w:pPr>
            <w:r>
              <w:rPr>
                <w:rFonts w:hint="eastAsia" w:ascii="宋体" w:hAnsi="宋体"/>
                <w:color w:val="auto"/>
                <w:sz w:val="24"/>
                <w:highlight w:val="none"/>
              </w:rPr>
              <w:t>1、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pPr>
              <w:autoSpaceDE w:val="0"/>
              <w:autoSpaceDN w:val="0"/>
              <w:snapToGrid w:val="0"/>
              <w:spacing w:line="360" w:lineRule="auto"/>
              <w:textAlignment w:val="bottom"/>
              <w:rPr>
                <w:rFonts w:hint="eastAsia" w:ascii="宋体" w:hAnsi="宋体"/>
                <w:color w:val="auto"/>
                <w:sz w:val="24"/>
                <w:highlight w:val="none"/>
              </w:rPr>
            </w:pPr>
            <w:r>
              <w:rPr>
                <w:rFonts w:hint="eastAsia" w:ascii="宋体" w:hAnsi="宋体"/>
                <w:color w:val="auto"/>
                <w:sz w:val="24"/>
                <w:highlight w:val="none"/>
              </w:rPr>
              <w:t>2、产品属于政府强制采购节能品目的（详见《关于印发节能产品政府采购品目清单的通知》财库〔2019〕19号），投标人须按上款要求提供节能产品认证证书或规定网站证书查询截图。</w:t>
            </w:r>
            <w:r>
              <w:rPr>
                <w:rFonts w:hint="eastAsia" w:ascii="宋体" w:hAnsi="宋体"/>
                <w:b/>
                <w:bCs/>
                <w:color w:val="auto"/>
                <w:sz w:val="24"/>
                <w:highlight w:val="none"/>
              </w:rPr>
              <w:t>产品属于政府强制采购节能产品品目的，投标人未提供节能产品的，其投标将作无效标处理。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8"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3</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b/>
                <w:bCs/>
                <w:color w:val="auto"/>
                <w:sz w:val="24"/>
                <w:highlight w:val="none"/>
              </w:rPr>
            </w:pPr>
            <w:r>
              <w:rPr>
                <w:rFonts w:hint="eastAsia" w:ascii="宋体" w:hAnsi="宋体"/>
                <w:b/>
                <w:bCs/>
                <w:color w:val="auto"/>
                <w:sz w:val="24"/>
                <w:highlight w:val="none"/>
              </w:rPr>
              <w:t>中小企业划分标准所属行业（具体根据《中小企业划型标准规定》执行）：</w:t>
            </w:r>
          </w:p>
          <w:p>
            <w:pPr>
              <w:snapToGrid w:val="0"/>
              <w:spacing w:line="360" w:lineRule="auto"/>
              <w:rPr>
                <w:color w:val="auto"/>
                <w:highlight w:val="none"/>
              </w:rPr>
            </w:pPr>
            <w:r>
              <w:rPr>
                <w:rFonts w:hint="eastAsia" w:ascii="宋体" w:hAnsi="宋体"/>
                <w:color w:val="auto"/>
                <w:sz w:val="24"/>
                <w:highlight w:val="none"/>
              </w:rPr>
              <w:t>采购标的：</w:t>
            </w:r>
            <w:r>
              <w:rPr>
                <w:rFonts w:hint="eastAsia" w:ascii="宋体" w:hAnsi="宋体" w:eastAsia="宋体" w:cs="Times New Roman"/>
                <w:color w:val="auto"/>
                <w:sz w:val="24"/>
                <w:highlight w:val="none"/>
              </w:rPr>
              <w:t>教学、实验用桌</w:t>
            </w:r>
            <w:r>
              <w:rPr>
                <w:rFonts w:hint="eastAsia" w:ascii="宋体" w:hAnsi="宋体"/>
                <w:color w:val="auto"/>
                <w:sz w:val="24"/>
                <w:highlight w:val="none"/>
              </w:rPr>
              <w:t>；所属行业：工业。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8"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4</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b/>
                <w:color w:val="auto"/>
                <w:sz w:val="24"/>
                <w:highlight w:val="none"/>
              </w:rPr>
            </w:pPr>
            <w:r>
              <w:rPr>
                <w:rFonts w:hint="eastAsia" w:ascii="宋体" w:hAnsi="宋体"/>
                <w:b/>
                <w:color w:val="auto"/>
                <w:sz w:val="24"/>
                <w:highlight w:val="none"/>
              </w:rPr>
              <w:t>中小企业预留份额情况：</w:t>
            </w:r>
            <w:r>
              <w:rPr>
                <w:rFonts w:hint="eastAsia" w:ascii="宋体" w:hAnsi="宋体"/>
                <w:color w:val="auto"/>
                <w:sz w:val="24"/>
                <w:highlight w:val="none"/>
              </w:rPr>
              <w:t>根据《政府采购促进中小企业发展管理办法》财库〔2020〕46号文件的规定，本项目</w:t>
            </w:r>
            <w:r>
              <w:rPr>
                <w:rFonts w:hint="eastAsia" w:ascii="宋体" w:hAnsi="宋体"/>
                <w:color w:val="auto"/>
                <w:sz w:val="24"/>
                <w:highlight w:val="none"/>
                <w:u w:val="single"/>
              </w:rPr>
              <w:t xml:space="preserve"> 是 </w:t>
            </w:r>
            <w:r>
              <w:rPr>
                <w:rFonts w:hint="eastAsia" w:ascii="宋体" w:hAnsi="宋体"/>
                <w:color w:val="auto"/>
                <w:sz w:val="24"/>
                <w:highlight w:val="none"/>
              </w:rPr>
              <w:t>属于预留份额专门面向中小企业采购的项目。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13"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5</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b/>
                <w:bCs/>
                <w:color w:val="auto"/>
                <w:sz w:val="24"/>
                <w:highlight w:val="none"/>
              </w:rPr>
            </w:pPr>
            <w:r>
              <w:rPr>
                <w:rFonts w:hint="eastAsia" w:ascii="宋体" w:hAnsi="宋体"/>
                <w:b/>
                <w:bCs/>
                <w:color w:val="auto"/>
                <w:sz w:val="24"/>
                <w:highlight w:val="none"/>
              </w:rPr>
              <w:t>小微企业有关政策：</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2.投标人按照《关于印发中小企业划型标准规定的通知》（工信部联企业〔2011〕300号）的所属行业规定为中型、小型、微型企业，在投标文件须提供《中小企业声明函》（见附件）；</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3.残疾人福利性单位参加采购活动，视为中小企业，享受中小企业政策扶持，应满足财库[2017]141号文件第一条的规定，并在投标文件中提供《残疾人福利性单位声明函》（见附件）。</w:t>
            </w:r>
          </w:p>
          <w:p>
            <w:pPr>
              <w:snapToGrid w:val="0"/>
              <w:spacing w:line="360" w:lineRule="auto"/>
              <w:rPr>
                <w:rFonts w:hint="eastAsia" w:ascii="宋体" w:hAnsi="宋体"/>
                <w:b/>
                <w:color w:val="auto"/>
                <w:sz w:val="24"/>
                <w:highlight w:val="none"/>
              </w:rPr>
            </w:pPr>
            <w:r>
              <w:rPr>
                <w:rFonts w:hint="eastAsia" w:ascii="宋体" w:hAnsi="宋体" w:cs="宋体"/>
                <w:color w:val="auto"/>
                <w:sz w:val="24"/>
                <w:highlight w:val="none"/>
              </w:rPr>
              <w:t>4.监狱企业参加采购活动，视为中小企业，享受中小企业政策扶持，在投标文件中提供由省级以上监狱管理局、戒毒管理局（含新疆生产建设兵团）出具的属于监狱企业的证明文件（格式自拟）。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8"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6</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b/>
                <w:bCs/>
                <w:color w:val="auto"/>
                <w:sz w:val="24"/>
                <w:highlight w:val="none"/>
              </w:rPr>
            </w:pPr>
            <w:r>
              <w:rPr>
                <w:rFonts w:hint="eastAsia" w:ascii="宋体" w:hAnsi="宋体" w:cs="宋体"/>
                <w:b/>
                <w:bCs/>
                <w:color w:val="auto"/>
                <w:sz w:val="24"/>
                <w:highlight w:val="none"/>
              </w:rPr>
              <w:t>首台套政策：</w:t>
            </w:r>
            <w:r>
              <w:rPr>
                <w:rFonts w:hint="eastAsia" w:ascii="宋体" w:hAnsi="宋体" w:cs="宋体"/>
                <w:color w:val="auto"/>
                <w:sz w:val="24"/>
                <w:highlight w:val="none"/>
              </w:rPr>
              <w:t>首台套产品被纳入《首台套产品推广应用指导目录》之日起3年内，视同已具备相应销售业绩，参加政府采购活动时业绩分值为满分。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3"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7</w:t>
            </w:r>
          </w:p>
        </w:tc>
        <w:tc>
          <w:tcPr>
            <w:tcW w:w="8866" w:type="dxa"/>
            <w:tcBorders>
              <w:top w:val="single" w:color="auto" w:sz="4" w:space="0"/>
              <w:left w:val="single" w:color="auto" w:sz="4" w:space="0"/>
              <w:bottom w:val="single" w:color="auto" w:sz="4" w:space="0"/>
              <w:right w:val="single" w:color="auto" w:sz="4" w:space="0"/>
            </w:tcBorders>
            <w:noWrap/>
            <w:vAlign w:val="center"/>
          </w:tcPr>
          <w:p>
            <w:pPr>
              <w:autoSpaceDE w:val="0"/>
              <w:autoSpaceDN w:val="0"/>
              <w:snapToGrid w:val="0"/>
              <w:spacing w:line="360" w:lineRule="auto"/>
              <w:textAlignment w:val="bottom"/>
              <w:rPr>
                <w:rFonts w:hint="eastAsia" w:ascii="宋体" w:hAnsi="宋体"/>
                <w:b/>
                <w:bCs/>
                <w:color w:val="auto"/>
                <w:sz w:val="24"/>
                <w:highlight w:val="none"/>
              </w:rPr>
            </w:pPr>
            <w:r>
              <w:rPr>
                <w:rFonts w:ascii="宋体" w:hAnsi="宋体"/>
                <w:b/>
                <w:color w:val="auto"/>
                <w:sz w:val="24"/>
                <w:highlight w:val="none"/>
              </w:rPr>
              <w:t>签订合同时间：</w:t>
            </w:r>
            <w:r>
              <w:rPr>
                <w:rFonts w:hint="eastAsia" w:ascii="宋体" w:hAnsi="宋体" w:cs="宋体"/>
                <w:color w:val="auto"/>
                <w:sz w:val="24"/>
                <w:highlight w:val="none"/>
              </w:rPr>
              <w:t>中标通知书发出后30日内。建议采购人在对采购结果质疑期（自采购结果公告之日起七个工作日）后与中标人签订政府采购合同。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3"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default" w:ascii="宋体" w:hAnsi="宋体" w:eastAsia="宋体" w:cs="宋体"/>
                <w:color w:val="auto"/>
                <w:kern w:val="0"/>
                <w:sz w:val="24"/>
                <w:highlight w:val="none"/>
                <w:lang w:val="en-US" w:eastAsia="zh-CN"/>
              </w:rPr>
            </w:pPr>
            <w:r>
              <w:rPr>
                <w:rFonts w:hint="eastAsia" w:ascii="宋体" w:hAnsi="宋体"/>
                <w:color w:val="auto"/>
                <w:sz w:val="24"/>
                <w:highlight w:val="none"/>
                <w:lang w:val="en-US" w:eastAsia="zh-CN"/>
              </w:rPr>
              <w:t>18</w:t>
            </w:r>
          </w:p>
        </w:tc>
        <w:tc>
          <w:tcPr>
            <w:tcW w:w="8866" w:type="dxa"/>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color w:val="auto"/>
                <w:highlight w:val="none"/>
              </w:rPr>
            </w:pPr>
            <w:r>
              <w:rPr>
                <w:rFonts w:hint="eastAsia" w:ascii="宋体" w:hAnsi="宋体" w:cs="宋体"/>
                <w:b/>
                <w:bCs/>
                <w:color w:val="auto"/>
                <w:sz w:val="24"/>
                <w:highlight w:val="none"/>
              </w:rPr>
              <w:t>合同公告：</w:t>
            </w:r>
            <w:r>
              <w:rPr>
                <w:rFonts w:hint="eastAsia" w:ascii="宋体" w:hAnsi="宋体" w:cs="宋体"/>
                <w:color w:val="auto"/>
                <w:sz w:val="24"/>
                <w:highlight w:val="none"/>
              </w:rPr>
              <w:t>本项目政府采购合同将于签订之日起2个工作日内发布于上述媒体，但政府采购合同中涉及国家秘密、商业秘密的内容除外。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25"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default" w:ascii="宋体" w:hAnsi="宋体" w:eastAsia="宋体" w:cs="宋体"/>
                <w:color w:val="auto"/>
                <w:kern w:val="0"/>
                <w:sz w:val="24"/>
                <w:highlight w:val="none"/>
                <w:lang w:val="en-US" w:eastAsia="zh-CN"/>
              </w:rPr>
            </w:pPr>
            <w:r>
              <w:rPr>
                <w:rFonts w:hint="eastAsia" w:ascii="宋体" w:hAnsi="宋体"/>
                <w:color w:val="auto"/>
                <w:sz w:val="24"/>
                <w:highlight w:val="none"/>
                <w:lang w:val="en-US" w:eastAsia="zh-CN"/>
              </w:rPr>
              <w:t>19</w:t>
            </w:r>
          </w:p>
        </w:tc>
        <w:tc>
          <w:tcPr>
            <w:tcW w:w="8866" w:type="dxa"/>
            <w:tcBorders>
              <w:top w:val="single" w:color="auto" w:sz="4" w:space="0"/>
              <w:left w:val="single" w:color="auto" w:sz="4" w:space="0"/>
              <w:bottom w:val="single" w:color="auto" w:sz="4" w:space="0"/>
              <w:right w:val="single" w:color="auto" w:sz="4" w:space="0"/>
            </w:tcBorders>
            <w:noWrap/>
            <w:vAlign w:val="center"/>
          </w:tcPr>
          <w:p>
            <w:pPr>
              <w:spacing w:line="360" w:lineRule="auto"/>
              <w:outlineLvl w:val="0"/>
              <w:rPr>
                <w:rFonts w:hint="eastAsia" w:ascii="宋体" w:hAnsi="宋体" w:cs="宋体"/>
                <w:bCs/>
                <w:color w:val="auto"/>
                <w:sz w:val="24"/>
                <w:highlight w:val="none"/>
              </w:rPr>
            </w:pPr>
            <w:r>
              <w:rPr>
                <w:rFonts w:hint="eastAsia" w:ascii="宋体" w:hAnsi="宋体" w:cs="宋体"/>
                <w:b/>
                <w:bCs/>
                <w:color w:val="auto"/>
                <w:sz w:val="24"/>
                <w:highlight w:val="none"/>
              </w:rPr>
              <w:t>付款方式：</w:t>
            </w:r>
            <w:r>
              <w:rPr>
                <w:rFonts w:hint="eastAsia" w:ascii="宋体" w:hAnsi="宋体" w:cs="宋体"/>
                <w:bCs/>
                <w:color w:val="auto"/>
                <w:sz w:val="24"/>
                <w:highlight w:val="none"/>
              </w:rPr>
              <w:t>1.合同签订并具备实施条件后七个工作日内，中标供应商开具发票，采购人向中标供应商支付合同金额50%预付款；2.全部安装完毕、验收合格且收到发票后，支付至合同价的100%。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3"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default" w:ascii="宋体" w:hAnsi="宋体" w:eastAsia="宋体"/>
                <w:color w:val="auto"/>
                <w:sz w:val="24"/>
                <w:highlight w:val="none"/>
                <w:lang w:val="en-US" w:eastAsia="zh-CN"/>
              </w:rPr>
            </w:pPr>
            <w:r>
              <w:rPr>
                <w:rFonts w:hint="eastAsia" w:ascii="宋体" w:hAnsi="宋体"/>
                <w:color w:val="auto"/>
                <w:sz w:val="24"/>
                <w:highlight w:val="none"/>
                <w:lang w:val="en-US" w:eastAsia="zh-CN"/>
              </w:rPr>
              <w:t>20</w:t>
            </w:r>
          </w:p>
        </w:tc>
        <w:tc>
          <w:tcPr>
            <w:tcW w:w="8866"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hint="eastAsia" w:ascii="宋体" w:hAnsi="宋体"/>
                <w:b/>
                <w:color w:val="auto"/>
                <w:sz w:val="24"/>
                <w:highlight w:val="none"/>
              </w:rPr>
            </w:pPr>
            <w:r>
              <w:rPr>
                <w:rFonts w:hint="eastAsia" w:ascii="宋体" w:hAnsi="宋体"/>
                <w:b/>
                <w:color w:val="auto"/>
                <w:sz w:val="24"/>
                <w:highlight w:val="none"/>
              </w:rPr>
              <w:t>供货及安装时间：</w:t>
            </w:r>
            <w:r>
              <w:rPr>
                <w:rFonts w:hint="eastAsia" w:ascii="宋体" w:hAnsi="宋体" w:cs="宋体"/>
                <w:color w:val="auto"/>
                <w:sz w:val="24"/>
                <w:highlight w:val="none"/>
              </w:rPr>
              <w:t>1.交货及安装调试时间：合同签订后30个工作日内完成设备交付与安装调试；2.交货地点：采购人指定地点。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eastAsia="宋体"/>
                <w:color w:val="auto"/>
                <w:sz w:val="24"/>
                <w:highlight w:val="none"/>
                <w:lang w:eastAsia="zh-CN"/>
              </w:rPr>
            </w:pPr>
            <w:r>
              <w:rPr>
                <w:rFonts w:hint="eastAsia" w:ascii="宋体" w:hAnsi="宋体"/>
                <w:color w:val="auto"/>
                <w:sz w:val="24"/>
                <w:highlight w:val="none"/>
              </w:rPr>
              <w:t>2</w:t>
            </w:r>
            <w:r>
              <w:rPr>
                <w:rFonts w:hint="eastAsia" w:ascii="宋体" w:hAnsi="宋体"/>
                <w:color w:val="auto"/>
                <w:sz w:val="24"/>
                <w:highlight w:val="none"/>
                <w:lang w:val="en-US" w:eastAsia="zh-CN"/>
              </w:rPr>
              <w:t>1</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color w:val="auto"/>
                <w:sz w:val="24"/>
                <w:highlight w:val="none"/>
              </w:rPr>
            </w:pPr>
            <w:r>
              <w:rPr>
                <w:rFonts w:ascii="宋体" w:hAnsi="宋体"/>
                <w:b/>
                <w:color w:val="auto"/>
                <w:sz w:val="24"/>
                <w:highlight w:val="none"/>
              </w:rPr>
              <w:t>投标文件有效期：</w:t>
            </w:r>
            <w:r>
              <w:rPr>
                <w:rFonts w:hint="eastAsia" w:ascii="宋体" w:hAnsi="宋体"/>
                <w:color w:val="auto"/>
                <w:sz w:val="24"/>
                <w:highlight w:val="none"/>
                <w:u w:val="single"/>
              </w:rPr>
              <w:t xml:space="preserve"> 90 </w:t>
            </w:r>
            <w:r>
              <w:rPr>
                <w:rFonts w:ascii="宋体" w:hAnsi="宋体"/>
                <w:color w:val="auto"/>
                <w:sz w:val="24"/>
                <w:highlight w:val="none"/>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1"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eastAsia="宋体"/>
                <w:color w:val="auto"/>
                <w:sz w:val="24"/>
                <w:highlight w:val="none"/>
                <w:lang w:eastAsia="zh-CN"/>
              </w:rPr>
            </w:pPr>
            <w:r>
              <w:rPr>
                <w:rFonts w:hint="eastAsia" w:ascii="宋体" w:hAnsi="宋体"/>
                <w:color w:val="auto"/>
                <w:sz w:val="24"/>
                <w:highlight w:val="none"/>
              </w:rPr>
              <w:t>2</w:t>
            </w:r>
            <w:r>
              <w:rPr>
                <w:rFonts w:hint="eastAsia" w:ascii="宋体" w:hAnsi="宋体"/>
                <w:color w:val="auto"/>
                <w:sz w:val="24"/>
                <w:highlight w:val="none"/>
                <w:lang w:val="en-US" w:eastAsia="zh-CN"/>
              </w:rPr>
              <w:t>2</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b/>
                <w:color w:val="auto"/>
                <w:sz w:val="24"/>
                <w:highlight w:val="none"/>
              </w:rPr>
            </w:pPr>
            <w:r>
              <w:rPr>
                <w:rFonts w:hint="eastAsia" w:ascii="宋体" w:hAnsi="宋体"/>
                <w:b/>
                <w:bCs/>
                <w:color w:val="auto"/>
                <w:kern w:val="0"/>
                <w:sz w:val="24"/>
                <w:highlight w:val="none"/>
              </w:rPr>
              <w:t>履约保证金：</w:t>
            </w:r>
            <w:r>
              <w:rPr>
                <w:rFonts w:hint="eastAsia" w:ascii="宋体" w:hAnsi="宋体"/>
                <w:color w:val="auto"/>
                <w:kern w:val="0"/>
                <w:sz w:val="24"/>
                <w:highlight w:val="none"/>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78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eastAsia="宋体"/>
                <w:color w:val="auto"/>
                <w:sz w:val="24"/>
                <w:highlight w:val="none"/>
                <w:lang w:eastAsia="zh-CN"/>
              </w:rPr>
            </w:pPr>
            <w:r>
              <w:rPr>
                <w:rFonts w:hint="eastAsia" w:ascii="宋体" w:hAnsi="宋体"/>
                <w:color w:val="auto"/>
                <w:sz w:val="24"/>
                <w:highlight w:val="none"/>
              </w:rPr>
              <w:t>2</w:t>
            </w:r>
            <w:r>
              <w:rPr>
                <w:rFonts w:hint="eastAsia" w:ascii="宋体" w:hAnsi="宋体"/>
                <w:color w:val="auto"/>
                <w:sz w:val="24"/>
                <w:highlight w:val="none"/>
                <w:lang w:val="en-US" w:eastAsia="zh-CN"/>
              </w:rPr>
              <w:t>3</w:t>
            </w:r>
          </w:p>
        </w:tc>
        <w:tc>
          <w:tcPr>
            <w:tcW w:w="886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hint="eastAsia" w:ascii="宋体" w:hAnsi="宋体"/>
                <w:b/>
                <w:color w:val="auto"/>
                <w:sz w:val="24"/>
                <w:highlight w:val="none"/>
              </w:rPr>
            </w:pPr>
            <w:r>
              <w:rPr>
                <w:rFonts w:ascii="宋体" w:hAnsi="宋体"/>
                <w:b/>
                <w:color w:val="auto"/>
                <w:sz w:val="24"/>
                <w:highlight w:val="none"/>
              </w:rPr>
              <w:t>解释：</w:t>
            </w:r>
            <w:r>
              <w:rPr>
                <w:rFonts w:ascii="宋体" w:hAnsi="宋体"/>
                <w:color w:val="auto"/>
                <w:sz w:val="24"/>
                <w:highlight w:val="none"/>
              </w:rPr>
              <w:t>本招标文件的解释权属于</w:t>
            </w:r>
            <w:r>
              <w:rPr>
                <w:rFonts w:hint="eastAsia" w:ascii="宋体" w:hAnsi="宋体"/>
                <w:color w:val="auto"/>
                <w:sz w:val="24"/>
                <w:highlight w:val="none"/>
              </w:rPr>
              <w:t>采购人和平湖市公共资源交易中心</w:t>
            </w:r>
            <w:r>
              <w:rPr>
                <w:rFonts w:ascii="宋体" w:hAnsi="宋体"/>
                <w:color w:val="auto"/>
                <w:sz w:val="24"/>
                <w:highlight w:val="none"/>
              </w:rPr>
              <w:t>。</w:t>
            </w:r>
          </w:p>
        </w:tc>
      </w:tr>
    </w:tbl>
    <w:p>
      <w:pPr>
        <w:pStyle w:val="18"/>
        <w:snapToGrid w:val="0"/>
        <w:spacing w:beforeLines="0" w:afterLines="0" w:line="360" w:lineRule="auto"/>
        <w:ind w:left="802" w:leftChars="267" w:hanging="241" w:hangingChars="100"/>
        <w:outlineLvl w:val="1"/>
        <w:rPr>
          <w:rFonts w:hint="eastAsia" w:hAnsi="宋体"/>
          <w:b/>
          <w:color w:val="auto"/>
          <w:highlight w:val="none"/>
        </w:rPr>
      </w:pPr>
      <w:r>
        <w:rPr>
          <w:rFonts w:hAnsi="宋体"/>
          <w:b/>
          <w:color w:val="auto"/>
          <w:highlight w:val="none"/>
        </w:rPr>
        <w:t>一</w:t>
      </w:r>
      <w:r>
        <w:rPr>
          <w:rFonts w:hint="eastAsia" w:hAnsi="宋体"/>
          <w:b/>
          <w:color w:val="auto"/>
          <w:highlight w:val="none"/>
        </w:rPr>
        <w:t>、</w:t>
      </w:r>
      <w:r>
        <w:rPr>
          <w:rFonts w:hAnsi="宋体"/>
          <w:b/>
          <w:color w:val="auto"/>
          <w:highlight w:val="none"/>
        </w:rPr>
        <w:t>总  则</w:t>
      </w:r>
    </w:p>
    <w:p>
      <w:pPr>
        <w:snapToGrid w:val="0"/>
        <w:spacing w:line="520" w:lineRule="exact"/>
        <w:ind w:firstLine="482" w:firstLineChars="200"/>
        <w:rPr>
          <w:rFonts w:hint="eastAsia" w:ascii="宋体" w:hAnsi="宋体"/>
          <w:b/>
          <w:color w:val="auto"/>
          <w:sz w:val="24"/>
          <w:highlight w:val="none"/>
        </w:rPr>
      </w:pPr>
      <w:r>
        <w:rPr>
          <w:rFonts w:ascii="宋体" w:hAnsi="宋体"/>
          <w:b/>
          <w:color w:val="auto"/>
          <w:sz w:val="24"/>
          <w:highlight w:val="none"/>
        </w:rPr>
        <w:t>（一） 适用范围</w:t>
      </w:r>
    </w:p>
    <w:p>
      <w:pPr>
        <w:snapToGrid w:val="0"/>
        <w:spacing w:line="520" w:lineRule="exact"/>
        <w:ind w:firstLine="480" w:firstLineChars="200"/>
        <w:rPr>
          <w:rFonts w:hint="eastAsia" w:ascii="宋体" w:hAnsi="宋体"/>
          <w:color w:val="auto"/>
          <w:sz w:val="24"/>
          <w:highlight w:val="none"/>
        </w:rPr>
      </w:pPr>
      <w:r>
        <w:rPr>
          <w:rFonts w:hint="eastAsia" w:ascii="宋体" w:hAnsi="宋体"/>
          <w:color w:val="auto"/>
          <w:sz w:val="24"/>
          <w:highlight w:val="none"/>
        </w:rPr>
        <w:t>本招标文件适用于本次所述项目的招标、评标、定标、验收、合同履约、付款等</w:t>
      </w:r>
      <w:r>
        <w:rPr>
          <w:rFonts w:ascii="宋体" w:hAnsi="宋体"/>
          <w:color w:val="auto"/>
          <w:sz w:val="24"/>
          <w:highlight w:val="none"/>
        </w:rPr>
        <w:t>（法律、法规另有规定的，从其规定）。</w:t>
      </w:r>
    </w:p>
    <w:p>
      <w:pPr>
        <w:snapToGrid w:val="0"/>
        <w:spacing w:line="520" w:lineRule="exact"/>
        <w:ind w:firstLine="482" w:firstLineChars="200"/>
        <w:rPr>
          <w:rFonts w:hint="eastAsia" w:ascii="宋体" w:hAnsi="宋体"/>
          <w:b/>
          <w:color w:val="auto"/>
          <w:sz w:val="24"/>
          <w:highlight w:val="none"/>
        </w:rPr>
      </w:pPr>
      <w:r>
        <w:rPr>
          <w:rFonts w:ascii="宋体" w:hAnsi="宋体"/>
          <w:b/>
          <w:color w:val="auto"/>
          <w:sz w:val="24"/>
          <w:highlight w:val="none"/>
        </w:rPr>
        <w:t>（二）定义</w:t>
      </w:r>
    </w:p>
    <w:p>
      <w:pPr>
        <w:snapToGrid w:val="0"/>
        <w:spacing w:line="520" w:lineRule="exact"/>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“招标采购人”系指组织本次招标的平湖市公共资源交易中心（“招标人”）和采购人。</w:t>
      </w:r>
    </w:p>
    <w:p>
      <w:pPr>
        <w:snapToGrid w:val="0"/>
        <w:spacing w:line="520" w:lineRule="exact"/>
        <w:ind w:firstLine="480" w:firstLineChars="200"/>
        <w:rPr>
          <w:rFonts w:hint="eastAsia" w:ascii="宋体" w:hAnsi="宋体"/>
          <w:color w:val="auto"/>
          <w:sz w:val="24"/>
          <w:highlight w:val="none"/>
        </w:rPr>
      </w:pPr>
      <w:r>
        <w:rPr>
          <w:rFonts w:ascii="宋体" w:hAnsi="宋体"/>
          <w:color w:val="auto"/>
          <w:sz w:val="24"/>
          <w:highlight w:val="none"/>
        </w:rPr>
        <w:t>2.“投标人”系指向招标</w:t>
      </w:r>
      <w:r>
        <w:rPr>
          <w:rFonts w:hint="eastAsia" w:ascii="宋体" w:hAnsi="宋体"/>
          <w:color w:val="auto"/>
          <w:sz w:val="24"/>
          <w:highlight w:val="none"/>
        </w:rPr>
        <w:t>人</w:t>
      </w:r>
      <w:r>
        <w:rPr>
          <w:rFonts w:ascii="宋体" w:hAnsi="宋体"/>
          <w:color w:val="auto"/>
          <w:sz w:val="24"/>
          <w:highlight w:val="none"/>
        </w:rPr>
        <w:t>提交投标文件的单位或个人。</w:t>
      </w:r>
    </w:p>
    <w:p>
      <w:pPr>
        <w:snapToGrid w:val="0"/>
        <w:spacing w:line="520" w:lineRule="exact"/>
        <w:ind w:firstLine="480" w:firstLineChars="200"/>
        <w:rPr>
          <w:rFonts w:hint="eastAsia" w:ascii="宋体" w:hAnsi="宋体"/>
          <w:color w:val="auto"/>
          <w:sz w:val="24"/>
          <w:highlight w:val="none"/>
        </w:rPr>
      </w:pPr>
      <w:r>
        <w:rPr>
          <w:rFonts w:ascii="宋体" w:hAnsi="宋体"/>
          <w:color w:val="auto"/>
          <w:sz w:val="24"/>
          <w:highlight w:val="none"/>
        </w:rPr>
        <w:t>3.“产品”</w:t>
      </w:r>
      <w:r>
        <w:rPr>
          <w:rFonts w:hint="eastAsia" w:ascii="宋体" w:hAnsi="宋体"/>
          <w:color w:val="auto"/>
          <w:sz w:val="24"/>
          <w:highlight w:val="none"/>
        </w:rPr>
        <w:t>系指供方按招标文件规定，须向采购人提供的一切设备、保险、税金、备品备件、工具、手册及其它有关技术资料和材料。</w:t>
      </w:r>
    </w:p>
    <w:p>
      <w:pPr>
        <w:snapToGrid w:val="0"/>
        <w:spacing w:line="520" w:lineRule="exact"/>
        <w:ind w:firstLine="480" w:firstLineChars="200"/>
        <w:rPr>
          <w:rFonts w:hint="eastAsia" w:ascii="宋体" w:hAnsi="宋体"/>
          <w:color w:val="auto"/>
          <w:sz w:val="24"/>
          <w:highlight w:val="none"/>
        </w:rPr>
      </w:pPr>
      <w:r>
        <w:rPr>
          <w:rFonts w:ascii="宋体" w:hAnsi="宋体"/>
          <w:color w:val="auto"/>
          <w:sz w:val="24"/>
          <w:highlight w:val="none"/>
        </w:rPr>
        <w:t>4.</w:t>
      </w:r>
      <w:r>
        <w:rPr>
          <w:rFonts w:hint="eastAsia" w:ascii="宋体" w:hAnsi="宋体"/>
          <w:color w:val="auto"/>
          <w:sz w:val="24"/>
          <w:highlight w:val="none"/>
        </w:rPr>
        <w:t>“服务”系指招标文件规定投标人须承担的安装、调试、技术协助、校准、培训、技术指导以及其他类似的义务。</w:t>
      </w:r>
    </w:p>
    <w:p>
      <w:pPr>
        <w:snapToGrid w:val="0"/>
        <w:spacing w:line="520" w:lineRule="exact"/>
        <w:ind w:firstLine="480" w:firstLineChars="200"/>
        <w:rPr>
          <w:rFonts w:hint="eastAsia" w:ascii="宋体" w:hAnsi="宋体"/>
          <w:color w:val="auto"/>
          <w:sz w:val="24"/>
          <w:highlight w:val="none"/>
        </w:rPr>
      </w:pPr>
      <w:r>
        <w:rPr>
          <w:rFonts w:hint="eastAsia" w:ascii="宋体" w:hAnsi="宋体"/>
          <w:color w:val="auto"/>
          <w:sz w:val="24"/>
          <w:highlight w:val="none"/>
        </w:rPr>
        <w:t>5.“项目”系指投标人按招标文件规定向采购人提供的产品和服务。</w:t>
      </w:r>
    </w:p>
    <w:p>
      <w:pPr>
        <w:snapToGrid w:val="0"/>
        <w:spacing w:line="520" w:lineRule="exact"/>
        <w:ind w:firstLine="480" w:firstLineChars="200"/>
        <w:rPr>
          <w:rFonts w:hint="eastAsia" w:ascii="宋体" w:hAnsi="宋体"/>
          <w:color w:val="auto"/>
          <w:sz w:val="24"/>
          <w:highlight w:val="none"/>
        </w:rPr>
      </w:pPr>
      <w:r>
        <w:rPr>
          <w:rFonts w:hint="eastAsia" w:ascii="宋体" w:hAnsi="宋体"/>
          <w:color w:val="auto"/>
          <w:sz w:val="24"/>
          <w:highlight w:val="none"/>
        </w:rPr>
        <w:t>6.“书面形式”包括信函、传真、电报等。</w:t>
      </w:r>
    </w:p>
    <w:p>
      <w:pPr>
        <w:snapToGrid w:val="0"/>
        <w:spacing w:line="52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7</w:t>
      </w:r>
      <w:r>
        <w:rPr>
          <w:rFonts w:ascii="宋体" w:hAnsi="宋体"/>
          <w:color w:val="auto"/>
          <w:sz w:val="24"/>
          <w:highlight w:val="none"/>
        </w:rPr>
        <w:t>.“▲”系指实质性要求条款，</w:t>
      </w:r>
      <w:r>
        <w:rPr>
          <w:rFonts w:hint="eastAsia" w:ascii="宋体" w:hAnsi="宋体"/>
          <w:color w:val="auto"/>
          <w:sz w:val="24"/>
          <w:highlight w:val="none"/>
        </w:rPr>
        <w:t xml:space="preserve">不满足实质性要求条款的投标文件无效。 </w:t>
      </w:r>
    </w:p>
    <w:p>
      <w:pPr>
        <w:snapToGrid w:val="0"/>
        <w:spacing w:line="520" w:lineRule="exact"/>
        <w:ind w:firstLine="720" w:firstLineChars="300"/>
        <w:jc w:val="left"/>
        <w:rPr>
          <w:rFonts w:hint="eastAsia" w:ascii="宋体" w:hAnsi="宋体"/>
          <w:color w:val="auto"/>
          <w:sz w:val="24"/>
          <w:highlight w:val="none"/>
        </w:rPr>
      </w:pPr>
      <w:r>
        <w:rPr>
          <w:rFonts w:hint="eastAsia" w:ascii="宋体" w:hAnsi="宋体"/>
          <w:color w:val="auto"/>
          <w:sz w:val="24"/>
          <w:highlight w:val="none"/>
        </w:rPr>
        <w:t>“★”系指核心产品。</w:t>
      </w:r>
    </w:p>
    <w:p>
      <w:pPr>
        <w:snapToGrid w:val="0"/>
        <w:spacing w:line="520" w:lineRule="exact"/>
        <w:ind w:firstLine="482" w:firstLineChars="200"/>
        <w:rPr>
          <w:rFonts w:hint="eastAsia" w:ascii="宋体" w:hAnsi="宋体"/>
          <w:b/>
          <w:color w:val="auto"/>
          <w:sz w:val="24"/>
          <w:highlight w:val="none"/>
        </w:rPr>
      </w:pPr>
      <w:r>
        <w:rPr>
          <w:rFonts w:ascii="宋体" w:hAnsi="宋体"/>
          <w:b/>
          <w:color w:val="auto"/>
          <w:sz w:val="24"/>
          <w:highlight w:val="none"/>
        </w:rPr>
        <w:t>（三）招标方式</w:t>
      </w:r>
    </w:p>
    <w:p>
      <w:pPr>
        <w:snapToGrid w:val="0"/>
        <w:spacing w:line="520" w:lineRule="exact"/>
        <w:ind w:firstLine="480" w:firstLineChars="200"/>
        <w:rPr>
          <w:rFonts w:hint="eastAsia" w:ascii="宋体" w:hAnsi="宋体"/>
          <w:color w:val="auto"/>
          <w:sz w:val="24"/>
          <w:highlight w:val="none"/>
        </w:rPr>
      </w:pPr>
      <w:r>
        <w:rPr>
          <w:rFonts w:ascii="宋体" w:hAnsi="宋体"/>
          <w:color w:val="auto"/>
          <w:sz w:val="24"/>
          <w:highlight w:val="none"/>
        </w:rPr>
        <w:t>本次招标采用公开招标方式进行。</w:t>
      </w:r>
    </w:p>
    <w:p>
      <w:pPr>
        <w:snapToGrid w:val="0"/>
        <w:spacing w:line="520" w:lineRule="exact"/>
        <w:ind w:firstLine="482" w:firstLineChars="200"/>
        <w:rPr>
          <w:rFonts w:hint="eastAsia" w:ascii="宋体" w:hAnsi="宋体"/>
          <w:b/>
          <w:color w:val="auto"/>
          <w:sz w:val="24"/>
          <w:highlight w:val="none"/>
        </w:rPr>
      </w:pPr>
      <w:r>
        <w:rPr>
          <w:rFonts w:ascii="宋体" w:hAnsi="宋体"/>
          <w:b/>
          <w:color w:val="auto"/>
          <w:sz w:val="24"/>
          <w:highlight w:val="none"/>
        </w:rPr>
        <w:t>（四）投标委托</w:t>
      </w:r>
    </w:p>
    <w:p>
      <w:pPr>
        <w:pStyle w:val="14"/>
        <w:snapToGrid w:val="0"/>
        <w:spacing w:line="520" w:lineRule="exact"/>
        <w:ind w:firstLine="464" w:firstLineChars="200"/>
        <w:rPr>
          <w:rFonts w:hint="eastAsia" w:hAnsi="宋体"/>
          <w:color w:val="auto"/>
          <w:sz w:val="24"/>
          <w:highlight w:val="none"/>
        </w:rPr>
      </w:pPr>
      <w:r>
        <w:rPr>
          <w:rFonts w:hAnsi="宋体"/>
          <w:color w:val="auto"/>
          <w:sz w:val="24"/>
          <w:highlight w:val="none"/>
        </w:rPr>
        <w:t>如投标人代表不是法定代表人，须有法定代表人出具的授权委托书（格式见第</w:t>
      </w:r>
      <w:r>
        <w:rPr>
          <w:rFonts w:hint="eastAsia" w:hAnsi="宋体"/>
          <w:color w:val="auto"/>
          <w:sz w:val="24"/>
          <w:highlight w:val="none"/>
        </w:rPr>
        <w:t>六章</w:t>
      </w:r>
      <w:r>
        <w:rPr>
          <w:rFonts w:hAnsi="宋体"/>
          <w:color w:val="auto"/>
          <w:sz w:val="24"/>
          <w:highlight w:val="none"/>
        </w:rPr>
        <w:t>）。</w:t>
      </w:r>
    </w:p>
    <w:p>
      <w:pPr>
        <w:snapToGrid w:val="0"/>
        <w:spacing w:line="520" w:lineRule="exact"/>
        <w:ind w:firstLine="482" w:firstLineChars="200"/>
        <w:rPr>
          <w:rFonts w:hint="eastAsia" w:ascii="宋体" w:hAnsi="宋体"/>
          <w:b/>
          <w:color w:val="auto"/>
          <w:sz w:val="24"/>
          <w:highlight w:val="none"/>
        </w:rPr>
      </w:pPr>
      <w:r>
        <w:rPr>
          <w:rFonts w:ascii="宋体" w:hAnsi="宋体"/>
          <w:b/>
          <w:color w:val="auto"/>
          <w:sz w:val="24"/>
          <w:highlight w:val="none"/>
        </w:rPr>
        <w:t>（五）投标费用</w:t>
      </w:r>
    </w:p>
    <w:p>
      <w:pPr>
        <w:snapToGrid w:val="0"/>
        <w:spacing w:line="520" w:lineRule="exact"/>
        <w:ind w:firstLine="480" w:firstLineChars="200"/>
        <w:rPr>
          <w:rFonts w:hint="eastAsia" w:ascii="宋体" w:hAnsi="宋体"/>
          <w:color w:val="auto"/>
          <w:sz w:val="24"/>
          <w:highlight w:val="none"/>
        </w:rPr>
      </w:pPr>
      <w:r>
        <w:rPr>
          <w:rFonts w:ascii="宋体" w:hAnsi="宋体"/>
          <w:color w:val="auto"/>
          <w:sz w:val="24"/>
          <w:highlight w:val="none"/>
        </w:rPr>
        <w:t>不论投标结果如何，投标人均应自行承担所有与投标有关的全部费用（招标文件有相</w:t>
      </w:r>
      <w:r>
        <w:rPr>
          <w:rFonts w:hint="eastAsia" w:ascii="宋体" w:hAnsi="宋体"/>
          <w:color w:val="auto"/>
          <w:sz w:val="24"/>
          <w:highlight w:val="none"/>
        </w:rPr>
        <w:t>关</w:t>
      </w:r>
      <w:r>
        <w:rPr>
          <w:rFonts w:ascii="宋体" w:hAnsi="宋体"/>
          <w:color w:val="auto"/>
          <w:sz w:val="24"/>
          <w:highlight w:val="none"/>
        </w:rPr>
        <w:t>规定除外）。</w:t>
      </w:r>
    </w:p>
    <w:p>
      <w:pPr>
        <w:snapToGrid w:val="0"/>
        <w:spacing w:line="520" w:lineRule="exact"/>
        <w:ind w:firstLine="482" w:firstLineChars="200"/>
        <w:rPr>
          <w:rFonts w:hint="eastAsia" w:ascii="宋体" w:hAnsi="宋体"/>
          <w:b/>
          <w:color w:val="auto"/>
          <w:sz w:val="24"/>
          <w:highlight w:val="none"/>
        </w:rPr>
      </w:pPr>
      <w:r>
        <w:rPr>
          <w:rFonts w:ascii="宋体" w:hAnsi="宋体"/>
          <w:b/>
          <w:color w:val="auto"/>
          <w:sz w:val="24"/>
          <w:highlight w:val="none"/>
        </w:rPr>
        <w:t>（六）联合体投标</w:t>
      </w:r>
    </w:p>
    <w:p>
      <w:pPr>
        <w:snapToGrid w:val="0"/>
        <w:spacing w:line="520" w:lineRule="exact"/>
        <w:ind w:firstLine="480" w:firstLineChars="200"/>
        <w:rPr>
          <w:rFonts w:hint="eastAsia" w:ascii="宋体" w:hAnsi="宋体"/>
          <w:color w:val="auto"/>
          <w:sz w:val="24"/>
          <w:highlight w:val="none"/>
        </w:rPr>
      </w:pPr>
      <w:r>
        <w:rPr>
          <w:rFonts w:ascii="宋体" w:hAnsi="宋体"/>
          <w:color w:val="auto"/>
          <w:sz w:val="24"/>
          <w:highlight w:val="none"/>
        </w:rPr>
        <w:t>本项目</w:t>
      </w:r>
      <w:r>
        <w:rPr>
          <w:rFonts w:hint="eastAsia" w:ascii="宋体" w:hAnsi="宋体"/>
          <w:color w:val="auto"/>
          <w:sz w:val="24"/>
          <w:highlight w:val="none"/>
        </w:rPr>
        <w:t>不接受</w:t>
      </w:r>
      <w:r>
        <w:rPr>
          <w:rFonts w:ascii="宋体" w:hAnsi="宋体"/>
          <w:color w:val="auto"/>
          <w:sz w:val="24"/>
          <w:highlight w:val="none"/>
        </w:rPr>
        <w:t>联合体投标。</w:t>
      </w:r>
    </w:p>
    <w:p>
      <w:pPr>
        <w:snapToGrid w:val="0"/>
        <w:spacing w:line="520" w:lineRule="exact"/>
        <w:ind w:firstLine="482" w:firstLineChars="200"/>
        <w:rPr>
          <w:rFonts w:hint="eastAsia" w:ascii="宋体" w:hAnsi="宋体"/>
          <w:b/>
          <w:color w:val="auto"/>
          <w:kern w:val="0"/>
          <w:sz w:val="24"/>
          <w:highlight w:val="none"/>
        </w:rPr>
      </w:pPr>
      <w:r>
        <w:rPr>
          <w:rFonts w:ascii="宋体" w:hAnsi="宋体"/>
          <w:b/>
          <w:color w:val="auto"/>
          <w:sz w:val="24"/>
          <w:highlight w:val="none"/>
        </w:rPr>
        <w:t>（七）</w:t>
      </w:r>
      <w:r>
        <w:rPr>
          <w:rFonts w:ascii="宋体" w:hAnsi="宋体"/>
          <w:b/>
          <w:color w:val="auto"/>
          <w:kern w:val="0"/>
          <w:sz w:val="24"/>
          <w:highlight w:val="none"/>
        </w:rPr>
        <w:t>转包与分包</w:t>
      </w:r>
    </w:p>
    <w:p>
      <w:pPr>
        <w:snapToGrid w:val="0"/>
        <w:spacing w:line="520" w:lineRule="exact"/>
        <w:ind w:firstLine="480" w:firstLineChars="200"/>
        <w:rPr>
          <w:rFonts w:hint="eastAsia" w:ascii="宋体" w:hAnsi="宋体" w:cs="宋体"/>
          <w:color w:val="auto"/>
          <w:kern w:val="0"/>
          <w:sz w:val="24"/>
          <w:highlight w:val="none"/>
        </w:rPr>
      </w:pPr>
      <w:r>
        <w:rPr>
          <w:rFonts w:ascii="宋体" w:hAnsi="宋体" w:cs="宋体"/>
          <w:color w:val="auto"/>
          <w:kern w:val="0"/>
          <w:sz w:val="24"/>
          <w:highlight w:val="none"/>
        </w:rPr>
        <w:t>1</w:t>
      </w:r>
      <w:r>
        <w:rPr>
          <w:rFonts w:hint="eastAsia" w:ascii="宋体" w:hAnsi="宋体" w:cs="宋体"/>
          <w:color w:val="auto"/>
          <w:kern w:val="0"/>
          <w:sz w:val="24"/>
          <w:highlight w:val="none"/>
        </w:rPr>
        <w:t>.</w:t>
      </w:r>
      <w:r>
        <w:rPr>
          <w:rFonts w:ascii="宋体" w:hAnsi="宋体" w:cs="宋体"/>
          <w:color w:val="auto"/>
          <w:kern w:val="0"/>
          <w:sz w:val="24"/>
          <w:highlight w:val="none"/>
        </w:rPr>
        <w:t>本项目不允许转包。</w:t>
      </w:r>
    </w:p>
    <w:p>
      <w:pPr>
        <w:snapToGrid w:val="0"/>
        <w:spacing w:line="520" w:lineRule="exact"/>
        <w:ind w:firstLine="480" w:firstLineChars="200"/>
        <w:rPr>
          <w:rFonts w:hint="eastAsia" w:ascii="宋体" w:hAnsi="宋体" w:cs="宋体"/>
          <w:color w:val="auto"/>
          <w:kern w:val="0"/>
          <w:sz w:val="24"/>
          <w:highlight w:val="none"/>
        </w:rPr>
      </w:pPr>
      <w:r>
        <w:rPr>
          <w:rFonts w:ascii="宋体" w:hAnsi="宋体" w:cs="宋体"/>
          <w:color w:val="auto"/>
          <w:kern w:val="0"/>
          <w:sz w:val="24"/>
          <w:highlight w:val="none"/>
        </w:rPr>
        <w:t>2</w:t>
      </w:r>
      <w:r>
        <w:rPr>
          <w:rFonts w:hint="eastAsia" w:ascii="宋体" w:hAnsi="宋体" w:cs="宋体"/>
          <w:color w:val="auto"/>
          <w:kern w:val="0"/>
          <w:sz w:val="24"/>
          <w:highlight w:val="none"/>
        </w:rPr>
        <w:t>.</w:t>
      </w:r>
      <w:r>
        <w:rPr>
          <w:rFonts w:ascii="宋体" w:hAnsi="宋体" w:cs="宋体"/>
          <w:color w:val="auto"/>
          <w:kern w:val="0"/>
          <w:sz w:val="24"/>
          <w:highlight w:val="none"/>
        </w:rPr>
        <w:t>本项目不可以分包</w:t>
      </w:r>
      <w:r>
        <w:rPr>
          <w:rFonts w:hint="eastAsia" w:ascii="宋体" w:hAnsi="宋体" w:cs="宋体"/>
          <w:color w:val="auto"/>
          <w:kern w:val="0"/>
          <w:sz w:val="24"/>
          <w:highlight w:val="none"/>
        </w:rPr>
        <w:t>。</w:t>
      </w:r>
    </w:p>
    <w:p>
      <w:pPr>
        <w:snapToGrid w:val="0"/>
        <w:spacing w:line="520" w:lineRule="exact"/>
        <w:ind w:firstLine="482" w:firstLineChars="200"/>
        <w:rPr>
          <w:rFonts w:hint="eastAsia" w:ascii="宋体" w:hAnsi="宋体"/>
          <w:b/>
          <w:color w:val="auto"/>
          <w:sz w:val="24"/>
          <w:highlight w:val="none"/>
        </w:rPr>
      </w:pPr>
      <w:r>
        <w:rPr>
          <w:rFonts w:hint="eastAsia" w:ascii="宋体" w:hAnsi="宋体"/>
          <w:b/>
          <w:color w:val="auto"/>
          <w:sz w:val="24"/>
          <w:highlight w:val="none"/>
        </w:rPr>
        <w:t>（八）是否允许采购进口产品</w:t>
      </w:r>
    </w:p>
    <w:p>
      <w:pPr>
        <w:snapToGrid w:val="0"/>
        <w:spacing w:line="520" w:lineRule="exact"/>
        <w:ind w:firstLine="480" w:firstLineChars="200"/>
        <w:rPr>
          <w:rFonts w:hint="eastAsia" w:ascii="宋体" w:hAnsi="宋体"/>
          <w:color w:val="auto"/>
          <w:sz w:val="24"/>
          <w:highlight w:val="none"/>
        </w:rPr>
      </w:pPr>
      <w:r>
        <w:rPr>
          <w:rFonts w:ascii="宋体" w:hAnsi="宋体" w:cs="宋体"/>
          <w:color w:val="auto"/>
          <w:kern w:val="0"/>
          <w:sz w:val="24"/>
          <w:highlight w:val="none"/>
        </w:rPr>
        <w:t>本项目不允</w:t>
      </w:r>
      <w:r>
        <w:rPr>
          <w:rFonts w:hint="eastAsia" w:ascii="宋体" w:hAnsi="宋体" w:cs="宋体"/>
          <w:color w:val="auto"/>
          <w:kern w:val="0"/>
          <w:sz w:val="24"/>
          <w:highlight w:val="none"/>
        </w:rPr>
        <w:t>许采购进口产品</w:t>
      </w:r>
      <w:r>
        <w:rPr>
          <w:rFonts w:ascii="宋体" w:hAnsi="宋体" w:cs="宋体"/>
          <w:color w:val="auto"/>
          <w:kern w:val="0"/>
          <w:sz w:val="24"/>
          <w:highlight w:val="none"/>
        </w:rPr>
        <w:t>。</w:t>
      </w:r>
    </w:p>
    <w:p>
      <w:pPr>
        <w:numPr>
          <w:ilvl w:val="0"/>
          <w:numId w:val="6"/>
        </w:numPr>
        <w:snapToGrid w:val="0"/>
        <w:spacing w:line="520" w:lineRule="exact"/>
        <w:ind w:firstLine="482" w:firstLineChars="200"/>
        <w:rPr>
          <w:rFonts w:hint="eastAsia" w:ascii="宋体" w:hAnsi="宋体"/>
          <w:b/>
          <w:color w:val="auto"/>
          <w:sz w:val="24"/>
          <w:highlight w:val="none"/>
        </w:rPr>
      </w:pPr>
      <w:r>
        <w:rPr>
          <w:rFonts w:ascii="宋体" w:hAnsi="宋体"/>
          <w:b/>
          <w:color w:val="auto"/>
          <w:sz w:val="24"/>
          <w:highlight w:val="none"/>
        </w:rPr>
        <w:t>特别说明：</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1.除采购文件明确的品牌外，欢迎其他能满足本项目技术需求且性能与所明确品牌相当的产品参加。</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2.需求中不允许偏离的实质性要求和条件，以“▲”号标明，如投标人未响应的，将被视为无效。</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3.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使用综合评分法的采购项目，提供相同品牌产品且通过资格审查、符合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非单一产品采购项目，采购人应当根据采购项目技术构成、产品价格比重等合理确定核心产品，并在招标文件中载明。多家投标人提供的核心产品品牌相同的，按前两款规定处理。</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4.采购人拟采购的产品属于政府强制采购节能品目的，（详见《关于印发节能产品政府采购品目清单的通知》财库〔2019〕19号），需按《财政部 发展改革委 生态环境部 市场监管总局 关于调整优化节能产品、环境标志产品政府采购执行机制的通知》财库〔2019〕9号要求执行，但无对应细化分类或节能清单中的产品无法满足工作需要的，采购人应当在详细需求中标明并说明理由，否则按照前附表“政府采购节能环保产品”要求执行。</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5.投标人投标产品规格型号与官网公布的产品规格型号一致，但技术参数不一致的，应当在投标文件中阐述技术参数不一致的原因，以及通过何种技术路线来实现投标产品技术参数。投标人未作说明的，评标委员会有权对该投标文件作出不利于投标人的评判。</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6.供应商承诺提供赠品、回扣、采购预算中本身不包含的其他商品或服务，视作无效承诺。</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7.投标人投标所使用的资格、信誉、荣誉、业绩与企业认证必须为本法人所拥有。投标人投标所使用的采购项目实施人员必须为本法人员工（或必须为本法人或控股公司正式员工）。</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8.投标人应仔细阅读招标文件的所有内容，按照招标文件的要求提交投标文件，并对所提供的全部资料的真实性承担法律责任。</w:t>
      </w:r>
    </w:p>
    <w:p>
      <w:pPr>
        <w:pStyle w:val="18"/>
        <w:snapToGrid w:val="0"/>
        <w:spacing w:beforeLines="0" w:afterLines="0" w:line="520" w:lineRule="exact"/>
        <w:ind w:firstLine="480" w:firstLineChars="200"/>
        <w:rPr>
          <w:rFonts w:hint="eastAsia" w:hAnsi="宋体"/>
          <w:b/>
          <w:color w:val="auto"/>
          <w:highlight w:val="none"/>
        </w:rPr>
      </w:pPr>
      <w:r>
        <w:rPr>
          <w:rFonts w:hint="eastAsia" w:hAnsi="宋体"/>
          <w:color w:val="auto"/>
          <w:highlight w:val="none"/>
        </w:rPr>
        <w:t>9</w:t>
      </w:r>
      <w:r>
        <w:rPr>
          <w:rFonts w:hAnsi="宋体"/>
          <w:color w:val="auto"/>
          <w:highlight w:val="none"/>
        </w:rPr>
        <w:t>.投标人在投标活动中提供任何虚假材料，其投标无效，并报监管部门查处；中标后发现的，</w:t>
      </w:r>
      <w:r>
        <w:rPr>
          <w:rFonts w:hint="eastAsia" w:hAnsi="宋体"/>
          <w:color w:val="auto"/>
          <w:highlight w:val="none"/>
        </w:rPr>
        <w:t>中标人须</w:t>
      </w:r>
      <w:r>
        <w:rPr>
          <w:rFonts w:hAnsi="宋体"/>
          <w:color w:val="auto"/>
          <w:highlight w:val="none"/>
        </w:rPr>
        <w:t>依照《中华人民共和国消费者权益保护法》第49条之规定由中标人双倍赔偿采购人，且民事赔偿并不免除违法投标人的行政与刑事责任。</w:t>
      </w:r>
    </w:p>
    <w:p>
      <w:pPr>
        <w:snapToGrid w:val="0"/>
        <w:spacing w:line="520" w:lineRule="exact"/>
        <w:ind w:firstLine="482" w:firstLineChars="200"/>
        <w:rPr>
          <w:rFonts w:hint="eastAsia" w:ascii="宋体" w:hAnsi="宋体"/>
          <w:b/>
          <w:color w:val="auto"/>
          <w:sz w:val="24"/>
          <w:highlight w:val="none"/>
        </w:rPr>
      </w:pPr>
      <w:r>
        <w:rPr>
          <w:rFonts w:ascii="宋体" w:hAnsi="宋体"/>
          <w:b/>
          <w:color w:val="auto"/>
          <w:sz w:val="24"/>
          <w:highlight w:val="none"/>
        </w:rPr>
        <w:t>（</w:t>
      </w:r>
      <w:r>
        <w:rPr>
          <w:rFonts w:hint="eastAsia" w:ascii="宋体" w:hAnsi="宋体"/>
          <w:b/>
          <w:color w:val="auto"/>
          <w:sz w:val="24"/>
          <w:highlight w:val="none"/>
        </w:rPr>
        <w:t>十</w:t>
      </w:r>
      <w:r>
        <w:rPr>
          <w:rFonts w:ascii="宋体" w:hAnsi="宋体"/>
          <w:b/>
          <w:color w:val="auto"/>
          <w:sz w:val="24"/>
          <w:highlight w:val="none"/>
        </w:rPr>
        <w:t>）质疑和投诉</w:t>
      </w:r>
    </w:p>
    <w:p>
      <w:pPr>
        <w:pStyle w:val="37"/>
        <w:adjustRightInd w:val="0"/>
        <w:snapToGrid w:val="0"/>
        <w:spacing w:before="0" w:line="520" w:lineRule="exact"/>
        <w:ind w:firstLine="480"/>
        <w:rPr>
          <w:rFonts w:hint="eastAsia" w:ascii="宋体" w:hAnsi="宋体"/>
          <w:color w:val="auto"/>
          <w:highlight w:val="none"/>
        </w:rPr>
      </w:pPr>
      <w:r>
        <w:rPr>
          <w:rFonts w:hint="eastAsia" w:ascii="宋体" w:hAnsi="宋体"/>
          <w:color w:val="auto"/>
          <w:highlight w:val="none"/>
        </w:rPr>
        <w:t>根据《中华人民共和国政府采购法》、《中华人民共和国政府采购法实施条例》《财政部关于加强政府采购供应商投诉受理审查工作的通知》(财库〔2007〕1号)、《政府采购质疑和投诉办法》（第94号令）和《浙江省政府采购供应商质疑处理办法》（浙财采监[2012]18号）等规定，政府采购供应商可以依法提起质疑和投诉。</w:t>
      </w:r>
    </w:p>
    <w:p>
      <w:pPr>
        <w:pStyle w:val="37"/>
        <w:spacing w:before="0" w:line="520" w:lineRule="exact"/>
        <w:ind w:firstLine="480"/>
        <w:rPr>
          <w:rFonts w:hint="eastAsia" w:ascii="宋体" w:hAnsi="宋体"/>
          <w:color w:val="auto"/>
          <w:highlight w:val="none"/>
        </w:rPr>
      </w:pPr>
      <w:r>
        <w:rPr>
          <w:rFonts w:ascii="宋体" w:hAnsi="宋体"/>
          <w:color w:val="auto"/>
          <w:highlight w:val="none"/>
        </w:rPr>
        <w:t>1.</w:t>
      </w:r>
      <w:r>
        <w:rPr>
          <w:rFonts w:hint="eastAsia" w:ascii="宋体" w:hAnsi="宋体"/>
          <w:color w:val="auto"/>
          <w:highlight w:val="none"/>
        </w:rPr>
        <w:t>供应商询问</w:t>
      </w:r>
    </w:p>
    <w:p>
      <w:pPr>
        <w:pStyle w:val="37"/>
        <w:adjustRightInd w:val="0"/>
        <w:snapToGrid w:val="0"/>
        <w:spacing w:before="0" w:line="520" w:lineRule="exact"/>
        <w:ind w:firstLine="480"/>
        <w:rPr>
          <w:rFonts w:hint="eastAsia" w:ascii="宋体" w:hAnsi="宋体"/>
          <w:color w:val="auto"/>
          <w:highlight w:val="none"/>
        </w:rPr>
      </w:pPr>
      <w:r>
        <w:rPr>
          <w:rFonts w:hint="eastAsia" w:ascii="宋体" w:hAnsi="宋体"/>
          <w:color w:val="auto"/>
          <w:highlight w:val="none"/>
        </w:rPr>
        <w:t>供应商对政府采购活动事项有疑问的，可以向</w:t>
      </w:r>
      <w:r>
        <w:rPr>
          <w:rFonts w:ascii="宋体" w:hAnsi="宋体"/>
          <w:color w:val="auto"/>
          <w:highlight w:val="none"/>
        </w:rPr>
        <w:t>招标采购单位</w:t>
      </w:r>
      <w:r>
        <w:rPr>
          <w:rFonts w:hint="eastAsia" w:ascii="宋体" w:hAnsi="宋体"/>
          <w:color w:val="auto"/>
          <w:highlight w:val="none"/>
        </w:rPr>
        <w:t>提出询问，</w:t>
      </w:r>
      <w:r>
        <w:rPr>
          <w:rFonts w:ascii="宋体" w:hAnsi="宋体"/>
          <w:color w:val="auto"/>
          <w:highlight w:val="none"/>
        </w:rPr>
        <w:t>招标采购单位</w:t>
      </w:r>
      <w:r>
        <w:rPr>
          <w:rFonts w:hint="eastAsia" w:ascii="宋体" w:hAnsi="宋体"/>
          <w:color w:val="auto"/>
          <w:highlight w:val="none"/>
        </w:rPr>
        <w:t>应当及时做出答复，但答复的内容不得涉及商业秘密。</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2.供应商质疑</w:t>
      </w:r>
    </w:p>
    <w:p>
      <w:pPr>
        <w:pStyle w:val="37"/>
        <w:spacing w:before="0" w:line="520" w:lineRule="exact"/>
        <w:ind w:firstLine="480"/>
        <w:rPr>
          <w:rFonts w:hint="eastAsia" w:ascii="宋体" w:hAnsi="宋体"/>
          <w:color w:val="auto"/>
          <w:highlight w:val="none"/>
        </w:rPr>
      </w:pPr>
      <w:r>
        <w:rPr>
          <w:rFonts w:hint="eastAsia" w:ascii="宋体" w:hAnsi="宋体"/>
          <w:color w:val="auto"/>
          <w:highlight w:val="none"/>
        </w:rPr>
        <w:t>2.1采购文件质疑：供应商可在获取采购文件之日或者采购文件公告期限届满之日（公告期限届满后获取采购文件的，以公告期限届满之日为准）起7个工作日内发起；采购结果质疑：投标（响应）供应商可在采购结果公告期限届满之日起7个工作日内发起。</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2.2质疑应当以书面形式提出，格式见《政府采购质疑和投诉办法》（财政部令第94号）附件范本，下载网址：浙江政府采购网(</w:t>
      </w:r>
      <w:r>
        <w:rPr>
          <w:rFonts w:hint="eastAsia" w:hAnsi="宋体" w:cs="宋体"/>
          <w:bCs/>
          <w:color w:val="auto"/>
          <w:highlight w:val="none"/>
        </w:rPr>
        <w:t>网https://login.zcygov.cn/login</w:t>
      </w:r>
      <w:r>
        <w:rPr>
          <w:rFonts w:hint="eastAsia" w:hAnsi="宋体"/>
          <w:color w:val="auto"/>
          <w:highlight w:val="none"/>
        </w:rPr>
        <w:t>)，位置：“首页-下载专区-质疑投诉模板”。供应商提出质疑应当提交质疑函和必要的证明材料。供应商应当在法定质疑期内一次性提出针对同一采购程序环节的质疑。</w:t>
      </w:r>
    </w:p>
    <w:p>
      <w:pPr>
        <w:pStyle w:val="37"/>
        <w:spacing w:before="0" w:line="520" w:lineRule="exact"/>
        <w:ind w:firstLine="480"/>
        <w:rPr>
          <w:rFonts w:hint="eastAsia" w:ascii="宋体" w:hAnsi="宋体"/>
          <w:color w:val="auto"/>
          <w:highlight w:val="none"/>
        </w:rPr>
      </w:pPr>
      <w:r>
        <w:rPr>
          <w:rFonts w:hint="eastAsia" w:ascii="宋体" w:hAnsi="宋体"/>
          <w:color w:val="auto"/>
          <w:highlight w:val="none"/>
        </w:rPr>
        <w:t>质疑函应当包括下列内容：</w:t>
      </w:r>
    </w:p>
    <w:p>
      <w:pPr>
        <w:pStyle w:val="37"/>
        <w:spacing w:before="0" w:line="520" w:lineRule="exact"/>
        <w:ind w:firstLine="480"/>
        <w:rPr>
          <w:rFonts w:hint="eastAsia" w:ascii="宋体" w:hAnsi="宋体"/>
          <w:color w:val="auto"/>
          <w:highlight w:val="none"/>
        </w:rPr>
      </w:pPr>
      <w:r>
        <w:rPr>
          <w:rFonts w:hint="eastAsia" w:ascii="宋体" w:hAnsi="宋体"/>
          <w:color w:val="auto"/>
          <w:highlight w:val="none"/>
        </w:rPr>
        <w:t>a供应商的姓名或者名称、地址、邮编、联系人及联系电话；</w:t>
      </w:r>
    </w:p>
    <w:p>
      <w:pPr>
        <w:pStyle w:val="37"/>
        <w:spacing w:before="0" w:line="520" w:lineRule="exact"/>
        <w:ind w:firstLine="480"/>
        <w:rPr>
          <w:rFonts w:hint="eastAsia" w:ascii="宋体" w:hAnsi="宋体"/>
          <w:color w:val="auto"/>
          <w:highlight w:val="none"/>
        </w:rPr>
      </w:pPr>
      <w:r>
        <w:rPr>
          <w:rFonts w:hint="eastAsia" w:ascii="宋体" w:hAnsi="宋体"/>
          <w:color w:val="auto"/>
          <w:highlight w:val="none"/>
        </w:rPr>
        <w:t>b质疑项目的名称、编号；</w:t>
      </w:r>
    </w:p>
    <w:p>
      <w:pPr>
        <w:pStyle w:val="37"/>
        <w:spacing w:before="0" w:line="520" w:lineRule="exact"/>
        <w:ind w:firstLine="480"/>
        <w:rPr>
          <w:rFonts w:hint="eastAsia" w:ascii="宋体" w:hAnsi="宋体"/>
          <w:color w:val="auto"/>
          <w:highlight w:val="none"/>
        </w:rPr>
      </w:pPr>
      <w:r>
        <w:rPr>
          <w:rFonts w:hint="eastAsia" w:ascii="宋体" w:hAnsi="宋体"/>
          <w:color w:val="auto"/>
          <w:highlight w:val="none"/>
        </w:rPr>
        <w:t>c具体、明确的质疑事项和与质疑事项相关的请求；</w:t>
      </w:r>
    </w:p>
    <w:p>
      <w:pPr>
        <w:pStyle w:val="37"/>
        <w:spacing w:before="0" w:line="520" w:lineRule="exact"/>
        <w:ind w:firstLine="480"/>
        <w:rPr>
          <w:rFonts w:hint="eastAsia" w:ascii="宋体" w:hAnsi="宋体"/>
          <w:color w:val="auto"/>
          <w:highlight w:val="none"/>
        </w:rPr>
      </w:pPr>
      <w:r>
        <w:rPr>
          <w:rFonts w:hint="eastAsia" w:ascii="宋体" w:hAnsi="宋体"/>
          <w:color w:val="auto"/>
          <w:highlight w:val="none"/>
        </w:rPr>
        <w:t>d事实依据；</w:t>
      </w:r>
    </w:p>
    <w:p>
      <w:pPr>
        <w:pStyle w:val="37"/>
        <w:spacing w:before="0" w:line="520" w:lineRule="exact"/>
        <w:ind w:firstLine="480"/>
        <w:rPr>
          <w:rFonts w:hint="eastAsia" w:ascii="宋体" w:hAnsi="宋体"/>
          <w:color w:val="auto"/>
          <w:highlight w:val="none"/>
        </w:rPr>
      </w:pPr>
      <w:r>
        <w:rPr>
          <w:rFonts w:hint="eastAsia" w:ascii="宋体" w:hAnsi="宋体"/>
          <w:color w:val="auto"/>
          <w:highlight w:val="none"/>
        </w:rPr>
        <w:t>e必要的法律依据；</w:t>
      </w:r>
    </w:p>
    <w:p>
      <w:pPr>
        <w:pStyle w:val="37"/>
        <w:spacing w:before="0" w:line="520" w:lineRule="exact"/>
        <w:ind w:firstLine="480"/>
        <w:rPr>
          <w:rFonts w:hint="eastAsia" w:ascii="宋体" w:hAnsi="宋体"/>
          <w:color w:val="auto"/>
          <w:highlight w:val="none"/>
        </w:rPr>
      </w:pPr>
      <w:r>
        <w:rPr>
          <w:rFonts w:hint="eastAsia" w:ascii="宋体" w:hAnsi="宋体"/>
          <w:color w:val="auto"/>
          <w:highlight w:val="none"/>
        </w:rPr>
        <w:t>f提出质疑的日期。</w:t>
      </w:r>
    </w:p>
    <w:p>
      <w:pPr>
        <w:pStyle w:val="37"/>
        <w:spacing w:before="0" w:line="520" w:lineRule="exact"/>
        <w:ind w:firstLine="480"/>
        <w:rPr>
          <w:rFonts w:hint="eastAsia" w:ascii="宋体" w:hAnsi="宋体"/>
          <w:color w:val="auto"/>
          <w:highlight w:val="none"/>
        </w:rPr>
      </w:pPr>
      <w:r>
        <w:rPr>
          <w:rFonts w:hint="eastAsia" w:ascii="宋体" w:hAnsi="宋体"/>
          <w:color w:val="auto"/>
          <w:highlight w:val="none"/>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 质疑函不符合《政府采购质疑和投诉办法》相关规定的，应在规定期限内补齐的，招标方自收到补齐材料之日起受理；逾期未补齐的，按自动撤回质疑处理。</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3.供应商投诉</w:t>
      </w:r>
    </w:p>
    <w:p>
      <w:pPr>
        <w:adjustRightInd w:val="0"/>
        <w:snapToGrid w:val="0"/>
        <w:spacing w:line="520" w:lineRule="exact"/>
        <w:ind w:firstLine="480" w:firstLineChars="200"/>
        <w:rPr>
          <w:rFonts w:hint="eastAsia" w:ascii="宋体" w:hAnsi="宋体"/>
          <w:color w:val="auto"/>
          <w:sz w:val="24"/>
          <w:highlight w:val="none"/>
        </w:rPr>
      </w:pPr>
      <w:r>
        <w:rPr>
          <w:rFonts w:ascii="宋体" w:hAnsi="宋体"/>
          <w:color w:val="auto"/>
          <w:sz w:val="24"/>
          <w:highlight w:val="none"/>
        </w:rPr>
        <w:t>供应商对招标采购单位的质疑答复不满意或者招标采购单位未在规定时间内</w:t>
      </w:r>
      <w:r>
        <w:rPr>
          <w:rFonts w:hint="eastAsia" w:ascii="宋体" w:hAnsi="宋体"/>
          <w:color w:val="auto"/>
          <w:sz w:val="24"/>
          <w:highlight w:val="none"/>
        </w:rPr>
        <w:t>做出</w:t>
      </w:r>
      <w:r>
        <w:rPr>
          <w:rFonts w:ascii="宋体" w:hAnsi="宋体"/>
          <w:color w:val="auto"/>
          <w:sz w:val="24"/>
          <w:highlight w:val="none"/>
        </w:rPr>
        <w:t>答复的，可以在答复期满后十五个工作日内向同级政府采购监督管理部门投诉。</w:t>
      </w:r>
    </w:p>
    <w:p>
      <w:pPr>
        <w:adjustRightInd w:val="0"/>
        <w:snapToGrid w:val="0"/>
        <w:spacing w:line="520" w:lineRule="exact"/>
        <w:ind w:firstLine="480" w:firstLineChars="200"/>
        <w:rPr>
          <w:rFonts w:hint="eastAsia" w:ascii="宋体" w:hAnsi="宋体"/>
          <w:color w:val="auto"/>
          <w:sz w:val="24"/>
          <w:highlight w:val="none"/>
        </w:rPr>
      </w:pPr>
      <w:r>
        <w:rPr>
          <w:rFonts w:hint="eastAsia" w:ascii="宋体" w:hAnsi="宋体"/>
          <w:color w:val="auto"/>
          <w:sz w:val="24"/>
          <w:highlight w:val="none"/>
        </w:rPr>
        <w:t>4.供应商质疑、投诉应当有明确的请求和必要的证明材料。供应商投诉的事项不得超出已质疑事项的范围。</w:t>
      </w:r>
    </w:p>
    <w:p>
      <w:pPr>
        <w:spacing w:line="520" w:lineRule="exact"/>
        <w:ind w:firstLine="480" w:firstLineChars="200"/>
        <w:rPr>
          <w:rFonts w:hint="eastAsia" w:ascii="宋体" w:hAnsi="宋体"/>
          <w:color w:val="auto"/>
          <w:sz w:val="24"/>
          <w:highlight w:val="none"/>
        </w:rPr>
      </w:pPr>
      <w:r>
        <w:rPr>
          <w:rFonts w:ascii="宋体" w:hAnsi="宋体"/>
          <w:color w:val="auto"/>
          <w:sz w:val="24"/>
          <w:highlight w:val="none"/>
        </w:rPr>
        <w:t>质疑受理地点：</w:t>
      </w:r>
      <w:r>
        <w:rPr>
          <w:rFonts w:hint="eastAsia" w:ascii="宋体" w:hAnsi="宋体"/>
          <w:color w:val="auto"/>
          <w:sz w:val="24"/>
          <w:highlight w:val="none"/>
        </w:rPr>
        <w:t>平湖市</w:t>
      </w:r>
      <w:r>
        <w:rPr>
          <w:rFonts w:ascii="宋体" w:hAnsi="宋体"/>
          <w:color w:val="auto"/>
          <w:sz w:val="24"/>
          <w:highlight w:val="none"/>
        </w:rPr>
        <w:t>公共资源交易中心；联系人：</w:t>
      </w:r>
      <w:r>
        <w:rPr>
          <w:rFonts w:hint="eastAsia" w:ascii="宋体" w:hAnsi="宋体"/>
          <w:color w:val="auto"/>
          <w:sz w:val="24"/>
          <w:highlight w:val="none"/>
          <w:u w:val="single"/>
        </w:rPr>
        <w:t>于金成</w:t>
      </w:r>
      <w:r>
        <w:rPr>
          <w:rFonts w:ascii="宋体" w:hAnsi="宋体"/>
          <w:color w:val="auto"/>
          <w:sz w:val="24"/>
          <w:highlight w:val="none"/>
        </w:rPr>
        <w:t>；联系电话：</w:t>
      </w:r>
      <w:r>
        <w:rPr>
          <w:rFonts w:hint="eastAsia" w:ascii="宋体" w:hAnsi="宋体"/>
          <w:color w:val="auto"/>
          <w:sz w:val="24"/>
          <w:highlight w:val="none"/>
          <w:u w:val="single"/>
        </w:rPr>
        <w:t>0573-85631720</w:t>
      </w:r>
      <w:r>
        <w:rPr>
          <w:rFonts w:ascii="宋体" w:hAnsi="宋体"/>
          <w:color w:val="auto"/>
          <w:sz w:val="24"/>
          <w:highlight w:val="none"/>
        </w:rPr>
        <w:t>。</w:t>
      </w:r>
    </w:p>
    <w:p>
      <w:pPr>
        <w:adjustRightInd w:val="0"/>
        <w:snapToGrid w:val="0"/>
        <w:spacing w:line="520" w:lineRule="exact"/>
        <w:ind w:firstLine="480" w:firstLineChars="200"/>
        <w:rPr>
          <w:rFonts w:hint="eastAsia" w:ascii="宋体" w:hAnsi="宋体"/>
          <w:color w:val="auto"/>
          <w:sz w:val="24"/>
          <w:highlight w:val="none"/>
        </w:rPr>
      </w:pPr>
      <w:r>
        <w:rPr>
          <w:rFonts w:ascii="宋体" w:hAnsi="宋体"/>
          <w:color w:val="auto"/>
          <w:sz w:val="24"/>
          <w:highlight w:val="none"/>
        </w:rPr>
        <w:t>投诉受理地点：</w:t>
      </w:r>
      <w:r>
        <w:rPr>
          <w:rFonts w:hint="eastAsia" w:ascii="宋体" w:hAnsi="宋体"/>
          <w:color w:val="auto"/>
          <w:sz w:val="24"/>
          <w:highlight w:val="none"/>
        </w:rPr>
        <w:t>平湖市</w:t>
      </w:r>
      <w:r>
        <w:rPr>
          <w:rFonts w:ascii="宋体" w:hAnsi="宋体"/>
          <w:color w:val="auto"/>
          <w:sz w:val="24"/>
          <w:highlight w:val="none"/>
        </w:rPr>
        <w:t>财政局；联系人：</w:t>
      </w:r>
      <w:r>
        <w:rPr>
          <w:rFonts w:hint="eastAsia" w:ascii="宋体" w:hAnsi="宋体"/>
          <w:color w:val="auto"/>
          <w:sz w:val="24"/>
          <w:highlight w:val="none"/>
          <w:u w:val="single"/>
        </w:rPr>
        <w:t>陆先生</w:t>
      </w:r>
      <w:r>
        <w:rPr>
          <w:rFonts w:ascii="宋体" w:hAnsi="宋体"/>
          <w:color w:val="auto"/>
          <w:sz w:val="24"/>
          <w:highlight w:val="none"/>
        </w:rPr>
        <w:t>；联系电话：</w:t>
      </w:r>
      <w:r>
        <w:rPr>
          <w:rFonts w:hint="eastAsia" w:ascii="宋体" w:hAnsi="宋体"/>
          <w:color w:val="auto"/>
          <w:sz w:val="24"/>
          <w:highlight w:val="none"/>
          <w:u w:val="single"/>
        </w:rPr>
        <w:t xml:space="preserve">0573-85013033 </w:t>
      </w:r>
      <w:r>
        <w:rPr>
          <w:rFonts w:ascii="宋体" w:hAnsi="宋体"/>
          <w:color w:val="auto"/>
          <w:sz w:val="24"/>
          <w:highlight w:val="none"/>
        </w:rPr>
        <w:t>。</w:t>
      </w:r>
    </w:p>
    <w:p>
      <w:pPr>
        <w:pStyle w:val="18"/>
        <w:snapToGrid w:val="0"/>
        <w:spacing w:beforeLines="0" w:afterLines="0" w:line="520" w:lineRule="exact"/>
        <w:ind w:firstLine="482" w:firstLineChars="200"/>
        <w:outlineLvl w:val="1"/>
        <w:rPr>
          <w:rFonts w:hint="eastAsia" w:hAnsi="宋体"/>
          <w:b/>
          <w:color w:val="auto"/>
          <w:highlight w:val="none"/>
        </w:rPr>
      </w:pPr>
      <w:r>
        <w:rPr>
          <w:rFonts w:hAnsi="宋体"/>
          <w:b/>
          <w:color w:val="auto"/>
          <w:highlight w:val="none"/>
        </w:rPr>
        <w:t>二</w:t>
      </w:r>
      <w:r>
        <w:rPr>
          <w:rFonts w:hint="eastAsia" w:hAnsi="宋体"/>
          <w:b/>
          <w:color w:val="auto"/>
          <w:highlight w:val="none"/>
        </w:rPr>
        <w:t>、</w:t>
      </w:r>
      <w:r>
        <w:rPr>
          <w:rFonts w:hAnsi="宋体"/>
          <w:b/>
          <w:color w:val="auto"/>
          <w:highlight w:val="none"/>
        </w:rPr>
        <w:t>招标文件</w:t>
      </w:r>
    </w:p>
    <w:p>
      <w:pPr>
        <w:snapToGrid w:val="0"/>
        <w:spacing w:line="520" w:lineRule="exact"/>
        <w:ind w:firstLine="482" w:firstLineChars="200"/>
        <w:jc w:val="left"/>
        <w:rPr>
          <w:rFonts w:hint="eastAsia" w:ascii="宋体" w:hAnsi="宋体"/>
          <w:b/>
          <w:color w:val="auto"/>
          <w:sz w:val="24"/>
          <w:highlight w:val="none"/>
        </w:rPr>
      </w:pPr>
      <w:r>
        <w:rPr>
          <w:rFonts w:ascii="宋体" w:hAnsi="宋体"/>
          <w:b/>
          <w:color w:val="auto"/>
          <w:sz w:val="24"/>
          <w:highlight w:val="none"/>
        </w:rPr>
        <w:t>（一）招标文件的构成</w:t>
      </w:r>
    </w:p>
    <w:p>
      <w:pPr>
        <w:snapToGrid w:val="0"/>
        <w:spacing w:line="52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招标文件由招标文件目录所列的全部内容及在招标过程中发出的修正和补充文件组成。</w:t>
      </w:r>
    </w:p>
    <w:p>
      <w:pPr>
        <w:snapToGrid w:val="0"/>
        <w:spacing w:line="520" w:lineRule="exact"/>
        <w:ind w:firstLine="482" w:firstLineChars="200"/>
        <w:jc w:val="left"/>
        <w:rPr>
          <w:rFonts w:hint="eastAsia" w:ascii="宋体" w:hAnsi="宋体"/>
          <w:b/>
          <w:color w:val="auto"/>
          <w:sz w:val="24"/>
          <w:highlight w:val="none"/>
        </w:rPr>
      </w:pPr>
      <w:r>
        <w:rPr>
          <w:rFonts w:ascii="宋体" w:hAnsi="宋体"/>
          <w:b/>
          <w:color w:val="auto"/>
          <w:sz w:val="24"/>
          <w:highlight w:val="none"/>
        </w:rPr>
        <w:t>（二）投标人的风险</w:t>
      </w:r>
    </w:p>
    <w:p>
      <w:pPr>
        <w:pStyle w:val="25"/>
        <w:spacing w:line="520" w:lineRule="exact"/>
        <w:rPr>
          <w:rFonts w:hint="eastAsia" w:ascii="宋体" w:eastAsia="宋体"/>
          <w:color w:val="auto"/>
          <w:highlight w:val="none"/>
        </w:rPr>
      </w:pPr>
      <w:r>
        <w:rPr>
          <w:rFonts w:ascii="宋体" w:eastAsia="宋体"/>
          <w:color w:val="auto"/>
          <w:highlight w:val="none"/>
        </w:rPr>
        <w:t>投标人没有按照招标文件要求提供全部资料，或者投标人没有对招标文件在各方面</w:t>
      </w:r>
      <w:r>
        <w:rPr>
          <w:rFonts w:hint="eastAsia" w:ascii="宋体" w:eastAsia="宋体"/>
          <w:color w:val="auto"/>
          <w:highlight w:val="none"/>
        </w:rPr>
        <w:t>做出</w:t>
      </w:r>
      <w:r>
        <w:rPr>
          <w:rFonts w:ascii="宋体" w:eastAsia="宋体"/>
          <w:color w:val="auto"/>
          <w:highlight w:val="none"/>
        </w:rPr>
        <w:t>实质性响应是投标人的风险，并可能导致其投标</w:t>
      </w:r>
      <w:r>
        <w:rPr>
          <w:rFonts w:hint="eastAsia" w:ascii="宋体" w:eastAsia="宋体"/>
          <w:color w:val="auto"/>
          <w:highlight w:val="none"/>
        </w:rPr>
        <w:t>无效</w:t>
      </w:r>
      <w:r>
        <w:rPr>
          <w:rFonts w:ascii="宋体" w:eastAsia="宋体"/>
          <w:color w:val="auto"/>
          <w:highlight w:val="none"/>
        </w:rPr>
        <w:t>。</w:t>
      </w:r>
    </w:p>
    <w:p>
      <w:pPr>
        <w:snapToGrid w:val="0"/>
        <w:spacing w:line="520" w:lineRule="exact"/>
        <w:ind w:firstLine="482" w:firstLineChars="200"/>
        <w:jc w:val="left"/>
        <w:rPr>
          <w:rFonts w:hint="eastAsia" w:ascii="宋体" w:hAnsi="宋体"/>
          <w:b/>
          <w:color w:val="auto"/>
          <w:sz w:val="24"/>
          <w:highlight w:val="none"/>
        </w:rPr>
      </w:pPr>
      <w:r>
        <w:rPr>
          <w:rFonts w:ascii="宋体" w:hAnsi="宋体"/>
          <w:b/>
          <w:color w:val="auto"/>
          <w:sz w:val="24"/>
          <w:highlight w:val="none"/>
        </w:rPr>
        <w:t xml:space="preserve">（三）招标文件的澄清与修改 </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1.投标人应认真阅读本招标文件，发现其中有误或有不合理要求的，投标人必须在知道或者应当知道之日起七个工作日内以书面形式向招标人一次性提出。采购代理机构对已发出的招标文件进行必要澄清、答复、修改或补充的，应当在招标文件要求提交投标文件截止时间十五日前，在浙江政府采购网(</w:t>
      </w:r>
      <w:r>
        <w:rPr>
          <w:rFonts w:hint="eastAsia" w:hAnsi="宋体" w:cs="宋体"/>
          <w:bCs/>
          <w:color w:val="auto"/>
          <w:highlight w:val="none"/>
        </w:rPr>
        <w:t>网https://login.zcygov.cn/login</w:t>
      </w:r>
      <w:r>
        <w:rPr>
          <w:rFonts w:hint="eastAsia" w:hAnsi="宋体"/>
          <w:color w:val="auto"/>
          <w:highlight w:val="none"/>
        </w:rPr>
        <w:t xml:space="preserve">)和平湖市公共资源交易中心网（http://jxszwsjb.jiaxing.gov.cn/col/col1229743843/index.html）上发布更正公告，请投标人在投标截止前及时关注。招标文件的澄清、答复、修改或补充，一经在上述媒体发布，即视所有投标人都已经收到相关文件。                                                                                                                   </w:t>
      </w:r>
    </w:p>
    <w:p>
      <w:pPr>
        <w:pStyle w:val="18"/>
        <w:snapToGrid w:val="0"/>
        <w:spacing w:beforeLines="0" w:afterLines="0" w:line="520" w:lineRule="exact"/>
        <w:ind w:firstLine="480" w:firstLineChars="200"/>
        <w:rPr>
          <w:rFonts w:hint="eastAsia" w:hAnsi="宋体"/>
          <w:color w:val="auto"/>
          <w:highlight w:val="none"/>
        </w:rPr>
      </w:pPr>
      <w:r>
        <w:rPr>
          <w:rFonts w:hAnsi="宋体"/>
          <w:color w:val="auto"/>
          <w:highlight w:val="none"/>
        </w:rPr>
        <w:t>2</w:t>
      </w:r>
      <w:r>
        <w:rPr>
          <w:rFonts w:hint="eastAsia" w:hAnsi="宋体"/>
          <w:color w:val="auto"/>
          <w:highlight w:val="none"/>
        </w:rPr>
        <w:t>.</w:t>
      </w:r>
      <w:r>
        <w:rPr>
          <w:rFonts w:hAnsi="宋体"/>
          <w:color w:val="auto"/>
          <w:highlight w:val="none"/>
        </w:rPr>
        <w:t>采购代理机构必须以书面形式答复投标人要求澄清的问题，并将不包含问题来源的答复书面通知所有</w:t>
      </w:r>
      <w:r>
        <w:rPr>
          <w:rFonts w:hint="eastAsia" w:hAnsi="宋体"/>
          <w:color w:val="auto"/>
          <w:highlight w:val="none"/>
        </w:rPr>
        <w:t>获取</w:t>
      </w:r>
      <w:r>
        <w:rPr>
          <w:rFonts w:hAnsi="宋体"/>
          <w:color w:val="auto"/>
          <w:highlight w:val="none"/>
        </w:rPr>
        <w:t>招标文件的投标人；除书面答复以外的其他澄清方式及澄清内容均无效。</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3.</w:t>
      </w:r>
      <w:r>
        <w:rPr>
          <w:rFonts w:hAnsi="宋体"/>
          <w:color w:val="auto"/>
          <w:highlight w:val="none"/>
        </w:rPr>
        <w:t>招标文件澄清、答复、修改、补充的内容为招标文件的组成部分。当招标文件与招标文件的答复、澄清、修改、补充通知就同一内容的表述不一致时，以最后发出的书面文件为准。</w:t>
      </w:r>
    </w:p>
    <w:p>
      <w:pPr>
        <w:pStyle w:val="18"/>
        <w:snapToGrid w:val="0"/>
        <w:spacing w:beforeLines="0" w:afterLines="0" w:line="520" w:lineRule="exact"/>
        <w:ind w:firstLine="480" w:firstLineChars="200"/>
        <w:rPr>
          <w:rFonts w:hint="eastAsia" w:hAnsi="宋体"/>
          <w:color w:val="auto"/>
          <w:highlight w:val="none"/>
        </w:rPr>
      </w:pPr>
      <w:r>
        <w:rPr>
          <w:rFonts w:hint="eastAsia" w:hAnsi="宋体"/>
          <w:color w:val="auto"/>
          <w:highlight w:val="none"/>
        </w:rPr>
        <w:t>4.</w:t>
      </w:r>
      <w:r>
        <w:rPr>
          <w:rFonts w:hAnsi="宋体"/>
          <w:color w:val="auto"/>
          <w:highlight w:val="none"/>
        </w:rPr>
        <w:t>招标文件的澄清、答复、修改或补充都应该通过本代理机构以法定形式发布，采购人非通过本机构，不得擅自澄清、答复、修改或补充招标文件。</w:t>
      </w:r>
    </w:p>
    <w:p>
      <w:pPr>
        <w:pStyle w:val="18"/>
        <w:snapToGrid w:val="0"/>
        <w:spacing w:beforeLines="0" w:afterLines="0" w:line="520" w:lineRule="exact"/>
        <w:ind w:firstLine="482" w:firstLineChars="200"/>
        <w:rPr>
          <w:rFonts w:hint="eastAsia" w:hAnsi="宋体"/>
          <w:b/>
          <w:color w:val="auto"/>
          <w:highlight w:val="none"/>
        </w:rPr>
      </w:pPr>
      <w:r>
        <w:rPr>
          <w:rFonts w:hAnsi="宋体"/>
          <w:b/>
          <w:color w:val="auto"/>
          <w:highlight w:val="none"/>
        </w:rPr>
        <w:t>三、投标文件的编制</w:t>
      </w:r>
    </w:p>
    <w:p>
      <w:pPr>
        <w:pStyle w:val="18"/>
        <w:snapToGrid w:val="0"/>
        <w:spacing w:beforeLines="0" w:afterLines="0" w:line="520" w:lineRule="exact"/>
        <w:ind w:firstLine="482" w:firstLineChars="200"/>
        <w:rPr>
          <w:rFonts w:hint="eastAsia" w:hAnsi="宋体"/>
          <w:b/>
          <w:color w:val="auto"/>
          <w:highlight w:val="none"/>
        </w:rPr>
      </w:pPr>
      <w:r>
        <w:rPr>
          <w:rFonts w:hint="eastAsia" w:hAnsi="宋体"/>
          <w:b/>
          <w:color w:val="auto"/>
          <w:highlight w:val="none"/>
        </w:rPr>
        <w:t>本项目所涉投标文件格式请详见第六章，未给出的格式请自拟。资信商务及技术文件中不得出现报价，否则投标文件将被视为无效。</w:t>
      </w:r>
    </w:p>
    <w:p>
      <w:pPr>
        <w:adjustRightInd w:val="0"/>
        <w:snapToGrid w:val="0"/>
        <w:spacing w:line="520" w:lineRule="exact"/>
        <w:ind w:firstLine="482" w:firstLineChars="200"/>
        <w:rPr>
          <w:rFonts w:hint="eastAsia" w:hAnsi="宋体"/>
          <w:b/>
          <w:color w:val="auto"/>
          <w:highlight w:val="none"/>
        </w:rPr>
      </w:pPr>
      <w:r>
        <w:rPr>
          <w:rFonts w:hint="eastAsia"/>
          <w:b/>
          <w:color w:val="auto"/>
          <w:sz w:val="24"/>
          <w:highlight w:val="none"/>
        </w:rPr>
        <w:t>在电子投标文件中所有需要加盖公章的均采用CA签章。</w:t>
      </w:r>
    </w:p>
    <w:p>
      <w:pPr>
        <w:snapToGrid w:val="0"/>
        <w:spacing w:line="520" w:lineRule="exact"/>
        <w:ind w:firstLine="482" w:firstLineChars="200"/>
        <w:jc w:val="left"/>
        <w:outlineLvl w:val="0"/>
        <w:rPr>
          <w:rFonts w:hint="eastAsia" w:ascii="宋体" w:hAnsi="宋体"/>
          <w:b/>
          <w:color w:val="auto"/>
          <w:sz w:val="24"/>
          <w:highlight w:val="none"/>
        </w:rPr>
      </w:pPr>
      <w:r>
        <w:rPr>
          <w:rFonts w:hint="eastAsia" w:ascii="宋体" w:hAnsi="宋体"/>
          <w:b/>
          <w:color w:val="auto"/>
          <w:sz w:val="24"/>
          <w:highlight w:val="none"/>
        </w:rPr>
        <w:t>（一）</w:t>
      </w:r>
      <w:r>
        <w:rPr>
          <w:rFonts w:ascii="宋体" w:hAnsi="宋体"/>
          <w:b/>
          <w:color w:val="auto"/>
          <w:sz w:val="24"/>
          <w:highlight w:val="none"/>
        </w:rPr>
        <w:t>投标文件的组成</w:t>
      </w:r>
    </w:p>
    <w:p>
      <w:pPr>
        <w:snapToGrid w:val="0"/>
        <w:spacing w:line="520" w:lineRule="exact"/>
        <w:ind w:firstLine="480" w:firstLineChars="200"/>
        <w:jc w:val="left"/>
        <w:rPr>
          <w:rFonts w:hint="eastAsia" w:ascii="宋体" w:hAnsi="宋体"/>
          <w:color w:val="auto"/>
          <w:sz w:val="24"/>
          <w:highlight w:val="none"/>
        </w:rPr>
      </w:pPr>
      <w:r>
        <w:rPr>
          <w:rFonts w:ascii="宋体" w:hAnsi="宋体"/>
          <w:color w:val="auto"/>
          <w:sz w:val="24"/>
          <w:highlight w:val="none"/>
        </w:rPr>
        <w:t>投标文件</w:t>
      </w:r>
      <w:r>
        <w:rPr>
          <w:rFonts w:hint="eastAsia" w:ascii="宋体" w:hAnsi="宋体"/>
          <w:color w:val="auto"/>
          <w:sz w:val="24"/>
          <w:highlight w:val="none"/>
        </w:rPr>
        <w:t>由资格文件、商务技术文件、报价文件</w:t>
      </w:r>
      <w:r>
        <w:rPr>
          <w:rFonts w:ascii="宋体" w:hAnsi="宋体"/>
          <w:color w:val="auto"/>
          <w:sz w:val="24"/>
          <w:highlight w:val="none"/>
        </w:rPr>
        <w:t>组成。</w:t>
      </w:r>
    </w:p>
    <w:p>
      <w:pPr>
        <w:pStyle w:val="37"/>
        <w:spacing w:before="0"/>
        <w:ind w:firstLine="482"/>
        <w:rPr>
          <w:rFonts w:hint="eastAsia" w:ascii="宋体" w:hAnsi="宋体"/>
          <w:b/>
          <w:bCs/>
          <w:color w:val="auto"/>
          <w:highlight w:val="none"/>
        </w:rPr>
      </w:pPr>
      <w:r>
        <w:rPr>
          <w:rFonts w:hint="eastAsia" w:ascii="宋体" w:hAnsi="宋体"/>
          <w:b/>
          <w:bCs/>
          <w:color w:val="auto"/>
          <w:highlight w:val="none"/>
        </w:rPr>
        <w:t>1.资格文件：</w:t>
      </w:r>
    </w:p>
    <w:p>
      <w:pPr>
        <w:pStyle w:val="18"/>
        <w:spacing w:beforeLines="0" w:afterLines="0" w:line="360" w:lineRule="auto"/>
        <w:ind w:firstLine="480" w:firstLineChars="200"/>
        <w:rPr>
          <w:rFonts w:hint="eastAsia" w:hAnsi="宋体"/>
          <w:color w:val="auto"/>
          <w:szCs w:val="20"/>
          <w:highlight w:val="none"/>
        </w:rPr>
      </w:pPr>
      <w:r>
        <w:rPr>
          <w:rFonts w:hint="eastAsia" w:hAnsi="宋体"/>
          <w:color w:val="auto"/>
          <w:szCs w:val="20"/>
          <w:highlight w:val="none"/>
        </w:rPr>
        <w:t>（1）投标声明书（格式见附件）；</w:t>
      </w:r>
    </w:p>
    <w:p>
      <w:pPr>
        <w:pStyle w:val="18"/>
        <w:spacing w:beforeLines="0" w:afterLines="0" w:line="360" w:lineRule="auto"/>
        <w:ind w:firstLine="480" w:firstLineChars="200"/>
        <w:rPr>
          <w:rFonts w:hint="eastAsia" w:hAnsi="宋体"/>
          <w:color w:val="auto"/>
          <w:highlight w:val="none"/>
        </w:rPr>
      </w:pPr>
      <w:r>
        <w:rPr>
          <w:rFonts w:hint="eastAsia" w:hAnsi="宋体"/>
          <w:color w:val="auto"/>
          <w:highlight w:val="none"/>
        </w:rPr>
        <w:t>（2）法定代表人有效身份证件复印件或者法定代表人授权委托书（复印件，格式见附件）；</w:t>
      </w:r>
    </w:p>
    <w:p>
      <w:pPr>
        <w:pStyle w:val="18"/>
        <w:spacing w:beforeLines="0" w:afterLines="0" w:line="360" w:lineRule="auto"/>
        <w:ind w:firstLine="480" w:firstLineChars="200"/>
        <w:rPr>
          <w:rFonts w:hint="eastAsia" w:hAnsi="宋体"/>
          <w:color w:val="auto"/>
          <w:highlight w:val="none"/>
        </w:rPr>
      </w:pPr>
      <w:r>
        <w:rPr>
          <w:rFonts w:hint="eastAsia" w:hAnsi="宋体"/>
          <w:color w:val="auto"/>
          <w:highlight w:val="none"/>
        </w:rPr>
        <w:t>（3）企业（法人）营业执照复印件；</w:t>
      </w:r>
    </w:p>
    <w:p>
      <w:pPr>
        <w:pStyle w:val="18"/>
        <w:spacing w:beforeLines="0" w:afterLines="0" w:line="360" w:lineRule="auto"/>
        <w:ind w:firstLine="480" w:firstLineChars="200"/>
        <w:rPr>
          <w:rFonts w:hint="eastAsia" w:hAnsi="宋体"/>
          <w:color w:val="auto"/>
          <w:highlight w:val="none"/>
        </w:rPr>
      </w:pPr>
      <w:r>
        <w:rPr>
          <w:rFonts w:hint="eastAsia" w:hAnsi="宋体"/>
          <w:color w:val="auto"/>
          <w:highlight w:val="none"/>
        </w:rPr>
        <w:t>（4）符合参加政府采购活动应当具备的一般条件的承诺函（格式见附件）；</w:t>
      </w:r>
    </w:p>
    <w:p>
      <w:pPr>
        <w:spacing w:line="360" w:lineRule="auto"/>
        <w:ind w:firstLine="480" w:firstLineChars="200"/>
        <w:rPr>
          <w:rFonts w:hint="eastAsia" w:ascii="宋体" w:hAnsi="宋体"/>
          <w:color w:val="auto"/>
          <w:kern w:val="0"/>
          <w:sz w:val="24"/>
          <w:highlight w:val="none"/>
        </w:rPr>
      </w:pPr>
      <w:r>
        <w:rPr>
          <w:rFonts w:hint="eastAsia" w:ascii="宋体" w:hAnsi="宋体"/>
          <w:color w:val="auto"/>
          <w:kern w:val="0"/>
          <w:sz w:val="24"/>
          <w:highlight w:val="none"/>
        </w:rPr>
        <w:t>（5）中小企业声明函等承诺函（格式见附件）</w:t>
      </w:r>
    </w:p>
    <w:p>
      <w:pPr>
        <w:pStyle w:val="18"/>
        <w:spacing w:beforeLines="0" w:afterLines="0" w:line="360" w:lineRule="auto"/>
        <w:ind w:firstLine="480" w:firstLineChars="200"/>
        <w:rPr>
          <w:rFonts w:hint="eastAsia" w:hAnsi="宋体"/>
          <w:color w:val="auto"/>
          <w:szCs w:val="20"/>
          <w:highlight w:val="none"/>
        </w:rPr>
      </w:pPr>
      <w:r>
        <w:rPr>
          <w:rFonts w:hint="eastAsia" w:hAnsi="宋体"/>
          <w:color w:val="auto"/>
          <w:highlight w:val="none"/>
        </w:rPr>
        <w:t xml:space="preserve">（6）落实政府采购政策需满足的资格要求。   </w:t>
      </w:r>
      <w:r>
        <w:rPr>
          <w:rFonts w:hint="eastAsia" w:hAnsi="宋体"/>
          <w:color w:val="auto"/>
          <w:szCs w:val="20"/>
          <w:highlight w:val="none"/>
        </w:rPr>
        <w:t xml:space="preserve">                     </w:t>
      </w:r>
    </w:p>
    <w:p>
      <w:pPr>
        <w:pStyle w:val="18"/>
        <w:keepNext w:val="0"/>
        <w:keepLines w:val="0"/>
        <w:pageBreakBefore w:val="0"/>
        <w:widowControl w:val="0"/>
        <w:kinsoku/>
        <w:wordWrap/>
        <w:overflowPunct/>
        <w:topLinePunct w:val="0"/>
        <w:autoSpaceDE/>
        <w:autoSpaceDN/>
        <w:bidi w:val="0"/>
        <w:adjustRightInd/>
        <w:snapToGrid/>
        <w:spacing w:beforeLines="0" w:afterLines="0" w:line="360" w:lineRule="auto"/>
        <w:ind w:firstLine="482" w:firstLineChars="200"/>
        <w:textAlignment w:val="auto"/>
        <w:rPr>
          <w:rFonts w:hint="eastAsia" w:ascii="宋体" w:hAnsi="宋体" w:eastAsia="宋体" w:cs="Times New Roman"/>
          <w:b/>
          <w:bCs/>
          <w:color w:val="auto"/>
          <w:kern w:val="0"/>
          <w:sz w:val="24"/>
          <w:szCs w:val="20"/>
          <w:highlight w:val="none"/>
          <w:lang w:val="en-US" w:eastAsia="zh-CN" w:bidi="ar-SA"/>
        </w:rPr>
      </w:pPr>
      <w:r>
        <w:rPr>
          <w:rFonts w:hint="eastAsia" w:ascii="宋体" w:hAnsi="宋体" w:eastAsia="宋体" w:cs="Times New Roman"/>
          <w:b/>
          <w:bCs/>
          <w:color w:val="auto"/>
          <w:kern w:val="0"/>
          <w:sz w:val="24"/>
          <w:szCs w:val="20"/>
          <w:highlight w:val="none"/>
          <w:lang w:val="en-US" w:eastAsia="zh-CN" w:bidi="ar-SA"/>
        </w:rPr>
        <w:t>2.商务技术文件:</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Times New Roman"/>
          <w:bCs/>
          <w:color w:val="auto"/>
          <w:highlight w:val="none"/>
          <w:lang w:val="en-US" w:eastAsia="zh-CN"/>
        </w:rPr>
      </w:pPr>
      <w:r>
        <w:rPr>
          <w:rFonts w:hint="eastAsia" w:ascii="宋体" w:hAnsi="宋体" w:eastAsia="宋体" w:cs="Times New Roman"/>
          <w:bCs/>
          <w:color w:val="auto"/>
          <w:highlight w:val="none"/>
          <w:lang w:val="en-US" w:eastAsia="zh-CN"/>
        </w:rPr>
        <w:t>（1）投标人基本情况介绍（格式见附件）；</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Times New Roman"/>
          <w:bCs/>
          <w:color w:val="auto"/>
          <w:highlight w:val="none"/>
          <w:lang w:val="en-US" w:eastAsia="zh-CN"/>
        </w:rPr>
      </w:pPr>
      <w:r>
        <w:rPr>
          <w:rFonts w:hint="eastAsia" w:ascii="宋体" w:hAnsi="宋体" w:eastAsia="宋体" w:cs="Times New Roman"/>
          <w:bCs/>
          <w:color w:val="auto"/>
          <w:highlight w:val="none"/>
          <w:lang w:val="zh-CN" w:eastAsia="zh-CN"/>
        </w:rPr>
        <w:t>（</w:t>
      </w:r>
      <w:r>
        <w:rPr>
          <w:rFonts w:hint="eastAsia" w:ascii="宋体" w:hAnsi="宋体" w:eastAsia="宋体" w:cs="Times New Roman"/>
          <w:bCs/>
          <w:color w:val="auto"/>
          <w:highlight w:val="none"/>
          <w:lang w:val="en-US" w:eastAsia="zh-CN"/>
        </w:rPr>
        <w:t>2</w:t>
      </w:r>
      <w:r>
        <w:rPr>
          <w:rFonts w:hint="eastAsia" w:ascii="宋体" w:hAnsi="宋体" w:eastAsia="宋体" w:cs="Times New Roman"/>
          <w:bCs/>
          <w:color w:val="auto"/>
          <w:highlight w:val="none"/>
          <w:lang w:val="zh-CN" w:eastAsia="zh-CN"/>
        </w:rPr>
        <w:t>）诚信承诺书</w:t>
      </w:r>
      <w:r>
        <w:rPr>
          <w:rFonts w:hint="eastAsia" w:ascii="宋体" w:hAnsi="宋体" w:eastAsia="宋体" w:cs="Times New Roman"/>
          <w:bCs/>
          <w:color w:val="auto"/>
          <w:highlight w:val="none"/>
          <w:lang w:val="en-US" w:eastAsia="zh-CN"/>
        </w:rPr>
        <w:t>（格式见附件）</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Times New Roman"/>
          <w:bCs/>
          <w:color w:val="auto"/>
          <w:highlight w:val="none"/>
          <w:lang w:val="zh-CN" w:eastAsia="zh-CN"/>
        </w:rPr>
      </w:pPr>
      <w:r>
        <w:rPr>
          <w:rFonts w:hint="eastAsia" w:ascii="宋体" w:hAnsi="宋体" w:eastAsia="宋体" w:cs="Times New Roman"/>
          <w:bCs/>
          <w:color w:val="auto"/>
          <w:highlight w:val="none"/>
          <w:lang w:val="en-US" w:eastAsia="zh-CN"/>
        </w:rPr>
        <w:t>（3）</w:t>
      </w:r>
      <w:r>
        <w:rPr>
          <w:rFonts w:hint="eastAsia" w:ascii="宋体" w:hAnsi="宋体" w:eastAsia="宋体" w:cs="Times New Roman"/>
          <w:bCs/>
          <w:color w:val="auto"/>
          <w:highlight w:val="none"/>
          <w:lang w:val="zh-CN" w:eastAsia="zh-CN"/>
        </w:rPr>
        <w:t xml:space="preserve">商务响应表（格式见附件）；                                                                                                                                                                                                                                                                                                                                                                                                                                                                                                                                                                                                                                                                                                                                                                                                                                                                                                                                                                                                                                                                                                                                                                                                                                                                                                                                                                                                                                                                                                                                                                                                                                                                                                                                                                                                                                                                                                                                                                                                                                                                                                                                                                                                                                                                                                                                                                                                                                                                                                                                                                                                                                                                                                                                                                                                                                                                                                                                                                                                                                                                                                                                                                                                                                                                                                                                                                                                                                                                                                                                                                                                                                                                                                                                                                                                                                                                                                                                                                                                                                                                                                                                                                                                   </w:t>
      </w:r>
      <w:r>
        <w:rPr>
          <w:rFonts w:hint="eastAsia" w:ascii="宋体" w:hAnsi="宋体" w:eastAsia="宋体" w:cs="Times New Roman"/>
          <w:bCs/>
          <w:color w:val="auto"/>
          <w:highlight w:val="none"/>
          <w:lang w:val="zh-CN" w:eastAsia="zh-CN"/>
        </w:rPr>
        <w:t xml:space="preserve">                                                                                                                                                                                                                                                                                                                                                                                                      </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Times New Roman"/>
          <w:bCs/>
          <w:color w:val="auto"/>
          <w:highlight w:val="none"/>
          <w:lang w:val="zh-CN" w:eastAsia="zh-CN"/>
        </w:rPr>
      </w:pPr>
      <w:r>
        <w:rPr>
          <w:rFonts w:hint="eastAsia" w:ascii="宋体" w:hAnsi="宋体" w:eastAsia="宋体" w:cs="Times New Roman"/>
          <w:bCs/>
          <w:color w:val="auto"/>
          <w:highlight w:val="none"/>
          <w:lang w:val="zh-CN" w:eastAsia="zh-CN"/>
        </w:rPr>
        <w:t>（</w:t>
      </w:r>
      <w:r>
        <w:rPr>
          <w:rFonts w:hint="eastAsia" w:ascii="宋体" w:hAnsi="宋体" w:eastAsia="宋体" w:cs="Times New Roman"/>
          <w:bCs/>
          <w:color w:val="auto"/>
          <w:highlight w:val="none"/>
          <w:lang w:val="en-US" w:eastAsia="zh-CN"/>
        </w:rPr>
        <w:t>4</w:t>
      </w:r>
      <w:r>
        <w:rPr>
          <w:rFonts w:hint="eastAsia" w:ascii="宋体" w:hAnsi="宋体" w:eastAsia="宋体" w:cs="Times New Roman"/>
          <w:bCs/>
          <w:color w:val="auto"/>
          <w:highlight w:val="none"/>
          <w:lang w:val="zh-CN" w:eastAsia="zh-CN"/>
        </w:rPr>
        <w:t>）技术响应表（格式见附件）；</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hAnsi="宋体" w:eastAsia="宋体" w:cs="Times New Roman"/>
          <w:bCs/>
          <w:color w:val="auto"/>
          <w:highlight w:val="none"/>
        </w:rPr>
      </w:pPr>
      <w:r>
        <w:rPr>
          <w:rFonts w:hint="eastAsia" w:hAnsi="宋体" w:eastAsia="宋体" w:cs="Times New Roman"/>
          <w:bCs/>
          <w:color w:val="auto"/>
          <w:highlight w:val="none"/>
        </w:rPr>
        <w:t>（</w:t>
      </w:r>
      <w:r>
        <w:rPr>
          <w:rFonts w:hint="eastAsia" w:hAnsi="宋体" w:cs="Times New Roman"/>
          <w:bCs/>
          <w:color w:val="auto"/>
          <w:highlight w:val="none"/>
          <w:lang w:val="en-US" w:eastAsia="zh-CN"/>
        </w:rPr>
        <w:t>5</w:t>
      </w:r>
      <w:r>
        <w:rPr>
          <w:rFonts w:hint="eastAsia" w:hAnsi="宋体" w:eastAsia="宋体" w:cs="Times New Roman"/>
          <w:bCs/>
          <w:color w:val="auto"/>
          <w:highlight w:val="none"/>
        </w:rPr>
        <w:t>）设备配置清单（格式见附件）；</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hAnsi="宋体" w:eastAsia="宋体" w:cs="Times New Roman"/>
          <w:bCs/>
          <w:color w:val="auto"/>
          <w:highlight w:val="none"/>
        </w:rPr>
      </w:pPr>
      <w:r>
        <w:rPr>
          <w:rFonts w:hint="eastAsia" w:ascii="宋体" w:hAnsi="宋体" w:eastAsia="宋体" w:cs="Times New Roman"/>
          <w:bCs/>
          <w:color w:val="auto"/>
          <w:highlight w:val="none"/>
          <w:lang w:val="zh-CN" w:eastAsia="zh-CN"/>
        </w:rPr>
        <w:t>（</w:t>
      </w:r>
      <w:r>
        <w:rPr>
          <w:rFonts w:hint="eastAsia" w:hAnsi="宋体" w:cs="Times New Roman"/>
          <w:bCs/>
          <w:color w:val="auto"/>
          <w:highlight w:val="none"/>
          <w:lang w:val="en-US" w:eastAsia="zh-CN"/>
        </w:rPr>
        <w:t>6</w:t>
      </w:r>
      <w:r>
        <w:rPr>
          <w:rFonts w:hint="eastAsia" w:ascii="宋体" w:hAnsi="宋体" w:eastAsia="宋体" w:cs="Times New Roman"/>
          <w:bCs/>
          <w:color w:val="auto"/>
          <w:highlight w:val="none"/>
          <w:lang w:val="zh-CN" w:eastAsia="zh-CN"/>
        </w:rPr>
        <w:t>）项目实施人员一览表（格式见附件）</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Times New Roman"/>
          <w:bCs/>
          <w:color w:val="auto"/>
          <w:highlight w:val="none"/>
          <w:lang w:val="zh-CN" w:eastAsia="zh-CN"/>
        </w:rPr>
      </w:pPr>
      <w:r>
        <w:rPr>
          <w:rFonts w:hint="eastAsia" w:ascii="宋体" w:hAnsi="宋体" w:eastAsia="宋体" w:cs="Times New Roman"/>
          <w:bCs/>
          <w:color w:val="auto"/>
          <w:highlight w:val="none"/>
          <w:lang w:val="zh-CN" w:eastAsia="zh-CN"/>
        </w:rPr>
        <w:t>（</w:t>
      </w:r>
      <w:r>
        <w:rPr>
          <w:rFonts w:hint="eastAsia" w:ascii="宋体" w:hAnsi="宋体" w:eastAsia="宋体" w:cs="Times New Roman"/>
          <w:bCs/>
          <w:color w:val="auto"/>
          <w:highlight w:val="none"/>
          <w:lang w:val="en-US" w:eastAsia="zh-CN"/>
        </w:rPr>
        <w:t>7</w:t>
      </w:r>
      <w:r>
        <w:rPr>
          <w:rFonts w:hint="eastAsia" w:ascii="宋体" w:hAnsi="宋体" w:eastAsia="宋体" w:cs="Times New Roman"/>
          <w:bCs/>
          <w:color w:val="auto"/>
          <w:highlight w:val="none"/>
          <w:lang w:val="zh-CN" w:eastAsia="zh-CN"/>
        </w:rPr>
        <w:t>）原材料检测报告；</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Times New Roman"/>
          <w:bCs/>
          <w:color w:val="auto"/>
          <w:highlight w:val="none"/>
          <w:lang w:val="zh-CN" w:eastAsia="zh-CN"/>
        </w:rPr>
      </w:pPr>
      <w:r>
        <w:rPr>
          <w:rFonts w:hint="eastAsia" w:ascii="宋体" w:hAnsi="宋体" w:eastAsia="宋体" w:cs="Times New Roman"/>
          <w:bCs/>
          <w:color w:val="auto"/>
          <w:highlight w:val="none"/>
          <w:lang w:val="zh-CN" w:eastAsia="zh-CN"/>
        </w:rPr>
        <w:t>（</w:t>
      </w:r>
      <w:r>
        <w:rPr>
          <w:rFonts w:hint="eastAsia" w:ascii="宋体" w:hAnsi="宋体" w:eastAsia="宋体" w:cs="Times New Roman"/>
          <w:bCs/>
          <w:color w:val="auto"/>
          <w:highlight w:val="none"/>
          <w:lang w:val="en-US" w:eastAsia="zh-CN"/>
        </w:rPr>
        <w:t>8</w:t>
      </w:r>
      <w:r>
        <w:rPr>
          <w:rFonts w:hint="eastAsia" w:ascii="宋体" w:hAnsi="宋体" w:eastAsia="宋体" w:cs="Times New Roman"/>
          <w:bCs/>
          <w:color w:val="auto"/>
          <w:highlight w:val="none"/>
          <w:lang w:val="zh-CN" w:eastAsia="zh-CN"/>
        </w:rPr>
        <w:t>）成品检测报告；</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Times New Roman"/>
          <w:bCs/>
          <w:color w:val="auto"/>
          <w:highlight w:val="none"/>
          <w:lang w:val="zh-CN" w:eastAsia="zh-CN"/>
        </w:rPr>
      </w:pPr>
      <w:r>
        <w:rPr>
          <w:rFonts w:hint="eastAsia" w:ascii="宋体" w:hAnsi="宋体" w:eastAsia="宋体" w:cs="Times New Roman"/>
          <w:bCs/>
          <w:color w:val="auto"/>
          <w:highlight w:val="none"/>
          <w:lang w:val="zh-CN" w:eastAsia="zh-CN"/>
        </w:rPr>
        <w:t>（</w:t>
      </w:r>
      <w:r>
        <w:rPr>
          <w:rFonts w:hint="eastAsia" w:hAnsi="宋体" w:cs="Times New Roman"/>
          <w:bCs/>
          <w:color w:val="auto"/>
          <w:highlight w:val="none"/>
          <w:lang w:val="en-US" w:eastAsia="zh-CN"/>
        </w:rPr>
        <w:t>9</w:t>
      </w:r>
      <w:r>
        <w:rPr>
          <w:rFonts w:hint="eastAsia" w:ascii="宋体" w:hAnsi="宋体" w:eastAsia="宋体" w:cs="Times New Roman"/>
          <w:bCs/>
          <w:color w:val="auto"/>
          <w:highlight w:val="none"/>
          <w:lang w:val="zh-CN" w:eastAsia="zh-CN"/>
        </w:rPr>
        <w:t>）整体实施规划方案</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Times New Roman"/>
          <w:bCs/>
          <w:color w:val="auto"/>
          <w:highlight w:val="none"/>
          <w:lang w:val="zh-CN" w:eastAsia="zh-CN"/>
        </w:rPr>
      </w:pPr>
      <w:r>
        <w:rPr>
          <w:rFonts w:hint="eastAsia" w:hAnsi="宋体" w:cs="Times New Roman"/>
          <w:bCs/>
          <w:color w:val="auto"/>
          <w:highlight w:val="none"/>
          <w:lang w:val="zh-CN" w:eastAsia="zh-CN"/>
        </w:rPr>
        <w:t>（</w:t>
      </w:r>
      <w:r>
        <w:rPr>
          <w:rFonts w:hint="eastAsia" w:hAnsi="宋体" w:cs="Times New Roman"/>
          <w:bCs/>
          <w:color w:val="auto"/>
          <w:highlight w:val="none"/>
          <w:lang w:val="en-US" w:eastAsia="zh-CN"/>
        </w:rPr>
        <w:t>10</w:t>
      </w:r>
      <w:r>
        <w:rPr>
          <w:rFonts w:hint="eastAsia" w:hAnsi="宋体" w:cs="Times New Roman"/>
          <w:bCs/>
          <w:color w:val="auto"/>
          <w:highlight w:val="none"/>
          <w:lang w:val="zh-CN" w:eastAsia="zh-CN"/>
        </w:rPr>
        <w:t>）</w:t>
      </w:r>
      <w:r>
        <w:rPr>
          <w:rFonts w:hint="eastAsia" w:ascii="宋体" w:hAnsi="宋体" w:eastAsia="宋体" w:cs="Times New Roman"/>
          <w:bCs/>
          <w:color w:val="auto"/>
          <w:highlight w:val="none"/>
          <w:lang w:val="zh-CN" w:eastAsia="zh-CN"/>
        </w:rPr>
        <w:t>品质管理管控过程</w:t>
      </w:r>
      <w:r>
        <w:rPr>
          <w:rFonts w:hint="eastAsia" w:hAnsi="宋体" w:cs="Times New Roman"/>
          <w:bCs/>
          <w:color w:val="auto"/>
          <w:highlight w:val="none"/>
          <w:lang w:val="zh-CN" w:eastAsia="zh-CN"/>
        </w:rPr>
        <w:t>方案</w:t>
      </w:r>
      <w:r>
        <w:rPr>
          <w:rFonts w:hint="eastAsia" w:ascii="宋体" w:hAnsi="宋体" w:eastAsia="宋体" w:cs="Times New Roman"/>
          <w:bCs/>
          <w:color w:val="auto"/>
          <w:highlight w:val="none"/>
          <w:lang w:val="zh-CN" w:eastAsia="zh-CN"/>
        </w:rPr>
        <w:t xml:space="preserve">； </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Times New Roman"/>
          <w:bCs/>
          <w:color w:val="auto"/>
          <w:highlight w:val="none"/>
          <w:lang w:val="zh-CN" w:eastAsia="zh-CN"/>
        </w:rPr>
      </w:pPr>
      <w:r>
        <w:rPr>
          <w:rFonts w:hint="eastAsia" w:ascii="宋体" w:hAnsi="宋体" w:eastAsia="宋体" w:cs="Times New Roman"/>
          <w:bCs/>
          <w:color w:val="auto"/>
          <w:highlight w:val="none"/>
          <w:lang w:val="zh-CN" w:eastAsia="zh-CN"/>
        </w:rPr>
        <w:t>（</w:t>
      </w:r>
      <w:r>
        <w:rPr>
          <w:rFonts w:hint="eastAsia" w:hAnsi="宋体" w:cs="Times New Roman"/>
          <w:bCs/>
          <w:color w:val="auto"/>
          <w:highlight w:val="none"/>
          <w:lang w:val="en-US" w:eastAsia="zh-CN"/>
        </w:rPr>
        <w:t>11</w:t>
      </w:r>
      <w:r>
        <w:rPr>
          <w:rFonts w:hint="eastAsia" w:ascii="宋体" w:hAnsi="宋体" w:eastAsia="宋体" w:cs="Times New Roman"/>
          <w:bCs/>
          <w:color w:val="auto"/>
          <w:highlight w:val="none"/>
          <w:lang w:val="zh-CN" w:eastAsia="zh-CN"/>
        </w:rPr>
        <w:t>）生产</w:t>
      </w:r>
      <w:r>
        <w:rPr>
          <w:rFonts w:hint="eastAsia" w:hAnsi="宋体" w:cs="Times New Roman"/>
          <w:bCs/>
          <w:color w:val="auto"/>
          <w:highlight w:val="none"/>
          <w:lang w:val="zh-CN" w:eastAsia="zh-CN"/>
        </w:rPr>
        <w:t>安装调试</w:t>
      </w:r>
      <w:r>
        <w:rPr>
          <w:rFonts w:hint="eastAsia" w:ascii="宋体" w:hAnsi="宋体" w:eastAsia="宋体" w:cs="Times New Roman"/>
          <w:bCs/>
          <w:color w:val="auto"/>
          <w:highlight w:val="none"/>
          <w:lang w:val="zh-CN" w:eastAsia="zh-CN"/>
        </w:rPr>
        <w:t>实施方案；</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hAnsi="宋体" w:eastAsia="宋体" w:cs="Times New Roman"/>
          <w:bCs/>
          <w:color w:val="auto"/>
          <w:highlight w:val="none"/>
        </w:rPr>
      </w:pPr>
      <w:r>
        <w:rPr>
          <w:rFonts w:hint="eastAsia" w:hAnsi="宋体" w:eastAsia="宋体" w:cs="Times New Roman"/>
          <w:bCs/>
          <w:color w:val="auto"/>
          <w:highlight w:val="none"/>
        </w:rPr>
        <w:t>（</w:t>
      </w:r>
      <w:r>
        <w:rPr>
          <w:rFonts w:hint="eastAsia" w:hAnsi="宋体" w:cs="Times New Roman"/>
          <w:bCs/>
          <w:color w:val="auto"/>
          <w:highlight w:val="none"/>
          <w:lang w:val="en-US" w:eastAsia="zh-CN"/>
        </w:rPr>
        <w:t>12</w:t>
      </w:r>
      <w:r>
        <w:rPr>
          <w:rFonts w:hint="eastAsia" w:hAnsi="宋体" w:eastAsia="宋体" w:cs="Times New Roman"/>
          <w:bCs/>
          <w:color w:val="auto"/>
          <w:highlight w:val="none"/>
        </w:rPr>
        <w:t>）售后服务</w:t>
      </w:r>
      <w:r>
        <w:rPr>
          <w:rFonts w:hint="eastAsia" w:hAnsi="宋体" w:cs="Times New Roman"/>
          <w:bCs/>
          <w:color w:val="auto"/>
          <w:highlight w:val="none"/>
          <w:lang w:eastAsia="zh-CN"/>
        </w:rPr>
        <w:t>方案</w:t>
      </w:r>
      <w:r>
        <w:rPr>
          <w:rFonts w:hint="eastAsia" w:hAnsi="宋体" w:eastAsia="宋体" w:cs="Times New Roman"/>
          <w:bCs/>
          <w:color w:val="auto"/>
          <w:highlight w:val="none"/>
        </w:rPr>
        <w:t>；</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hAnsi="宋体" w:cs="Times New Roman"/>
          <w:bCs/>
          <w:color w:val="auto"/>
          <w:highlight w:val="none"/>
          <w:lang w:val="zh-CN" w:eastAsia="zh-CN"/>
        </w:rPr>
      </w:pPr>
      <w:r>
        <w:rPr>
          <w:rFonts w:hint="eastAsia" w:hAnsi="宋体" w:cs="Times New Roman"/>
          <w:bCs/>
          <w:color w:val="auto"/>
          <w:highlight w:val="none"/>
          <w:lang w:val="zh-CN" w:eastAsia="zh-CN"/>
        </w:rPr>
        <w:t>（</w:t>
      </w:r>
      <w:r>
        <w:rPr>
          <w:rFonts w:hint="eastAsia" w:hAnsi="宋体" w:cs="Times New Roman"/>
          <w:bCs/>
          <w:color w:val="auto"/>
          <w:highlight w:val="none"/>
          <w:lang w:val="en-US" w:eastAsia="zh-CN"/>
        </w:rPr>
        <w:t>13</w:t>
      </w:r>
      <w:r>
        <w:rPr>
          <w:rFonts w:hint="eastAsia" w:hAnsi="宋体" w:cs="Times New Roman"/>
          <w:bCs/>
          <w:color w:val="auto"/>
          <w:highlight w:val="none"/>
          <w:lang w:val="zh-CN" w:eastAsia="zh-CN"/>
        </w:rPr>
        <w:t>）</w:t>
      </w:r>
      <w:r>
        <w:rPr>
          <w:rFonts w:hint="eastAsia" w:ascii="宋体" w:hAnsi="宋体" w:eastAsia="宋体" w:cs="Times New Roman"/>
          <w:bCs/>
          <w:color w:val="auto"/>
          <w:highlight w:val="none"/>
          <w:lang w:val="zh-CN" w:eastAsia="zh-CN"/>
        </w:rPr>
        <w:t>环境标志产品认证证书</w:t>
      </w:r>
      <w:r>
        <w:rPr>
          <w:rFonts w:hint="eastAsia" w:hAnsi="宋体" w:cs="Times New Roman"/>
          <w:bCs/>
          <w:color w:val="auto"/>
          <w:highlight w:val="none"/>
          <w:lang w:val="zh-CN" w:eastAsia="zh-CN"/>
        </w:rPr>
        <w:t>；</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Times New Roman"/>
          <w:bCs/>
          <w:color w:val="auto"/>
          <w:highlight w:val="none"/>
          <w:lang w:val="en-US" w:eastAsia="zh-CN"/>
        </w:rPr>
      </w:pPr>
      <w:r>
        <w:rPr>
          <w:rFonts w:hint="eastAsia" w:ascii="宋体" w:hAnsi="宋体" w:eastAsia="宋体" w:cs="Times New Roman"/>
          <w:bCs/>
          <w:color w:val="auto"/>
          <w:highlight w:val="none"/>
          <w:lang w:val="en-US" w:eastAsia="zh-CN"/>
        </w:rPr>
        <w:t>（1</w:t>
      </w:r>
      <w:r>
        <w:rPr>
          <w:rFonts w:hint="eastAsia" w:hAnsi="宋体" w:cs="Times New Roman"/>
          <w:bCs/>
          <w:color w:val="auto"/>
          <w:highlight w:val="none"/>
          <w:lang w:val="en-US" w:eastAsia="zh-CN"/>
        </w:rPr>
        <w:t>4</w:t>
      </w:r>
      <w:r>
        <w:rPr>
          <w:rFonts w:hint="eastAsia" w:ascii="宋体" w:hAnsi="宋体" w:eastAsia="宋体" w:cs="Times New Roman"/>
          <w:bCs/>
          <w:color w:val="auto"/>
          <w:highlight w:val="none"/>
          <w:lang w:val="en-US" w:eastAsia="zh-CN"/>
        </w:rPr>
        <w:t>）所有荣誉证书、资质文件等（复印件）；</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Times New Roman"/>
          <w:bCs/>
          <w:color w:val="auto"/>
          <w:highlight w:val="none"/>
          <w:lang w:val="zh-CN" w:eastAsia="zh-CN"/>
        </w:rPr>
      </w:pPr>
      <w:r>
        <w:rPr>
          <w:rFonts w:hint="eastAsia" w:hAnsi="宋体" w:cs="Times New Roman"/>
          <w:bCs/>
          <w:color w:val="auto"/>
          <w:highlight w:val="none"/>
          <w:lang w:val="zh-CN" w:eastAsia="zh-CN"/>
        </w:rPr>
        <w:t>（</w:t>
      </w:r>
      <w:r>
        <w:rPr>
          <w:rFonts w:hint="eastAsia" w:hAnsi="宋体" w:cs="Times New Roman"/>
          <w:bCs/>
          <w:color w:val="auto"/>
          <w:highlight w:val="none"/>
          <w:lang w:val="en-US" w:eastAsia="zh-CN"/>
        </w:rPr>
        <w:t>15</w:t>
      </w:r>
      <w:r>
        <w:rPr>
          <w:rFonts w:hint="eastAsia" w:hAnsi="宋体" w:cs="Times New Roman"/>
          <w:bCs/>
          <w:color w:val="auto"/>
          <w:highlight w:val="none"/>
          <w:lang w:val="zh-CN" w:eastAsia="zh-CN"/>
        </w:rPr>
        <w:t>）</w:t>
      </w:r>
      <w:r>
        <w:rPr>
          <w:rFonts w:hint="eastAsia" w:ascii="宋体" w:hAnsi="宋体" w:eastAsia="宋体" w:cs="Times New Roman"/>
          <w:bCs/>
          <w:color w:val="auto"/>
          <w:highlight w:val="none"/>
          <w:lang w:val="zh-CN" w:eastAsia="zh-CN"/>
        </w:rPr>
        <w:t>环境标志产品认证证书</w:t>
      </w:r>
      <w:r>
        <w:rPr>
          <w:rFonts w:hint="eastAsia" w:hAnsi="宋体" w:cs="Times New Roman"/>
          <w:bCs/>
          <w:color w:val="auto"/>
          <w:highlight w:val="none"/>
          <w:lang w:val="zh-CN" w:eastAsia="zh-CN"/>
        </w:rPr>
        <w:t>；</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ascii="宋体" w:hAnsi="宋体" w:eastAsia="宋体" w:cs="Times New Roman"/>
          <w:bCs/>
          <w:color w:val="auto"/>
          <w:highlight w:val="none"/>
          <w:lang w:val="en-US" w:eastAsia="zh-CN"/>
        </w:rPr>
      </w:pPr>
      <w:r>
        <w:rPr>
          <w:rFonts w:hint="eastAsia" w:ascii="宋体" w:hAnsi="宋体" w:eastAsia="宋体" w:cs="Times New Roman"/>
          <w:bCs/>
          <w:color w:val="auto"/>
          <w:highlight w:val="none"/>
          <w:lang w:val="en-US" w:eastAsia="zh-CN"/>
        </w:rPr>
        <w:t>（1</w:t>
      </w:r>
      <w:r>
        <w:rPr>
          <w:rFonts w:hint="eastAsia" w:hAnsi="宋体" w:cs="Times New Roman"/>
          <w:bCs/>
          <w:color w:val="auto"/>
          <w:highlight w:val="none"/>
          <w:lang w:val="en-US" w:eastAsia="zh-CN"/>
        </w:rPr>
        <w:t>6</w:t>
      </w:r>
      <w:r>
        <w:rPr>
          <w:rFonts w:hint="eastAsia" w:ascii="宋体" w:hAnsi="宋体" w:eastAsia="宋体" w:cs="Times New Roman"/>
          <w:bCs/>
          <w:color w:val="auto"/>
          <w:highlight w:val="none"/>
          <w:lang w:val="en-US" w:eastAsia="zh-CN"/>
        </w:rPr>
        <w:t>）同类项目业绩（投标人20</w:t>
      </w:r>
      <w:r>
        <w:rPr>
          <w:rFonts w:hint="eastAsia" w:hAnsi="宋体" w:cs="Times New Roman"/>
          <w:bCs/>
          <w:color w:val="auto"/>
          <w:highlight w:val="none"/>
          <w:lang w:val="en-US" w:eastAsia="zh-CN"/>
        </w:rPr>
        <w:t>21</w:t>
      </w:r>
      <w:r>
        <w:rPr>
          <w:rFonts w:hint="eastAsia" w:ascii="宋体" w:hAnsi="宋体" w:eastAsia="宋体" w:cs="Times New Roman"/>
          <w:bCs/>
          <w:color w:val="auto"/>
          <w:highlight w:val="none"/>
          <w:lang w:val="en-US" w:eastAsia="zh-CN"/>
        </w:rPr>
        <w:t>年1月1日以来同类项目实施情况一览表，以签订时间为准，格式见附件）；</w:t>
      </w:r>
    </w:p>
    <w:p>
      <w:pPr>
        <w:pStyle w:val="18"/>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hAnsi="宋体"/>
          <w:color w:val="auto"/>
          <w:highlight w:val="none"/>
        </w:rPr>
      </w:pPr>
      <w:r>
        <w:rPr>
          <w:rFonts w:hint="eastAsia" w:hAnsi="宋体"/>
          <w:color w:val="auto"/>
          <w:highlight w:val="none"/>
        </w:rPr>
        <w:t>（</w:t>
      </w:r>
      <w:r>
        <w:rPr>
          <w:rFonts w:hint="eastAsia" w:hAnsi="宋体"/>
          <w:color w:val="auto"/>
          <w:highlight w:val="none"/>
          <w:lang w:val="en-US" w:eastAsia="zh-CN"/>
        </w:rPr>
        <w:t>17</w:t>
      </w:r>
      <w:r>
        <w:rPr>
          <w:rFonts w:hint="eastAsia" w:hAnsi="宋体"/>
          <w:color w:val="auto"/>
          <w:highlight w:val="none"/>
        </w:rPr>
        <w:t>）投标人认为需要的其他</w:t>
      </w:r>
      <w:r>
        <w:rPr>
          <w:rFonts w:hint="eastAsia" w:hAnsi="宋体"/>
          <w:color w:val="auto"/>
          <w:highlight w:val="none"/>
          <w:lang w:eastAsia="zh-CN"/>
        </w:rPr>
        <w:t>商务</w:t>
      </w:r>
      <w:r>
        <w:rPr>
          <w:rFonts w:hint="eastAsia" w:hAnsi="宋体"/>
          <w:color w:val="auto"/>
          <w:highlight w:val="none"/>
        </w:rPr>
        <w:t>技术文件或说明。</w:t>
      </w:r>
    </w:p>
    <w:p>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left"/>
        <w:textAlignment w:val="auto"/>
        <w:rPr>
          <w:rFonts w:ascii="宋体" w:hAnsi="宋体"/>
          <w:b/>
          <w:color w:val="auto"/>
          <w:sz w:val="24"/>
          <w:highlight w:val="none"/>
        </w:rPr>
      </w:pPr>
      <w:r>
        <w:rPr>
          <w:rFonts w:hint="eastAsia" w:ascii="宋体" w:hAnsi="宋体"/>
          <w:b/>
          <w:color w:val="auto"/>
          <w:sz w:val="24"/>
          <w:highlight w:val="none"/>
          <w:lang w:val="en-US" w:eastAsia="zh-CN"/>
        </w:rPr>
        <w:t>3</w:t>
      </w:r>
      <w:r>
        <w:rPr>
          <w:rFonts w:ascii="宋体" w:hAnsi="宋体"/>
          <w:b/>
          <w:color w:val="auto"/>
          <w:sz w:val="24"/>
          <w:highlight w:val="none"/>
        </w:rPr>
        <w:t>.</w:t>
      </w:r>
      <w:r>
        <w:rPr>
          <w:rFonts w:hint="eastAsia" w:ascii="宋体" w:hAnsi="宋体"/>
          <w:b/>
          <w:color w:val="auto"/>
          <w:sz w:val="24"/>
          <w:highlight w:val="none"/>
        </w:rPr>
        <w:t>投标</w:t>
      </w:r>
      <w:r>
        <w:rPr>
          <w:rFonts w:ascii="宋体" w:hAnsi="宋体"/>
          <w:b/>
          <w:color w:val="auto"/>
          <w:sz w:val="24"/>
          <w:highlight w:val="none"/>
        </w:rPr>
        <w:t>报价文件</w:t>
      </w:r>
      <w:r>
        <w:rPr>
          <w:rFonts w:hint="eastAsia" w:ascii="宋体" w:hAnsi="宋体"/>
          <w:b/>
          <w:color w:val="auto"/>
          <w:sz w:val="24"/>
          <w:highlight w:val="none"/>
        </w:rPr>
        <w:t>（</w:t>
      </w:r>
      <w:r>
        <w:rPr>
          <w:rFonts w:hint="eastAsia" w:ascii="宋体" w:hAnsi="宋体"/>
          <w:color w:val="auto"/>
          <w:kern w:val="0"/>
          <w:sz w:val="24"/>
          <w:highlight w:val="none"/>
        </w:rPr>
        <w:t>包括以下内容）</w:t>
      </w:r>
      <w:r>
        <w:rPr>
          <w:rFonts w:ascii="宋体" w:hAnsi="宋体"/>
          <w:b/>
          <w:color w:val="auto"/>
          <w:sz w:val="24"/>
          <w:highlight w:val="none"/>
        </w:rPr>
        <w:t>：</w:t>
      </w:r>
    </w:p>
    <w:p>
      <w:pPr>
        <w:keepNext w:val="0"/>
        <w:keepLines w:val="0"/>
        <w:pageBreakBefore w:val="0"/>
        <w:widowControl w:val="0"/>
        <w:tabs>
          <w:tab w:val="left" w:pos="3870"/>
          <w:tab w:val="left" w:pos="4085"/>
        </w:tabs>
        <w:kinsoku/>
        <w:wordWrap/>
        <w:overflowPunct/>
        <w:topLinePunct w:val="0"/>
        <w:autoSpaceDE/>
        <w:autoSpaceDN/>
        <w:bidi w:val="0"/>
        <w:adjustRightInd/>
        <w:snapToGrid w:val="0"/>
        <w:spacing w:line="360" w:lineRule="auto"/>
        <w:ind w:firstLine="480" w:firstLineChars="200"/>
        <w:jc w:val="left"/>
        <w:textAlignment w:val="auto"/>
        <w:rPr>
          <w:rFonts w:ascii="宋体" w:hAnsi="宋体"/>
          <w:color w:val="auto"/>
          <w:sz w:val="24"/>
          <w:highlight w:val="none"/>
        </w:rPr>
      </w:pPr>
      <w:r>
        <w:rPr>
          <w:rFonts w:ascii="宋体" w:hAnsi="宋体"/>
          <w:color w:val="auto"/>
          <w:sz w:val="24"/>
          <w:highlight w:val="none"/>
        </w:rPr>
        <w:t>（1）投标函</w:t>
      </w:r>
      <w:r>
        <w:rPr>
          <w:rFonts w:hint="eastAsia" w:ascii="宋体" w:hAnsi="宋体"/>
          <w:color w:val="auto"/>
          <w:sz w:val="24"/>
          <w:highlight w:val="none"/>
        </w:rPr>
        <w:t>（格式见附件）</w:t>
      </w:r>
      <w:r>
        <w:rPr>
          <w:rFonts w:ascii="宋体" w:hAnsi="宋体"/>
          <w:color w:val="auto"/>
          <w:sz w:val="24"/>
          <w:highlight w:val="none"/>
        </w:rPr>
        <w:t xml:space="preserve">； </w:t>
      </w:r>
    </w:p>
    <w:p>
      <w:pPr>
        <w:keepNext w:val="0"/>
        <w:keepLines w:val="0"/>
        <w:pageBreakBefore w:val="0"/>
        <w:widowControl w:val="0"/>
        <w:tabs>
          <w:tab w:val="left" w:pos="3870"/>
          <w:tab w:val="left" w:pos="4085"/>
        </w:tabs>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开标</w:t>
      </w:r>
      <w:r>
        <w:rPr>
          <w:rFonts w:ascii="宋体" w:hAnsi="宋体"/>
          <w:color w:val="auto"/>
          <w:sz w:val="24"/>
          <w:highlight w:val="none"/>
        </w:rPr>
        <w:t>一览</w:t>
      </w:r>
      <w:r>
        <w:rPr>
          <w:rFonts w:hint="eastAsia" w:ascii="宋体" w:hAnsi="宋体"/>
          <w:color w:val="auto"/>
          <w:sz w:val="24"/>
          <w:highlight w:val="none"/>
        </w:rPr>
        <w:t>表（格式见附件）；</w:t>
      </w:r>
    </w:p>
    <w:p>
      <w:pPr>
        <w:keepNext w:val="0"/>
        <w:keepLines w:val="0"/>
        <w:pageBreakBefore w:val="0"/>
        <w:widowControl w:val="0"/>
        <w:tabs>
          <w:tab w:val="left" w:pos="3870"/>
          <w:tab w:val="left" w:pos="4085"/>
        </w:tabs>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color w:val="auto"/>
          <w:sz w:val="24"/>
          <w:highlight w:val="none"/>
        </w:rPr>
      </w:pPr>
      <w:r>
        <w:rPr>
          <w:rFonts w:ascii="宋体" w:hAnsi="宋体"/>
          <w:color w:val="auto"/>
          <w:sz w:val="24"/>
          <w:highlight w:val="none"/>
        </w:rPr>
        <w:t>（</w:t>
      </w:r>
      <w:r>
        <w:rPr>
          <w:rFonts w:hint="eastAsia" w:ascii="宋体" w:hAnsi="宋体"/>
          <w:color w:val="auto"/>
          <w:sz w:val="24"/>
          <w:highlight w:val="none"/>
        </w:rPr>
        <w:t>3</w:t>
      </w:r>
      <w:r>
        <w:rPr>
          <w:rFonts w:ascii="宋体" w:hAnsi="宋体"/>
          <w:color w:val="auto"/>
          <w:sz w:val="24"/>
          <w:highlight w:val="none"/>
        </w:rPr>
        <w:t>）</w:t>
      </w:r>
      <w:r>
        <w:rPr>
          <w:rFonts w:hint="eastAsia" w:ascii="宋体" w:hAnsi="宋体"/>
          <w:color w:val="auto"/>
          <w:sz w:val="24"/>
          <w:highlight w:val="none"/>
        </w:rPr>
        <w:t>报价明细清单（格式见附件）；</w:t>
      </w:r>
    </w:p>
    <w:p>
      <w:pPr>
        <w:pStyle w:val="18"/>
        <w:spacing w:beforeLines="0" w:afterLines="0" w:line="360" w:lineRule="auto"/>
        <w:ind w:firstLine="480" w:firstLineChars="200"/>
        <w:rPr>
          <w:rFonts w:hint="eastAsia" w:hAnsi="宋体"/>
          <w:bCs/>
          <w:color w:val="auto"/>
          <w:highlight w:val="none"/>
          <w:lang w:val="zh-CN"/>
        </w:rPr>
      </w:pPr>
      <w:r>
        <w:rPr>
          <w:rFonts w:hint="eastAsia"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）投标人针对报价需要说明的其他文件和说明</w:t>
      </w:r>
      <w:r>
        <w:rPr>
          <w:rFonts w:ascii="宋体" w:hAnsi="宋体"/>
          <w:color w:val="auto"/>
          <w:sz w:val="24"/>
          <w:highlight w:val="none"/>
        </w:rPr>
        <w:t>。</w:t>
      </w:r>
    </w:p>
    <w:p>
      <w:pPr>
        <w:pStyle w:val="18"/>
        <w:spacing w:beforeLines="0" w:afterLines="0" w:line="360" w:lineRule="auto"/>
        <w:ind w:firstLine="482" w:firstLineChars="200"/>
        <w:rPr>
          <w:rFonts w:hint="eastAsia" w:hAnsi="宋体"/>
          <w:b/>
          <w:color w:val="auto"/>
          <w:highlight w:val="none"/>
        </w:rPr>
      </w:pPr>
      <w:r>
        <w:rPr>
          <w:rFonts w:hint="eastAsia" w:hAnsi="宋体"/>
          <w:b/>
          <w:color w:val="auto"/>
          <w:highlight w:val="none"/>
        </w:rPr>
        <w:t>投标声明书、法定代表人授权委托书、投标函、开标一览表必须</w:t>
      </w:r>
      <w:r>
        <w:rPr>
          <w:rFonts w:hAnsi="宋体"/>
          <w:b/>
          <w:color w:val="auto"/>
          <w:highlight w:val="none"/>
        </w:rPr>
        <w:t>由</w:t>
      </w:r>
      <w:r>
        <w:rPr>
          <w:rFonts w:hint="eastAsia" w:hAnsi="宋体"/>
          <w:b/>
          <w:color w:val="auto"/>
          <w:highlight w:val="none"/>
        </w:rPr>
        <w:t>法定代表人或委托代理人签名（或签章）并加盖单位公章。</w:t>
      </w:r>
    </w:p>
    <w:p>
      <w:pPr>
        <w:snapToGrid w:val="0"/>
        <w:spacing w:line="520" w:lineRule="exact"/>
        <w:ind w:firstLine="482" w:firstLineChars="200"/>
        <w:jc w:val="left"/>
        <w:outlineLvl w:val="0"/>
        <w:rPr>
          <w:rFonts w:hint="eastAsia" w:ascii="宋体" w:hAnsi="宋体"/>
          <w:b/>
          <w:color w:val="auto"/>
          <w:sz w:val="24"/>
          <w:highlight w:val="none"/>
        </w:rPr>
      </w:pPr>
      <w:r>
        <w:rPr>
          <w:rFonts w:ascii="宋体" w:hAnsi="宋体"/>
          <w:b/>
          <w:color w:val="auto"/>
          <w:sz w:val="24"/>
          <w:highlight w:val="none"/>
        </w:rPr>
        <w:t>（二）投标文件的语言及计量</w:t>
      </w:r>
    </w:p>
    <w:p>
      <w:pPr>
        <w:snapToGrid w:val="0"/>
        <w:spacing w:line="520" w:lineRule="exact"/>
        <w:ind w:firstLine="480" w:firstLineChars="200"/>
        <w:jc w:val="left"/>
        <w:rPr>
          <w:rFonts w:hint="eastAsia" w:ascii="宋体" w:hAnsi="宋体"/>
          <w:color w:val="auto"/>
          <w:sz w:val="24"/>
          <w:highlight w:val="none"/>
        </w:rPr>
      </w:pPr>
      <w:r>
        <w:rPr>
          <w:rFonts w:ascii="宋体" w:hAnsi="宋体"/>
          <w:color w:val="auto"/>
          <w:sz w:val="24"/>
          <w:highlight w:val="none"/>
        </w:rPr>
        <w:t>1.投标文件以及投标人与招标人就有关投标事宜的所有来往函电，均应以中文汉语书写。除签名、盖章、专用名称等特殊情形外，以中文汉语以外的文字表述的投标文件视同未提供。</w:t>
      </w:r>
    </w:p>
    <w:p>
      <w:pPr>
        <w:snapToGrid w:val="0"/>
        <w:spacing w:line="520" w:lineRule="exact"/>
        <w:ind w:firstLine="480" w:firstLineChars="200"/>
        <w:jc w:val="left"/>
        <w:rPr>
          <w:rFonts w:hint="eastAsia" w:ascii="宋体" w:hAnsi="宋体"/>
          <w:color w:val="auto"/>
          <w:sz w:val="24"/>
          <w:highlight w:val="none"/>
        </w:rPr>
      </w:pPr>
      <w:r>
        <w:rPr>
          <w:rFonts w:ascii="宋体" w:hAnsi="宋体"/>
          <w:color w:val="auto"/>
          <w:sz w:val="24"/>
          <w:highlight w:val="none"/>
        </w:rPr>
        <w:t>2.投标计量单位，招标文件已有明确规定的，使用招标文件规定的计量单位；招标文件没有规定的，应采用中华人民共和国法定计量单位（货币单位：人民币元），否则视同未响应。</w:t>
      </w:r>
    </w:p>
    <w:p>
      <w:pPr>
        <w:snapToGrid w:val="0"/>
        <w:spacing w:line="500" w:lineRule="exact"/>
        <w:ind w:firstLine="482" w:firstLineChars="200"/>
        <w:jc w:val="left"/>
        <w:outlineLvl w:val="0"/>
        <w:rPr>
          <w:rFonts w:hint="eastAsia" w:ascii="宋体" w:hAnsi="宋体"/>
          <w:b/>
          <w:color w:val="auto"/>
          <w:sz w:val="24"/>
          <w:highlight w:val="none"/>
        </w:rPr>
      </w:pPr>
      <w:r>
        <w:rPr>
          <w:rFonts w:ascii="宋体" w:hAnsi="宋体"/>
          <w:b/>
          <w:color w:val="auto"/>
          <w:sz w:val="24"/>
          <w:highlight w:val="none"/>
        </w:rPr>
        <w:t>（三）投标报价</w:t>
      </w:r>
    </w:p>
    <w:p>
      <w:pPr>
        <w:snapToGrid w:val="0"/>
        <w:spacing w:line="520" w:lineRule="exact"/>
        <w:ind w:firstLine="480" w:firstLineChars="200"/>
        <w:jc w:val="left"/>
        <w:outlineLvl w:val="0"/>
        <w:rPr>
          <w:rFonts w:hint="eastAsia" w:ascii="宋体" w:hAnsi="宋体" w:cs="宋体"/>
          <w:color w:val="auto"/>
          <w:sz w:val="24"/>
          <w:highlight w:val="none"/>
        </w:rPr>
      </w:pPr>
      <w:r>
        <w:rPr>
          <w:rFonts w:hint="eastAsia" w:ascii="宋体" w:hAnsi="宋体" w:cs="宋体"/>
          <w:color w:val="auto"/>
          <w:sz w:val="24"/>
          <w:highlight w:val="none"/>
        </w:rPr>
        <w:t>1.投标报价应按招标文件中相关附表格式填写。</w:t>
      </w:r>
    </w:p>
    <w:p>
      <w:pPr>
        <w:snapToGrid w:val="0"/>
        <w:spacing w:line="520" w:lineRule="exact"/>
        <w:ind w:firstLine="480" w:firstLineChars="200"/>
        <w:jc w:val="left"/>
        <w:outlineLvl w:val="0"/>
        <w:rPr>
          <w:rFonts w:hint="eastAsia" w:ascii="宋体" w:hAnsi="宋体" w:cs="宋体"/>
          <w:color w:val="auto"/>
          <w:sz w:val="24"/>
          <w:highlight w:val="none"/>
        </w:rPr>
      </w:pPr>
      <w:r>
        <w:rPr>
          <w:rFonts w:hint="eastAsia" w:ascii="宋体" w:hAnsi="宋体" w:cs="宋体"/>
          <w:color w:val="auto"/>
          <w:sz w:val="24"/>
          <w:highlight w:val="none"/>
        </w:rPr>
        <w:t>2.投标报价是履行合同的最终价格，应包括货款、标准附件、备品备件、专用工具、包装、运输、装卸、保险、税金、货到就位以及安装、调试、培训、保修和前期方案编制、招投标、审计等一切税金和费用。</w:t>
      </w:r>
    </w:p>
    <w:p>
      <w:pPr>
        <w:snapToGrid w:val="0"/>
        <w:spacing w:line="520" w:lineRule="exact"/>
        <w:ind w:firstLine="480" w:firstLineChars="200"/>
        <w:jc w:val="left"/>
        <w:outlineLvl w:val="0"/>
        <w:rPr>
          <w:rFonts w:hint="eastAsia" w:ascii="宋体" w:hAnsi="宋体" w:cs="宋体"/>
          <w:color w:val="auto"/>
          <w:sz w:val="24"/>
          <w:highlight w:val="none"/>
        </w:rPr>
      </w:pPr>
      <w:r>
        <w:rPr>
          <w:rFonts w:hint="eastAsia" w:ascii="宋体" w:hAnsi="宋体" w:cs="宋体"/>
          <w:color w:val="auto"/>
          <w:sz w:val="24"/>
          <w:highlight w:val="none"/>
        </w:rPr>
        <w:t>▲3.投标文件只允许有一个报价，有选择的或有条件的报价将不予接受。</w:t>
      </w:r>
    </w:p>
    <w:p>
      <w:pPr>
        <w:snapToGrid w:val="0"/>
        <w:spacing w:line="520" w:lineRule="exact"/>
        <w:ind w:firstLine="482" w:firstLineChars="200"/>
        <w:jc w:val="left"/>
        <w:outlineLvl w:val="0"/>
        <w:rPr>
          <w:rFonts w:hint="eastAsia" w:ascii="宋体" w:hAnsi="宋体"/>
          <w:b/>
          <w:color w:val="auto"/>
          <w:sz w:val="24"/>
          <w:highlight w:val="none"/>
        </w:rPr>
      </w:pPr>
      <w:r>
        <w:rPr>
          <w:rFonts w:ascii="宋体" w:hAnsi="宋体"/>
          <w:b/>
          <w:color w:val="auto"/>
          <w:sz w:val="24"/>
          <w:highlight w:val="none"/>
        </w:rPr>
        <w:t>（四）投标文件的有效期</w:t>
      </w:r>
    </w:p>
    <w:p>
      <w:pPr>
        <w:snapToGrid w:val="0"/>
        <w:spacing w:line="520" w:lineRule="exact"/>
        <w:ind w:firstLine="480" w:firstLineChars="200"/>
        <w:jc w:val="left"/>
        <w:outlineLvl w:val="0"/>
        <w:rPr>
          <w:rFonts w:hint="eastAsia" w:ascii="宋体" w:hAnsi="宋体" w:cs="宋体"/>
          <w:color w:val="auto"/>
          <w:sz w:val="24"/>
          <w:highlight w:val="none"/>
        </w:rPr>
      </w:pPr>
      <w:r>
        <w:rPr>
          <w:rFonts w:hint="eastAsia" w:ascii="宋体" w:hAnsi="宋体" w:cs="宋体"/>
          <w:color w:val="auto"/>
          <w:sz w:val="24"/>
          <w:highlight w:val="none"/>
        </w:rPr>
        <w:t>1.投标文件从投标文件递交截止之日起，有效期为 90天，有效期不足的投标文件无效。</w:t>
      </w:r>
    </w:p>
    <w:p>
      <w:pPr>
        <w:snapToGrid w:val="0"/>
        <w:spacing w:line="520" w:lineRule="exact"/>
        <w:ind w:firstLine="480" w:firstLineChars="200"/>
        <w:jc w:val="left"/>
        <w:outlineLvl w:val="0"/>
        <w:rPr>
          <w:rFonts w:hint="eastAsia" w:ascii="宋体" w:hAnsi="宋体" w:cs="宋体"/>
          <w:color w:val="auto"/>
          <w:sz w:val="24"/>
          <w:highlight w:val="none"/>
        </w:rPr>
      </w:pPr>
      <w:r>
        <w:rPr>
          <w:rFonts w:hint="eastAsia" w:ascii="宋体" w:hAnsi="宋体" w:cs="宋体"/>
          <w:color w:val="auto"/>
          <w:sz w:val="24"/>
          <w:highlight w:val="none"/>
        </w:rPr>
        <w:t>2.在特殊情况下，招标人可与投标人协商延长投标书的有效期，这种要求和答复均以书面形式进行。</w:t>
      </w:r>
    </w:p>
    <w:p>
      <w:pPr>
        <w:snapToGrid w:val="0"/>
        <w:spacing w:line="520" w:lineRule="exact"/>
        <w:ind w:firstLine="480" w:firstLineChars="200"/>
        <w:jc w:val="left"/>
        <w:outlineLvl w:val="0"/>
        <w:rPr>
          <w:rFonts w:hint="eastAsia" w:ascii="宋体" w:hAnsi="宋体" w:cs="宋体"/>
          <w:color w:val="auto"/>
          <w:sz w:val="24"/>
          <w:highlight w:val="none"/>
        </w:rPr>
      </w:pPr>
      <w:r>
        <w:rPr>
          <w:rFonts w:hint="eastAsia" w:ascii="宋体" w:hAnsi="宋体" w:cs="宋体"/>
          <w:color w:val="auto"/>
          <w:sz w:val="24"/>
          <w:highlight w:val="none"/>
        </w:rPr>
        <w:t xml:space="preserve">3.投标人可拒绝接受延期要求。同意延长有效期的投标人不能修改投标文件。 </w:t>
      </w:r>
    </w:p>
    <w:p>
      <w:pPr>
        <w:snapToGrid w:val="0"/>
        <w:spacing w:line="520" w:lineRule="exact"/>
        <w:ind w:firstLine="480" w:firstLineChars="200"/>
        <w:jc w:val="left"/>
        <w:outlineLvl w:val="0"/>
        <w:rPr>
          <w:rFonts w:hint="eastAsia" w:ascii="宋体" w:hAnsi="宋体" w:cs="宋体"/>
          <w:color w:val="auto"/>
          <w:sz w:val="24"/>
          <w:highlight w:val="none"/>
        </w:rPr>
      </w:pPr>
      <w:r>
        <w:rPr>
          <w:rFonts w:hint="eastAsia" w:ascii="宋体" w:hAnsi="宋体" w:cs="宋体"/>
          <w:color w:val="auto"/>
          <w:sz w:val="24"/>
          <w:highlight w:val="none"/>
        </w:rPr>
        <w:t>4.中标人的投标文件自开标之日起至合同履行完毕均应保持有效。</w:t>
      </w:r>
    </w:p>
    <w:p>
      <w:pPr>
        <w:snapToGrid w:val="0"/>
        <w:spacing w:line="520" w:lineRule="exact"/>
        <w:ind w:firstLine="482" w:firstLineChars="200"/>
        <w:jc w:val="left"/>
        <w:outlineLvl w:val="0"/>
        <w:rPr>
          <w:rFonts w:hint="eastAsia" w:ascii="宋体" w:hAnsi="宋体"/>
          <w:b/>
          <w:color w:val="auto"/>
          <w:sz w:val="24"/>
          <w:highlight w:val="none"/>
        </w:rPr>
      </w:pPr>
      <w:r>
        <w:rPr>
          <w:rFonts w:hint="eastAsia" w:ascii="宋体" w:hAnsi="宋体"/>
          <w:b/>
          <w:color w:val="auto"/>
          <w:sz w:val="24"/>
          <w:highlight w:val="none"/>
        </w:rPr>
        <w:t>（五）</w:t>
      </w:r>
      <w:bookmarkStart w:id="37" w:name="_Toc406402951"/>
      <w:bookmarkStart w:id="38" w:name="_Toc402963089"/>
      <w:bookmarkStart w:id="39" w:name="_Toc406402995"/>
      <w:bookmarkStart w:id="40" w:name="_Toc402963122"/>
      <w:bookmarkStart w:id="41" w:name="_Toc385854151"/>
      <w:bookmarkStart w:id="42" w:name="_Toc385854105"/>
      <w:r>
        <w:rPr>
          <w:rFonts w:hint="eastAsia" w:ascii="宋体" w:hAnsi="宋体"/>
          <w:b/>
          <w:color w:val="auto"/>
          <w:sz w:val="24"/>
          <w:highlight w:val="none"/>
        </w:rPr>
        <w:t>投标文件的</w:t>
      </w:r>
      <w:bookmarkEnd w:id="37"/>
      <w:bookmarkEnd w:id="38"/>
      <w:bookmarkEnd w:id="39"/>
      <w:bookmarkEnd w:id="40"/>
      <w:bookmarkEnd w:id="41"/>
      <w:bookmarkEnd w:id="42"/>
      <w:r>
        <w:rPr>
          <w:rFonts w:hint="eastAsia" w:ascii="宋体" w:hAnsi="宋体"/>
          <w:b/>
          <w:color w:val="auto"/>
          <w:sz w:val="24"/>
          <w:highlight w:val="none"/>
        </w:rPr>
        <w:t>递交</w:t>
      </w:r>
    </w:p>
    <w:p>
      <w:pPr>
        <w:snapToGrid w:val="0"/>
        <w:spacing w:line="520" w:lineRule="exact"/>
        <w:ind w:firstLine="482" w:firstLineChars="200"/>
        <w:jc w:val="left"/>
        <w:outlineLvl w:val="0"/>
        <w:rPr>
          <w:rFonts w:hint="eastAsia" w:ascii="宋体" w:hAnsi="宋体"/>
          <w:b/>
          <w:color w:val="auto"/>
          <w:kern w:val="0"/>
          <w:sz w:val="24"/>
          <w:highlight w:val="none"/>
        </w:rPr>
      </w:pPr>
      <w:r>
        <w:rPr>
          <w:rFonts w:hint="eastAsia" w:ascii="宋体" w:hAnsi="宋体"/>
          <w:b/>
          <w:color w:val="auto"/>
          <w:kern w:val="0"/>
          <w:sz w:val="24"/>
          <w:highlight w:val="none"/>
        </w:rPr>
        <w:t>电子投标</w:t>
      </w:r>
      <w:r>
        <w:rPr>
          <w:rFonts w:ascii="宋体" w:hAnsi="宋体"/>
          <w:b/>
          <w:color w:val="auto"/>
          <w:kern w:val="0"/>
          <w:sz w:val="24"/>
          <w:highlight w:val="none"/>
        </w:rPr>
        <w:t>文件</w:t>
      </w:r>
    </w:p>
    <w:p>
      <w:pPr>
        <w:snapToGrid w:val="0"/>
        <w:spacing w:line="520" w:lineRule="exact"/>
        <w:ind w:firstLine="480" w:firstLineChars="200"/>
        <w:jc w:val="left"/>
        <w:outlineLvl w:val="0"/>
        <w:rPr>
          <w:rFonts w:hint="eastAsia" w:ascii="宋体" w:hAnsi="宋体"/>
          <w:color w:val="auto"/>
          <w:kern w:val="0"/>
          <w:sz w:val="24"/>
          <w:highlight w:val="none"/>
        </w:rPr>
      </w:pPr>
      <w:r>
        <w:rPr>
          <w:rFonts w:hint="eastAsia" w:ascii="宋体" w:hAnsi="宋体"/>
          <w:color w:val="auto"/>
          <w:kern w:val="0"/>
          <w:sz w:val="24"/>
          <w:highlight w:val="none"/>
        </w:rPr>
        <w:t>电子投标文件按政采云平台供应商电子招投标操作指南（网址：https://edu.zcygov.cn/luban/e-biding）及本招标文件规定的格式和顺序编制电子投标文件并进行关联定位。</w:t>
      </w:r>
    </w:p>
    <w:p>
      <w:pPr>
        <w:tabs>
          <w:tab w:val="left" w:pos="2212"/>
        </w:tabs>
        <w:adjustRightInd w:val="0"/>
        <w:snapToGrid w:val="0"/>
        <w:spacing w:line="520" w:lineRule="exact"/>
        <w:ind w:firstLine="480" w:firstLineChars="200"/>
        <w:rPr>
          <w:rFonts w:hint="eastAsia" w:ascii="新宋体" w:hAnsi="新宋体" w:eastAsia="新宋体" w:cs="Courier New"/>
          <w:color w:val="auto"/>
          <w:sz w:val="24"/>
          <w:szCs w:val="21"/>
          <w:highlight w:val="none"/>
        </w:rPr>
      </w:pPr>
      <w:r>
        <w:rPr>
          <w:rFonts w:hint="eastAsia" w:ascii="宋体" w:hAnsi="宋体" w:eastAsia="新宋体"/>
          <w:bCs/>
          <w:color w:val="auto"/>
          <w:sz w:val="24"/>
          <w:highlight w:val="none"/>
        </w:rPr>
        <w:t>1.</w:t>
      </w:r>
      <w:r>
        <w:rPr>
          <w:rFonts w:hint="eastAsia" w:ascii="新宋体" w:hAnsi="新宋体" w:eastAsia="新宋体" w:cs="Courier New"/>
          <w:bCs/>
          <w:color w:val="auto"/>
          <w:sz w:val="24"/>
          <w:szCs w:val="21"/>
          <w:highlight w:val="none"/>
        </w:rPr>
        <w:t>投</w:t>
      </w:r>
      <w:r>
        <w:rPr>
          <w:rFonts w:hint="eastAsia" w:ascii="新宋体" w:hAnsi="新宋体" w:eastAsia="新宋体" w:cs="Courier New"/>
          <w:color w:val="auto"/>
          <w:sz w:val="24"/>
          <w:szCs w:val="21"/>
          <w:highlight w:val="none"/>
        </w:rPr>
        <w:t>标人应于</w:t>
      </w:r>
      <w:r>
        <w:rPr>
          <w:rFonts w:hint="eastAsia" w:ascii="新宋体" w:hAnsi="新宋体" w:eastAsia="新宋体" w:cs="Courier New"/>
          <w:color w:val="auto"/>
          <w:sz w:val="24"/>
          <w:szCs w:val="21"/>
          <w:highlight w:val="none"/>
          <w:lang w:eastAsia="zh-CN"/>
        </w:rPr>
        <w:t>2024年12月10日</w:t>
      </w:r>
      <w:r>
        <w:rPr>
          <w:rFonts w:hint="eastAsia" w:ascii="新宋体" w:hAnsi="新宋体" w:eastAsia="新宋体" w:cs="Courier New"/>
          <w:color w:val="auto"/>
          <w:sz w:val="24"/>
          <w:szCs w:val="21"/>
          <w:highlight w:val="none"/>
        </w:rPr>
        <w:t>9时</w:t>
      </w:r>
      <w:r>
        <w:rPr>
          <w:rFonts w:hint="eastAsia" w:ascii="新宋体" w:hAnsi="新宋体" w:eastAsia="新宋体" w:cs="Courier New"/>
          <w:color w:val="auto"/>
          <w:sz w:val="24"/>
          <w:szCs w:val="21"/>
          <w:highlight w:val="none"/>
          <w:lang w:val="en-US" w:eastAsia="zh-CN"/>
        </w:rPr>
        <w:t>3</w:t>
      </w:r>
      <w:r>
        <w:rPr>
          <w:rFonts w:hint="eastAsia" w:ascii="新宋体" w:hAnsi="新宋体" w:eastAsia="新宋体" w:cs="Courier New"/>
          <w:color w:val="auto"/>
          <w:sz w:val="24"/>
          <w:szCs w:val="21"/>
          <w:highlight w:val="none"/>
        </w:rPr>
        <w:t>0分前在“政采云”上自行加密上传电子投标文件，</w:t>
      </w:r>
      <w:r>
        <w:rPr>
          <w:rFonts w:ascii="新宋体" w:hAnsi="新宋体" w:eastAsia="新宋体" w:cs="Courier New"/>
          <w:color w:val="auto"/>
          <w:sz w:val="24"/>
          <w:szCs w:val="21"/>
          <w:highlight w:val="none"/>
        </w:rPr>
        <w:t>逾期</w:t>
      </w:r>
      <w:r>
        <w:rPr>
          <w:rFonts w:hint="eastAsia" w:ascii="新宋体" w:hAnsi="新宋体" w:eastAsia="新宋体" w:cs="Courier New"/>
          <w:color w:val="auto"/>
          <w:sz w:val="24"/>
          <w:szCs w:val="21"/>
          <w:highlight w:val="none"/>
        </w:rPr>
        <w:t>上传</w:t>
      </w:r>
      <w:r>
        <w:rPr>
          <w:rFonts w:ascii="新宋体" w:hAnsi="新宋体" w:eastAsia="新宋体" w:cs="Courier New"/>
          <w:color w:val="auto"/>
          <w:sz w:val="24"/>
          <w:szCs w:val="21"/>
          <w:highlight w:val="none"/>
        </w:rPr>
        <w:t>或未按要求</w:t>
      </w:r>
      <w:r>
        <w:rPr>
          <w:rFonts w:hint="eastAsia" w:ascii="新宋体" w:hAnsi="新宋体" w:eastAsia="新宋体" w:cs="Courier New"/>
          <w:color w:val="auto"/>
          <w:sz w:val="24"/>
          <w:szCs w:val="21"/>
          <w:highlight w:val="none"/>
        </w:rPr>
        <w:t>上传</w:t>
      </w:r>
      <w:r>
        <w:rPr>
          <w:rFonts w:ascii="新宋体" w:hAnsi="新宋体" w:eastAsia="新宋体" w:cs="Courier New"/>
          <w:color w:val="auto"/>
          <w:sz w:val="24"/>
          <w:szCs w:val="21"/>
          <w:highlight w:val="none"/>
        </w:rPr>
        <w:t>的投标文件将予以拒收。</w:t>
      </w:r>
    </w:p>
    <w:p>
      <w:pPr>
        <w:tabs>
          <w:tab w:val="left" w:pos="2212"/>
        </w:tabs>
        <w:adjustRightInd w:val="0"/>
        <w:snapToGrid w:val="0"/>
        <w:spacing w:line="520" w:lineRule="exact"/>
        <w:ind w:firstLine="480" w:firstLineChars="200"/>
        <w:rPr>
          <w:rFonts w:hint="eastAsia" w:ascii="新宋体" w:hAnsi="新宋体" w:eastAsia="新宋体" w:cs="Courier New"/>
          <w:color w:val="auto"/>
          <w:sz w:val="24"/>
          <w:szCs w:val="21"/>
          <w:highlight w:val="none"/>
        </w:rPr>
      </w:pPr>
      <w:r>
        <w:rPr>
          <w:rFonts w:hint="eastAsia" w:ascii="新宋体" w:hAnsi="新宋体" w:eastAsia="新宋体" w:cs="Courier New"/>
          <w:color w:val="auto"/>
          <w:sz w:val="24"/>
          <w:szCs w:val="21"/>
          <w:highlight w:val="none"/>
        </w:rPr>
        <w:t>2.代理机构在规定的投标截止时间以后“政采云平台”将不接收投标文件。</w:t>
      </w:r>
    </w:p>
    <w:p>
      <w:pPr>
        <w:pStyle w:val="18"/>
        <w:spacing w:beforeLines="0" w:afterLines="0" w:line="520" w:lineRule="exact"/>
        <w:ind w:firstLine="480" w:firstLineChars="200"/>
        <w:rPr>
          <w:rFonts w:hint="eastAsia" w:ascii="新宋体" w:hAnsi="新宋体" w:eastAsia="新宋体" w:cs="Courier New"/>
          <w:color w:val="auto"/>
          <w:szCs w:val="21"/>
          <w:highlight w:val="none"/>
        </w:rPr>
      </w:pPr>
      <w:r>
        <w:rPr>
          <w:rFonts w:hint="eastAsia" w:ascii="新宋体" w:hAnsi="新宋体" w:eastAsia="新宋体"/>
          <w:color w:val="auto"/>
          <w:highlight w:val="none"/>
        </w:rPr>
        <w:t>3.投标文件解密：</w:t>
      </w:r>
      <w:r>
        <w:rPr>
          <w:rFonts w:hint="eastAsia" w:ascii="新宋体" w:hAnsi="新宋体" w:eastAsia="新宋体" w:cs="Courier New"/>
          <w:color w:val="auto"/>
          <w:szCs w:val="21"/>
          <w:highlight w:val="none"/>
        </w:rPr>
        <w:t>开标时间后半小时内（</w:t>
      </w:r>
      <w:r>
        <w:rPr>
          <w:rFonts w:hint="eastAsia" w:ascii="新宋体" w:hAnsi="新宋体" w:eastAsia="新宋体" w:cs="Courier New"/>
          <w:color w:val="auto"/>
          <w:szCs w:val="21"/>
          <w:highlight w:val="none"/>
          <w:lang w:eastAsia="zh-CN"/>
        </w:rPr>
        <w:t>2024年12月10日</w:t>
      </w:r>
      <w:r>
        <w:rPr>
          <w:rFonts w:hint="eastAsia" w:ascii="新宋体" w:hAnsi="新宋体" w:eastAsia="新宋体" w:cs="Courier New"/>
          <w:color w:val="auto"/>
          <w:szCs w:val="21"/>
          <w:highlight w:val="none"/>
          <w:lang w:val="en-US" w:eastAsia="zh-CN"/>
        </w:rPr>
        <w:t>10</w:t>
      </w:r>
      <w:r>
        <w:rPr>
          <w:rFonts w:hint="eastAsia" w:ascii="新宋体" w:hAnsi="新宋体" w:eastAsia="新宋体" w:cs="Courier New"/>
          <w:color w:val="auto"/>
          <w:szCs w:val="21"/>
          <w:highlight w:val="none"/>
        </w:rPr>
        <w:t>时</w:t>
      </w:r>
      <w:r>
        <w:rPr>
          <w:rFonts w:hint="eastAsia" w:ascii="新宋体" w:hAnsi="新宋体" w:eastAsia="新宋体" w:cs="Courier New"/>
          <w:color w:val="auto"/>
          <w:szCs w:val="21"/>
          <w:highlight w:val="none"/>
          <w:lang w:val="en-US" w:eastAsia="zh-CN"/>
        </w:rPr>
        <w:t>0</w:t>
      </w:r>
      <w:r>
        <w:rPr>
          <w:rFonts w:hint="eastAsia" w:ascii="新宋体" w:hAnsi="新宋体" w:eastAsia="新宋体" w:cs="Courier New"/>
          <w:color w:val="auto"/>
          <w:szCs w:val="21"/>
          <w:highlight w:val="none"/>
        </w:rPr>
        <w:t>0分</w:t>
      </w:r>
      <w:r>
        <w:rPr>
          <w:rFonts w:ascii="新宋体" w:hAnsi="新宋体" w:eastAsia="新宋体" w:cs="Courier New"/>
          <w:color w:val="auto"/>
          <w:szCs w:val="21"/>
          <w:highlight w:val="none"/>
        </w:rPr>
        <w:t>前</w:t>
      </w:r>
      <w:r>
        <w:rPr>
          <w:rFonts w:hint="eastAsia" w:ascii="新宋体" w:hAnsi="新宋体" w:eastAsia="新宋体" w:cs="Courier New"/>
          <w:color w:val="auto"/>
          <w:szCs w:val="21"/>
          <w:highlight w:val="none"/>
        </w:rPr>
        <w:t>）</w:t>
      </w:r>
      <w:r>
        <w:rPr>
          <w:rFonts w:ascii="新宋体" w:hAnsi="新宋体" w:eastAsia="新宋体" w:cs="Courier New"/>
          <w:color w:val="auto"/>
          <w:szCs w:val="21"/>
          <w:highlight w:val="none"/>
        </w:rPr>
        <w:t>供应商可以登录“</w:t>
      </w:r>
      <w:r>
        <w:rPr>
          <w:rFonts w:hint="eastAsia" w:ascii="新宋体" w:hAnsi="新宋体" w:eastAsia="新宋体" w:cs="Courier New"/>
          <w:color w:val="auto"/>
          <w:szCs w:val="21"/>
          <w:highlight w:val="none"/>
        </w:rPr>
        <w:t>政采云</w:t>
      </w:r>
      <w:r>
        <w:rPr>
          <w:rFonts w:ascii="新宋体" w:hAnsi="新宋体" w:eastAsia="新宋体" w:cs="Courier New"/>
          <w:color w:val="auto"/>
          <w:szCs w:val="21"/>
          <w:highlight w:val="none"/>
        </w:rPr>
        <w:t>”</w:t>
      </w:r>
      <w:r>
        <w:rPr>
          <w:rFonts w:hint="eastAsia" w:ascii="新宋体" w:hAnsi="新宋体" w:eastAsia="新宋体" w:cs="Courier New"/>
          <w:color w:val="auto"/>
          <w:szCs w:val="21"/>
          <w:highlight w:val="none"/>
        </w:rPr>
        <w:t>平台</w:t>
      </w:r>
      <w:r>
        <w:rPr>
          <w:rFonts w:ascii="新宋体" w:hAnsi="新宋体" w:eastAsia="新宋体" w:cs="Courier New"/>
          <w:color w:val="auto"/>
          <w:szCs w:val="21"/>
          <w:highlight w:val="none"/>
        </w:rPr>
        <w:t>，用“</w:t>
      </w:r>
      <w:r>
        <w:rPr>
          <w:rFonts w:hint="eastAsia" w:ascii="新宋体" w:hAnsi="新宋体" w:eastAsia="新宋体" w:cs="Courier New"/>
          <w:color w:val="auto"/>
          <w:szCs w:val="21"/>
          <w:highlight w:val="none"/>
        </w:rPr>
        <w:t>项目采购-开标评标</w:t>
      </w:r>
      <w:r>
        <w:rPr>
          <w:rFonts w:ascii="新宋体" w:hAnsi="新宋体" w:eastAsia="新宋体" w:cs="Courier New"/>
          <w:color w:val="auto"/>
          <w:szCs w:val="21"/>
          <w:highlight w:val="none"/>
        </w:rPr>
        <w:t>”功能</w:t>
      </w:r>
      <w:r>
        <w:rPr>
          <w:rFonts w:hint="eastAsia" w:ascii="新宋体" w:hAnsi="新宋体" w:eastAsia="新宋体" w:cs="Courier New"/>
          <w:color w:val="auto"/>
          <w:szCs w:val="21"/>
          <w:highlight w:val="none"/>
        </w:rPr>
        <w:t>进行解密投标文件</w:t>
      </w:r>
      <w:r>
        <w:rPr>
          <w:rFonts w:ascii="新宋体" w:hAnsi="新宋体" w:eastAsia="新宋体" w:cs="Courier New"/>
          <w:color w:val="auto"/>
          <w:szCs w:val="21"/>
          <w:highlight w:val="none"/>
        </w:rPr>
        <w:t>。</w:t>
      </w:r>
      <w:r>
        <w:rPr>
          <w:rFonts w:hint="eastAsia" w:ascii="新宋体" w:hAnsi="新宋体" w:eastAsia="新宋体" w:cs="Courier New"/>
          <w:color w:val="auto"/>
          <w:szCs w:val="21"/>
          <w:highlight w:val="none"/>
        </w:rPr>
        <w:t>若供应商在规定时间内无法解密或解密失败，将导致投标无效或失败。</w:t>
      </w:r>
    </w:p>
    <w:p>
      <w:pPr>
        <w:snapToGrid w:val="0"/>
        <w:spacing w:line="520" w:lineRule="exact"/>
        <w:ind w:firstLine="480" w:firstLineChars="200"/>
        <w:jc w:val="left"/>
        <w:rPr>
          <w:rFonts w:hint="eastAsia" w:ascii="新宋体" w:hAnsi="新宋体" w:eastAsia="新宋体" w:cs="Courier New"/>
          <w:color w:val="auto"/>
          <w:sz w:val="24"/>
          <w:szCs w:val="21"/>
          <w:highlight w:val="none"/>
        </w:rPr>
      </w:pPr>
      <w:r>
        <w:rPr>
          <w:rFonts w:hint="eastAsia" w:ascii="宋体" w:hAnsi="宋体"/>
          <w:color w:val="auto"/>
          <w:sz w:val="24"/>
          <w:highlight w:val="none"/>
        </w:rPr>
        <w:t>4.</w:t>
      </w:r>
      <w:r>
        <w:rPr>
          <w:rFonts w:hint="eastAsia" w:ascii="新宋体" w:hAnsi="新宋体" w:eastAsia="新宋体" w:cs="Courier New"/>
          <w:color w:val="auto"/>
          <w:sz w:val="24"/>
          <w:szCs w:val="21"/>
          <w:highlight w:val="none"/>
        </w:rPr>
        <w:t>投标人在提交投标文件以后，在规定的投标截止时间之前，可以重新补充修改或撤回已上传的投标文件，补充、修改的内容为投标文件的组成部分。</w:t>
      </w:r>
    </w:p>
    <w:p>
      <w:pPr>
        <w:tabs>
          <w:tab w:val="left" w:pos="2212"/>
        </w:tabs>
        <w:adjustRightInd w:val="0"/>
        <w:snapToGrid w:val="0"/>
        <w:spacing w:line="520" w:lineRule="exact"/>
        <w:ind w:firstLine="480" w:firstLineChars="200"/>
        <w:rPr>
          <w:rFonts w:hint="eastAsia" w:ascii="新宋体" w:hAnsi="新宋体" w:eastAsia="新宋体" w:cs="Courier New"/>
          <w:color w:val="auto"/>
          <w:sz w:val="24"/>
          <w:szCs w:val="21"/>
          <w:highlight w:val="none"/>
        </w:rPr>
      </w:pPr>
      <w:r>
        <w:rPr>
          <w:rFonts w:hint="eastAsia" w:ascii="新宋体" w:hAnsi="新宋体" w:eastAsia="新宋体" w:cs="Courier New"/>
          <w:color w:val="auto"/>
          <w:sz w:val="24"/>
          <w:szCs w:val="21"/>
          <w:highlight w:val="none"/>
        </w:rPr>
        <w:t>在投标截止时间之后，投标人不得对其投标做任何修改。</w:t>
      </w:r>
    </w:p>
    <w:p>
      <w:pPr>
        <w:tabs>
          <w:tab w:val="left" w:pos="2212"/>
        </w:tabs>
        <w:adjustRightInd w:val="0"/>
        <w:snapToGrid w:val="0"/>
        <w:spacing w:line="520" w:lineRule="exact"/>
        <w:ind w:firstLine="480" w:firstLineChars="200"/>
        <w:rPr>
          <w:rFonts w:hint="eastAsia" w:ascii="新宋体" w:hAnsi="新宋体" w:eastAsia="新宋体" w:cs="Courier New"/>
          <w:color w:val="auto"/>
          <w:sz w:val="24"/>
          <w:szCs w:val="21"/>
          <w:highlight w:val="none"/>
        </w:rPr>
      </w:pPr>
      <w:r>
        <w:rPr>
          <w:rFonts w:hint="eastAsia" w:ascii="新宋体" w:hAnsi="新宋体" w:eastAsia="新宋体" w:cs="Courier New"/>
          <w:color w:val="auto"/>
          <w:sz w:val="24"/>
          <w:szCs w:val="21"/>
          <w:highlight w:val="none"/>
        </w:rPr>
        <w:t>从投标截止时间至投标人在投标书格式中确定的投标有效期期满这段时间内，投标人不得撤回其投标。</w:t>
      </w:r>
    </w:p>
    <w:p>
      <w:pPr>
        <w:snapToGrid w:val="0"/>
        <w:spacing w:line="520" w:lineRule="exact"/>
        <w:ind w:firstLine="482" w:firstLineChars="200"/>
        <w:jc w:val="left"/>
        <w:outlineLvl w:val="0"/>
        <w:rPr>
          <w:rFonts w:hint="eastAsia" w:ascii="宋体" w:hAnsi="宋体"/>
          <w:b/>
          <w:color w:val="auto"/>
          <w:sz w:val="24"/>
          <w:highlight w:val="none"/>
        </w:rPr>
      </w:pPr>
      <w:r>
        <w:rPr>
          <w:rFonts w:ascii="宋体" w:hAnsi="宋体"/>
          <w:b/>
          <w:color w:val="auto"/>
          <w:sz w:val="24"/>
          <w:highlight w:val="none"/>
        </w:rPr>
        <w:t>（</w:t>
      </w:r>
      <w:r>
        <w:rPr>
          <w:rFonts w:hint="eastAsia" w:ascii="宋体" w:hAnsi="宋体"/>
          <w:b/>
          <w:color w:val="auto"/>
          <w:sz w:val="24"/>
          <w:highlight w:val="none"/>
        </w:rPr>
        <w:t>六</w:t>
      </w:r>
      <w:r>
        <w:rPr>
          <w:rFonts w:ascii="宋体" w:hAnsi="宋体"/>
          <w:b/>
          <w:color w:val="auto"/>
          <w:sz w:val="24"/>
          <w:highlight w:val="none"/>
        </w:rPr>
        <w:t>）投标无效的情形</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根据《政府采购货物和服务招标投标管理办法》有下列情形之一的，视为投标人串通投标，其投标无效：</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(一)不同投标人的投标文件由同一单位或者个人编制；</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(二)不同投标人委托同一单位或者个人办理投标事宜；</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(三)不同投标人的投标文件载明的项目管理成员或者联系人员为同一人；</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(四)不同投标人的投标文件异常一致或者投标报价呈规律性差异；</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(五)不同投标人的投标文件相互混装；</w:t>
      </w:r>
    </w:p>
    <w:p>
      <w:pPr>
        <w:snapToGrid w:val="0"/>
        <w:spacing w:line="520" w:lineRule="exact"/>
        <w:ind w:firstLine="480" w:firstLineChars="200"/>
        <w:rPr>
          <w:rFonts w:hint="eastAsia" w:ascii="宋体" w:hAnsi="宋体"/>
          <w:bCs/>
          <w:color w:val="auto"/>
          <w:sz w:val="24"/>
          <w:highlight w:val="none"/>
        </w:rPr>
      </w:pPr>
      <w:r>
        <w:rPr>
          <w:rFonts w:ascii="宋体" w:hAnsi="宋体"/>
          <w:bCs/>
          <w:color w:val="auto"/>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修改或者补正投标文件必须以书面形式。限期内不补正或经补正后仍不符合招标文件要求的，应认定其投标无效。投标人修改、补正投标文件后，不影响评标委员会对其投标文件所作的评价和评分结果。</w:t>
      </w:r>
    </w:p>
    <w:p>
      <w:pPr>
        <w:snapToGrid w:val="0"/>
        <w:spacing w:line="520" w:lineRule="exact"/>
        <w:ind w:firstLine="480" w:firstLineChars="200"/>
        <w:rPr>
          <w:rFonts w:hint="eastAsia" w:ascii="宋体" w:hAnsi="宋体"/>
          <w:bCs/>
          <w:color w:val="auto"/>
          <w:sz w:val="24"/>
          <w:highlight w:val="none"/>
        </w:rPr>
      </w:pPr>
      <w:r>
        <w:rPr>
          <w:rFonts w:hint="eastAsia" w:ascii="宋体" w:hAnsi="宋体"/>
          <w:color w:val="auto"/>
          <w:sz w:val="24"/>
          <w:highlight w:val="none"/>
        </w:rPr>
        <w:t>1.电子投标文件解密失败的，且未在规定时间内提交有效备份投标文件的。</w:t>
      </w:r>
    </w:p>
    <w:p>
      <w:pPr>
        <w:snapToGrid w:val="0"/>
        <w:spacing w:line="520" w:lineRule="exact"/>
        <w:ind w:firstLine="480" w:firstLineChars="200"/>
        <w:rPr>
          <w:rFonts w:hint="eastAsia" w:ascii="宋体" w:hAnsi="宋体"/>
          <w:bCs/>
          <w:color w:val="auto"/>
          <w:sz w:val="24"/>
          <w:highlight w:val="none"/>
        </w:rPr>
      </w:pPr>
      <w:bookmarkStart w:id="43" w:name="_Toc366144037"/>
      <w:r>
        <w:rPr>
          <w:rFonts w:hint="eastAsia" w:ascii="宋体" w:hAnsi="宋体"/>
          <w:bCs/>
          <w:color w:val="auto"/>
          <w:sz w:val="24"/>
          <w:highlight w:val="none"/>
        </w:rPr>
        <w:t>2.投标人未按照招标文件要求提供与资格条件相应的有效资格证明材料的，视为投标人不具备招标文件中规定的资格要求，投标文件将被视为无效。</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3.在符合性审查和商务评审时，如发现下列情形之一的，投标文件将被视为无效：</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（1</w:t>
      </w:r>
      <w:r>
        <w:rPr>
          <w:rFonts w:ascii="宋体" w:hAnsi="宋体"/>
          <w:bCs/>
          <w:color w:val="auto"/>
          <w:sz w:val="24"/>
          <w:highlight w:val="none"/>
        </w:rPr>
        <w:t>）</w:t>
      </w:r>
      <w:r>
        <w:rPr>
          <w:rFonts w:ascii="宋体" w:hAnsi="宋体"/>
          <w:color w:val="auto"/>
          <w:sz w:val="24"/>
          <w:highlight w:val="none"/>
        </w:rPr>
        <w:t>电子投标文件未按规定要求提供电子签章的</w:t>
      </w:r>
      <w:r>
        <w:rPr>
          <w:rFonts w:hint="eastAsia" w:ascii="宋体" w:hAnsi="宋体"/>
          <w:color w:val="auto"/>
          <w:sz w:val="24"/>
          <w:highlight w:val="none"/>
        </w:rPr>
        <w:t>；</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 xml:space="preserve">（2）在资信商务技术文件中出现报价的； </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（3）资格证明文件不全的，或者不符合招标文件标明的资格要求的；</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（4）投标文件无法定代表人签字（或盖章）,或未提供法定代表人授权委托书、投标声明书或者填写项目不齐全的；</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 xml:space="preserve">（5）投标代表人未能出具身份证明或与法定代表人授权委托人身份不符的； </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（6）投标文件格式不规范、项目不齐全或者内容虚假的；</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（7）投标文件的实质性内容未使用中文表述、意思表述不明确、前后矛盾或者使用计量单位不符合招标文件要求的（经评标委员会认定并允许其当场更正的笔误除外）；</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（8）投标有效期、交货时间、质保期等商务条款不能满足招标文件要求的；</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（9）未实质性响应招标文件要求或者投标文件有招标方不能接受的附加条件的；</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（10）不符合本招标文件中的实质性要求条款。</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4.在技术评审时，如发现下列情形之一的，投标文件将被视为无效：</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（1）未提供或未如实提供投标货物的技术参数，或者投标文件标明的响应或偏离与事实不符或虚假投标的；</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（2）明显不符合招标文件要求的规格型号、质量标准，或者与招标文件中标“▲”的技术指标、主要功能项目发生实质性偏离的；</w:t>
      </w:r>
    </w:p>
    <w:p>
      <w:pPr>
        <w:snapToGrid w:val="0"/>
        <w:spacing w:line="520" w:lineRule="exact"/>
        <w:ind w:firstLine="480" w:firstLineChars="200"/>
        <w:rPr>
          <w:color w:val="auto"/>
          <w:highlight w:val="none"/>
        </w:rPr>
      </w:pPr>
      <w:r>
        <w:rPr>
          <w:rFonts w:hint="eastAsia" w:ascii="宋体" w:hAnsi="宋体"/>
          <w:bCs/>
          <w:color w:val="auto"/>
          <w:sz w:val="24"/>
          <w:highlight w:val="none"/>
        </w:rPr>
        <w:t>（3）招标需求中要求提供的产品属于节能清单中政府强制采购节能产品品目的，投标人未提供该清单内产品的；</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（4）投标技术方案不明确，存在一个或一个以上备选（替代）投标方案的；</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5.在报价评审时，如发现下列情形之一的，投标文件将被视为无效：</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（1）未采用人民币报价或者未按照招标文件标明的币种报价的；</w:t>
      </w:r>
    </w:p>
    <w:p>
      <w:pPr>
        <w:snapToGrid w:val="0"/>
        <w:spacing w:line="520" w:lineRule="exact"/>
        <w:ind w:firstLine="480" w:firstLineChars="200"/>
        <w:rPr>
          <w:rFonts w:hint="eastAsia" w:ascii="宋体" w:hAnsi="宋体"/>
          <w:b w:val="0"/>
          <w:bCs/>
          <w:color w:val="auto"/>
          <w:sz w:val="24"/>
          <w:highlight w:val="none"/>
        </w:rPr>
      </w:pPr>
      <w:r>
        <w:rPr>
          <w:rFonts w:hint="eastAsia" w:ascii="宋体" w:hAnsi="宋体"/>
          <w:b w:val="0"/>
          <w:bCs/>
          <w:color w:val="auto"/>
          <w:sz w:val="24"/>
          <w:highlight w:val="none"/>
        </w:rPr>
        <w:t>（2）报价超出最高限价或配置价格限价的；</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（3）投标报价具有选择性，或者开标价格与投标文件承诺的优惠（折扣）价格不一致的。</w:t>
      </w:r>
    </w:p>
    <w:p>
      <w:pPr>
        <w:pStyle w:val="14"/>
        <w:snapToGrid w:val="0"/>
        <w:spacing w:line="520" w:lineRule="exact"/>
        <w:ind w:firstLine="466" w:firstLineChars="200"/>
        <w:rPr>
          <w:rFonts w:hint="eastAsia" w:hAnsi="宋体"/>
          <w:b/>
          <w:snapToGrid w:val="0"/>
          <w:color w:val="auto"/>
          <w:sz w:val="24"/>
          <w:highlight w:val="none"/>
        </w:rPr>
      </w:pPr>
      <w:r>
        <w:rPr>
          <w:rFonts w:hint="eastAsia" w:hAnsi="宋体"/>
          <w:b/>
          <w:color w:val="auto"/>
          <w:sz w:val="24"/>
          <w:highlight w:val="none"/>
        </w:rPr>
        <w:t>6.</w:t>
      </w:r>
      <w:r>
        <w:rPr>
          <w:rFonts w:hAnsi="宋体"/>
          <w:b/>
          <w:color w:val="auto"/>
          <w:sz w:val="24"/>
          <w:highlight w:val="none"/>
        </w:rPr>
        <w:t>被拒绝的投标文件为无效。</w:t>
      </w:r>
    </w:p>
    <w:p>
      <w:pPr>
        <w:snapToGrid w:val="0"/>
        <w:spacing w:line="520" w:lineRule="exact"/>
        <w:ind w:firstLine="482" w:firstLineChars="200"/>
        <w:rPr>
          <w:rFonts w:hint="eastAsia" w:ascii="宋体" w:hAnsi="宋体"/>
          <w:b/>
          <w:color w:val="auto"/>
          <w:sz w:val="24"/>
          <w:highlight w:val="none"/>
        </w:rPr>
      </w:pPr>
      <w:r>
        <w:rPr>
          <w:rFonts w:hint="eastAsia" w:ascii="宋体" w:hAnsi="宋体"/>
          <w:b/>
          <w:color w:val="auto"/>
          <w:sz w:val="24"/>
          <w:highlight w:val="none"/>
        </w:rPr>
        <w:t>（八）</w:t>
      </w:r>
      <w:r>
        <w:rPr>
          <w:rFonts w:ascii="宋体" w:hAnsi="宋体"/>
          <w:b/>
          <w:color w:val="auto"/>
          <w:sz w:val="24"/>
          <w:highlight w:val="none"/>
        </w:rPr>
        <w:t>废标的情形</w:t>
      </w:r>
      <w:bookmarkEnd w:id="43"/>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采购中出现下列情形之一的，应予废标（废标后，采购代理机构应当将废标理由通知所有投标人）：</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1.符合专业条件的投标人或对招标文件作实质性响应的投标人不足三家的；</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2.出现影响采购公正的违法、违规行为的；</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3.投标人的报价均超过了采购预算，采购人不能支付的；</w:t>
      </w:r>
    </w:p>
    <w:p>
      <w:pPr>
        <w:snapToGrid w:val="0"/>
        <w:spacing w:line="520" w:lineRule="exact"/>
        <w:ind w:firstLine="480" w:firstLineChars="200"/>
        <w:rPr>
          <w:rFonts w:hint="eastAsia" w:ascii="宋体" w:hAnsi="宋体"/>
          <w:bCs/>
          <w:color w:val="auto"/>
          <w:sz w:val="24"/>
          <w:highlight w:val="none"/>
        </w:rPr>
      </w:pPr>
      <w:r>
        <w:rPr>
          <w:rFonts w:hint="eastAsia" w:ascii="宋体" w:hAnsi="宋体"/>
          <w:bCs/>
          <w:color w:val="auto"/>
          <w:sz w:val="24"/>
          <w:highlight w:val="none"/>
        </w:rPr>
        <w:t>4.因重大变故，采购任务取消的。</w:t>
      </w:r>
    </w:p>
    <w:p>
      <w:pPr>
        <w:pStyle w:val="18"/>
        <w:snapToGrid w:val="0"/>
        <w:spacing w:beforeLines="0" w:afterLines="0" w:line="520" w:lineRule="exact"/>
        <w:ind w:firstLine="482" w:firstLineChars="200"/>
        <w:outlineLvl w:val="1"/>
        <w:rPr>
          <w:rFonts w:hint="eastAsia" w:hAnsi="宋体"/>
          <w:b/>
          <w:color w:val="auto"/>
          <w:highlight w:val="none"/>
        </w:rPr>
      </w:pPr>
      <w:r>
        <w:rPr>
          <w:rFonts w:hAnsi="宋体"/>
          <w:b/>
          <w:color w:val="auto"/>
          <w:highlight w:val="none"/>
        </w:rPr>
        <w:t>四、开标</w:t>
      </w:r>
    </w:p>
    <w:p>
      <w:pPr>
        <w:pStyle w:val="14"/>
        <w:snapToGrid w:val="0"/>
        <w:spacing w:line="520" w:lineRule="exact"/>
        <w:ind w:firstLine="464" w:firstLineChars="200"/>
        <w:rPr>
          <w:rFonts w:hint="eastAsia" w:hAnsi="宋体"/>
          <w:color w:val="auto"/>
          <w:sz w:val="24"/>
          <w:highlight w:val="none"/>
        </w:rPr>
      </w:pPr>
      <w:r>
        <w:rPr>
          <w:rFonts w:hint="eastAsia" w:hAnsi="宋体"/>
          <w:color w:val="auto"/>
          <w:sz w:val="24"/>
          <w:highlight w:val="none"/>
        </w:rPr>
        <w:t>1、本项目实行电子开评标，投标人无需前往开评标现场，只需在规定时间内在“政采云”平台上上传电子投标文件和准时在线上参加开标。</w:t>
      </w:r>
    </w:p>
    <w:p>
      <w:pPr>
        <w:pStyle w:val="14"/>
        <w:snapToGrid w:val="0"/>
        <w:spacing w:line="520" w:lineRule="exact"/>
        <w:ind w:firstLine="464" w:firstLineChars="200"/>
        <w:rPr>
          <w:rFonts w:hint="eastAsia" w:hAnsi="宋体"/>
          <w:color w:val="auto"/>
          <w:sz w:val="24"/>
          <w:highlight w:val="none"/>
        </w:rPr>
      </w:pPr>
      <w:r>
        <w:rPr>
          <w:rFonts w:hAnsi="宋体"/>
          <w:color w:val="auto"/>
          <w:sz w:val="24"/>
          <w:highlight w:val="none"/>
        </w:rPr>
        <w:t>2</w:t>
      </w:r>
      <w:r>
        <w:rPr>
          <w:rFonts w:hint="eastAsia" w:hAnsi="宋体"/>
          <w:color w:val="auto"/>
          <w:sz w:val="24"/>
          <w:highlight w:val="none"/>
        </w:rPr>
        <w:t>、电子开评标及评审程序</w:t>
      </w:r>
    </w:p>
    <w:p>
      <w:pPr>
        <w:pStyle w:val="14"/>
        <w:snapToGrid w:val="0"/>
        <w:spacing w:line="520" w:lineRule="exact"/>
        <w:ind w:firstLine="464" w:firstLineChars="200"/>
        <w:rPr>
          <w:rFonts w:hint="eastAsia" w:hAnsi="宋体"/>
          <w:color w:val="auto"/>
          <w:sz w:val="24"/>
          <w:highlight w:val="none"/>
        </w:rPr>
      </w:pPr>
      <w:r>
        <w:rPr>
          <w:rFonts w:hint="eastAsia" w:hAnsi="宋体"/>
          <w:color w:val="auto"/>
          <w:sz w:val="24"/>
          <w:highlight w:val="none"/>
        </w:rPr>
        <w:t>（1）</w:t>
      </w:r>
      <w:r>
        <w:rPr>
          <w:rFonts w:hAnsi="宋体"/>
          <w:color w:val="auto"/>
          <w:sz w:val="24"/>
          <w:highlight w:val="none"/>
        </w:rPr>
        <w:t>投标截止时间后</w:t>
      </w:r>
      <w:r>
        <w:rPr>
          <w:rFonts w:hint="eastAsia" w:hAnsi="宋体"/>
          <w:color w:val="auto"/>
          <w:sz w:val="24"/>
          <w:highlight w:val="none"/>
        </w:rPr>
        <w:t>的半小时内</w:t>
      </w:r>
      <w:r>
        <w:rPr>
          <w:rFonts w:hAnsi="宋体"/>
          <w:color w:val="auto"/>
          <w:sz w:val="24"/>
          <w:highlight w:val="none"/>
        </w:rPr>
        <w:t>，</w:t>
      </w:r>
      <w:r>
        <w:rPr>
          <w:rFonts w:hint="eastAsia" w:hAnsi="宋体"/>
          <w:color w:val="auto"/>
          <w:sz w:val="24"/>
          <w:highlight w:val="none"/>
        </w:rPr>
        <w:t>由各投标人自行</w:t>
      </w:r>
      <w:r>
        <w:rPr>
          <w:rFonts w:hAnsi="宋体"/>
          <w:color w:val="auto"/>
          <w:sz w:val="24"/>
          <w:highlight w:val="none"/>
        </w:rPr>
        <w:t>对</w:t>
      </w:r>
      <w:r>
        <w:rPr>
          <w:rFonts w:hint="eastAsia" w:hAnsi="宋体"/>
          <w:color w:val="auto"/>
          <w:sz w:val="24"/>
          <w:highlight w:val="none"/>
        </w:rPr>
        <w:t>电子</w:t>
      </w:r>
      <w:r>
        <w:rPr>
          <w:rFonts w:hAnsi="宋体"/>
          <w:color w:val="auto"/>
          <w:sz w:val="24"/>
          <w:highlight w:val="none"/>
        </w:rPr>
        <w:t>投标文件进行解密</w:t>
      </w:r>
      <w:r>
        <w:rPr>
          <w:rFonts w:hint="eastAsia" w:hAnsi="宋体"/>
          <w:color w:val="auto"/>
          <w:sz w:val="24"/>
          <w:highlight w:val="none"/>
        </w:rPr>
        <w:t xml:space="preserve">（请各投标人务必在规定时间内完成电子投标文件的解密工作，在电子开评标期间，投标人（授权代表）需确保在各自所在的区域具备上网的技术条件并保持网络及联系方式畅通）； </w:t>
      </w:r>
    </w:p>
    <w:p>
      <w:pPr>
        <w:pStyle w:val="14"/>
        <w:snapToGrid w:val="0"/>
        <w:spacing w:line="520" w:lineRule="exact"/>
        <w:ind w:firstLine="464" w:firstLineChars="200"/>
        <w:rPr>
          <w:rFonts w:hint="eastAsia" w:hAnsi="宋体"/>
          <w:color w:val="auto"/>
          <w:sz w:val="24"/>
          <w:highlight w:val="none"/>
        </w:rPr>
      </w:pPr>
      <w:r>
        <w:rPr>
          <w:rFonts w:hint="eastAsia" w:hAnsi="宋体"/>
          <w:color w:val="auto"/>
          <w:sz w:val="24"/>
          <w:highlight w:val="none"/>
        </w:rPr>
        <w:t>（2）采购人或代理机构对投标人的资格审查文件和评标委员会对投标人的资信商务及技术响应文件进行评审；</w:t>
      </w:r>
    </w:p>
    <w:p>
      <w:pPr>
        <w:pStyle w:val="14"/>
        <w:snapToGrid w:val="0"/>
        <w:spacing w:line="520" w:lineRule="exact"/>
        <w:ind w:firstLine="464" w:firstLineChars="200"/>
        <w:rPr>
          <w:rFonts w:hint="eastAsia" w:hAnsi="宋体"/>
          <w:color w:val="auto"/>
          <w:sz w:val="24"/>
          <w:highlight w:val="none"/>
        </w:rPr>
      </w:pPr>
      <w:r>
        <w:rPr>
          <w:rFonts w:hint="eastAsia" w:hAnsi="宋体"/>
          <w:color w:val="auto"/>
          <w:sz w:val="24"/>
          <w:highlight w:val="none"/>
        </w:rPr>
        <w:t>（3）评标委员会对报价文件进行评审；</w:t>
      </w:r>
    </w:p>
    <w:p>
      <w:pPr>
        <w:pStyle w:val="14"/>
        <w:snapToGrid w:val="0"/>
        <w:spacing w:line="520" w:lineRule="exact"/>
        <w:ind w:firstLine="464" w:firstLineChars="200"/>
        <w:rPr>
          <w:rFonts w:hint="eastAsia" w:hAnsi="宋体"/>
          <w:color w:val="auto"/>
          <w:sz w:val="24"/>
          <w:highlight w:val="none"/>
        </w:rPr>
      </w:pPr>
      <w:r>
        <w:rPr>
          <w:rFonts w:hint="eastAsia" w:hAnsi="宋体"/>
          <w:color w:val="auto"/>
          <w:sz w:val="24"/>
          <w:highlight w:val="none"/>
        </w:rPr>
        <w:t>（4）在系统上公布评审结果。</w:t>
      </w:r>
    </w:p>
    <w:p>
      <w:pPr>
        <w:pStyle w:val="18"/>
        <w:snapToGrid w:val="0"/>
        <w:spacing w:beforeLines="0" w:afterLines="0" w:line="520" w:lineRule="exact"/>
        <w:ind w:firstLine="482" w:firstLineChars="200"/>
        <w:outlineLvl w:val="1"/>
        <w:rPr>
          <w:rFonts w:hint="eastAsia" w:hAnsi="宋体"/>
          <w:b/>
          <w:color w:val="auto"/>
          <w:highlight w:val="none"/>
        </w:rPr>
      </w:pPr>
      <w:r>
        <w:rPr>
          <w:rFonts w:hAnsi="宋体"/>
          <w:b/>
          <w:color w:val="auto"/>
          <w:highlight w:val="none"/>
        </w:rPr>
        <w:t>五、评标</w:t>
      </w:r>
    </w:p>
    <w:p>
      <w:pPr>
        <w:pStyle w:val="18"/>
        <w:snapToGrid w:val="0"/>
        <w:spacing w:beforeLines="0" w:afterLines="0" w:line="500" w:lineRule="exact"/>
        <w:ind w:firstLine="482" w:firstLineChars="200"/>
        <w:rPr>
          <w:rFonts w:hint="eastAsia" w:hAnsi="宋体"/>
          <w:b/>
          <w:color w:val="auto"/>
          <w:highlight w:val="none"/>
        </w:rPr>
      </w:pPr>
      <w:r>
        <w:rPr>
          <w:rFonts w:hAnsi="宋体"/>
          <w:b/>
          <w:color w:val="auto"/>
          <w:highlight w:val="none"/>
        </w:rPr>
        <w:t>（一）组建评标委员会</w:t>
      </w:r>
    </w:p>
    <w:p>
      <w:pPr>
        <w:pStyle w:val="18"/>
        <w:snapToGrid w:val="0"/>
        <w:spacing w:beforeLines="0" w:afterLines="0" w:line="500" w:lineRule="exact"/>
        <w:ind w:firstLine="480" w:firstLineChars="200"/>
        <w:rPr>
          <w:rFonts w:hint="eastAsia" w:hAnsi="宋体" w:cs="宋体"/>
          <w:color w:val="auto"/>
          <w:highlight w:val="none"/>
        </w:rPr>
      </w:pPr>
      <w:r>
        <w:rPr>
          <w:rFonts w:hint="eastAsia" w:hAnsi="宋体" w:cs="宋体"/>
          <w:color w:val="auto"/>
          <w:highlight w:val="none"/>
        </w:rPr>
        <w:t>评标委员会由采购人代表和评审专家组成，共5人。</w:t>
      </w:r>
    </w:p>
    <w:p>
      <w:pPr>
        <w:pStyle w:val="18"/>
        <w:snapToGrid w:val="0"/>
        <w:spacing w:beforeLines="0" w:afterLines="0" w:line="500" w:lineRule="exact"/>
        <w:ind w:firstLine="482" w:firstLineChars="200"/>
        <w:rPr>
          <w:rFonts w:hint="eastAsia" w:hAnsi="宋体"/>
          <w:b/>
          <w:color w:val="auto"/>
          <w:highlight w:val="none"/>
        </w:rPr>
      </w:pPr>
      <w:r>
        <w:rPr>
          <w:rFonts w:hAnsi="宋体"/>
          <w:b/>
          <w:color w:val="auto"/>
          <w:highlight w:val="none"/>
        </w:rPr>
        <w:t>（二）评标的方式</w:t>
      </w:r>
    </w:p>
    <w:p>
      <w:pPr>
        <w:pStyle w:val="18"/>
        <w:snapToGrid w:val="0"/>
        <w:spacing w:beforeLines="0" w:afterLines="0" w:line="500" w:lineRule="exact"/>
        <w:ind w:firstLine="480" w:firstLineChars="200"/>
        <w:rPr>
          <w:rFonts w:hint="eastAsia" w:hAnsi="宋体"/>
          <w:color w:val="auto"/>
          <w:highlight w:val="none"/>
        </w:rPr>
      </w:pPr>
      <w:r>
        <w:rPr>
          <w:rFonts w:hAnsi="宋体"/>
          <w:color w:val="auto"/>
          <w:highlight w:val="none"/>
        </w:rPr>
        <w:t>本项目采用不公开方式评标，评标的依据为招标文件和投标文件。</w:t>
      </w:r>
    </w:p>
    <w:p>
      <w:pPr>
        <w:pStyle w:val="18"/>
        <w:snapToGrid w:val="0"/>
        <w:spacing w:beforeLines="0" w:afterLines="0" w:line="500" w:lineRule="exact"/>
        <w:ind w:firstLine="482" w:firstLineChars="200"/>
        <w:rPr>
          <w:rFonts w:hint="eastAsia" w:hAnsi="宋体"/>
          <w:b/>
          <w:bCs/>
          <w:color w:val="auto"/>
          <w:highlight w:val="none"/>
        </w:rPr>
      </w:pPr>
      <w:r>
        <w:rPr>
          <w:rFonts w:hAnsi="宋体"/>
          <w:b/>
          <w:color w:val="auto"/>
          <w:highlight w:val="none"/>
        </w:rPr>
        <w:t>（三）</w:t>
      </w:r>
      <w:r>
        <w:rPr>
          <w:rFonts w:hAnsi="宋体"/>
          <w:b/>
          <w:bCs/>
          <w:color w:val="auto"/>
          <w:highlight w:val="none"/>
        </w:rPr>
        <w:t>评标程序</w:t>
      </w:r>
    </w:p>
    <w:p>
      <w:pPr>
        <w:pStyle w:val="18"/>
        <w:snapToGrid w:val="0"/>
        <w:spacing w:beforeLines="0" w:afterLines="0" w:line="500" w:lineRule="exact"/>
        <w:ind w:firstLine="480" w:firstLineChars="200"/>
        <w:rPr>
          <w:rFonts w:hint="eastAsia" w:hAnsi="宋体"/>
          <w:bCs/>
          <w:color w:val="auto"/>
          <w:highlight w:val="none"/>
        </w:rPr>
      </w:pPr>
      <w:r>
        <w:rPr>
          <w:rFonts w:hint="eastAsia" w:hAnsi="宋体"/>
          <w:bCs/>
          <w:color w:val="auto"/>
          <w:highlight w:val="none"/>
        </w:rPr>
        <w:t>采购人可以在评标前说明项目背景和采购需求，说明内容不得含有歧视性、倾向性意见，不得超出招标文件所述范围。说明应当提交书面材料，并随招标文件一并存档。</w:t>
      </w:r>
    </w:p>
    <w:p>
      <w:pPr>
        <w:snapToGrid w:val="0"/>
        <w:spacing w:line="500" w:lineRule="exact"/>
        <w:ind w:firstLine="482" w:firstLineChars="200"/>
        <w:rPr>
          <w:rFonts w:hint="eastAsia" w:ascii="宋体" w:hAnsi="宋体"/>
          <w:b/>
          <w:bCs/>
          <w:color w:val="auto"/>
          <w:sz w:val="24"/>
          <w:highlight w:val="none"/>
        </w:rPr>
      </w:pPr>
      <w:r>
        <w:rPr>
          <w:rFonts w:ascii="宋体" w:hAnsi="宋体"/>
          <w:b/>
          <w:bCs/>
          <w:color w:val="auto"/>
          <w:sz w:val="24"/>
          <w:highlight w:val="none"/>
        </w:rPr>
        <w:t>1</w:t>
      </w:r>
      <w:r>
        <w:rPr>
          <w:rFonts w:hint="eastAsia" w:ascii="宋体" w:hAnsi="宋体"/>
          <w:b/>
          <w:bCs/>
          <w:color w:val="auto"/>
          <w:sz w:val="24"/>
          <w:highlight w:val="none"/>
        </w:rPr>
        <w:t>.</w:t>
      </w:r>
      <w:r>
        <w:rPr>
          <w:rFonts w:ascii="宋体" w:hAnsi="宋体"/>
          <w:b/>
          <w:bCs/>
          <w:color w:val="auto"/>
          <w:sz w:val="24"/>
          <w:highlight w:val="none"/>
        </w:rPr>
        <w:t>形式审查</w:t>
      </w:r>
    </w:p>
    <w:p>
      <w:pPr>
        <w:snapToGrid w:val="0"/>
        <w:spacing w:line="500" w:lineRule="exact"/>
        <w:ind w:firstLine="480" w:firstLineChars="200"/>
        <w:rPr>
          <w:rFonts w:hint="eastAsia" w:ascii="宋体" w:hAnsi="宋体"/>
          <w:bCs/>
          <w:color w:val="auto"/>
          <w:sz w:val="24"/>
          <w:highlight w:val="none"/>
        </w:rPr>
      </w:pPr>
      <w:r>
        <w:rPr>
          <w:rFonts w:ascii="宋体" w:hAnsi="宋体"/>
          <w:bCs/>
          <w:color w:val="auto"/>
          <w:sz w:val="24"/>
          <w:highlight w:val="none"/>
        </w:rPr>
        <w:t>形式审查</w:t>
      </w:r>
      <w:r>
        <w:rPr>
          <w:rFonts w:hint="eastAsia" w:ascii="宋体" w:hAnsi="宋体"/>
          <w:bCs/>
          <w:color w:val="auto"/>
          <w:sz w:val="24"/>
          <w:highlight w:val="none"/>
        </w:rPr>
        <w:t>包括资格审查（除符合性审查以外的关于供应商资格条件等内容）和符合性审查，即对供应商的资格</w:t>
      </w:r>
      <w:r>
        <w:rPr>
          <w:rFonts w:ascii="宋体" w:hAnsi="宋体"/>
          <w:bCs/>
          <w:color w:val="auto"/>
          <w:sz w:val="24"/>
          <w:highlight w:val="none"/>
        </w:rPr>
        <w:t>和投标文件的完整性、合法性等进行审查。</w:t>
      </w:r>
      <w:r>
        <w:rPr>
          <w:rFonts w:hint="eastAsia" w:ascii="宋体" w:hAnsi="宋体"/>
          <w:bCs/>
          <w:color w:val="auto"/>
          <w:sz w:val="24"/>
          <w:highlight w:val="none"/>
        </w:rPr>
        <w:t>投标文件形式审查未通过的供应商，其投标文件将不再评审。</w:t>
      </w:r>
    </w:p>
    <w:p>
      <w:pPr>
        <w:snapToGrid w:val="0"/>
        <w:spacing w:line="500" w:lineRule="exact"/>
        <w:ind w:firstLine="482" w:firstLineChars="200"/>
        <w:rPr>
          <w:rFonts w:hint="eastAsia" w:ascii="宋体" w:hAnsi="宋体"/>
          <w:b/>
          <w:bCs/>
          <w:color w:val="auto"/>
          <w:sz w:val="24"/>
          <w:highlight w:val="none"/>
        </w:rPr>
      </w:pPr>
      <w:r>
        <w:rPr>
          <w:rFonts w:ascii="宋体" w:hAnsi="宋体"/>
          <w:b/>
          <w:bCs/>
          <w:color w:val="auto"/>
          <w:sz w:val="24"/>
          <w:highlight w:val="none"/>
        </w:rPr>
        <w:t>2</w:t>
      </w:r>
      <w:r>
        <w:rPr>
          <w:rFonts w:hint="eastAsia" w:ascii="宋体" w:hAnsi="宋体"/>
          <w:b/>
          <w:bCs/>
          <w:color w:val="auto"/>
          <w:sz w:val="24"/>
          <w:highlight w:val="none"/>
        </w:rPr>
        <w:t>.</w:t>
      </w:r>
      <w:r>
        <w:rPr>
          <w:rFonts w:ascii="宋体" w:hAnsi="宋体"/>
          <w:b/>
          <w:bCs/>
          <w:color w:val="auto"/>
          <w:sz w:val="24"/>
          <w:highlight w:val="none"/>
        </w:rPr>
        <w:t>实质审查与比较</w:t>
      </w:r>
    </w:p>
    <w:p>
      <w:pPr>
        <w:snapToGrid w:val="0"/>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1）评标委员会审查投标文件的实质性内容是否符合招标文件的实质性要求。</w:t>
      </w:r>
    </w:p>
    <w:p>
      <w:pPr>
        <w:snapToGrid w:val="0"/>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2）评标委员会将根据</w:t>
      </w:r>
      <w:r>
        <w:rPr>
          <w:rFonts w:hint="eastAsia" w:ascii="宋体" w:hAnsi="宋体"/>
          <w:color w:val="auto"/>
          <w:sz w:val="24"/>
          <w:highlight w:val="none"/>
        </w:rPr>
        <w:t>供应商</w:t>
      </w:r>
      <w:r>
        <w:rPr>
          <w:rFonts w:ascii="宋体" w:hAnsi="宋体"/>
          <w:color w:val="auto"/>
          <w:sz w:val="24"/>
          <w:highlight w:val="none"/>
        </w:rPr>
        <w:t>的投标文件进行审查、核对,如有疑问,将对</w:t>
      </w:r>
      <w:r>
        <w:rPr>
          <w:rFonts w:hint="eastAsia" w:ascii="宋体" w:hAnsi="宋体"/>
          <w:color w:val="auto"/>
          <w:sz w:val="24"/>
          <w:highlight w:val="none"/>
        </w:rPr>
        <w:t>供应商</w:t>
      </w:r>
      <w:r>
        <w:rPr>
          <w:rFonts w:ascii="宋体" w:hAnsi="宋体"/>
          <w:color w:val="auto"/>
          <w:sz w:val="24"/>
          <w:highlight w:val="none"/>
        </w:rPr>
        <w:t>进行询标,</w:t>
      </w:r>
      <w:r>
        <w:rPr>
          <w:rFonts w:hint="eastAsia" w:ascii="宋体" w:hAnsi="宋体"/>
          <w:color w:val="auto"/>
          <w:sz w:val="24"/>
          <w:highlight w:val="none"/>
        </w:rPr>
        <w:t>供应商</w:t>
      </w:r>
      <w:r>
        <w:rPr>
          <w:rFonts w:ascii="宋体" w:hAnsi="宋体"/>
          <w:color w:val="auto"/>
          <w:sz w:val="24"/>
          <w:highlight w:val="none"/>
        </w:rPr>
        <w:t>要向评标委员会澄清有关问题,并最终以书面形式进行答复。</w:t>
      </w:r>
    </w:p>
    <w:p>
      <w:pPr>
        <w:snapToGrid w:val="0"/>
        <w:spacing w:line="500" w:lineRule="exact"/>
        <w:ind w:firstLine="480" w:firstLineChars="200"/>
        <w:rPr>
          <w:rFonts w:hint="eastAsia" w:ascii="宋体" w:hAnsi="宋体"/>
          <w:color w:val="auto"/>
          <w:sz w:val="24"/>
          <w:highlight w:val="none"/>
        </w:rPr>
      </w:pPr>
      <w:r>
        <w:rPr>
          <w:rFonts w:ascii="宋体" w:hAnsi="宋体"/>
          <w:color w:val="auto"/>
          <w:sz w:val="24"/>
          <w:highlight w:val="none"/>
        </w:rPr>
        <w:t>询标</w:t>
      </w:r>
      <w:r>
        <w:rPr>
          <w:rFonts w:hint="eastAsia" w:ascii="宋体" w:hAnsi="宋体"/>
          <w:color w:val="auto"/>
          <w:sz w:val="24"/>
          <w:highlight w:val="none"/>
        </w:rPr>
        <w:t>时，供应商代表未到场或者拒绝澄清或者澄清的内容改变了投标文件的实质性内容的，评标委员会有权对该投标文件作出不利于供应商的评判。</w:t>
      </w:r>
    </w:p>
    <w:p>
      <w:pPr>
        <w:snapToGrid w:val="0"/>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3）各</w:t>
      </w:r>
      <w:r>
        <w:rPr>
          <w:rFonts w:hint="eastAsia" w:ascii="宋体" w:hAnsi="宋体"/>
          <w:color w:val="auto"/>
          <w:sz w:val="24"/>
          <w:highlight w:val="none"/>
        </w:rPr>
        <w:t>供应商</w:t>
      </w:r>
      <w:r>
        <w:rPr>
          <w:rFonts w:ascii="宋体" w:hAnsi="宋体"/>
          <w:color w:val="auto"/>
          <w:sz w:val="24"/>
          <w:highlight w:val="none"/>
        </w:rPr>
        <w:t>的</w:t>
      </w:r>
      <w:r>
        <w:rPr>
          <w:rFonts w:hint="eastAsia" w:ascii="宋体" w:hAnsi="宋体"/>
          <w:color w:val="auto"/>
          <w:sz w:val="24"/>
          <w:highlight w:val="none"/>
        </w:rPr>
        <w:t>资信商务及技术分按照评标委员会成员的独立评分结果汇后的算术平均分计算</w:t>
      </w:r>
      <w:r>
        <w:rPr>
          <w:rFonts w:ascii="宋体" w:hAnsi="宋体"/>
          <w:color w:val="auto"/>
          <w:sz w:val="24"/>
          <w:highlight w:val="none"/>
        </w:rPr>
        <w:t>。</w:t>
      </w:r>
    </w:p>
    <w:p>
      <w:pPr>
        <w:snapToGrid w:val="0"/>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4）</w:t>
      </w:r>
      <w:r>
        <w:rPr>
          <w:rFonts w:hint="eastAsia" w:ascii="宋体" w:hAnsi="宋体"/>
          <w:color w:val="auto"/>
          <w:sz w:val="24"/>
          <w:highlight w:val="none"/>
        </w:rPr>
        <w:t>平湖市公共资源交易中心工作人员协助</w:t>
      </w:r>
      <w:r>
        <w:rPr>
          <w:rFonts w:ascii="宋体" w:hAnsi="宋体"/>
          <w:color w:val="auto"/>
          <w:sz w:val="24"/>
          <w:highlight w:val="none"/>
        </w:rPr>
        <w:t>评标委员会根据</w:t>
      </w:r>
      <w:r>
        <w:rPr>
          <w:rFonts w:hint="eastAsia" w:ascii="宋体" w:hAnsi="宋体"/>
          <w:color w:val="auto"/>
          <w:sz w:val="24"/>
          <w:highlight w:val="none"/>
        </w:rPr>
        <w:t>本项目的评分标准操作政府采购业务系统，由系统</w:t>
      </w:r>
      <w:r>
        <w:rPr>
          <w:rFonts w:ascii="宋体" w:hAnsi="宋体"/>
          <w:color w:val="auto"/>
          <w:sz w:val="24"/>
          <w:highlight w:val="none"/>
        </w:rPr>
        <w:t>计算各</w:t>
      </w:r>
      <w:r>
        <w:rPr>
          <w:rFonts w:hint="eastAsia" w:ascii="宋体" w:hAnsi="宋体"/>
          <w:color w:val="auto"/>
          <w:sz w:val="24"/>
          <w:highlight w:val="none"/>
        </w:rPr>
        <w:t>供应商</w:t>
      </w:r>
      <w:r>
        <w:rPr>
          <w:rFonts w:ascii="宋体" w:hAnsi="宋体"/>
          <w:color w:val="auto"/>
          <w:sz w:val="24"/>
          <w:highlight w:val="none"/>
        </w:rPr>
        <w:t>的商务报价得分</w:t>
      </w:r>
      <w:r>
        <w:rPr>
          <w:rFonts w:hint="eastAsia" w:ascii="宋体" w:hAnsi="宋体"/>
          <w:color w:val="auto"/>
          <w:sz w:val="24"/>
          <w:highlight w:val="none"/>
        </w:rPr>
        <w:t>。</w:t>
      </w:r>
    </w:p>
    <w:p>
      <w:pPr>
        <w:snapToGrid w:val="0"/>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5）评标委员会完成评标后,评委对各部分得分汇总,</w:t>
      </w:r>
      <w:r>
        <w:rPr>
          <w:rFonts w:hint="eastAsia" w:ascii="宋体" w:hAnsi="宋体"/>
          <w:color w:val="auto"/>
          <w:sz w:val="24"/>
          <w:highlight w:val="none"/>
        </w:rPr>
        <w:t>计算</w:t>
      </w:r>
      <w:r>
        <w:rPr>
          <w:rFonts w:ascii="宋体" w:hAnsi="宋体"/>
          <w:color w:val="auto"/>
          <w:sz w:val="24"/>
          <w:highlight w:val="none"/>
        </w:rPr>
        <w:t>出本项目</w:t>
      </w:r>
      <w:r>
        <w:rPr>
          <w:rFonts w:hint="eastAsia" w:ascii="宋体" w:hAnsi="宋体"/>
          <w:color w:val="auto"/>
          <w:sz w:val="24"/>
          <w:highlight w:val="none"/>
        </w:rPr>
        <w:t>最终得分、性价比、评标价等</w:t>
      </w:r>
      <w:r>
        <w:rPr>
          <w:rFonts w:ascii="宋体" w:hAnsi="宋体"/>
          <w:color w:val="auto"/>
          <w:sz w:val="24"/>
          <w:highlight w:val="none"/>
        </w:rPr>
        <w:t>。评标委员会按评标原则推荐</w:t>
      </w:r>
      <w:r>
        <w:rPr>
          <w:rFonts w:hint="eastAsia" w:ascii="宋体" w:hAnsi="宋体"/>
          <w:color w:val="auto"/>
          <w:sz w:val="24"/>
          <w:highlight w:val="none"/>
        </w:rPr>
        <w:t>入围</w:t>
      </w:r>
      <w:r>
        <w:rPr>
          <w:rFonts w:ascii="宋体" w:hAnsi="宋体"/>
          <w:color w:val="auto"/>
          <w:sz w:val="24"/>
          <w:highlight w:val="none"/>
        </w:rPr>
        <w:t>候选人同时起草评标报告。</w:t>
      </w:r>
    </w:p>
    <w:p>
      <w:pPr>
        <w:snapToGrid w:val="0"/>
        <w:spacing w:line="500" w:lineRule="exact"/>
        <w:ind w:firstLine="482" w:firstLineChars="200"/>
        <w:rPr>
          <w:rFonts w:hint="eastAsia" w:ascii="宋体" w:hAnsi="宋体"/>
          <w:b/>
          <w:color w:val="auto"/>
          <w:sz w:val="24"/>
          <w:highlight w:val="none"/>
        </w:rPr>
      </w:pPr>
      <w:r>
        <w:rPr>
          <w:rFonts w:hint="eastAsia" w:ascii="宋体" w:hAnsi="宋体"/>
          <w:b/>
          <w:color w:val="auto"/>
          <w:sz w:val="24"/>
          <w:highlight w:val="none"/>
        </w:rPr>
        <w:t>（四）澄清问题的形式</w:t>
      </w:r>
    </w:p>
    <w:p>
      <w:pPr>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对投标文件中含义不明确、同类问题表述不一致或者有明显文字和计算错误的内容，评标委员会可要求供应商作出必要的澄清、说明或者纠正。</w:t>
      </w:r>
    </w:p>
    <w:p>
      <w:pPr>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1、评标委员会可以在“政采云”平台在线询标或其他有效形式要求供应商对同一份投标文件含义不明确或同类问题表述不一致的内容（招标文件其它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pPr>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2、如果供应商代表拒绝或未按评标委员会要求在“政采云”平台作出在线回复且无其他有效回复方式的，评标委员会可以对其作出无效标处理。</w:t>
      </w:r>
    </w:p>
    <w:p>
      <w:pPr>
        <w:spacing w:line="500" w:lineRule="exact"/>
        <w:ind w:firstLine="482" w:firstLineChars="200"/>
        <w:rPr>
          <w:rFonts w:hint="eastAsia" w:ascii="宋体" w:hAnsi="宋体"/>
          <w:b/>
          <w:bCs/>
          <w:color w:val="auto"/>
          <w:sz w:val="24"/>
          <w:highlight w:val="none"/>
        </w:rPr>
      </w:pPr>
      <w:r>
        <w:rPr>
          <w:rFonts w:hint="eastAsia" w:ascii="宋体" w:hAnsi="宋体"/>
          <w:b/>
          <w:bCs/>
          <w:color w:val="auto"/>
          <w:sz w:val="24"/>
          <w:highlight w:val="none"/>
        </w:rPr>
        <w:t>（五）错误修正</w:t>
      </w:r>
    </w:p>
    <w:p>
      <w:pPr>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投标文件如果出现计算或表达上的错误，修正错误的原则如下：</w:t>
      </w:r>
    </w:p>
    <w:p>
      <w:pPr>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1.开标一览表总价与投标报价明细表汇总数不一致的，以开标一览表为准；</w:t>
      </w:r>
    </w:p>
    <w:p>
      <w:pPr>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2.投标文件的大写金额和小写金额不一致的，以大写金额为准；</w:t>
      </w:r>
    </w:p>
    <w:p>
      <w:pPr>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3.总价金额与按单价汇总金额不一致的，以单价金额计算结果为准；</w:t>
      </w:r>
    </w:p>
    <w:p>
      <w:pPr>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4.对不同文字文本投标文件的解释发生异议的，以中文文本为准。</w:t>
      </w:r>
    </w:p>
    <w:p>
      <w:pPr>
        <w:spacing w:line="500" w:lineRule="exact"/>
        <w:ind w:firstLine="482" w:firstLineChars="200"/>
        <w:rPr>
          <w:rFonts w:hint="eastAsia" w:ascii="宋体" w:hAnsi="宋体"/>
          <w:b/>
          <w:bCs/>
          <w:color w:val="auto"/>
          <w:sz w:val="24"/>
          <w:highlight w:val="none"/>
        </w:rPr>
      </w:pPr>
      <w:r>
        <w:rPr>
          <w:rFonts w:hint="eastAsia" w:ascii="宋体" w:hAnsi="宋体"/>
          <w:b/>
          <w:bCs/>
          <w:color w:val="auto"/>
          <w:sz w:val="24"/>
          <w:highlight w:val="none"/>
        </w:rPr>
        <w:t>5.客户端填写的报价与以pdf格式上传文件中的报价不一致的，应以pdf格式上传文件中的报价为准。</w:t>
      </w:r>
    </w:p>
    <w:p>
      <w:pPr>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按上述修正错误的原则及方法调整或修正投标文件的投标报价，投标人同意后，调整后的投标报价对投标人具有约束作用。如果投标人不接受修正后的报价，则其投标将作为无效投标处理。</w:t>
      </w:r>
    </w:p>
    <w:p>
      <w:pPr>
        <w:pStyle w:val="18"/>
        <w:tabs>
          <w:tab w:val="left" w:pos="630"/>
        </w:tabs>
        <w:snapToGrid w:val="0"/>
        <w:spacing w:beforeLines="0" w:afterLines="0" w:line="500" w:lineRule="exact"/>
        <w:ind w:firstLine="482" w:firstLineChars="200"/>
        <w:rPr>
          <w:rFonts w:hint="eastAsia" w:hAnsi="宋体"/>
          <w:b/>
          <w:color w:val="auto"/>
          <w:highlight w:val="none"/>
        </w:rPr>
      </w:pPr>
      <w:r>
        <w:rPr>
          <w:rFonts w:hAnsi="宋体"/>
          <w:b/>
          <w:color w:val="auto"/>
          <w:highlight w:val="none"/>
        </w:rPr>
        <w:t>（六）评标原则和评标办法</w:t>
      </w:r>
    </w:p>
    <w:p>
      <w:pPr>
        <w:pStyle w:val="18"/>
        <w:snapToGrid w:val="0"/>
        <w:spacing w:beforeLines="0" w:afterLines="0" w:line="500" w:lineRule="exact"/>
        <w:ind w:firstLine="480" w:firstLineChars="200"/>
        <w:rPr>
          <w:rFonts w:hint="eastAsia" w:hAnsi="宋体"/>
          <w:color w:val="auto"/>
          <w:highlight w:val="none"/>
        </w:rPr>
      </w:pPr>
      <w:r>
        <w:rPr>
          <w:rFonts w:hAnsi="宋体"/>
          <w:color w:val="auto"/>
          <w:highlight w:val="none"/>
        </w:rPr>
        <w:t>1</w:t>
      </w:r>
      <w:r>
        <w:rPr>
          <w:rFonts w:hint="eastAsia" w:hAnsi="宋体"/>
          <w:color w:val="auto"/>
          <w:highlight w:val="none"/>
        </w:rPr>
        <w:t>.</w:t>
      </w:r>
      <w:r>
        <w:rPr>
          <w:rFonts w:hAnsi="宋体"/>
          <w:color w:val="auto"/>
          <w:highlight w:val="none"/>
        </w:rPr>
        <w:t>评标原则。评标委员会必须公平、公正、客观，不带任何倾向性和启发性；不得向外界透露任何与评标有关的内容；任何单位和个人不得干扰、影响评标的正常进行；评标委员会及有关工作人员不得私下与</w:t>
      </w:r>
      <w:r>
        <w:rPr>
          <w:rFonts w:hint="eastAsia" w:hAnsi="宋体"/>
          <w:color w:val="auto"/>
          <w:highlight w:val="none"/>
        </w:rPr>
        <w:t>供应商</w:t>
      </w:r>
      <w:r>
        <w:rPr>
          <w:rFonts w:hAnsi="宋体"/>
          <w:color w:val="auto"/>
          <w:highlight w:val="none"/>
        </w:rPr>
        <w:t>接触。</w:t>
      </w:r>
    </w:p>
    <w:p>
      <w:pPr>
        <w:pStyle w:val="18"/>
        <w:snapToGrid w:val="0"/>
        <w:spacing w:beforeLines="0" w:afterLines="0" w:line="500" w:lineRule="exact"/>
        <w:ind w:firstLine="480" w:firstLineChars="200"/>
        <w:rPr>
          <w:rFonts w:hint="eastAsia" w:hAnsi="宋体"/>
          <w:color w:val="auto"/>
          <w:highlight w:val="none"/>
        </w:rPr>
      </w:pPr>
      <w:r>
        <w:rPr>
          <w:rFonts w:hAnsi="宋体"/>
          <w:color w:val="auto"/>
          <w:highlight w:val="none"/>
        </w:rPr>
        <w:t>2</w:t>
      </w:r>
      <w:r>
        <w:rPr>
          <w:rFonts w:hint="eastAsia" w:hAnsi="宋体"/>
          <w:color w:val="auto"/>
          <w:highlight w:val="none"/>
        </w:rPr>
        <w:t>.</w:t>
      </w:r>
      <w:r>
        <w:rPr>
          <w:rFonts w:hAnsi="宋体"/>
          <w:color w:val="auto"/>
          <w:highlight w:val="none"/>
        </w:rPr>
        <w:t>评标办法。本项目评标办法是</w:t>
      </w:r>
      <w:r>
        <w:rPr>
          <w:rFonts w:hint="eastAsia" w:hAnsi="宋体"/>
          <w:color w:val="auto"/>
          <w:highlight w:val="none"/>
        </w:rPr>
        <w:t>综合评标法</w:t>
      </w:r>
      <w:r>
        <w:rPr>
          <w:rFonts w:hAnsi="宋体"/>
          <w:color w:val="auto"/>
          <w:highlight w:val="none"/>
        </w:rPr>
        <w:t xml:space="preserve"> ，具体评标内容及评分标准等详见《第四章：评标办法及评分标准》。</w:t>
      </w:r>
    </w:p>
    <w:p>
      <w:pPr>
        <w:pStyle w:val="18"/>
        <w:snapToGrid w:val="0"/>
        <w:spacing w:beforeLines="0" w:afterLines="0" w:line="500" w:lineRule="exact"/>
        <w:ind w:firstLine="482" w:firstLineChars="200"/>
        <w:rPr>
          <w:rFonts w:hint="eastAsia" w:hAnsi="宋体"/>
          <w:b/>
          <w:bCs/>
          <w:color w:val="auto"/>
          <w:highlight w:val="none"/>
        </w:rPr>
      </w:pPr>
      <w:r>
        <w:rPr>
          <w:rFonts w:hAnsi="宋体"/>
          <w:b/>
          <w:bCs/>
          <w:color w:val="auto"/>
          <w:highlight w:val="none"/>
        </w:rPr>
        <w:t>（七）评标过程的监控</w:t>
      </w:r>
    </w:p>
    <w:p>
      <w:pPr>
        <w:pStyle w:val="18"/>
        <w:snapToGrid w:val="0"/>
        <w:spacing w:beforeLines="0" w:afterLines="0" w:line="500" w:lineRule="exact"/>
        <w:ind w:firstLine="480" w:firstLineChars="200"/>
        <w:rPr>
          <w:rFonts w:hint="eastAsia" w:hAnsi="宋体"/>
          <w:color w:val="auto"/>
          <w:highlight w:val="none"/>
        </w:rPr>
      </w:pPr>
      <w:r>
        <w:rPr>
          <w:rFonts w:hAnsi="宋体"/>
          <w:color w:val="auto"/>
          <w:highlight w:val="none"/>
        </w:rPr>
        <w:t>本项目评标过程实行全程录音、录像监控</w:t>
      </w:r>
      <w:r>
        <w:rPr>
          <w:rFonts w:hint="eastAsia" w:hAnsi="宋体"/>
          <w:color w:val="auto"/>
          <w:highlight w:val="none"/>
        </w:rPr>
        <w:t>，且有</w:t>
      </w:r>
      <w:r>
        <w:rPr>
          <w:rFonts w:hint="eastAsia" w:hAnsi="宋体"/>
          <w:b/>
          <w:bCs/>
          <w:color w:val="auto"/>
          <w:highlight w:val="none"/>
          <w:u w:val="single"/>
        </w:rPr>
        <w:t>（平湖市政务服务管理办公室交易管理科/平湖市财政局政府采购监管科</w:t>
      </w:r>
      <w:r>
        <w:rPr>
          <w:rFonts w:hAnsi="宋体"/>
          <w:b/>
          <w:bCs/>
          <w:color w:val="auto"/>
          <w:highlight w:val="none"/>
          <w:u w:val="single"/>
        </w:rPr>
        <w:t>）</w:t>
      </w:r>
      <w:r>
        <w:rPr>
          <w:rFonts w:hAnsi="宋体"/>
          <w:color w:val="auto"/>
          <w:highlight w:val="none"/>
        </w:rPr>
        <w:t>进行监督</w:t>
      </w:r>
      <w:r>
        <w:rPr>
          <w:rFonts w:hint="eastAsia" w:hAnsi="宋体"/>
          <w:color w:val="auto"/>
          <w:highlight w:val="none"/>
        </w:rPr>
        <w:t>，</w:t>
      </w:r>
      <w:r>
        <w:rPr>
          <w:rFonts w:hAnsi="宋体"/>
          <w:color w:val="auto"/>
          <w:highlight w:val="none"/>
        </w:rPr>
        <w:t>投标人在评标过程中所进行的</w:t>
      </w:r>
      <w:r>
        <w:rPr>
          <w:rFonts w:hint="eastAsia" w:hAnsi="宋体"/>
          <w:color w:val="auto"/>
          <w:highlight w:val="none"/>
        </w:rPr>
        <w:t>试</w:t>
      </w:r>
      <w:r>
        <w:rPr>
          <w:rFonts w:hAnsi="宋体"/>
          <w:color w:val="auto"/>
          <w:highlight w:val="none"/>
        </w:rPr>
        <w:t>图影响评标结果的不公正活动，</w:t>
      </w:r>
      <w:r>
        <w:rPr>
          <w:rFonts w:hint="eastAsia" w:hAnsi="宋体"/>
          <w:color w:val="auto"/>
          <w:highlight w:val="none"/>
        </w:rPr>
        <w:t>将按有关法律法规处理</w:t>
      </w:r>
      <w:r>
        <w:rPr>
          <w:rFonts w:hAnsi="宋体"/>
          <w:color w:val="auto"/>
          <w:highlight w:val="none"/>
        </w:rPr>
        <w:t>。</w:t>
      </w:r>
    </w:p>
    <w:p>
      <w:pPr>
        <w:pStyle w:val="18"/>
        <w:snapToGrid w:val="0"/>
        <w:spacing w:beforeLines="0" w:afterLines="0" w:line="500" w:lineRule="exact"/>
        <w:ind w:firstLine="482" w:firstLineChars="200"/>
        <w:outlineLvl w:val="1"/>
        <w:rPr>
          <w:rFonts w:hint="eastAsia" w:hAnsi="宋体"/>
          <w:b/>
          <w:color w:val="auto"/>
          <w:highlight w:val="none"/>
        </w:rPr>
      </w:pPr>
      <w:r>
        <w:rPr>
          <w:rFonts w:hAnsi="宋体"/>
          <w:b/>
          <w:color w:val="auto"/>
          <w:highlight w:val="none"/>
        </w:rPr>
        <w:t>六、定标</w:t>
      </w:r>
    </w:p>
    <w:p>
      <w:pPr>
        <w:snapToGrid w:val="0"/>
        <w:spacing w:line="500" w:lineRule="exact"/>
        <w:ind w:firstLine="482" w:firstLineChars="200"/>
        <w:jc w:val="left"/>
        <w:outlineLvl w:val="0"/>
        <w:rPr>
          <w:rFonts w:hint="eastAsia" w:ascii="宋体" w:hAnsi="宋体"/>
          <w:b/>
          <w:color w:val="auto"/>
          <w:sz w:val="24"/>
          <w:highlight w:val="none"/>
        </w:rPr>
      </w:pPr>
      <w:r>
        <w:rPr>
          <w:rFonts w:hint="eastAsia" w:ascii="宋体" w:hAnsi="宋体"/>
          <w:b/>
          <w:color w:val="auto"/>
          <w:sz w:val="24"/>
          <w:highlight w:val="none"/>
        </w:rPr>
        <w:t>确定中标人。</w:t>
      </w:r>
    </w:p>
    <w:p>
      <w:pPr>
        <w:snapToGrid w:val="0"/>
        <w:spacing w:line="500" w:lineRule="exact"/>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评标委员会根据招标文件和有关规定，履行评标工作职责，以评标原则和评标办法为标准，全面衡量各投标人对招标文件的响应情况。评标委员会按照各投标单位的综合得分情况，确定中标候选人。评标委员会根据评标结果向采购人提交评标报告。</w:t>
      </w:r>
    </w:p>
    <w:p>
      <w:pPr>
        <w:snapToGrid w:val="0"/>
        <w:spacing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.采购代理机构在评标结束后</w:t>
      </w:r>
      <w:r>
        <w:rPr>
          <w:rFonts w:hint="eastAsia" w:ascii="宋体" w:hAnsi="宋体"/>
          <w:color w:val="auto"/>
          <w:sz w:val="24"/>
          <w:highlight w:val="none"/>
        </w:rPr>
        <w:t>2</w:t>
      </w:r>
      <w:r>
        <w:rPr>
          <w:rFonts w:ascii="宋体" w:hAnsi="宋体"/>
          <w:color w:val="auto"/>
          <w:sz w:val="24"/>
          <w:highlight w:val="none"/>
        </w:rPr>
        <w:t>个工作日内</w:t>
      </w:r>
      <w:r>
        <w:rPr>
          <w:rFonts w:hint="eastAsia" w:ascii="宋体" w:hAnsi="宋体"/>
          <w:color w:val="auto"/>
          <w:sz w:val="24"/>
          <w:highlight w:val="none"/>
        </w:rPr>
        <w:t>，</w:t>
      </w:r>
      <w:r>
        <w:rPr>
          <w:rFonts w:ascii="宋体" w:hAnsi="宋体"/>
          <w:color w:val="auto"/>
          <w:sz w:val="24"/>
          <w:highlight w:val="none"/>
        </w:rPr>
        <w:t>将评标报告交采购人确认</w:t>
      </w:r>
      <w:r>
        <w:rPr>
          <w:rFonts w:hint="eastAsia" w:ascii="宋体" w:hAnsi="宋体"/>
          <w:color w:val="auto"/>
          <w:sz w:val="24"/>
          <w:highlight w:val="none"/>
        </w:rPr>
        <w:t>。投标人对评标结果无异议的，采购人应在收到评标报告后5个工作日内，按照评标报告中推荐的中标候选供应商顺序确定中标供应商，对评标结果进行确认；在采购人对结果确认后，采购代理机构将在</w:t>
      </w:r>
      <w:r>
        <w:rPr>
          <w:rFonts w:ascii="宋体" w:hAnsi="宋体"/>
          <w:color w:val="auto"/>
          <w:sz w:val="24"/>
          <w:highlight w:val="none"/>
        </w:rPr>
        <w:t>发布招标公告的网站上</w:t>
      </w:r>
      <w:r>
        <w:rPr>
          <w:rFonts w:hint="eastAsia" w:ascii="宋体" w:hAnsi="宋体"/>
          <w:color w:val="auto"/>
          <w:sz w:val="24"/>
          <w:highlight w:val="none"/>
        </w:rPr>
        <w:t>公布中</w:t>
      </w:r>
      <w:r>
        <w:rPr>
          <w:rFonts w:ascii="宋体" w:hAnsi="宋体"/>
          <w:color w:val="auto"/>
          <w:sz w:val="24"/>
          <w:highlight w:val="none"/>
        </w:rPr>
        <w:t>标结果</w:t>
      </w:r>
      <w:r>
        <w:rPr>
          <w:rFonts w:hint="eastAsia" w:ascii="宋体" w:hAnsi="宋体"/>
          <w:color w:val="auto"/>
          <w:sz w:val="24"/>
          <w:highlight w:val="none"/>
        </w:rPr>
        <w:t>公告</w:t>
      </w:r>
      <w:r>
        <w:rPr>
          <w:rFonts w:ascii="宋体" w:hAnsi="宋体"/>
          <w:color w:val="auto"/>
          <w:sz w:val="24"/>
          <w:highlight w:val="none"/>
        </w:rPr>
        <w:t>。</w:t>
      </w:r>
    </w:p>
    <w:p>
      <w:pPr>
        <w:snapToGrid w:val="0"/>
        <w:spacing w:line="520" w:lineRule="exact"/>
        <w:ind w:firstLine="480" w:firstLineChars="200"/>
        <w:rPr>
          <w:rFonts w:hint="eastAsia" w:ascii="宋体" w:hAnsi="宋体"/>
          <w:color w:val="auto"/>
          <w:sz w:val="24"/>
          <w:highlight w:val="none"/>
        </w:rPr>
      </w:pPr>
      <w:r>
        <w:rPr>
          <w:rFonts w:hint="eastAsia" w:ascii="宋体" w:hAnsi="宋体"/>
          <w:color w:val="auto"/>
          <w:sz w:val="24"/>
          <w:highlight w:val="none"/>
        </w:rPr>
        <w:t>3</w:t>
      </w:r>
      <w:r>
        <w:rPr>
          <w:rFonts w:ascii="宋体" w:hAnsi="宋体"/>
          <w:color w:val="auto"/>
          <w:sz w:val="24"/>
          <w:highlight w:val="none"/>
        </w:rPr>
        <w:t>.</w:t>
      </w:r>
      <w:r>
        <w:rPr>
          <w:rFonts w:hint="eastAsia" w:ascii="宋体" w:hAnsi="宋体"/>
          <w:color w:val="auto"/>
          <w:sz w:val="24"/>
          <w:highlight w:val="none"/>
        </w:rPr>
        <w:t>在公告期内查实中标人有违反有关法律法规和本项目招标文件规定和要求的，则取消该投标人的中标资格。</w:t>
      </w:r>
    </w:p>
    <w:p>
      <w:pPr>
        <w:snapToGrid w:val="0"/>
        <w:spacing w:line="520" w:lineRule="exact"/>
        <w:ind w:firstLine="480" w:firstLineChars="200"/>
        <w:rPr>
          <w:rFonts w:hint="eastAsia" w:ascii="宋体" w:hAnsi="宋体"/>
          <w:color w:val="auto"/>
          <w:sz w:val="24"/>
          <w:highlight w:val="none"/>
        </w:rPr>
      </w:pPr>
      <w:r>
        <w:rPr>
          <w:rFonts w:hint="eastAsia" w:ascii="宋体" w:hAnsi="宋体"/>
          <w:color w:val="auto"/>
          <w:sz w:val="24"/>
          <w:highlight w:val="none"/>
        </w:rPr>
        <w:t>4. 在公告中标结果的同时，</w:t>
      </w:r>
      <w:r>
        <w:rPr>
          <w:rFonts w:ascii="宋体" w:hAnsi="宋体"/>
          <w:color w:val="auto"/>
          <w:sz w:val="24"/>
          <w:highlight w:val="none"/>
        </w:rPr>
        <w:t>采购代理机构</w:t>
      </w:r>
      <w:r>
        <w:rPr>
          <w:rFonts w:hint="eastAsia" w:ascii="宋体" w:hAnsi="宋体"/>
          <w:color w:val="auto"/>
          <w:sz w:val="24"/>
          <w:highlight w:val="none"/>
        </w:rPr>
        <w:t>向中标人</w:t>
      </w:r>
      <w:r>
        <w:rPr>
          <w:rFonts w:ascii="宋体" w:hAnsi="宋体"/>
          <w:color w:val="auto"/>
          <w:sz w:val="24"/>
          <w:highlight w:val="none"/>
        </w:rPr>
        <w:t>发出《中标通知书》</w:t>
      </w:r>
      <w:r>
        <w:rPr>
          <w:rFonts w:hint="eastAsia" w:ascii="宋体" w:hAnsi="宋体"/>
          <w:color w:val="auto"/>
          <w:sz w:val="24"/>
          <w:highlight w:val="none"/>
        </w:rPr>
        <w:t>。</w:t>
      </w:r>
    </w:p>
    <w:p>
      <w:pPr>
        <w:pStyle w:val="18"/>
        <w:snapToGrid w:val="0"/>
        <w:spacing w:beforeLines="0" w:afterLines="0" w:line="520" w:lineRule="exact"/>
        <w:ind w:firstLine="482" w:firstLineChars="200"/>
        <w:outlineLvl w:val="1"/>
        <w:rPr>
          <w:rFonts w:hint="eastAsia" w:hAnsi="宋体"/>
          <w:b/>
          <w:color w:val="auto"/>
          <w:highlight w:val="none"/>
        </w:rPr>
      </w:pPr>
      <w:r>
        <w:rPr>
          <w:rFonts w:hAnsi="宋体"/>
          <w:b/>
          <w:color w:val="auto"/>
          <w:highlight w:val="none"/>
        </w:rPr>
        <w:t>七、合同授予</w:t>
      </w:r>
    </w:p>
    <w:p>
      <w:pPr>
        <w:snapToGrid w:val="0"/>
        <w:spacing w:line="520" w:lineRule="exact"/>
        <w:ind w:firstLine="480" w:firstLineChars="200"/>
        <w:rPr>
          <w:rFonts w:hint="eastAsia" w:ascii="宋体" w:hAnsi="宋体"/>
          <w:color w:val="auto"/>
          <w:sz w:val="24"/>
          <w:highlight w:val="none"/>
        </w:rPr>
      </w:pPr>
      <w:r>
        <w:rPr>
          <w:rFonts w:ascii="宋体" w:hAnsi="宋体"/>
          <w:color w:val="auto"/>
          <w:sz w:val="24"/>
          <w:highlight w:val="none"/>
        </w:rPr>
        <w:t>1.采购人与中标人应当在《中标通知书》发出之日起30日内签订政府采购合同。同时，采购代理机构对合同内容进行审查，如发现与采购结果和投标承诺内容不一致的，应予以纠正。</w:t>
      </w:r>
    </w:p>
    <w:p>
      <w:pPr>
        <w:snapToGrid w:val="0"/>
        <w:spacing w:line="520" w:lineRule="exact"/>
        <w:ind w:firstLine="480" w:firstLineChars="200"/>
        <w:rPr>
          <w:rFonts w:hint="eastAsia" w:ascii="宋体" w:hAnsi="宋体"/>
          <w:color w:val="auto"/>
          <w:sz w:val="24"/>
          <w:highlight w:val="none"/>
        </w:rPr>
      </w:pPr>
      <w:r>
        <w:rPr>
          <w:rFonts w:ascii="宋体" w:hAnsi="宋体"/>
          <w:color w:val="auto"/>
          <w:sz w:val="24"/>
          <w:highlight w:val="none"/>
        </w:rPr>
        <w:t>2.中标人拖延、拒签合同的，将取消中标资格。</w:t>
      </w:r>
      <w:r>
        <w:rPr>
          <w:rFonts w:hint="eastAsia" w:ascii="宋体" w:hAnsi="宋体"/>
          <w:color w:val="auto"/>
          <w:sz w:val="24"/>
          <w:highlight w:val="none"/>
        </w:rPr>
        <w:t>中标供应商在接到《中标通知书》后，违反采购文件有关规定和要求，不履行投标承诺，在规定时间内拒签合同或放弃中标的，则取消该投标人的中标资格。</w:t>
      </w:r>
    </w:p>
    <w:p>
      <w:pPr>
        <w:pStyle w:val="5"/>
        <w:jc w:val="center"/>
        <w:rPr>
          <w:color w:val="auto"/>
          <w:highlight w:val="none"/>
        </w:rPr>
      </w:pPr>
      <w:r>
        <w:rPr>
          <w:rFonts w:hint="eastAsia"/>
          <w:color w:val="auto"/>
          <w:highlight w:val="none"/>
        </w:rPr>
        <w:t xml:space="preserve">第四章 </w:t>
      </w:r>
      <w:r>
        <w:rPr>
          <w:color w:val="auto"/>
          <w:highlight w:val="none"/>
        </w:rPr>
        <w:t>评标办法及评分标准</w:t>
      </w:r>
    </w:p>
    <w:p>
      <w:pPr>
        <w:spacing w:line="360" w:lineRule="auto"/>
        <w:ind w:firstLine="480" w:firstLineChars="200"/>
        <w:rPr>
          <w:rFonts w:hint="eastAsia" w:ascii="宋体" w:hAnsi="宋体"/>
          <w:color w:val="auto"/>
          <w:sz w:val="24"/>
          <w:highlight w:val="none"/>
        </w:rPr>
      </w:pPr>
      <w:r>
        <w:rPr>
          <w:rFonts w:ascii="宋体" w:hAnsi="宋体"/>
          <w:color w:val="auto"/>
          <w:sz w:val="24"/>
          <w:highlight w:val="none"/>
        </w:rPr>
        <w:t>为公正、公平、科学地选择中标人，根据《中华人民共和国政府采购法》等有关法律法规的规定，并结合本项目的实际，制定本办法。</w:t>
      </w:r>
    </w:p>
    <w:p>
      <w:pPr>
        <w:spacing w:line="360" w:lineRule="auto"/>
        <w:ind w:firstLine="480" w:firstLineChars="200"/>
        <w:rPr>
          <w:rFonts w:hint="eastAsia" w:ascii="宋体" w:hAnsi="宋体"/>
          <w:bCs/>
          <w:color w:val="auto"/>
          <w:sz w:val="24"/>
          <w:highlight w:val="none"/>
        </w:rPr>
      </w:pPr>
      <w:r>
        <w:rPr>
          <w:rFonts w:ascii="宋体" w:hAnsi="宋体"/>
          <w:color w:val="auto"/>
          <w:sz w:val="24"/>
          <w:highlight w:val="none"/>
        </w:rPr>
        <w:t>本办法适用于</w:t>
      </w:r>
      <w:r>
        <w:rPr>
          <w:rFonts w:hint="eastAsia" w:ascii="宋体" w:hAnsi="宋体"/>
          <w:color w:val="auto"/>
          <w:sz w:val="24"/>
          <w:highlight w:val="none"/>
          <w:u w:val="single"/>
        </w:rPr>
        <w:t xml:space="preserve"> </w:t>
      </w:r>
      <w:r>
        <w:rPr>
          <w:rFonts w:hint="eastAsia" w:ascii="宋体" w:hAnsi="宋体"/>
          <w:color w:val="auto"/>
          <w:sz w:val="24"/>
          <w:highlight w:val="none"/>
          <w:u w:val="single"/>
          <w:lang w:eastAsia="zh-CN"/>
        </w:rPr>
        <w:t>上海世外教育附属平湖经开实验小学迁建工程学生课桌椅采购项目</w:t>
      </w:r>
      <w:r>
        <w:rPr>
          <w:rFonts w:hint="eastAsia" w:ascii="宋体" w:hAnsi="宋体"/>
          <w:bCs/>
          <w:color w:val="auto"/>
          <w:sz w:val="24"/>
          <w:highlight w:val="none"/>
          <w:u w:val="single"/>
        </w:rPr>
        <w:t xml:space="preserve"> </w:t>
      </w:r>
      <w:r>
        <w:rPr>
          <w:rFonts w:ascii="宋体" w:hAnsi="宋体"/>
          <w:bCs/>
          <w:color w:val="auto"/>
          <w:sz w:val="24"/>
          <w:highlight w:val="none"/>
        </w:rPr>
        <w:t>的评标。</w:t>
      </w:r>
    </w:p>
    <w:p>
      <w:pPr>
        <w:spacing w:line="500" w:lineRule="exact"/>
        <w:ind w:firstLine="551" w:firstLineChars="196"/>
        <w:rPr>
          <w:rFonts w:hint="eastAsia" w:ascii="宋体" w:hAnsi="宋体" w:cs="宋体"/>
          <w:b/>
          <w:color w:val="auto"/>
          <w:sz w:val="28"/>
          <w:szCs w:val="28"/>
          <w:highlight w:val="none"/>
        </w:rPr>
      </w:pPr>
      <w:r>
        <w:rPr>
          <w:rFonts w:hint="eastAsia" w:ascii="宋体" w:hAnsi="宋体" w:cs="宋体"/>
          <w:b/>
          <w:color w:val="auto"/>
          <w:sz w:val="28"/>
          <w:szCs w:val="28"/>
          <w:highlight w:val="none"/>
        </w:rPr>
        <w:t>一、总则</w:t>
      </w:r>
    </w:p>
    <w:p>
      <w:pPr>
        <w:spacing w:line="500" w:lineRule="exact"/>
        <w:ind w:firstLine="480"/>
        <w:jc w:val="left"/>
        <w:rPr>
          <w:rFonts w:hint="eastAsia" w:ascii="宋体" w:hAnsi="宋体" w:cs="宋体"/>
          <w:color w:val="auto"/>
          <w:sz w:val="24"/>
          <w:highlight w:val="none"/>
        </w:rPr>
      </w:pPr>
      <w:r>
        <w:rPr>
          <w:rFonts w:hint="eastAsia" w:ascii="宋体" w:hAnsi="宋体" w:cs="宋体"/>
          <w:color w:val="auto"/>
          <w:sz w:val="24"/>
          <w:highlight w:val="none"/>
        </w:rPr>
        <w:t>1、本次评标采用综合评分法，总分为100分，其中报价分30分、技术商务资信分70分。合格投标人的评标得分为各部分汇总得分，中标候选资格按评标得分由高到低顺序排列，得分相同的，按投标报价由低到高顺序排列；得分且投标报价相同的，按技术得分由高到低顺序排列,仍不能分出前后的，抽签确定中标人。排名第一的投标人为第一中标候选人，排名第二的投标人为第二候补中标候选人，排名第三的投标人为第三候补中标候选人。中标人拒绝与采购人签订合同的，采购人可以按照评审报告推荐的中标候选人名单顺序，确定下一候选人为中标人，也可以重新开展政府采购活动。评分过程中采用四舍五入法，并保留小数2位。</w:t>
      </w:r>
    </w:p>
    <w:p>
      <w:pPr>
        <w:spacing w:line="500" w:lineRule="exact"/>
        <w:ind w:firstLine="480"/>
        <w:jc w:val="left"/>
        <w:rPr>
          <w:rFonts w:hint="eastAsia" w:ascii="宋体" w:hAnsi="宋体" w:cs="宋体"/>
          <w:color w:val="auto"/>
          <w:sz w:val="24"/>
          <w:highlight w:val="none"/>
        </w:rPr>
      </w:pPr>
      <w:r>
        <w:rPr>
          <w:rFonts w:hint="eastAsia" w:ascii="宋体" w:hAnsi="宋体" w:cs="宋体"/>
          <w:color w:val="auto"/>
          <w:sz w:val="24"/>
          <w:highlight w:val="none"/>
        </w:rPr>
        <w:t xml:space="preserve">2、投标人的投标报价不得超过采购人设定的上限价。价格是评标的重要因素之一，但最低报价不是中标的唯一依据。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 </w:t>
      </w:r>
    </w:p>
    <w:p>
      <w:pPr>
        <w:spacing w:line="500" w:lineRule="exact"/>
        <w:ind w:firstLine="480"/>
        <w:jc w:val="left"/>
        <w:rPr>
          <w:rFonts w:hint="eastAsia" w:ascii="宋体" w:hAnsi="宋体" w:cs="宋体"/>
          <w:color w:val="auto"/>
          <w:sz w:val="24"/>
          <w:highlight w:val="none"/>
        </w:rPr>
      </w:pPr>
      <w:r>
        <w:rPr>
          <w:rFonts w:hint="eastAsia" w:ascii="宋体" w:hAnsi="宋体" w:cs="宋体"/>
          <w:color w:val="auto"/>
          <w:sz w:val="24"/>
          <w:highlight w:val="none"/>
        </w:rPr>
        <w:t>3、投标人评标综合得分=报价分+技术商务资信分。</w:t>
      </w:r>
    </w:p>
    <w:p>
      <w:pPr>
        <w:spacing w:line="500" w:lineRule="exact"/>
        <w:ind w:firstLine="551" w:firstLineChars="196"/>
        <w:rPr>
          <w:rFonts w:hint="eastAsia" w:ascii="宋体" w:hAnsi="宋体" w:cs="宋体"/>
          <w:b/>
          <w:color w:val="auto"/>
          <w:sz w:val="28"/>
          <w:szCs w:val="28"/>
          <w:highlight w:val="none"/>
        </w:rPr>
      </w:pPr>
      <w:r>
        <w:rPr>
          <w:rFonts w:hint="eastAsia" w:ascii="宋体" w:hAnsi="宋体" w:cs="宋体"/>
          <w:b/>
          <w:color w:val="auto"/>
          <w:sz w:val="28"/>
          <w:szCs w:val="28"/>
          <w:highlight w:val="none"/>
        </w:rPr>
        <w:t>二、评标内容及标准</w:t>
      </w:r>
    </w:p>
    <w:tbl>
      <w:tblPr>
        <w:tblStyle w:val="27"/>
        <w:tblW w:w="86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6306"/>
        <w:gridCol w:w="1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242" w:type="dxa"/>
            <w:shd w:val="clear" w:color="auto" w:fill="EEECE1"/>
            <w:noWrap w:val="0"/>
            <w:vAlign w:val="center"/>
          </w:tcPr>
          <w:p>
            <w:pPr>
              <w:keepNext w:val="0"/>
              <w:keepLines w:val="0"/>
              <w:pageBreakBefore w:val="0"/>
              <w:widowControl w:val="0"/>
              <w:kinsoku/>
              <w:wordWrap/>
              <w:overflowPunct/>
              <w:topLinePunct w:val="0"/>
              <w:bidi w:val="0"/>
              <w:spacing w:line="360" w:lineRule="auto"/>
              <w:jc w:val="center"/>
              <w:textAlignment w:val="auto"/>
              <w:rPr>
                <w:rFonts w:hint="eastAsia" w:ascii="宋体" w:hAnsi="宋体" w:cs="宋体"/>
                <w:b/>
                <w:color w:val="auto"/>
                <w:sz w:val="24"/>
                <w:highlight w:val="none"/>
              </w:rPr>
            </w:pPr>
            <w:r>
              <w:rPr>
                <w:rFonts w:hint="eastAsia" w:ascii="宋体" w:hAnsi="宋体" w:cs="宋体"/>
                <w:b/>
                <w:color w:val="auto"/>
                <w:sz w:val="24"/>
                <w:highlight w:val="none"/>
              </w:rPr>
              <w:t>项目</w:t>
            </w:r>
          </w:p>
        </w:tc>
        <w:tc>
          <w:tcPr>
            <w:tcW w:w="6306" w:type="dxa"/>
            <w:shd w:val="clear" w:color="auto" w:fill="EEECE1"/>
            <w:noWrap w:val="0"/>
            <w:vAlign w:val="center"/>
          </w:tcPr>
          <w:p>
            <w:pPr>
              <w:keepNext w:val="0"/>
              <w:keepLines w:val="0"/>
              <w:pageBreakBefore w:val="0"/>
              <w:widowControl w:val="0"/>
              <w:kinsoku/>
              <w:wordWrap/>
              <w:overflowPunct/>
              <w:topLinePunct w:val="0"/>
              <w:bidi w:val="0"/>
              <w:spacing w:line="360" w:lineRule="auto"/>
              <w:jc w:val="center"/>
              <w:textAlignment w:val="auto"/>
              <w:rPr>
                <w:rFonts w:hint="eastAsia" w:ascii="宋体" w:hAnsi="宋体" w:cs="宋体"/>
                <w:b/>
                <w:color w:val="auto"/>
                <w:sz w:val="24"/>
                <w:highlight w:val="none"/>
              </w:rPr>
            </w:pPr>
            <w:r>
              <w:rPr>
                <w:rFonts w:hint="eastAsia" w:ascii="宋体" w:hAnsi="宋体" w:cs="宋体"/>
                <w:b/>
                <w:color w:val="auto"/>
                <w:sz w:val="24"/>
                <w:highlight w:val="none"/>
              </w:rPr>
              <w:t>评分标准</w:t>
            </w:r>
          </w:p>
        </w:tc>
        <w:tc>
          <w:tcPr>
            <w:tcW w:w="1074" w:type="dxa"/>
            <w:shd w:val="clear" w:color="auto" w:fill="EEECE1"/>
            <w:noWrap w:val="0"/>
            <w:vAlign w:val="center"/>
          </w:tcPr>
          <w:p>
            <w:pPr>
              <w:keepNext w:val="0"/>
              <w:keepLines w:val="0"/>
              <w:pageBreakBefore w:val="0"/>
              <w:widowControl w:val="0"/>
              <w:kinsoku/>
              <w:wordWrap/>
              <w:overflowPunct/>
              <w:topLinePunct w:val="0"/>
              <w:bidi w:val="0"/>
              <w:spacing w:line="360" w:lineRule="auto"/>
              <w:jc w:val="center"/>
              <w:textAlignment w:val="auto"/>
              <w:rPr>
                <w:rFonts w:hint="eastAsia" w:ascii="宋体" w:hAnsi="宋体" w:cs="宋体"/>
                <w:b/>
                <w:color w:val="auto"/>
                <w:sz w:val="24"/>
                <w:highlight w:val="none"/>
              </w:rPr>
            </w:pPr>
            <w:r>
              <w:rPr>
                <w:rFonts w:hint="eastAsia" w:ascii="宋体" w:hAnsi="宋体" w:cs="宋体"/>
                <w:b/>
                <w:color w:val="auto"/>
                <w:sz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4" w:hRule="atLeast"/>
        </w:trPr>
        <w:tc>
          <w:tcPr>
            <w:tcW w:w="1242"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价格</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30分</w:t>
            </w:r>
            <w:r>
              <w:rPr>
                <w:rFonts w:hint="eastAsia" w:ascii="宋体" w:hAnsi="宋体" w:eastAsia="宋体" w:cs="宋体"/>
                <w:color w:val="auto"/>
                <w:sz w:val="24"/>
                <w:szCs w:val="24"/>
                <w:highlight w:val="none"/>
                <w:lang w:eastAsia="zh-CN"/>
              </w:rPr>
              <w:t>）</w:t>
            </w:r>
          </w:p>
        </w:tc>
        <w:tc>
          <w:tcPr>
            <w:tcW w:w="6306" w:type="dxa"/>
            <w:noWrap w:val="0"/>
            <w:vAlign w:val="center"/>
          </w:tcPr>
          <w:p>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采用低价优先法计算，即以满足招标文件要求且价格最低的投标报价为评标基准价，其价格分为满分。其他投标人的价格分统一按照下列公式计算：投标报价得分=（评标基准价/投标报价）×</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×100%（四舍五入，保留两位小数）</w:t>
            </w:r>
          </w:p>
        </w:tc>
        <w:tc>
          <w:tcPr>
            <w:tcW w:w="1074"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0-</w:t>
            </w:r>
            <w:r>
              <w:rPr>
                <w:rFonts w:hint="eastAsia" w:ascii="宋体" w:hAnsi="宋体" w:eastAsia="宋体" w:cs="宋体"/>
                <w:color w:val="auto"/>
                <w:sz w:val="24"/>
                <w:szCs w:val="24"/>
                <w:highlight w:val="none"/>
                <w:lang w:val="en-US" w:eastAsia="zh-CN"/>
              </w:rPr>
              <w:t>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622" w:type="dxa"/>
            <w:gridSpan w:val="3"/>
            <w:noWrap w:val="0"/>
            <w:vAlign w:val="center"/>
          </w:tcPr>
          <w:p>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技术分（</w:t>
            </w:r>
            <w:r>
              <w:rPr>
                <w:rFonts w:hint="eastAsia" w:ascii="宋体" w:hAnsi="宋体" w:cs="宋体"/>
                <w:b/>
                <w:bCs/>
                <w:color w:val="auto"/>
                <w:sz w:val="24"/>
                <w:szCs w:val="24"/>
                <w:highlight w:val="none"/>
                <w:lang w:val="en-US" w:eastAsia="zh-CN"/>
              </w:rPr>
              <w:t>60</w:t>
            </w:r>
            <w:r>
              <w:rPr>
                <w:rFonts w:hint="eastAsia" w:ascii="宋体" w:hAnsi="宋体" w:eastAsia="宋体" w:cs="宋体"/>
                <w:b/>
                <w:bCs/>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9" w:hRule="atLeast"/>
        </w:trPr>
        <w:tc>
          <w:tcPr>
            <w:tcW w:w="1242" w:type="dxa"/>
            <w:noWrap w:val="0"/>
            <w:vAlign w:val="center"/>
          </w:tcPr>
          <w:p>
            <w:pPr>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sz w:val="24"/>
                <w:szCs w:val="24"/>
                <w:lang w:val="zh-CN"/>
              </w:rPr>
              <w:t>技术参数响应情况</w:t>
            </w:r>
          </w:p>
        </w:tc>
        <w:tc>
          <w:tcPr>
            <w:tcW w:w="6306" w:type="dxa"/>
            <w:noWrap w:val="0"/>
            <w:vAlign w:val="center"/>
          </w:tcPr>
          <w:p>
            <w:pPr>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sz w:val="24"/>
                <w:szCs w:val="24"/>
                <w:lang w:val="zh-CN"/>
              </w:rPr>
              <w:t>所投产品完全响应招标文件采购需求的整体性能、技术参数、技术要求的得</w:t>
            </w:r>
            <w:r>
              <w:rPr>
                <w:rFonts w:hint="eastAsia" w:ascii="宋体" w:hAnsi="宋体" w:eastAsia="宋体" w:cs="宋体"/>
                <w:sz w:val="24"/>
                <w:szCs w:val="24"/>
                <w:lang w:val="en-US" w:eastAsia="zh-CN"/>
              </w:rPr>
              <w:t>9</w:t>
            </w:r>
            <w:r>
              <w:rPr>
                <w:rFonts w:hint="eastAsia" w:ascii="宋体" w:hAnsi="宋体" w:eastAsia="宋体" w:cs="宋体"/>
                <w:sz w:val="24"/>
                <w:szCs w:val="24"/>
                <w:lang w:val="zh-CN"/>
              </w:rPr>
              <w:t>分。非实质性偏离</w:t>
            </w:r>
            <w:r>
              <w:rPr>
                <w:rFonts w:hint="eastAsia" w:ascii="宋体" w:hAnsi="宋体" w:eastAsia="宋体" w:cs="宋体"/>
                <w:sz w:val="24"/>
                <w:szCs w:val="24"/>
              </w:rPr>
              <w:t>每有一项扣</w:t>
            </w:r>
            <w:r>
              <w:rPr>
                <w:rFonts w:hint="eastAsia" w:ascii="宋体" w:hAnsi="宋体" w:cs="宋体"/>
                <w:color w:val="auto"/>
                <w:sz w:val="24"/>
                <w:szCs w:val="24"/>
                <w:highlight w:val="none"/>
                <w:lang w:val="en-US" w:eastAsia="zh-CN"/>
              </w:rPr>
              <w:t>0.5</w:t>
            </w:r>
            <w:r>
              <w:rPr>
                <w:rFonts w:hint="eastAsia" w:ascii="宋体" w:hAnsi="宋体" w:eastAsia="宋体" w:cs="宋体"/>
                <w:sz w:val="24"/>
                <w:szCs w:val="24"/>
              </w:rPr>
              <w:t>分</w:t>
            </w:r>
            <w:r>
              <w:rPr>
                <w:rFonts w:hint="eastAsia" w:ascii="宋体" w:hAnsi="宋体" w:eastAsia="宋体" w:cs="宋体"/>
                <w:sz w:val="24"/>
                <w:szCs w:val="24"/>
                <w:lang w:val="zh-CN"/>
              </w:rPr>
              <w:t>，扣完为止。</w:t>
            </w:r>
          </w:p>
        </w:tc>
        <w:tc>
          <w:tcPr>
            <w:tcW w:w="1074" w:type="dxa"/>
            <w:noWrap w:val="0"/>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trPr>
        <w:tc>
          <w:tcPr>
            <w:tcW w:w="1242" w:type="dxa"/>
            <w:noWrap w:val="0"/>
            <w:vAlign w:val="center"/>
          </w:tcPr>
          <w:p>
            <w:pPr>
              <w:keepNext w:val="0"/>
              <w:keepLines w:val="0"/>
              <w:pageBreakBefore w:val="0"/>
              <w:widowControl/>
              <w:kinsoku/>
              <w:wordWrap/>
              <w:overflowPunct/>
              <w:topLinePunct w:val="0"/>
              <w:bidi w:val="0"/>
              <w:snapToGrid/>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rPr>
              <w:t>原材料检测报告</w:t>
            </w:r>
          </w:p>
        </w:tc>
        <w:tc>
          <w:tcPr>
            <w:tcW w:w="6306" w:type="dxa"/>
            <w:noWrap w:val="0"/>
            <w:vAlign w:val="center"/>
          </w:tcPr>
          <w:p>
            <w:pPr>
              <w:keepNext w:val="0"/>
              <w:keepLines w:val="0"/>
              <w:pageBreakBefore w:val="0"/>
              <w:widowControl/>
              <w:kinsoku/>
              <w:wordWrap/>
              <w:overflowPunct/>
              <w:topLinePunct w:val="0"/>
              <w:bidi w:val="0"/>
              <w:spacing w:line="360" w:lineRule="auto"/>
              <w:jc w:val="left"/>
              <w:rPr>
                <w:rFonts w:hint="eastAsia" w:ascii="宋体" w:hAnsi="宋体" w:eastAsia="宋体" w:cs="宋体"/>
                <w:color w:val="auto"/>
                <w:spacing w:val="-6"/>
                <w:kern w:val="0"/>
                <w:sz w:val="24"/>
                <w:highlight w:val="none"/>
              </w:rPr>
            </w:pPr>
            <w:r>
              <w:rPr>
                <w:rFonts w:hint="eastAsia" w:ascii="宋体" w:hAnsi="宋体" w:cs="宋体"/>
                <w:color w:val="auto"/>
                <w:spacing w:val="-6"/>
                <w:kern w:val="0"/>
                <w:sz w:val="24"/>
                <w:highlight w:val="none"/>
              </w:rPr>
              <w:t>供应商投标时提供2022年1月1日后具备CMA资质的第三方</w:t>
            </w:r>
            <w:r>
              <w:rPr>
                <w:rFonts w:hint="eastAsia" w:ascii="宋体" w:hAnsi="宋体" w:eastAsia="宋体" w:cs="宋体"/>
                <w:color w:val="auto"/>
                <w:spacing w:val="-6"/>
                <w:kern w:val="0"/>
                <w:sz w:val="24"/>
                <w:highlight w:val="none"/>
              </w:rPr>
              <w:t>检测机构出具的与本项目参数技术要求相对应的原材料的检测报告复印件：</w:t>
            </w:r>
          </w:p>
          <w:p>
            <w:pPr>
              <w:keepNext w:val="0"/>
              <w:keepLines w:val="0"/>
              <w:pageBreakBefore w:val="0"/>
              <w:widowControl/>
              <w:kinsoku/>
              <w:wordWrap/>
              <w:overflowPunct/>
              <w:topLinePunct w:val="0"/>
              <w:bidi w:val="0"/>
              <w:spacing w:line="360" w:lineRule="auto"/>
              <w:jc w:val="left"/>
              <w:rPr>
                <w:rFonts w:hint="eastAsia" w:ascii="宋体" w:hAnsi="宋体" w:eastAsia="宋体" w:cs="宋体"/>
                <w:color w:val="auto"/>
                <w:spacing w:val="-6"/>
                <w:kern w:val="0"/>
                <w:sz w:val="24"/>
                <w:highlight w:val="none"/>
                <w:lang w:val="en-US" w:eastAsia="zh-CN"/>
              </w:rPr>
            </w:pPr>
            <w:r>
              <w:rPr>
                <w:rFonts w:hint="eastAsia" w:ascii="宋体" w:hAnsi="宋体" w:eastAsia="宋体" w:cs="宋体"/>
                <w:color w:val="auto"/>
                <w:spacing w:val="-6"/>
                <w:kern w:val="0"/>
                <w:sz w:val="24"/>
                <w:highlight w:val="none"/>
                <w:lang w:val="en-US" w:eastAsia="zh-CN"/>
              </w:rPr>
              <w:t>1喷塑铁件：提供金黄色葡萄球菌和大肠埃希氏菌抗细菌性能合格的检测报告。</w:t>
            </w:r>
          </w:p>
          <w:p>
            <w:pPr>
              <w:keepNext w:val="0"/>
              <w:keepLines w:val="0"/>
              <w:pageBreakBefore w:val="0"/>
              <w:widowControl/>
              <w:kinsoku/>
              <w:wordWrap/>
              <w:overflowPunct/>
              <w:topLinePunct w:val="0"/>
              <w:bidi w:val="0"/>
              <w:spacing w:line="360" w:lineRule="auto"/>
              <w:jc w:val="left"/>
              <w:rPr>
                <w:rFonts w:hint="eastAsia" w:ascii="宋体" w:hAnsi="宋体" w:eastAsia="宋体" w:cs="宋体"/>
                <w:color w:val="auto"/>
                <w:spacing w:val="-6"/>
                <w:kern w:val="0"/>
                <w:sz w:val="24"/>
                <w:highlight w:val="none"/>
                <w:lang w:val="en-US" w:eastAsia="zh-CN"/>
              </w:rPr>
            </w:pPr>
            <w:r>
              <w:rPr>
                <w:rFonts w:hint="eastAsia" w:ascii="宋体" w:hAnsi="宋体" w:eastAsia="宋体" w:cs="宋体"/>
                <w:color w:val="auto"/>
                <w:spacing w:val="-6"/>
                <w:kern w:val="0"/>
                <w:sz w:val="24"/>
                <w:highlight w:val="none"/>
                <w:lang w:val="en-US" w:eastAsia="zh-CN"/>
              </w:rPr>
              <w:t>2.刨花板：提供大肠埃希氏菌、金黄色葡萄球菌、铜绿假单胞菌、肺炎克雷伯氏菌、鼠伤寒沙门氏菌、表皮葡萄球菌、白色葡萄球菌等）检测结果要求抗细菌率≥99.99%。的检测报告。</w:t>
            </w:r>
          </w:p>
          <w:p>
            <w:pPr>
              <w:keepNext w:val="0"/>
              <w:keepLines w:val="0"/>
              <w:pageBreakBefore w:val="0"/>
              <w:widowControl/>
              <w:kinsoku/>
              <w:wordWrap/>
              <w:overflowPunct/>
              <w:topLinePunct w:val="0"/>
              <w:bidi w:val="0"/>
              <w:spacing w:line="360" w:lineRule="auto"/>
              <w:jc w:val="left"/>
              <w:rPr>
                <w:rFonts w:hint="eastAsia" w:ascii="宋体" w:hAnsi="宋体" w:eastAsia="宋体" w:cs="宋体"/>
                <w:color w:val="auto"/>
                <w:spacing w:val="-6"/>
                <w:kern w:val="0"/>
                <w:sz w:val="24"/>
                <w:highlight w:val="none"/>
                <w:lang w:val="en-US" w:eastAsia="zh-CN"/>
              </w:rPr>
            </w:pPr>
            <w:r>
              <w:rPr>
                <w:rFonts w:hint="eastAsia" w:ascii="宋体" w:hAnsi="宋体" w:eastAsia="宋体" w:cs="宋体"/>
                <w:color w:val="auto"/>
                <w:spacing w:val="-6"/>
                <w:kern w:val="0"/>
                <w:sz w:val="24"/>
                <w:highlight w:val="none"/>
                <w:lang w:val="en-US" w:eastAsia="zh-CN"/>
              </w:rPr>
              <w:t>3.课桌椅塑料件：提供耐老化性室内用500h，冲击强度合格的检测报告。</w:t>
            </w:r>
          </w:p>
          <w:p>
            <w:pPr>
              <w:keepNext w:val="0"/>
              <w:keepLines w:val="0"/>
              <w:pageBreakBefore w:val="0"/>
              <w:widowControl/>
              <w:kinsoku/>
              <w:wordWrap/>
              <w:overflowPunct/>
              <w:topLinePunct w:val="0"/>
              <w:bidi w:val="0"/>
              <w:spacing w:line="360" w:lineRule="auto"/>
              <w:jc w:val="left"/>
              <w:rPr>
                <w:rFonts w:hint="eastAsia" w:ascii="宋体" w:hAnsi="宋体" w:eastAsia="宋体" w:cs="宋体"/>
                <w:color w:val="auto"/>
                <w:spacing w:val="-6"/>
                <w:kern w:val="0"/>
                <w:sz w:val="24"/>
                <w:highlight w:val="none"/>
                <w:lang w:val="en-US" w:eastAsia="zh-CN"/>
              </w:rPr>
            </w:pPr>
            <w:r>
              <w:rPr>
                <w:rFonts w:hint="eastAsia" w:ascii="宋体" w:hAnsi="宋体" w:eastAsia="宋体" w:cs="宋体"/>
                <w:color w:val="auto"/>
                <w:spacing w:val="-6"/>
                <w:kern w:val="0"/>
                <w:sz w:val="24"/>
                <w:highlight w:val="none"/>
                <w:lang w:val="en-US" w:eastAsia="zh-CN"/>
              </w:rPr>
              <w:t>4、PP原料：提供感官要求、总迁移量、高锰酸钾消耗量、重金属、芳香族伯胺迁移总量等合格的检测报告。</w:t>
            </w:r>
          </w:p>
          <w:p>
            <w:pPr>
              <w:keepNext w:val="0"/>
              <w:keepLines w:val="0"/>
              <w:pageBreakBefore w:val="0"/>
              <w:widowControl/>
              <w:kinsoku/>
              <w:wordWrap/>
              <w:overflowPunct/>
              <w:topLinePunct w:val="0"/>
              <w:bidi w:val="0"/>
              <w:spacing w:line="360" w:lineRule="auto"/>
              <w:jc w:val="left"/>
              <w:rPr>
                <w:rFonts w:hint="eastAsia" w:ascii="宋体" w:hAnsi="宋体" w:eastAsia="宋体" w:cs="宋体"/>
                <w:color w:val="auto"/>
                <w:spacing w:val="-6"/>
                <w:kern w:val="0"/>
                <w:sz w:val="24"/>
                <w:highlight w:val="none"/>
              </w:rPr>
            </w:pPr>
            <w:r>
              <w:rPr>
                <w:rFonts w:hint="eastAsia" w:ascii="宋体" w:hAnsi="宋体" w:eastAsia="宋体" w:cs="宋体"/>
                <w:color w:val="auto"/>
                <w:spacing w:val="-6"/>
                <w:kern w:val="0"/>
                <w:sz w:val="24"/>
                <w:highlight w:val="none"/>
                <w:lang w:val="en-US" w:eastAsia="zh-CN"/>
              </w:rPr>
              <w:t>5、</w:t>
            </w:r>
            <w:r>
              <w:rPr>
                <w:rFonts w:hint="eastAsia" w:ascii="宋体" w:hAnsi="宋体" w:eastAsia="宋体" w:cs="宋体"/>
                <w:color w:val="auto"/>
                <w:spacing w:val="-6"/>
                <w:kern w:val="0"/>
                <w:sz w:val="24"/>
                <w:highlight w:val="none"/>
              </w:rPr>
              <w:t>桌面板</w:t>
            </w:r>
            <w:r>
              <w:rPr>
                <w:rFonts w:hint="eastAsia" w:ascii="宋体" w:hAnsi="宋体" w:eastAsia="宋体" w:cs="宋体"/>
                <w:color w:val="auto"/>
                <w:spacing w:val="-6"/>
                <w:kern w:val="0"/>
                <w:sz w:val="24"/>
                <w:highlight w:val="none"/>
                <w:lang w:eastAsia="zh-CN"/>
              </w:rPr>
              <w:t>：提供</w:t>
            </w:r>
            <w:r>
              <w:rPr>
                <w:rFonts w:hint="eastAsia" w:ascii="宋体" w:hAnsi="宋体" w:eastAsia="宋体" w:cs="宋体"/>
                <w:color w:val="auto"/>
                <w:spacing w:val="-6"/>
                <w:kern w:val="0"/>
                <w:sz w:val="24"/>
                <w:highlight w:val="none"/>
              </w:rPr>
              <w:t>甲醛释放量≤0.025 mg/m³的检测报告。</w:t>
            </w:r>
          </w:p>
          <w:p>
            <w:pPr>
              <w:keepNext w:val="0"/>
              <w:keepLines w:val="0"/>
              <w:pageBreakBefore w:val="0"/>
              <w:widowControl/>
              <w:kinsoku/>
              <w:wordWrap/>
              <w:overflowPunct/>
              <w:topLinePunct w:val="0"/>
              <w:bidi w:val="0"/>
              <w:spacing w:line="360" w:lineRule="auto"/>
              <w:jc w:val="left"/>
              <w:rPr>
                <w:rFonts w:hint="eastAsia" w:ascii="宋体" w:hAnsi="宋体" w:eastAsia="宋体" w:cs="宋体"/>
                <w:color w:val="auto"/>
                <w:spacing w:val="-6"/>
                <w:kern w:val="0"/>
                <w:sz w:val="24"/>
                <w:highlight w:val="none"/>
                <w:lang w:val="en-US" w:eastAsia="zh-CN"/>
              </w:rPr>
            </w:pPr>
            <w:r>
              <w:rPr>
                <w:rFonts w:hint="eastAsia" w:ascii="宋体" w:hAnsi="宋体" w:eastAsia="宋体" w:cs="宋体"/>
                <w:color w:val="auto"/>
                <w:spacing w:val="-6"/>
                <w:kern w:val="0"/>
                <w:sz w:val="24"/>
                <w:highlight w:val="none"/>
                <w:lang w:val="en-US" w:eastAsia="zh-CN"/>
              </w:rPr>
              <w:t>6、塑粉：提供检测邻苯二甲酸酯、重金属、多环芳烃、多溴联苯（PBB）;多溴二苯醚(PBDE)等结果合格的检测报告。</w:t>
            </w:r>
          </w:p>
          <w:p>
            <w:pPr>
              <w:keepNext w:val="0"/>
              <w:keepLines w:val="0"/>
              <w:pageBreakBefore w:val="0"/>
              <w:widowControl/>
              <w:kinsoku/>
              <w:wordWrap/>
              <w:overflowPunct/>
              <w:topLinePunct w:val="0"/>
              <w:bidi w:val="0"/>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pacing w:val="-6"/>
                <w:kern w:val="0"/>
                <w:sz w:val="24"/>
                <w:highlight w:val="none"/>
              </w:rPr>
              <w:t>每提供一个种类的原材料检测报告，得</w:t>
            </w:r>
            <w:r>
              <w:rPr>
                <w:rFonts w:hint="eastAsia" w:ascii="宋体" w:hAnsi="宋体" w:eastAsia="宋体" w:cs="宋体"/>
                <w:color w:val="auto"/>
                <w:spacing w:val="-6"/>
                <w:kern w:val="0"/>
                <w:sz w:val="24"/>
                <w:highlight w:val="none"/>
                <w:lang w:val="en-US" w:eastAsia="zh-CN"/>
              </w:rPr>
              <w:t>2</w:t>
            </w:r>
            <w:r>
              <w:rPr>
                <w:rFonts w:hint="eastAsia" w:ascii="宋体" w:hAnsi="宋体" w:eastAsia="宋体" w:cs="宋体"/>
                <w:color w:val="auto"/>
                <w:spacing w:val="-6"/>
                <w:kern w:val="0"/>
                <w:sz w:val="24"/>
                <w:highlight w:val="none"/>
              </w:rPr>
              <w:t>分</w:t>
            </w:r>
            <w:r>
              <w:rPr>
                <w:rFonts w:hint="eastAsia" w:ascii="宋体" w:hAnsi="宋体" w:eastAsia="宋体" w:cs="宋体"/>
                <w:color w:val="auto"/>
                <w:sz w:val="24"/>
                <w:szCs w:val="24"/>
                <w:lang w:val="zh-CN" w:eastAsia="zh-CN"/>
              </w:rPr>
              <w:t>，检测内容不全或检测结果不符合要求的不得分</w:t>
            </w:r>
            <w:r>
              <w:rPr>
                <w:rFonts w:hint="eastAsia" w:ascii="宋体" w:hAnsi="宋体" w:eastAsia="宋体" w:cs="宋体"/>
                <w:color w:val="auto"/>
                <w:spacing w:val="-6"/>
                <w:kern w:val="0"/>
                <w:sz w:val="24"/>
                <w:highlight w:val="none"/>
              </w:rPr>
              <w:t>，最高得</w:t>
            </w:r>
            <w:r>
              <w:rPr>
                <w:rFonts w:hint="eastAsia" w:ascii="宋体" w:hAnsi="宋体" w:eastAsia="宋体" w:cs="宋体"/>
                <w:color w:val="auto"/>
                <w:spacing w:val="-6"/>
                <w:kern w:val="0"/>
                <w:sz w:val="24"/>
                <w:highlight w:val="none"/>
                <w:lang w:val="en-US" w:eastAsia="zh-CN"/>
              </w:rPr>
              <w:t>12</w:t>
            </w:r>
            <w:r>
              <w:rPr>
                <w:rFonts w:hint="eastAsia" w:ascii="宋体" w:hAnsi="宋体" w:eastAsia="宋体" w:cs="宋体"/>
                <w:color w:val="auto"/>
                <w:spacing w:val="-6"/>
                <w:kern w:val="0"/>
                <w:sz w:val="24"/>
                <w:highlight w:val="none"/>
              </w:rPr>
              <w:t>分。</w:t>
            </w:r>
            <w:r>
              <w:rPr>
                <w:rFonts w:hint="eastAsia" w:ascii="宋体" w:hAnsi="宋体" w:eastAsia="宋体" w:cs="宋体"/>
                <w:color w:val="auto"/>
                <w:sz w:val="24"/>
                <w:szCs w:val="24"/>
                <w:lang w:val="zh-CN" w:eastAsia="zh-CN"/>
              </w:rPr>
              <w:t>提供的检测报告复印件或扫描件须加盖投标人公章，要求清晰可辨，否则不得分。</w:t>
            </w:r>
          </w:p>
        </w:tc>
        <w:tc>
          <w:tcPr>
            <w:tcW w:w="107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242" w:type="dxa"/>
            <w:noWrap w:val="0"/>
            <w:vAlign w:val="center"/>
          </w:tcPr>
          <w:p>
            <w:pPr>
              <w:keepNext w:val="0"/>
              <w:keepLines w:val="0"/>
              <w:pageBreakBefore w:val="0"/>
              <w:widowControl/>
              <w:kinsoku/>
              <w:wordWrap/>
              <w:overflowPunct/>
              <w:topLinePunct w:val="0"/>
              <w:bidi w:val="0"/>
              <w:snapToGrid/>
              <w:spacing w:line="360" w:lineRule="auto"/>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成品检测报告</w:t>
            </w:r>
          </w:p>
        </w:tc>
        <w:tc>
          <w:tcPr>
            <w:tcW w:w="6306" w:type="dxa"/>
            <w:noWrap w:val="0"/>
            <w:vAlign w:val="center"/>
          </w:tcPr>
          <w:p>
            <w:pPr>
              <w:keepNext w:val="0"/>
              <w:keepLines w:val="0"/>
              <w:pageBreakBefore w:val="0"/>
              <w:widowControl/>
              <w:kinsoku/>
              <w:wordWrap/>
              <w:overflowPunct/>
              <w:topLinePunct w:val="0"/>
              <w:bidi w:val="0"/>
              <w:snapToGrid/>
              <w:spacing w:line="360" w:lineRule="auto"/>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供应商投标时提供2022年1月1日后具备CMA资质的第三方检测机构出具的与本项目参数技术要求相对应的原材料的检测报告复印件：</w:t>
            </w:r>
          </w:p>
          <w:p>
            <w:pPr>
              <w:keepNext w:val="0"/>
              <w:keepLines w:val="0"/>
              <w:pageBreakBefore w:val="0"/>
              <w:widowControl/>
              <w:kinsoku/>
              <w:wordWrap/>
              <w:overflowPunct/>
              <w:topLinePunct w:val="0"/>
              <w:bidi w:val="0"/>
              <w:snapToGrid/>
              <w:spacing w:line="360" w:lineRule="auto"/>
              <w:jc w:val="left"/>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午休课椅的检测报告：检测内容须含热释放速率峰值≤150KW，5min内放出的总能量≤30MJ,最大烟密度≤75%；软、硬质覆面（耐冷热循环、耐干热、耐液性）、金属件喷涂层（抗盐雾、抗冲击、附着力）、塑料桌/椅面理化性能（耐污染）、力学性能、有害物质限量(甲醛释放量、表面涂层有害物质、塑料件中有害物质限量）</w:t>
            </w:r>
          </w:p>
          <w:p>
            <w:pPr>
              <w:keepNext w:val="0"/>
              <w:keepLines w:val="0"/>
              <w:pageBreakBefore w:val="0"/>
              <w:widowControl/>
              <w:kinsoku/>
              <w:wordWrap/>
              <w:overflowPunct/>
              <w:topLinePunct w:val="0"/>
              <w:bidi w:val="0"/>
              <w:snapToGrid/>
              <w:spacing w:line="360" w:lineRule="auto"/>
              <w:jc w:val="left"/>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rPr>
              <w:t>课桌椅</w:t>
            </w:r>
            <w:r>
              <w:rPr>
                <w:rFonts w:hint="eastAsia" w:ascii="宋体" w:hAnsi="宋体" w:eastAsia="宋体" w:cs="宋体"/>
                <w:bCs/>
                <w:color w:val="auto"/>
                <w:sz w:val="24"/>
                <w:szCs w:val="24"/>
                <w:highlight w:val="none"/>
                <w:lang w:eastAsia="zh-CN"/>
              </w:rPr>
              <w:t>的检测报告：</w:t>
            </w:r>
            <w:r>
              <w:rPr>
                <w:rFonts w:hint="eastAsia" w:ascii="宋体" w:hAnsi="宋体" w:eastAsia="宋体" w:cs="宋体"/>
                <w:bCs/>
                <w:color w:val="auto"/>
                <w:sz w:val="24"/>
                <w:szCs w:val="24"/>
                <w:highlight w:val="none"/>
              </w:rPr>
              <w:t>检测内容包含软、硬质覆面（耐冷热循环、耐干热、耐液性/级、表面耐磨性-图案（100r）、耐光色牢度）</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金属件喷涂层（抗盐雾）、力学性能、有害物质限量、甲醛释放量、苯、甲苯、二甲苯、总挥发性有机化合物等</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default" w:ascii="宋体" w:hAnsi="宋体" w:cs="宋体"/>
                <w:b w:val="0"/>
                <w:bCs w:val="0"/>
                <w:sz w:val="24"/>
                <w:szCs w:val="24"/>
                <w:lang w:val="en-US" w:eastAsia="zh-CN"/>
              </w:rPr>
            </w:pPr>
            <w:r>
              <w:rPr>
                <w:rFonts w:hint="eastAsia" w:ascii="宋体" w:hAnsi="宋体" w:eastAsia="宋体" w:cs="宋体"/>
                <w:bCs/>
                <w:color w:val="auto"/>
                <w:sz w:val="24"/>
                <w:szCs w:val="24"/>
                <w:highlight w:val="none"/>
                <w:lang w:val="en-US" w:eastAsia="zh-CN"/>
              </w:rPr>
              <w:t>3、</w:t>
            </w:r>
            <w:r>
              <w:rPr>
                <w:rFonts w:hint="eastAsia" w:ascii="宋体" w:hAnsi="宋体" w:cs="宋体"/>
                <w:b w:val="0"/>
                <w:bCs w:val="0"/>
                <w:sz w:val="24"/>
                <w:szCs w:val="24"/>
                <w:lang w:val="en-US" w:eastAsia="zh-CN"/>
              </w:rPr>
              <w:t>卫生柜、一体柜的检测报告，检测内容须包含：甲醛释放量；抗菌性能等</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lang w:val="en-US" w:eastAsia="zh-CN"/>
              </w:rPr>
            </w:pPr>
            <w:r>
              <w:rPr>
                <w:rFonts w:hint="eastAsia" w:ascii="宋体" w:hAnsi="宋体" w:eastAsia="宋体" w:cs="宋体"/>
                <w:color w:val="auto"/>
                <w:spacing w:val="-6"/>
                <w:kern w:val="0"/>
                <w:sz w:val="24"/>
                <w:highlight w:val="none"/>
              </w:rPr>
              <w:t>每提供一个种类的</w:t>
            </w:r>
            <w:r>
              <w:rPr>
                <w:rFonts w:hint="eastAsia" w:ascii="宋体" w:hAnsi="宋体" w:eastAsia="宋体" w:cs="宋体"/>
                <w:color w:val="auto"/>
                <w:spacing w:val="-6"/>
                <w:kern w:val="0"/>
                <w:sz w:val="24"/>
                <w:highlight w:val="none"/>
                <w:lang w:eastAsia="zh-CN"/>
              </w:rPr>
              <w:t>成品</w:t>
            </w:r>
            <w:r>
              <w:rPr>
                <w:rFonts w:hint="eastAsia" w:ascii="宋体" w:hAnsi="宋体" w:eastAsia="宋体" w:cs="宋体"/>
                <w:color w:val="auto"/>
                <w:spacing w:val="-6"/>
                <w:kern w:val="0"/>
                <w:sz w:val="24"/>
                <w:highlight w:val="none"/>
              </w:rPr>
              <w:t>检测报告，得</w:t>
            </w:r>
            <w:r>
              <w:rPr>
                <w:rFonts w:hint="eastAsia" w:ascii="宋体" w:hAnsi="宋体" w:eastAsia="宋体" w:cs="宋体"/>
                <w:color w:val="auto"/>
                <w:spacing w:val="-6"/>
                <w:kern w:val="0"/>
                <w:sz w:val="24"/>
                <w:highlight w:val="none"/>
                <w:lang w:val="en-US" w:eastAsia="zh-CN"/>
              </w:rPr>
              <w:t>2</w:t>
            </w:r>
            <w:r>
              <w:rPr>
                <w:rFonts w:hint="eastAsia" w:ascii="宋体" w:hAnsi="宋体" w:eastAsia="宋体" w:cs="宋体"/>
                <w:color w:val="auto"/>
                <w:spacing w:val="-6"/>
                <w:kern w:val="0"/>
                <w:sz w:val="24"/>
                <w:highlight w:val="none"/>
              </w:rPr>
              <w:t>分</w:t>
            </w:r>
            <w:r>
              <w:rPr>
                <w:rFonts w:hint="eastAsia" w:ascii="宋体" w:hAnsi="宋体" w:eastAsia="宋体" w:cs="宋体"/>
                <w:color w:val="auto"/>
                <w:sz w:val="24"/>
                <w:szCs w:val="24"/>
                <w:lang w:val="zh-CN" w:eastAsia="zh-CN"/>
              </w:rPr>
              <w:t>，检测内容不全或检测结果不符合要求的不得分</w:t>
            </w:r>
            <w:r>
              <w:rPr>
                <w:rFonts w:hint="eastAsia" w:ascii="宋体" w:hAnsi="宋体" w:eastAsia="宋体" w:cs="宋体"/>
                <w:color w:val="auto"/>
                <w:spacing w:val="-6"/>
                <w:kern w:val="0"/>
                <w:sz w:val="24"/>
                <w:highlight w:val="none"/>
              </w:rPr>
              <w:t>，最高得</w:t>
            </w:r>
            <w:r>
              <w:rPr>
                <w:rFonts w:hint="eastAsia" w:ascii="宋体" w:hAnsi="宋体" w:eastAsia="宋体" w:cs="宋体"/>
                <w:color w:val="auto"/>
                <w:spacing w:val="-6"/>
                <w:kern w:val="0"/>
                <w:sz w:val="24"/>
                <w:highlight w:val="none"/>
                <w:lang w:val="en-US" w:eastAsia="zh-CN"/>
              </w:rPr>
              <w:t>6</w:t>
            </w:r>
            <w:r>
              <w:rPr>
                <w:rFonts w:hint="eastAsia" w:ascii="宋体" w:hAnsi="宋体" w:eastAsia="宋体" w:cs="宋体"/>
                <w:color w:val="auto"/>
                <w:spacing w:val="-6"/>
                <w:kern w:val="0"/>
                <w:sz w:val="24"/>
                <w:highlight w:val="none"/>
              </w:rPr>
              <w:t>分。</w:t>
            </w:r>
            <w:r>
              <w:rPr>
                <w:rFonts w:hint="eastAsia" w:ascii="宋体" w:hAnsi="宋体" w:eastAsia="宋体" w:cs="宋体"/>
                <w:color w:val="auto"/>
                <w:sz w:val="24"/>
                <w:szCs w:val="24"/>
                <w:lang w:val="zh-CN" w:eastAsia="zh-CN"/>
              </w:rPr>
              <w:t>提供的检测报告复印件或扫描件须加盖投标人公章，要求清晰可辨，否则不得分。</w:t>
            </w:r>
          </w:p>
        </w:tc>
        <w:tc>
          <w:tcPr>
            <w:tcW w:w="107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242" w:type="dxa"/>
            <w:noWrap w:val="0"/>
            <w:vAlign w:val="center"/>
          </w:tcPr>
          <w:p>
            <w:pPr>
              <w:keepNext w:val="0"/>
              <w:keepLines w:val="0"/>
              <w:pageBreakBefore w:val="0"/>
              <w:widowControl/>
              <w:kinsoku/>
              <w:wordWrap/>
              <w:overflowPunct/>
              <w:topLinePunct w:val="0"/>
              <w:bidi w:val="0"/>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整体</w:t>
            </w:r>
            <w:r>
              <w:rPr>
                <w:rFonts w:hint="eastAsia" w:ascii="宋体" w:hAnsi="宋体" w:eastAsia="宋体" w:cs="宋体"/>
                <w:color w:val="auto"/>
                <w:kern w:val="0"/>
                <w:sz w:val="24"/>
                <w:szCs w:val="24"/>
                <w:highlight w:val="none"/>
              </w:rPr>
              <w:t>实施规划方案</w:t>
            </w:r>
          </w:p>
        </w:tc>
        <w:tc>
          <w:tcPr>
            <w:tcW w:w="6306" w:type="dxa"/>
            <w:noWrap w:val="0"/>
            <w:vAlign w:val="center"/>
          </w:tcPr>
          <w:p>
            <w:pPr>
              <w:keepNext w:val="0"/>
              <w:keepLines w:val="0"/>
              <w:pageBreakBefore w:val="0"/>
              <w:widowControl/>
              <w:kinsoku/>
              <w:wordWrap/>
              <w:overflowPunct/>
              <w:topLinePunct w:val="0"/>
              <w:bidi w:val="0"/>
              <w:snapToGrid/>
              <w:spacing w:line="360" w:lineRule="auto"/>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bCs/>
                <w:color w:val="auto"/>
                <w:sz w:val="24"/>
                <w:szCs w:val="24"/>
                <w:highlight w:val="none"/>
              </w:rPr>
              <w:t>提出合理的项目整体实施</w:t>
            </w:r>
            <w:r>
              <w:rPr>
                <w:rFonts w:hint="eastAsia" w:ascii="宋体" w:hAnsi="宋体" w:eastAsia="宋体" w:cs="宋体"/>
                <w:bCs/>
                <w:color w:val="auto"/>
                <w:sz w:val="24"/>
                <w:szCs w:val="24"/>
                <w:highlight w:val="none"/>
                <w:lang w:eastAsia="zh-CN"/>
              </w:rPr>
              <w:t>规划</w:t>
            </w:r>
            <w:r>
              <w:rPr>
                <w:rFonts w:hint="eastAsia" w:ascii="宋体" w:hAnsi="宋体" w:eastAsia="宋体" w:cs="宋体"/>
                <w:bCs/>
                <w:color w:val="auto"/>
                <w:sz w:val="24"/>
                <w:szCs w:val="24"/>
                <w:highlight w:val="none"/>
              </w:rPr>
              <w:t>方案，能按照项目工期实施计划分解、安装实施等，并可跟踪实施。根据投标供应商提供的方案能否满足采购需求，进行打分。</w:t>
            </w:r>
          </w:p>
        </w:tc>
        <w:tc>
          <w:tcPr>
            <w:tcW w:w="107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242" w:type="dxa"/>
            <w:noWrap w:val="0"/>
            <w:vAlign w:val="center"/>
          </w:tcPr>
          <w:p>
            <w:pPr>
              <w:keepNext w:val="0"/>
              <w:keepLines w:val="0"/>
              <w:pageBreakBefore w:val="0"/>
              <w:widowControl/>
              <w:kinsoku/>
              <w:wordWrap/>
              <w:overflowPunct/>
              <w:topLinePunct w:val="0"/>
              <w:bidi w:val="0"/>
              <w:snapToGrid/>
              <w:spacing w:line="360" w:lineRule="auto"/>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品质管理管控过程</w:t>
            </w:r>
            <w:r>
              <w:rPr>
                <w:rFonts w:hint="eastAsia" w:ascii="宋体" w:hAnsi="宋体" w:eastAsia="宋体" w:cs="宋体"/>
                <w:color w:val="auto"/>
                <w:kern w:val="0"/>
                <w:sz w:val="24"/>
                <w:szCs w:val="24"/>
                <w:highlight w:val="none"/>
                <w:lang w:eastAsia="zh-CN"/>
              </w:rPr>
              <w:t>方案</w:t>
            </w:r>
          </w:p>
        </w:tc>
        <w:tc>
          <w:tcPr>
            <w:tcW w:w="6306" w:type="dxa"/>
            <w:noWrap w:val="0"/>
            <w:vAlign w:val="center"/>
          </w:tcPr>
          <w:p>
            <w:pPr>
              <w:keepNext w:val="0"/>
              <w:keepLines w:val="0"/>
              <w:pageBreakBefore w:val="0"/>
              <w:kinsoku/>
              <w:wordWrap/>
              <w:overflowPunct/>
              <w:topLinePunct w:val="0"/>
              <w:bidi w:val="0"/>
              <w:snapToGrid/>
              <w:spacing w:line="360" w:lineRule="auto"/>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highlight w:val="none"/>
              </w:rPr>
              <w:t>供应商有独立的品管部门和专门的品管人员，确保产品在生产过程中的质量控制完善。根据投标供应商提供的方案能否满足采购需求，</w:t>
            </w:r>
            <w:r>
              <w:rPr>
                <w:rFonts w:hint="eastAsia" w:ascii="宋体" w:hAnsi="宋体" w:eastAsia="宋体" w:cs="宋体"/>
                <w:bCs/>
                <w:color w:val="auto"/>
                <w:sz w:val="24"/>
                <w:szCs w:val="24"/>
                <w:highlight w:val="none"/>
              </w:rPr>
              <w:t>进行打分</w:t>
            </w:r>
            <w:r>
              <w:rPr>
                <w:rFonts w:hint="eastAsia" w:ascii="宋体" w:hAnsi="宋体" w:eastAsia="宋体" w:cs="宋体"/>
                <w:color w:val="auto"/>
                <w:sz w:val="24"/>
                <w:szCs w:val="24"/>
                <w:highlight w:val="none"/>
              </w:rPr>
              <w:t>。</w:t>
            </w:r>
          </w:p>
        </w:tc>
        <w:tc>
          <w:tcPr>
            <w:tcW w:w="107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242" w:type="dxa"/>
            <w:vMerge w:val="restart"/>
            <w:noWrap w:val="0"/>
            <w:vAlign w:val="center"/>
          </w:tcPr>
          <w:p>
            <w:pPr>
              <w:keepNext w:val="0"/>
              <w:keepLines w:val="0"/>
              <w:pageBreakBefore w:val="0"/>
              <w:widowControl/>
              <w:kinsoku/>
              <w:wordWrap/>
              <w:overflowPunct/>
              <w:topLinePunct w:val="0"/>
              <w:bidi w:val="0"/>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000000"/>
                <w:kern w:val="0"/>
                <w:sz w:val="24"/>
                <w:szCs w:val="24"/>
              </w:rPr>
              <w:t>生产安装调试实施方案</w:t>
            </w:r>
          </w:p>
        </w:tc>
        <w:tc>
          <w:tcPr>
            <w:tcW w:w="6306" w:type="dxa"/>
            <w:noWrap w:val="0"/>
            <w:vAlign w:val="center"/>
          </w:tcPr>
          <w:p>
            <w:pPr>
              <w:keepNext w:val="0"/>
              <w:keepLines w:val="0"/>
              <w:pageBreakBefore w:val="0"/>
              <w:widowControl/>
              <w:kinsoku/>
              <w:wordWrap/>
              <w:overflowPunct/>
              <w:topLinePunct w:val="0"/>
              <w:bidi w:val="0"/>
              <w:snapToGrid/>
              <w:spacing w:line="360" w:lineRule="auto"/>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w:t>
            </w:r>
            <w:r>
              <w:rPr>
                <w:rFonts w:hint="eastAsia" w:ascii="宋体" w:hAnsi="宋体" w:cs="宋体"/>
                <w:sz w:val="24"/>
                <w:szCs w:val="24"/>
                <w:lang w:eastAsia="zh-CN"/>
              </w:rPr>
              <w:t>根据</w:t>
            </w:r>
            <w:r>
              <w:rPr>
                <w:rFonts w:hint="eastAsia" w:ascii="宋体" w:hAnsi="宋体" w:eastAsia="宋体" w:cs="宋体"/>
                <w:sz w:val="24"/>
                <w:szCs w:val="24"/>
              </w:rPr>
              <w:t>供应商承诺的本项目货物交付验收时间</w:t>
            </w:r>
            <w:r>
              <w:rPr>
                <w:rFonts w:hint="eastAsia" w:ascii="宋体" w:hAnsi="宋体" w:cs="宋体"/>
                <w:bCs/>
                <w:sz w:val="24"/>
                <w:szCs w:val="24"/>
                <w:lang w:eastAsia="zh-CN"/>
              </w:rPr>
              <w:t>进行</w:t>
            </w:r>
            <w:r>
              <w:rPr>
                <w:rFonts w:hint="eastAsia" w:ascii="宋体" w:hAnsi="宋体" w:eastAsia="宋体" w:cs="宋体"/>
                <w:bCs/>
                <w:sz w:val="24"/>
                <w:szCs w:val="24"/>
              </w:rPr>
              <w:t>打分</w:t>
            </w:r>
            <w:r>
              <w:rPr>
                <w:rFonts w:hint="eastAsia" w:ascii="宋体" w:hAnsi="宋体" w:eastAsia="宋体" w:cs="宋体"/>
                <w:sz w:val="24"/>
                <w:szCs w:val="24"/>
              </w:rPr>
              <w:t>，得0-</w:t>
            </w:r>
            <w:r>
              <w:rPr>
                <w:rFonts w:hint="eastAsia" w:ascii="宋体" w:hAnsi="宋体" w:cs="宋体"/>
                <w:sz w:val="24"/>
                <w:szCs w:val="24"/>
                <w:lang w:val="en-US" w:eastAsia="zh-CN"/>
              </w:rPr>
              <w:t>3</w:t>
            </w:r>
            <w:r>
              <w:rPr>
                <w:rFonts w:hint="eastAsia" w:ascii="宋体" w:hAnsi="宋体" w:eastAsia="宋体" w:cs="宋体"/>
                <w:sz w:val="24"/>
                <w:szCs w:val="24"/>
              </w:rPr>
              <w:t>分</w:t>
            </w:r>
            <w:r>
              <w:rPr>
                <w:rFonts w:hint="eastAsia" w:ascii="宋体" w:hAnsi="宋体" w:cs="宋体"/>
                <w:sz w:val="24"/>
                <w:szCs w:val="24"/>
                <w:lang w:eastAsia="zh-CN"/>
              </w:rPr>
              <w:t>。</w:t>
            </w:r>
          </w:p>
        </w:tc>
        <w:tc>
          <w:tcPr>
            <w:tcW w:w="107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242" w:type="dxa"/>
            <w:vMerge w:val="continue"/>
            <w:noWrap w:val="0"/>
            <w:vAlign w:val="center"/>
          </w:tcPr>
          <w:p>
            <w:pPr>
              <w:keepNext w:val="0"/>
              <w:keepLines w:val="0"/>
              <w:pageBreakBefore w:val="0"/>
              <w:widowControl/>
              <w:kinsoku/>
              <w:wordWrap/>
              <w:overflowPunct/>
              <w:topLinePunct w:val="0"/>
              <w:bidi w:val="0"/>
              <w:snapToGrid/>
              <w:spacing w:line="360" w:lineRule="auto"/>
              <w:jc w:val="center"/>
              <w:textAlignment w:val="auto"/>
              <w:rPr>
                <w:rFonts w:hint="eastAsia" w:ascii="宋体" w:hAnsi="宋体" w:eastAsia="宋体" w:cs="宋体"/>
                <w:color w:val="000000"/>
                <w:kern w:val="0"/>
                <w:sz w:val="24"/>
                <w:szCs w:val="24"/>
              </w:rPr>
            </w:pPr>
          </w:p>
        </w:tc>
        <w:tc>
          <w:tcPr>
            <w:tcW w:w="6306" w:type="dxa"/>
            <w:noWrap w:val="0"/>
            <w:vAlign w:val="center"/>
          </w:tcPr>
          <w:p>
            <w:pPr>
              <w:keepNext w:val="0"/>
              <w:keepLines w:val="0"/>
              <w:pageBreakBefore w:val="0"/>
              <w:widowControl/>
              <w:kinsoku/>
              <w:wordWrap/>
              <w:overflowPunct/>
              <w:topLinePunct w:val="0"/>
              <w:bidi w:val="0"/>
              <w:snapToGrid/>
              <w:spacing w:line="360" w:lineRule="auto"/>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sz w:val="24"/>
                <w:szCs w:val="24"/>
              </w:rPr>
              <w:t>2</w:t>
            </w:r>
            <w:r>
              <w:rPr>
                <w:rFonts w:hint="eastAsia" w:ascii="宋体" w:hAnsi="宋体" w:eastAsia="宋体" w:cs="宋体"/>
                <w:sz w:val="24"/>
                <w:szCs w:val="24"/>
                <w:lang w:val="en-US" w:eastAsia="zh-CN"/>
              </w:rPr>
              <w:t>.</w:t>
            </w:r>
            <w:r>
              <w:rPr>
                <w:rFonts w:hint="eastAsia" w:ascii="宋体" w:hAnsi="宋体" w:cs="宋体"/>
                <w:sz w:val="24"/>
                <w:szCs w:val="24"/>
                <w:lang w:eastAsia="zh-CN"/>
              </w:rPr>
              <w:t>根据</w:t>
            </w:r>
            <w:r>
              <w:rPr>
                <w:rFonts w:hint="eastAsia" w:ascii="宋体" w:hAnsi="宋体" w:eastAsia="宋体" w:cs="宋体"/>
                <w:sz w:val="24"/>
                <w:szCs w:val="24"/>
              </w:rPr>
              <w:t>供应商承诺的本项目货物安装调试方案进行</w:t>
            </w:r>
            <w:r>
              <w:rPr>
                <w:rFonts w:hint="eastAsia" w:ascii="宋体" w:hAnsi="宋体" w:eastAsia="宋体" w:cs="宋体"/>
                <w:bCs/>
                <w:sz w:val="24"/>
                <w:szCs w:val="24"/>
              </w:rPr>
              <w:t>打分</w:t>
            </w:r>
            <w:r>
              <w:rPr>
                <w:rFonts w:hint="eastAsia" w:ascii="宋体" w:hAnsi="宋体" w:eastAsia="宋体" w:cs="宋体"/>
                <w:sz w:val="24"/>
                <w:szCs w:val="24"/>
              </w:rPr>
              <w:t>，得0-</w:t>
            </w:r>
            <w:r>
              <w:rPr>
                <w:rFonts w:hint="eastAsia" w:ascii="宋体" w:hAnsi="宋体" w:cs="宋体"/>
                <w:sz w:val="24"/>
                <w:szCs w:val="24"/>
                <w:lang w:val="en-US" w:eastAsia="zh-CN"/>
              </w:rPr>
              <w:t>3</w:t>
            </w:r>
            <w:r>
              <w:rPr>
                <w:rFonts w:hint="eastAsia" w:ascii="宋体" w:hAnsi="宋体" w:eastAsia="宋体" w:cs="宋体"/>
                <w:sz w:val="24"/>
                <w:szCs w:val="24"/>
              </w:rPr>
              <w:t>分</w:t>
            </w:r>
            <w:r>
              <w:rPr>
                <w:rFonts w:hint="eastAsia" w:ascii="宋体" w:hAnsi="宋体" w:eastAsia="宋体" w:cs="宋体"/>
                <w:sz w:val="24"/>
                <w:szCs w:val="24"/>
                <w:lang w:eastAsia="zh-CN"/>
              </w:rPr>
              <w:t>。</w:t>
            </w:r>
          </w:p>
        </w:tc>
        <w:tc>
          <w:tcPr>
            <w:tcW w:w="107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trPr>
        <w:tc>
          <w:tcPr>
            <w:tcW w:w="1242" w:type="dxa"/>
            <w:vMerge w:val="restart"/>
            <w:noWrap w:val="0"/>
            <w:vAlign w:val="center"/>
          </w:tcPr>
          <w:p>
            <w:pPr>
              <w:keepNext w:val="0"/>
              <w:keepLines w:val="0"/>
              <w:pageBreakBefore w:val="0"/>
              <w:widowControl/>
              <w:kinsoku/>
              <w:wordWrap/>
              <w:overflowPunct/>
              <w:topLinePunct w:val="0"/>
              <w:bidi w:val="0"/>
              <w:snapToGrid/>
              <w:spacing w:line="360" w:lineRule="auto"/>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rPr>
              <w:t>售后服务</w:t>
            </w:r>
            <w:r>
              <w:rPr>
                <w:rFonts w:hint="eastAsia" w:ascii="宋体" w:hAnsi="宋体" w:eastAsia="宋体" w:cs="宋体"/>
                <w:color w:val="auto"/>
                <w:kern w:val="0"/>
                <w:sz w:val="24"/>
                <w:szCs w:val="24"/>
                <w:lang w:eastAsia="zh-CN"/>
              </w:rPr>
              <w:t>方案</w:t>
            </w:r>
          </w:p>
        </w:tc>
        <w:tc>
          <w:tcPr>
            <w:tcW w:w="6306" w:type="dxa"/>
            <w:noWrap w:val="0"/>
            <w:vAlign w:val="center"/>
          </w:tcPr>
          <w:p>
            <w:pPr>
              <w:keepNext w:val="0"/>
              <w:keepLines w:val="0"/>
              <w:pageBreakBefore w:val="0"/>
              <w:widowControl/>
              <w:kinsoku/>
              <w:wordWrap/>
              <w:overflowPunct/>
              <w:topLinePunct w:val="0"/>
              <w:bidi w:val="0"/>
              <w:snapToGrid/>
              <w:spacing w:line="360" w:lineRule="auto"/>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在满足产品</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年质量保证期的基础上，每增加一年得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分，最高得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分</w:t>
            </w:r>
            <w:r>
              <w:rPr>
                <w:rFonts w:hint="eastAsia" w:ascii="宋体" w:hAnsi="宋体" w:cs="宋体"/>
                <w:color w:val="auto"/>
                <w:sz w:val="24"/>
                <w:szCs w:val="24"/>
                <w:lang w:eastAsia="zh-CN"/>
              </w:rPr>
              <w:t>。</w:t>
            </w:r>
          </w:p>
        </w:tc>
        <w:tc>
          <w:tcPr>
            <w:tcW w:w="107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242" w:type="dxa"/>
            <w:vMerge w:val="continue"/>
            <w:noWrap w:val="0"/>
            <w:vAlign w:val="center"/>
          </w:tcPr>
          <w:p>
            <w:pPr>
              <w:keepNext w:val="0"/>
              <w:keepLines w:val="0"/>
              <w:pageBreakBefore w:val="0"/>
              <w:widowControl/>
              <w:kinsoku/>
              <w:wordWrap/>
              <w:overflowPunct/>
              <w:topLinePunct w:val="0"/>
              <w:bidi w:val="0"/>
              <w:snapToGrid/>
              <w:spacing w:line="360" w:lineRule="auto"/>
              <w:jc w:val="center"/>
              <w:textAlignment w:val="auto"/>
              <w:rPr>
                <w:rFonts w:hint="eastAsia" w:ascii="宋体" w:hAnsi="宋体" w:eastAsia="宋体" w:cs="宋体"/>
                <w:color w:val="auto"/>
                <w:kern w:val="0"/>
                <w:sz w:val="24"/>
                <w:szCs w:val="24"/>
              </w:rPr>
            </w:pPr>
          </w:p>
        </w:tc>
        <w:tc>
          <w:tcPr>
            <w:tcW w:w="6306" w:type="dxa"/>
            <w:noWrap w:val="0"/>
            <w:vAlign w:val="center"/>
          </w:tcPr>
          <w:p>
            <w:pPr>
              <w:keepNext w:val="0"/>
              <w:keepLines w:val="0"/>
              <w:pageBreakBefore w:val="0"/>
              <w:widowControl/>
              <w:kinsoku/>
              <w:wordWrap/>
              <w:overflowPunct/>
              <w:topLinePunct w:val="0"/>
              <w:bidi w:val="0"/>
              <w:snapToGri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提供详细完整的“三包”措施及售后服务方案（包括</w:t>
            </w:r>
            <w:r>
              <w:rPr>
                <w:rFonts w:hint="eastAsia" w:ascii="宋体" w:hAnsi="宋体" w:cs="宋体"/>
                <w:color w:val="auto"/>
                <w:sz w:val="24"/>
                <w:szCs w:val="24"/>
                <w:lang w:eastAsia="zh-CN"/>
              </w:rPr>
              <w:t>售后</w:t>
            </w:r>
            <w:r>
              <w:rPr>
                <w:rFonts w:hint="eastAsia" w:ascii="宋体" w:hAnsi="宋体" w:eastAsia="宋体" w:cs="宋体"/>
                <w:color w:val="auto"/>
                <w:sz w:val="24"/>
                <w:szCs w:val="24"/>
              </w:rPr>
              <w:t>服务措施、产品质量保证、回访、</w:t>
            </w:r>
            <w:r>
              <w:rPr>
                <w:rFonts w:hint="eastAsia" w:ascii="宋体" w:hAnsi="宋体" w:cs="宋体"/>
                <w:color w:val="auto"/>
                <w:sz w:val="24"/>
                <w:szCs w:val="24"/>
                <w:lang w:eastAsia="zh-CN"/>
              </w:rPr>
              <w:t>维修、</w:t>
            </w:r>
            <w:r>
              <w:rPr>
                <w:rFonts w:hint="eastAsia" w:ascii="宋体" w:hAnsi="宋体" w:eastAsia="宋体" w:cs="宋体"/>
                <w:color w:val="auto"/>
                <w:sz w:val="24"/>
                <w:szCs w:val="24"/>
              </w:rPr>
              <w:t>技术培训等），根据供应商投标时提供的方案能否满足采购需求</w:t>
            </w:r>
            <w:r>
              <w:rPr>
                <w:rFonts w:hint="eastAsia" w:ascii="宋体" w:hAnsi="宋体" w:eastAsia="宋体" w:cs="宋体"/>
                <w:bCs/>
                <w:color w:val="auto"/>
                <w:sz w:val="24"/>
                <w:szCs w:val="24"/>
              </w:rPr>
              <w:t>进行打分</w:t>
            </w:r>
            <w:r>
              <w:rPr>
                <w:rFonts w:hint="eastAsia" w:ascii="宋体" w:hAnsi="宋体" w:eastAsia="宋体" w:cs="宋体"/>
                <w:color w:val="auto"/>
                <w:sz w:val="24"/>
                <w:szCs w:val="24"/>
              </w:rPr>
              <w:t>，得0-</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分</w:t>
            </w:r>
            <w:r>
              <w:rPr>
                <w:rFonts w:hint="eastAsia" w:ascii="宋体" w:hAnsi="宋体" w:cs="宋体"/>
                <w:color w:val="auto"/>
                <w:sz w:val="24"/>
                <w:szCs w:val="24"/>
                <w:lang w:eastAsia="zh-CN"/>
              </w:rPr>
              <w:t>。</w:t>
            </w:r>
          </w:p>
        </w:tc>
        <w:tc>
          <w:tcPr>
            <w:tcW w:w="107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242" w:type="dxa"/>
            <w:noWrap w:val="0"/>
            <w:vAlign w:val="center"/>
          </w:tcPr>
          <w:p>
            <w:pPr>
              <w:keepNext w:val="0"/>
              <w:keepLines w:val="0"/>
              <w:pageBreakBefore w:val="0"/>
              <w:widowControl/>
              <w:kinsoku/>
              <w:wordWrap/>
              <w:overflowPunct/>
              <w:topLinePunct w:val="0"/>
              <w:bidi w:val="0"/>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样品实样</w:t>
            </w:r>
          </w:p>
        </w:tc>
        <w:tc>
          <w:tcPr>
            <w:tcW w:w="630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zh-CN" w:eastAsia="zh-CN"/>
              </w:rPr>
              <w:t>符合招标文件的要求上，根据投标供应商提供的样品进行评分，</w:t>
            </w:r>
            <w:r>
              <w:rPr>
                <w:rFonts w:hint="eastAsia" w:ascii="宋体" w:hAnsi="宋体" w:eastAsia="宋体" w:cs="宋体"/>
                <w:b/>
                <w:bCs/>
                <w:color w:val="auto"/>
                <w:sz w:val="24"/>
                <w:szCs w:val="24"/>
                <w:highlight w:val="none"/>
                <w:lang w:val="zh-CN" w:eastAsia="zh-CN"/>
              </w:rPr>
              <w:t>样品为</w:t>
            </w:r>
            <w:r>
              <w:rPr>
                <w:rFonts w:hint="eastAsia" w:ascii="宋体" w:hAnsi="宋体" w:cs="宋体"/>
                <w:b/>
                <w:bCs/>
                <w:color w:val="auto"/>
                <w:sz w:val="24"/>
                <w:szCs w:val="24"/>
                <w:highlight w:val="none"/>
                <w:lang w:val="zh-CN" w:eastAsia="zh-CN"/>
              </w:rPr>
              <w:t>：午休课桌椅一套、序号</w:t>
            </w:r>
            <w:r>
              <w:rPr>
                <w:rFonts w:hint="eastAsia" w:ascii="宋体" w:hAnsi="宋体" w:cs="宋体"/>
                <w:b/>
                <w:bCs/>
                <w:color w:val="auto"/>
                <w:sz w:val="24"/>
                <w:szCs w:val="24"/>
                <w:highlight w:val="none"/>
                <w:lang w:val="en-US" w:eastAsia="zh-CN"/>
              </w:rPr>
              <w:t>1、2。</w:t>
            </w:r>
            <w:r>
              <w:rPr>
                <w:rFonts w:hint="eastAsia" w:ascii="宋体" w:hAnsi="宋体" w:cs="宋体"/>
                <w:b w:val="0"/>
                <w:bCs/>
                <w:color w:val="auto"/>
                <w:sz w:val="24"/>
                <w:szCs w:val="24"/>
                <w:highlight w:val="none"/>
                <w:lang w:val="en-US" w:eastAsia="zh-CN"/>
              </w:rPr>
              <w:t>注：</w:t>
            </w:r>
            <w:r>
              <w:rPr>
                <w:rFonts w:hint="eastAsia" w:ascii="宋体" w:hAnsi="宋体" w:eastAsia="宋体" w:cs="宋体"/>
                <w:b w:val="0"/>
                <w:bCs/>
                <w:color w:val="auto"/>
                <w:sz w:val="24"/>
                <w:szCs w:val="24"/>
                <w:highlight w:val="none"/>
                <w:lang w:val="en-US" w:eastAsia="zh-CN"/>
              </w:rPr>
              <w:t>样品于投标截止时间前送至</w:t>
            </w:r>
            <w:r>
              <w:rPr>
                <w:rFonts w:hint="eastAsia" w:ascii="宋体" w:hAnsi="宋体" w:cs="宋体"/>
                <w:b w:val="0"/>
                <w:bCs/>
                <w:color w:val="auto"/>
                <w:sz w:val="24"/>
                <w:szCs w:val="24"/>
                <w:highlight w:val="none"/>
                <w:lang w:val="en-US" w:eastAsia="zh-CN"/>
              </w:rPr>
              <w:t>指定</w:t>
            </w:r>
            <w:r>
              <w:rPr>
                <w:rFonts w:hint="eastAsia" w:ascii="宋体" w:hAnsi="宋体" w:eastAsia="宋体" w:cs="宋体"/>
                <w:b w:val="0"/>
                <w:bCs/>
                <w:color w:val="auto"/>
                <w:sz w:val="24"/>
                <w:szCs w:val="24"/>
                <w:highlight w:val="none"/>
                <w:lang w:val="en-US" w:eastAsia="zh-CN"/>
              </w:rPr>
              <w:t>地点安装调试完毕，</w:t>
            </w:r>
            <w:r>
              <w:rPr>
                <w:rFonts w:hint="eastAsia" w:ascii="宋体" w:hAnsi="宋体" w:cs="宋体"/>
                <w:b w:val="0"/>
                <w:bCs/>
                <w:color w:val="auto"/>
                <w:sz w:val="24"/>
                <w:szCs w:val="24"/>
                <w:highlight w:val="none"/>
                <w:lang w:val="zh-CN"/>
              </w:rPr>
              <w:t>未递交样品或样品数量不全的，其投标文件将被视为无效。</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val="0"/>
                <w:bCs w:val="0"/>
                <w:sz w:val="24"/>
                <w:szCs w:val="24"/>
                <w:lang w:val="zh-CN" w:eastAsia="zh-CN"/>
              </w:rPr>
            </w:pPr>
            <w:r>
              <w:rPr>
                <w:rFonts w:hint="eastAsia" w:ascii="宋体" w:hAnsi="宋体" w:eastAsia="宋体" w:cs="宋体"/>
                <w:b w:val="0"/>
                <w:bCs w:val="0"/>
                <w:sz w:val="24"/>
                <w:szCs w:val="24"/>
                <w:lang w:val="zh-CN" w:eastAsia="zh-CN"/>
              </w:rPr>
              <w:t>要求如下：</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1.外观：根据样品的主要尺寸与招标文件要求的契合程度、</w:t>
            </w:r>
            <w:r>
              <w:rPr>
                <w:rFonts w:hint="default" w:ascii="宋体" w:hAnsi="宋体" w:eastAsia="宋体" w:cs="宋体"/>
                <w:sz w:val="24"/>
                <w:szCs w:val="24"/>
                <w:highlight w:val="none"/>
                <w:lang w:val="en-US" w:eastAsia="zh-CN"/>
              </w:rPr>
              <w:t>外观造型、内部结构、特色设计、颜色搭配等方面综合打分</w:t>
            </w:r>
            <w:r>
              <w:rPr>
                <w:rFonts w:hint="eastAsia" w:ascii="宋体" w:hAnsi="宋体" w:eastAsia="宋体" w:cs="宋体"/>
                <w:sz w:val="24"/>
                <w:szCs w:val="24"/>
                <w:highlight w:val="none"/>
                <w:lang w:val="en-US" w:eastAsia="zh-CN"/>
              </w:rPr>
              <w:t>。</w:t>
            </w:r>
            <w:r>
              <w:rPr>
                <w:rFonts w:hint="eastAsia" w:ascii="宋体" w:hAnsi="宋体" w:eastAsia="宋体" w:cs="宋体"/>
                <w:b w:val="0"/>
                <w:bCs w:val="0"/>
                <w:sz w:val="24"/>
                <w:szCs w:val="24"/>
                <w:lang w:val="en-US" w:eastAsia="zh-CN"/>
              </w:rPr>
              <w:t>0-3分</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2.使用功能：根据样品的使用舒适度、符合人体工学性能设计、功能的合理性是否满足使用需求的情况由评委进行综合打分。0-3分</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3.制作工艺：根据样品连接工艺、整体结构牢固度、部件拼接严密平整性、棱边棱角倒圆倒角安全美观性由评委进行综合打分。0-3分</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4.喷涂工艺：根据样品喷涂的平整、光滑、纹理清晰、层次感分明、质感好坏、有无刺鼻异味缺陷的情况由评委进行综合打分。0-3分</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b w:val="0"/>
                <w:bCs w:val="0"/>
                <w:sz w:val="24"/>
                <w:szCs w:val="24"/>
                <w:lang w:val="en-US" w:eastAsia="zh-CN"/>
              </w:rPr>
              <w:t>5.材料要求：根据样品所选用材料、连接件、桌椅钢架、五金、脚套材质等原材料的材质等情况由评委进行综合打分。0-3分</w:t>
            </w:r>
          </w:p>
        </w:tc>
        <w:tc>
          <w:tcPr>
            <w:tcW w:w="107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62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color w:val="auto"/>
                <w:sz w:val="24"/>
                <w:szCs w:val="24"/>
                <w:highlight w:val="none"/>
              </w:rPr>
              <w:t>商务、</w:t>
            </w:r>
            <w:r>
              <w:rPr>
                <w:rFonts w:hint="eastAsia" w:ascii="宋体" w:hAnsi="宋体" w:eastAsia="宋体" w:cs="宋体"/>
                <w:b/>
                <w:bCs/>
                <w:color w:val="auto"/>
                <w:sz w:val="24"/>
                <w:szCs w:val="24"/>
                <w:highlight w:val="none"/>
              </w:rPr>
              <w:t>资信及其他分（</w:t>
            </w:r>
            <w:r>
              <w:rPr>
                <w:rFonts w:hint="eastAsia" w:ascii="宋体" w:hAnsi="宋体" w:cs="宋体"/>
                <w:b/>
                <w:bCs/>
                <w:color w:val="auto"/>
                <w:sz w:val="24"/>
                <w:szCs w:val="24"/>
                <w:highlight w:val="none"/>
                <w:lang w:val="en-US" w:eastAsia="zh-CN"/>
              </w:rPr>
              <w:t>10</w:t>
            </w:r>
            <w:r>
              <w:rPr>
                <w:rFonts w:hint="eastAsia" w:ascii="宋体" w:hAnsi="宋体" w:eastAsia="宋体" w:cs="宋体"/>
                <w:b/>
                <w:bCs/>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42" w:type="dxa"/>
            <w:noWrap w:val="0"/>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bCs/>
                <w:color w:val="auto"/>
                <w:spacing w:val="-4"/>
                <w:kern w:val="2"/>
                <w:sz w:val="24"/>
                <w:szCs w:val="24"/>
                <w:highlight w:val="none"/>
                <w:lang w:val="en-US" w:eastAsia="zh-CN" w:bidi="ar-SA"/>
              </w:rPr>
            </w:pPr>
            <w:r>
              <w:rPr>
                <w:rFonts w:hint="eastAsia" w:ascii="宋体" w:hAnsi="宋体"/>
                <w:kern w:val="0"/>
                <w:sz w:val="24"/>
                <w:szCs w:val="24"/>
              </w:rPr>
              <w:t>认证证书</w:t>
            </w:r>
          </w:p>
        </w:tc>
        <w:tc>
          <w:tcPr>
            <w:tcW w:w="6306" w:type="dxa"/>
            <w:noWrap w:val="0"/>
            <w:vAlign w:val="center"/>
          </w:tcPr>
          <w:p>
            <w:pPr>
              <w:keepNext w:val="0"/>
              <w:keepLines w:val="0"/>
              <w:pageBreakBefore w:val="0"/>
              <w:widowControl/>
              <w:kinsoku/>
              <w:wordWrap/>
              <w:overflowPunct/>
              <w:topLinePunct w:val="0"/>
              <w:autoSpaceDE/>
              <w:autoSpaceDN/>
              <w:bidi w:val="0"/>
              <w:adjustRightInd/>
              <w:snapToGrid/>
              <w:spacing w:line="360" w:lineRule="auto"/>
              <w:jc w:val="left"/>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olor w:val="000000"/>
                <w:kern w:val="0"/>
                <w:sz w:val="24"/>
                <w:szCs w:val="24"/>
                <w:highlight w:val="none"/>
              </w:rPr>
              <w:t>供应商具有有效期内的①ISO9001质量管理体系认证证书、②ISO14001环境管理体系认证证书、③ISO45001职业健康安全管理体系认证证书或GB/T 28001职业健康安全管理体系认证证书、④CQC中国环保产品认证证书、⑤环保卫士认证证书，每张证书得1分，最高得5分。（以上材料投标时提供证书复印件）</w:t>
            </w:r>
          </w:p>
        </w:tc>
        <w:tc>
          <w:tcPr>
            <w:tcW w:w="1074" w:type="dxa"/>
            <w:noWrap w:val="0"/>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bCs/>
                <w:color w:val="auto"/>
                <w:spacing w:val="-4"/>
                <w:kern w:val="2"/>
                <w:sz w:val="24"/>
                <w:szCs w:val="24"/>
                <w:highlight w:val="none"/>
                <w:lang w:val="en-US" w:eastAsia="zh-CN" w:bidi="ar-SA"/>
              </w:rPr>
            </w:pPr>
            <w:r>
              <w:rPr>
                <w:rFonts w:hint="eastAsia" w:ascii="宋体" w:hAnsi="宋体"/>
                <w:kern w:val="0"/>
                <w:sz w:val="24"/>
                <w:szCs w:val="24"/>
                <w:lang w:val="en-US" w:eastAsia="zh-CN"/>
              </w:rPr>
              <w:t>0-</w:t>
            </w:r>
            <w:r>
              <w:rPr>
                <w:rFonts w:hint="eastAsia" w:ascii="宋体" w:hAnsi="宋体"/>
                <w:kern w:val="0"/>
                <w:sz w:val="24"/>
                <w:szCs w:val="24"/>
              </w:rPr>
              <w:t>5</w:t>
            </w:r>
            <w:r>
              <w:rPr>
                <w:rFonts w:hint="eastAsia" w:ascii="宋体" w:hAnsi="宋体"/>
                <w:kern w:val="0"/>
                <w:sz w:val="24"/>
                <w:szCs w:val="24"/>
                <w:lang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42" w:type="dxa"/>
            <w:noWrap w:val="0"/>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kern w:val="0"/>
                <w:sz w:val="24"/>
                <w:szCs w:val="24"/>
              </w:rPr>
              <w:t>环境标志产品评审</w:t>
            </w:r>
          </w:p>
        </w:tc>
        <w:tc>
          <w:tcPr>
            <w:tcW w:w="6306" w:type="dxa"/>
            <w:noWrap w:val="0"/>
            <w:vAlign w:val="center"/>
          </w:tcPr>
          <w:p>
            <w:pPr>
              <w:keepNext w:val="0"/>
              <w:keepLines w:val="0"/>
              <w:pageBreakBefore w:val="0"/>
              <w:widowControl/>
              <w:kinsoku/>
              <w:wordWrap/>
              <w:overflowPunct/>
              <w:topLinePunct w:val="0"/>
              <w:autoSpaceDE/>
              <w:autoSpaceDN/>
              <w:bidi w:val="0"/>
              <w:adjustRightInd/>
              <w:snapToGrid/>
              <w:spacing w:line="360" w:lineRule="auto"/>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color w:val="000000"/>
                <w:kern w:val="0"/>
                <w:sz w:val="24"/>
                <w:szCs w:val="24"/>
                <w:highlight w:val="none"/>
                <w:lang w:eastAsia="zh-CN"/>
              </w:rPr>
              <w:t>具有</w:t>
            </w:r>
            <w:r>
              <w:rPr>
                <w:rFonts w:hint="eastAsia" w:ascii="宋体" w:hAnsi="宋体"/>
                <w:color w:val="000000"/>
                <w:kern w:val="0"/>
                <w:sz w:val="24"/>
                <w:szCs w:val="24"/>
                <w:highlight w:val="none"/>
              </w:rPr>
              <w:t>指定认证机构出具的</w:t>
            </w:r>
            <w:r>
              <w:rPr>
                <w:rFonts w:hint="eastAsia" w:ascii="宋体" w:hAnsi="宋体"/>
                <w:color w:val="000000"/>
                <w:kern w:val="0"/>
                <w:sz w:val="24"/>
                <w:szCs w:val="24"/>
                <w:highlight w:val="none"/>
                <w:lang w:eastAsia="zh-CN"/>
              </w:rPr>
              <w:t>有效的</w:t>
            </w:r>
            <w:r>
              <w:rPr>
                <w:rFonts w:hint="eastAsia" w:ascii="宋体" w:hAnsi="宋体"/>
                <w:color w:val="000000"/>
                <w:kern w:val="0"/>
                <w:sz w:val="24"/>
                <w:szCs w:val="24"/>
                <w:highlight w:val="none"/>
              </w:rPr>
              <w:t>环境标志产品认证证书</w:t>
            </w:r>
            <w:r>
              <w:rPr>
                <w:rFonts w:hint="eastAsia" w:ascii="宋体" w:hAnsi="宋体"/>
                <w:color w:val="000000"/>
                <w:kern w:val="0"/>
                <w:sz w:val="24"/>
                <w:szCs w:val="24"/>
                <w:highlight w:val="none"/>
                <w:lang w:eastAsia="zh-CN"/>
              </w:rPr>
              <w:t>，认证包含：</w:t>
            </w:r>
            <w:r>
              <w:rPr>
                <w:rFonts w:hint="eastAsia" w:ascii="宋体" w:hAnsi="宋体" w:eastAsia="宋体" w:cs="Times New Roman"/>
                <w:color w:val="000000"/>
                <w:kern w:val="0"/>
                <w:sz w:val="24"/>
                <w:szCs w:val="24"/>
                <w:highlight w:val="none"/>
              </w:rPr>
              <w:t>（钢木家具：钢木台</w:t>
            </w:r>
            <w:r>
              <w:rPr>
                <w:rFonts w:hint="eastAsia" w:ascii="宋体" w:hAnsi="宋体" w:eastAsia="宋体" w:cs="Times New Roman"/>
                <w:color w:val="000000"/>
                <w:kern w:val="0"/>
                <w:sz w:val="24"/>
                <w:szCs w:val="24"/>
                <w:highlight w:val="none"/>
                <w:lang w:eastAsia="zh-CN"/>
              </w:rPr>
              <w:t>、</w:t>
            </w:r>
            <w:r>
              <w:rPr>
                <w:rFonts w:hint="eastAsia" w:ascii="宋体" w:hAnsi="宋体" w:eastAsia="宋体" w:cs="Times New Roman"/>
                <w:color w:val="000000"/>
                <w:kern w:val="0"/>
                <w:sz w:val="24"/>
                <w:szCs w:val="24"/>
                <w:highlight w:val="none"/>
              </w:rPr>
              <w:t>桌类-课桌</w:t>
            </w:r>
            <w:r>
              <w:rPr>
                <w:rFonts w:hint="eastAsia" w:ascii="宋体" w:hAnsi="宋体" w:eastAsia="宋体" w:cs="Times New Roman"/>
                <w:color w:val="000000"/>
                <w:kern w:val="0"/>
                <w:sz w:val="24"/>
                <w:szCs w:val="24"/>
                <w:highlight w:val="none"/>
                <w:lang w:eastAsia="zh-CN"/>
              </w:rPr>
              <w:t>；其他家具：</w:t>
            </w:r>
            <w:r>
              <w:rPr>
                <w:rFonts w:hint="eastAsia" w:ascii="宋体" w:hAnsi="宋体" w:eastAsia="宋体" w:cs="Times New Roman"/>
                <w:color w:val="000000"/>
                <w:kern w:val="0"/>
                <w:sz w:val="24"/>
                <w:szCs w:val="24"/>
                <w:highlight w:val="none"/>
              </w:rPr>
              <w:t>钢塑椅凳类</w:t>
            </w:r>
            <w:r>
              <w:rPr>
                <w:rFonts w:hint="eastAsia" w:ascii="宋体" w:hAnsi="宋体" w:eastAsia="宋体" w:cs="Times New Roman"/>
                <w:color w:val="000000"/>
                <w:kern w:val="0"/>
                <w:sz w:val="24"/>
                <w:szCs w:val="24"/>
                <w:highlight w:val="none"/>
                <w:lang w:val="en-US" w:eastAsia="zh-CN"/>
              </w:rPr>
              <w:t>-课椅</w:t>
            </w:r>
            <w:r>
              <w:rPr>
                <w:rFonts w:hint="eastAsia" w:ascii="宋体" w:hAnsi="宋体" w:eastAsia="宋体" w:cs="Times New Roman"/>
                <w:color w:val="000000"/>
                <w:kern w:val="0"/>
                <w:sz w:val="24"/>
                <w:szCs w:val="24"/>
                <w:highlight w:val="none"/>
              </w:rPr>
              <w:t>），每个</w:t>
            </w:r>
            <w:r>
              <w:rPr>
                <w:rFonts w:hint="eastAsia" w:ascii="宋体" w:hAnsi="宋体" w:eastAsia="宋体" w:cs="Times New Roman"/>
                <w:color w:val="000000"/>
                <w:kern w:val="0"/>
                <w:sz w:val="24"/>
                <w:szCs w:val="24"/>
                <w:highlight w:val="none"/>
                <w:lang w:eastAsia="zh-CN"/>
              </w:rPr>
              <w:t>认证单元</w:t>
            </w:r>
            <w:r>
              <w:rPr>
                <w:rFonts w:hint="eastAsia" w:ascii="宋体" w:hAnsi="宋体" w:eastAsia="宋体" w:cs="Times New Roman"/>
                <w:color w:val="000000"/>
                <w:kern w:val="0"/>
                <w:sz w:val="24"/>
                <w:szCs w:val="24"/>
                <w:highlight w:val="none"/>
              </w:rPr>
              <w:t>得1分，最高得</w:t>
            </w:r>
            <w:r>
              <w:rPr>
                <w:rFonts w:hint="eastAsia" w:ascii="宋体" w:hAnsi="宋体" w:eastAsia="宋体" w:cs="Times New Roman"/>
                <w:color w:val="000000"/>
                <w:kern w:val="0"/>
                <w:sz w:val="24"/>
                <w:szCs w:val="24"/>
                <w:highlight w:val="none"/>
                <w:lang w:val="en-US" w:eastAsia="zh-CN"/>
              </w:rPr>
              <w:t>2</w:t>
            </w:r>
            <w:r>
              <w:rPr>
                <w:rFonts w:hint="eastAsia" w:ascii="宋体" w:hAnsi="宋体" w:eastAsia="宋体" w:cs="Times New Roman"/>
                <w:color w:val="000000"/>
                <w:kern w:val="0"/>
                <w:sz w:val="24"/>
                <w:szCs w:val="24"/>
                <w:highlight w:val="none"/>
              </w:rPr>
              <w:t>分。</w:t>
            </w:r>
          </w:p>
        </w:tc>
        <w:tc>
          <w:tcPr>
            <w:tcW w:w="1074" w:type="dxa"/>
            <w:noWrap w:val="0"/>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kern w:val="0"/>
                <w:sz w:val="24"/>
                <w:szCs w:val="24"/>
                <w:lang w:val="en-US" w:eastAsia="zh-CN"/>
              </w:rPr>
              <w:t>0-2</w:t>
            </w:r>
            <w:r>
              <w:rPr>
                <w:rFonts w:hint="eastAsia" w:ascii="宋体" w:hAnsi="宋体"/>
                <w:kern w:val="0"/>
                <w:sz w:val="24"/>
                <w:szCs w:val="24"/>
                <w:lang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0" w:hRule="atLeast"/>
        </w:trPr>
        <w:tc>
          <w:tcPr>
            <w:tcW w:w="1242" w:type="dxa"/>
            <w:noWrap w:val="0"/>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color w:val="000000"/>
                <w:kern w:val="0"/>
                <w:sz w:val="24"/>
                <w:szCs w:val="24"/>
              </w:rPr>
              <w:t>同类项目业绩</w:t>
            </w:r>
          </w:p>
        </w:tc>
        <w:tc>
          <w:tcPr>
            <w:tcW w:w="6306" w:type="dxa"/>
            <w:noWrap w:val="0"/>
            <w:vAlign w:val="center"/>
          </w:tcPr>
          <w:p>
            <w:pPr>
              <w:keepNext w:val="0"/>
              <w:keepLines w:val="0"/>
              <w:pageBreakBefore w:val="0"/>
              <w:widowControl/>
              <w:kinsoku/>
              <w:wordWrap/>
              <w:overflowPunct/>
              <w:topLinePunct w:val="0"/>
              <w:autoSpaceDE/>
              <w:autoSpaceDN/>
              <w:bidi w:val="0"/>
              <w:adjustRightInd/>
              <w:snapToGrid/>
              <w:spacing w:line="360" w:lineRule="auto"/>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color w:val="000000"/>
                <w:kern w:val="0"/>
                <w:sz w:val="24"/>
                <w:szCs w:val="24"/>
                <w:highlight w:val="none"/>
              </w:rPr>
              <w:t>投标人提供自20</w:t>
            </w:r>
            <w:r>
              <w:rPr>
                <w:rFonts w:hint="eastAsia" w:ascii="宋体" w:hAnsi="宋体"/>
                <w:color w:val="000000"/>
                <w:kern w:val="0"/>
                <w:sz w:val="24"/>
                <w:szCs w:val="24"/>
                <w:highlight w:val="none"/>
                <w:lang w:val="en-US" w:eastAsia="zh-CN"/>
              </w:rPr>
              <w:t>21</w:t>
            </w:r>
            <w:r>
              <w:rPr>
                <w:rFonts w:hint="eastAsia" w:ascii="宋体" w:hAnsi="宋体"/>
                <w:color w:val="000000"/>
                <w:kern w:val="0"/>
                <w:sz w:val="24"/>
                <w:szCs w:val="24"/>
                <w:highlight w:val="none"/>
              </w:rPr>
              <w:t>年1月1日</w:t>
            </w:r>
            <w:r>
              <w:rPr>
                <w:rFonts w:hint="eastAsia" w:ascii="宋体" w:hAnsi="宋体"/>
                <w:color w:val="000000"/>
                <w:kern w:val="0"/>
                <w:sz w:val="24"/>
                <w:szCs w:val="24"/>
                <w:highlight w:val="none"/>
                <w:lang w:eastAsia="zh-CN"/>
              </w:rPr>
              <w:t>（以合同签订时间为准）</w:t>
            </w:r>
            <w:r>
              <w:rPr>
                <w:rFonts w:hint="eastAsia" w:ascii="宋体" w:hAnsi="宋体"/>
                <w:color w:val="000000"/>
                <w:kern w:val="0"/>
                <w:sz w:val="24"/>
                <w:szCs w:val="24"/>
                <w:highlight w:val="none"/>
              </w:rPr>
              <w:t>以来承担过同类</w:t>
            </w:r>
            <w:r>
              <w:rPr>
                <w:rFonts w:hint="eastAsia" w:ascii="宋体" w:hAnsi="宋体"/>
                <w:color w:val="auto"/>
                <w:kern w:val="0"/>
                <w:sz w:val="24"/>
                <w:szCs w:val="24"/>
                <w:highlight w:val="none"/>
              </w:rPr>
              <w:t>家具采购业绩，每个得</w:t>
            </w:r>
            <w:r>
              <w:rPr>
                <w:rFonts w:hint="eastAsia" w:ascii="宋体" w:hAnsi="宋体"/>
                <w:color w:val="auto"/>
                <w:kern w:val="0"/>
                <w:sz w:val="24"/>
                <w:szCs w:val="24"/>
                <w:highlight w:val="none"/>
                <w:lang w:val="en-US" w:eastAsia="zh-CN"/>
              </w:rPr>
              <w:t>1</w:t>
            </w:r>
            <w:r>
              <w:rPr>
                <w:rFonts w:hint="eastAsia" w:ascii="宋体" w:hAnsi="宋体"/>
                <w:color w:val="auto"/>
                <w:kern w:val="0"/>
                <w:sz w:val="24"/>
                <w:szCs w:val="24"/>
                <w:highlight w:val="none"/>
              </w:rPr>
              <w:t>分，最高</w:t>
            </w:r>
            <w:r>
              <w:rPr>
                <w:rFonts w:hint="eastAsia" w:ascii="宋体" w:hAnsi="宋体"/>
                <w:color w:val="000000"/>
                <w:kern w:val="0"/>
                <w:sz w:val="24"/>
                <w:szCs w:val="24"/>
                <w:highlight w:val="none"/>
              </w:rPr>
              <w:t>得</w:t>
            </w:r>
            <w:r>
              <w:rPr>
                <w:rFonts w:hint="eastAsia" w:ascii="宋体" w:hAnsi="宋体"/>
                <w:color w:val="000000"/>
                <w:kern w:val="0"/>
                <w:sz w:val="24"/>
                <w:szCs w:val="24"/>
                <w:highlight w:val="none"/>
                <w:lang w:val="en-US" w:eastAsia="zh-CN"/>
              </w:rPr>
              <w:t>3</w:t>
            </w:r>
            <w:r>
              <w:rPr>
                <w:rFonts w:hint="eastAsia" w:ascii="宋体" w:hAnsi="宋体"/>
                <w:color w:val="000000"/>
                <w:kern w:val="0"/>
                <w:sz w:val="24"/>
                <w:szCs w:val="24"/>
                <w:highlight w:val="none"/>
              </w:rPr>
              <w:t>分。</w:t>
            </w:r>
            <w:r>
              <w:rPr>
                <w:rFonts w:hint="eastAsia" w:ascii="宋体" w:hAnsi="宋体" w:eastAsia="宋体" w:cs="宋体"/>
                <w:color w:val="auto"/>
                <w:kern w:val="0"/>
                <w:sz w:val="24"/>
                <w:highlight w:val="none"/>
              </w:rPr>
              <w:t>（提供合同复印件，否则不得分）</w:t>
            </w:r>
            <w:r>
              <w:rPr>
                <w:rFonts w:hint="eastAsia" w:ascii="宋体" w:hAnsi="宋体" w:eastAsia="宋体" w:cs="宋体"/>
                <w:color w:val="auto"/>
                <w:kern w:val="0"/>
                <w:sz w:val="24"/>
                <w:highlight w:val="none"/>
                <w:lang w:val="en-US" w:eastAsia="zh-CN"/>
              </w:rPr>
              <w:t xml:space="preserve">                   </w:t>
            </w:r>
            <w:r>
              <w:rPr>
                <w:rFonts w:hint="eastAsia" w:ascii="宋体" w:hAnsi="宋体"/>
                <w:color w:val="000000"/>
                <w:kern w:val="0"/>
                <w:sz w:val="24"/>
                <w:szCs w:val="24"/>
                <w:highlight w:val="none"/>
                <w:lang w:val="en-US" w:eastAsia="zh-CN"/>
              </w:rPr>
              <w:t xml:space="preserve"> </w:t>
            </w:r>
            <w:r>
              <w:rPr>
                <w:rFonts w:hint="eastAsia" w:ascii="宋体" w:hAnsi="宋体" w:eastAsia="宋体" w:cs="宋体"/>
                <w:color w:val="auto"/>
                <w:kern w:val="0"/>
                <w:sz w:val="24"/>
                <w:highlight w:val="none"/>
              </w:rPr>
              <w:t>注：根据浙财采监〔2022〕8号文规定，对省级以上主管部门认定的首台套产品，自纳入《省推广应用指导目录》起三年内参加政府采购活动，视同已具备相应销售业绩，业绩分为满分。投标时提供相关证明材料。</w:t>
            </w:r>
          </w:p>
        </w:tc>
        <w:tc>
          <w:tcPr>
            <w:tcW w:w="1074" w:type="dxa"/>
            <w:noWrap w:val="0"/>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kern w:val="0"/>
                <w:sz w:val="24"/>
                <w:szCs w:val="24"/>
                <w:lang w:val="en-US" w:eastAsia="zh-CN"/>
              </w:rPr>
              <w:t>0-3</w:t>
            </w:r>
            <w:r>
              <w:rPr>
                <w:rFonts w:hint="eastAsia" w:ascii="宋体" w:hAnsi="宋体"/>
                <w:kern w:val="0"/>
                <w:sz w:val="24"/>
                <w:szCs w:val="24"/>
                <w:lang w:eastAsia="zh-CN"/>
              </w:rPr>
              <w:t>分</w:t>
            </w:r>
          </w:p>
        </w:tc>
      </w:tr>
    </w:tbl>
    <w:p>
      <w:pPr>
        <w:pStyle w:val="5"/>
        <w:rPr>
          <w:rFonts w:hint="eastAsia" w:ascii="宋体" w:hAnsi="宋体" w:cs="宋体"/>
          <w:b/>
          <w:color w:val="auto"/>
          <w:sz w:val="28"/>
          <w:szCs w:val="28"/>
          <w:highlight w:val="none"/>
        </w:rPr>
      </w:pPr>
    </w:p>
    <w:p>
      <w:pPr>
        <w:pStyle w:val="6"/>
        <w:rPr>
          <w:rFonts w:hint="eastAsia" w:ascii="宋体" w:hAnsi="宋体" w:cs="宋体"/>
          <w:b/>
          <w:color w:val="auto"/>
          <w:sz w:val="28"/>
          <w:szCs w:val="28"/>
          <w:highlight w:val="none"/>
        </w:rPr>
      </w:pPr>
    </w:p>
    <w:p>
      <w:pPr>
        <w:pStyle w:val="6"/>
        <w:rPr>
          <w:rFonts w:hint="eastAsia" w:ascii="宋体" w:hAnsi="宋体" w:cs="宋体"/>
          <w:b/>
          <w:color w:val="auto"/>
          <w:sz w:val="28"/>
          <w:szCs w:val="28"/>
          <w:highlight w:val="none"/>
        </w:rPr>
      </w:pPr>
    </w:p>
    <w:p>
      <w:pPr>
        <w:pStyle w:val="6"/>
        <w:rPr>
          <w:rFonts w:hint="eastAsia" w:ascii="宋体" w:hAnsi="宋体" w:cs="宋体"/>
          <w:b/>
          <w:color w:val="auto"/>
          <w:sz w:val="28"/>
          <w:szCs w:val="28"/>
          <w:highlight w:val="none"/>
        </w:rPr>
      </w:pPr>
    </w:p>
    <w:p>
      <w:pPr>
        <w:pStyle w:val="17"/>
        <w:rPr>
          <w:rFonts w:hint="eastAsia" w:ascii="宋体" w:hAnsi="宋体" w:cs="宋体"/>
          <w:b/>
          <w:color w:val="auto"/>
          <w:sz w:val="28"/>
          <w:szCs w:val="28"/>
          <w:highlight w:val="none"/>
        </w:rPr>
      </w:pPr>
    </w:p>
    <w:p>
      <w:pPr>
        <w:pStyle w:val="17"/>
        <w:rPr>
          <w:rFonts w:hint="eastAsia" w:ascii="宋体" w:hAnsi="宋体" w:cs="宋体"/>
          <w:b/>
          <w:color w:val="auto"/>
          <w:sz w:val="28"/>
          <w:szCs w:val="28"/>
          <w:highlight w:val="none"/>
        </w:rPr>
      </w:pPr>
    </w:p>
    <w:p>
      <w:pPr>
        <w:pStyle w:val="17"/>
        <w:rPr>
          <w:rFonts w:hint="eastAsia" w:ascii="宋体" w:hAnsi="宋体" w:cs="宋体"/>
          <w:b/>
          <w:color w:val="auto"/>
          <w:sz w:val="28"/>
          <w:szCs w:val="28"/>
          <w:highlight w:val="none"/>
        </w:rPr>
      </w:pPr>
    </w:p>
    <w:p>
      <w:pPr>
        <w:pStyle w:val="17"/>
        <w:rPr>
          <w:rFonts w:hint="eastAsia" w:ascii="宋体" w:hAnsi="宋体" w:cs="宋体"/>
          <w:b/>
          <w:color w:val="auto"/>
          <w:sz w:val="28"/>
          <w:szCs w:val="28"/>
          <w:highlight w:val="none"/>
        </w:rPr>
      </w:pPr>
    </w:p>
    <w:p>
      <w:pPr>
        <w:pStyle w:val="17"/>
        <w:rPr>
          <w:rFonts w:hint="eastAsia" w:ascii="宋体" w:hAnsi="宋体" w:cs="宋体"/>
          <w:b/>
          <w:color w:val="auto"/>
          <w:sz w:val="28"/>
          <w:szCs w:val="28"/>
          <w:highlight w:val="none"/>
        </w:rPr>
      </w:pPr>
    </w:p>
    <w:p>
      <w:pPr>
        <w:pStyle w:val="17"/>
        <w:rPr>
          <w:rFonts w:hint="eastAsia" w:ascii="宋体" w:hAnsi="宋体" w:cs="宋体"/>
          <w:b/>
          <w:color w:val="auto"/>
          <w:sz w:val="28"/>
          <w:szCs w:val="28"/>
          <w:highlight w:val="none"/>
        </w:rPr>
      </w:pPr>
    </w:p>
    <w:p>
      <w:pPr>
        <w:pStyle w:val="17"/>
        <w:rPr>
          <w:rFonts w:hint="eastAsia" w:ascii="宋体" w:hAnsi="宋体" w:cs="宋体"/>
          <w:b/>
          <w:color w:val="auto"/>
          <w:sz w:val="28"/>
          <w:szCs w:val="28"/>
          <w:highlight w:val="none"/>
        </w:rPr>
      </w:pPr>
    </w:p>
    <w:p>
      <w:pPr>
        <w:pStyle w:val="17"/>
        <w:rPr>
          <w:rFonts w:hint="eastAsia" w:ascii="宋体" w:hAnsi="宋体" w:cs="宋体"/>
          <w:b/>
          <w:color w:val="auto"/>
          <w:sz w:val="28"/>
          <w:szCs w:val="28"/>
          <w:highlight w:val="none"/>
        </w:rPr>
      </w:pPr>
    </w:p>
    <w:p>
      <w:pPr>
        <w:pStyle w:val="17"/>
        <w:rPr>
          <w:rFonts w:hint="eastAsia" w:ascii="宋体" w:hAnsi="宋体" w:cs="宋体"/>
          <w:b/>
          <w:color w:val="auto"/>
          <w:sz w:val="28"/>
          <w:szCs w:val="28"/>
          <w:highlight w:val="none"/>
        </w:rPr>
      </w:pPr>
    </w:p>
    <w:p>
      <w:pPr>
        <w:pStyle w:val="17"/>
        <w:rPr>
          <w:rFonts w:hint="eastAsia" w:ascii="宋体" w:hAnsi="宋体" w:cs="宋体"/>
          <w:b/>
          <w:color w:val="auto"/>
          <w:sz w:val="28"/>
          <w:szCs w:val="28"/>
          <w:highlight w:val="none"/>
        </w:rPr>
      </w:pPr>
    </w:p>
    <w:p>
      <w:pPr>
        <w:pStyle w:val="5"/>
        <w:spacing w:line="360" w:lineRule="auto"/>
        <w:jc w:val="center"/>
        <w:rPr>
          <w:color w:val="auto"/>
          <w:highlight w:val="none"/>
        </w:rPr>
      </w:pPr>
      <w:r>
        <w:rPr>
          <w:color w:val="auto"/>
          <w:highlight w:val="none"/>
        </w:rPr>
        <w:t>第</w:t>
      </w:r>
      <w:r>
        <w:rPr>
          <w:rFonts w:hint="eastAsia"/>
          <w:color w:val="auto"/>
          <w:highlight w:val="none"/>
        </w:rPr>
        <w:t>五</w:t>
      </w:r>
      <w:r>
        <w:rPr>
          <w:color w:val="auto"/>
          <w:highlight w:val="none"/>
        </w:rPr>
        <w:t xml:space="preserve">章  </w:t>
      </w:r>
      <w:r>
        <w:rPr>
          <w:rFonts w:hint="eastAsia"/>
          <w:color w:val="auto"/>
          <w:highlight w:val="none"/>
        </w:rPr>
        <w:t>平湖市政府采购合同（指引）</w:t>
      </w:r>
    </w:p>
    <w:p>
      <w:pPr>
        <w:spacing w:line="360" w:lineRule="auto"/>
        <w:rPr>
          <w:rFonts w:hint="eastAsia" w:ascii="宋体" w:hAnsi="宋体"/>
          <w:color w:val="auto"/>
          <w:sz w:val="24"/>
          <w:highlight w:val="none"/>
        </w:rPr>
      </w:pPr>
      <w:r>
        <w:rPr>
          <w:rFonts w:hint="eastAsia" w:ascii="宋体" w:hAnsi="宋体"/>
          <w:color w:val="auto"/>
          <w:sz w:val="24"/>
          <w:highlight w:val="none"/>
        </w:rPr>
        <w:t>甲方（采购人）：上海世外教育附属平湖经开实验小学</w:t>
      </w:r>
    </w:p>
    <w:p>
      <w:pPr>
        <w:autoSpaceDE w:val="0"/>
        <w:autoSpaceDN w:val="0"/>
        <w:adjustRightInd w:val="0"/>
        <w:spacing w:line="360" w:lineRule="auto"/>
        <w:rPr>
          <w:rFonts w:hint="eastAsia" w:ascii="宋体" w:hAnsi="宋体"/>
          <w:color w:val="auto"/>
          <w:sz w:val="24"/>
          <w:highlight w:val="none"/>
        </w:rPr>
      </w:pPr>
      <w:r>
        <w:rPr>
          <w:rFonts w:hint="eastAsia" w:ascii="宋体" w:hAnsi="宋体"/>
          <w:color w:val="auto"/>
          <w:sz w:val="24"/>
          <w:highlight w:val="none"/>
        </w:rPr>
        <w:t>乙方（供应商）：</w:t>
      </w:r>
    </w:p>
    <w:p>
      <w:pPr>
        <w:pStyle w:val="18"/>
        <w:snapToGrid w:val="0"/>
        <w:spacing w:beforeLines="0" w:afterLines="0" w:line="360" w:lineRule="auto"/>
        <w:rPr>
          <w:rFonts w:hint="eastAsia" w:hAnsi="宋体"/>
          <w:color w:val="auto"/>
          <w:highlight w:val="none"/>
        </w:rPr>
      </w:pPr>
      <w:r>
        <w:rPr>
          <w:rFonts w:hint="eastAsia" w:hAnsi="宋体"/>
          <w:color w:val="auto"/>
          <w:highlight w:val="none"/>
        </w:rPr>
        <w:t>丙方（鉴证方）：平湖市公共资源交易中心</w:t>
      </w:r>
    </w:p>
    <w:p>
      <w:pPr>
        <w:pStyle w:val="18"/>
        <w:snapToGrid w:val="0"/>
        <w:spacing w:before="240" w:beforeLines="100" w:afterLines="0" w:line="384" w:lineRule="auto"/>
        <w:ind w:firstLine="480" w:firstLineChars="200"/>
        <w:rPr>
          <w:rFonts w:hint="eastAsia" w:hAnsi="宋体"/>
          <w:color w:val="auto"/>
          <w:highlight w:val="none"/>
        </w:rPr>
      </w:pPr>
      <w:r>
        <w:rPr>
          <w:rFonts w:hint="eastAsia" w:hAnsi="宋体"/>
          <w:color w:val="auto"/>
          <w:highlight w:val="none"/>
          <w:u w:val="single"/>
          <w:lang w:eastAsia="zh-CN"/>
        </w:rPr>
        <w:t>上海世外教育附属平湖经开实验小学迁建工程学生课桌椅采购项目</w:t>
      </w:r>
      <w:r>
        <w:rPr>
          <w:rFonts w:hint="eastAsia" w:hAnsi="宋体"/>
          <w:color w:val="auto"/>
          <w:highlight w:val="none"/>
        </w:rPr>
        <w:t>（项目编号：</w:t>
      </w:r>
      <w:r>
        <w:rPr>
          <w:rFonts w:hint="eastAsia" w:hAnsi="宋体"/>
          <w:color w:val="auto"/>
          <w:highlight w:val="none"/>
          <w:u w:val="single"/>
          <w:lang w:eastAsia="zh-CN"/>
        </w:rPr>
        <w:t>平政采招2024-39</w:t>
      </w:r>
      <w:r>
        <w:rPr>
          <w:rFonts w:hint="eastAsia" w:hAnsi="宋体"/>
          <w:color w:val="auto"/>
          <w:highlight w:val="none"/>
        </w:rPr>
        <w:t>）已按照委托（确认书号：</w:t>
      </w:r>
      <w:r>
        <w:rPr>
          <w:rFonts w:hint="eastAsia" w:hAnsi="宋体"/>
          <w:color w:val="auto"/>
          <w:highlight w:val="none"/>
          <w:u w:val="single"/>
          <w:lang w:eastAsia="zh-CN"/>
        </w:rPr>
        <w:t>临[2024]5128号</w:t>
      </w:r>
      <w:r>
        <w:rPr>
          <w:rFonts w:hint="eastAsia" w:hAnsi="宋体"/>
          <w:color w:val="auto"/>
          <w:highlight w:val="none"/>
        </w:rPr>
        <w:t>）需求，以公开招标采购方式实施了采购活动。</w:t>
      </w:r>
      <w:r>
        <w:rPr>
          <w:rFonts w:hAnsi="宋体"/>
          <w:color w:val="auto"/>
          <w:highlight w:val="none"/>
        </w:rPr>
        <w:t>根据《中华人民共和国政府采购法》、《中华人民共和国</w:t>
      </w:r>
      <w:r>
        <w:rPr>
          <w:rFonts w:hint="eastAsia" w:hAnsi="宋体"/>
          <w:color w:val="auto"/>
          <w:highlight w:val="none"/>
        </w:rPr>
        <w:t>民法典</w:t>
      </w:r>
      <w:r>
        <w:rPr>
          <w:rFonts w:hAnsi="宋体"/>
          <w:color w:val="auto"/>
          <w:highlight w:val="none"/>
        </w:rPr>
        <w:t>》</w:t>
      </w:r>
      <w:r>
        <w:rPr>
          <w:rFonts w:hint="eastAsia" w:hAnsi="宋体"/>
          <w:color w:val="auto"/>
          <w:highlight w:val="none"/>
        </w:rPr>
        <w:t>等法律法规的规定，甲、乙双方同意签署本合同，并共同遵守。该项目相应的公开招标文件、投标文件和中标通知书为本合同组成部分。</w:t>
      </w:r>
    </w:p>
    <w:p>
      <w:pPr>
        <w:pStyle w:val="18"/>
        <w:snapToGrid w:val="0"/>
        <w:spacing w:beforeLines="0" w:afterLines="0" w:line="360" w:lineRule="auto"/>
        <w:rPr>
          <w:rFonts w:hint="eastAsia" w:hAnsi="宋体"/>
          <w:b/>
          <w:color w:val="auto"/>
          <w:highlight w:val="none"/>
        </w:rPr>
      </w:pPr>
      <w:r>
        <w:rPr>
          <w:rFonts w:hAnsi="宋体"/>
          <w:b/>
          <w:color w:val="auto"/>
          <w:highlight w:val="none"/>
        </w:rPr>
        <w:t>一、</w:t>
      </w:r>
      <w:r>
        <w:rPr>
          <w:rFonts w:hint="eastAsia" w:hAnsi="宋体"/>
          <w:b/>
          <w:color w:val="auto"/>
          <w:highlight w:val="none"/>
        </w:rPr>
        <w:t>货物内容清单</w:t>
      </w:r>
      <w:r>
        <w:rPr>
          <w:rFonts w:hint="eastAsia" w:hAnsi="宋体"/>
          <w:color w:val="auto"/>
          <w:highlight w:val="none"/>
        </w:rPr>
        <w:t>（详见附件）</w:t>
      </w:r>
    </w:p>
    <w:p>
      <w:pPr>
        <w:pStyle w:val="18"/>
        <w:spacing w:before="120" w:after="120" w:line="360" w:lineRule="auto"/>
        <w:rPr>
          <w:rFonts w:hint="eastAsia" w:hAnsi="宋体"/>
          <w:b/>
          <w:color w:val="auto"/>
          <w:highlight w:val="none"/>
        </w:rPr>
      </w:pPr>
      <w:r>
        <w:rPr>
          <w:rFonts w:hAnsi="宋体"/>
          <w:b/>
          <w:color w:val="auto"/>
          <w:highlight w:val="none"/>
        </w:rPr>
        <w:t>二、合同金额</w:t>
      </w:r>
    </w:p>
    <w:p>
      <w:pPr>
        <w:pStyle w:val="18"/>
        <w:spacing w:before="120" w:after="120" w:line="360" w:lineRule="auto"/>
        <w:ind w:left="410" w:hanging="410" w:hangingChars="171"/>
        <w:rPr>
          <w:rFonts w:hint="eastAsia" w:hAnsi="宋体"/>
          <w:color w:val="auto"/>
          <w:highlight w:val="none"/>
        </w:rPr>
      </w:pPr>
      <w:r>
        <w:rPr>
          <w:rFonts w:hAnsi="宋体"/>
          <w:color w:val="auto"/>
          <w:highlight w:val="none"/>
        </w:rPr>
        <w:t>本合同金额为（大写）：</w:t>
      </w:r>
      <w:r>
        <w:rPr>
          <w:rFonts w:hint="eastAsia" w:hAnsi="宋体"/>
          <w:color w:val="auto"/>
          <w:highlight w:val="none"/>
          <w:u w:val="single"/>
        </w:rPr>
        <w:t xml:space="preserve">           </w:t>
      </w:r>
      <w:r>
        <w:rPr>
          <w:rFonts w:hint="eastAsia" w:hAnsi="宋体"/>
          <w:color w:val="auto"/>
          <w:highlight w:val="none"/>
        </w:rPr>
        <w:t xml:space="preserve"> </w:t>
      </w:r>
      <w:r>
        <w:rPr>
          <w:rFonts w:hAnsi="宋体"/>
          <w:color w:val="auto"/>
          <w:highlight w:val="none"/>
        </w:rPr>
        <w:t>元（￥</w:t>
      </w:r>
      <w:r>
        <w:rPr>
          <w:rFonts w:hint="eastAsia" w:hAnsi="宋体"/>
          <w:color w:val="auto"/>
          <w:highlight w:val="none"/>
          <w:u w:val="single"/>
        </w:rPr>
        <w:t xml:space="preserve">            </w:t>
      </w:r>
      <w:r>
        <w:rPr>
          <w:rFonts w:hAnsi="宋体"/>
          <w:color w:val="auto"/>
          <w:highlight w:val="none"/>
        </w:rPr>
        <w:t>元）人民币。</w:t>
      </w:r>
    </w:p>
    <w:p>
      <w:pPr>
        <w:spacing w:line="360" w:lineRule="auto"/>
        <w:rPr>
          <w:rFonts w:hint="eastAsia" w:ascii="宋体" w:hAnsi="宋体"/>
          <w:b/>
          <w:color w:val="auto"/>
          <w:sz w:val="24"/>
          <w:highlight w:val="none"/>
        </w:rPr>
      </w:pPr>
      <w:r>
        <w:rPr>
          <w:rFonts w:hint="eastAsia" w:ascii="宋体" w:hAnsi="宋体"/>
          <w:b/>
          <w:color w:val="auto"/>
          <w:sz w:val="24"/>
          <w:highlight w:val="none"/>
        </w:rPr>
        <w:t>三</w:t>
      </w:r>
      <w:r>
        <w:rPr>
          <w:rFonts w:ascii="宋体" w:hAnsi="宋体"/>
          <w:b/>
          <w:color w:val="auto"/>
          <w:sz w:val="24"/>
          <w:highlight w:val="none"/>
        </w:rPr>
        <w:t>、</w:t>
      </w:r>
      <w:r>
        <w:rPr>
          <w:rFonts w:hint="eastAsia" w:ascii="宋体" w:hAnsi="宋体"/>
          <w:b/>
          <w:color w:val="auto"/>
          <w:sz w:val="24"/>
          <w:highlight w:val="none"/>
        </w:rPr>
        <w:t>项目相关属性</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7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268" w:type="dxa"/>
            <w:noWrap/>
          </w:tcPr>
          <w:p>
            <w:pPr>
              <w:spacing w:before="156" w:after="156" w:line="360" w:lineRule="auto"/>
              <w:jc w:val="center"/>
              <w:rPr>
                <w:rFonts w:hint="eastAsia" w:ascii="宋体" w:hAnsi="宋体"/>
                <w:color w:val="auto"/>
                <w:sz w:val="24"/>
                <w:highlight w:val="none"/>
              </w:rPr>
            </w:pPr>
            <w:r>
              <w:rPr>
                <w:rFonts w:hint="eastAsia" w:ascii="宋体" w:hAnsi="宋体"/>
                <w:color w:val="auto"/>
                <w:sz w:val="24"/>
                <w:highlight w:val="none"/>
              </w:rPr>
              <w:t>采购资金来源</w:t>
            </w:r>
          </w:p>
        </w:tc>
        <w:tc>
          <w:tcPr>
            <w:tcW w:w="7020" w:type="dxa"/>
            <w:noWrap/>
          </w:tcPr>
          <w:p>
            <w:pPr>
              <w:spacing w:before="156" w:after="156" w:line="360" w:lineRule="auto"/>
              <w:rPr>
                <w:rFonts w:hint="eastAsia" w:ascii="宋体" w:hAnsi="宋体"/>
                <w:color w:val="auto"/>
                <w:sz w:val="24"/>
                <w:highlight w:val="none"/>
              </w:rPr>
            </w:pPr>
            <w:r>
              <w:rPr>
                <w:rFonts w:hint="eastAsia" w:ascii="宋体" w:hAnsi="宋体"/>
                <w:color w:val="auto"/>
                <w:sz w:val="24"/>
                <w:highlight w:val="none"/>
              </w:rPr>
              <w:t>预算内元；预算外元；单位自筹元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268" w:type="dxa"/>
            <w:noWrap/>
          </w:tcPr>
          <w:p>
            <w:pPr>
              <w:spacing w:before="156" w:after="156" w:line="360" w:lineRule="auto"/>
              <w:jc w:val="center"/>
              <w:rPr>
                <w:rFonts w:hint="eastAsia" w:ascii="宋体" w:hAnsi="宋体"/>
                <w:color w:val="auto"/>
                <w:sz w:val="24"/>
                <w:highlight w:val="none"/>
              </w:rPr>
            </w:pPr>
            <w:r>
              <w:rPr>
                <w:rFonts w:hint="eastAsia" w:ascii="宋体" w:hAnsi="宋体"/>
                <w:color w:val="auto"/>
                <w:sz w:val="24"/>
                <w:highlight w:val="none"/>
              </w:rPr>
              <w:t>采购资金支付方式</w:t>
            </w:r>
          </w:p>
        </w:tc>
        <w:tc>
          <w:tcPr>
            <w:tcW w:w="7020" w:type="dxa"/>
            <w:noWrap/>
          </w:tcPr>
          <w:p>
            <w:pPr>
              <w:spacing w:before="156" w:after="156" w:line="360" w:lineRule="auto"/>
              <w:rPr>
                <w:rFonts w:hint="eastAsia" w:ascii="宋体" w:hAnsi="宋体"/>
                <w:color w:val="auto"/>
                <w:sz w:val="24"/>
                <w:highlight w:val="none"/>
              </w:rPr>
            </w:pPr>
            <w:r>
              <w:rPr>
                <w:rFonts w:hint="eastAsia" w:ascii="宋体" w:hAnsi="宋体"/>
                <w:color w:val="auto"/>
                <w:sz w:val="24"/>
                <w:highlight w:val="none"/>
              </w:rPr>
              <w:t>□财政直接支付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268" w:type="dxa"/>
            <w:noWrap/>
          </w:tcPr>
          <w:p>
            <w:pPr>
              <w:spacing w:before="156" w:after="156" w:line="360" w:lineRule="auto"/>
              <w:jc w:val="center"/>
              <w:rPr>
                <w:rFonts w:hint="eastAsia" w:ascii="宋体" w:hAnsi="宋体"/>
                <w:color w:val="auto"/>
                <w:sz w:val="24"/>
                <w:highlight w:val="none"/>
              </w:rPr>
            </w:pPr>
            <w:r>
              <w:rPr>
                <w:rFonts w:hint="eastAsia" w:ascii="宋体" w:hAnsi="宋体"/>
                <w:color w:val="auto"/>
                <w:sz w:val="24"/>
                <w:highlight w:val="none"/>
              </w:rPr>
              <w:t>产品产地</w:t>
            </w:r>
          </w:p>
        </w:tc>
        <w:tc>
          <w:tcPr>
            <w:tcW w:w="7020" w:type="dxa"/>
            <w:noWrap/>
          </w:tcPr>
          <w:p>
            <w:pPr>
              <w:spacing w:before="156" w:after="156" w:line="360" w:lineRule="auto"/>
              <w:rPr>
                <w:rFonts w:hint="eastAsia" w:ascii="宋体" w:hAnsi="宋体"/>
                <w:color w:val="auto"/>
                <w:sz w:val="24"/>
                <w:highlight w:val="none"/>
              </w:rPr>
            </w:pPr>
            <w:r>
              <w:rPr>
                <w:rFonts w:hint="eastAsia" w:ascii="宋体" w:hAnsi="宋体"/>
                <w:color w:val="auto"/>
                <w:sz w:val="24"/>
                <w:highlight w:val="none"/>
              </w:rPr>
              <w:t>□浙江省内           □浙江省外         □进口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268" w:type="dxa"/>
            <w:noWrap/>
          </w:tcPr>
          <w:p>
            <w:pPr>
              <w:spacing w:before="156" w:after="156" w:line="360" w:lineRule="auto"/>
              <w:jc w:val="center"/>
              <w:rPr>
                <w:rFonts w:hint="eastAsia" w:ascii="宋体" w:hAnsi="宋体"/>
                <w:color w:val="auto"/>
                <w:sz w:val="24"/>
                <w:highlight w:val="none"/>
              </w:rPr>
            </w:pPr>
            <w:r>
              <w:rPr>
                <w:rFonts w:hint="eastAsia" w:ascii="宋体" w:hAnsi="宋体"/>
                <w:color w:val="auto"/>
                <w:sz w:val="24"/>
                <w:highlight w:val="none"/>
              </w:rPr>
              <w:t>产品性质（如有）</w:t>
            </w:r>
          </w:p>
        </w:tc>
        <w:tc>
          <w:tcPr>
            <w:tcW w:w="7020" w:type="dxa"/>
            <w:noWrap/>
          </w:tcPr>
          <w:p>
            <w:pPr>
              <w:spacing w:before="156" w:after="156" w:line="360" w:lineRule="auto"/>
              <w:rPr>
                <w:rFonts w:hint="eastAsia" w:ascii="宋体" w:hAnsi="宋体"/>
                <w:color w:val="auto"/>
                <w:sz w:val="24"/>
                <w:highlight w:val="none"/>
              </w:rPr>
            </w:pPr>
            <w:r>
              <w:rPr>
                <w:rFonts w:hint="eastAsia" w:ascii="宋体" w:hAnsi="宋体"/>
                <w:color w:val="auto"/>
                <w:sz w:val="24"/>
                <w:highlight w:val="none"/>
              </w:rPr>
              <w:t>□节能             □环保</w:t>
            </w:r>
          </w:p>
        </w:tc>
      </w:tr>
    </w:tbl>
    <w:p>
      <w:pPr>
        <w:autoSpaceDE w:val="0"/>
        <w:autoSpaceDN w:val="0"/>
        <w:adjustRightInd w:val="0"/>
        <w:spacing w:line="360" w:lineRule="auto"/>
        <w:ind w:firstLine="482" w:firstLineChars="200"/>
        <w:rPr>
          <w:rFonts w:hint="eastAsia" w:ascii="宋体" w:hAnsi="宋体"/>
          <w:b/>
          <w:color w:val="auto"/>
          <w:sz w:val="24"/>
          <w:highlight w:val="none"/>
        </w:rPr>
      </w:pPr>
      <w:r>
        <w:rPr>
          <w:rFonts w:hint="eastAsia" w:ascii="宋体" w:hAnsi="宋体"/>
          <w:b/>
          <w:color w:val="auto"/>
          <w:kern w:val="0"/>
          <w:sz w:val="24"/>
          <w:highlight w:val="none"/>
        </w:rPr>
        <w:t>四</w:t>
      </w:r>
      <w:r>
        <w:rPr>
          <w:rFonts w:ascii="宋体" w:hAnsi="宋体"/>
          <w:b/>
          <w:color w:val="auto"/>
          <w:kern w:val="0"/>
          <w:sz w:val="24"/>
          <w:highlight w:val="none"/>
        </w:rPr>
        <w:t>、</w:t>
      </w:r>
      <w:r>
        <w:rPr>
          <w:rFonts w:ascii="宋体" w:hAnsi="宋体"/>
          <w:b/>
          <w:color w:val="auto"/>
          <w:sz w:val="24"/>
          <w:highlight w:val="none"/>
        </w:rPr>
        <w:t>质量保证及售后服务</w:t>
      </w:r>
    </w:p>
    <w:p>
      <w:pPr>
        <w:autoSpaceDE w:val="0"/>
        <w:autoSpaceDN w:val="0"/>
        <w:adjustRightIn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w:t>
      </w:r>
      <w:r>
        <w:rPr>
          <w:rFonts w:ascii="宋体" w:hAnsi="宋体"/>
          <w:color w:val="auto"/>
          <w:sz w:val="24"/>
          <w:highlight w:val="none"/>
        </w:rPr>
        <w:t>乙方应按</w:t>
      </w:r>
      <w:r>
        <w:rPr>
          <w:rFonts w:hint="eastAsia" w:ascii="宋体" w:hAnsi="宋体"/>
          <w:color w:val="auto"/>
          <w:kern w:val="0"/>
          <w:sz w:val="24"/>
          <w:highlight w:val="none"/>
        </w:rPr>
        <w:t>招标</w:t>
      </w:r>
      <w:r>
        <w:rPr>
          <w:rFonts w:ascii="宋体" w:hAnsi="宋体"/>
          <w:color w:val="auto"/>
          <w:sz w:val="24"/>
          <w:highlight w:val="none"/>
        </w:rPr>
        <w:t>文件规定的货物性能、技术要求、质量标准向甲方提供未经使用的全新</w:t>
      </w:r>
      <w:r>
        <w:rPr>
          <w:rFonts w:hint="eastAsia" w:ascii="宋体" w:hAnsi="宋体"/>
          <w:color w:val="auto"/>
          <w:sz w:val="24"/>
          <w:highlight w:val="none"/>
        </w:rPr>
        <w:t>合格</w:t>
      </w:r>
      <w:r>
        <w:rPr>
          <w:rFonts w:ascii="宋体" w:hAnsi="宋体"/>
          <w:color w:val="auto"/>
          <w:sz w:val="24"/>
          <w:highlight w:val="none"/>
        </w:rPr>
        <w:t>产品</w:t>
      </w:r>
      <w:r>
        <w:rPr>
          <w:rFonts w:hint="eastAsia" w:ascii="宋体" w:hAnsi="宋体"/>
          <w:color w:val="auto"/>
          <w:sz w:val="24"/>
          <w:highlight w:val="none"/>
        </w:rPr>
        <w:t>。</w:t>
      </w:r>
      <w:r>
        <w:rPr>
          <w:rFonts w:ascii="宋体" w:hAnsi="宋体"/>
          <w:color w:val="auto"/>
          <w:sz w:val="24"/>
          <w:highlight w:val="none"/>
        </w:rPr>
        <w:t>乙方保证所交付的货物的所有权完全属于乙方</w:t>
      </w:r>
      <w:r>
        <w:rPr>
          <w:rFonts w:hint="eastAsia" w:ascii="宋体" w:hAnsi="宋体"/>
          <w:color w:val="auto"/>
          <w:sz w:val="24"/>
          <w:highlight w:val="none"/>
        </w:rPr>
        <w:t>而</w:t>
      </w:r>
      <w:r>
        <w:rPr>
          <w:rFonts w:ascii="宋体" w:hAnsi="宋体"/>
          <w:color w:val="auto"/>
          <w:sz w:val="24"/>
          <w:highlight w:val="none"/>
        </w:rPr>
        <w:t>无任何抵押、查封等产权瑕疵</w:t>
      </w:r>
      <w:r>
        <w:rPr>
          <w:rFonts w:hint="eastAsia" w:ascii="宋体" w:hAnsi="宋体"/>
          <w:color w:val="auto"/>
          <w:sz w:val="24"/>
          <w:highlight w:val="none"/>
        </w:rPr>
        <w:t>，且</w:t>
      </w:r>
      <w:r>
        <w:rPr>
          <w:rFonts w:ascii="宋体" w:hAnsi="宋体"/>
          <w:color w:val="auto"/>
          <w:sz w:val="24"/>
          <w:highlight w:val="none"/>
        </w:rPr>
        <w:t>所提供的货物或其任何一部分均不会侵犯任何第三方的知识产权。</w:t>
      </w:r>
    </w:p>
    <w:p>
      <w:pPr>
        <w:autoSpaceDE w:val="0"/>
        <w:autoSpaceDN w:val="0"/>
        <w:adjustRightInd w:val="0"/>
        <w:spacing w:line="360" w:lineRule="auto"/>
        <w:ind w:firstLine="480" w:firstLineChars="200"/>
        <w:rPr>
          <w:rFonts w:hint="eastAsia" w:ascii="宋体" w:hAnsi="宋体" w:cs="宋体"/>
          <w:color w:val="auto"/>
          <w:sz w:val="24"/>
          <w:highlight w:val="none"/>
        </w:rPr>
      </w:pPr>
      <w:r>
        <w:rPr>
          <w:rFonts w:hint="eastAsia" w:ascii="宋体" w:hAnsi="宋体"/>
          <w:color w:val="auto"/>
          <w:sz w:val="24"/>
          <w:highlight w:val="none"/>
        </w:rPr>
        <w:t>2、</w:t>
      </w:r>
      <w:r>
        <w:rPr>
          <w:rFonts w:hint="eastAsia" w:ascii="宋体" w:hAnsi="宋体" w:cs="宋体"/>
          <w:color w:val="auto"/>
          <w:sz w:val="24"/>
          <w:highlight w:val="none"/>
        </w:rPr>
        <w:t>上述的货物免费保修期为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年，人为因素出现的故障不在免费保修范围内。超过保修期的机器设备实行终生维修，维修时只收部件成本费。</w:t>
      </w:r>
    </w:p>
    <w:p>
      <w:pPr>
        <w:autoSpaceDE w:val="0"/>
        <w:autoSpaceDN w:val="0"/>
        <w:adjustRightIn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w:t>
      </w:r>
      <w:r>
        <w:rPr>
          <w:rFonts w:ascii="宋体" w:hAnsi="宋体"/>
          <w:color w:val="auto"/>
          <w:sz w:val="24"/>
          <w:highlight w:val="none"/>
        </w:rPr>
        <w:t>乙方提供的货物在质量期内因货物本身的质量问题发生故障，乙方应负责免费更换。对达不到技术要求者，根据实际情况，经双方协商，可按以下办法处理：</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⑴更换：由乙方承担所发生的全部费用。</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⑵贬值处理：由甲乙双方合议定价。</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⑶退货处理：乙方应退还甲方支付的合同款，同时应承担该货物的直接费用（运输、保险、检验、货款利息及银行手续费等）。</w:t>
      </w:r>
    </w:p>
    <w:p>
      <w:pPr>
        <w:autoSpaceDE w:val="0"/>
        <w:autoSpaceDN w:val="0"/>
        <w:adjustRightIn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4、</w:t>
      </w:r>
      <w:r>
        <w:rPr>
          <w:rFonts w:ascii="宋体" w:hAnsi="宋体"/>
          <w:color w:val="auto"/>
          <w:sz w:val="24"/>
          <w:highlight w:val="none"/>
        </w:rPr>
        <w:t>使用过程中发生质量问题，乙方在接到甲方通知后小时内到达甲方现场。</w:t>
      </w:r>
    </w:p>
    <w:p>
      <w:pPr>
        <w:autoSpaceDE w:val="0"/>
        <w:autoSpaceDN w:val="0"/>
        <w:adjustRightIn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5、本项目所有产品质保期均不少于</w:t>
      </w:r>
      <w:r>
        <w:rPr>
          <w:rFonts w:hint="eastAsia" w:ascii="宋体" w:hAnsi="宋体"/>
          <w:color w:val="auto"/>
          <w:sz w:val="24"/>
          <w:highlight w:val="none"/>
          <w:u w:val="single"/>
        </w:rPr>
        <w:t xml:space="preserve">  </w:t>
      </w:r>
      <w:r>
        <w:rPr>
          <w:rFonts w:hint="eastAsia" w:ascii="宋体" w:hAnsi="宋体"/>
          <w:color w:val="auto"/>
          <w:sz w:val="24"/>
          <w:highlight w:val="none"/>
        </w:rPr>
        <w:t>年。</w:t>
      </w:r>
      <w:r>
        <w:rPr>
          <w:rFonts w:ascii="宋体" w:hAnsi="宋体"/>
          <w:color w:val="auto"/>
          <w:sz w:val="24"/>
          <w:highlight w:val="none"/>
        </w:rPr>
        <w:t>质保期内，乙方对货物出现的质量及安全问题负责处理解决并承担一切费用。</w:t>
      </w:r>
    </w:p>
    <w:p>
      <w:pPr>
        <w:autoSpaceDE w:val="0"/>
        <w:autoSpaceDN w:val="0"/>
        <w:adjustRightInd w:val="0"/>
        <w:spacing w:line="360" w:lineRule="auto"/>
        <w:ind w:firstLine="482" w:firstLineChars="200"/>
        <w:rPr>
          <w:rFonts w:hint="eastAsia" w:ascii="宋体" w:hAnsi="宋体"/>
          <w:b/>
          <w:color w:val="auto"/>
          <w:sz w:val="24"/>
          <w:highlight w:val="none"/>
        </w:rPr>
      </w:pPr>
      <w:r>
        <w:rPr>
          <w:rFonts w:hint="eastAsia" w:ascii="宋体" w:hAnsi="宋体"/>
          <w:b/>
          <w:color w:val="auto"/>
          <w:sz w:val="24"/>
          <w:highlight w:val="none"/>
        </w:rPr>
        <w:t>五、交货</w:t>
      </w:r>
    </w:p>
    <w:p>
      <w:pPr>
        <w:autoSpaceDE w:val="0"/>
        <w:autoSpaceDN w:val="0"/>
        <w:adjustRightIn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1、交货及安装时间：合同签订后30个工作日内完成设备交付与安装调试</w:t>
      </w:r>
      <w:r>
        <w:rPr>
          <w:rFonts w:hint="eastAsia" w:ascii="宋体" w:hAnsi="宋体" w:cs="宋体"/>
          <w:color w:val="auto"/>
          <w:sz w:val="24"/>
          <w:highlight w:val="none"/>
        </w:rPr>
        <w:t>。</w:t>
      </w:r>
    </w:p>
    <w:p>
      <w:pPr>
        <w:autoSpaceDE w:val="0"/>
        <w:autoSpaceDN w:val="0"/>
        <w:adjustRightIn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交货地点：</w:t>
      </w:r>
      <w:r>
        <w:rPr>
          <w:rFonts w:hint="eastAsia" w:ascii="宋体" w:hAnsi="宋体"/>
          <w:color w:val="auto"/>
          <w:sz w:val="24"/>
          <w:highlight w:val="none"/>
        </w:rPr>
        <w:t>采购人指定地点；</w:t>
      </w:r>
    </w:p>
    <w:p>
      <w:pPr>
        <w:autoSpaceDE w:val="0"/>
        <w:autoSpaceDN w:val="0"/>
        <w:adjustRightIn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w:t>
      </w:r>
      <w:r>
        <w:rPr>
          <w:rFonts w:ascii="宋体" w:hAnsi="宋体"/>
          <w:color w:val="auto"/>
          <w:sz w:val="24"/>
          <w:highlight w:val="none"/>
        </w:rPr>
        <w:t>乙方</w:t>
      </w:r>
      <w:r>
        <w:rPr>
          <w:rFonts w:hint="eastAsia" w:ascii="宋体" w:hAnsi="宋体"/>
          <w:color w:val="auto"/>
          <w:sz w:val="24"/>
          <w:highlight w:val="none"/>
        </w:rPr>
        <w:t>在交货同时，</w:t>
      </w:r>
      <w:r>
        <w:rPr>
          <w:rFonts w:ascii="宋体" w:hAnsi="宋体"/>
          <w:color w:val="auto"/>
          <w:sz w:val="24"/>
          <w:highlight w:val="none"/>
        </w:rPr>
        <w:t>应向甲方提供使用货物的有关技术资料。</w:t>
      </w:r>
    </w:p>
    <w:p>
      <w:pPr>
        <w:autoSpaceDE w:val="0"/>
        <w:autoSpaceDN w:val="0"/>
        <w:adjustRightInd w:val="0"/>
        <w:spacing w:line="360" w:lineRule="auto"/>
        <w:ind w:firstLine="482" w:firstLineChars="200"/>
        <w:rPr>
          <w:rFonts w:hint="eastAsia" w:ascii="宋体" w:hAnsi="宋体"/>
          <w:b/>
          <w:color w:val="auto"/>
          <w:sz w:val="24"/>
          <w:highlight w:val="none"/>
        </w:rPr>
      </w:pPr>
      <w:r>
        <w:rPr>
          <w:rFonts w:hint="eastAsia" w:ascii="宋体" w:hAnsi="宋体"/>
          <w:b/>
          <w:color w:val="auto"/>
          <w:sz w:val="24"/>
          <w:highlight w:val="none"/>
        </w:rPr>
        <w:t>六、</w:t>
      </w:r>
      <w:r>
        <w:rPr>
          <w:rFonts w:ascii="宋体" w:hAnsi="宋体"/>
          <w:b/>
          <w:color w:val="auto"/>
          <w:sz w:val="24"/>
          <w:highlight w:val="none"/>
        </w:rPr>
        <w:t>调试和验收</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乙方交货前应对产品</w:t>
      </w:r>
      <w:r>
        <w:rPr>
          <w:rFonts w:hint="eastAsia" w:ascii="宋体" w:hAnsi="宋体"/>
          <w:color w:val="auto"/>
          <w:sz w:val="24"/>
          <w:highlight w:val="none"/>
        </w:rPr>
        <w:t>做出</w:t>
      </w:r>
      <w:r>
        <w:rPr>
          <w:rFonts w:ascii="宋体" w:hAnsi="宋体"/>
          <w:color w:val="auto"/>
          <w:sz w:val="24"/>
          <w:highlight w:val="none"/>
        </w:rPr>
        <w:t>全面检查</w:t>
      </w:r>
      <w:r>
        <w:rPr>
          <w:rFonts w:hint="eastAsia" w:ascii="宋体" w:hAnsi="宋体"/>
          <w:color w:val="auto"/>
          <w:sz w:val="24"/>
          <w:highlight w:val="none"/>
        </w:rPr>
        <w:t>，</w:t>
      </w:r>
      <w:r>
        <w:rPr>
          <w:rFonts w:ascii="宋体" w:hAnsi="宋体"/>
          <w:color w:val="auto"/>
          <w:sz w:val="24"/>
          <w:highlight w:val="none"/>
        </w:rPr>
        <w:t>对验收文件进行整理，并列出清单，作为甲方收货验收和使用的技术条件依据，检验的结果应随货物交甲方。</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提供的货物在使用前</w:t>
      </w:r>
      <w:r>
        <w:rPr>
          <w:rFonts w:hint="eastAsia" w:ascii="宋体" w:hAnsi="宋体"/>
          <w:color w:val="auto"/>
          <w:sz w:val="24"/>
          <w:highlight w:val="none"/>
        </w:rPr>
        <w:t>需</w:t>
      </w:r>
      <w:r>
        <w:rPr>
          <w:rFonts w:ascii="宋体" w:hAnsi="宋体"/>
          <w:color w:val="auto"/>
          <w:sz w:val="24"/>
          <w:highlight w:val="none"/>
        </w:rPr>
        <w:t>进行调试</w:t>
      </w:r>
      <w:r>
        <w:rPr>
          <w:rFonts w:hint="eastAsia" w:ascii="宋体" w:hAnsi="宋体"/>
          <w:color w:val="auto"/>
          <w:sz w:val="24"/>
          <w:highlight w:val="none"/>
        </w:rPr>
        <w:t>的</w:t>
      </w:r>
      <w:r>
        <w:rPr>
          <w:rFonts w:ascii="宋体" w:hAnsi="宋体"/>
          <w:color w:val="auto"/>
          <w:sz w:val="24"/>
          <w:highlight w:val="none"/>
        </w:rPr>
        <w:t>，乙方需负责安装并培训甲方的使用操作人员，并协助甲方一起调试，直到符合技术要求，甲方才做最终验收。</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甲方对乙方提交的货物需在五个工作日内</w:t>
      </w:r>
      <w:r>
        <w:rPr>
          <w:rFonts w:hint="eastAsia" w:ascii="宋体" w:hAnsi="宋体"/>
          <w:color w:val="auto"/>
          <w:sz w:val="24"/>
          <w:highlight w:val="none"/>
        </w:rPr>
        <w:t>，</w:t>
      </w:r>
      <w:r>
        <w:rPr>
          <w:rFonts w:ascii="宋体" w:hAnsi="宋体"/>
          <w:color w:val="auto"/>
          <w:sz w:val="24"/>
          <w:highlight w:val="none"/>
        </w:rPr>
        <w:t>依据招标文件上的技术规格要求和国家有关质量标准进行现场验收</w:t>
      </w:r>
      <w:r>
        <w:rPr>
          <w:rFonts w:hint="eastAsia" w:ascii="宋体" w:hAnsi="宋体"/>
          <w:color w:val="auto"/>
          <w:sz w:val="24"/>
          <w:highlight w:val="none"/>
        </w:rPr>
        <w:t>。</w:t>
      </w:r>
      <w:r>
        <w:rPr>
          <w:rFonts w:ascii="宋体" w:hAnsi="宋体"/>
          <w:color w:val="auto"/>
          <w:sz w:val="24"/>
          <w:highlight w:val="none"/>
        </w:rPr>
        <w:t>对技术复杂的货物，甲方应请国家认可的专业检测机构参与初步验收及最终验收，并由其出具质量检测报告</w:t>
      </w:r>
      <w:r>
        <w:rPr>
          <w:rFonts w:hint="eastAsia" w:ascii="宋体" w:hAnsi="宋体"/>
          <w:color w:val="auto"/>
          <w:sz w:val="24"/>
          <w:highlight w:val="none"/>
        </w:rPr>
        <w:t>，</w:t>
      </w:r>
      <w:r>
        <w:rPr>
          <w:rFonts w:ascii="宋体" w:hAnsi="宋体"/>
          <w:color w:val="auto"/>
          <w:sz w:val="24"/>
          <w:highlight w:val="none"/>
        </w:rPr>
        <w:t>验收费用由乙方负责。</w:t>
      </w:r>
    </w:p>
    <w:p>
      <w:pPr>
        <w:autoSpaceDE w:val="0"/>
        <w:autoSpaceDN w:val="0"/>
        <w:adjustRightIn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4、验收完毕</w:t>
      </w:r>
      <w:r>
        <w:rPr>
          <w:rFonts w:ascii="宋体" w:hAnsi="宋体"/>
          <w:color w:val="auto"/>
          <w:sz w:val="24"/>
          <w:highlight w:val="none"/>
        </w:rPr>
        <w:t>乙方</w:t>
      </w:r>
      <w:r>
        <w:rPr>
          <w:rFonts w:hint="eastAsia" w:ascii="宋体" w:hAnsi="宋体"/>
          <w:color w:val="auto"/>
          <w:sz w:val="24"/>
          <w:highlight w:val="none"/>
        </w:rPr>
        <w:t>应出具验收</w:t>
      </w:r>
      <w:r>
        <w:rPr>
          <w:rFonts w:ascii="宋体" w:hAnsi="宋体"/>
          <w:color w:val="auto"/>
          <w:sz w:val="24"/>
          <w:highlight w:val="none"/>
        </w:rPr>
        <w:t>结果</w:t>
      </w:r>
      <w:r>
        <w:rPr>
          <w:rFonts w:hint="eastAsia" w:ascii="宋体" w:hAnsi="宋体"/>
          <w:color w:val="auto"/>
          <w:sz w:val="24"/>
          <w:highlight w:val="none"/>
        </w:rPr>
        <w:t>报告，</w:t>
      </w:r>
      <w:r>
        <w:rPr>
          <w:rFonts w:ascii="宋体" w:hAnsi="宋体"/>
          <w:color w:val="auto"/>
          <w:sz w:val="24"/>
          <w:highlight w:val="none"/>
        </w:rPr>
        <w:t>符合要求的给予签收，验收不合格的不予签收。</w:t>
      </w:r>
    </w:p>
    <w:p>
      <w:pPr>
        <w:spacing w:line="360" w:lineRule="auto"/>
        <w:ind w:firstLine="482" w:firstLineChars="200"/>
        <w:rPr>
          <w:rFonts w:hint="eastAsia" w:ascii="宋体" w:hAnsi="宋体"/>
          <w:b/>
          <w:color w:val="auto"/>
          <w:sz w:val="24"/>
          <w:highlight w:val="none"/>
        </w:rPr>
      </w:pPr>
      <w:r>
        <w:rPr>
          <w:rFonts w:hint="eastAsia" w:ascii="宋体" w:hAnsi="宋体"/>
          <w:b/>
          <w:color w:val="auto"/>
          <w:sz w:val="24"/>
          <w:highlight w:val="none"/>
        </w:rPr>
        <w:t>七</w:t>
      </w:r>
      <w:r>
        <w:rPr>
          <w:rFonts w:ascii="宋体" w:hAnsi="宋体"/>
          <w:b/>
          <w:color w:val="auto"/>
          <w:sz w:val="24"/>
          <w:highlight w:val="none"/>
        </w:rPr>
        <w:t>、</w:t>
      </w:r>
      <w:r>
        <w:rPr>
          <w:rFonts w:hint="eastAsia" w:ascii="宋体" w:hAnsi="宋体"/>
          <w:b/>
          <w:color w:val="auto"/>
          <w:sz w:val="24"/>
          <w:highlight w:val="none"/>
        </w:rPr>
        <w:t>付款方式：</w:t>
      </w:r>
    </w:p>
    <w:p>
      <w:pPr>
        <w:spacing w:line="360" w:lineRule="auto"/>
        <w:ind w:firstLine="480" w:firstLineChars="200"/>
        <w:outlineLvl w:val="0"/>
        <w:rPr>
          <w:rFonts w:hint="eastAsia" w:ascii="宋体" w:hAnsi="宋体" w:cs="宋体"/>
          <w:bCs/>
          <w:color w:val="auto"/>
          <w:sz w:val="24"/>
          <w:highlight w:val="none"/>
        </w:rPr>
      </w:pPr>
      <w:r>
        <w:rPr>
          <w:rFonts w:hint="eastAsia" w:ascii="宋体" w:hAnsi="宋体" w:cs="宋体"/>
          <w:bCs/>
          <w:color w:val="auto"/>
          <w:sz w:val="24"/>
          <w:highlight w:val="none"/>
        </w:rPr>
        <w:t>1.合同签订并具备实施条件后七个工作日内，中标供应商开具发票，采购人向中标供应商支付合同金额50%预付款；</w:t>
      </w:r>
    </w:p>
    <w:p>
      <w:pPr>
        <w:spacing w:line="360" w:lineRule="auto"/>
        <w:ind w:firstLine="480" w:firstLineChars="200"/>
        <w:outlineLvl w:val="0"/>
        <w:rPr>
          <w:rFonts w:hint="eastAsia" w:ascii="宋体" w:hAnsi="宋体" w:cs="宋体"/>
          <w:color w:val="auto"/>
          <w:sz w:val="24"/>
          <w:highlight w:val="none"/>
        </w:rPr>
      </w:pPr>
      <w:r>
        <w:rPr>
          <w:rFonts w:hint="eastAsia" w:ascii="宋体" w:hAnsi="宋体" w:cs="宋体"/>
          <w:bCs/>
          <w:color w:val="auto"/>
          <w:sz w:val="24"/>
          <w:highlight w:val="none"/>
        </w:rPr>
        <w:t>2.全部安装完毕、验收合格且收到发票后，支付至合同价的100%。</w:t>
      </w:r>
    </w:p>
    <w:p>
      <w:pPr>
        <w:autoSpaceDE w:val="0"/>
        <w:autoSpaceDN w:val="0"/>
        <w:adjustRightInd w:val="0"/>
        <w:spacing w:line="360" w:lineRule="auto"/>
        <w:ind w:firstLine="482" w:firstLineChars="200"/>
        <w:rPr>
          <w:rFonts w:hint="eastAsia" w:ascii="宋体" w:hAnsi="宋体"/>
          <w:b/>
          <w:color w:val="auto"/>
          <w:sz w:val="24"/>
          <w:highlight w:val="none"/>
        </w:rPr>
      </w:pPr>
      <w:r>
        <w:rPr>
          <w:rFonts w:hint="eastAsia" w:ascii="宋体" w:hAnsi="宋体"/>
          <w:b/>
          <w:color w:val="auto"/>
          <w:sz w:val="24"/>
          <w:highlight w:val="none"/>
        </w:rPr>
        <w:t>八</w:t>
      </w:r>
      <w:r>
        <w:rPr>
          <w:rFonts w:ascii="宋体" w:hAnsi="宋体"/>
          <w:b/>
          <w:color w:val="auto"/>
          <w:sz w:val="24"/>
          <w:highlight w:val="none"/>
        </w:rPr>
        <w:t>、违约责任</w:t>
      </w:r>
      <w:r>
        <w:rPr>
          <w:rFonts w:hint="eastAsia" w:ascii="宋体" w:hAnsi="宋体"/>
          <w:b/>
          <w:color w:val="auto"/>
          <w:sz w:val="24"/>
          <w:highlight w:val="none"/>
        </w:rPr>
        <w:t>：</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甲方无正当理由拒收货物的，甲方应向乙方偿付拒收货款总值的百分之五违约金。</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甲方无故逾期验收和办理货款支付手续的</w:t>
      </w:r>
      <w:r>
        <w:rPr>
          <w:rFonts w:hint="eastAsia" w:ascii="宋体" w:hAnsi="宋体"/>
          <w:color w:val="auto"/>
          <w:sz w:val="24"/>
          <w:highlight w:val="none"/>
        </w:rPr>
        <w:t>，</w:t>
      </w:r>
      <w:r>
        <w:rPr>
          <w:rFonts w:ascii="宋体" w:hAnsi="宋体"/>
          <w:color w:val="auto"/>
          <w:sz w:val="24"/>
          <w:highlight w:val="none"/>
        </w:rPr>
        <w:t>甲方应按逾期付款总额每日万分之五向乙方支付违约金。</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w:t>
      </w:r>
      <w:r>
        <w:rPr>
          <w:rFonts w:hint="eastAsia" w:ascii="宋体" w:hAnsi="宋体"/>
          <w:color w:val="auto"/>
          <w:sz w:val="24"/>
          <w:highlight w:val="none"/>
        </w:rPr>
        <w:t>若</w:t>
      </w:r>
      <w:r>
        <w:rPr>
          <w:rFonts w:ascii="宋体" w:hAnsi="宋体"/>
          <w:color w:val="auto"/>
          <w:sz w:val="24"/>
          <w:highlight w:val="none"/>
        </w:rPr>
        <w:t xml:space="preserve">造成甲方损失超过违约金的，超出部分由乙方继续承担赔偿责任。 </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4</w:t>
      </w:r>
      <w:r>
        <w:rPr>
          <w:rFonts w:hint="eastAsia" w:ascii="宋体" w:hAnsi="宋体"/>
          <w:color w:val="auto"/>
          <w:sz w:val="24"/>
          <w:highlight w:val="none"/>
        </w:rPr>
        <w:t>、</w:t>
      </w:r>
      <w:r>
        <w:rPr>
          <w:rFonts w:ascii="宋体" w:hAnsi="宋体"/>
          <w:color w:val="auto"/>
          <w:sz w:val="24"/>
          <w:highlight w:val="none"/>
        </w:rPr>
        <w:t>乙方所交的货物品种、型号、规格、技术参数、质量不符合合同规定及招标</w:t>
      </w:r>
      <w:r>
        <w:rPr>
          <w:rFonts w:hint="eastAsia" w:ascii="宋体" w:hAnsi="宋体"/>
          <w:color w:val="auto"/>
          <w:kern w:val="0"/>
          <w:sz w:val="24"/>
          <w:highlight w:val="none"/>
        </w:rPr>
        <w:t>（或竞争性谈判、询价）</w:t>
      </w:r>
      <w:r>
        <w:rPr>
          <w:rFonts w:ascii="宋体" w:hAnsi="宋体"/>
          <w:color w:val="auto"/>
          <w:sz w:val="24"/>
          <w:highlight w:val="none"/>
        </w:rPr>
        <w:t>文件规定标准的，甲方有权拒收该货物，乙方愿意更换货物但逾期交货的，按乙方逾期交货处理。乙方拒绝更换货物的，甲方可单方面解除合同。</w:t>
      </w:r>
    </w:p>
    <w:p>
      <w:pPr>
        <w:autoSpaceDE w:val="0"/>
        <w:autoSpaceDN w:val="0"/>
        <w:adjustRightInd w:val="0"/>
        <w:spacing w:line="360" w:lineRule="auto"/>
        <w:ind w:firstLine="482" w:firstLineChars="200"/>
        <w:rPr>
          <w:rFonts w:hint="eastAsia" w:ascii="宋体" w:hAnsi="宋体"/>
          <w:b/>
          <w:color w:val="auto"/>
          <w:sz w:val="24"/>
          <w:highlight w:val="none"/>
        </w:rPr>
      </w:pPr>
      <w:r>
        <w:rPr>
          <w:rFonts w:hint="eastAsia" w:ascii="宋体" w:hAnsi="宋体"/>
          <w:b/>
          <w:color w:val="auto"/>
          <w:sz w:val="24"/>
          <w:highlight w:val="none"/>
        </w:rPr>
        <w:t>九</w:t>
      </w:r>
      <w:r>
        <w:rPr>
          <w:rFonts w:ascii="宋体" w:hAnsi="宋体"/>
          <w:b/>
          <w:color w:val="auto"/>
          <w:sz w:val="24"/>
          <w:highlight w:val="none"/>
        </w:rPr>
        <w:t>、不可抗力事件处理</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在合同有效期内，任何一方因不可抗力事件导致不能履行合同</w:t>
      </w:r>
      <w:r>
        <w:rPr>
          <w:rFonts w:hint="eastAsia" w:ascii="宋体" w:hAnsi="宋体"/>
          <w:color w:val="auto"/>
          <w:sz w:val="24"/>
          <w:highlight w:val="none"/>
        </w:rPr>
        <w:t>的</w:t>
      </w:r>
      <w:r>
        <w:rPr>
          <w:rFonts w:ascii="宋体" w:hAnsi="宋体"/>
          <w:color w:val="auto"/>
          <w:sz w:val="24"/>
          <w:highlight w:val="none"/>
        </w:rPr>
        <w:t>，合同履行期可延长，其延长期与不可抗力影响期相同。</w:t>
      </w:r>
    </w:p>
    <w:p>
      <w:pPr>
        <w:autoSpaceDE w:val="0"/>
        <w:autoSpaceDN w:val="0"/>
        <w:adjustRightIn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不可抗力事件发生后，应立即通知对方，并寄送有关权威机构出具的证明。</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不可抗力事件延续120天以上，双方应通过友好协商，确定是否继续履行合同。</w:t>
      </w:r>
    </w:p>
    <w:p>
      <w:pPr>
        <w:autoSpaceDE w:val="0"/>
        <w:autoSpaceDN w:val="0"/>
        <w:adjustRightInd w:val="0"/>
        <w:spacing w:line="360" w:lineRule="auto"/>
        <w:ind w:firstLine="482" w:firstLineChars="200"/>
        <w:rPr>
          <w:rFonts w:hint="eastAsia" w:ascii="宋体" w:hAnsi="宋体"/>
          <w:b/>
          <w:color w:val="auto"/>
          <w:sz w:val="24"/>
          <w:highlight w:val="none"/>
        </w:rPr>
      </w:pPr>
      <w:r>
        <w:rPr>
          <w:rFonts w:hint="eastAsia" w:ascii="宋体" w:hAnsi="宋体"/>
          <w:b/>
          <w:color w:val="auto"/>
          <w:sz w:val="24"/>
          <w:highlight w:val="none"/>
        </w:rPr>
        <w:t>十</w:t>
      </w:r>
      <w:r>
        <w:rPr>
          <w:rFonts w:ascii="宋体" w:hAnsi="宋体"/>
          <w:b/>
          <w:color w:val="auto"/>
          <w:sz w:val="24"/>
          <w:highlight w:val="none"/>
        </w:rPr>
        <w:t>、</w:t>
      </w:r>
      <w:r>
        <w:rPr>
          <w:rFonts w:hint="eastAsia" w:ascii="宋体" w:hAnsi="宋体"/>
          <w:b/>
          <w:color w:val="auto"/>
          <w:sz w:val="24"/>
          <w:highlight w:val="none"/>
        </w:rPr>
        <w:t>争议解决办法</w:t>
      </w:r>
    </w:p>
    <w:p>
      <w:pPr>
        <w:autoSpaceDE w:val="0"/>
        <w:autoSpaceDN w:val="0"/>
        <w:adjustRightIn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1、因货物质量发生争议，由</w:t>
      </w:r>
      <w:r>
        <w:rPr>
          <w:rFonts w:hint="eastAsia" w:ascii="宋体" w:hAnsi="宋体"/>
          <w:color w:val="auto"/>
          <w:sz w:val="24"/>
          <w:highlight w:val="none"/>
          <w:u w:val="single"/>
        </w:rPr>
        <w:t xml:space="preserve"> 嘉兴市 </w:t>
      </w:r>
      <w:r>
        <w:rPr>
          <w:rFonts w:hint="eastAsia" w:ascii="宋体" w:hAnsi="宋体"/>
          <w:color w:val="auto"/>
          <w:sz w:val="24"/>
          <w:highlight w:val="none"/>
        </w:rPr>
        <w:t>质量技术监督局或其指定的质量鉴定单位进行鉴定。货物符合标准的，鉴定费由甲方承担；货物不符合标准的，鉴定费由乙方承担。</w:t>
      </w:r>
    </w:p>
    <w:p>
      <w:pPr>
        <w:autoSpaceDE w:val="0"/>
        <w:autoSpaceDN w:val="0"/>
        <w:adjustRightIn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执行合同中所发生的</w:t>
      </w:r>
      <w:r>
        <w:rPr>
          <w:rFonts w:hint="eastAsia" w:ascii="宋体" w:hAnsi="宋体"/>
          <w:color w:val="auto"/>
          <w:sz w:val="24"/>
          <w:highlight w:val="none"/>
        </w:rPr>
        <w:t>其他</w:t>
      </w:r>
      <w:r>
        <w:rPr>
          <w:rFonts w:ascii="宋体" w:hAnsi="宋体"/>
          <w:color w:val="auto"/>
          <w:sz w:val="24"/>
          <w:highlight w:val="none"/>
        </w:rPr>
        <w:t>争议，应通过协商解决。如协商不成，可向合同签订地法院起诉</w:t>
      </w:r>
      <w:r>
        <w:rPr>
          <w:rFonts w:hint="eastAsia" w:ascii="宋体" w:hAnsi="宋体"/>
          <w:color w:val="auto"/>
          <w:sz w:val="24"/>
          <w:highlight w:val="none"/>
        </w:rPr>
        <w:t>。</w:t>
      </w:r>
      <w:r>
        <w:rPr>
          <w:rFonts w:ascii="宋体" w:hAnsi="宋体"/>
          <w:color w:val="auto"/>
          <w:sz w:val="24"/>
          <w:highlight w:val="none"/>
        </w:rPr>
        <w:t>合同签订地在此约定为</w:t>
      </w:r>
      <w:r>
        <w:rPr>
          <w:rFonts w:hint="eastAsia" w:ascii="宋体" w:hAnsi="宋体"/>
          <w:color w:val="auto"/>
          <w:sz w:val="24"/>
          <w:highlight w:val="none"/>
          <w:u w:val="single"/>
        </w:rPr>
        <w:t xml:space="preserve">浙江平湖 </w:t>
      </w:r>
      <w:r>
        <w:rPr>
          <w:rFonts w:hint="eastAsia" w:ascii="宋体" w:hAnsi="宋体"/>
          <w:color w:val="auto"/>
          <w:sz w:val="24"/>
          <w:highlight w:val="none"/>
        </w:rPr>
        <w:t>。</w:t>
      </w:r>
    </w:p>
    <w:p>
      <w:pPr>
        <w:autoSpaceDE w:val="0"/>
        <w:autoSpaceDN w:val="0"/>
        <w:adjustRightInd w:val="0"/>
        <w:spacing w:line="360" w:lineRule="auto"/>
        <w:ind w:firstLine="482" w:firstLineChars="200"/>
        <w:rPr>
          <w:rFonts w:hint="eastAsia" w:ascii="宋体" w:hAnsi="宋体"/>
          <w:b/>
          <w:color w:val="auto"/>
          <w:sz w:val="24"/>
          <w:highlight w:val="none"/>
        </w:rPr>
      </w:pPr>
      <w:r>
        <w:rPr>
          <w:rFonts w:ascii="宋体" w:hAnsi="宋体"/>
          <w:b/>
          <w:color w:val="auto"/>
          <w:sz w:val="24"/>
          <w:highlight w:val="none"/>
        </w:rPr>
        <w:t>十</w:t>
      </w:r>
      <w:r>
        <w:rPr>
          <w:rFonts w:hint="eastAsia" w:ascii="宋体" w:hAnsi="宋体"/>
          <w:b/>
          <w:color w:val="auto"/>
          <w:sz w:val="24"/>
          <w:highlight w:val="none"/>
        </w:rPr>
        <w:t>一</w:t>
      </w:r>
      <w:r>
        <w:rPr>
          <w:rFonts w:ascii="宋体" w:hAnsi="宋体"/>
          <w:b/>
          <w:color w:val="auto"/>
          <w:sz w:val="24"/>
          <w:highlight w:val="none"/>
        </w:rPr>
        <w:t>、合同生效及其它</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合同经</w:t>
      </w:r>
      <w:r>
        <w:rPr>
          <w:rFonts w:hint="eastAsia" w:ascii="宋体" w:hAnsi="宋体"/>
          <w:color w:val="auto"/>
          <w:sz w:val="24"/>
          <w:highlight w:val="none"/>
        </w:rPr>
        <w:t>甲、乙、丙三</w:t>
      </w:r>
      <w:r>
        <w:rPr>
          <w:rFonts w:ascii="宋体" w:hAnsi="宋体"/>
          <w:color w:val="auto"/>
          <w:sz w:val="24"/>
          <w:highlight w:val="none"/>
        </w:rPr>
        <w:t>方法定代表人或授权委托代理人签字并加盖单位公章后生效。</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合同执行中涉及采购资金和采购内容修改或补充的，须经市财政部门审批，并签书面补充协议报市政府采购监督管理部门备案，方可作为主合同不可分割的一部分。</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本合同未尽事宜，遵照《</w:t>
      </w:r>
      <w:r>
        <w:rPr>
          <w:rFonts w:ascii="宋体" w:hAnsi="宋体"/>
          <w:color w:val="auto"/>
          <w:kern w:val="0"/>
          <w:sz w:val="24"/>
          <w:highlight w:val="none"/>
        </w:rPr>
        <w:t>中华人民共和国</w:t>
      </w:r>
      <w:r>
        <w:rPr>
          <w:rFonts w:hint="eastAsia" w:ascii="宋体" w:hAnsi="宋体"/>
          <w:color w:val="auto"/>
          <w:sz w:val="24"/>
          <w:highlight w:val="none"/>
        </w:rPr>
        <w:t>民法典</w:t>
      </w:r>
      <w:r>
        <w:rPr>
          <w:rFonts w:ascii="宋体" w:hAnsi="宋体"/>
          <w:color w:val="auto"/>
          <w:sz w:val="24"/>
          <w:highlight w:val="none"/>
        </w:rPr>
        <w:t>》有关条文执行。</w:t>
      </w:r>
    </w:p>
    <w:p>
      <w:pPr>
        <w:autoSpaceDE w:val="0"/>
        <w:autoSpaceDN w:val="0"/>
        <w:adjustRightIn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4</w:t>
      </w:r>
      <w:r>
        <w:rPr>
          <w:rFonts w:hint="eastAsia" w:ascii="宋体" w:hAnsi="宋体"/>
          <w:color w:val="auto"/>
          <w:sz w:val="24"/>
          <w:highlight w:val="none"/>
        </w:rPr>
        <w:t>、本合同一式五份，甲、乙、丙三方、财政局核算中心各执一份，一份交财政局备案</w:t>
      </w:r>
      <w:r>
        <w:rPr>
          <w:rFonts w:ascii="宋体" w:hAnsi="宋体"/>
          <w:color w:val="auto"/>
          <w:sz w:val="24"/>
          <w:highlight w:val="none"/>
        </w:rPr>
        <w:t>。</w:t>
      </w:r>
    </w:p>
    <w:p>
      <w:pPr>
        <w:pStyle w:val="18"/>
        <w:snapToGrid w:val="0"/>
        <w:spacing w:beforeLines="0" w:afterLines="0" w:line="360" w:lineRule="auto"/>
        <w:ind w:left="480" w:hanging="480" w:hangingChars="200"/>
        <w:rPr>
          <w:rFonts w:hint="eastAsia" w:hAnsi="宋体"/>
          <w:color w:val="auto"/>
          <w:highlight w:val="none"/>
        </w:rPr>
      </w:pPr>
      <w:r>
        <w:rPr>
          <w:rFonts w:hAnsi="宋体"/>
          <w:color w:val="auto"/>
          <w:highlight w:val="none"/>
        </w:rPr>
        <w:t xml:space="preserve">  甲方：</w:t>
      </w:r>
      <w:r>
        <w:rPr>
          <w:rFonts w:hint="eastAsia" w:hAnsi="宋体"/>
          <w:color w:val="auto"/>
          <w:highlight w:val="none"/>
        </w:rPr>
        <w:t>上海世外教育附属平湖经开实验小学</w:t>
      </w:r>
      <w:r>
        <w:rPr>
          <w:rFonts w:hAnsi="宋体"/>
          <w:color w:val="auto"/>
          <w:highlight w:val="none"/>
        </w:rPr>
        <w:t xml:space="preserve">  </w:t>
      </w:r>
      <w:r>
        <w:rPr>
          <w:rFonts w:hint="eastAsia" w:hAnsi="宋体"/>
          <w:color w:val="auto"/>
          <w:highlight w:val="none"/>
        </w:rPr>
        <w:t xml:space="preserve"> </w:t>
      </w:r>
      <w:r>
        <w:rPr>
          <w:rFonts w:hAnsi="宋体"/>
          <w:color w:val="auto"/>
          <w:highlight w:val="none"/>
        </w:rPr>
        <w:t xml:space="preserve">乙方： </w:t>
      </w:r>
    </w:p>
    <w:p>
      <w:pPr>
        <w:pStyle w:val="18"/>
        <w:snapToGrid w:val="0"/>
        <w:spacing w:beforeLines="0" w:afterLines="0" w:line="360" w:lineRule="auto"/>
        <w:rPr>
          <w:rFonts w:hint="eastAsia" w:hAnsi="宋体"/>
          <w:color w:val="auto"/>
          <w:highlight w:val="none"/>
        </w:rPr>
      </w:pPr>
      <w:r>
        <w:rPr>
          <w:rFonts w:hAnsi="宋体"/>
          <w:color w:val="auto"/>
          <w:highlight w:val="none"/>
        </w:rPr>
        <w:t xml:space="preserve">  地址：                                   地址： </w:t>
      </w:r>
    </w:p>
    <w:p>
      <w:pPr>
        <w:pStyle w:val="18"/>
        <w:snapToGrid w:val="0"/>
        <w:spacing w:beforeLines="0" w:afterLines="0" w:line="360" w:lineRule="auto"/>
        <w:rPr>
          <w:rFonts w:hint="eastAsia" w:hAnsi="宋体"/>
          <w:color w:val="auto"/>
          <w:highlight w:val="none"/>
        </w:rPr>
      </w:pPr>
      <w:r>
        <w:rPr>
          <w:rFonts w:hAnsi="宋体"/>
          <w:color w:val="auto"/>
          <w:highlight w:val="none"/>
        </w:rPr>
        <w:t xml:space="preserve">  法定（授权）代表人：                     法定（授权）代表人：</w:t>
      </w:r>
    </w:p>
    <w:p>
      <w:pPr>
        <w:pStyle w:val="18"/>
        <w:snapToGrid w:val="0"/>
        <w:spacing w:beforeLines="0" w:afterLines="0" w:line="360" w:lineRule="auto"/>
        <w:rPr>
          <w:rFonts w:hint="eastAsia" w:hAnsi="宋体"/>
          <w:color w:val="auto"/>
          <w:highlight w:val="none"/>
        </w:rPr>
      </w:pPr>
      <w:r>
        <w:rPr>
          <w:rFonts w:hAnsi="宋体"/>
          <w:color w:val="auto"/>
          <w:highlight w:val="none"/>
        </w:rPr>
        <w:t xml:space="preserve">  签字日期：      年  月  日          </w:t>
      </w:r>
      <w:r>
        <w:rPr>
          <w:rFonts w:hint="eastAsia" w:hAnsi="宋体"/>
          <w:color w:val="auto"/>
          <w:highlight w:val="none"/>
        </w:rPr>
        <w:t xml:space="preserve">    </w:t>
      </w:r>
      <w:r>
        <w:rPr>
          <w:rFonts w:hAnsi="宋体"/>
          <w:color w:val="auto"/>
          <w:highlight w:val="none"/>
        </w:rPr>
        <w:t xml:space="preserve"> 签字日期：      年  月  日</w:t>
      </w:r>
    </w:p>
    <w:p>
      <w:pPr>
        <w:pStyle w:val="18"/>
        <w:snapToGrid w:val="0"/>
        <w:spacing w:beforeLines="0" w:afterLines="0" w:line="360" w:lineRule="auto"/>
        <w:rPr>
          <w:rFonts w:hint="eastAsia" w:hAnsi="宋体"/>
          <w:color w:val="auto"/>
          <w:highlight w:val="none"/>
        </w:rPr>
      </w:pPr>
    </w:p>
    <w:p>
      <w:pPr>
        <w:pStyle w:val="18"/>
        <w:snapToGrid w:val="0"/>
        <w:spacing w:beforeLines="0" w:afterLines="0" w:line="360" w:lineRule="auto"/>
        <w:ind w:firstLine="240" w:firstLineChars="100"/>
        <w:rPr>
          <w:rFonts w:hint="eastAsia" w:hAnsi="宋体"/>
          <w:color w:val="auto"/>
          <w:highlight w:val="none"/>
        </w:rPr>
      </w:pPr>
      <w:r>
        <w:rPr>
          <w:rFonts w:hint="eastAsia" w:hAnsi="宋体"/>
          <w:color w:val="auto"/>
          <w:highlight w:val="none"/>
        </w:rPr>
        <w:t>丙</w:t>
      </w:r>
      <w:r>
        <w:rPr>
          <w:rFonts w:hAnsi="宋体"/>
          <w:color w:val="auto"/>
          <w:highlight w:val="none"/>
        </w:rPr>
        <w:t>方:</w:t>
      </w:r>
      <w:r>
        <w:rPr>
          <w:rFonts w:hint="eastAsia" w:hAnsi="宋体"/>
          <w:color w:val="auto"/>
          <w:highlight w:val="none"/>
        </w:rPr>
        <w:t>平湖市公共资源交易中心</w:t>
      </w:r>
    </w:p>
    <w:p>
      <w:pPr>
        <w:pStyle w:val="18"/>
        <w:snapToGrid w:val="0"/>
        <w:spacing w:beforeLines="0" w:afterLines="0" w:line="360" w:lineRule="auto"/>
        <w:ind w:firstLine="240" w:firstLineChars="100"/>
        <w:rPr>
          <w:rFonts w:hint="eastAsia" w:hAnsi="宋体"/>
          <w:color w:val="auto"/>
          <w:highlight w:val="none"/>
        </w:rPr>
      </w:pPr>
      <w:r>
        <w:rPr>
          <w:rFonts w:hAnsi="宋体"/>
          <w:color w:val="auto"/>
          <w:highlight w:val="none"/>
        </w:rPr>
        <w:t>法定代表人或主要负责人:</w:t>
      </w:r>
    </w:p>
    <w:p>
      <w:pPr>
        <w:pStyle w:val="18"/>
        <w:snapToGrid w:val="0"/>
        <w:spacing w:beforeLines="0" w:afterLines="0" w:line="360" w:lineRule="auto"/>
        <w:ind w:firstLine="240" w:firstLineChars="100"/>
        <w:rPr>
          <w:rFonts w:hint="eastAsia" w:hAnsi="宋体"/>
          <w:color w:val="auto"/>
          <w:highlight w:val="none"/>
        </w:rPr>
      </w:pPr>
      <w:r>
        <w:rPr>
          <w:rFonts w:hAnsi="宋体"/>
          <w:color w:val="auto"/>
          <w:highlight w:val="none"/>
        </w:rPr>
        <w:t>鉴证日期:      年  月  日</w:t>
      </w:r>
    </w:p>
    <w:p>
      <w:pPr>
        <w:pStyle w:val="18"/>
        <w:snapToGrid w:val="0"/>
        <w:spacing w:beforeLines="0" w:afterLines="0" w:line="360" w:lineRule="auto"/>
        <w:ind w:firstLine="120" w:firstLineChars="50"/>
        <w:rPr>
          <w:rFonts w:hint="eastAsia" w:hAnsi="宋体"/>
          <w:color w:val="auto"/>
          <w:highlight w:val="none"/>
        </w:rPr>
      </w:pPr>
    </w:p>
    <w:p>
      <w:pPr>
        <w:pStyle w:val="18"/>
        <w:snapToGrid w:val="0"/>
        <w:spacing w:beforeLines="0" w:afterLines="0" w:line="360" w:lineRule="auto"/>
        <w:ind w:firstLine="120" w:firstLineChars="50"/>
        <w:rPr>
          <w:rFonts w:hint="eastAsia" w:hAnsi="宋体"/>
          <w:color w:val="auto"/>
          <w:highlight w:val="none"/>
        </w:rPr>
      </w:pPr>
    </w:p>
    <w:p>
      <w:pPr>
        <w:pStyle w:val="18"/>
        <w:snapToGrid w:val="0"/>
        <w:spacing w:beforeLines="0" w:afterLines="0" w:line="360" w:lineRule="auto"/>
        <w:ind w:firstLine="120" w:firstLineChars="50"/>
        <w:rPr>
          <w:rFonts w:hint="eastAsia" w:hAnsi="宋体"/>
          <w:color w:val="auto"/>
          <w:highlight w:val="none"/>
        </w:rPr>
      </w:pPr>
    </w:p>
    <w:p>
      <w:pPr>
        <w:pStyle w:val="2"/>
        <w:rPr>
          <w:rFonts w:hint="eastAsia"/>
          <w:color w:val="auto"/>
          <w:highlight w:val="none"/>
        </w:rPr>
      </w:pPr>
    </w:p>
    <w:p>
      <w:pPr>
        <w:pStyle w:val="18"/>
        <w:snapToGrid w:val="0"/>
        <w:spacing w:beforeLines="0" w:afterLines="0" w:line="360" w:lineRule="auto"/>
        <w:ind w:firstLine="120" w:firstLineChars="50"/>
        <w:rPr>
          <w:rFonts w:hint="eastAsia" w:hAnsi="宋体"/>
          <w:color w:val="auto"/>
          <w:highlight w:val="none"/>
        </w:rPr>
      </w:pPr>
    </w:p>
    <w:p>
      <w:pPr>
        <w:pStyle w:val="18"/>
        <w:snapToGrid w:val="0"/>
        <w:spacing w:beforeLines="0" w:afterLines="0" w:line="360" w:lineRule="auto"/>
        <w:ind w:firstLine="120" w:firstLineChars="50"/>
        <w:rPr>
          <w:rFonts w:hint="eastAsia" w:hAnsi="宋体"/>
          <w:color w:val="auto"/>
          <w:highlight w:val="none"/>
        </w:rPr>
      </w:pPr>
    </w:p>
    <w:p>
      <w:pPr>
        <w:pStyle w:val="18"/>
        <w:snapToGrid w:val="0"/>
        <w:spacing w:beforeLines="0" w:afterLines="0" w:line="360" w:lineRule="auto"/>
        <w:ind w:firstLine="120" w:firstLineChars="50"/>
        <w:rPr>
          <w:rFonts w:hint="eastAsia" w:hAnsi="宋体"/>
          <w:color w:val="auto"/>
          <w:highlight w:val="none"/>
        </w:rPr>
      </w:pPr>
    </w:p>
    <w:p>
      <w:pPr>
        <w:pStyle w:val="2"/>
        <w:rPr>
          <w:rFonts w:hint="eastAsia"/>
          <w:color w:val="auto"/>
          <w:highlight w:val="none"/>
        </w:rPr>
      </w:pPr>
    </w:p>
    <w:p>
      <w:pPr>
        <w:pStyle w:val="3"/>
        <w:ind w:firstLine="210"/>
        <w:rPr>
          <w:rFonts w:hint="eastAsia" w:hAnsi="宋体"/>
          <w:color w:val="auto"/>
          <w:highlight w:val="none"/>
        </w:rPr>
      </w:pPr>
    </w:p>
    <w:p>
      <w:pPr>
        <w:pStyle w:val="4"/>
        <w:rPr>
          <w:rFonts w:hint="eastAsia" w:hAnsi="宋体"/>
          <w:color w:val="auto"/>
          <w:highlight w:val="none"/>
        </w:rPr>
      </w:pPr>
    </w:p>
    <w:p>
      <w:pPr>
        <w:rPr>
          <w:rFonts w:hint="eastAsia" w:hAnsi="宋体"/>
          <w:color w:val="auto"/>
          <w:highlight w:val="none"/>
        </w:rPr>
      </w:pPr>
    </w:p>
    <w:p>
      <w:pPr>
        <w:pStyle w:val="5"/>
        <w:rPr>
          <w:rFonts w:hint="eastAsia" w:hAnsi="宋体"/>
          <w:color w:val="auto"/>
          <w:highlight w:val="none"/>
        </w:rPr>
      </w:pPr>
    </w:p>
    <w:p>
      <w:pPr>
        <w:rPr>
          <w:color w:val="auto"/>
          <w:highlight w:val="none"/>
        </w:rPr>
      </w:pPr>
    </w:p>
    <w:p>
      <w:pPr>
        <w:rPr>
          <w:rFonts w:hint="eastAsia" w:hAnsi="宋体"/>
          <w:color w:val="auto"/>
          <w:highlight w:val="none"/>
        </w:rPr>
      </w:pPr>
    </w:p>
    <w:p>
      <w:pPr>
        <w:pStyle w:val="5"/>
        <w:rPr>
          <w:rFonts w:hint="eastAsia" w:hAnsi="宋体"/>
          <w:color w:val="auto"/>
          <w:highlight w:val="none"/>
        </w:rPr>
      </w:pPr>
    </w:p>
    <w:p>
      <w:pPr>
        <w:rPr>
          <w:rFonts w:hint="eastAsia" w:hAnsi="宋体"/>
          <w:color w:val="auto"/>
          <w:highlight w:val="none"/>
        </w:rPr>
      </w:pPr>
    </w:p>
    <w:p>
      <w:pPr>
        <w:rPr>
          <w:color w:val="auto"/>
          <w:highlight w:val="none"/>
        </w:rPr>
      </w:pPr>
    </w:p>
    <w:p>
      <w:pPr>
        <w:rPr>
          <w:color w:val="auto"/>
          <w:highlight w:val="none"/>
        </w:rPr>
      </w:pPr>
    </w:p>
    <w:p>
      <w:pPr>
        <w:pStyle w:val="18"/>
        <w:snapToGrid w:val="0"/>
        <w:spacing w:beforeLines="0" w:afterLines="0" w:line="360" w:lineRule="auto"/>
        <w:jc w:val="center"/>
        <w:rPr>
          <w:rFonts w:hint="eastAsia" w:ascii="黑体" w:hAnsi="黑体" w:eastAsia="黑体"/>
          <w:b/>
          <w:color w:val="auto"/>
          <w:sz w:val="32"/>
          <w:szCs w:val="32"/>
          <w:highlight w:val="none"/>
        </w:rPr>
      </w:pPr>
      <w:r>
        <w:rPr>
          <w:rFonts w:hint="eastAsia" w:ascii="黑体" w:hAnsi="黑体" w:eastAsia="黑体"/>
          <w:b/>
          <w:color w:val="auto"/>
          <w:sz w:val="32"/>
          <w:szCs w:val="32"/>
          <w:highlight w:val="none"/>
        </w:rPr>
        <w:t>平湖市政府采购项目验收结算单</w:t>
      </w:r>
    </w:p>
    <w:p>
      <w:pPr>
        <w:spacing w:line="320" w:lineRule="exact"/>
        <w:jc w:val="left"/>
        <w:rPr>
          <w:rFonts w:hint="eastAsia" w:ascii="宋体" w:hAnsi="宋体"/>
          <w:color w:val="auto"/>
          <w:sz w:val="24"/>
          <w:highlight w:val="none"/>
        </w:rPr>
      </w:pPr>
      <w:r>
        <w:rPr>
          <w:rFonts w:hint="eastAsia" w:ascii="宋体" w:hAnsi="宋体"/>
          <w:color w:val="auto"/>
          <w:sz w:val="24"/>
          <w:highlight w:val="none"/>
        </w:rPr>
        <w:t>采购单位(盖章)：</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496"/>
        <w:gridCol w:w="4308"/>
        <w:gridCol w:w="1260"/>
        <w:gridCol w:w="2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380" w:type="dxa"/>
            <w:gridSpan w:val="2"/>
            <w:tcBorders>
              <w:bottom w:val="single" w:color="auto" w:sz="4" w:space="0"/>
            </w:tcBorders>
            <w:noWrap/>
            <w:vAlign w:val="center"/>
          </w:tcPr>
          <w:p>
            <w:pPr>
              <w:spacing w:line="320" w:lineRule="exact"/>
              <w:jc w:val="center"/>
              <w:rPr>
                <w:rFonts w:hint="eastAsia" w:ascii="宋体" w:hAnsi="宋体"/>
                <w:color w:val="auto"/>
                <w:sz w:val="24"/>
                <w:highlight w:val="none"/>
              </w:rPr>
            </w:pPr>
            <w:r>
              <w:rPr>
                <w:rFonts w:hint="eastAsia" w:ascii="宋体" w:hAnsi="宋体"/>
                <w:color w:val="auto"/>
                <w:sz w:val="24"/>
                <w:highlight w:val="none"/>
              </w:rPr>
              <w:t>供应商</w:t>
            </w:r>
          </w:p>
        </w:tc>
        <w:tc>
          <w:tcPr>
            <w:tcW w:w="4308" w:type="dxa"/>
            <w:tcBorders>
              <w:bottom w:val="single" w:color="auto" w:sz="4" w:space="0"/>
            </w:tcBorders>
            <w:noWrap/>
            <w:vAlign w:val="center"/>
          </w:tcPr>
          <w:p>
            <w:pPr>
              <w:spacing w:line="320" w:lineRule="exact"/>
              <w:rPr>
                <w:rFonts w:hint="eastAsia" w:ascii="宋体" w:hAnsi="宋体"/>
                <w:color w:val="auto"/>
                <w:sz w:val="24"/>
                <w:highlight w:val="none"/>
              </w:rPr>
            </w:pPr>
          </w:p>
        </w:tc>
        <w:tc>
          <w:tcPr>
            <w:tcW w:w="1260" w:type="dxa"/>
            <w:tcBorders>
              <w:bottom w:val="single" w:color="auto" w:sz="4" w:space="0"/>
            </w:tcBorders>
            <w:noWrap/>
            <w:vAlign w:val="center"/>
          </w:tcPr>
          <w:p>
            <w:pPr>
              <w:spacing w:line="320" w:lineRule="exact"/>
              <w:jc w:val="center"/>
              <w:rPr>
                <w:rFonts w:hint="eastAsia" w:ascii="宋体" w:hAnsi="宋体"/>
                <w:color w:val="auto"/>
                <w:sz w:val="24"/>
                <w:highlight w:val="none"/>
              </w:rPr>
            </w:pPr>
            <w:r>
              <w:rPr>
                <w:rFonts w:hint="eastAsia" w:ascii="宋体" w:hAnsi="宋体"/>
                <w:color w:val="auto"/>
                <w:sz w:val="24"/>
                <w:highlight w:val="none"/>
              </w:rPr>
              <w:t>发票号码</w:t>
            </w:r>
          </w:p>
        </w:tc>
        <w:tc>
          <w:tcPr>
            <w:tcW w:w="2680" w:type="dxa"/>
            <w:tcBorders>
              <w:bottom w:val="single" w:color="auto" w:sz="4" w:space="0"/>
            </w:tcBorders>
            <w:noWrap/>
            <w:vAlign w:val="center"/>
          </w:tcPr>
          <w:p>
            <w:pPr>
              <w:spacing w:line="320" w:lineRule="exact"/>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380" w:type="dxa"/>
            <w:gridSpan w:val="2"/>
            <w:tcBorders>
              <w:bottom w:val="single" w:color="auto" w:sz="4" w:space="0"/>
            </w:tcBorders>
            <w:noWrap/>
            <w:vAlign w:val="center"/>
          </w:tcPr>
          <w:p>
            <w:pPr>
              <w:spacing w:line="320" w:lineRule="exact"/>
              <w:jc w:val="center"/>
              <w:rPr>
                <w:rFonts w:hint="eastAsia" w:ascii="宋体" w:hAnsi="宋体"/>
                <w:color w:val="auto"/>
                <w:sz w:val="24"/>
                <w:highlight w:val="none"/>
              </w:rPr>
            </w:pPr>
            <w:r>
              <w:rPr>
                <w:rFonts w:hint="eastAsia" w:ascii="宋体" w:hAnsi="宋体"/>
                <w:color w:val="auto"/>
                <w:sz w:val="24"/>
                <w:highlight w:val="none"/>
              </w:rPr>
              <w:t>代理机构</w:t>
            </w:r>
          </w:p>
        </w:tc>
        <w:tc>
          <w:tcPr>
            <w:tcW w:w="4308" w:type="dxa"/>
            <w:tcBorders>
              <w:bottom w:val="single" w:color="auto" w:sz="4" w:space="0"/>
            </w:tcBorders>
            <w:noWrap/>
            <w:vAlign w:val="center"/>
          </w:tcPr>
          <w:p>
            <w:pPr>
              <w:spacing w:line="320" w:lineRule="exact"/>
              <w:rPr>
                <w:rFonts w:hint="eastAsia" w:ascii="宋体" w:hAnsi="宋体"/>
                <w:color w:val="auto"/>
                <w:sz w:val="24"/>
                <w:highlight w:val="none"/>
              </w:rPr>
            </w:pPr>
            <w:r>
              <w:rPr>
                <w:rFonts w:hint="eastAsia" w:ascii="宋体" w:hAnsi="宋体"/>
                <w:color w:val="auto"/>
                <w:sz w:val="24"/>
                <w:highlight w:val="none"/>
              </w:rPr>
              <w:t>平湖市公共资源交易中心</w:t>
            </w:r>
          </w:p>
        </w:tc>
        <w:tc>
          <w:tcPr>
            <w:tcW w:w="1260" w:type="dxa"/>
            <w:tcBorders>
              <w:bottom w:val="single" w:color="auto" w:sz="4" w:space="0"/>
            </w:tcBorders>
            <w:noWrap/>
            <w:vAlign w:val="center"/>
          </w:tcPr>
          <w:p>
            <w:pPr>
              <w:spacing w:line="320" w:lineRule="exact"/>
              <w:jc w:val="center"/>
              <w:rPr>
                <w:rFonts w:hint="eastAsia" w:ascii="宋体" w:hAnsi="宋体"/>
                <w:color w:val="auto"/>
                <w:sz w:val="24"/>
                <w:highlight w:val="none"/>
              </w:rPr>
            </w:pPr>
            <w:r>
              <w:rPr>
                <w:rFonts w:hint="eastAsia" w:ascii="宋体" w:hAnsi="宋体"/>
                <w:color w:val="auto"/>
                <w:sz w:val="24"/>
                <w:highlight w:val="none"/>
              </w:rPr>
              <w:t>合同编号</w:t>
            </w:r>
          </w:p>
        </w:tc>
        <w:tc>
          <w:tcPr>
            <w:tcW w:w="2680" w:type="dxa"/>
            <w:tcBorders>
              <w:bottom w:val="single" w:color="auto" w:sz="4" w:space="0"/>
            </w:tcBorders>
            <w:noWrap/>
            <w:vAlign w:val="center"/>
          </w:tcPr>
          <w:p>
            <w:pPr>
              <w:spacing w:line="320" w:lineRule="exact"/>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1" w:hRule="atLeast"/>
          <w:jc w:val="center"/>
        </w:trPr>
        <w:tc>
          <w:tcPr>
            <w:tcW w:w="9628" w:type="dxa"/>
            <w:gridSpan w:val="5"/>
            <w:tcBorders>
              <w:bottom w:val="single" w:color="auto" w:sz="4" w:space="0"/>
            </w:tcBorders>
            <w:noWrap/>
          </w:tcPr>
          <w:p>
            <w:pPr>
              <w:spacing w:line="360" w:lineRule="exact"/>
              <w:rPr>
                <w:rFonts w:hint="eastAsia" w:ascii="宋体" w:hAnsi="宋体"/>
                <w:color w:val="auto"/>
                <w:sz w:val="24"/>
                <w:highlight w:val="none"/>
              </w:rPr>
            </w:pPr>
            <w:r>
              <w:rPr>
                <w:rFonts w:hint="eastAsia" w:ascii="宋体" w:hAnsi="宋体"/>
                <w:color w:val="auto"/>
                <w:sz w:val="24"/>
                <w:highlight w:val="none"/>
              </w:rPr>
              <w:t>发票复印件粘贴处，附详细的货物清单(包括名称、规格型号、配置、数量、单价、总价)：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58" w:hRule="atLeast"/>
          <w:jc w:val="center"/>
        </w:trPr>
        <w:tc>
          <w:tcPr>
            <w:tcW w:w="884" w:type="dxa"/>
            <w:noWrap/>
            <w:vAlign w:val="center"/>
          </w:tcPr>
          <w:p>
            <w:pPr>
              <w:spacing w:line="360" w:lineRule="exact"/>
              <w:jc w:val="center"/>
              <w:rPr>
                <w:rFonts w:hint="eastAsia" w:ascii="宋体" w:hAnsi="宋体"/>
                <w:color w:val="auto"/>
                <w:sz w:val="24"/>
                <w:highlight w:val="none"/>
              </w:rPr>
            </w:pPr>
            <w:r>
              <w:rPr>
                <w:rFonts w:hint="eastAsia" w:ascii="宋体" w:hAnsi="宋体"/>
                <w:color w:val="auto"/>
                <w:sz w:val="24"/>
                <w:highlight w:val="none"/>
              </w:rPr>
              <w:t>接收</w:t>
            </w:r>
          </w:p>
          <w:p>
            <w:pPr>
              <w:spacing w:line="360" w:lineRule="exact"/>
              <w:jc w:val="center"/>
              <w:rPr>
                <w:rFonts w:hint="eastAsia" w:ascii="宋体" w:hAnsi="宋体"/>
                <w:color w:val="auto"/>
                <w:sz w:val="24"/>
                <w:highlight w:val="none"/>
              </w:rPr>
            </w:pPr>
            <w:r>
              <w:rPr>
                <w:rFonts w:hint="eastAsia" w:ascii="宋体" w:hAnsi="宋体"/>
                <w:color w:val="auto"/>
                <w:sz w:val="24"/>
                <w:highlight w:val="none"/>
              </w:rPr>
              <w:t>情况</w:t>
            </w:r>
          </w:p>
        </w:tc>
        <w:tc>
          <w:tcPr>
            <w:tcW w:w="8744" w:type="dxa"/>
            <w:gridSpan w:val="4"/>
            <w:noWrap/>
            <w:vAlign w:val="center"/>
          </w:tcPr>
          <w:p>
            <w:pPr>
              <w:spacing w:line="360" w:lineRule="exact"/>
              <w:rPr>
                <w:rFonts w:hint="eastAsia" w:ascii="宋体" w:hAnsi="宋体"/>
                <w:color w:val="auto"/>
                <w:sz w:val="24"/>
                <w:highlight w:val="none"/>
              </w:rPr>
            </w:pPr>
            <w:r>
              <w:rPr>
                <w:rFonts w:hint="eastAsia" w:ascii="宋体" w:hAnsi="宋体"/>
                <w:color w:val="auto"/>
                <w:sz w:val="24"/>
                <w:highlight w:val="none"/>
              </w:rPr>
              <w:t>货物(或服务、工程)已全部采购到位，并已办理接收手续。</w:t>
            </w:r>
          </w:p>
          <w:p>
            <w:pPr>
              <w:spacing w:line="600" w:lineRule="exact"/>
              <w:rPr>
                <w:rFonts w:hint="eastAsia" w:ascii="宋体" w:hAnsi="宋体"/>
                <w:color w:val="auto"/>
                <w:sz w:val="24"/>
                <w:highlight w:val="none"/>
              </w:rPr>
            </w:pPr>
          </w:p>
          <w:p>
            <w:pPr>
              <w:spacing w:line="600" w:lineRule="exact"/>
              <w:rPr>
                <w:rFonts w:hint="eastAsia" w:ascii="宋体" w:hAnsi="宋体"/>
                <w:color w:val="auto"/>
                <w:sz w:val="24"/>
                <w:highlight w:val="none"/>
              </w:rPr>
            </w:pPr>
            <w:r>
              <w:rPr>
                <w:rFonts w:hint="eastAsia" w:ascii="宋体" w:hAnsi="宋体"/>
                <w:color w:val="auto"/>
                <w:sz w:val="24"/>
                <w:highlight w:val="none"/>
              </w:rPr>
              <w:t>供应商代表(签名)：            采购单位接收人</w:t>
            </w:r>
            <w:r>
              <w:rPr>
                <w:rFonts w:ascii="宋体" w:hAnsi="宋体"/>
                <w:color w:val="auto"/>
                <w:sz w:val="24"/>
                <w:highlight w:val="none"/>
              </w:rPr>
              <w:t>(</w:t>
            </w:r>
            <w:r>
              <w:rPr>
                <w:rFonts w:hint="eastAsia" w:ascii="宋体" w:hAnsi="宋体"/>
                <w:color w:val="auto"/>
                <w:sz w:val="24"/>
                <w:highlight w:val="none"/>
              </w:rPr>
              <w:t>签名</w:t>
            </w:r>
            <w:r>
              <w:rPr>
                <w:rFonts w:ascii="宋体" w:hAnsi="宋体"/>
                <w:color w:val="auto"/>
                <w:sz w:val="24"/>
                <w:highlight w:val="none"/>
              </w:rPr>
              <w:t>)</w:t>
            </w:r>
            <w:r>
              <w:rPr>
                <w:rFonts w:hint="eastAsia" w:ascii="宋体" w:hAnsi="宋体"/>
                <w:color w:val="auto"/>
                <w:sz w:val="24"/>
                <w:highlight w:val="none"/>
              </w:rPr>
              <w:t>：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0" w:hRule="atLeast"/>
          <w:jc w:val="center"/>
        </w:trPr>
        <w:tc>
          <w:tcPr>
            <w:tcW w:w="884" w:type="dxa"/>
            <w:noWrap/>
            <w:vAlign w:val="center"/>
          </w:tcPr>
          <w:p>
            <w:pPr>
              <w:spacing w:line="360" w:lineRule="exact"/>
              <w:jc w:val="center"/>
              <w:rPr>
                <w:rFonts w:hint="eastAsia" w:ascii="宋体" w:hAnsi="宋体"/>
                <w:color w:val="auto"/>
                <w:sz w:val="24"/>
                <w:highlight w:val="none"/>
              </w:rPr>
            </w:pPr>
            <w:r>
              <w:rPr>
                <w:rFonts w:hint="eastAsia" w:ascii="宋体" w:hAnsi="宋体"/>
                <w:color w:val="auto"/>
                <w:sz w:val="24"/>
                <w:highlight w:val="none"/>
              </w:rPr>
              <w:t>验收</w:t>
            </w:r>
          </w:p>
          <w:p>
            <w:pPr>
              <w:spacing w:line="360" w:lineRule="exact"/>
              <w:jc w:val="center"/>
              <w:rPr>
                <w:rFonts w:hint="eastAsia" w:ascii="宋体" w:hAnsi="宋体"/>
                <w:color w:val="auto"/>
                <w:sz w:val="24"/>
                <w:highlight w:val="none"/>
              </w:rPr>
            </w:pPr>
            <w:r>
              <w:rPr>
                <w:rFonts w:hint="eastAsia" w:ascii="宋体" w:hAnsi="宋体"/>
                <w:color w:val="auto"/>
                <w:sz w:val="24"/>
                <w:highlight w:val="none"/>
              </w:rPr>
              <w:t>意见</w:t>
            </w:r>
          </w:p>
        </w:tc>
        <w:tc>
          <w:tcPr>
            <w:tcW w:w="8744" w:type="dxa"/>
            <w:gridSpan w:val="4"/>
            <w:noWrap/>
            <w:vAlign w:val="center"/>
          </w:tcPr>
          <w:p>
            <w:pPr>
              <w:spacing w:line="360" w:lineRule="exact"/>
              <w:ind w:firstLine="4320" w:firstLineChars="1800"/>
              <w:rPr>
                <w:rFonts w:hint="eastAsia" w:ascii="宋体" w:hAnsi="宋体"/>
                <w:color w:val="auto"/>
                <w:sz w:val="24"/>
                <w:highlight w:val="none"/>
              </w:rPr>
            </w:pPr>
          </w:p>
          <w:p>
            <w:pPr>
              <w:spacing w:line="360" w:lineRule="exact"/>
              <w:ind w:firstLine="4320" w:firstLineChars="1800"/>
              <w:rPr>
                <w:rFonts w:hint="eastAsia" w:ascii="宋体" w:hAnsi="宋体"/>
                <w:color w:val="auto"/>
                <w:sz w:val="24"/>
                <w:highlight w:val="none"/>
              </w:rPr>
            </w:pPr>
          </w:p>
          <w:p>
            <w:pPr>
              <w:spacing w:line="360" w:lineRule="exact"/>
              <w:rPr>
                <w:rFonts w:hint="eastAsia" w:ascii="宋体" w:hAnsi="宋体"/>
                <w:color w:val="auto"/>
                <w:sz w:val="24"/>
                <w:highlight w:val="none"/>
              </w:rPr>
            </w:pPr>
            <w:r>
              <w:rPr>
                <w:rFonts w:hint="eastAsia" w:ascii="宋体" w:hAnsi="宋体"/>
                <w:color w:val="auto"/>
                <w:sz w:val="24"/>
                <w:highlight w:val="none"/>
              </w:rPr>
              <w:t>验收人</w:t>
            </w:r>
            <w:r>
              <w:rPr>
                <w:rFonts w:ascii="宋体" w:hAnsi="宋体"/>
                <w:color w:val="auto"/>
                <w:sz w:val="24"/>
                <w:highlight w:val="none"/>
              </w:rPr>
              <w:t>(</w:t>
            </w:r>
            <w:r>
              <w:rPr>
                <w:rFonts w:hint="eastAsia" w:ascii="宋体" w:hAnsi="宋体"/>
                <w:color w:val="auto"/>
                <w:sz w:val="24"/>
                <w:highlight w:val="none"/>
              </w:rPr>
              <w:t>签名</w:t>
            </w:r>
            <w:r>
              <w:rPr>
                <w:rFonts w:ascii="宋体" w:hAnsi="宋体"/>
                <w:color w:val="auto"/>
                <w:sz w:val="24"/>
                <w:highlight w:val="none"/>
              </w:rPr>
              <w:t>)</w:t>
            </w:r>
            <w:r>
              <w:rPr>
                <w:rFonts w:hint="eastAsia" w:ascii="宋体" w:hAnsi="宋体"/>
                <w:color w:val="auto"/>
                <w:sz w:val="24"/>
                <w:highlight w:val="none"/>
              </w:rPr>
              <w:t>：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42" w:hRule="atLeast"/>
          <w:jc w:val="center"/>
        </w:trPr>
        <w:tc>
          <w:tcPr>
            <w:tcW w:w="884" w:type="dxa"/>
            <w:noWrap/>
            <w:vAlign w:val="center"/>
          </w:tcPr>
          <w:p>
            <w:pPr>
              <w:spacing w:line="360" w:lineRule="exact"/>
              <w:jc w:val="center"/>
              <w:rPr>
                <w:rFonts w:hint="eastAsia" w:ascii="宋体" w:hAnsi="宋体"/>
                <w:color w:val="auto"/>
                <w:sz w:val="24"/>
                <w:highlight w:val="none"/>
              </w:rPr>
            </w:pPr>
            <w:r>
              <w:rPr>
                <w:rFonts w:hint="eastAsia" w:ascii="宋体" w:hAnsi="宋体"/>
                <w:color w:val="auto"/>
                <w:sz w:val="24"/>
                <w:highlight w:val="none"/>
              </w:rPr>
              <w:t>结算</w:t>
            </w:r>
          </w:p>
          <w:p>
            <w:pPr>
              <w:spacing w:line="360" w:lineRule="exact"/>
              <w:jc w:val="center"/>
              <w:rPr>
                <w:rFonts w:hint="eastAsia" w:ascii="宋体" w:hAnsi="宋体"/>
                <w:color w:val="auto"/>
                <w:sz w:val="24"/>
                <w:highlight w:val="none"/>
              </w:rPr>
            </w:pPr>
            <w:r>
              <w:rPr>
                <w:rFonts w:hint="eastAsia" w:ascii="宋体" w:hAnsi="宋体"/>
                <w:color w:val="auto"/>
                <w:sz w:val="24"/>
                <w:highlight w:val="none"/>
              </w:rPr>
              <w:t>意见</w:t>
            </w:r>
          </w:p>
        </w:tc>
        <w:tc>
          <w:tcPr>
            <w:tcW w:w="8744" w:type="dxa"/>
            <w:gridSpan w:val="4"/>
            <w:noWrap/>
            <w:vAlign w:val="center"/>
          </w:tcPr>
          <w:p>
            <w:pPr>
              <w:spacing w:line="360" w:lineRule="exact"/>
              <w:ind w:left="8" w:leftChars="4" w:right="9"/>
              <w:rPr>
                <w:rFonts w:hint="eastAsia" w:ascii="宋体" w:hAnsi="宋体"/>
                <w:color w:val="auto"/>
                <w:sz w:val="24"/>
                <w:highlight w:val="none"/>
              </w:rPr>
            </w:pPr>
            <w:r>
              <w:rPr>
                <w:rFonts w:hint="eastAsia" w:ascii="宋体" w:hAnsi="宋体"/>
                <w:color w:val="auto"/>
                <w:sz w:val="24"/>
                <w:highlight w:val="none"/>
              </w:rPr>
              <w:t>该项目采购预算总额      万元，实际采购合同金额           元，分  次拨付。经审查，同意按合同约定支付。</w:t>
            </w:r>
          </w:p>
          <w:p>
            <w:pPr>
              <w:spacing w:line="360" w:lineRule="exact"/>
              <w:rPr>
                <w:rFonts w:hint="eastAsia" w:ascii="宋体" w:hAnsi="宋体"/>
                <w:color w:val="auto"/>
                <w:sz w:val="24"/>
                <w:highlight w:val="none"/>
              </w:rPr>
            </w:pPr>
          </w:p>
          <w:p>
            <w:pPr>
              <w:spacing w:line="360" w:lineRule="exact"/>
              <w:rPr>
                <w:rFonts w:hint="eastAsia" w:ascii="宋体" w:hAnsi="宋体"/>
                <w:color w:val="auto"/>
                <w:sz w:val="24"/>
                <w:highlight w:val="none"/>
              </w:rPr>
            </w:pPr>
            <w:r>
              <w:rPr>
                <w:rFonts w:hint="eastAsia" w:ascii="宋体" w:hAnsi="宋体"/>
                <w:color w:val="auto"/>
                <w:sz w:val="24"/>
                <w:highlight w:val="none"/>
              </w:rPr>
              <w:t>财务负责人</w:t>
            </w:r>
            <w:r>
              <w:rPr>
                <w:rFonts w:ascii="宋体" w:hAnsi="宋体"/>
                <w:color w:val="auto"/>
                <w:sz w:val="24"/>
                <w:highlight w:val="none"/>
              </w:rPr>
              <w:t>(</w:t>
            </w:r>
            <w:r>
              <w:rPr>
                <w:rFonts w:hint="eastAsia" w:ascii="宋体" w:hAnsi="宋体"/>
                <w:color w:val="auto"/>
                <w:sz w:val="24"/>
                <w:highlight w:val="none"/>
              </w:rPr>
              <w:t>签名</w:t>
            </w:r>
            <w:r>
              <w:rPr>
                <w:rFonts w:ascii="宋体" w:hAnsi="宋体"/>
                <w:color w:val="auto"/>
                <w:sz w:val="24"/>
                <w:highlight w:val="none"/>
              </w:rPr>
              <w:t>)</w:t>
            </w:r>
            <w:r>
              <w:rPr>
                <w:rFonts w:hint="eastAsia" w:ascii="宋体" w:hAnsi="宋体"/>
                <w:color w:val="auto"/>
                <w:sz w:val="24"/>
                <w:highlight w:val="none"/>
              </w:rPr>
              <w:t>：                                       年  月  日</w:t>
            </w:r>
          </w:p>
        </w:tc>
      </w:tr>
    </w:tbl>
    <w:p>
      <w:pPr>
        <w:rPr>
          <w:rFonts w:hint="eastAsia" w:ascii="宋体" w:hAnsi="宋体"/>
          <w:color w:val="auto"/>
          <w:sz w:val="24"/>
          <w:highlight w:val="none"/>
        </w:rPr>
      </w:pPr>
      <w:r>
        <w:rPr>
          <w:rFonts w:hint="eastAsia" w:ascii="宋体" w:hAnsi="宋体"/>
          <w:color w:val="auto"/>
          <w:spacing w:val="-10"/>
          <w:sz w:val="24"/>
          <w:highlight w:val="none"/>
        </w:rPr>
        <w:t>第一联:财政资金科留存。第二联:采购办留存。第三联:采购代理机构留存。第四联:采购单位留存。</w:t>
      </w:r>
    </w:p>
    <w:p>
      <w:pPr>
        <w:pStyle w:val="18"/>
        <w:snapToGrid w:val="0"/>
        <w:spacing w:beforeLines="0" w:afterLines="0" w:line="360" w:lineRule="exact"/>
        <w:ind w:firstLine="120" w:firstLineChars="50"/>
        <w:rPr>
          <w:rFonts w:hint="eastAsia" w:hAnsi="宋体"/>
          <w:color w:val="auto"/>
          <w:highlight w:val="none"/>
        </w:rPr>
      </w:pPr>
    </w:p>
    <w:p>
      <w:pPr>
        <w:pStyle w:val="18"/>
        <w:snapToGrid w:val="0"/>
        <w:spacing w:beforeLines="0" w:afterLines="0" w:line="360" w:lineRule="exact"/>
        <w:ind w:firstLine="161" w:firstLineChars="50"/>
        <w:jc w:val="center"/>
        <w:rPr>
          <w:rFonts w:ascii="Arial" w:hAnsi="Arial" w:eastAsia="黑体"/>
          <w:b/>
          <w:bCs/>
          <w:color w:val="auto"/>
          <w:sz w:val="32"/>
          <w:szCs w:val="32"/>
          <w:highlight w:val="none"/>
        </w:rPr>
      </w:pPr>
      <w:r>
        <w:rPr>
          <w:rFonts w:ascii="Arial" w:hAnsi="Arial" w:eastAsia="黑体"/>
          <w:b/>
          <w:bCs/>
          <w:color w:val="auto"/>
          <w:sz w:val="32"/>
          <w:szCs w:val="32"/>
          <w:highlight w:val="none"/>
        </w:rPr>
        <w:t>第六章　投标文件格式</w:t>
      </w:r>
    </w:p>
    <w:p>
      <w:pPr>
        <w:rPr>
          <w:color w:val="auto"/>
          <w:highlight w:val="none"/>
        </w:rPr>
      </w:pPr>
    </w:p>
    <w:p>
      <w:pPr>
        <w:pStyle w:val="18"/>
        <w:snapToGrid w:val="0"/>
        <w:spacing w:beforeLines="0" w:afterLines="0" w:line="440" w:lineRule="exact"/>
        <w:outlineLvl w:val="1"/>
        <w:rPr>
          <w:rFonts w:hint="eastAsia" w:hAnsi="宋体"/>
          <w:b/>
          <w:color w:val="auto"/>
          <w:highlight w:val="none"/>
        </w:rPr>
      </w:pPr>
      <w:r>
        <w:rPr>
          <w:rFonts w:hint="eastAsia" w:hAnsi="宋体"/>
          <w:b/>
          <w:color w:val="auto"/>
          <w:highlight w:val="none"/>
        </w:rPr>
        <w:t>一、资格文件格式</w:t>
      </w:r>
    </w:p>
    <w:p>
      <w:pPr>
        <w:snapToGrid w:val="0"/>
        <w:spacing w:line="440" w:lineRule="exact"/>
        <w:rPr>
          <w:rFonts w:hint="eastAsia" w:ascii="宋体" w:hAnsi="宋体"/>
          <w:color w:val="auto"/>
          <w:sz w:val="24"/>
          <w:highlight w:val="none"/>
        </w:rPr>
      </w:pPr>
      <w:r>
        <w:rPr>
          <w:rFonts w:hint="eastAsia" w:ascii="宋体" w:hAnsi="宋体"/>
          <w:bCs/>
          <w:color w:val="auto"/>
          <w:sz w:val="24"/>
          <w:highlight w:val="none"/>
        </w:rPr>
        <w:t>1</w:t>
      </w:r>
      <w:r>
        <w:rPr>
          <w:rFonts w:ascii="宋体" w:hAnsi="宋体"/>
          <w:color w:val="auto"/>
          <w:sz w:val="24"/>
          <w:highlight w:val="none"/>
        </w:rPr>
        <w:t>.</w:t>
      </w:r>
      <w:r>
        <w:rPr>
          <w:rFonts w:hint="eastAsia" w:ascii="宋体" w:hAnsi="宋体"/>
          <w:color w:val="auto"/>
          <w:sz w:val="24"/>
          <w:highlight w:val="none"/>
        </w:rPr>
        <w:t>资格文件封面格式</w:t>
      </w:r>
    </w:p>
    <w:p>
      <w:pPr>
        <w:snapToGrid w:val="0"/>
        <w:spacing w:line="440" w:lineRule="exact"/>
        <w:rPr>
          <w:rFonts w:hint="eastAsia" w:ascii="宋体" w:hAnsi="宋体"/>
          <w:b/>
          <w:bCs/>
          <w:color w:val="auto"/>
          <w:sz w:val="24"/>
          <w:highlight w:val="none"/>
        </w:rPr>
      </w:pPr>
    </w:p>
    <w:p>
      <w:pPr>
        <w:snapToGrid w:val="0"/>
        <w:spacing w:line="440" w:lineRule="exact"/>
        <w:jc w:val="center"/>
        <w:rPr>
          <w:rFonts w:hint="eastAsia" w:ascii="宋体" w:hAnsi="宋体"/>
          <w:b/>
          <w:bCs/>
          <w:color w:val="auto"/>
          <w:sz w:val="24"/>
          <w:highlight w:val="none"/>
        </w:rPr>
      </w:pPr>
      <w:r>
        <w:rPr>
          <w:rFonts w:hint="eastAsia" w:ascii="宋体" w:hAnsi="宋体"/>
          <w:b/>
          <w:bCs/>
          <w:color w:val="auto"/>
          <w:sz w:val="24"/>
          <w:highlight w:val="none"/>
        </w:rPr>
        <w:t>资格文件</w:t>
      </w:r>
    </w:p>
    <w:p>
      <w:pPr>
        <w:snapToGrid w:val="0"/>
        <w:spacing w:line="440" w:lineRule="exact"/>
        <w:ind w:firstLine="900" w:firstLineChars="375"/>
        <w:rPr>
          <w:rFonts w:hint="eastAsia" w:ascii="宋体" w:hAnsi="宋体"/>
          <w:color w:val="auto"/>
          <w:sz w:val="24"/>
          <w:highlight w:val="none"/>
        </w:rPr>
      </w:pPr>
      <w:r>
        <w:rPr>
          <w:rFonts w:hint="eastAsia" w:ascii="宋体" w:hAnsi="宋体"/>
          <w:bCs/>
          <w:color w:val="auto"/>
          <w:sz w:val="24"/>
          <w:highlight w:val="none"/>
        </w:rPr>
        <w:t>项目名称：</w:t>
      </w:r>
      <w:r>
        <w:rPr>
          <w:rFonts w:hint="eastAsia" w:ascii="宋体" w:hAnsi="宋体"/>
          <w:color w:val="auto"/>
          <w:sz w:val="24"/>
          <w:highlight w:val="none"/>
        </w:rPr>
        <w:t>采购项目</w:t>
      </w:r>
    </w:p>
    <w:p>
      <w:pPr>
        <w:pStyle w:val="9"/>
        <w:snapToGrid w:val="0"/>
        <w:spacing w:line="440" w:lineRule="exact"/>
        <w:ind w:firstLine="900" w:firstLineChars="375"/>
        <w:rPr>
          <w:rFonts w:hint="eastAsia" w:ascii="宋体" w:hAnsi="宋体"/>
          <w:bCs/>
          <w:color w:val="auto"/>
          <w:sz w:val="24"/>
          <w:highlight w:val="none"/>
        </w:rPr>
      </w:pPr>
      <w:r>
        <w:rPr>
          <w:rFonts w:hint="eastAsia" w:ascii="宋体" w:hAnsi="宋体"/>
          <w:bCs/>
          <w:color w:val="auto"/>
          <w:sz w:val="24"/>
          <w:highlight w:val="none"/>
        </w:rPr>
        <w:t>项目编号：</w:t>
      </w:r>
    </w:p>
    <w:p>
      <w:pPr>
        <w:pStyle w:val="9"/>
        <w:snapToGrid w:val="0"/>
        <w:spacing w:line="440" w:lineRule="exact"/>
        <w:ind w:firstLine="900" w:firstLineChars="375"/>
        <w:rPr>
          <w:rFonts w:hint="eastAsia" w:ascii="宋体" w:hAnsi="宋体"/>
          <w:bCs/>
          <w:color w:val="auto"/>
          <w:sz w:val="24"/>
          <w:highlight w:val="none"/>
        </w:rPr>
      </w:pPr>
      <w:r>
        <w:rPr>
          <w:rFonts w:hint="eastAsia" w:ascii="宋体" w:hAnsi="宋体"/>
          <w:bCs/>
          <w:color w:val="auto"/>
          <w:sz w:val="24"/>
          <w:highlight w:val="none"/>
        </w:rPr>
        <w:t>投标人名称（盖章）：</w:t>
      </w:r>
    </w:p>
    <w:p>
      <w:pPr>
        <w:pStyle w:val="9"/>
        <w:snapToGrid w:val="0"/>
        <w:spacing w:line="440" w:lineRule="exact"/>
        <w:ind w:firstLine="900" w:firstLineChars="375"/>
        <w:rPr>
          <w:rFonts w:hint="eastAsia" w:ascii="宋体" w:hAnsi="宋体"/>
          <w:bCs/>
          <w:color w:val="auto"/>
          <w:sz w:val="24"/>
          <w:highlight w:val="none"/>
        </w:rPr>
      </w:pPr>
      <w:r>
        <w:rPr>
          <w:rFonts w:hint="eastAsia" w:ascii="宋体" w:hAnsi="宋体"/>
          <w:bCs/>
          <w:color w:val="auto"/>
          <w:sz w:val="24"/>
          <w:highlight w:val="none"/>
        </w:rPr>
        <w:t>投标人地址：</w:t>
      </w:r>
    </w:p>
    <w:p>
      <w:pPr>
        <w:snapToGrid w:val="0"/>
        <w:spacing w:line="440" w:lineRule="exact"/>
        <w:ind w:firstLine="3520" w:firstLineChars="1467"/>
        <w:rPr>
          <w:rFonts w:hint="eastAsia" w:ascii="宋体" w:hAnsi="宋体"/>
          <w:color w:val="auto"/>
          <w:sz w:val="24"/>
          <w:highlight w:val="none"/>
        </w:rPr>
      </w:pPr>
      <w:r>
        <w:rPr>
          <w:rFonts w:hint="eastAsia" w:ascii="宋体" w:hAnsi="宋体"/>
          <w:color w:val="auto"/>
          <w:sz w:val="24"/>
          <w:highlight w:val="none"/>
        </w:rPr>
        <w:t>年月日</w:t>
      </w:r>
    </w:p>
    <w:p>
      <w:pPr>
        <w:snapToGrid w:val="0"/>
        <w:spacing w:line="360" w:lineRule="auto"/>
        <w:ind w:firstLine="3280" w:firstLineChars="1367"/>
        <w:rPr>
          <w:rFonts w:hint="eastAsia" w:ascii="宋体" w:hAnsi="宋体"/>
          <w:color w:val="auto"/>
          <w:sz w:val="24"/>
          <w:highlight w:val="none"/>
        </w:rPr>
      </w:pPr>
    </w:p>
    <w:p>
      <w:pPr>
        <w:snapToGrid w:val="0"/>
        <w:spacing w:line="360" w:lineRule="auto"/>
        <w:ind w:firstLine="3280" w:firstLineChars="1367"/>
        <w:rPr>
          <w:rFonts w:hint="eastAsia" w:ascii="宋体" w:hAnsi="宋体"/>
          <w:color w:val="auto"/>
          <w:sz w:val="24"/>
          <w:highlight w:val="none"/>
        </w:rPr>
      </w:pPr>
    </w:p>
    <w:p>
      <w:pPr>
        <w:snapToGrid w:val="0"/>
        <w:spacing w:line="360" w:lineRule="auto"/>
        <w:ind w:firstLine="3280" w:firstLineChars="1367"/>
        <w:rPr>
          <w:rFonts w:hint="eastAsia" w:ascii="宋体" w:hAnsi="宋体"/>
          <w:color w:val="auto"/>
          <w:sz w:val="24"/>
          <w:highlight w:val="none"/>
        </w:rPr>
      </w:pPr>
    </w:p>
    <w:p>
      <w:pPr>
        <w:snapToGrid w:val="0"/>
        <w:spacing w:line="360" w:lineRule="auto"/>
        <w:ind w:firstLine="3280" w:firstLineChars="1367"/>
        <w:rPr>
          <w:rFonts w:hint="eastAsia" w:ascii="宋体" w:hAnsi="宋体"/>
          <w:color w:val="auto"/>
          <w:sz w:val="24"/>
          <w:highlight w:val="none"/>
        </w:rPr>
      </w:pPr>
    </w:p>
    <w:p>
      <w:pPr>
        <w:snapToGrid w:val="0"/>
        <w:spacing w:line="360" w:lineRule="auto"/>
        <w:rPr>
          <w:rFonts w:hint="eastAsia" w:ascii="宋体" w:hAnsi="宋体"/>
          <w:bCs/>
          <w:color w:val="auto"/>
          <w:sz w:val="24"/>
          <w:highlight w:val="none"/>
        </w:rPr>
      </w:pPr>
      <w:r>
        <w:rPr>
          <w:rFonts w:hint="eastAsia" w:ascii="宋体" w:hAnsi="宋体"/>
          <w:bCs/>
          <w:color w:val="auto"/>
          <w:sz w:val="24"/>
          <w:highlight w:val="none"/>
        </w:rPr>
        <w:t>2</w:t>
      </w:r>
      <w:r>
        <w:rPr>
          <w:rFonts w:ascii="宋体" w:hAnsi="宋体"/>
          <w:bCs/>
          <w:color w:val="auto"/>
          <w:sz w:val="24"/>
          <w:highlight w:val="none"/>
        </w:rPr>
        <w:t>.</w:t>
      </w:r>
      <w:r>
        <w:rPr>
          <w:rFonts w:hint="eastAsia" w:ascii="宋体" w:hAnsi="宋体"/>
          <w:bCs/>
          <w:color w:val="auto"/>
          <w:sz w:val="24"/>
          <w:highlight w:val="none"/>
        </w:rPr>
        <w:t>资格文件目录（请按照“第三章投标人须知，</w:t>
      </w:r>
      <w:r>
        <w:rPr>
          <w:rFonts w:ascii="宋体" w:hAnsi="宋体"/>
          <w:bCs/>
          <w:color w:val="auto"/>
          <w:sz w:val="24"/>
          <w:highlight w:val="none"/>
        </w:rPr>
        <w:t>三、投标文件的编制</w:t>
      </w:r>
      <w:r>
        <w:rPr>
          <w:rFonts w:hint="eastAsia" w:ascii="宋体" w:hAnsi="宋体"/>
          <w:bCs/>
          <w:color w:val="auto"/>
          <w:sz w:val="24"/>
          <w:highlight w:val="none"/>
        </w:rPr>
        <w:t>”的顺序，结合评标办法自行编制目录）</w:t>
      </w:r>
    </w:p>
    <w:p>
      <w:pPr>
        <w:snapToGrid w:val="0"/>
        <w:spacing w:line="360" w:lineRule="auto"/>
        <w:rPr>
          <w:rFonts w:hint="eastAsia" w:ascii="宋体" w:hAnsi="宋体"/>
          <w:bCs/>
          <w:color w:val="auto"/>
          <w:sz w:val="24"/>
          <w:highlight w:val="none"/>
        </w:rPr>
      </w:pPr>
      <w:r>
        <w:rPr>
          <w:rFonts w:hint="eastAsia" w:ascii="宋体" w:hAnsi="宋体"/>
          <w:bCs/>
          <w:color w:val="auto"/>
          <w:sz w:val="24"/>
          <w:highlight w:val="none"/>
        </w:rPr>
        <w:t>例如：</w:t>
      </w:r>
    </w:p>
    <w:p>
      <w:pPr>
        <w:snapToGrid w:val="0"/>
        <w:spacing w:line="360" w:lineRule="auto"/>
        <w:rPr>
          <w:rFonts w:hint="eastAsia" w:ascii="宋体" w:hAnsi="宋体"/>
          <w:bCs/>
          <w:color w:val="auto"/>
          <w:sz w:val="24"/>
          <w:highlight w:val="none"/>
        </w:rPr>
      </w:pPr>
      <w:r>
        <w:rPr>
          <w:rFonts w:hint="eastAsia" w:ascii="宋体" w:hAnsi="宋体"/>
          <w:bCs/>
          <w:color w:val="auto"/>
          <w:sz w:val="24"/>
          <w:highlight w:val="none"/>
        </w:rPr>
        <w:t>资格文件：</w:t>
      </w:r>
    </w:p>
    <w:p>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（1</w:t>
      </w:r>
      <w:r>
        <w:rPr>
          <w:rFonts w:ascii="宋体" w:hAnsi="宋体"/>
          <w:color w:val="auto"/>
          <w:sz w:val="24"/>
          <w:highlight w:val="none"/>
        </w:rPr>
        <w:t>）</w:t>
      </w:r>
      <w:r>
        <w:rPr>
          <w:rFonts w:hint="eastAsia" w:ascii="宋体" w:hAnsi="宋体"/>
          <w:color w:val="auto"/>
          <w:sz w:val="24"/>
          <w:highlight w:val="none"/>
        </w:rPr>
        <w:t>投标声明书</w:t>
      </w:r>
      <w:r>
        <w:rPr>
          <w:rFonts w:ascii="宋体" w:hAnsi="宋体"/>
          <w:color w:val="auto"/>
          <w:sz w:val="24"/>
          <w:highlight w:val="none"/>
        </w:rPr>
        <w:t xml:space="preserve"> (格式见附</w:t>
      </w:r>
      <w:r>
        <w:rPr>
          <w:rFonts w:hint="eastAsia" w:ascii="宋体" w:hAnsi="宋体"/>
          <w:color w:val="auto"/>
          <w:sz w:val="24"/>
          <w:highlight w:val="none"/>
        </w:rPr>
        <w:t>件）</w:t>
      </w:r>
      <w:r>
        <w:rPr>
          <w:rFonts w:hint="eastAsia" w:ascii="宋体" w:hAnsi="宋体" w:cs="宋体"/>
          <w:color w:val="auto"/>
          <w:kern w:val="0"/>
          <w:sz w:val="24"/>
          <w:highlight w:val="none"/>
        </w:rPr>
        <w:t>……………………………………………（页码）</w:t>
      </w:r>
    </w:p>
    <w:p>
      <w:pPr>
        <w:snapToGrid w:val="0"/>
        <w:spacing w:line="360" w:lineRule="auto"/>
        <w:jc w:val="left"/>
        <w:rPr>
          <w:rFonts w:hint="eastAsia" w:ascii="宋体" w:hAnsi="宋体" w:cs="宋体"/>
          <w:color w:val="auto"/>
          <w:kern w:val="0"/>
          <w:sz w:val="24"/>
          <w:highlight w:val="none"/>
        </w:rPr>
      </w:pPr>
      <w:r>
        <w:rPr>
          <w:rFonts w:hint="eastAsia" w:ascii="宋体" w:hAnsi="宋体"/>
          <w:color w:val="auto"/>
          <w:sz w:val="24"/>
          <w:highlight w:val="none"/>
        </w:rPr>
        <w:t>（2</w:t>
      </w:r>
      <w:r>
        <w:rPr>
          <w:rFonts w:ascii="宋体" w:hAnsi="宋体"/>
          <w:color w:val="auto"/>
          <w:sz w:val="24"/>
          <w:highlight w:val="none"/>
        </w:rPr>
        <w:t>）</w:t>
      </w:r>
      <w:r>
        <w:rPr>
          <w:rFonts w:hint="eastAsia" w:ascii="宋体" w:hAnsi="宋体"/>
          <w:color w:val="auto"/>
          <w:spacing w:val="-17"/>
          <w:sz w:val="24"/>
          <w:highlight w:val="none"/>
        </w:rPr>
        <w:t>法定代表人有效身份证件复印件或者法定代表人授权委托书（格式见附件）...</w:t>
      </w:r>
      <w:r>
        <w:rPr>
          <w:rFonts w:hint="eastAsia" w:ascii="宋体" w:hAnsi="宋体" w:cs="宋体"/>
          <w:color w:val="auto"/>
          <w:kern w:val="0"/>
          <w:sz w:val="24"/>
          <w:highlight w:val="none"/>
        </w:rPr>
        <w:t>（页码）</w:t>
      </w:r>
    </w:p>
    <w:p>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（3）符合参加政府采购活动应当具备的一般条件的承诺函</w:t>
      </w:r>
      <w:r>
        <w:rPr>
          <w:rFonts w:hint="eastAsia" w:ascii="宋体" w:hAnsi="宋体" w:cs="宋体"/>
          <w:color w:val="auto"/>
          <w:kern w:val="0"/>
          <w:sz w:val="24"/>
          <w:highlight w:val="none"/>
        </w:rPr>
        <w:t>………………</w:t>
      </w:r>
      <w:r>
        <w:rPr>
          <w:rFonts w:hint="eastAsia" w:ascii="宋体" w:hAnsi="宋体"/>
          <w:color w:val="auto"/>
          <w:sz w:val="24"/>
          <w:highlight w:val="none"/>
        </w:rPr>
        <w:t>（页码）</w:t>
      </w:r>
    </w:p>
    <w:p>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（4）企业（法人）营业执照复印件…………………………………………（页码）</w:t>
      </w:r>
    </w:p>
    <w:p>
      <w:pPr>
        <w:pStyle w:val="5"/>
        <w:rPr>
          <w:rFonts w:hint="eastAsia" w:ascii="宋体" w:hAnsi="宋体" w:eastAsia="宋体"/>
          <w:b w:val="0"/>
          <w:color w:val="auto"/>
          <w:kern w:val="2"/>
          <w:sz w:val="24"/>
          <w:szCs w:val="24"/>
          <w:highlight w:val="none"/>
        </w:rPr>
      </w:pPr>
      <w:r>
        <w:rPr>
          <w:rFonts w:hint="eastAsia" w:ascii="宋体" w:hAnsi="宋体" w:eastAsia="宋体"/>
          <w:b w:val="0"/>
          <w:color w:val="auto"/>
          <w:kern w:val="2"/>
          <w:sz w:val="24"/>
          <w:szCs w:val="24"/>
          <w:highlight w:val="none"/>
        </w:rPr>
        <w:t>...</w:t>
      </w: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r>
        <w:rPr>
          <w:rFonts w:hint="eastAsia" w:ascii="宋体" w:hAnsi="宋体"/>
          <w:color w:val="auto"/>
          <w:sz w:val="24"/>
          <w:highlight w:val="none"/>
        </w:rPr>
        <w:t xml:space="preserve">3. </w:t>
      </w:r>
      <w:r>
        <w:rPr>
          <w:rFonts w:ascii="宋体" w:hAnsi="宋体"/>
          <w:color w:val="auto"/>
          <w:sz w:val="24"/>
          <w:highlight w:val="none"/>
        </w:rPr>
        <w:t>投标声明书格式：</w:t>
      </w:r>
    </w:p>
    <w:p>
      <w:pPr>
        <w:pStyle w:val="5"/>
        <w:spacing w:line="360" w:lineRule="auto"/>
        <w:jc w:val="center"/>
        <w:rPr>
          <w:rFonts w:hint="eastAsia" w:ascii="宋体" w:hAnsi="宋体" w:eastAsia="宋体"/>
          <w:color w:val="auto"/>
          <w:sz w:val="24"/>
          <w:szCs w:val="24"/>
          <w:highlight w:val="none"/>
        </w:rPr>
      </w:pPr>
      <w:r>
        <w:rPr>
          <w:rFonts w:ascii="宋体" w:hAnsi="宋体" w:eastAsia="宋体"/>
          <w:color w:val="auto"/>
          <w:sz w:val="24"/>
          <w:szCs w:val="24"/>
          <w:highlight w:val="none"/>
        </w:rPr>
        <w:t>投标声明书</w:t>
      </w:r>
    </w:p>
    <w:p>
      <w:pPr>
        <w:spacing w:line="360" w:lineRule="auto"/>
        <w:rPr>
          <w:rFonts w:hint="eastAsia" w:ascii="宋体" w:hAnsi="宋体"/>
          <w:color w:val="auto"/>
          <w:sz w:val="24"/>
          <w:highlight w:val="none"/>
        </w:rPr>
      </w:pPr>
      <w:r>
        <w:rPr>
          <w:rFonts w:ascii="宋体" w:hAnsi="宋体"/>
          <w:color w:val="auto"/>
          <w:sz w:val="24"/>
          <w:highlight w:val="none"/>
        </w:rPr>
        <w:t>致：</w:t>
      </w:r>
      <w:r>
        <w:rPr>
          <w:rFonts w:hint="eastAsia" w:ascii="宋体" w:hAnsi="宋体"/>
          <w:color w:val="auto"/>
          <w:sz w:val="24"/>
          <w:highlight w:val="none"/>
          <w:u w:val="single"/>
        </w:rPr>
        <w:t>上海世外教育附属平湖经开实验小学</w:t>
      </w:r>
      <w:r>
        <w:rPr>
          <w:rFonts w:hint="eastAsia" w:ascii="宋体" w:hAnsi="宋体"/>
          <w:color w:val="auto"/>
          <w:sz w:val="24"/>
          <w:highlight w:val="none"/>
        </w:rPr>
        <w:t>（招标采购单位名称）：</w:t>
      </w:r>
    </w:p>
    <w:p>
      <w:pPr>
        <w:snapToGrid w:val="0"/>
        <w:spacing w:line="360" w:lineRule="auto"/>
        <w:ind w:firstLine="480" w:firstLineChars="200"/>
        <w:rPr>
          <w:rFonts w:hint="eastAsia" w:ascii="宋体" w:hAnsi="宋体"/>
          <w:color w:val="auto"/>
          <w:sz w:val="24"/>
          <w:highlight w:val="none"/>
        </w:rPr>
      </w:pPr>
      <w:r>
        <w:rPr>
          <w:rFonts w:ascii="宋体" w:hAnsi="宋体"/>
          <w:color w:val="auto"/>
          <w:sz w:val="24"/>
          <w:highlight w:val="none"/>
          <w:u w:val="single"/>
        </w:rPr>
        <w:t>（投标人名称）</w:t>
      </w:r>
      <w:r>
        <w:rPr>
          <w:rFonts w:hint="eastAsia" w:ascii="宋体" w:hAnsi="宋体"/>
          <w:color w:val="auto"/>
          <w:sz w:val="24"/>
          <w:highlight w:val="none"/>
          <w:u w:val="single"/>
        </w:rPr>
        <w:t xml:space="preserve">   </w:t>
      </w:r>
      <w:r>
        <w:rPr>
          <w:rFonts w:ascii="宋体" w:hAnsi="宋体"/>
          <w:color w:val="auto"/>
          <w:sz w:val="24"/>
          <w:highlight w:val="none"/>
        </w:rPr>
        <w:t>系中华人民共和国合法企业，经营地址</w:t>
      </w:r>
      <w:r>
        <w:rPr>
          <w:rFonts w:hint="eastAsia" w:ascii="宋体" w:hAnsi="宋体"/>
          <w:color w:val="auto"/>
          <w:sz w:val="24"/>
          <w:highlight w:val="none"/>
          <w:u w:val="single"/>
        </w:rPr>
        <w:t xml:space="preserve">            </w:t>
      </w:r>
      <w:r>
        <w:rPr>
          <w:rFonts w:ascii="宋体" w:hAnsi="宋体"/>
          <w:color w:val="auto"/>
          <w:sz w:val="24"/>
          <w:highlight w:val="none"/>
        </w:rPr>
        <w:t>。</w:t>
      </w:r>
    </w:p>
    <w:p>
      <w:pPr>
        <w:snapToGri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我</w:t>
      </w:r>
      <w:r>
        <w:rPr>
          <w:rFonts w:hint="eastAsia" w:ascii="宋体" w:hAnsi="宋体"/>
          <w:color w:val="auto"/>
          <w:sz w:val="24"/>
          <w:highlight w:val="none"/>
          <w:u w:val="single"/>
        </w:rPr>
        <w:t xml:space="preserve">        </w:t>
      </w:r>
      <w:r>
        <w:rPr>
          <w:rFonts w:ascii="宋体" w:hAnsi="宋体"/>
          <w:color w:val="auto"/>
          <w:sz w:val="24"/>
          <w:highlight w:val="none"/>
        </w:rPr>
        <w:t>（姓名）系</w:t>
      </w:r>
      <w:r>
        <w:rPr>
          <w:rFonts w:hint="eastAsia" w:ascii="宋体" w:hAnsi="宋体"/>
          <w:color w:val="auto"/>
          <w:sz w:val="24"/>
          <w:highlight w:val="none"/>
          <w:u w:val="single"/>
        </w:rPr>
        <w:t xml:space="preserve">                </w:t>
      </w:r>
      <w:r>
        <w:rPr>
          <w:rFonts w:ascii="宋体" w:hAnsi="宋体"/>
          <w:color w:val="auto"/>
          <w:sz w:val="24"/>
          <w:highlight w:val="none"/>
        </w:rPr>
        <w:t>（投标人名称）的法定代表人，我方</w:t>
      </w:r>
      <w:r>
        <w:rPr>
          <w:rFonts w:hint="eastAsia" w:ascii="宋体" w:hAnsi="宋体"/>
          <w:color w:val="auto"/>
          <w:sz w:val="24"/>
          <w:highlight w:val="none"/>
        </w:rPr>
        <w:t>自</w:t>
      </w:r>
      <w:r>
        <w:rPr>
          <w:rFonts w:ascii="宋体" w:hAnsi="宋体"/>
          <w:color w:val="auto"/>
          <w:sz w:val="24"/>
          <w:highlight w:val="none"/>
        </w:rPr>
        <w:t>愿参加贵方组织的项目的投标，为便于贵方公正、择优地确定中标人及其投标产品和服务，我方就本次投标有关事项郑重声明如下：</w:t>
      </w:r>
    </w:p>
    <w:p>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w:t>
      </w:r>
      <w:r>
        <w:rPr>
          <w:rFonts w:ascii="宋体" w:hAnsi="宋体"/>
          <w:color w:val="auto"/>
          <w:sz w:val="24"/>
          <w:highlight w:val="none"/>
        </w:rPr>
        <w:t>.我方向贵方提交的所有投标文件</w:t>
      </w:r>
      <w:r>
        <w:rPr>
          <w:rFonts w:hint="eastAsia" w:ascii="宋体" w:hAnsi="宋体"/>
          <w:color w:val="auto"/>
          <w:sz w:val="24"/>
          <w:highlight w:val="none"/>
        </w:rPr>
        <w:t>及相关</w:t>
      </w:r>
      <w:r>
        <w:rPr>
          <w:rFonts w:ascii="宋体" w:hAnsi="宋体"/>
          <w:color w:val="auto"/>
          <w:sz w:val="24"/>
          <w:highlight w:val="none"/>
        </w:rPr>
        <w:t>资料都是真实的</w:t>
      </w:r>
      <w:r>
        <w:rPr>
          <w:rFonts w:hint="eastAsia" w:ascii="宋体" w:hAnsi="宋体"/>
          <w:color w:val="auto"/>
          <w:sz w:val="24"/>
          <w:highlight w:val="none"/>
        </w:rPr>
        <w:t>、合法的</w:t>
      </w:r>
      <w:r>
        <w:rPr>
          <w:rFonts w:ascii="宋体" w:hAnsi="宋体"/>
          <w:color w:val="auto"/>
          <w:sz w:val="24"/>
          <w:highlight w:val="none"/>
        </w:rPr>
        <w:t>。</w:t>
      </w:r>
    </w:p>
    <w:p>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.我方不是采购人的附属机构；在获知本项目采购信息后，与采购人聘请的为此项目提供咨询服务的公司及其附属机构没有任何联系。</w:t>
      </w:r>
    </w:p>
    <w:p>
      <w:pPr>
        <w:adjustRightInd w:val="0"/>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w:t>
      </w:r>
      <w:r>
        <w:rPr>
          <w:rFonts w:ascii="宋体" w:hAnsi="宋体"/>
          <w:color w:val="auto"/>
          <w:sz w:val="24"/>
          <w:highlight w:val="none"/>
        </w:rPr>
        <w:t>.</w:t>
      </w:r>
      <w:r>
        <w:rPr>
          <w:rFonts w:hint="eastAsia" w:ascii="宋体" w:hAnsi="宋体"/>
          <w:color w:val="auto"/>
          <w:sz w:val="24"/>
          <w:highlight w:val="none"/>
        </w:rPr>
        <w:t>我公司已详细阅读全部“招标文件”，包括修改文件（如果有）以及全部招标资料和相关附件，并已了解我公司在招投标过程中的权利和义务。</w:t>
      </w:r>
    </w:p>
    <w:p>
      <w:pPr>
        <w:adjustRightInd w:val="0"/>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4.投标文件自开标日起有效期为90天。</w:t>
      </w:r>
    </w:p>
    <w:p>
      <w:pPr>
        <w:adjustRightInd w:val="0"/>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5.我公司声明参与本项目前3年内的经营活动中没有重大违法记录；</w:t>
      </w:r>
    </w:p>
    <w:p>
      <w:pPr>
        <w:adjustRightInd w:val="0"/>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6.我方通过“信用中国”网站（www.creditchina.gov.cn）、中国政府采购网（www.ccgp.gov.cn）查询，未被列入失信被执行人、重大税收违法案件当事人名单、政府采购严重违法失信行为记录名单。</w:t>
      </w:r>
    </w:p>
    <w:p>
      <w:pPr>
        <w:adjustRightInd w:val="0"/>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7</w:t>
      </w:r>
      <w:r>
        <w:rPr>
          <w:rFonts w:ascii="宋体" w:hAnsi="宋体"/>
          <w:color w:val="auto"/>
          <w:sz w:val="24"/>
          <w:highlight w:val="none"/>
        </w:rPr>
        <w:t>.</w:t>
      </w:r>
      <w:r>
        <w:rPr>
          <w:rFonts w:hint="eastAsia" w:ascii="宋体" w:hAnsi="宋体"/>
          <w:color w:val="auto"/>
          <w:sz w:val="24"/>
          <w:highlight w:val="none"/>
        </w:rPr>
        <w:t>我公司理解并接受招标文件的各项规定和要求，同意此次招标文件中的各项内容，并同意提供按照贵方可能要求的与投标有关的一切数据或资料等。</w:t>
      </w:r>
    </w:p>
    <w:p>
      <w:pPr>
        <w:snapToGrid w:val="0"/>
        <w:spacing w:line="360" w:lineRule="auto"/>
        <w:ind w:firstLine="480" w:firstLineChars="200"/>
        <w:rPr>
          <w:rFonts w:hint="eastAsia" w:ascii="宋体" w:hAnsi="宋体"/>
          <w:color w:val="auto"/>
          <w:sz w:val="24"/>
          <w:highlight w:val="none"/>
          <w:u w:val="single"/>
        </w:rPr>
      </w:pP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本公司如中标，保证按照投标文件的承诺与贵方签订合同，保证履行合同条款。</w:t>
      </w:r>
    </w:p>
    <w:p>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9</w:t>
      </w:r>
      <w:r>
        <w:rPr>
          <w:rFonts w:ascii="宋体" w:hAnsi="宋体"/>
          <w:color w:val="auto"/>
          <w:sz w:val="24"/>
          <w:highlight w:val="none"/>
        </w:rPr>
        <w:t>.以上事项如有虚假或隐瞒，我方愿意承担一切后果，并不再寻求任何旨在减轻或免除法律责任的辩解。</w:t>
      </w:r>
    </w:p>
    <w:p>
      <w:pPr>
        <w:pStyle w:val="39"/>
        <w:snapToGrid w:val="0"/>
        <w:spacing w:line="360" w:lineRule="auto"/>
        <w:ind w:firstLine="480" w:firstLineChars="200"/>
        <w:rPr>
          <w:rFonts w:hint="eastAsia" w:ascii="宋体" w:hAnsi="宋体"/>
          <w:color w:val="auto"/>
          <w:szCs w:val="24"/>
          <w:highlight w:val="none"/>
        </w:rPr>
      </w:pPr>
    </w:p>
    <w:p>
      <w:pPr>
        <w:tabs>
          <w:tab w:val="left" w:pos="1418"/>
        </w:tabs>
        <w:spacing w:line="360" w:lineRule="auto"/>
        <w:ind w:firstLine="240" w:firstLineChars="100"/>
        <w:rPr>
          <w:rFonts w:hint="eastAsia" w:ascii="宋体" w:hAnsi="宋体"/>
          <w:bCs/>
          <w:color w:val="auto"/>
          <w:sz w:val="24"/>
          <w:highlight w:val="none"/>
        </w:rPr>
      </w:pPr>
      <w:r>
        <w:rPr>
          <w:rFonts w:ascii="宋体" w:hAnsi="宋体"/>
          <w:color w:val="auto"/>
          <w:sz w:val="24"/>
          <w:highlight w:val="none"/>
        </w:rPr>
        <w:t>法定代表人或委托代理人签名：</w:t>
      </w:r>
    </w:p>
    <w:p>
      <w:pPr>
        <w:tabs>
          <w:tab w:val="left" w:pos="1418"/>
        </w:tabs>
        <w:spacing w:line="360" w:lineRule="auto"/>
        <w:ind w:firstLine="240" w:firstLineChars="100"/>
        <w:rPr>
          <w:rFonts w:hint="eastAsia" w:ascii="宋体" w:hAnsi="宋体"/>
          <w:bCs/>
          <w:color w:val="auto"/>
          <w:sz w:val="24"/>
          <w:highlight w:val="none"/>
        </w:rPr>
      </w:pPr>
      <w:r>
        <w:rPr>
          <w:rFonts w:hint="eastAsia" w:ascii="宋体" w:hAnsi="宋体"/>
          <w:bCs/>
          <w:color w:val="auto"/>
          <w:sz w:val="24"/>
          <w:highlight w:val="none"/>
        </w:rPr>
        <w:t xml:space="preserve">投 标 人（盖章）：                              </w:t>
      </w:r>
    </w:p>
    <w:p>
      <w:pPr>
        <w:tabs>
          <w:tab w:val="left" w:pos="1418"/>
        </w:tabs>
        <w:spacing w:line="360" w:lineRule="auto"/>
        <w:ind w:firstLine="240" w:firstLineChars="100"/>
        <w:jc w:val="right"/>
        <w:rPr>
          <w:rFonts w:hint="eastAsia" w:ascii="宋体" w:hAnsi="宋体"/>
          <w:b/>
          <w:bCs/>
          <w:color w:val="auto"/>
          <w:sz w:val="24"/>
          <w:highlight w:val="none"/>
        </w:rPr>
      </w:pPr>
      <w:r>
        <w:rPr>
          <w:rFonts w:hint="eastAsia" w:ascii="宋体" w:hAnsi="宋体"/>
          <w:bCs/>
          <w:color w:val="auto"/>
          <w:sz w:val="24"/>
          <w:highlight w:val="none"/>
        </w:rPr>
        <w:t>年  月  日</w:t>
      </w:r>
    </w:p>
    <w:p>
      <w:pPr>
        <w:snapToGrid w:val="0"/>
        <w:spacing w:line="360" w:lineRule="auto"/>
        <w:rPr>
          <w:rFonts w:hint="eastAsia" w:ascii="宋体" w:hAnsi="宋体"/>
          <w:color w:val="auto"/>
          <w:sz w:val="24"/>
          <w:highlight w:val="none"/>
        </w:rPr>
      </w:pPr>
    </w:p>
    <w:p>
      <w:pPr>
        <w:pStyle w:val="17"/>
        <w:rPr>
          <w:color w:val="auto"/>
          <w:highlight w:val="none"/>
        </w:rPr>
      </w:pPr>
    </w:p>
    <w:p>
      <w:pPr>
        <w:snapToGrid w:val="0"/>
        <w:spacing w:line="360" w:lineRule="auto"/>
        <w:rPr>
          <w:rFonts w:hint="eastAsia" w:ascii="宋体" w:hAnsi="宋体"/>
          <w:color w:val="auto"/>
          <w:sz w:val="24"/>
          <w:highlight w:val="none"/>
        </w:rPr>
      </w:pPr>
      <w:r>
        <w:rPr>
          <w:rFonts w:hint="eastAsia" w:ascii="宋体" w:hAnsi="宋体"/>
          <w:color w:val="auto"/>
          <w:sz w:val="24"/>
          <w:highlight w:val="none"/>
        </w:rPr>
        <w:t xml:space="preserve">4. </w:t>
      </w:r>
      <w:r>
        <w:rPr>
          <w:rFonts w:ascii="宋体" w:hAnsi="宋体"/>
          <w:color w:val="auto"/>
          <w:sz w:val="24"/>
          <w:highlight w:val="none"/>
        </w:rPr>
        <w:t>法定代表人授权委托书格式：</w:t>
      </w:r>
    </w:p>
    <w:p>
      <w:pPr>
        <w:pStyle w:val="5"/>
        <w:spacing w:line="360" w:lineRule="auto"/>
        <w:jc w:val="center"/>
        <w:rPr>
          <w:rFonts w:hint="eastAsia" w:ascii="宋体" w:hAnsi="宋体" w:eastAsia="宋体"/>
          <w:color w:val="auto"/>
          <w:sz w:val="24"/>
          <w:szCs w:val="24"/>
          <w:highlight w:val="none"/>
        </w:rPr>
      </w:pPr>
      <w:r>
        <w:rPr>
          <w:rFonts w:ascii="宋体" w:hAnsi="宋体" w:eastAsia="宋体"/>
          <w:color w:val="auto"/>
          <w:sz w:val="24"/>
          <w:szCs w:val="24"/>
          <w:highlight w:val="none"/>
        </w:rPr>
        <w:t>法定代表人授权委托书</w:t>
      </w:r>
    </w:p>
    <w:p>
      <w:pPr>
        <w:snapToGrid w:val="0"/>
        <w:spacing w:before="240" w:beforeLines="100" w:line="360" w:lineRule="auto"/>
        <w:rPr>
          <w:rFonts w:hint="eastAsia" w:ascii="宋体" w:hAnsi="宋体"/>
          <w:b/>
          <w:bCs/>
          <w:color w:val="auto"/>
          <w:sz w:val="24"/>
          <w:highlight w:val="none"/>
        </w:rPr>
      </w:pPr>
      <w:r>
        <w:rPr>
          <w:rFonts w:ascii="宋体" w:hAnsi="宋体"/>
          <w:bCs/>
          <w:color w:val="auto"/>
          <w:sz w:val="24"/>
          <w:highlight w:val="none"/>
        </w:rPr>
        <w:t>致：</w:t>
      </w:r>
      <w:r>
        <w:rPr>
          <w:rFonts w:hint="eastAsia" w:ascii="宋体" w:hAnsi="宋体"/>
          <w:color w:val="auto"/>
          <w:sz w:val="24"/>
          <w:highlight w:val="none"/>
          <w:u w:val="single"/>
        </w:rPr>
        <w:t>上海世外教育附属平湖经开实验小学</w:t>
      </w:r>
      <w:r>
        <w:rPr>
          <w:rFonts w:ascii="宋体" w:hAnsi="宋体"/>
          <w:color w:val="auto"/>
          <w:sz w:val="24"/>
          <w:highlight w:val="none"/>
        </w:rPr>
        <w:t>（招标采购单位名称）：</w:t>
      </w:r>
    </w:p>
    <w:p>
      <w:pPr>
        <w:snapToGrid w:val="0"/>
        <w:spacing w:line="360" w:lineRule="auto"/>
        <w:ind w:firstLine="720" w:firstLineChars="300"/>
        <w:rPr>
          <w:rFonts w:hint="eastAsia" w:ascii="宋体" w:hAnsi="宋体"/>
          <w:color w:val="auto"/>
          <w:sz w:val="24"/>
          <w:highlight w:val="none"/>
        </w:rPr>
      </w:pPr>
      <w:r>
        <w:rPr>
          <w:rFonts w:ascii="宋体" w:hAnsi="宋体"/>
          <w:color w:val="auto"/>
          <w:sz w:val="24"/>
          <w:highlight w:val="none"/>
        </w:rPr>
        <w:t>我</w:t>
      </w:r>
      <w:r>
        <w:rPr>
          <w:rFonts w:hint="eastAsia" w:ascii="宋体" w:hAnsi="宋体"/>
          <w:color w:val="auto"/>
          <w:sz w:val="24"/>
          <w:highlight w:val="none"/>
          <w:u w:val="single"/>
        </w:rPr>
        <w:t xml:space="preserve">          </w:t>
      </w:r>
      <w:r>
        <w:rPr>
          <w:rFonts w:ascii="宋体" w:hAnsi="宋体"/>
          <w:color w:val="auto"/>
          <w:sz w:val="24"/>
          <w:highlight w:val="none"/>
        </w:rPr>
        <w:t>（姓名）系</w:t>
      </w:r>
      <w:r>
        <w:rPr>
          <w:rFonts w:hint="eastAsia" w:ascii="宋体" w:hAnsi="宋体"/>
          <w:color w:val="auto"/>
          <w:sz w:val="24"/>
          <w:highlight w:val="none"/>
          <w:u w:val="single"/>
        </w:rPr>
        <w:t xml:space="preserve">            </w:t>
      </w:r>
      <w:r>
        <w:rPr>
          <w:rFonts w:ascii="宋体" w:hAnsi="宋体"/>
          <w:color w:val="auto"/>
          <w:sz w:val="24"/>
          <w:highlight w:val="none"/>
        </w:rPr>
        <w:t>（投标人名称）的法定代表人，现授权委托本单位在职职工</w:t>
      </w:r>
      <w:r>
        <w:rPr>
          <w:rFonts w:hint="eastAsia" w:ascii="宋体" w:hAnsi="宋体"/>
          <w:color w:val="auto"/>
          <w:sz w:val="24"/>
          <w:highlight w:val="none"/>
          <w:u w:val="single"/>
        </w:rPr>
        <w:t xml:space="preserve">           </w:t>
      </w:r>
      <w:r>
        <w:rPr>
          <w:rFonts w:ascii="宋体" w:hAnsi="宋体"/>
          <w:color w:val="auto"/>
          <w:sz w:val="24"/>
          <w:highlight w:val="none"/>
        </w:rPr>
        <w:t>（姓名）以我方的名义参加政府采购项目的投标活动，并代表我方全权办理针对上述项目的投标、开标、评标、签约等具体事务和签署相关文件。</w:t>
      </w:r>
    </w:p>
    <w:p>
      <w:pPr>
        <w:snapToGrid w:val="0"/>
        <w:spacing w:line="360" w:lineRule="auto"/>
        <w:rPr>
          <w:rFonts w:hint="eastAsia" w:ascii="宋体" w:hAnsi="宋体"/>
          <w:color w:val="auto"/>
          <w:sz w:val="24"/>
          <w:highlight w:val="none"/>
        </w:rPr>
      </w:pPr>
      <w:r>
        <w:rPr>
          <w:rFonts w:ascii="宋体" w:hAnsi="宋体"/>
          <w:color w:val="auto"/>
          <w:sz w:val="24"/>
          <w:highlight w:val="none"/>
        </w:rPr>
        <w:t xml:space="preserve">    我方对被授权人的签名事项负全部责任。</w:t>
      </w:r>
    </w:p>
    <w:p>
      <w:pPr>
        <w:snapToGrid w:val="0"/>
        <w:spacing w:line="360" w:lineRule="auto"/>
        <w:ind w:firstLine="480"/>
        <w:rPr>
          <w:rFonts w:hint="eastAsia" w:ascii="宋体" w:hAnsi="宋体"/>
          <w:color w:val="auto"/>
          <w:sz w:val="24"/>
          <w:highlight w:val="none"/>
        </w:rPr>
      </w:pPr>
      <w:r>
        <w:rPr>
          <w:rFonts w:ascii="宋体" w:hAnsi="宋体"/>
          <w:color w:val="auto"/>
          <w:sz w:val="24"/>
          <w:highlight w:val="none"/>
        </w:rPr>
        <w:t>在撤销授权的书面通知以前，本授权书一直有效。被授权人在授权书有效期内签署的所有文件不因授权的撤销而失效。</w:t>
      </w:r>
    </w:p>
    <w:p>
      <w:pPr>
        <w:snapToGrid w:val="0"/>
        <w:spacing w:line="360" w:lineRule="auto"/>
        <w:ind w:firstLine="480"/>
        <w:rPr>
          <w:rFonts w:hint="eastAsia" w:ascii="宋体" w:hAnsi="宋体"/>
          <w:color w:val="auto"/>
          <w:sz w:val="24"/>
          <w:highlight w:val="none"/>
        </w:rPr>
      </w:pPr>
      <w:r>
        <w:rPr>
          <w:rFonts w:ascii="宋体" w:hAnsi="宋体"/>
          <w:color w:val="auto"/>
          <w:sz w:val="24"/>
          <w:highlight w:val="none"/>
        </w:rPr>
        <w:t>被授权人无转委托权，特此委托。</w:t>
      </w: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u w:val="single"/>
        </w:rPr>
      </w:pPr>
      <w:r>
        <w:rPr>
          <w:rFonts w:ascii="宋体" w:hAnsi="宋体"/>
          <w:color w:val="auto"/>
          <w:sz w:val="24"/>
          <w:highlight w:val="none"/>
        </w:rPr>
        <w:t xml:space="preserve">被授权人签名：       </w:t>
      </w:r>
      <w:r>
        <w:rPr>
          <w:rFonts w:hint="eastAsia" w:ascii="宋体" w:hAnsi="宋体"/>
          <w:color w:val="auto"/>
          <w:sz w:val="24"/>
          <w:highlight w:val="none"/>
        </w:rPr>
        <w:t xml:space="preserve">   </w:t>
      </w:r>
      <w:r>
        <w:rPr>
          <w:rFonts w:ascii="宋体" w:hAnsi="宋体"/>
          <w:color w:val="auto"/>
          <w:sz w:val="24"/>
          <w:highlight w:val="none"/>
        </w:rPr>
        <w:t xml:space="preserve">      </w:t>
      </w:r>
      <w:r>
        <w:rPr>
          <w:rFonts w:hint="eastAsia" w:ascii="宋体" w:hAnsi="宋体"/>
          <w:color w:val="auto"/>
          <w:sz w:val="24"/>
          <w:highlight w:val="none"/>
        </w:rPr>
        <w:t xml:space="preserve">         </w:t>
      </w:r>
      <w:r>
        <w:rPr>
          <w:rFonts w:ascii="宋体" w:hAnsi="宋体"/>
          <w:color w:val="auto"/>
          <w:sz w:val="24"/>
          <w:highlight w:val="none"/>
        </w:rPr>
        <w:t xml:space="preserve"> 法定代表人签名：</w:t>
      </w:r>
    </w:p>
    <w:p>
      <w:pPr>
        <w:snapToGrid w:val="0"/>
        <w:spacing w:line="360" w:lineRule="auto"/>
        <w:ind w:firstLine="960" w:firstLineChars="400"/>
        <w:rPr>
          <w:rFonts w:hint="eastAsia" w:ascii="宋体" w:hAnsi="宋体"/>
          <w:color w:val="auto"/>
          <w:sz w:val="24"/>
          <w:highlight w:val="none"/>
        </w:rPr>
      </w:pPr>
      <w:r>
        <w:rPr>
          <w:rFonts w:ascii="宋体" w:hAnsi="宋体"/>
          <w:color w:val="auto"/>
          <w:sz w:val="24"/>
          <w:highlight w:val="none"/>
        </w:rPr>
        <w:t xml:space="preserve">职务：                          </w:t>
      </w:r>
      <w:r>
        <w:rPr>
          <w:rFonts w:hint="eastAsia" w:ascii="宋体" w:hAnsi="宋体"/>
          <w:color w:val="auto"/>
          <w:sz w:val="24"/>
          <w:highlight w:val="none"/>
        </w:rPr>
        <w:t xml:space="preserve">          </w:t>
      </w:r>
      <w:r>
        <w:rPr>
          <w:rFonts w:ascii="宋体" w:hAnsi="宋体"/>
          <w:color w:val="auto"/>
          <w:sz w:val="24"/>
          <w:highlight w:val="none"/>
        </w:rPr>
        <w:t>职务：</w:t>
      </w:r>
    </w:p>
    <w:p>
      <w:pPr>
        <w:spacing w:line="360" w:lineRule="auto"/>
        <w:rPr>
          <w:rFonts w:hint="eastAsia" w:ascii="宋体" w:hAnsi="宋体"/>
          <w:color w:val="auto"/>
          <w:sz w:val="24"/>
          <w:highlight w:val="none"/>
        </w:rPr>
      </w:pPr>
      <w:r>
        <w:rPr>
          <w:rFonts w:ascii="宋体" w:hAnsi="宋体"/>
          <w:color w:val="auto"/>
          <w:sz w:val="24"/>
          <w:highlight w:val="none"/>
        </w:rPr>
        <w:t>被授权人身份证号码：</w:t>
      </w:r>
    </w:p>
    <w:p>
      <w:pPr>
        <w:spacing w:line="360" w:lineRule="auto"/>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r>
        <w:rPr>
          <w:rFonts w:ascii="宋体" w:hAnsi="宋体"/>
          <w:color w:val="auto"/>
          <w:sz w:val="24"/>
          <w:highlight w:val="none"/>
        </w:rPr>
        <w:t>投标人公章：                      年    月    日</w:t>
      </w:r>
    </w:p>
    <w:p>
      <w:pPr>
        <w:spacing w:line="360" w:lineRule="auto"/>
        <w:ind w:firstLine="3600" w:firstLineChars="1500"/>
        <w:rPr>
          <w:rFonts w:hint="eastAsia" w:ascii="宋体" w:hAnsi="宋体"/>
          <w:color w:val="auto"/>
          <w:sz w:val="24"/>
          <w:highlight w:val="none"/>
        </w:rPr>
      </w:pP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法定代表人身份证复印件粘贴处：             </w:t>
      </w:r>
      <w:r>
        <w:rPr>
          <w:rFonts w:ascii="宋体" w:hAnsi="宋体"/>
          <w:color w:val="auto"/>
          <w:sz w:val="24"/>
          <w:highlight w:val="none"/>
        </w:rPr>
        <w:t>被授权人</w:t>
      </w:r>
      <w:r>
        <w:rPr>
          <w:rFonts w:hint="eastAsia" w:ascii="宋体" w:hAnsi="宋体"/>
          <w:color w:val="auto"/>
          <w:sz w:val="24"/>
          <w:highlight w:val="none"/>
        </w:rPr>
        <w:t>身份证复印件粘贴处：</w:t>
      </w:r>
    </w:p>
    <w:p>
      <w:pPr>
        <w:snapToGrid w:val="0"/>
        <w:spacing w:before="120" w:beforeLines="50" w:after="50" w:line="360" w:lineRule="auto"/>
        <w:rPr>
          <w:rFonts w:hint="eastAsia" w:ascii="宋体" w:hAnsi="宋体"/>
          <w:color w:val="auto"/>
          <w:sz w:val="24"/>
          <w:highlight w:val="none"/>
        </w:rPr>
      </w:pPr>
    </w:p>
    <w:p>
      <w:pPr>
        <w:snapToGrid w:val="0"/>
        <w:spacing w:before="120" w:beforeLines="50" w:after="50" w:line="360" w:lineRule="auto"/>
        <w:rPr>
          <w:rFonts w:hint="eastAsia" w:ascii="宋体" w:hAnsi="宋体"/>
          <w:color w:val="auto"/>
          <w:sz w:val="24"/>
          <w:highlight w:val="none"/>
        </w:rPr>
      </w:pPr>
    </w:p>
    <w:p>
      <w:pPr>
        <w:pStyle w:val="5"/>
        <w:rPr>
          <w:color w:val="auto"/>
          <w:highlight w:val="none"/>
        </w:rPr>
      </w:pPr>
    </w:p>
    <w:p>
      <w:pPr>
        <w:snapToGrid w:val="0"/>
        <w:spacing w:before="120" w:beforeLines="50" w:after="50" w:line="360" w:lineRule="auto"/>
        <w:rPr>
          <w:rFonts w:hint="eastAsia" w:ascii="宋体" w:hAnsi="宋体"/>
          <w:color w:val="auto"/>
          <w:sz w:val="24"/>
          <w:highlight w:val="none"/>
        </w:rPr>
      </w:pPr>
    </w:p>
    <w:p>
      <w:pPr>
        <w:pStyle w:val="5"/>
        <w:spacing w:line="360" w:lineRule="auto"/>
        <w:jc w:val="left"/>
        <w:rPr>
          <w:rFonts w:hint="eastAsia" w:ascii="宋体" w:hAnsi="宋体" w:eastAsia="宋体"/>
          <w:b w:val="0"/>
          <w:bCs w:val="0"/>
          <w:color w:val="auto"/>
          <w:sz w:val="24"/>
          <w:szCs w:val="24"/>
          <w:highlight w:val="none"/>
        </w:rPr>
      </w:pPr>
      <w:r>
        <w:rPr>
          <w:rFonts w:hint="eastAsia" w:ascii="宋体" w:hAnsi="宋体"/>
          <w:b w:val="0"/>
          <w:bCs w:val="0"/>
          <w:color w:val="auto"/>
          <w:sz w:val="24"/>
          <w:highlight w:val="none"/>
        </w:rPr>
        <w:t xml:space="preserve">5. </w:t>
      </w:r>
      <w:r>
        <w:rPr>
          <w:rFonts w:hint="eastAsia" w:ascii="宋体" w:hAnsi="宋体" w:eastAsia="宋体"/>
          <w:b w:val="0"/>
          <w:bCs w:val="0"/>
          <w:color w:val="auto"/>
          <w:sz w:val="24"/>
          <w:szCs w:val="24"/>
          <w:highlight w:val="none"/>
        </w:rPr>
        <w:t>符合参加政府采购活动应当具备的一般条件的承诺函格式：</w:t>
      </w:r>
    </w:p>
    <w:p>
      <w:pPr>
        <w:pStyle w:val="5"/>
        <w:spacing w:line="360" w:lineRule="auto"/>
        <w:jc w:val="center"/>
        <w:rPr>
          <w:rFonts w:hint="eastAsia" w:ascii="宋体" w:hAnsi="宋体" w:eastAsia="宋体"/>
          <w:color w:val="auto"/>
          <w:sz w:val="24"/>
          <w:szCs w:val="24"/>
          <w:highlight w:val="none"/>
        </w:rPr>
      </w:pPr>
      <w:r>
        <w:rPr>
          <w:rFonts w:hint="eastAsia" w:ascii="宋体" w:hAnsi="宋体" w:eastAsia="宋体"/>
          <w:color w:val="auto"/>
          <w:sz w:val="24"/>
          <w:szCs w:val="24"/>
          <w:highlight w:val="none"/>
        </w:rPr>
        <w:t>符合参加政府采购活动应当具备的一般条件的承诺函</w:t>
      </w:r>
    </w:p>
    <w:p>
      <w:pPr>
        <w:spacing w:line="360" w:lineRule="auto"/>
        <w:rPr>
          <w:rFonts w:hint="eastAsia" w:ascii="宋体" w:hAnsi="宋体"/>
          <w:color w:val="auto"/>
          <w:sz w:val="24"/>
          <w:highlight w:val="none"/>
        </w:rPr>
      </w:pPr>
      <w:r>
        <w:rPr>
          <w:rFonts w:ascii="宋体" w:hAnsi="宋体"/>
          <w:color w:val="auto"/>
          <w:sz w:val="24"/>
          <w:highlight w:val="none"/>
        </w:rPr>
        <w:t>致：</w:t>
      </w:r>
      <w:r>
        <w:rPr>
          <w:rFonts w:hint="eastAsia" w:ascii="宋体" w:hAnsi="宋体"/>
          <w:color w:val="auto"/>
          <w:sz w:val="24"/>
          <w:highlight w:val="none"/>
          <w:u w:val="single"/>
        </w:rPr>
        <w:t>上海世外教育附属平湖经开实验小学</w:t>
      </w:r>
      <w:r>
        <w:rPr>
          <w:rFonts w:hint="eastAsia" w:ascii="宋体" w:hAnsi="宋体"/>
          <w:color w:val="auto"/>
          <w:sz w:val="24"/>
          <w:highlight w:val="none"/>
        </w:rPr>
        <w:t>（采购单位名称）：</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我方参与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（项目名称）【采购编号：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】政府采购活动，郑重承诺：</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（一）具备《中华人民共和国政府采购法》第二十二条第一款规定的条件：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1、具有独立承担民事责任的能力；</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2、具有良好的商业信誉和健全的财务会计制度；</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3、具有履行合同所必需的设备和专业技术能力；</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4、有依法缴纳税收和社会保障资金的良好记录；</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5、参加政府采购活动前三年内，在经营活动中没有重大违法记录；</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6、具有法律、行政法规规定的其他条件。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（二）未被信用中国（www.creditchina.gov.cn)、中国政府采购网（www.ccgp.gov.cn）列入失信被执行人、重大税收违法案件当事人名单、政府采购严重违法失信行为记录名单。</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（三）不存在以下情况：</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1、单位负责人为同一人或者存在直接控股、管理关系的不同供应商参加同一合同项下的政府采购活动的；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2、为采购项目提供整体设计、规范编制或者项目管理、监理、检测等服务后再参加该采购项目的其他采购活动的。</w:t>
      </w:r>
    </w:p>
    <w:p>
      <w:pPr>
        <w:tabs>
          <w:tab w:val="left" w:pos="1418"/>
        </w:tabs>
        <w:spacing w:line="360" w:lineRule="auto"/>
        <w:ind w:firstLine="240" w:firstLineChars="100"/>
        <w:rPr>
          <w:rFonts w:hint="eastAsia" w:ascii="宋体" w:hAnsi="宋体"/>
          <w:color w:val="auto"/>
          <w:sz w:val="24"/>
          <w:highlight w:val="none"/>
        </w:rPr>
      </w:pPr>
    </w:p>
    <w:p>
      <w:pPr>
        <w:tabs>
          <w:tab w:val="left" w:pos="1418"/>
        </w:tabs>
        <w:spacing w:line="360" w:lineRule="auto"/>
        <w:ind w:firstLine="240" w:firstLineChars="100"/>
        <w:rPr>
          <w:rFonts w:hint="eastAsia" w:ascii="宋体" w:hAnsi="宋体"/>
          <w:bCs/>
          <w:color w:val="auto"/>
          <w:sz w:val="24"/>
          <w:highlight w:val="none"/>
        </w:rPr>
      </w:pPr>
      <w:r>
        <w:rPr>
          <w:rFonts w:ascii="宋体" w:hAnsi="宋体"/>
          <w:color w:val="auto"/>
          <w:sz w:val="24"/>
          <w:highlight w:val="none"/>
        </w:rPr>
        <w:t>法定代表人或委托代理人签名：</w:t>
      </w:r>
    </w:p>
    <w:p>
      <w:pPr>
        <w:tabs>
          <w:tab w:val="left" w:pos="1418"/>
        </w:tabs>
        <w:spacing w:line="360" w:lineRule="auto"/>
        <w:ind w:firstLine="240" w:firstLineChars="100"/>
        <w:rPr>
          <w:rFonts w:hint="eastAsia" w:ascii="宋体" w:hAnsi="宋体"/>
          <w:bCs/>
          <w:color w:val="auto"/>
          <w:sz w:val="24"/>
          <w:highlight w:val="none"/>
        </w:rPr>
      </w:pPr>
      <w:r>
        <w:rPr>
          <w:rFonts w:hint="eastAsia" w:ascii="宋体" w:hAnsi="宋体"/>
          <w:bCs/>
          <w:color w:val="auto"/>
          <w:sz w:val="24"/>
          <w:highlight w:val="none"/>
        </w:rPr>
        <w:t xml:space="preserve">采购响应方（盖章）：                              </w:t>
      </w:r>
    </w:p>
    <w:p>
      <w:pPr>
        <w:tabs>
          <w:tab w:val="left" w:pos="1418"/>
        </w:tabs>
        <w:spacing w:line="360" w:lineRule="auto"/>
        <w:ind w:firstLine="240" w:firstLineChars="100"/>
        <w:jc w:val="right"/>
        <w:rPr>
          <w:rFonts w:hint="eastAsia" w:ascii="宋体" w:hAnsi="宋体"/>
          <w:b/>
          <w:bCs/>
          <w:color w:val="auto"/>
          <w:sz w:val="24"/>
          <w:highlight w:val="none"/>
        </w:rPr>
      </w:pPr>
      <w:r>
        <w:rPr>
          <w:rFonts w:hint="eastAsia" w:ascii="宋体" w:hAnsi="宋体"/>
          <w:bCs/>
          <w:color w:val="auto"/>
          <w:sz w:val="24"/>
          <w:highlight w:val="none"/>
        </w:rPr>
        <w:t>年  月  日</w:t>
      </w:r>
    </w:p>
    <w:p>
      <w:pPr>
        <w:snapToGrid w:val="0"/>
        <w:spacing w:line="360" w:lineRule="auto"/>
        <w:rPr>
          <w:rFonts w:hint="eastAsia" w:ascii="宋体" w:hAnsi="宋体"/>
          <w:color w:val="auto"/>
          <w:sz w:val="24"/>
          <w:highlight w:val="none"/>
        </w:rPr>
      </w:pPr>
    </w:p>
    <w:p>
      <w:pPr>
        <w:pStyle w:val="15"/>
        <w:ind w:firstLine="464"/>
        <w:rPr>
          <w:rFonts w:hint="eastAsia" w:hAnsi="宋体"/>
          <w:color w:val="auto"/>
          <w:sz w:val="24"/>
          <w:highlight w:val="none"/>
        </w:rPr>
      </w:pPr>
    </w:p>
    <w:p>
      <w:pPr>
        <w:pStyle w:val="15"/>
        <w:ind w:firstLine="464"/>
        <w:rPr>
          <w:rFonts w:hint="eastAsia" w:hAnsi="宋体"/>
          <w:color w:val="auto"/>
          <w:sz w:val="24"/>
          <w:highlight w:val="none"/>
        </w:rPr>
      </w:pPr>
    </w:p>
    <w:p>
      <w:pPr>
        <w:pStyle w:val="15"/>
        <w:ind w:firstLine="464"/>
        <w:rPr>
          <w:rFonts w:hint="eastAsia" w:hAnsi="宋体"/>
          <w:color w:val="auto"/>
          <w:sz w:val="24"/>
          <w:highlight w:val="none"/>
        </w:rPr>
      </w:pPr>
    </w:p>
    <w:p>
      <w:pPr>
        <w:snapToGrid w:val="0"/>
        <w:spacing w:line="360" w:lineRule="auto"/>
        <w:rPr>
          <w:rFonts w:hint="eastAsia" w:ascii="宋体" w:hAnsi="宋体"/>
          <w:color w:val="auto"/>
          <w:sz w:val="24"/>
          <w:highlight w:val="none"/>
        </w:rPr>
      </w:pPr>
      <w:r>
        <w:rPr>
          <w:rFonts w:hint="eastAsia" w:ascii="宋体" w:hAnsi="宋体"/>
          <w:color w:val="auto"/>
          <w:sz w:val="24"/>
          <w:highlight w:val="none"/>
        </w:rPr>
        <w:t>6.中小企业声明函等承诺函</w:t>
      </w:r>
    </w:p>
    <w:p>
      <w:pPr>
        <w:pStyle w:val="15"/>
        <w:ind w:left="0" w:leftChars="0" w:firstLine="0" w:firstLineChars="0"/>
        <w:rPr>
          <w:color w:val="auto"/>
          <w:highlight w:val="none"/>
        </w:rPr>
      </w:pPr>
    </w:p>
    <w:p>
      <w:pPr>
        <w:snapToGrid w:val="0"/>
        <w:spacing w:line="360" w:lineRule="auto"/>
        <w:jc w:val="center"/>
        <w:rPr>
          <w:rFonts w:hint="eastAsia" w:ascii="宋体" w:hAnsi="宋体"/>
          <w:color w:val="auto"/>
          <w:sz w:val="24"/>
          <w:highlight w:val="none"/>
        </w:rPr>
      </w:pPr>
      <w:r>
        <w:rPr>
          <w:rFonts w:hint="eastAsia" w:ascii="Arial" w:hAnsi="Arial" w:eastAsia="黑体"/>
          <w:b/>
          <w:bCs/>
          <w:color w:val="auto"/>
          <w:sz w:val="32"/>
          <w:szCs w:val="32"/>
          <w:highlight w:val="none"/>
        </w:rPr>
        <w:t>中小企业声明函（货物）</w:t>
      </w:r>
    </w:p>
    <w:p>
      <w:pPr>
        <w:snapToGrid w:val="0"/>
        <w:spacing w:line="360" w:lineRule="auto"/>
        <w:ind w:firstLine="720" w:firstLineChars="300"/>
        <w:jc w:val="left"/>
        <w:rPr>
          <w:rFonts w:hint="eastAsia" w:ascii="宋体" w:hAnsi="宋体"/>
          <w:color w:val="auto"/>
          <w:sz w:val="24"/>
          <w:highlight w:val="none"/>
        </w:rPr>
      </w:pPr>
      <w:r>
        <w:rPr>
          <w:rFonts w:hint="eastAsia" w:ascii="宋体" w:hAnsi="宋体"/>
          <w:color w:val="auto"/>
          <w:sz w:val="24"/>
          <w:highlight w:val="none"/>
        </w:rPr>
        <w:t>本公司（联合体）郑重声明，根据《政府采购促进中小企业发展管理办法》（财库﹝2020﹞46 号）的规定，本公司参加</w:t>
      </w:r>
      <w:r>
        <w:rPr>
          <w:rFonts w:hint="eastAsia" w:ascii="宋体" w:hAnsi="宋体"/>
          <w:color w:val="auto"/>
          <w:sz w:val="24"/>
          <w:highlight w:val="none"/>
          <w:u w:val="single"/>
        </w:rPr>
        <w:t>（单位名称）</w:t>
      </w:r>
      <w:r>
        <w:rPr>
          <w:rFonts w:hint="eastAsia" w:ascii="宋体" w:hAnsi="宋体"/>
          <w:color w:val="auto"/>
          <w:sz w:val="24"/>
          <w:highlight w:val="none"/>
        </w:rPr>
        <w:t>的</w:t>
      </w:r>
      <w:r>
        <w:rPr>
          <w:rFonts w:hint="eastAsia" w:ascii="宋体" w:hAnsi="宋体"/>
          <w:color w:val="auto"/>
          <w:sz w:val="24"/>
          <w:highlight w:val="none"/>
          <w:u w:val="single"/>
        </w:rPr>
        <w:t>（项目名称）</w:t>
      </w:r>
      <w:r>
        <w:rPr>
          <w:rFonts w:hint="eastAsia" w:ascii="宋体" w:hAnsi="宋体"/>
          <w:color w:val="auto"/>
          <w:sz w:val="24"/>
          <w:highlight w:val="none"/>
        </w:rPr>
        <w:t>采购活动，提供的货物</w:t>
      </w:r>
      <w:r>
        <w:rPr>
          <w:rFonts w:hint="eastAsia" w:ascii="宋体" w:hAnsi="宋体"/>
          <w:b/>
          <w:bCs/>
          <w:color w:val="auto"/>
          <w:sz w:val="24"/>
          <w:highlight w:val="none"/>
        </w:rPr>
        <w:t>全部</w:t>
      </w:r>
      <w:r>
        <w:rPr>
          <w:rFonts w:hint="eastAsia" w:ascii="宋体" w:hAnsi="宋体"/>
          <w:color w:val="auto"/>
          <w:sz w:val="24"/>
          <w:highlight w:val="none"/>
        </w:rPr>
        <w:t xml:space="preserve">由符合政策要求的中小企业制造。相关企业的具体情况如下： </w:t>
      </w:r>
    </w:p>
    <w:p>
      <w:pPr>
        <w:snapToGrid w:val="0"/>
        <w:spacing w:line="360" w:lineRule="auto"/>
        <w:ind w:firstLine="720" w:firstLineChars="300"/>
        <w:jc w:val="left"/>
        <w:rPr>
          <w:rFonts w:hint="eastAsia" w:ascii="宋体" w:hAnsi="宋体"/>
          <w:color w:val="auto"/>
          <w:sz w:val="24"/>
          <w:highlight w:val="none"/>
        </w:rPr>
      </w:pPr>
      <w:r>
        <w:rPr>
          <w:rFonts w:hint="eastAsia" w:ascii="宋体" w:hAnsi="宋体"/>
          <w:color w:val="auto"/>
          <w:sz w:val="24"/>
          <w:highlight w:val="none"/>
        </w:rPr>
        <w:t xml:space="preserve">1. </w:t>
      </w:r>
      <w:r>
        <w:rPr>
          <w:rFonts w:hint="eastAsia" w:ascii="宋体" w:hAnsi="宋体"/>
          <w:color w:val="auto"/>
          <w:sz w:val="24"/>
          <w:highlight w:val="none"/>
          <w:u w:val="single"/>
        </w:rPr>
        <w:t>（标的名称）</w:t>
      </w:r>
      <w:r>
        <w:rPr>
          <w:rFonts w:hint="eastAsia" w:ascii="宋体" w:hAnsi="宋体"/>
          <w:color w:val="auto"/>
          <w:sz w:val="24"/>
          <w:highlight w:val="none"/>
        </w:rPr>
        <w:t xml:space="preserve"> ，属于</w:t>
      </w:r>
      <w:r>
        <w:rPr>
          <w:rFonts w:hint="eastAsia" w:ascii="宋体" w:hAnsi="宋体"/>
          <w:color w:val="auto"/>
          <w:sz w:val="24"/>
          <w:highlight w:val="none"/>
          <w:u w:val="single"/>
        </w:rPr>
        <w:t>（采购文件中明确的所属行业）</w:t>
      </w:r>
      <w:r>
        <w:rPr>
          <w:rFonts w:hint="eastAsia" w:ascii="宋体" w:hAnsi="宋体"/>
          <w:color w:val="auto"/>
          <w:sz w:val="24"/>
          <w:highlight w:val="none"/>
        </w:rPr>
        <w:t xml:space="preserve"> 行业；制造商为</w:t>
      </w:r>
      <w:r>
        <w:rPr>
          <w:rFonts w:hint="eastAsia" w:ascii="宋体" w:hAnsi="宋体"/>
          <w:color w:val="auto"/>
          <w:sz w:val="24"/>
          <w:highlight w:val="none"/>
          <w:u w:val="single"/>
        </w:rPr>
        <w:t>（企业名称）</w:t>
      </w:r>
      <w:r>
        <w:rPr>
          <w:rFonts w:hint="eastAsia" w:ascii="宋体" w:hAnsi="宋体"/>
          <w:color w:val="auto"/>
          <w:sz w:val="24"/>
          <w:highlight w:val="none"/>
        </w:rPr>
        <w:t xml:space="preserve">，从业人员人，营业收入为万元，资产总额为万元，属于（中型企业、小型企业、微型企业）； </w:t>
      </w:r>
    </w:p>
    <w:p>
      <w:pPr>
        <w:snapToGrid w:val="0"/>
        <w:spacing w:line="360" w:lineRule="auto"/>
        <w:ind w:firstLine="720" w:firstLineChars="300"/>
        <w:rPr>
          <w:rFonts w:hint="eastAsia" w:ascii="宋体" w:hAnsi="宋体"/>
          <w:color w:val="auto"/>
          <w:sz w:val="24"/>
          <w:highlight w:val="none"/>
        </w:rPr>
      </w:pPr>
      <w:r>
        <w:rPr>
          <w:rFonts w:hint="eastAsia" w:ascii="宋体" w:hAnsi="宋体"/>
          <w:color w:val="auto"/>
          <w:sz w:val="24"/>
          <w:highlight w:val="none"/>
        </w:rPr>
        <w:t xml:space="preserve">2. </w:t>
      </w:r>
      <w:r>
        <w:rPr>
          <w:rFonts w:hint="eastAsia" w:ascii="宋体" w:hAnsi="宋体"/>
          <w:color w:val="auto"/>
          <w:sz w:val="24"/>
          <w:highlight w:val="none"/>
          <w:u w:val="single"/>
        </w:rPr>
        <w:t>（标的名称）</w:t>
      </w:r>
      <w:r>
        <w:rPr>
          <w:rFonts w:hint="eastAsia" w:ascii="宋体" w:hAnsi="宋体"/>
          <w:color w:val="auto"/>
          <w:sz w:val="24"/>
          <w:highlight w:val="none"/>
        </w:rPr>
        <w:t>，属于</w:t>
      </w:r>
      <w:r>
        <w:rPr>
          <w:rFonts w:hint="eastAsia" w:ascii="宋体" w:hAnsi="宋体"/>
          <w:color w:val="auto"/>
          <w:sz w:val="24"/>
          <w:highlight w:val="none"/>
          <w:u w:val="single"/>
        </w:rPr>
        <w:t>（采购文件中明确的所属行业）</w:t>
      </w:r>
      <w:r>
        <w:rPr>
          <w:rFonts w:hint="eastAsia" w:ascii="宋体" w:hAnsi="宋体"/>
          <w:color w:val="auto"/>
          <w:sz w:val="24"/>
          <w:highlight w:val="none"/>
        </w:rPr>
        <w:t>行业；制造商为</w:t>
      </w:r>
      <w:r>
        <w:rPr>
          <w:rFonts w:hint="eastAsia" w:ascii="宋体" w:hAnsi="宋体"/>
          <w:color w:val="auto"/>
          <w:sz w:val="24"/>
          <w:highlight w:val="none"/>
          <w:u w:val="single"/>
        </w:rPr>
        <w:t>（企业名称）</w:t>
      </w:r>
      <w:r>
        <w:rPr>
          <w:rFonts w:hint="eastAsia" w:ascii="宋体" w:hAnsi="宋体"/>
          <w:color w:val="auto"/>
          <w:sz w:val="24"/>
          <w:highlight w:val="none"/>
        </w:rPr>
        <w:t>，从业人员人，营业收入为万元，资产总额为万元，属于</w:t>
      </w:r>
      <w:r>
        <w:rPr>
          <w:rFonts w:hint="eastAsia" w:ascii="宋体" w:hAnsi="宋体"/>
          <w:color w:val="auto"/>
          <w:sz w:val="24"/>
          <w:highlight w:val="none"/>
          <w:u w:val="single"/>
        </w:rPr>
        <w:t>（中型企业、小型企业、微型企业）</w:t>
      </w:r>
      <w:r>
        <w:rPr>
          <w:rFonts w:hint="eastAsia" w:ascii="宋体" w:hAnsi="宋体"/>
          <w:color w:val="auto"/>
          <w:sz w:val="24"/>
          <w:highlight w:val="none"/>
        </w:rPr>
        <w:t xml:space="preserve">； </w:t>
      </w:r>
    </w:p>
    <w:p>
      <w:pPr>
        <w:snapToGrid w:val="0"/>
        <w:spacing w:line="360" w:lineRule="auto"/>
        <w:rPr>
          <w:rFonts w:hint="eastAsia" w:ascii="宋体" w:hAnsi="宋体"/>
          <w:color w:val="auto"/>
          <w:sz w:val="24"/>
          <w:highlight w:val="none"/>
        </w:rPr>
      </w:pPr>
      <w:r>
        <w:rPr>
          <w:rFonts w:hint="eastAsia" w:ascii="宋体" w:hAnsi="宋体"/>
          <w:color w:val="auto"/>
          <w:sz w:val="24"/>
          <w:highlight w:val="none"/>
        </w:rPr>
        <w:t>……</w:t>
      </w:r>
    </w:p>
    <w:p>
      <w:pPr>
        <w:snapToGrid w:val="0"/>
        <w:spacing w:line="360" w:lineRule="auto"/>
        <w:ind w:firstLine="720" w:firstLineChars="300"/>
        <w:rPr>
          <w:rFonts w:hint="eastAsia" w:ascii="宋体" w:hAnsi="宋体"/>
          <w:color w:val="auto"/>
          <w:sz w:val="24"/>
          <w:highlight w:val="none"/>
        </w:rPr>
      </w:pPr>
      <w:r>
        <w:rPr>
          <w:rFonts w:hint="eastAsia" w:ascii="宋体" w:hAnsi="宋体"/>
          <w:color w:val="auto"/>
          <w:sz w:val="24"/>
          <w:highlight w:val="none"/>
        </w:rPr>
        <w:t>以上企业，不属于大企业的分支机构，不存在控股股东为大企业的情形，也不存在与大企业的负责人为同一人的情形。</w:t>
      </w:r>
    </w:p>
    <w:p>
      <w:pPr>
        <w:snapToGrid w:val="0"/>
        <w:spacing w:line="360" w:lineRule="auto"/>
        <w:ind w:firstLine="720" w:firstLineChars="300"/>
        <w:rPr>
          <w:rFonts w:hint="eastAsia" w:ascii="宋体" w:hAnsi="宋体"/>
          <w:color w:val="auto"/>
          <w:sz w:val="24"/>
          <w:highlight w:val="none"/>
        </w:rPr>
      </w:pPr>
      <w:r>
        <w:rPr>
          <w:rFonts w:hint="eastAsia" w:ascii="宋体" w:hAnsi="宋体"/>
          <w:color w:val="auto"/>
          <w:sz w:val="24"/>
          <w:highlight w:val="none"/>
        </w:rPr>
        <w:t xml:space="preserve">本企业对上述声明内容的真实性负责。如有虚假，将依法承担相应责任。 </w:t>
      </w:r>
    </w:p>
    <w:p>
      <w:pPr>
        <w:pStyle w:val="6"/>
        <w:ind w:firstLine="0" w:firstLineChars="0"/>
        <w:rPr>
          <w:color w:val="auto"/>
          <w:highlight w:val="none"/>
        </w:rPr>
      </w:pPr>
    </w:p>
    <w:p>
      <w:pPr>
        <w:snapToGrid w:val="0"/>
        <w:spacing w:line="360" w:lineRule="auto"/>
        <w:ind w:firstLine="4560" w:firstLineChars="1900"/>
        <w:rPr>
          <w:rFonts w:hint="eastAsia" w:ascii="宋体" w:hAnsi="宋体"/>
          <w:color w:val="auto"/>
          <w:sz w:val="24"/>
          <w:highlight w:val="none"/>
        </w:rPr>
      </w:pPr>
      <w:r>
        <w:rPr>
          <w:rFonts w:hint="eastAsia" w:ascii="宋体" w:hAnsi="宋体"/>
          <w:color w:val="auto"/>
          <w:sz w:val="24"/>
          <w:highlight w:val="none"/>
        </w:rPr>
        <w:t xml:space="preserve">企业名称（盖章）： </w:t>
      </w:r>
    </w:p>
    <w:p>
      <w:pPr>
        <w:snapToGrid w:val="0"/>
        <w:spacing w:line="360" w:lineRule="auto"/>
        <w:ind w:firstLine="4560" w:firstLineChars="1900"/>
        <w:rPr>
          <w:rFonts w:hint="eastAsia" w:ascii="宋体" w:hAnsi="宋体"/>
          <w:color w:val="auto"/>
          <w:sz w:val="24"/>
          <w:highlight w:val="none"/>
        </w:rPr>
      </w:pPr>
      <w:r>
        <w:rPr>
          <w:rFonts w:hint="eastAsia" w:ascii="宋体" w:hAnsi="宋体"/>
          <w:color w:val="auto"/>
          <w:sz w:val="24"/>
          <w:highlight w:val="none"/>
        </w:rPr>
        <w:t xml:space="preserve">日 期： </w:t>
      </w:r>
    </w:p>
    <w:p>
      <w:pPr>
        <w:spacing w:line="360" w:lineRule="auto"/>
        <w:ind w:firstLine="480" w:firstLineChars="200"/>
        <w:rPr>
          <w:rFonts w:hint="eastAsia" w:ascii="宋体" w:hAnsi="宋体" w:cs="宋体"/>
          <w:color w:val="auto"/>
          <w:sz w:val="24"/>
          <w:highlight w:val="none"/>
        </w:rPr>
      </w:pPr>
    </w:p>
    <w:p>
      <w:pPr>
        <w:snapToGrid w:val="0"/>
        <w:spacing w:line="360" w:lineRule="auto"/>
        <w:rPr>
          <w:rFonts w:hint="eastAsia" w:ascii="宋体" w:hAnsi="宋体"/>
          <w:b/>
          <w:bCs/>
          <w:color w:val="auto"/>
          <w:sz w:val="24"/>
          <w:szCs w:val="20"/>
          <w:highlight w:val="none"/>
        </w:rPr>
      </w:pPr>
      <w:r>
        <w:rPr>
          <w:rFonts w:hint="eastAsia" w:ascii="宋体" w:hAnsi="宋体"/>
          <w:b/>
          <w:bCs/>
          <w:color w:val="auto"/>
          <w:sz w:val="24"/>
          <w:szCs w:val="20"/>
          <w:highlight w:val="none"/>
        </w:rPr>
        <w:t>注：</w:t>
      </w:r>
    </w:p>
    <w:p>
      <w:pPr>
        <w:snapToGrid w:val="0"/>
        <w:spacing w:line="360" w:lineRule="auto"/>
        <w:ind w:firstLine="480" w:firstLineChars="200"/>
        <w:rPr>
          <w:rFonts w:hint="eastAsia" w:ascii="宋体" w:hAnsi="宋体"/>
          <w:color w:val="auto"/>
          <w:sz w:val="24"/>
          <w:szCs w:val="20"/>
          <w:highlight w:val="none"/>
        </w:rPr>
      </w:pPr>
      <w:r>
        <w:rPr>
          <w:rFonts w:hint="eastAsia" w:ascii="宋体" w:hAnsi="宋体"/>
          <w:color w:val="auto"/>
          <w:sz w:val="24"/>
          <w:szCs w:val="20"/>
          <w:highlight w:val="none"/>
        </w:rPr>
        <w:t>1、从业人员、营业收入、资产总额填报上一年度数据，无上一年度数据的新成立企业可不填报。</w:t>
      </w:r>
    </w:p>
    <w:p>
      <w:pPr>
        <w:wordWrap w:val="0"/>
        <w:topLinePunct/>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2、采购标的</w:t>
      </w:r>
      <w:r>
        <w:rPr>
          <w:rFonts w:hint="eastAsia" w:ascii="宋体" w:hAnsi="宋体" w:cs="宋体"/>
          <w:bCs/>
          <w:color w:val="auto"/>
          <w:sz w:val="24"/>
          <w:highlight w:val="none"/>
          <w:lang w:val="en-US" w:eastAsia="zh-CN"/>
        </w:rPr>
        <w:t>：教学、实验用桌</w:t>
      </w:r>
      <w:r>
        <w:rPr>
          <w:rFonts w:hint="eastAsia" w:ascii="宋体" w:hAnsi="宋体" w:cs="宋体"/>
          <w:bCs/>
          <w:color w:val="auto"/>
          <w:sz w:val="24"/>
          <w:highlight w:val="none"/>
        </w:rPr>
        <w:t>；所属行业：工业。</w:t>
      </w:r>
    </w:p>
    <w:p>
      <w:pPr>
        <w:wordWrap w:val="0"/>
        <w:topLinePunct/>
        <w:snapToGrid w:val="0"/>
        <w:spacing w:line="360" w:lineRule="auto"/>
        <w:ind w:firstLine="480" w:firstLineChars="200"/>
        <w:rPr>
          <w:bCs/>
          <w:color w:val="auto"/>
          <w:highlight w:val="none"/>
        </w:rPr>
      </w:pPr>
      <w:r>
        <w:rPr>
          <w:rFonts w:hint="eastAsia" w:ascii="宋体" w:hAnsi="宋体" w:cs="宋体"/>
          <w:bCs/>
          <w:color w:val="auto"/>
          <w:sz w:val="24"/>
          <w:highlight w:val="none"/>
        </w:rPr>
        <w:t>3、根据财库〔2020〕46号、财库〔2022〕19号、浙财采监〔2022〕8号文件的相关规定：中标、成交供应商享受本办法规定的中小企业扶持政策的，采购人、采购代理机构应当随中标、成交结果公开中标、成交供应商的《中小企业声明函》。供应商按照本办法规定提供声明函内容不实的，属于提供虚假材料谋取中标、成交，依照《中华人民共和国政府采购法》等国家有关规定追究相应责任。</w:t>
      </w:r>
    </w:p>
    <w:p>
      <w:pPr>
        <w:pStyle w:val="5"/>
        <w:keepNext w:val="0"/>
        <w:keepLines w:val="0"/>
        <w:wordWrap w:val="0"/>
        <w:topLinePunct/>
        <w:spacing w:before="0" w:after="0" w:line="400" w:lineRule="exact"/>
        <w:ind w:firstLine="480" w:firstLineChars="200"/>
        <w:rPr>
          <w:rFonts w:hint="eastAsia" w:ascii="宋体" w:hAnsi="宋体"/>
          <w:color w:val="auto"/>
          <w:sz w:val="24"/>
          <w:szCs w:val="20"/>
          <w:highlight w:val="none"/>
        </w:rPr>
      </w:pPr>
      <w:r>
        <w:rPr>
          <w:rFonts w:hint="eastAsia" w:ascii="宋体" w:hAnsi="宋体" w:eastAsia="宋体" w:cs="宋体"/>
          <w:b w:val="0"/>
          <w:color w:val="auto"/>
          <w:sz w:val="24"/>
          <w:highlight w:val="none"/>
        </w:rPr>
        <w:t>4、</w:t>
      </w:r>
      <w:r>
        <w:rPr>
          <w:rFonts w:ascii="宋体" w:hAnsi="宋体" w:eastAsia="宋体" w:cs="宋体"/>
          <w:b w:val="0"/>
          <w:color w:val="auto"/>
          <w:sz w:val="24"/>
          <w:szCs w:val="24"/>
          <w:highlight w:val="none"/>
        </w:rPr>
        <w:t>中小企业划型标准</w:t>
      </w:r>
      <w:r>
        <w:rPr>
          <w:rFonts w:hint="eastAsia" w:ascii="宋体" w:hAnsi="宋体" w:eastAsia="宋体" w:cs="宋体"/>
          <w:b w:val="0"/>
          <w:color w:val="auto"/>
          <w:sz w:val="24"/>
          <w:szCs w:val="24"/>
          <w:highlight w:val="none"/>
        </w:rPr>
        <w:t>请按照《</w:t>
      </w:r>
      <w:r>
        <w:rPr>
          <w:rFonts w:ascii="宋体" w:hAnsi="宋体" w:eastAsia="宋体" w:cs="宋体"/>
          <w:b w:val="0"/>
          <w:color w:val="auto"/>
          <w:sz w:val="24"/>
          <w:szCs w:val="24"/>
          <w:highlight w:val="none"/>
        </w:rPr>
        <w:t xml:space="preserve">工信部联企业〔2011〕300号 </w:t>
      </w:r>
      <w:r>
        <w:rPr>
          <w:rFonts w:hint="eastAsia" w:ascii="宋体" w:hAnsi="宋体" w:eastAsia="宋体" w:cs="宋体"/>
          <w:b w:val="0"/>
          <w:color w:val="auto"/>
          <w:sz w:val="24"/>
          <w:szCs w:val="24"/>
          <w:highlight w:val="none"/>
        </w:rPr>
        <w:t>》之</w:t>
      </w:r>
      <w:r>
        <w:rPr>
          <w:rFonts w:ascii="宋体" w:hAnsi="宋体" w:eastAsia="宋体" w:cs="宋体"/>
          <w:b w:val="0"/>
          <w:color w:val="auto"/>
          <w:sz w:val="24"/>
          <w:szCs w:val="24"/>
          <w:highlight w:val="none"/>
        </w:rPr>
        <w:t>规定</w:t>
      </w:r>
    </w:p>
    <w:tbl>
      <w:tblPr>
        <w:tblStyle w:val="27"/>
        <w:tblW w:w="93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15" w:type="dxa"/>
          <w:left w:w="15" w:type="dxa"/>
          <w:bottom w:w="15" w:type="dxa"/>
          <w:right w:w="15" w:type="dxa"/>
        </w:tblCellMar>
      </w:tblPr>
      <w:tblGrid>
        <w:gridCol w:w="1912"/>
        <w:gridCol w:w="1365"/>
        <w:gridCol w:w="1201"/>
        <w:gridCol w:w="1843"/>
        <w:gridCol w:w="1586"/>
        <w:gridCol w:w="14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Style w:val="30"/>
                <w:rFonts w:hint="eastAsia"/>
                <w:color w:val="auto"/>
                <w:highlight w:val="none"/>
              </w:rPr>
              <w:t>行业名称</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Style w:val="30"/>
                <w:rFonts w:hint="eastAsia"/>
                <w:color w:val="auto"/>
                <w:highlight w:val="none"/>
              </w:rPr>
              <w:t>指标名称</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Style w:val="30"/>
                <w:rFonts w:hint="eastAsia"/>
                <w:color w:val="auto"/>
                <w:highlight w:val="none"/>
              </w:rPr>
              <w:t>计量单位</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Style w:val="30"/>
                <w:rFonts w:hint="eastAsia"/>
                <w:color w:val="auto"/>
                <w:highlight w:val="none"/>
              </w:rPr>
              <w:t>中型</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Style w:val="30"/>
                <w:rFonts w:hint="eastAsia"/>
                <w:color w:val="auto"/>
                <w:highlight w:val="none"/>
              </w:rPr>
              <w:t>小型</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Style w:val="30"/>
                <w:rFonts w:hint="eastAsia"/>
                <w:color w:val="auto"/>
                <w:highlight w:val="none"/>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农、林、牧、渔业</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500≤Y&lt;20000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50≤Y&lt;500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BE5D6" w:themeFill="accent2" w:themeFillTint="32"/>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工业</w:t>
            </w:r>
          </w:p>
        </w:tc>
        <w:tc>
          <w:tcPr>
            <w:tcW w:w="1365" w:type="dxa"/>
            <w:shd w:val="clear" w:color="auto" w:fill="FBE5D6" w:themeFill="accent2" w:themeFillTint="32"/>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FBE5D6" w:themeFill="accent2" w:themeFillTint="32"/>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FBE5D6" w:themeFill="accent2" w:themeFillTint="32"/>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300≤X&lt;1000</w:t>
            </w:r>
          </w:p>
        </w:tc>
        <w:tc>
          <w:tcPr>
            <w:tcW w:w="1586" w:type="dxa"/>
            <w:shd w:val="clear" w:color="auto" w:fill="FBE5D6" w:themeFill="accent2" w:themeFillTint="32"/>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20≤X&lt;300</w:t>
            </w:r>
          </w:p>
        </w:tc>
        <w:tc>
          <w:tcPr>
            <w:tcW w:w="1447" w:type="dxa"/>
            <w:shd w:val="clear" w:color="auto" w:fill="FBE5D6" w:themeFill="accent2" w:themeFillTint="32"/>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FBE5D6" w:themeFill="accent2" w:themeFillTint="32"/>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FBE5D6" w:themeFill="accent2" w:themeFillTint="32"/>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BE5D6" w:themeFill="accent2" w:themeFillTint="32"/>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BE5D6" w:themeFill="accent2" w:themeFillTint="32"/>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2000≤Y&lt;40000</w:t>
            </w:r>
          </w:p>
        </w:tc>
        <w:tc>
          <w:tcPr>
            <w:tcW w:w="1586" w:type="dxa"/>
            <w:shd w:val="clear" w:color="auto" w:fill="FBE5D6" w:themeFill="accent2" w:themeFillTint="32"/>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300≤Y&lt;2000</w:t>
            </w:r>
          </w:p>
        </w:tc>
        <w:tc>
          <w:tcPr>
            <w:tcW w:w="1447" w:type="dxa"/>
            <w:shd w:val="clear" w:color="auto" w:fill="FBE5D6" w:themeFill="accent2" w:themeFillTint="32"/>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建筑业</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6000≤Y&lt;80000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300≤Y&lt;6000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FFFFFF"/>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资产总额(Z)</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5000≤Z&lt;80000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300≤Z&lt;5000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Z&lt;300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批发业</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20≤X&lt;200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5≤X&lt;20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FFFFFF"/>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5000≤Y&lt;40000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1000≤Y&lt;5000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零售业</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50≤X&lt;300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10≤X&lt;50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FFFFFF"/>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500≤Y&lt;20000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100≤Y&lt;500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auto"/>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交通运输业</w:t>
            </w:r>
          </w:p>
        </w:tc>
        <w:tc>
          <w:tcPr>
            <w:tcW w:w="1365" w:type="dxa"/>
            <w:shd w:val="clear" w:color="auto" w:fill="auto"/>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auto"/>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auto"/>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300≤X&lt;1000</w:t>
            </w:r>
          </w:p>
        </w:tc>
        <w:tc>
          <w:tcPr>
            <w:tcW w:w="1586" w:type="dxa"/>
            <w:shd w:val="clear" w:color="auto" w:fill="auto"/>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20≤X&lt;300</w:t>
            </w:r>
          </w:p>
        </w:tc>
        <w:tc>
          <w:tcPr>
            <w:tcW w:w="1447" w:type="dxa"/>
            <w:shd w:val="clear" w:color="auto" w:fill="auto"/>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auto"/>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auto"/>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auto"/>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auto"/>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3000≤Y&lt;30000</w:t>
            </w:r>
          </w:p>
        </w:tc>
        <w:tc>
          <w:tcPr>
            <w:tcW w:w="1586" w:type="dxa"/>
            <w:shd w:val="clear" w:color="auto" w:fill="auto"/>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200≤Y&lt;3000</w:t>
            </w:r>
          </w:p>
        </w:tc>
        <w:tc>
          <w:tcPr>
            <w:tcW w:w="1447" w:type="dxa"/>
            <w:shd w:val="clear" w:color="auto" w:fill="auto"/>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仓储业</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100≤X&lt;200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20≤X&lt;100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FFFFFF"/>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1000≤Y&lt;30000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100≤Y&lt;1000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邮政业</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300≤X&lt;1000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20≤X&lt;300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FFFFFF"/>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2000≤Y&lt;30000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100≤Y&lt;2000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住宿业</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100≤X&lt;300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10≤X&lt;100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FFFFFF"/>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2000≤Y&lt;10000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100≤Y&lt;2000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餐饮业</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100≤X&lt;300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10≤X&lt;100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FFFFFF"/>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2000≤Y&lt;10000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100≤Y&lt;2000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信息传输业</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100≤X&lt;2000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10≤X&lt;100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FFFFFF"/>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1000≤Y&lt;100000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100≤Y&lt;1000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软件和信息技术服务业</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100≤X&lt;300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10≤X&lt;100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FFFFFF"/>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1000≤Y&lt;10000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50≤Y&lt;1000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房地产开发经营</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1000≤Y&lt;200000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100≤Y&lt;1000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FFFFFF"/>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资产总额(Z)</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5000≤Z&lt;10000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2000≤Z&lt;5000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Z&lt;2000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FFFFF" w:themeFill="background1"/>
            <w:tcMar>
              <w:top w:w="30" w:type="dxa"/>
              <w:left w:w="90" w:type="dxa"/>
              <w:bottom w:w="30" w:type="dxa"/>
              <w:right w:w="90" w:type="dxa"/>
            </w:tcMa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物业管理</w:t>
            </w:r>
          </w:p>
        </w:tc>
        <w:tc>
          <w:tcPr>
            <w:tcW w:w="1365" w:type="dxa"/>
            <w:shd w:val="clear" w:color="auto" w:fill="FFFFFF" w:themeFill="background1"/>
            <w:tcMar>
              <w:top w:w="30" w:type="dxa"/>
              <w:left w:w="90" w:type="dxa"/>
              <w:bottom w:w="30" w:type="dxa"/>
              <w:right w:w="90" w:type="dxa"/>
            </w:tcMa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FFFFFF" w:themeFill="background1"/>
            <w:tcMar>
              <w:top w:w="30" w:type="dxa"/>
              <w:left w:w="90" w:type="dxa"/>
              <w:bottom w:w="30" w:type="dxa"/>
              <w:right w:w="90" w:type="dxa"/>
            </w:tcMa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FFFFFF" w:themeFill="background1"/>
            <w:tcMar>
              <w:top w:w="30" w:type="dxa"/>
              <w:left w:w="90" w:type="dxa"/>
              <w:bottom w:w="30" w:type="dxa"/>
              <w:right w:w="90" w:type="dxa"/>
            </w:tcMa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300≤X&lt;1000</w:t>
            </w:r>
          </w:p>
        </w:tc>
        <w:tc>
          <w:tcPr>
            <w:tcW w:w="1586" w:type="dxa"/>
            <w:shd w:val="clear" w:color="auto" w:fill="FFFFFF" w:themeFill="background1"/>
            <w:tcMar>
              <w:top w:w="30" w:type="dxa"/>
              <w:left w:w="90" w:type="dxa"/>
              <w:bottom w:w="30" w:type="dxa"/>
              <w:right w:w="90" w:type="dxa"/>
            </w:tcMa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100≤X&lt;300</w:t>
            </w:r>
          </w:p>
        </w:tc>
        <w:tc>
          <w:tcPr>
            <w:tcW w:w="1447" w:type="dxa"/>
            <w:shd w:val="clear" w:color="auto" w:fill="FFFFFF" w:themeFill="background1"/>
            <w:tcMar>
              <w:top w:w="30" w:type="dxa"/>
              <w:left w:w="90" w:type="dxa"/>
              <w:bottom w:w="30" w:type="dxa"/>
              <w:right w:w="90" w:type="dxa"/>
            </w:tcMa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continue"/>
            <w:shd w:val="clear" w:color="auto" w:fill="FFFFFF" w:themeFill="background1"/>
            <w:tcMar>
              <w:top w:w="30" w:type="dxa"/>
              <w:left w:w="90" w:type="dxa"/>
              <w:bottom w:w="30" w:type="dxa"/>
              <w:right w:w="90" w:type="dxa"/>
            </w:tcMar>
          </w:tcPr>
          <w:p>
            <w:pPr>
              <w:wordWrap w:val="0"/>
              <w:topLinePunct/>
              <w:jc w:val="left"/>
              <w:rPr>
                <w:rFonts w:hint="eastAsia" w:ascii="宋体" w:hAnsi="宋体" w:cs="宋体"/>
                <w:color w:val="auto"/>
                <w:szCs w:val="21"/>
                <w:highlight w:val="none"/>
              </w:rPr>
            </w:pPr>
          </w:p>
        </w:tc>
        <w:tc>
          <w:tcPr>
            <w:tcW w:w="1365" w:type="dxa"/>
            <w:shd w:val="clear" w:color="auto" w:fill="FFFFFF" w:themeFill="background1"/>
            <w:tcMar>
              <w:top w:w="30" w:type="dxa"/>
              <w:left w:w="90" w:type="dxa"/>
              <w:bottom w:w="30" w:type="dxa"/>
              <w:right w:w="90" w:type="dxa"/>
            </w:tcMa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营业收入(Y)</w:t>
            </w:r>
          </w:p>
        </w:tc>
        <w:tc>
          <w:tcPr>
            <w:tcW w:w="1201" w:type="dxa"/>
            <w:shd w:val="clear" w:color="auto" w:fill="FFFFFF" w:themeFill="background1"/>
            <w:tcMar>
              <w:top w:w="30" w:type="dxa"/>
              <w:left w:w="90" w:type="dxa"/>
              <w:bottom w:w="30" w:type="dxa"/>
              <w:right w:w="90" w:type="dxa"/>
            </w:tcMa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hemeFill="background1"/>
            <w:tcMar>
              <w:top w:w="30" w:type="dxa"/>
              <w:left w:w="90" w:type="dxa"/>
              <w:bottom w:w="30" w:type="dxa"/>
              <w:right w:w="90" w:type="dxa"/>
            </w:tcMa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1000≤Y&lt;5000</w:t>
            </w:r>
          </w:p>
        </w:tc>
        <w:tc>
          <w:tcPr>
            <w:tcW w:w="1586" w:type="dxa"/>
            <w:shd w:val="clear" w:color="auto" w:fill="FFFFFF" w:themeFill="background1"/>
            <w:tcMar>
              <w:top w:w="30" w:type="dxa"/>
              <w:left w:w="90" w:type="dxa"/>
              <w:bottom w:w="30" w:type="dxa"/>
              <w:right w:w="90" w:type="dxa"/>
            </w:tcMa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500≤Y&lt;1000</w:t>
            </w:r>
          </w:p>
        </w:tc>
        <w:tc>
          <w:tcPr>
            <w:tcW w:w="1447" w:type="dxa"/>
            <w:shd w:val="clear" w:color="auto" w:fill="FFFFFF" w:themeFill="background1"/>
            <w:tcMar>
              <w:top w:w="30" w:type="dxa"/>
              <w:left w:w="90" w:type="dxa"/>
              <w:bottom w:w="30" w:type="dxa"/>
              <w:right w:w="90" w:type="dxa"/>
            </w:tcMa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Y&lt;500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rPr>
          <w:jc w:val="center"/>
        </w:trPr>
        <w:tc>
          <w:tcPr>
            <w:tcW w:w="1912" w:type="dxa"/>
            <w:vMerge w:val="restart"/>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租赁和商务服务业</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100≤X&lt;300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10≤X&lt;100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912" w:type="dxa"/>
            <w:vMerge w:val="continue"/>
            <w:shd w:val="clear" w:color="auto" w:fill="FFFFFF"/>
            <w:tcMar>
              <w:top w:w="30" w:type="dxa"/>
              <w:left w:w="90" w:type="dxa"/>
              <w:bottom w:w="30" w:type="dxa"/>
              <w:right w:w="90" w:type="dxa"/>
            </w:tcMar>
            <w:vAlign w:val="center"/>
          </w:tcPr>
          <w:p>
            <w:pPr>
              <w:wordWrap w:val="0"/>
              <w:topLinePunct/>
              <w:jc w:val="left"/>
              <w:rPr>
                <w:rFonts w:hint="eastAsia" w:ascii="宋体" w:hAnsi="宋体" w:cs="宋体"/>
                <w:color w:val="auto"/>
                <w:szCs w:val="21"/>
                <w:highlight w:val="none"/>
              </w:rPr>
            </w:pP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资产总额(Z)</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万元</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8000≤Z&lt;120000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100≤Z&lt;8000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Z&lt;100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912"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其他未列明行业</w:t>
            </w:r>
          </w:p>
        </w:tc>
        <w:tc>
          <w:tcPr>
            <w:tcW w:w="1365"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从业人员(X)</w:t>
            </w:r>
          </w:p>
        </w:tc>
        <w:tc>
          <w:tcPr>
            <w:tcW w:w="1201"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人</w:t>
            </w:r>
          </w:p>
        </w:tc>
        <w:tc>
          <w:tcPr>
            <w:tcW w:w="1843"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100≤X&lt;300</w:t>
            </w:r>
          </w:p>
        </w:tc>
        <w:tc>
          <w:tcPr>
            <w:tcW w:w="1586"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10≤X&lt;100</w:t>
            </w:r>
          </w:p>
        </w:tc>
        <w:tc>
          <w:tcPr>
            <w:tcW w:w="1447" w:type="dxa"/>
            <w:shd w:val="clear" w:color="auto" w:fill="FFFFFF"/>
            <w:tcMar>
              <w:top w:w="30" w:type="dxa"/>
              <w:left w:w="90" w:type="dxa"/>
              <w:bottom w:w="30" w:type="dxa"/>
              <w:right w:w="90" w:type="dxa"/>
            </w:tcMar>
            <w:vAlign w:val="center"/>
          </w:tcPr>
          <w:p>
            <w:pPr>
              <w:pStyle w:val="26"/>
              <w:widowControl w:val="0"/>
              <w:wordWrap w:val="0"/>
              <w:topLinePunct/>
              <w:spacing w:before="0" w:beforeAutospacing="0" w:after="0" w:afterAutospacing="0" w:line="360" w:lineRule="atLeast"/>
              <w:rPr>
                <w:rFonts w:hint="eastAsia"/>
                <w:color w:val="auto"/>
                <w:highlight w:val="none"/>
              </w:rPr>
            </w:pPr>
            <w:r>
              <w:rPr>
                <w:rFonts w:hint="eastAsia"/>
                <w:color w:val="auto"/>
                <w:highlight w:val="none"/>
              </w:rPr>
              <w:t>X&lt;10</w:t>
            </w:r>
          </w:p>
        </w:tc>
      </w:tr>
    </w:tbl>
    <w:p>
      <w:pPr>
        <w:pStyle w:val="5"/>
        <w:spacing w:line="360" w:lineRule="auto"/>
        <w:jc w:val="center"/>
        <w:rPr>
          <w:color w:val="auto"/>
          <w:highlight w:val="none"/>
        </w:rPr>
      </w:pPr>
      <w:r>
        <w:rPr>
          <w:rFonts w:hint="eastAsia"/>
          <w:color w:val="auto"/>
          <w:highlight w:val="none"/>
        </w:rPr>
        <w:t>残疾人福利性单位声明函</w:t>
      </w:r>
    </w:p>
    <w:p>
      <w:pPr>
        <w:spacing w:line="588" w:lineRule="exact"/>
        <w:rPr>
          <w:rFonts w:hint="eastAsia" w:ascii="宋体" w:hAnsi="宋体" w:cs="宋体"/>
          <w:b/>
          <w:color w:val="auto"/>
          <w:spacing w:val="6"/>
          <w:sz w:val="24"/>
          <w:highlight w:val="none"/>
        </w:rPr>
      </w:pP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pPr>
        <w:spacing w:line="360" w:lineRule="auto"/>
        <w:ind w:firstLine="480" w:firstLineChars="200"/>
        <w:rPr>
          <w:rFonts w:hint="eastAsia" w:ascii="宋体" w:hAnsi="宋体" w:cs="宋体"/>
          <w:color w:val="auto"/>
          <w:sz w:val="24"/>
          <w:highlight w:val="none"/>
        </w:rPr>
      </w:pPr>
    </w:p>
    <w:p>
      <w:pPr>
        <w:spacing w:line="588" w:lineRule="exact"/>
        <w:ind w:firstLine="504" w:firstLineChars="200"/>
        <w:rPr>
          <w:rFonts w:hint="eastAsia" w:ascii="宋体" w:hAnsi="宋体" w:cs="宋体"/>
          <w:color w:val="auto"/>
          <w:spacing w:val="6"/>
          <w:sz w:val="24"/>
          <w:highlight w:val="none"/>
        </w:rPr>
      </w:pPr>
    </w:p>
    <w:p>
      <w:pPr>
        <w:spacing w:line="360" w:lineRule="auto"/>
        <w:ind w:firstLine="480" w:firstLineChars="200"/>
        <w:jc w:val="right"/>
        <w:rPr>
          <w:rFonts w:hint="eastAsia" w:ascii="宋体" w:hAnsi="宋体" w:cs="宋体"/>
          <w:color w:val="auto"/>
          <w:sz w:val="24"/>
          <w:highlight w:val="none"/>
        </w:rPr>
      </w:pPr>
      <w:r>
        <w:rPr>
          <w:rFonts w:hint="eastAsia" w:ascii="宋体" w:hAnsi="宋体" w:cs="宋体"/>
          <w:color w:val="auto"/>
          <w:sz w:val="24"/>
          <w:highlight w:val="none"/>
        </w:rPr>
        <w:t xml:space="preserve">      单位名称（盖章）：</w:t>
      </w:r>
    </w:p>
    <w:p>
      <w:pPr>
        <w:spacing w:line="360" w:lineRule="auto"/>
        <w:ind w:firstLine="480" w:firstLineChars="200"/>
        <w:jc w:val="right"/>
        <w:rPr>
          <w:rFonts w:hint="eastAsia" w:ascii="宋体" w:hAnsi="宋体" w:cs="宋体"/>
          <w:color w:val="auto"/>
          <w:sz w:val="24"/>
          <w:highlight w:val="none"/>
        </w:rPr>
      </w:pPr>
      <w:r>
        <w:rPr>
          <w:rFonts w:hint="eastAsia" w:ascii="宋体" w:hAnsi="宋体" w:cs="宋体"/>
          <w:color w:val="auto"/>
          <w:sz w:val="24"/>
          <w:highlight w:val="none"/>
        </w:rPr>
        <w:t xml:space="preserve">       日  期：</w:t>
      </w: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pStyle w:val="17"/>
        <w:rPr>
          <w:rFonts w:hint="eastAsia" w:ascii="宋体" w:hAnsi="宋体" w:cs="宋体"/>
          <w:color w:val="auto"/>
          <w:highlight w:val="none"/>
        </w:rPr>
      </w:pPr>
    </w:p>
    <w:p>
      <w:pPr>
        <w:rPr>
          <w:color w:val="auto"/>
          <w:highlight w:val="none"/>
        </w:rPr>
      </w:pPr>
    </w:p>
    <w:p>
      <w:pPr>
        <w:pStyle w:val="5"/>
        <w:spacing w:line="360" w:lineRule="auto"/>
        <w:jc w:val="left"/>
        <w:rPr>
          <w:rFonts w:hint="eastAsia" w:ascii="宋体" w:hAnsi="宋体" w:eastAsia="宋体" w:cs="宋体"/>
          <w:b w:val="0"/>
          <w:color w:val="auto"/>
          <w:sz w:val="24"/>
          <w:szCs w:val="24"/>
          <w:highlight w:val="none"/>
        </w:rPr>
      </w:pPr>
      <w:r>
        <w:rPr>
          <w:rFonts w:hint="eastAsia" w:ascii="宋体" w:hAnsi="宋体" w:eastAsia="宋体"/>
          <w:b w:val="0"/>
          <w:bCs w:val="0"/>
          <w:color w:val="auto"/>
          <w:sz w:val="24"/>
          <w:szCs w:val="24"/>
          <w:highlight w:val="none"/>
        </w:rPr>
        <w:t>7.落实政府采购政策需满足的资格要求格式：</w:t>
      </w:r>
    </w:p>
    <w:p>
      <w:pPr>
        <w:snapToGrid w:val="0"/>
        <w:spacing w:line="360" w:lineRule="auto"/>
        <w:ind w:right="480"/>
        <w:jc w:val="center"/>
        <w:rPr>
          <w:rFonts w:hint="eastAsia" w:ascii="宋体" w:hAnsi="宋体" w:cs="宋体"/>
          <w:b/>
          <w:color w:val="auto"/>
          <w:kern w:val="0"/>
          <w:sz w:val="24"/>
          <w:highlight w:val="none"/>
        </w:rPr>
      </w:pPr>
      <w:r>
        <w:rPr>
          <w:rFonts w:hint="eastAsia" w:ascii="宋体" w:hAnsi="宋体" w:cs="宋体"/>
          <w:b/>
          <w:color w:val="auto"/>
          <w:kern w:val="0"/>
          <w:sz w:val="24"/>
          <w:highlight w:val="none"/>
        </w:rPr>
        <w:t>落实政府采购政策需满足的资格要求</w:t>
      </w:r>
    </w:p>
    <w:p>
      <w:pPr>
        <w:snapToGrid w:val="0"/>
        <w:spacing w:before="120" w:beforeLines="50" w:after="50" w:line="360" w:lineRule="auto"/>
        <w:rPr>
          <w:rFonts w:hint="eastAsia" w:ascii="宋体" w:hAnsi="宋体"/>
          <w:color w:val="auto"/>
          <w:sz w:val="24"/>
          <w:highlight w:val="none"/>
        </w:rPr>
      </w:pPr>
      <w:r>
        <w:rPr>
          <w:rFonts w:hint="eastAsia" w:ascii="宋体" w:hAnsi="宋体" w:cs="宋体"/>
          <w:color w:val="auto"/>
          <w:kern w:val="0"/>
          <w:sz w:val="24"/>
          <w:highlight w:val="none"/>
        </w:rPr>
        <w:t>（根据招标公告落实政府采购政策需满足的资格要求选择提供相应的材料；未要求的，无需提供）</w:t>
      </w: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pStyle w:val="15"/>
        <w:ind w:firstLine="404"/>
        <w:rPr>
          <w:color w:val="auto"/>
          <w:highlight w:val="none"/>
        </w:rPr>
      </w:pPr>
    </w:p>
    <w:p>
      <w:pPr>
        <w:snapToGrid w:val="0"/>
        <w:spacing w:line="360" w:lineRule="auto"/>
        <w:rPr>
          <w:rFonts w:hint="eastAsia" w:ascii="宋体" w:hAnsi="宋体"/>
          <w:color w:val="auto"/>
          <w:sz w:val="24"/>
          <w:highlight w:val="none"/>
        </w:rPr>
      </w:pPr>
    </w:p>
    <w:p>
      <w:pPr>
        <w:pStyle w:val="18"/>
        <w:snapToGrid w:val="0"/>
        <w:spacing w:beforeLines="0" w:afterLines="0" w:line="440" w:lineRule="exact"/>
        <w:outlineLvl w:val="1"/>
        <w:rPr>
          <w:rFonts w:hint="eastAsia" w:hAnsi="宋体"/>
          <w:b/>
          <w:color w:val="auto"/>
          <w:highlight w:val="none"/>
        </w:rPr>
      </w:pPr>
    </w:p>
    <w:p>
      <w:pPr>
        <w:pStyle w:val="18"/>
        <w:snapToGrid w:val="0"/>
        <w:spacing w:beforeLines="0" w:afterLines="0" w:line="440" w:lineRule="exact"/>
        <w:outlineLvl w:val="1"/>
        <w:rPr>
          <w:rFonts w:hint="eastAsia" w:hAnsi="宋体"/>
          <w:b/>
          <w:color w:val="auto"/>
          <w:highlight w:val="none"/>
        </w:rPr>
      </w:pPr>
      <w:r>
        <w:rPr>
          <w:rFonts w:hint="eastAsia" w:hAnsi="宋体"/>
          <w:b/>
          <w:color w:val="auto"/>
          <w:highlight w:val="none"/>
        </w:rPr>
        <w:t>二、商务技术文件格式</w:t>
      </w:r>
    </w:p>
    <w:p>
      <w:pPr>
        <w:snapToGrid w:val="0"/>
        <w:spacing w:line="440" w:lineRule="exact"/>
        <w:rPr>
          <w:rFonts w:hint="eastAsia" w:ascii="宋体" w:hAnsi="宋体"/>
          <w:color w:val="auto"/>
          <w:sz w:val="24"/>
          <w:highlight w:val="none"/>
        </w:rPr>
      </w:pPr>
      <w:r>
        <w:rPr>
          <w:rFonts w:hint="eastAsia" w:ascii="宋体" w:hAnsi="宋体"/>
          <w:bCs/>
          <w:color w:val="auto"/>
          <w:sz w:val="24"/>
          <w:highlight w:val="none"/>
        </w:rPr>
        <w:t>1</w:t>
      </w:r>
      <w:r>
        <w:rPr>
          <w:rFonts w:ascii="宋体" w:hAnsi="宋体"/>
          <w:color w:val="auto"/>
          <w:sz w:val="24"/>
          <w:highlight w:val="none"/>
        </w:rPr>
        <w:t>.</w:t>
      </w:r>
      <w:r>
        <w:rPr>
          <w:rFonts w:hint="eastAsia" w:ascii="宋体" w:hAnsi="宋体"/>
          <w:color w:val="auto"/>
          <w:sz w:val="24"/>
          <w:highlight w:val="none"/>
        </w:rPr>
        <w:t>商务技术文件封面格式</w:t>
      </w:r>
    </w:p>
    <w:p>
      <w:pPr>
        <w:snapToGrid w:val="0"/>
        <w:spacing w:line="440" w:lineRule="exact"/>
        <w:rPr>
          <w:rFonts w:hint="eastAsia" w:ascii="宋体" w:hAnsi="宋体"/>
          <w:b/>
          <w:bCs/>
          <w:color w:val="auto"/>
          <w:sz w:val="24"/>
          <w:highlight w:val="none"/>
        </w:rPr>
      </w:pPr>
    </w:p>
    <w:p>
      <w:pPr>
        <w:snapToGrid w:val="0"/>
        <w:spacing w:line="440" w:lineRule="exact"/>
        <w:jc w:val="center"/>
        <w:rPr>
          <w:rFonts w:hint="eastAsia" w:ascii="宋体" w:hAnsi="宋体"/>
          <w:b/>
          <w:bCs/>
          <w:color w:val="auto"/>
          <w:sz w:val="24"/>
          <w:highlight w:val="none"/>
        </w:rPr>
      </w:pPr>
      <w:r>
        <w:rPr>
          <w:rFonts w:hint="eastAsia" w:ascii="宋体" w:hAnsi="宋体"/>
          <w:b/>
          <w:bCs/>
          <w:color w:val="auto"/>
          <w:sz w:val="24"/>
          <w:highlight w:val="none"/>
        </w:rPr>
        <w:t>商务技术文件</w:t>
      </w:r>
    </w:p>
    <w:p>
      <w:pPr>
        <w:snapToGrid w:val="0"/>
        <w:spacing w:line="440" w:lineRule="exact"/>
        <w:ind w:firstLine="900" w:firstLineChars="375"/>
        <w:rPr>
          <w:rFonts w:hint="eastAsia" w:ascii="宋体" w:hAnsi="宋体"/>
          <w:color w:val="auto"/>
          <w:sz w:val="24"/>
          <w:highlight w:val="none"/>
        </w:rPr>
      </w:pPr>
      <w:r>
        <w:rPr>
          <w:rFonts w:hint="eastAsia" w:ascii="宋体" w:hAnsi="宋体"/>
          <w:bCs/>
          <w:color w:val="auto"/>
          <w:sz w:val="24"/>
          <w:highlight w:val="none"/>
        </w:rPr>
        <w:t>项目名称：</w:t>
      </w:r>
      <w:r>
        <w:rPr>
          <w:rFonts w:hint="eastAsia" w:ascii="宋体" w:hAnsi="宋体"/>
          <w:color w:val="auto"/>
          <w:sz w:val="24"/>
          <w:highlight w:val="none"/>
        </w:rPr>
        <w:t>采购项目</w:t>
      </w:r>
    </w:p>
    <w:p>
      <w:pPr>
        <w:pStyle w:val="9"/>
        <w:snapToGrid w:val="0"/>
        <w:spacing w:line="440" w:lineRule="exact"/>
        <w:ind w:firstLine="900" w:firstLineChars="375"/>
        <w:rPr>
          <w:rFonts w:hint="eastAsia" w:ascii="宋体" w:hAnsi="宋体"/>
          <w:bCs/>
          <w:color w:val="auto"/>
          <w:sz w:val="24"/>
          <w:highlight w:val="none"/>
        </w:rPr>
      </w:pPr>
      <w:r>
        <w:rPr>
          <w:rFonts w:hint="eastAsia" w:ascii="宋体" w:hAnsi="宋体"/>
          <w:bCs/>
          <w:color w:val="auto"/>
          <w:sz w:val="24"/>
          <w:highlight w:val="none"/>
        </w:rPr>
        <w:t>项目编号：</w:t>
      </w:r>
    </w:p>
    <w:p>
      <w:pPr>
        <w:pStyle w:val="9"/>
        <w:snapToGrid w:val="0"/>
        <w:spacing w:line="440" w:lineRule="exact"/>
        <w:ind w:firstLine="900" w:firstLineChars="375"/>
        <w:rPr>
          <w:rFonts w:hint="eastAsia" w:ascii="宋体" w:hAnsi="宋体"/>
          <w:bCs/>
          <w:color w:val="auto"/>
          <w:sz w:val="24"/>
          <w:highlight w:val="none"/>
        </w:rPr>
      </w:pPr>
      <w:r>
        <w:rPr>
          <w:rFonts w:hint="eastAsia" w:ascii="宋体" w:hAnsi="宋体"/>
          <w:bCs/>
          <w:color w:val="auto"/>
          <w:sz w:val="24"/>
          <w:highlight w:val="none"/>
        </w:rPr>
        <w:t>投标人名称（盖章）：</w:t>
      </w:r>
    </w:p>
    <w:p>
      <w:pPr>
        <w:pStyle w:val="9"/>
        <w:snapToGrid w:val="0"/>
        <w:spacing w:line="440" w:lineRule="exact"/>
        <w:ind w:firstLine="900" w:firstLineChars="375"/>
        <w:rPr>
          <w:rFonts w:hint="eastAsia" w:ascii="宋体" w:hAnsi="宋体"/>
          <w:bCs/>
          <w:color w:val="auto"/>
          <w:sz w:val="24"/>
          <w:highlight w:val="none"/>
        </w:rPr>
      </w:pPr>
      <w:r>
        <w:rPr>
          <w:rFonts w:hint="eastAsia" w:ascii="宋体" w:hAnsi="宋体"/>
          <w:bCs/>
          <w:color w:val="auto"/>
          <w:sz w:val="24"/>
          <w:highlight w:val="none"/>
        </w:rPr>
        <w:t>投标人地址：</w:t>
      </w:r>
    </w:p>
    <w:p>
      <w:pPr>
        <w:snapToGrid w:val="0"/>
        <w:spacing w:line="440" w:lineRule="exact"/>
        <w:ind w:firstLine="3280" w:firstLineChars="1367"/>
        <w:rPr>
          <w:rFonts w:hint="eastAsia" w:ascii="宋体" w:hAnsi="宋体"/>
          <w:color w:val="auto"/>
          <w:sz w:val="24"/>
          <w:highlight w:val="none"/>
        </w:rPr>
      </w:pPr>
      <w:r>
        <w:rPr>
          <w:rFonts w:hint="eastAsia" w:ascii="宋体" w:hAnsi="宋体"/>
          <w:color w:val="auto"/>
          <w:sz w:val="24"/>
          <w:highlight w:val="none"/>
        </w:rPr>
        <w:t>年 月 日</w:t>
      </w:r>
    </w:p>
    <w:p>
      <w:pPr>
        <w:snapToGrid w:val="0"/>
        <w:spacing w:line="360" w:lineRule="auto"/>
        <w:ind w:firstLine="3280" w:firstLineChars="1367"/>
        <w:rPr>
          <w:rFonts w:hint="eastAsia" w:ascii="宋体" w:hAnsi="宋体"/>
          <w:color w:val="auto"/>
          <w:sz w:val="24"/>
          <w:highlight w:val="none"/>
        </w:rPr>
      </w:pPr>
    </w:p>
    <w:p>
      <w:pPr>
        <w:snapToGrid w:val="0"/>
        <w:spacing w:line="360" w:lineRule="auto"/>
        <w:ind w:firstLine="3280" w:firstLineChars="1367"/>
        <w:rPr>
          <w:rFonts w:hint="eastAsia" w:ascii="宋体" w:hAnsi="宋体"/>
          <w:color w:val="auto"/>
          <w:sz w:val="24"/>
          <w:highlight w:val="none"/>
        </w:rPr>
      </w:pPr>
    </w:p>
    <w:p>
      <w:pPr>
        <w:snapToGrid w:val="0"/>
        <w:spacing w:line="360" w:lineRule="auto"/>
        <w:ind w:firstLine="3280" w:firstLineChars="1367"/>
        <w:rPr>
          <w:rFonts w:hint="eastAsia" w:ascii="宋体" w:hAnsi="宋体"/>
          <w:color w:val="auto"/>
          <w:sz w:val="24"/>
          <w:highlight w:val="none"/>
        </w:rPr>
      </w:pPr>
    </w:p>
    <w:p>
      <w:pPr>
        <w:snapToGrid w:val="0"/>
        <w:spacing w:line="360" w:lineRule="auto"/>
        <w:ind w:firstLine="3280" w:firstLineChars="1367"/>
        <w:rPr>
          <w:rFonts w:hint="eastAsia" w:ascii="宋体" w:hAnsi="宋体"/>
          <w:color w:val="auto"/>
          <w:sz w:val="24"/>
          <w:highlight w:val="none"/>
        </w:rPr>
      </w:pPr>
    </w:p>
    <w:p>
      <w:pPr>
        <w:snapToGrid w:val="0"/>
        <w:spacing w:line="440" w:lineRule="exact"/>
        <w:rPr>
          <w:rFonts w:hint="eastAsia" w:ascii="宋体" w:hAnsi="宋体"/>
          <w:bCs/>
          <w:color w:val="auto"/>
          <w:sz w:val="24"/>
          <w:highlight w:val="none"/>
        </w:rPr>
      </w:pPr>
      <w:r>
        <w:rPr>
          <w:rFonts w:hint="eastAsia" w:ascii="宋体" w:hAnsi="宋体"/>
          <w:bCs/>
          <w:color w:val="auto"/>
          <w:sz w:val="24"/>
          <w:highlight w:val="none"/>
        </w:rPr>
        <w:t>2</w:t>
      </w:r>
      <w:r>
        <w:rPr>
          <w:rFonts w:ascii="宋体" w:hAnsi="宋体"/>
          <w:bCs/>
          <w:color w:val="auto"/>
          <w:sz w:val="24"/>
          <w:highlight w:val="none"/>
        </w:rPr>
        <w:t>.</w:t>
      </w:r>
      <w:r>
        <w:rPr>
          <w:rFonts w:hint="eastAsia" w:ascii="宋体" w:hAnsi="宋体"/>
          <w:bCs/>
          <w:color w:val="auto"/>
          <w:sz w:val="24"/>
          <w:highlight w:val="none"/>
        </w:rPr>
        <w:t>商务技术文件目录（请按照“第三章投标人须知，</w:t>
      </w:r>
      <w:r>
        <w:rPr>
          <w:rFonts w:ascii="宋体" w:hAnsi="宋体"/>
          <w:bCs/>
          <w:color w:val="auto"/>
          <w:sz w:val="24"/>
          <w:highlight w:val="none"/>
        </w:rPr>
        <w:t>三、投标文件的编制</w:t>
      </w:r>
      <w:r>
        <w:rPr>
          <w:rFonts w:hint="eastAsia" w:ascii="宋体" w:hAnsi="宋体"/>
          <w:bCs/>
          <w:color w:val="auto"/>
          <w:sz w:val="24"/>
          <w:highlight w:val="none"/>
        </w:rPr>
        <w:t>”的顺序，结合评标办法自行编制目录）</w:t>
      </w:r>
    </w:p>
    <w:p>
      <w:pPr>
        <w:snapToGrid w:val="0"/>
        <w:spacing w:line="440" w:lineRule="exact"/>
        <w:rPr>
          <w:rFonts w:hint="eastAsia" w:ascii="宋体" w:hAnsi="宋体"/>
          <w:bCs/>
          <w:color w:val="auto"/>
          <w:sz w:val="24"/>
          <w:highlight w:val="none"/>
        </w:rPr>
      </w:pPr>
      <w:r>
        <w:rPr>
          <w:rFonts w:hint="eastAsia" w:ascii="宋体" w:hAnsi="宋体"/>
          <w:bCs/>
          <w:color w:val="auto"/>
          <w:sz w:val="24"/>
          <w:highlight w:val="none"/>
        </w:rPr>
        <w:t>例如：</w:t>
      </w:r>
    </w:p>
    <w:p>
      <w:pPr>
        <w:snapToGrid w:val="0"/>
        <w:spacing w:line="440" w:lineRule="exact"/>
        <w:rPr>
          <w:rFonts w:hint="eastAsia" w:ascii="宋体" w:hAnsi="宋体"/>
          <w:bCs/>
          <w:color w:val="auto"/>
          <w:sz w:val="24"/>
          <w:highlight w:val="none"/>
        </w:rPr>
      </w:pPr>
      <w:r>
        <w:rPr>
          <w:rFonts w:hint="eastAsia" w:ascii="宋体" w:hAnsi="宋体"/>
          <w:bCs/>
          <w:color w:val="auto"/>
          <w:sz w:val="24"/>
          <w:highlight w:val="none"/>
        </w:rPr>
        <w:t>资信商务文件：</w:t>
      </w:r>
    </w:p>
    <w:p>
      <w:pPr>
        <w:snapToGrid w:val="0"/>
        <w:spacing w:line="440" w:lineRule="exact"/>
        <w:rPr>
          <w:rFonts w:hint="eastAsia" w:ascii="宋体" w:hAnsi="宋体"/>
          <w:color w:val="auto"/>
          <w:sz w:val="24"/>
          <w:szCs w:val="20"/>
          <w:highlight w:val="none"/>
        </w:rPr>
      </w:pPr>
      <w:r>
        <w:rPr>
          <w:rFonts w:hint="eastAsia" w:ascii="宋体" w:hAnsi="宋体"/>
          <w:color w:val="auto"/>
          <w:sz w:val="24"/>
          <w:highlight w:val="none"/>
        </w:rPr>
        <w:t>（1</w:t>
      </w:r>
      <w:r>
        <w:rPr>
          <w:rFonts w:ascii="宋体" w:hAnsi="宋体"/>
          <w:color w:val="auto"/>
          <w:sz w:val="24"/>
          <w:highlight w:val="none"/>
        </w:rPr>
        <w:t>）</w:t>
      </w:r>
      <w:r>
        <w:rPr>
          <w:rFonts w:hint="eastAsia" w:ascii="宋体" w:hAnsi="宋体"/>
          <w:color w:val="auto"/>
          <w:sz w:val="24"/>
          <w:highlight w:val="none"/>
        </w:rPr>
        <w:t>投标人基本情况介绍</w:t>
      </w:r>
      <w:r>
        <w:rPr>
          <w:rFonts w:ascii="宋体" w:hAnsi="宋体"/>
          <w:color w:val="auto"/>
          <w:sz w:val="24"/>
          <w:highlight w:val="none"/>
        </w:rPr>
        <w:t xml:space="preserve"> (格式见附</w:t>
      </w:r>
      <w:r>
        <w:rPr>
          <w:rFonts w:hint="eastAsia" w:ascii="宋体" w:hAnsi="宋体"/>
          <w:color w:val="auto"/>
          <w:sz w:val="24"/>
          <w:highlight w:val="none"/>
        </w:rPr>
        <w:t>件）</w:t>
      </w:r>
      <w:r>
        <w:rPr>
          <w:rFonts w:hint="eastAsia" w:ascii="宋体" w:hAnsi="宋体" w:cs="宋体"/>
          <w:color w:val="auto"/>
          <w:kern w:val="0"/>
          <w:sz w:val="24"/>
          <w:highlight w:val="none"/>
        </w:rPr>
        <w:t>…………………………………（页码）</w:t>
      </w:r>
    </w:p>
    <w:p>
      <w:pPr>
        <w:snapToGrid w:val="0"/>
        <w:spacing w:line="440" w:lineRule="exact"/>
        <w:jc w:val="left"/>
        <w:rPr>
          <w:rFonts w:hint="eastAsia"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w:t>
      </w:r>
      <w:r>
        <w:rPr>
          <w:rFonts w:hint="eastAsia" w:ascii="宋体" w:hAnsi="宋体"/>
          <w:color w:val="auto"/>
          <w:sz w:val="24"/>
          <w:highlight w:val="none"/>
        </w:rPr>
        <w:t>诚信承诺书（格式见附件）</w:t>
      </w:r>
      <w:r>
        <w:rPr>
          <w:rFonts w:hint="eastAsia" w:ascii="宋体" w:hAnsi="宋体" w:cs="宋体"/>
          <w:color w:val="auto"/>
          <w:kern w:val="0"/>
          <w:sz w:val="24"/>
          <w:highlight w:val="none"/>
        </w:rPr>
        <w:t>……………………………………………（页码）</w:t>
      </w:r>
    </w:p>
    <w:p>
      <w:pPr>
        <w:snapToGrid w:val="0"/>
        <w:spacing w:before="120" w:beforeLines="50" w:after="50" w:line="360" w:lineRule="auto"/>
        <w:jc w:val="left"/>
        <w:rPr>
          <w:rFonts w:hint="eastAsia" w:ascii="宋体" w:hAnsi="宋体"/>
          <w:color w:val="auto"/>
          <w:sz w:val="24"/>
          <w:highlight w:val="none"/>
        </w:rPr>
      </w:pPr>
      <w:r>
        <w:rPr>
          <w:rFonts w:hint="eastAsia" w:ascii="宋体" w:hAnsi="宋体"/>
          <w:color w:val="auto"/>
          <w:sz w:val="24"/>
          <w:highlight w:val="none"/>
        </w:rPr>
        <w:t>...</w:t>
      </w:r>
    </w:p>
    <w:p>
      <w:pPr>
        <w:snapToGrid w:val="0"/>
        <w:spacing w:before="120" w:beforeLines="50" w:after="50" w:line="360" w:lineRule="auto"/>
        <w:jc w:val="left"/>
        <w:rPr>
          <w:rFonts w:hint="eastAsia" w:ascii="宋体" w:hAnsi="宋体"/>
          <w:color w:val="auto"/>
          <w:sz w:val="24"/>
          <w:highlight w:val="none"/>
        </w:rPr>
      </w:pPr>
    </w:p>
    <w:p>
      <w:pPr>
        <w:snapToGrid w:val="0"/>
        <w:spacing w:before="120" w:beforeLines="50" w:after="50" w:line="360" w:lineRule="auto"/>
        <w:jc w:val="left"/>
        <w:rPr>
          <w:rFonts w:hint="eastAsia" w:ascii="宋体" w:hAnsi="宋体"/>
          <w:color w:val="auto"/>
          <w:sz w:val="24"/>
          <w:highlight w:val="none"/>
        </w:rPr>
      </w:pPr>
    </w:p>
    <w:p>
      <w:pPr>
        <w:snapToGrid w:val="0"/>
        <w:spacing w:before="120" w:beforeLines="50" w:after="50" w:line="360" w:lineRule="auto"/>
        <w:jc w:val="left"/>
        <w:rPr>
          <w:rFonts w:hint="eastAsia" w:ascii="宋体" w:hAnsi="宋体"/>
          <w:color w:val="auto"/>
          <w:sz w:val="24"/>
          <w:highlight w:val="none"/>
        </w:rPr>
      </w:pPr>
    </w:p>
    <w:p>
      <w:pPr>
        <w:snapToGrid w:val="0"/>
        <w:spacing w:before="120" w:beforeLines="50" w:after="50" w:line="360" w:lineRule="auto"/>
        <w:jc w:val="left"/>
        <w:rPr>
          <w:rFonts w:hint="eastAsia" w:ascii="宋体" w:hAnsi="宋体"/>
          <w:color w:val="auto"/>
          <w:sz w:val="24"/>
          <w:highlight w:val="none"/>
        </w:rPr>
      </w:pPr>
    </w:p>
    <w:p>
      <w:pPr>
        <w:snapToGrid w:val="0"/>
        <w:spacing w:before="120" w:beforeLines="50" w:after="50" w:line="360" w:lineRule="auto"/>
        <w:jc w:val="left"/>
        <w:rPr>
          <w:rFonts w:hint="eastAsia" w:ascii="宋体" w:hAnsi="宋体"/>
          <w:color w:val="auto"/>
          <w:sz w:val="24"/>
          <w:highlight w:val="none"/>
        </w:rPr>
      </w:pPr>
    </w:p>
    <w:p>
      <w:pPr>
        <w:snapToGrid w:val="0"/>
        <w:spacing w:before="120" w:beforeLines="50" w:after="50" w:line="360" w:lineRule="auto"/>
        <w:jc w:val="left"/>
        <w:rPr>
          <w:rFonts w:hint="eastAsia" w:ascii="宋体" w:hAnsi="宋体"/>
          <w:color w:val="auto"/>
          <w:sz w:val="24"/>
          <w:highlight w:val="none"/>
        </w:rPr>
      </w:pPr>
    </w:p>
    <w:p>
      <w:pPr>
        <w:snapToGrid w:val="0"/>
        <w:spacing w:before="120" w:beforeLines="50" w:after="50" w:line="360" w:lineRule="auto"/>
        <w:jc w:val="left"/>
        <w:rPr>
          <w:rFonts w:hint="eastAsia" w:ascii="宋体" w:hAnsi="宋体"/>
          <w:color w:val="auto"/>
          <w:sz w:val="24"/>
          <w:highlight w:val="none"/>
        </w:rPr>
      </w:pPr>
    </w:p>
    <w:p>
      <w:pPr>
        <w:snapToGrid w:val="0"/>
        <w:spacing w:before="120" w:beforeLines="50" w:after="50" w:line="360" w:lineRule="auto"/>
        <w:jc w:val="left"/>
        <w:rPr>
          <w:rFonts w:hint="eastAsia" w:ascii="宋体" w:hAnsi="宋体"/>
          <w:color w:val="auto"/>
          <w:sz w:val="24"/>
          <w:highlight w:val="none"/>
        </w:rPr>
      </w:pPr>
    </w:p>
    <w:p>
      <w:pPr>
        <w:snapToGrid w:val="0"/>
        <w:spacing w:before="120" w:beforeLines="50" w:after="50" w:line="360" w:lineRule="auto"/>
        <w:jc w:val="left"/>
        <w:rPr>
          <w:rFonts w:hint="eastAsia" w:ascii="宋体" w:hAnsi="宋体"/>
          <w:color w:val="auto"/>
          <w:sz w:val="24"/>
          <w:highlight w:val="none"/>
        </w:rPr>
      </w:pPr>
      <w:r>
        <w:rPr>
          <w:rFonts w:hint="eastAsia" w:ascii="宋体" w:hAnsi="宋体"/>
          <w:color w:val="auto"/>
          <w:sz w:val="24"/>
          <w:highlight w:val="none"/>
        </w:rPr>
        <w:t>3.</w:t>
      </w:r>
      <w:r>
        <w:rPr>
          <w:rFonts w:hint="eastAsia" w:ascii="宋体" w:hAnsi="宋体"/>
          <w:bCs/>
          <w:color w:val="auto"/>
          <w:sz w:val="24"/>
          <w:highlight w:val="none"/>
        </w:rPr>
        <w:t>投标人基本情况介绍</w:t>
      </w:r>
      <w:r>
        <w:rPr>
          <w:rFonts w:ascii="宋体" w:hAnsi="宋体"/>
          <w:color w:val="auto"/>
          <w:sz w:val="24"/>
          <w:highlight w:val="none"/>
        </w:rPr>
        <w:t>格式：</w:t>
      </w:r>
    </w:p>
    <w:p>
      <w:pPr>
        <w:pStyle w:val="18"/>
        <w:spacing w:before="120" w:after="120" w:line="360" w:lineRule="auto"/>
        <w:jc w:val="center"/>
        <w:rPr>
          <w:rFonts w:hint="eastAsia" w:hAnsi="宋体"/>
          <w:b/>
          <w:color w:val="auto"/>
          <w:highlight w:val="none"/>
        </w:rPr>
      </w:pPr>
      <w:r>
        <w:rPr>
          <w:rFonts w:hint="eastAsia" w:hAnsi="宋体"/>
          <w:b/>
          <w:color w:val="auto"/>
          <w:highlight w:val="none"/>
        </w:rPr>
        <w:t>投标人经营情况介绍</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1371"/>
        <w:gridCol w:w="1260"/>
        <w:gridCol w:w="1260"/>
        <w:gridCol w:w="1620"/>
        <w:gridCol w:w="1260"/>
        <w:gridCol w:w="1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1477"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名  称</w:t>
            </w:r>
          </w:p>
        </w:tc>
        <w:tc>
          <w:tcPr>
            <w:tcW w:w="7983" w:type="dxa"/>
            <w:gridSpan w:val="6"/>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477"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地  址</w:t>
            </w:r>
          </w:p>
        </w:tc>
        <w:tc>
          <w:tcPr>
            <w:tcW w:w="7983" w:type="dxa"/>
            <w:gridSpan w:val="6"/>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restart"/>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概  况</w:t>
            </w:r>
          </w:p>
        </w:tc>
        <w:tc>
          <w:tcPr>
            <w:tcW w:w="1371"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成立和注册时间</w:t>
            </w:r>
          </w:p>
        </w:tc>
        <w:tc>
          <w:tcPr>
            <w:tcW w:w="2520" w:type="dxa"/>
            <w:gridSpan w:val="2"/>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c>
          <w:tcPr>
            <w:tcW w:w="1620"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注册资金</w:t>
            </w:r>
          </w:p>
        </w:tc>
        <w:tc>
          <w:tcPr>
            <w:tcW w:w="2472" w:type="dxa"/>
            <w:gridSpan w:val="2"/>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pPr>
              <w:widowControl/>
              <w:spacing w:line="360" w:lineRule="auto"/>
              <w:jc w:val="left"/>
              <w:rPr>
                <w:rFonts w:hint="eastAsia" w:ascii="宋体" w:hAnsi="宋体" w:cs="宋体"/>
                <w:color w:val="auto"/>
                <w:kern w:val="0"/>
                <w:sz w:val="24"/>
                <w:highlight w:val="none"/>
              </w:rPr>
            </w:pPr>
          </w:p>
        </w:tc>
        <w:tc>
          <w:tcPr>
            <w:tcW w:w="1371"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法人代表</w:t>
            </w:r>
          </w:p>
        </w:tc>
        <w:tc>
          <w:tcPr>
            <w:tcW w:w="2520" w:type="dxa"/>
            <w:gridSpan w:val="2"/>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c>
          <w:tcPr>
            <w:tcW w:w="1620"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电   话</w:t>
            </w:r>
          </w:p>
        </w:tc>
        <w:tc>
          <w:tcPr>
            <w:tcW w:w="2472" w:type="dxa"/>
            <w:gridSpan w:val="2"/>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pPr>
              <w:widowControl/>
              <w:spacing w:line="360" w:lineRule="auto"/>
              <w:jc w:val="left"/>
              <w:rPr>
                <w:rFonts w:hint="eastAsia" w:ascii="宋体" w:hAnsi="宋体" w:cs="宋体"/>
                <w:color w:val="auto"/>
                <w:kern w:val="0"/>
                <w:sz w:val="24"/>
                <w:highlight w:val="none"/>
              </w:rPr>
            </w:pPr>
          </w:p>
        </w:tc>
        <w:tc>
          <w:tcPr>
            <w:tcW w:w="1371"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技术负责人</w:t>
            </w:r>
          </w:p>
        </w:tc>
        <w:tc>
          <w:tcPr>
            <w:tcW w:w="2520" w:type="dxa"/>
            <w:gridSpan w:val="2"/>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c>
          <w:tcPr>
            <w:tcW w:w="1620"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电   话</w:t>
            </w:r>
          </w:p>
        </w:tc>
        <w:tc>
          <w:tcPr>
            <w:tcW w:w="2472" w:type="dxa"/>
            <w:gridSpan w:val="2"/>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pPr>
              <w:widowControl/>
              <w:spacing w:line="360" w:lineRule="auto"/>
              <w:jc w:val="left"/>
              <w:rPr>
                <w:rFonts w:hint="eastAsia" w:ascii="宋体" w:hAnsi="宋体" w:cs="宋体"/>
                <w:color w:val="auto"/>
                <w:kern w:val="0"/>
                <w:sz w:val="24"/>
                <w:highlight w:val="none"/>
              </w:rPr>
            </w:pPr>
          </w:p>
        </w:tc>
        <w:tc>
          <w:tcPr>
            <w:tcW w:w="1371"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职工总数</w:t>
            </w:r>
          </w:p>
        </w:tc>
        <w:tc>
          <w:tcPr>
            <w:tcW w:w="2520" w:type="dxa"/>
            <w:gridSpan w:val="2"/>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c>
          <w:tcPr>
            <w:tcW w:w="1620"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技术人员数</w:t>
            </w:r>
          </w:p>
        </w:tc>
        <w:tc>
          <w:tcPr>
            <w:tcW w:w="2472" w:type="dxa"/>
            <w:gridSpan w:val="2"/>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pPr>
              <w:widowControl/>
              <w:spacing w:line="360" w:lineRule="auto"/>
              <w:jc w:val="left"/>
              <w:rPr>
                <w:rFonts w:hint="eastAsia" w:ascii="宋体" w:hAnsi="宋体" w:cs="宋体"/>
                <w:color w:val="auto"/>
                <w:kern w:val="0"/>
                <w:sz w:val="24"/>
                <w:highlight w:val="none"/>
              </w:rPr>
            </w:pPr>
          </w:p>
        </w:tc>
        <w:tc>
          <w:tcPr>
            <w:tcW w:w="1371" w:type="dxa"/>
            <w:vMerge w:val="restart"/>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资产情况</w:t>
            </w:r>
          </w:p>
        </w:tc>
        <w:tc>
          <w:tcPr>
            <w:tcW w:w="2520" w:type="dxa"/>
            <w:gridSpan w:val="2"/>
            <w:noWrap/>
            <w:vAlign w:val="center"/>
          </w:tcPr>
          <w:p>
            <w:pPr>
              <w:widowControl/>
              <w:spacing w:line="36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净资产：            </w:t>
            </w:r>
          </w:p>
        </w:tc>
        <w:tc>
          <w:tcPr>
            <w:tcW w:w="4092" w:type="dxa"/>
            <w:gridSpan w:val="3"/>
            <w:noWrap/>
            <w:vAlign w:val="center"/>
          </w:tcPr>
          <w:p>
            <w:pPr>
              <w:widowControl/>
              <w:spacing w:line="36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固定资产原值：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pPr>
              <w:widowControl/>
              <w:spacing w:line="360" w:lineRule="auto"/>
              <w:jc w:val="left"/>
              <w:rPr>
                <w:rFonts w:hint="eastAsia" w:ascii="宋体" w:hAnsi="宋体" w:cs="宋体"/>
                <w:color w:val="auto"/>
                <w:kern w:val="0"/>
                <w:sz w:val="24"/>
                <w:highlight w:val="none"/>
              </w:rPr>
            </w:pPr>
          </w:p>
        </w:tc>
        <w:tc>
          <w:tcPr>
            <w:tcW w:w="1371" w:type="dxa"/>
            <w:vMerge w:val="continue"/>
            <w:noWrap/>
            <w:vAlign w:val="center"/>
          </w:tcPr>
          <w:p>
            <w:pPr>
              <w:widowControl/>
              <w:spacing w:line="360" w:lineRule="auto"/>
              <w:jc w:val="left"/>
              <w:rPr>
                <w:rFonts w:hint="eastAsia" w:ascii="宋体" w:hAnsi="宋体" w:cs="宋体"/>
                <w:color w:val="auto"/>
                <w:kern w:val="0"/>
                <w:sz w:val="24"/>
                <w:highlight w:val="none"/>
              </w:rPr>
            </w:pPr>
          </w:p>
        </w:tc>
        <w:tc>
          <w:tcPr>
            <w:tcW w:w="2520" w:type="dxa"/>
            <w:gridSpan w:val="2"/>
            <w:noWrap/>
            <w:vAlign w:val="center"/>
          </w:tcPr>
          <w:p>
            <w:pPr>
              <w:widowControl/>
              <w:spacing w:line="36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负  债：            </w:t>
            </w:r>
          </w:p>
        </w:tc>
        <w:tc>
          <w:tcPr>
            <w:tcW w:w="4092" w:type="dxa"/>
            <w:gridSpan w:val="3"/>
            <w:noWrap/>
            <w:vAlign w:val="center"/>
          </w:tcPr>
          <w:p>
            <w:pPr>
              <w:widowControl/>
              <w:spacing w:line="36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固定资产净值：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pPr>
              <w:widowControl/>
              <w:spacing w:line="360" w:lineRule="auto"/>
              <w:jc w:val="left"/>
              <w:rPr>
                <w:rFonts w:hint="eastAsia" w:ascii="宋体" w:hAnsi="宋体" w:cs="宋体"/>
                <w:color w:val="auto"/>
                <w:kern w:val="0"/>
                <w:sz w:val="24"/>
                <w:highlight w:val="none"/>
              </w:rPr>
            </w:pPr>
          </w:p>
        </w:tc>
        <w:tc>
          <w:tcPr>
            <w:tcW w:w="1371"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2023年 度</w:t>
            </w:r>
          </w:p>
        </w:tc>
        <w:tc>
          <w:tcPr>
            <w:tcW w:w="1260"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主营收入(万元)</w:t>
            </w:r>
          </w:p>
        </w:tc>
        <w:tc>
          <w:tcPr>
            <w:tcW w:w="1260"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收入总额(万元)</w:t>
            </w:r>
          </w:p>
        </w:tc>
        <w:tc>
          <w:tcPr>
            <w:tcW w:w="1620"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利润收入(万元)</w:t>
            </w:r>
          </w:p>
        </w:tc>
        <w:tc>
          <w:tcPr>
            <w:tcW w:w="1260"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净利润收入(万元)</w:t>
            </w:r>
          </w:p>
        </w:tc>
        <w:tc>
          <w:tcPr>
            <w:tcW w:w="1212"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资产负债率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pPr>
              <w:widowControl/>
              <w:spacing w:line="360" w:lineRule="auto"/>
              <w:jc w:val="left"/>
              <w:rPr>
                <w:rFonts w:hint="eastAsia" w:ascii="宋体" w:hAnsi="宋体" w:cs="宋体"/>
                <w:color w:val="auto"/>
                <w:kern w:val="0"/>
                <w:sz w:val="24"/>
                <w:highlight w:val="none"/>
              </w:rPr>
            </w:pPr>
          </w:p>
        </w:tc>
        <w:tc>
          <w:tcPr>
            <w:tcW w:w="1371" w:type="dxa"/>
            <w:noWrap/>
            <w:vAlign w:val="center"/>
          </w:tcPr>
          <w:p>
            <w:pPr>
              <w:widowControl/>
              <w:spacing w:line="360" w:lineRule="auto"/>
              <w:jc w:val="center"/>
              <w:rPr>
                <w:rFonts w:hint="eastAsia" w:ascii="宋体" w:hAnsi="宋体" w:cs="宋体"/>
                <w:color w:val="auto"/>
                <w:kern w:val="0"/>
                <w:sz w:val="24"/>
                <w:highlight w:val="none"/>
              </w:rPr>
            </w:pPr>
          </w:p>
        </w:tc>
        <w:tc>
          <w:tcPr>
            <w:tcW w:w="1260" w:type="dxa"/>
            <w:noWrap/>
            <w:vAlign w:val="center"/>
          </w:tcPr>
          <w:p>
            <w:pPr>
              <w:widowControl/>
              <w:spacing w:line="360" w:lineRule="auto"/>
              <w:jc w:val="center"/>
              <w:rPr>
                <w:rFonts w:hint="eastAsia" w:ascii="宋体" w:hAnsi="宋体" w:cs="宋体"/>
                <w:color w:val="auto"/>
                <w:kern w:val="0"/>
                <w:sz w:val="24"/>
                <w:highlight w:val="none"/>
              </w:rPr>
            </w:pPr>
          </w:p>
        </w:tc>
        <w:tc>
          <w:tcPr>
            <w:tcW w:w="1260" w:type="dxa"/>
            <w:noWrap/>
            <w:vAlign w:val="center"/>
          </w:tcPr>
          <w:p>
            <w:pPr>
              <w:widowControl/>
              <w:spacing w:line="360" w:lineRule="auto"/>
              <w:jc w:val="center"/>
              <w:rPr>
                <w:rFonts w:hint="eastAsia" w:ascii="宋体" w:hAnsi="宋体" w:cs="宋体"/>
                <w:color w:val="auto"/>
                <w:kern w:val="0"/>
                <w:sz w:val="24"/>
                <w:highlight w:val="none"/>
              </w:rPr>
            </w:pPr>
          </w:p>
        </w:tc>
        <w:tc>
          <w:tcPr>
            <w:tcW w:w="1620" w:type="dxa"/>
            <w:noWrap/>
            <w:vAlign w:val="center"/>
          </w:tcPr>
          <w:p>
            <w:pPr>
              <w:widowControl/>
              <w:spacing w:line="360" w:lineRule="auto"/>
              <w:jc w:val="center"/>
              <w:rPr>
                <w:rFonts w:hint="eastAsia" w:ascii="宋体" w:hAnsi="宋体" w:cs="宋体"/>
                <w:color w:val="auto"/>
                <w:kern w:val="0"/>
                <w:sz w:val="24"/>
                <w:highlight w:val="none"/>
              </w:rPr>
            </w:pPr>
          </w:p>
        </w:tc>
        <w:tc>
          <w:tcPr>
            <w:tcW w:w="1260" w:type="dxa"/>
            <w:noWrap/>
            <w:vAlign w:val="center"/>
          </w:tcPr>
          <w:p>
            <w:pPr>
              <w:widowControl/>
              <w:spacing w:line="360" w:lineRule="auto"/>
              <w:jc w:val="center"/>
              <w:rPr>
                <w:rFonts w:hint="eastAsia" w:ascii="宋体" w:hAnsi="宋体" w:cs="宋体"/>
                <w:color w:val="auto"/>
                <w:kern w:val="0"/>
                <w:sz w:val="24"/>
                <w:highlight w:val="none"/>
              </w:rPr>
            </w:pPr>
          </w:p>
        </w:tc>
        <w:tc>
          <w:tcPr>
            <w:tcW w:w="1212" w:type="dxa"/>
            <w:noWrap/>
            <w:vAlign w:val="center"/>
          </w:tcPr>
          <w:p>
            <w:pPr>
              <w:widowControl/>
              <w:spacing w:line="360" w:lineRule="auto"/>
              <w:jc w:val="center"/>
              <w:rPr>
                <w:rFonts w:hint="eastAsia" w:ascii="宋体" w:hAnsi="宋体" w:cs="宋体"/>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1477" w:type="dxa"/>
            <w:vMerge w:val="restart"/>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售后服务网点</w:t>
            </w:r>
          </w:p>
        </w:tc>
        <w:tc>
          <w:tcPr>
            <w:tcW w:w="1371"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服务机构</w:t>
            </w:r>
          </w:p>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名称</w:t>
            </w:r>
          </w:p>
        </w:tc>
        <w:tc>
          <w:tcPr>
            <w:tcW w:w="4140" w:type="dxa"/>
            <w:gridSpan w:val="3"/>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c>
          <w:tcPr>
            <w:tcW w:w="1260"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负 责 人</w:t>
            </w:r>
          </w:p>
        </w:tc>
        <w:tc>
          <w:tcPr>
            <w:tcW w:w="1212"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pPr>
              <w:widowControl/>
              <w:spacing w:line="360" w:lineRule="auto"/>
              <w:jc w:val="left"/>
              <w:rPr>
                <w:rFonts w:hint="eastAsia" w:ascii="宋体" w:hAnsi="宋体" w:cs="宋体"/>
                <w:color w:val="auto"/>
                <w:kern w:val="0"/>
                <w:sz w:val="24"/>
                <w:highlight w:val="none"/>
              </w:rPr>
            </w:pPr>
          </w:p>
        </w:tc>
        <w:tc>
          <w:tcPr>
            <w:tcW w:w="1371"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机构地点</w:t>
            </w:r>
          </w:p>
        </w:tc>
        <w:tc>
          <w:tcPr>
            <w:tcW w:w="4140" w:type="dxa"/>
            <w:gridSpan w:val="3"/>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c>
          <w:tcPr>
            <w:tcW w:w="1260"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联系电话</w:t>
            </w:r>
          </w:p>
        </w:tc>
        <w:tc>
          <w:tcPr>
            <w:tcW w:w="1212"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jc w:val="center"/>
        </w:trPr>
        <w:tc>
          <w:tcPr>
            <w:tcW w:w="1477"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投标人简介及机构设置</w:t>
            </w:r>
          </w:p>
        </w:tc>
        <w:tc>
          <w:tcPr>
            <w:tcW w:w="7983" w:type="dxa"/>
            <w:gridSpan w:val="6"/>
            <w:noWrap/>
            <w:vAlign w:val="center"/>
          </w:tcPr>
          <w:p>
            <w:pPr>
              <w:widowControl/>
              <w:spacing w:line="360" w:lineRule="auto"/>
              <w:jc w:val="center"/>
              <w:rPr>
                <w:rFonts w:hint="eastAsia" w:ascii="宋体" w:hAnsi="宋体" w:cs="宋体"/>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jc w:val="center"/>
        </w:trPr>
        <w:tc>
          <w:tcPr>
            <w:tcW w:w="1477" w:type="dxa"/>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投标人优势及特长</w:t>
            </w:r>
          </w:p>
        </w:tc>
        <w:tc>
          <w:tcPr>
            <w:tcW w:w="7983" w:type="dxa"/>
            <w:gridSpan w:val="6"/>
            <w:noWrap/>
            <w:vAlign w:val="center"/>
          </w:tcPr>
          <w:p>
            <w:pPr>
              <w:widowControl/>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w:t>
            </w:r>
          </w:p>
        </w:tc>
      </w:tr>
    </w:tbl>
    <w:p>
      <w:pPr>
        <w:spacing w:line="360" w:lineRule="auto"/>
        <w:rPr>
          <w:rFonts w:hint="eastAsia" w:ascii="宋体" w:hAnsi="宋体"/>
          <w:bCs/>
          <w:color w:val="auto"/>
          <w:sz w:val="24"/>
          <w:highlight w:val="none"/>
        </w:rPr>
      </w:pPr>
      <w:r>
        <w:rPr>
          <w:rFonts w:hint="eastAsia" w:ascii="宋体" w:hAnsi="宋体"/>
          <w:bCs/>
          <w:color w:val="auto"/>
          <w:sz w:val="24"/>
          <w:highlight w:val="none"/>
        </w:rPr>
        <w:t>说明：</w:t>
      </w:r>
      <w:r>
        <w:rPr>
          <w:rFonts w:ascii="宋体" w:hAnsi="宋体"/>
          <w:bCs/>
          <w:color w:val="auto"/>
          <w:sz w:val="24"/>
          <w:highlight w:val="none"/>
        </w:rPr>
        <w:t>在填写时，如本表格不适合投标人的实际情况，可根据本表格格式自行划表填写。</w:t>
      </w:r>
    </w:p>
    <w:p>
      <w:pPr>
        <w:tabs>
          <w:tab w:val="left" w:pos="1418"/>
        </w:tabs>
        <w:spacing w:line="360" w:lineRule="auto"/>
        <w:ind w:firstLine="240" w:firstLineChars="100"/>
        <w:rPr>
          <w:rFonts w:hint="eastAsia" w:ascii="宋体" w:hAnsi="宋体"/>
          <w:bCs/>
          <w:color w:val="auto"/>
          <w:sz w:val="24"/>
          <w:highlight w:val="none"/>
        </w:rPr>
      </w:pPr>
      <w:r>
        <w:rPr>
          <w:rFonts w:ascii="宋体" w:hAnsi="宋体"/>
          <w:color w:val="auto"/>
          <w:sz w:val="24"/>
          <w:highlight w:val="none"/>
        </w:rPr>
        <w:t>法定代表人或委托代理人签名：</w:t>
      </w:r>
    </w:p>
    <w:p>
      <w:pPr>
        <w:tabs>
          <w:tab w:val="left" w:pos="1418"/>
        </w:tabs>
        <w:spacing w:line="360" w:lineRule="auto"/>
        <w:ind w:firstLine="240" w:firstLineChars="100"/>
        <w:rPr>
          <w:rFonts w:hint="eastAsia" w:ascii="宋体" w:hAnsi="宋体"/>
          <w:b/>
          <w:bCs/>
          <w:color w:val="auto"/>
          <w:sz w:val="24"/>
          <w:highlight w:val="none"/>
        </w:rPr>
      </w:pPr>
      <w:r>
        <w:rPr>
          <w:rFonts w:hint="eastAsia" w:ascii="宋体" w:hAnsi="宋体"/>
          <w:bCs/>
          <w:color w:val="auto"/>
          <w:sz w:val="24"/>
          <w:highlight w:val="none"/>
        </w:rPr>
        <w:t>投 标 人（盖章）：                              年  月  日</w:t>
      </w:r>
    </w:p>
    <w:p>
      <w:pPr>
        <w:snapToGrid w:val="0"/>
        <w:spacing w:line="360" w:lineRule="auto"/>
        <w:rPr>
          <w:rFonts w:hint="eastAsia" w:ascii="宋体" w:hAnsi="宋体"/>
          <w:color w:val="auto"/>
          <w:sz w:val="24"/>
          <w:highlight w:val="none"/>
        </w:rPr>
      </w:pPr>
      <w:r>
        <w:rPr>
          <w:rFonts w:hint="eastAsia" w:ascii="宋体" w:hAnsi="宋体"/>
          <w:color w:val="auto"/>
          <w:sz w:val="24"/>
          <w:highlight w:val="none"/>
        </w:rPr>
        <w:t>4.诚信承诺书格式：</w:t>
      </w:r>
    </w:p>
    <w:p>
      <w:pPr>
        <w:pStyle w:val="5"/>
        <w:spacing w:line="360" w:lineRule="auto"/>
        <w:jc w:val="center"/>
        <w:rPr>
          <w:rFonts w:hint="eastAsia" w:ascii="宋体" w:hAnsi="宋体" w:eastAsia="宋体"/>
          <w:color w:val="auto"/>
          <w:sz w:val="24"/>
          <w:szCs w:val="24"/>
          <w:highlight w:val="none"/>
        </w:rPr>
      </w:pPr>
      <w:r>
        <w:rPr>
          <w:rFonts w:hint="eastAsia" w:ascii="宋体" w:hAnsi="宋体" w:eastAsia="宋体"/>
          <w:color w:val="auto"/>
          <w:sz w:val="24"/>
          <w:szCs w:val="24"/>
          <w:highlight w:val="none"/>
        </w:rPr>
        <w:t>诚信承诺书</w:t>
      </w:r>
    </w:p>
    <w:p>
      <w:pPr>
        <w:spacing w:line="360" w:lineRule="auto"/>
        <w:rPr>
          <w:rFonts w:hint="eastAsia" w:ascii="宋体" w:hAnsi="宋体"/>
          <w:color w:val="auto"/>
          <w:sz w:val="24"/>
          <w:highlight w:val="none"/>
        </w:rPr>
      </w:pPr>
      <w:r>
        <w:rPr>
          <w:rFonts w:ascii="宋体" w:hAnsi="宋体"/>
          <w:color w:val="auto"/>
          <w:sz w:val="24"/>
          <w:highlight w:val="none"/>
        </w:rPr>
        <w:t>致：</w:t>
      </w:r>
      <w:r>
        <w:rPr>
          <w:rFonts w:hint="eastAsia" w:ascii="宋体" w:hAnsi="宋体"/>
          <w:color w:val="auto"/>
          <w:sz w:val="24"/>
          <w:highlight w:val="none"/>
          <w:u w:val="single"/>
        </w:rPr>
        <w:t>上海世外教育附属平湖经开实验小学</w:t>
      </w:r>
      <w:r>
        <w:rPr>
          <w:rFonts w:hint="eastAsia" w:ascii="宋体" w:hAnsi="宋体"/>
          <w:color w:val="auto"/>
          <w:sz w:val="24"/>
          <w:highlight w:val="none"/>
        </w:rPr>
        <w:t>（招标采购单位名称）：</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我方在参加贵单位的</w:t>
      </w:r>
      <w:r>
        <w:rPr>
          <w:rFonts w:hint="eastAsia" w:ascii="宋体" w:hAnsi="宋体"/>
          <w:color w:val="auto"/>
          <w:sz w:val="24"/>
          <w:highlight w:val="none"/>
          <w:u w:val="single"/>
        </w:rPr>
        <w:t xml:space="preserve">             </w:t>
      </w:r>
      <w:r>
        <w:rPr>
          <w:rFonts w:hint="eastAsia" w:ascii="宋体" w:hAnsi="宋体"/>
          <w:color w:val="auto"/>
          <w:sz w:val="24"/>
          <w:highlight w:val="none"/>
        </w:rPr>
        <w:t>政府采购项目的招投标活动中，郑重承诺如下：</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1、我方申报的所有资料都是真实、准确、完整的；</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2、我方无资质挂靠情形，保证不参与串标、围标及抬标；</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3、我方未处于被各级行政主管部门做出停止市场行为处罚的期限内；</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4、我方参加本项目政府采购活动前3年内在经营活动中没有重大违法记录；</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5、若我方中标，将严格按照规定及时与采购人签订合同；</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6、若我方中标，将严格按照招标文件要求及投标文件承诺的报价、质量、工期、供应商案、项目负责人等内容组织实施；</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特此承诺。</w:t>
      </w:r>
    </w:p>
    <w:p>
      <w:pPr>
        <w:tabs>
          <w:tab w:val="left" w:pos="1418"/>
        </w:tabs>
        <w:spacing w:line="360" w:lineRule="auto"/>
        <w:rPr>
          <w:rFonts w:hint="eastAsia" w:ascii="宋体" w:hAnsi="宋体"/>
          <w:bCs/>
          <w:color w:val="auto"/>
          <w:sz w:val="24"/>
          <w:highlight w:val="none"/>
        </w:rPr>
      </w:pPr>
      <w:r>
        <w:rPr>
          <w:rFonts w:ascii="宋体" w:hAnsi="宋体"/>
          <w:color w:val="auto"/>
          <w:sz w:val="24"/>
          <w:highlight w:val="none"/>
        </w:rPr>
        <w:t>法定代表人或委托代理人签名：</w:t>
      </w:r>
    </w:p>
    <w:p>
      <w:pPr>
        <w:tabs>
          <w:tab w:val="left" w:pos="1418"/>
        </w:tabs>
        <w:spacing w:line="360" w:lineRule="auto"/>
        <w:rPr>
          <w:rFonts w:hint="eastAsia" w:ascii="宋体" w:hAnsi="宋体"/>
          <w:bCs/>
          <w:color w:val="auto"/>
          <w:sz w:val="24"/>
          <w:highlight w:val="none"/>
        </w:rPr>
      </w:pPr>
      <w:r>
        <w:rPr>
          <w:rFonts w:hint="eastAsia" w:ascii="宋体" w:hAnsi="宋体"/>
          <w:bCs/>
          <w:color w:val="auto"/>
          <w:sz w:val="24"/>
          <w:highlight w:val="none"/>
        </w:rPr>
        <w:t xml:space="preserve">    投 标 人（盖章）：                              年  月  日</w:t>
      </w:r>
    </w:p>
    <w:p>
      <w:pPr>
        <w:tabs>
          <w:tab w:val="left" w:pos="1418"/>
        </w:tabs>
        <w:spacing w:line="360" w:lineRule="auto"/>
        <w:rPr>
          <w:rFonts w:hint="eastAsia" w:ascii="宋体" w:hAnsi="宋体"/>
          <w:bCs/>
          <w:color w:val="auto"/>
          <w:sz w:val="24"/>
          <w:highlight w:val="none"/>
        </w:rPr>
      </w:pPr>
    </w:p>
    <w:p>
      <w:pPr>
        <w:tabs>
          <w:tab w:val="left" w:pos="1418"/>
        </w:tabs>
        <w:spacing w:line="360" w:lineRule="auto"/>
        <w:rPr>
          <w:rFonts w:hint="eastAsia" w:ascii="宋体" w:hAnsi="宋体"/>
          <w:bCs/>
          <w:color w:val="auto"/>
          <w:sz w:val="24"/>
          <w:highlight w:val="none"/>
        </w:rPr>
      </w:pPr>
    </w:p>
    <w:p>
      <w:pPr>
        <w:tabs>
          <w:tab w:val="left" w:pos="1418"/>
        </w:tabs>
        <w:spacing w:line="360" w:lineRule="auto"/>
        <w:rPr>
          <w:rFonts w:hint="eastAsia" w:ascii="宋体" w:hAnsi="宋体"/>
          <w:bCs/>
          <w:color w:val="auto"/>
          <w:sz w:val="24"/>
          <w:highlight w:val="none"/>
        </w:rPr>
      </w:pPr>
    </w:p>
    <w:p>
      <w:pPr>
        <w:tabs>
          <w:tab w:val="left" w:pos="1418"/>
        </w:tabs>
        <w:spacing w:line="360" w:lineRule="auto"/>
        <w:rPr>
          <w:rFonts w:hint="eastAsia" w:ascii="宋体" w:hAnsi="宋体"/>
          <w:bCs/>
          <w:color w:val="auto"/>
          <w:sz w:val="24"/>
          <w:highlight w:val="none"/>
        </w:rPr>
      </w:pPr>
    </w:p>
    <w:p>
      <w:pPr>
        <w:tabs>
          <w:tab w:val="left" w:pos="1418"/>
        </w:tabs>
        <w:spacing w:line="360" w:lineRule="auto"/>
        <w:rPr>
          <w:rFonts w:hint="eastAsia" w:ascii="宋体" w:hAnsi="宋体"/>
          <w:bCs/>
          <w:color w:val="auto"/>
          <w:sz w:val="24"/>
          <w:highlight w:val="none"/>
        </w:rPr>
      </w:pPr>
    </w:p>
    <w:p>
      <w:pPr>
        <w:tabs>
          <w:tab w:val="left" w:pos="1418"/>
        </w:tabs>
        <w:spacing w:line="360" w:lineRule="auto"/>
        <w:rPr>
          <w:rFonts w:hint="eastAsia" w:ascii="宋体" w:hAnsi="宋体"/>
          <w:bCs/>
          <w:color w:val="auto"/>
          <w:sz w:val="24"/>
          <w:highlight w:val="none"/>
        </w:rPr>
      </w:pPr>
    </w:p>
    <w:p>
      <w:pPr>
        <w:tabs>
          <w:tab w:val="left" w:pos="1418"/>
        </w:tabs>
        <w:spacing w:line="360" w:lineRule="auto"/>
        <w:rPr>
          <w:rFonts w:hint="eastAsia" w:ascii="宋体" w:hAnsi="宋体"/>
          <w:bCs/>
          <w:color w:val="auto"/>
          <w:sz w:val="24"/>
          <w:highlight w:val="none"/>
        </w:rPr>
      </w:pPr>
    </w:p>
    <w:p>
      <w:pPr>
        <w:tabs>
          <w:tab w:val="left" w:pos="1418"/>
        </w:tabs>
        <w:spacing w:line="360" w:lineRule="auto"/>
        <w:rPr>
          <w:rFonts w:hint="eastAsia" w:ascii="宋体" w:hAnsi="宋体"/>
          <w:bCs/>
          <w:color w:val="auto"/>
          <w:sz w:val="24"/>
          <w:highlight w:val="none"/>
        </w:rPr>
      </w:pPr>
    </w:p>
    <w:p>
      <w:pPr>
        <w:snapToGrid w:val="0"/>
        <w:spacing w:line="360" w:lineRule="auto"/>
        <w:rPr>
          <w:rFonts w:hint="eastAsia" w:ascii="宋体" w:hAnsi="宋体"/>
          <w:color w:val="auto"/>
          <w:sz w:val="24"/>
          <w:highlight w:val="none"/>
        </w:rPr>
      </w:pPr>
    </w:p>
    <w:p>
      <w:pPr>
        <w:numPr>
          <w:ilvl w:val="0"/>
          <w:numId w:val="0"/>
        </w:numPr>
        <w:snapToGrid w:val="0"/>
        <w:spacing w:before="50" w:line="360" w:lineRule="auto"/>
        <w:jc w:val="left"/>
        <w:rPr>
          <w:rFonts w:hint="eastAsia" w:ascii="宋体" w:hAnsi="宋体"/>
          <w:color w:val="auto"/>
          <w:sz w:val="24"/>
          <w:highlight w:val="none"/>
        </w:rPr>
      </w:pPr>
      <w:r>
        <w:rPr>
          <w:rFonts w:hint="eastAsia" w:ascii="宋体" w:hAnsi="宋体"/>
          <w:color w:val="auto"/>
          <w:sz w:val="24"/>
          <w:highlight w:val="none"/>
          <w:lang w:val="en-US" w:eastAsia="zh-CN"/>
        </w:rPr>
        <w:t>5.</w:t>
      </w:r>
      <w:r>
        <w:rPr>
          <w:rFonts w:ascii="宋体" w:hAnsi="宋体"/>
          <w:color w:val="auto"/>
          <w:sz w:val="24"/>
          <w:highlight w:val="none"/>
        </w:rPr>
        <w:t>商务响应表格式：</w:t>
      </w:r>
    </w:p>
    <w:p>
      <w:pPr>
        <w:snapToGrid w:val="0"/>
        <w:spacing w:before="50" w:line="360" w:lineRule="auto"/>
        <w:jc w:val="center"/>
        <w:rPr>
          <w:rFonts w:hint="eastAsia" w:ascii="宋体" w:hAnsi="宋体"/>
          <w:b/>
          <w:color w:val="auto"/>
          <w:kern w:val="0"/>
          <w:sz w:val="24"/>
          <w:highlight w:val="none"/>
        </w:rPr>
      </w:pPr>
      <w:r>
        <w:rPr>
          <w:rFonts w:hint="eastAsia" w:ascii="宋体" w:hAnsi="宋体"/>
          <w:b/>
          <w:color w:val="auto"/>
          <w:kern w:val="0"/>
          <w:sz w:val="24"/>
          <w:highlight w:val="none"/>
        </w:rPr>
        <w:t>商务响应表</w:t>
      </w:r>
    </w:p>
    <w:tbl>
      <w:tblPr>
        <w:tblStyle w:val="27"/>
        <w:tblW w:w="0" w:type="auto"/>
        <w:tblInd w:w="2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086"/>
        <w:gridCol w:w="3086"/>
        <w:gridCol w:w="14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noWrap/>
          </w:tcPr>
          <w:p>
            <w:pPr>
              <w:spacing w:before="240" w:after="240" w:line="360" w:lineRule="auto"/>
              <w:jc w:val="center"/>
              <w:rPr>
                <w:rFonts w:hint="eastAsia" w:ascii="宋体" w:hAnsi="宋体"/>
                <w:color w:val="auto"/>
                <w:sz w:val="24"/>
                <w:highlight w:val="none"/>
              </w:rPr>
            </w:pPr>
            <w:r>
              <w:rPr>
                <w:rFonts w:hint="eastAsia" w:ascii="宋体" w:hAnsi="宋体"/>
                <w:color w:val="auto"/>
                <w:sz w:val="24"/>
                <w:highlight w:val="none"/>
              </w:rPr>
              <w:t>序号</w:t>
            </w:r>
          </w:p>
        </w:tc>
        <w:tc>
          <w:tcPr>
            <w:tcW w:w="3086" w:type="dxa"/>
            <w:noWrap/>
          </w:tcPr>
          <w:p>
            <w:pPr>
              <w:spacing w:before="240" w:after="240" w:line="360" w:lineRule="auto"/>
              <w:jc w:val="center"/>
              <w:rPr>
                <w:rFonts w:hint="eastAsia" w:ascii="宋体" w:hAnsi="宋体"/>
                <w:color w:val="auto"/>
                <w:sz w:val="24"/>
                <w:highlight w:val="none"/>
              </w:rPr>
            </w:pPr>
            <w:r>
              <w:rPr>
                <w:rFonts w:hint="eastAsia" w:ascii="宋体" w:hAnsi="宋体"/>
                <w:color w:val="auto"/>
                <w:sz w:val="24"/>
                <w:highlight w:val="none"/>
              </w:rPr>
              <w:t>招标文件的规定</w:t>
            </w:r>
          </w:p>
        </w:tc>
        <w:tc>
          <w:tcPr>
            <w:tcW w:w="3086" w:type="dxa"/>
            <w:noWrap/>
          </w:tcPr>
          <w:p>
            <w:pPr>
              <w:spacing w:before="240" w:after="240" w:line="360" w:lineRule="auto"/>
              <w:jc w:val="center"/>
              <w:rPr>
                <w:rFonts w:hint="eastAsia" w:ascii="宋体" w:hAnsi="宋体"/>
                <w:color w:val="auto"/>
                <w:sz w:val="24"/>
                <w:highlight w:val="none"/>
              </w:rPr>
            </w:pPr>
            <w:r>
              <w:rPr>
                <w:rFonts w:hint="eastAsia" w:ascii="宋体" w:hAnsi="宋体"/>
                <w:color w:val="auto"/>
                <w:sz w:val="24"/>
                <w:highlight w:val="none"/>
              </w:rPr>
              <w:t>投标文件的响应</w:t>
            </w:r>
          </w:p>
        </w:tc>
        <w:tc>
          <w:tcPr>
            <w:tcW w:w="1411" w:type="dxa"/>
            <w:noWrap/>
          </w:tcPr>
          <w:p>
            <w:pPr>
              <w:spacing w:before="240" w:after="240" w:line="360" w:lineRule="auto"/>
              <w:jc w:val="center"/>
              <w:rPr>
                <w:rFonts w:hint="eastAsia" w:ascii="宋体" w:hAnsi="宋体"/>
                <w:color w:val="auto"/>
                <w:sz w:val="24"/>
                <w:highlight w:val="none"/>
              </w:rPr>
            </w:pPr>
            <w:r>
              <w:rPr>
                <w:rFonts w:hint="eastAsia" w:ascii="宋体" w:hAnsi="宋体"/>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noWrap/>
          </w:tcPr>
          <w:p>
            <w:pPr>
              <w:spacing w:before="240" w:after="240" w:line="360" w:lineRule="auto"/>
              <w:rPr>
                <w:rFonts w:hint="eastAsia" w:ascii="宋体" w:hAnsi="宋体"/>
                <w:color w:val="auto"/>
                <w:sz w:val="24"/>
                <w:highlight w:val="none"/>
              </w:rPr>
            </w:pPr>
          </w:p>
        </w:tc>
        <w:tc>
          <w:tcPr>
            <w:tcW w:w="3086" w:type="dxa"/>
            <w:noWrap/>
          </w:tcPr>
          <w:p>
            <w:pPr>
              <w:spacing w:before="240" w:after="240" w:line="360" w:lineRule="auto"/>
              <w:rPr>
                <w:rFonts w:hint="eastAsia" w:ascii="宋体" w:hAnsi="宋体"/>
                <w:color w:val="auto"/>
                <w:sz w:val="24"/>
                <w:highlight w:val="none"/>
              </w:rPr>
            </w:pPr>
          </w:p>
        </w:tc>
        <w:tc>
          <w:tcPr>
            <w:tcW w:w="3086" w:type="dxa"/>
            <w:noWrap/>
          </w:tcPr>
          <w:p>
            <w:pPr>
              <w:spacing w:before="240" w:after="240" w:line="360" w:lineRule="auto"/>
              <w:rPr>
                <w:rFonts w:hint="eastAsia" w:ascii="宋体" w:hAnsi="宋体"/>
                <w:color w:val="auto"/>
                <w:sz w:val="24"/>
                <w:highlight w:val="none"/>
              </w:rPr>
            </w:pPr>
          </w:p>
        </w:tc>
        <w:tc>
          <w:tcPr>
            <w:tcW w:w="1411" w:type="dxa"/>
            <w:noWrap/>
          </w:tcPr>
          <w:p>
            <w:pPr>
              <w:spacing w:before="240" w:after="240" w:line="360" w:lineRule="auto"/>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noWrap/>
          </w:tcPr>
          <w:p>
            <w:pPr>
              <w:spacing w:before="240" w:after="240" w:line="360" w:lineRule="auto"/>
              <w:rPr>
                <w:rFonts w:hint="eastAsia" w:ascii="宋体" w:hAnsi="宋体"/>
                <w:color w:val="auto"/>
                <w:sz w:val="24"/>
                <w:highlight w:val="none"/>
              </w:rPr>
            </w:pPr>
          </w:p>
        </w:tc>
        <w:tc>
          <w:tcPr>
            <w:tcW w:w="3086" w:type="dxa"/>
            <w:noWrap/>
          </w:tcPr>
          <w:p>
            <w:pPr>
              <w:spacing w:before="240" w:after="240" w:line="360" w:lineRule="auto"/>
              <w:rPr>
                <w:rFonts w:hint="eastAsia" w:ascii="宋体" w:hAnsi="宋体"/>
                <w:color w:val="auto"/>
                <w:sz w:val="24"/>
                <w:highlight w:val="none"/>
              </w:rPr>
            </w:pPr>
          </w:p>
        </w:tc>
        <w:tc>
          <w:tcPr>
            <w:tcW w:w="3086" w:type="dxa"/>
            <w:noWrap/>
          </w:tcPr>
          <w:p>
            <w:pPr>
              <w:spacing w:before="240" w:after="240" w:line="360" w:lineRule="auto"/>
              <w:rPr>
                <w:rFonts w:hint="eastAsia" w:ascii="宋体" w:hAnsi="宋体"/>
                <w:color w:val="auto"/>
                <w:sz w:val="24"/>
                <w:highlight w:val="none"/>
              </w:rPr>
            </w:pPr>
          </w:p>
        </w:tc>
        <w:tc>
          <w:tcPr>
            <w:tcW w:w="1411" w:type="dxa"/>
            <w:noWrap/>
          </w:tcPr>
          <w:p>
            <w:pPr>
              <w:spacing w:before="240" w:after="240" w:line="360" w:lineRule="auto"/>
              <w:rPr>
                <w:rFonts w:hint="eastAsia" w:ascii="宋体" w:hAnsi="宋体"/>
                <w:color w:val="auto"/>
                <w:sz w:val="24"/>
                <w:highlight w:val="none"/>
              </w:rPr>
            </w:pPr>
          </w:p>
        </w:tc>
      </w:tr>
    </w:tbl>
    <w:p>
      <w:pPr>
        <w:spacing w:line="360" w:lineRule="auto"/>
        <w:rPr>
          <w:rFonts w:hint="eastAsia" w:ascii="宋体" w:hAnsi="宋体"/>
          <w:color w:val="auto"/>
          <w:sz w:val="24"/>
          <w:highlight w:val="none"/>
        </w:rPr>
      </w:pPr>
      <w:r>
        <w:rPr>
          <w:rFonts w:hint="eastAsia" w:ascii="宋体" w:hAnsi="宋体"/>
          <w:color w:val="auto"/>
          <w:sz w:val="24"/>
          <w:highlight w:val="none"/>
        </w:rPr>
        <w:t>注：投标人的投标文件（除技术规格部分）与招标文件之规定存在偏离的，应在此表中如实说明。未在上表中说明的，将被认为完全响应招标文件的规定。</w:t>
      </w:r>
    </w:p>
    <w:p>
      <w:pPr>
        <w:spacing w:line="360" w:lineRule="auto"/>
        <w:rPr>
          <w:rFonts w:hint="eastAsia" w:ascii="宋体" w:hAnsi="宋体"/>
          <w:color w:val="auto"/>
          <w:sz w:val="24"/>
          <w:highlight w:val="none"/>
        </w:rPr>
      </w:pPr>
    </w:p>
    <w:p>
      <w:pPr>
        <w:tabs>
          <w:tab w:val="left" w:pos="1418"/>
        </w:tabs>
        <w:spacing w:line="360" w:lineRule="auto"/>
        <w:rPr>
          <w:rFonts w:hint="eastAsia" w:ascii="宋体" w:hAnsi="宋体"/>
          <w:bCs/>
          <w:color w:val="auto"/>
          <w:sz w:val="24"/>
          <w:highlight w:val="none"/>
        </w:rPr>
      </w:pPr>
      <w:r>
        <w:rPr>
          <w:rFonts w:ascii="宋体" w:hAnsi="宋体"/>
          <w:color w:val="auto"/>
          <w:sz w:val="24"/>
          <w:highlight w:val="none"/>
        </w:rPr>
        <w:t>法定代表人或委托代理人签名：</w:t>
      </w:r>
    </w:p>
    <w:p>
      <w:pPr>
        <w:tabs>
          <w:tab w:val="left" w:pos="1418"/>
        </w:tabs>
        <w:spacing w:line="360" w:lineRule="auto"/>
        <w:rPr>
          <w:rFonts w:hint="eastAsia" w:ascii="宋体" w:hAnsi="宋体"/>
          <w:bCs/>
          <w:color w:val="auto"/>
          <w:sz w:val="24"/>
          <w:highlight w:val="none"/>
        </w:rPr>
      </w:pPr>
      <w:r>
        <w:rPr>
          <w:rFonts w:hint="eastAsia" w:ascii="宋体" w:hAnsi="宋体"/>
          <w:bCs/>
          <w:color w:val="auto"/>
          <w:sz w:val="24"/>
          <w:highlight w:val="none"/>
        </w:rPr>
        <w:t>投 标 人（盖章）：                              年  月  日</w:t>
      </w:r>
    </w:p>
    <w:p>
      <w:pPr>
        <w:pStyle w:val="18"/>
        <w:spacing w:before="120" w:after="120" w:line="360" w:lineRule="auto"/>
        <w:rPr>
          <w:rFonts w:hint="eastAsia" w:ascii="宋体" w:hAnsi="宋体"/>
          <w:bCs/>
          <w:color w:val="auto"/>
          <w:sz w:val="24"/>
          <w:highlight w:val="none"/>
          <w:lang w:val="en-US" w:eastAsia="zh-CN"/>
        </w:rPr>
      </w:pPr>
    </w:p>
    <w:p>
      <w:pPr>
        <w:pStyle w:val="18"/>
        <w:spacing w:before="120" w:after="120" w:line="360" w:lineRule="auto"/>
        <w:rPr>
          <w:rFonts w:hint="eastAsia" w:hAnsi="宋体"/>
          <w:b/>
          <w:color w:val="auto"/>
          <w:highlight w:val="none"/>
        </w:rPr>
      </w:pPr>
      <w:r>
        <w:rPr>
          <w:rFonts w:hint="eastAsia" w:ascii="宋体" w:hAnsi="宋体"/>
          <w:bCs/>
          <w:color w:val="auto"/>
          <w:sz w:val="24"/>
          <w:highlight w:val="none"/>
          <w:lang w:val="en-US" w:eastAsia="zh-CN"/>
        </w:rPr>
        <w:t>6</w:t>
      </w:r>
      <w:r>
        <w:rPr>
          <w:rFonts w:hint="eastAsia" w:ascii="宋体" w:hAnsi="宋体"/>
          <w:bCs/>
          <w:color w:val="auto"/>
          <w:sz w:val="24"/>
          <w:highlight w:val="none"/>
        </w:rPr>
        <w:t>.</w:t>
      </w:r>
      <w:r>
        <w:rPr>
          <w:rFonts w:hint="eastAsia" w:ascii="宋体" w:hAnsi="宋体"/>
          <w:color w:val="auto"/>
          <w:sz w:val="24"/>
          <w:highlight w:val="none"/>
        </w:rPr>
        <w:t>技术响应表</w:t>
      </w:r>
    </w:p>
    <w:p>
      <w:pPr>
        <w:snapToGrid w:val="0"/>
        <w:spacing w:before="50" w:line="360" w:lineRule="auto"/>
        <w:jc w:val="center"/>
        <w:rPr>
          <w:rFonts w:hint="eastAsia" w:ascii="宋体" w:hAnsi="宋体" w:eastAsia="宋体" w:cs="Times New Roman"/>
          <w:b/>
          <w:color w:val="auto"/>
          <w:kern w:val="0"/>
          <w:sz w:val="24"/>
          <w:highlight w:val="none"/>
        </w:rPr>
      </w:pPr>
      <w:r>
        <w:rPr>
          <w:rFonts w:hint="eastAsia" w:ascii="宋体" w:hAnsi="宋体" w:eastAsia="宋体" w:cs="Times New Roman"/>
          <w:b/>
          <w:color w:val="auto"/>
          <w:kern w:val="0"/>
          <w:sz w:val="24"/>
          <w:highlight w:val="none"/>
        </w:rPr>
        <w:t>技术响应表</w:t>
      </w:r>
    </w:p>
    <w:tbl>
      <w:tblPr>
        <w:tblStyle w:val="27"/>
        <w:tblW w:w="974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26"/>
        <w:gridCol w:w="1626"/>
        <w:gridCol w:w="2318"/>
        <w:gridCol w:w="2784"/>
        <w:gridCol w:w="138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exact"/>
        </w:trPr>
        <w:tc>
          <w:tcPr>
            <w:tcW w:w="3252" w:type="dxa"/>
            <w:gridSpan w:val="2"/>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bookmarkStart w:id="44" w:name="_Toc406402957"/>
            <w:bookmarkStart w:id="45" w:name="_Toc402963128"/>
            <w:bookmarkStart w:id="46" w:name="_Toc385854110"/>
            <w:bookmarkStart w:id="47" w:name="_Toc402963095"/>
            <w:bookmarkStart w:id="48" w:name="_Toc377028057"/>
            <w:bookmarkStart w:id="49" w:name="_Toc406403001"/>
            <w:bookmarkStart w:id="50" w:name="_Toc401570314"/>
            <w:bookmarkStart w:id="51" w:name="_Toc385854156"/>
            <w:bookmarkStart w:id="52" w:name="_Toc382928118"/>
            <w:bookmarkStart w:id="53" w:name="_Toc381081903"/>
            <w:bookmarkStart w:id="54" w:name="_Toc377028119"/>
            <w:bookmarkStart w:id="55" w:name="_Toc382928236"/>
            <w:bookmarkStart w:id="56" w:name="_Toc377653976"/>
            <w:bookmarkStart w:id="57" w:name="_Toc401570290"/>
            <w:r>
              <w:rPr>
                <w:rFonts w:hint="eastAsia" w:hAnsi="宋体"/>
                <w:color w:val="auto"/>
                <w:highlight w:val="none"/>
              </w:rPr>
              <w:t>招标文件要求</w:t>
            </w:r>
            <w:bookmarkEnd w:id="44"/>
            <w:bookmarkEnd w:id="45"/>
            <w:bookmarkEnd w:id="46"/>
            <w:bookmarkEnd w:id="47"/>
            <w:bookmarkEnd w:id="48"/>
            <w:bookmarkEnd w:id="49"/>
            <w:bookmarkEnd w:id="50"/>
            <w:bookmarkEnd w:id="51"/>
            <w:bookmarkEnd w:id="52"/>
            <w:bookmarkEnd w:id="53"/>
            <w:bookmarkEnd w:id="54"/>
            <w:bookmarkEnd w:id="55"/>
            <w:bookmarkEnd w:id="56"/>
            <w:bookmarkEnd w:id="57"/>
          </w:p>
        </w:tc>
        <w:tc>
          <w:tcPr>
            <w:tcW w:w="5102" w:type="dxa"/>
            <w:gridSpan w:val="2"/>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bookmarkStart w:id="58" w:name="_Toc401570315"/>
            <w:bookmarkStart w:id="59" w:name="_Toc406403002"/>
            <w:bookmarkStart w:id="60" w:name="_Toc377028120"/>
            <w:bookmarkStart w:id="61" w:name="_Toc402963096"/>
            <w:bookmarkStart w:id="62" w:name="_Toc381081904"/>
            <w:bookmarkStart w:id="63" w:name="_Toc402963129"/>
            <w:bookmarkStart w:id="64" w:name="_Toc377653977"/>
            <w:bookmarkStart w:id="65" w:name="_Toc382928237"/>
            <w:bookmarkStart w:id="66" w:name="_Toc401570291"/>
            <w:bookmarkStart w:id="67" w:name="_Toc385854157"/>
            <w:bookmarkStart w:id="68" w:name="_Toc377028058"/>
            <w:bookmarkStart w:id="69" w:name="_Toc382928119"/>
            <w:bookmarkStart w:id="70" w:name="_Toc385854111"/>
            <w:bookmarkStart w:id="71" w:name="_Toc406402958"/>
            <w:r>
              <w:rPr>
                <w:rFonts w:hint="eastAsia" w:hAnsi="宋体"/>
                <w:color w:val="auto"/>
                <w:highlight w:val="none"/>
              </w:rPr>
              <w:t>投标文件响应</w:t>
            </w:r>
            <w:bookmarkEnd w:id="58"/>
            <w:bookmarkEnd w:id="59"/>
            <w:bookmarkEnd w:id="60"/>
            <w:bookmarkEnd w:id="61"/>
            <w:bookmarkEnd w:id="62"/>
            <w:bookmarkEnd w:id="63"/>
            <w:bookmarkEnd w:id="64"/>
            <w:bookmarkEnd w:id="65"/>
            <w:bookmarkEnd w:id="66"/>
            <w:bookmarkEnd w:id="67"/>
            <w:bookmarkEnd w:id="68"/>
            <w:bookmarkEnd w:id="69"/>
            <w:bookmarkEnd w:id="70"/>
            <w:bookmarkEnd w:id="71"/>
          </w:p>
        </w:tc>
        <w:tc>
          <w:tcPr>
            <w:tcW w:w="1387" w:type="dxa"/>
            <w:vMerge w:val="restart"/>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bookmarkStart w:id="72" w:name="_Toc377653978"/>
            <w:bookmarkStart w:id="73" w:name="_Toc377028121"/>
            <w:bookmarkStart w:id="74" w:name="_Toc385854112"/>
            <w:bookmarkStart w:id="75" w:name="_Toc382928120"/>
            <w:bookmarkStart w:id="76" w:name="_Toc406403003"/>
            <w:bookmarkStart w:id="77" w:name="_Toc402963097"/>
            <w:bookmarkStart w:id="78" w:name="_Toc385854158"/>
            <w:bookmarkStart w:id="79" w:name="_Toc401570292"/>
            <w:bookmarkStart w:id="80" w:name="_Toc377028059"/>
            <w:bookmarkStart w:id="81" w:name="_Toc401570316"/>
            <w:bookmarkStart w:id="82" w:name="_Toc406402959"/>
            <w:bookmarkStart w:id="83" w:name="_Toc402963130"/>
            <w:bookmarkStart w:id="84" w:name="_Toc382928238"/>
            <w:bookmarkStart w:id="85" w:name="_Toc381081905"/>
            <w:r>
              <w:rPr>
                <w:rFonts w:hint="eastAsia" w:hAnsi="宋体"/>
                <w:color w:val="auto"/>
                <w:highlight w:val="none"/>
              </w:rPr>
              <w:t>偏离</w:t>
            </w:r>
          </w:p>
          <w:p>
            <w:pPr>
              <w:pStyle w:val="18"/>
              <w:snapToGrid w:val="0"/>
              <w:spacing w:beforeLines="0" w:afterLines="0" w:line="360" w:lineRule="auto"/>
              <w:jc w:val="center"/>
              <w:outlineLvl w:val="0"/>
              <w:rPr>
                <w:rFonts w:hint="eastAsia" w:hAnsi="宋体"/>
                <w:color w:val="auto"/>
                <w:highlight w:val="none"/>
              </w:rPr>
            </w:pPr>
            <w:r>
              <w:rPr>
                <w:rFonts w:hint="eastAsia" w:hAnsi="宋体"/>
                <w:color w:val="auto"/>
                <w:highlight w:val="none"/>
              </w:rPr>
              <w:t>情况</w:t>
            </w:r>
            <w:bookmarkEnd w:id="72"/>
            <w:bookmarkEnd w:id="73"/>
            <w:bookmarkEnd w:id="74"/>
            <w:bookmarkEnd w:id="75"/>
            <w:bookmarkEnd w:id="76"/>
            <w:bookmarkEnd w:id="77"/>
            <w:bookmarkEnd w:id="78"/>
            <w:bookmarkEnd w:id="79"/>
            <w:bookmarkEnd w:id="80"/>
            <w:bookmarkEnd w:id="81"/>
            <w:bookmarkEnd w:id="82"/>
            <w:bookmarkEnd w:id="83"/>
            <w:bookmarkEnd w:id="84"/>
            <w:bookmarkEnd w:id="85"/>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4" w:hRule="exact"/>
        </w:trPr>
        <w:tc>
          <w:tcPr>
            <w:tcW w:w="1626"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bookmarkStart w:id="86" w:name="_Toc382928121"/>
            <w:bookmarkStart w:id="87" w:name="_Toc382928239"/>
            <w:bookmarkStart w:id="88" w:name="_Toc401570317"/>
            <w:bookmarkStart w:id="89" w:name="_Toc381081906"/>
            <w:bookmarkStart w:id="90" w:name="_Toc401570293"/>
            <w:bookmarkStart w:id="91" w:name="_Toc377653979"/>
            <w:bookmarkStart w:id="92" w:name="_Toc377028122"/>
            <w:bookmarkStart w:id="93" w:name="_Toc385854159"/>
            <w:bookmarkStart w:id="94" w:name="_Toc402963098"/>
            <w:bookmarkStart w:id="95" w:name="_Toc402963131"/>
            <w:bookmarkStart w:id="96" w:name="_Toc377028060"/>
            <w:bookmarkStart w:id="97" w:name="_Toc406403004"/>
            <w:bookmarkStart w:id="98" w:name="_Toc406402960"/>
            <w:bookmarkStart w:id="99" w:name="_Toc385854113"/>
            <w:r>
              <w:rPr>
                <w:rFonts w:hint="eastAsia" w:hAnsi="宋体"/>
                <w:color w:val="auto"/>
                <w:highlight w:val="none"/>
              </w:rPr>
              <w:t>项目</w:t>
            </w:r>
            <w:bookmarkEnd w:id="86"/>
            <w:bookmarkEnd w:id="87"/>
            <w:bookmarkEnd w:id="88"/>
            <w:bookmarkEnd w:id="89"/>
            <w:bookmarkEnd w:id="90"/>
            <w:bookmarkEnd w:id="91"/>
            <w:bookmarkEnd w:id="92"/>
            <w:bookmarkEnd w:id="93"/>
            <w:bookmarkEnd w:id="94"/>
            <w:bookmarkEnd w:id="95"/>
            <w:bookmarkEnd w:id="96"/>
            <w:bookmarkEnd w:id="97"/>
            <w:bookmarkEnd w:id="98"/>
            <w:bookmarkEnd w:id="99"/>
          </w:p>
        </w:tc>
        <w:tc>
          <w:tcPr>
            <w:tcW w:w="1626"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bookmarkStart w:id="100" w:name="_Toc377028061"/>
            <w:bookmarkStart w:id="101" w:name="_Toc406402961"/>
            <w:bookmarkStart w:id="102" w:name="_Toc402963099"/>
            <w:bookmarkStart w:id="103" w:name="_Toc406403005"/>
            <w:bookmarkStart w:id="104" w:name="_Toc381081907"/>
            <w:bookmarkStart w:id="105" w:name="_Toc382928240"/>
            <w:bookmarkStart w:id="106" w:name="_Toc401570294"/>
            <w:bookmarkStart w:id="107" w:name="_Toc377653980"/>
            <w:bookmarkStart w:id="108" w:name="_Toc402963132"/>
            <w:bookmarkStart w:id="109" w:name="_Toc382928122"/>
            <w:bookmarkStart w:id="110" w:name="_Toc401570318"/>
            <w:bookmarkStart w:id="111" w:name="_Toc377028123"/>
            <w:bookmarkStart w:id="112" w:name="_Toc385854160"/>
            <w:bookmarkStart w:id="113" w:name="_Toc385854114"/>
            <w:r>
              <w:rPr>
                <w:rFonts w:hint="eastAsia" w:hAnsi="宋体"/>
                <w:color w:val="auto"/>
                <w:highlight w:val="none"/>
              </w:rPr>
              <w:t>要求</w:t>
            </w:r>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p>
        </w:tc>
        <w:tc>
          <w:tcPr>
            <w:tcW w:w="2318"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bookmarkStart w:id="114" w:name="_Toc406403006"/>
            <w:bookmarkStart w:id="115" w:name="_Toc377653981"/>
            <w:bookmarkStart w:id="116" w:name="_Toc402963100"/>
            <w:bookmarkStart w:id="117" w:name="_Toc382928241"/>
            <w:bookmarkStart w:id="118" w:name="_Toc377028124"/>
            <w:bookmarkStart w:id="119" w:name="_Toc401570295"/>
            <w:bookmarkStart w:id="120" w:name="_Toc406402962"/>
            <w:bookmarkStart w:id="121" w:name="_Toc377028062"/>
            <w:bookmarkStart w:id="122" w:name="_Toc381081908"/>
            <w:bookmarkStart w:id="123" w:name="_Toc385854161"/>
            <w:bookmarkStart w:id="124" w:name="_Toc382928123"/>
            <w:bookmarkStart w:id="125" w:name="_Toc401570319"/>
            <w:bookmarkStart w:id="126" w:name="_Toc385854115"/>
            <w:bookmarkStart w:id="127" w:name="_Toc402963133"/>
            <w:r>
              <w:rPr>
                <w:rFonts w:hint="eastAsia" w:hAnsi="宋体"/>
                <w:color w:val="auto"/>
                <w:highlight w:val="none"/>
              </w:rPr>
              <w:t>设备名称</w:t>
            </w:r>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p>
        </w:tc>
        <w:tc>
          <w:tcPr>
            <w:tcW w:w="2784"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bookmarkStart w:id="128" w:name="_Toc402963134"/>
            <w:bookmarkStart w:id="129" w:name="_Toc406403007"/>
            <w:bookmarkStart w:id="130" w:name="_Toc377028125"/>
            <w:bookmarkStart w:id="131" w:name="_Toc382928124"/>
            <w:bookmarkStart w:id="132" w:name="_Toc385854116"/>
            <w:bookmarkStart w:id="133" w:name="_Toc377028063"/>
            <w:bookmarkStart w:id="134" w:name="_Toc385854162"/>
            <w:bookmarkStart w:id="135" w:name="_Toc382928242"/>
            <w:bookmarkStart w:id="136" w:name="_Toc377653982"/>
            <w:bookmarkStart w:id="137" w:name="_Toc401570320"/>
            <w:bookmarkStart w:id="138" w:name="_Toc401570296"/>
            <w:bookmarkStart w:id="139" w:name="_Toc402963101"/>
            <w:bookmarkStart w:id="140" w:name="_Toc406402963"/>
            <w:bookmarkStart w:id="141" w:name="_Toc381081909"/>
            <w:r>
              <w:rPr>
                <w:rFonts w:hint="eastAsia" w:hAnsi="宋体"/>
                <w:color w:val="auto"/>
                <w:highlight w:val="none"/>
              </w:rPr>
              <w:t>性能及指标</w:t>
            </w:r>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p>
        </w:tc>
        <w:tc>
          <w:tcPr>
            <w:tcW w:w="1387"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29" w:hRule="exact"/>
        </w:trPr>
        <w:tc>
          <w:tcPr>
            <w:tcW w:w="1626"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120" w:after="120" w:line="360" w:lineRule="auto"/>
              <w:jc w:val="center"/>
              <w:outlineLvl w:val="0"/>
              <w:rPr>
                <w:rFonts w:hint="eastAsia" w:hAnsi="宋体"/>
                <w:color w:val="auto"/>
                <w:highlight w:val="none"/>
              </w:rPr>
            </w:pPr>
          </w:p>
        </w:tc>
        <w:tc>
          <w:tcPr>
            <w:tcW w:w="1626"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p>
        </w:tc>
        <w:tc>
          <w:tcPr>
            <w:tcW w:w="2318"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p>
        </w:tc>
        <w:tc>
          <w:tcPr>
            <w:tcW w:w="2784"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p>
        </w:tc>
        <w:tc>
          <w:tcPr>
            <w:tcW w:w="1387"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99" w:hRule="exact"/>
        </w:trPr>
        <w:tc>
          <w:tcPr>
            <w:tcW w:w="1626"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120" w:after="120" w:line="360" w:lineRule="auto"/>
              <w:jc w:val="center"/>
              <w:outlineLvl w:val="0"/>
              <w:rPr>
                <w:rFonts w:hint="eastAsia" w:hAnsi="宋体"/>
                <w:color w:val="auto"/>
                <w:highlight w:val="none"/>
              </w:rPr>
            </w:pPr>
          </w:p>
        </w:tc>
        <w:tc>
          <w:tcPr>
            <w:tcW w:w="1626"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p>
        </w:tc>
        <w:tc>
          <w:tcPr>
            <w:tcW w:w="2318"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p>
        </w:tc>
        <w:tc>
          <w:tcPr>
            <w:tcW w:w="2784"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p>
        </w:tc>
        <w:tc>
          <w:tcPr>
            <w:tcW w:w="1387"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Lines="0" w:afterLines="0" w:line="360" w:lineRule="auto"/>
              <w:jc w:val="center"/>
              <w:outlineLvl w:val="0"/>
              <w:rPr>
                <w:rFonts w:hint="eastAsia" w:hAnsi="宋体"/>
                <w:color w:val="auto"/>
                <w:highlight w:val="none"/>
              </w:rPr>
            </w:pPr>
          </w:p>
        </w:tc>
      </w:tr>
    </w:tbl>
    <w:p>
      <w:pPr>
        <w:pStyle w:val="13"/>
        <w:spacing w:line="360" w:lineRule="auto"/>
        <w:rPr>
          <w:rFonts w:hint="eastAsia" w:ascii="宋体" w:hAnsi="宋体"/>
          <w:color w:val="auto"/>
          <w:sz w:val="24"/>
          <w:highlight w:val="none"/>
        </w:rPr>
      </w:pPr>
      <w:r>
        <w:rPr>
          <w:rFonts w:ascii="宋体" w:hAnsi="宋体"/>
          <w:color w:val="auto"/>
          <w:sz w:val="24"/>
          <w:highlight w:val="none"/>
        </w:rPr>
        <w:t>注：投标人应根据投标设备的性能指标、对照招标文件要求在“偏离情况”栏注明“正偏离”、“负偏离”或“无偏离”。</w:t>
      </w:r>
    </w:p>
    <w:p>
      <w:pPr>
        <w:pStyle w:val="13"/>
        <w:spacing w:line="360" w:lineRule="auto"/>
        <w:rPr>
          <w:rFonts w:hint="eastAsia" w:ascii="宋体" w:hAnsi="宋体"/>
          <w:color w:val="auto"/>
          <w:sz w:val="24"/>
          <w:highlight w:val="none"/>
        </w:rPr>
      </w:pPr>
    </w:p>
    <w:p>
      <w:pPr>
        <w:tabs>
          <w:tab w:val="left" w:pos="1418"/>
        </w:tabs>
        <w:spacing w:line="360" w:lineRule="auto"/>
        <w:rPr>
          <w:rFonts w:hint="eastAsia" w:ascii="宋体" w:hAnsi="宋体"/>
          <w:bCs/>
          <w:color w:val="auto"/>
          <w:sz w:val="24"/>
          <w:highlight w:val="none"/>
        </w:rPr>
      </w:pPr>
      <w:r>
        <w:rPr>
          <w:rFonts w:ascii="宋体" w:hAnsi="宋体"/>
          <w:color w:val="auto"/>
          <w:sz w:val="24"/>
          <w:highlight w:val="none"/>
        </w:rPr>
        <w:t>法定代表人或委托代理人签名：</w:t>
      </w:r>
    </w:p>
    <w:p>
      <w:pPr>
        <w:tabs>
          <w:tab w:val="left" w:pos="1418"/>
        </w:tabs>
        <w:spacing w:line="360" w:lineRule="auto"/>
        <w:rPr>
          <w:rFonts w:hint="eastAsia" w:ascii="宋体" w:hAnsi="宋体"/>
          <w:bCs/>
          <w:color w:val="auto"/>
          <w:sz w:val="24"/>
          <w:highlight w:val="none"/>
        </w:rPr>
      </w:pPr>
      <w:r>
        <w:rPr>
          <w:rFonts w:hint="eastAsia" w:ascii="宋体" w:hAnsi="宋体"/>
          <w:bCs/>
          <w:color w:val="auto"/>
          <w:sz w:val="24"/>
          <w:highlight w:val="none"/>
        </w:rPr>
        <w:t xml:space="preserve">投 标 人（盖章）：                              </w:t>
      </w:r>
    </w:p>
    <w:p>
      <w:pPr>
        <w:tabs>
          <w:tab w:val="left" w:pos="1418"/>
        </w:tabs>
        <w:spacing w:line="360" w:lineRule="auto"/>
        <w:jc w:val="right"/>
        <w:rPr>
          <w:rFonts w:hint="eastAsia" w:ascii="宋体" w:hAnsi="宋体"/>
          <w:b/>
          <w:bCs/>
          <w:color w:val="auto"/>
          <w:sz w:val="24"/>
          <w:highlight w:val="none"/>
        </w:rPr>
      </w:pPr>
      <w:r>
        <w:rPr>
          <w:rFonts w:hint="eastAsia" w:ascii="宋体" w:hAnsi="宋体"/>
          <w:bCs/>
          <w:color w:val="auto"/>
          <w:sz w:val="24"/>
          <w:highlight w:val="none"/>
        </w:rPr>
        <w:t>年  月  日</w:t>
      </w:r>
    </w:p>
    <w:p>
      <w:pPr>
        <w:snapToGrid w:val="0"/>
        <w:spacing w:before="50" w:after="120" w:afterLines="50" w:line="360" w:lineRule="auto"/>
        <w:jc w:val="left"/>
        <w:rPr>
          <w:rFonts w:hint="eastAsia" w:ascii="宋体" w:hAnsi="宋体"/>
          <w:color w:val="auto"/>
          <w:sz w:val="24"/>
          <w:highlight w:val="none"/>
        </w:rPr>
      </w:pPr>
      <w:r>
        <w:rPr>
          <w:rFonts w:hint="eastAsia" w:ascii="宋体" w:hAnsi="宋体"/>
          <w:color w:val="auto"/>
          <w:sz w:val="24"/>
          <w:highlight w:val="none"/>
          <w:lang w:val="en-US" w:eastAsia="zh-CN"/>
        </w:rPr>
        <w:t>7</w:t>
      </w:r>
      <w:r>
        <w:rPr>
          <w:rFonts w:hint="eastAsia" w:ascii="宋体" w:hAnsi="宋体"/>
          <w:color w:val="auto"/>
          <w:sz w:val="24"/>
          <w:highlight w:val="none"/>
        </w:rPr>
        <w:t>.设备配置清单</w:t>
      </w:r>
    </w:p>
    <w:p>
      <w:pPr>
        <w:pStyle w:val="18"/>
        <w:spacing w:before="120" w:after="120" w:line="360" w:lineRule="auto"/>
        <w:jc w:val="center"/>
        <w:rPr>
          <w:rFonts w:hint="eastAsia" w:hAnsi="宋体"/>
          <w:color w:val="auto"/>
          <w:highlight w:val="none"/>
        </w:rPr>
      </w:pPr>
      <w:r>
        <w:rPr>
          <w:rFonts w:hint="eastAsia" w:hAnsi="宋体"/>
          <w:b/>
          <w:color w:val="auto"/>
          <w:highlight w:val="none"/>
        </w:rPr>
        <w:t>设备配置清单</w:t>
      </w: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r>
              <w:rPr>
                <w:rFonts w:hint="eastAsia" w:ascii="宋体" w:hAnsi="宋体"/>
                <w:color w:val="auto"/>
                <w:sz w:val="24"/>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r>
              <w:rPr>
                <w:rFonts w:hint="eastAsia" w:ascii="宋体" w:hAnsi="宋体"/>
                <w:color w:val="auto"/>
                <w:sz w:val="24"/>
                <w:highlight w:val="none"/>
              </w:rPr>
              <w:t>设备名称</w:t>
            </w:r>
          </w:p>
        </w:tc>
        <w:tc>
          <w:tcPr>
            <w:tcW w:w="83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r>
              <w:rPr>
                <w:rFonts w:hint="eastAsia" w:ascii="宋体" w:hAnsi="宋体"/>
                <w:color w:val="auto"/>
                <w:sz w:val="24"/>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r>
              <w:rPr>
                <w:rFonts w:hint="eastAsia" w:ascii="宋体" w:hAnsi="宋体"/>
                <w:color w:val="auto"/>
                <w:sz w:val="24"/>
                <w:highlight w:val="none"/>
              </w:rPr>
              <w:t>产地</w:t>
            </w:r>
          </w:p>
        </w:tc>
        <w:tc>
          <w:tcPr>
            <w:tcW w:w="14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r>
              <w:rPr>
                <w:rFonts w:hint="eastAsia" w:ascii="宋体" w:hAnsi="宋体"/>
                <w:color w:val="auto"/>
                <w:sz w:val="24"/>
                <w:highlight w:val="none"/>
              </w:rPr>
              <w:t>规格型号</w:t>
            </w:r>
          </w:p>
          <w:p>
            <w:pPr>
              <w:snapToGrid w:val="0"/>
              <w:spacing w:before="50" w:after="50" w:line="360" w:lineRule="auto"/>
              <w:jc w:val="center"/>
              <w:rPr>
                <w:rFonts w:hint="eastAsia" w:ascii="宋体" w:hAnsi="宋体"/>
                <w:color w:val="auto"/>
                <w:sz w:val="24"/>
                <w:highlight w:val="none"/>
              </w:rPr>
            </w:pPr>
            <w:r>
              <w:rPr>
                <w:rFonts w:hint="eastAsia" w:ascii="宋体" w:hAnsi="宋体"/>
                <w:color w:val="auto"/>
                <w:sz w:val="24"/>
                <w:highlight w:val="none"/>
              </w:rPr>
              <w:t>性能及指标</w:t>
            </w:r>
          </w:p>
        </w:tc>
        <w:tc>
          <w:tcPr>
            <w:tcW w:w="2227"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r>
              <w:rPr>
                <w:rFonts w:hint="eastAsia" w:ascii="宋体" w:hAnsi="宋体"/>
                <w:color w:val="auto"/>
                <w:sz w:val="24"/>
                <w:highlight w:val="none"/>
              </w:rPr>
              <w:t>数量及单位</w:t>
            </w:r>
          </w:p>
        </w:tc>
        <w:tc>
          <w:tcPr>
            <w:tcW w:w="108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r>
              <w:rPr>
                <w:rFonts w:hint="eastAsia" w:ascii="宋体" w:hAnsi="宋体"/>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p>
        </w:tc>
        <w:tc>
          <w:tcPr>
            <w:tcW w:w="16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ind w:left="480" w:hanging="480"/>
              <w:jc w:val="center"/>
              <w:rPr>
                <w:rFonts w:hint="eastAsia" w:ascii="宋体" w:hAnsi="宋体"/>
                <w:color w:val="auto"/>
                <w:sz w:val="24"/>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p>
        </w:tc>
        <w:tc>
          <w:tcPr>
            <w:tcW w:w="16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ind w:left="480" w:hanging="480"/>
              <w:jc w:val="center"/>
              <w:rPr>
                <w:rFonts w:hint="eastAsia" w:ascii="宋体" w:hAnsi="宋体"/>
                <w:color w:val="auto"/>
                <w:sz w:val="24"/>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line="360" w:lineRule="auto"/>
              <w:jc w:val="center"/>
              <w:rPr>
                <w:rFonts w:hint="eastAsia" w:ascii="宋体" w:hAnsi="宋体"/>
                <w:color w:val="auto"/>
                <w:sz w:val="24"/>
                <w:highlight w:val="none"/>
              </w:rPr>
            </w:pPr>
          </w:p>
        </w:tc>
      </w:tr>
    </w:tbl>
    <w:p>
      <w:pPr>
        <w:tabs>
          <w:tab w:val="left" w:pos="1418"/>
        </w:tabs>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注：请对照采购内容清单序列编制上表，表格行数不够可自行添加。表述需细化的可附具体的介绍图文资料。▲以上内容不得含有报价。</w:t>
      </w:r>
    </w:p>
    <w:p>
      <w:pPr>
        <w:tabs>
          <w:tab w:val="left" w:pos="1418"/>
        </w:tabs>
        <w:spacing w:line="360" w:lineRule="auto"/>
        <w:ind w:firstLine="240" w:firstLineChars="100"/>
        <w:rPr>
          <w:rFonts w:hint="eastAsia" w:ascii="宋体" w:hAnsi="宋体"/>
          <w:color w:val="auto"/>
          <w:sz w:val="24"/>
          <w:highlight w:val="none"/>
        </w:rPr>
      </w:pPr>
    </w:p>
    <w:p>
      <w:pPr>
        <w:tabs>
          <w:tab w:val="left" w:pos="1418"/>
        </w:tabs>
        <w:spacing w:line="360" w:lineRule="auto"/>
        <w:ind w:firstLine="240" w:firstLineChars="100"/>
        <w:rPr>
          <w:rFonts w:hint="eastAsia" w:ascii="宋体" w:hAnsi="宋体"/>
          <w:bCs/>
          <w:color w:val="auto"/>
          <w:sz w:val="24"/>
          <w:highlight w:val="none"/>
        </w:rPr>
      </w:pPr>
      <w:r>
        <w:rPr>
          <w:rFonts w:ascii="宋体" w:hAnsi="宋体"/>
          <w:color w:val="auto"/>
          <w:sz w:val="24"/>
          <w:highlight w:val="none"/>
        </w:rPr>
        <w:t>法定代表人或委托代理人签名：</w:t>
      </w:r>
    </w:p>
    <w:p>
      <w:pPr>
        <w:tabs>
          <w:tab w:val="left" w:pos="1418"/>
        </w:tabs>
        <w:spacing w:line="360" w:lineRule="auto"/>
        <w:ind w:firstLine="240" w:firstLineChars="100"/>
        <w:rPr>
          <w:rFonts w:hint="eastAsia" w:ascii="宋体" w:hAnsi="宋体"/>
          <w:bCs/>
          <w:color w:val="auto"/>
          <w:sz w:val="24"/>
          <w:highlight w:val="none"/>
        </w:rPr>
      </w:pPr>
      <w:r>
        <w:rPr>
          <w:rFonts w:hint="eastAsia" w:ascii="宋体" w:hAnsi="宋体"/>
          <w:bCs/>
          <w:color w:val="auto"/>
          <w:sz w:val="24"/>
          <w:highlight w:val="none"/>
        </w:rPr>
        <w:t>投 标 人（盖章）：                              年  月  日</w:t>
      </w:r>
    </w:p>
    <w:p>
      <w:pPr>
        <w:snapToGrid w:val="0"/>
        <w:spacing w:before="50" w:after="120" w:afterLines="50" w:line="360" w:lineRule="auto"/>
        <w:jc w:val="left"/>
        <w:rPr>
          <w:rFonts w:hint="eastAsia" w:ascii="宋体" w:hAnsi="宋体"/>
          <w:color w:val="auto"/>
          <w:sz w:val="24"/>
          <w:highlight w:val="none"/>
          <w:lang w:val="en-US" w:eastAsia="zh-CN"/>
        </w:rPr>
      </w:pPr>
    </w:p>
    <w:p>
      <w:pPr>
        <w:snapToGrid w:val="0"/>
        <w:spacing w:before="50" w:after="120" w:afterLines="50" w:line="360" w:lineRule="auto"/>
        <w:jc w:val="left"/>
        <w:rPr>
          <w:rFonts w:hint="eastAsia" w:ascii="宋体" w:hAnsi="宋体"/>
          <w:color w:val="auto"/>
          <w:sz w:val="24"/>
          <w:highlight w:val="none"/>
        </w:rPr>
      </w:pPr>
      <w:r>
        <w:rPr>
          <w:rFonts w:hint="eastAsia" w:ascii="宋体" w:hAnsi="宋体"/>
          <w:color w:val="auto"/>
          <w:sz w:val="24"/>
          <w:highlight w:val="none"/>
          <w:lang w:val="en-US" w:eastAsia="zh-CN"/>
        </w:rPr>
        <w:t>8</w:t>
      </w:r>
      <w:r>
        <w:rPr>
          <w:rFonts w:hint="eastAsia" w:ascii="宋体" w:hAnsi="宋体"/>
          <w:color w:val="auto"/>
          <w:sz w:val="24"/>
          <w:highlight w:val="none"/>
        </w:rPr>
        <w:t>.项目实施人员一览表</w:t>
      </w:r>
    </w:p>
    <w:p>
      <w:pPr>
        <w:pStyle w:val="18"/>
        <w:spacing w:before="120" w:after="120" w:line="360" w:lineRule="auto"/>
        <w:jc w:val="center"/>
        <w:rPr>
          <w:rFonts w:hint="eastAsia" w:hAnsi="宋体"/>
          <w:b/>
          <w:color w:val="auto"/>
          <w:highlight w:val="none"/>
        </w:rPr>
      </w:pPr>
      <w:r>
        <w:rPr>
          <w:rFonts w:hint="eastAsia" w:hAnsi="宋体"/>
          <w:b/>
          <w:color w:val="auto"/>
          <w:highlight w:val="none"/>
        </w:rPr>
        <w:t>项目实施人员一览表</w:t>
      </w: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68"/>
        <w:gridCol w:w="1227"/>
        <w:gridCol w:w="1109"/>
        <w:gridCol w:w="810"/>
        <w:gridCol w:w="1432"/>
        <w:gridCol w:w="1660"/>
        <w:gridCol w:w="1296"/>
        <w:gridCol w:w="153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668"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rPr>
              <w:t>序号</w:t>
            </w:r>
          </w:p>
        </w:tc>
        <w:tc>
          <w:tcPr>
            <w:tcW w:w="1227"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rPr>
              <w:t>项目组所任职务</w:t>
            </w:r>
          </w:p>
        </w:tc>
        <w:tc>
          <w:tcPr>
            <w:tcW w:w="1109"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rPr>
              <w:t>姓名</w:t>
            </w:r>
          </w:p>
        </w:tc>
        <w:tc>
          <w:tcPr>
            <w:tcW w:w="810"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rPr>
              <w:t>职称</w:t>
            </w:r>
          </w:p>
        </w:tc>
        <w:tc>
          <w:tcPr>
            <w:tcW w:w="1432"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rPr>
              <w:t>专业技术资格</w:t>
            </w:r>
          </w:p>
        </w:tc>
        <w:tc>
          <w:tcPr>
            <w:tcW w:w="1660"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rPr>
              <w:t>专业技术资格证书编号</w:t>
            </w:r>
          </w:p>
        </w:tc>
        <w:tc>
          <w:tcPr>
            <w:tcW w:w="1296"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rPr>
              <w:t>从事本工作时间</w:t>
            </w:r>
          </w:p>
        </w:tc>
        <w:tc>
          <w:tcPr>
            <w:tcW w:w="1539"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rPr>
              <w:t>典型业务</w:t>
            </w:r>
          </w:p>
          <w:p>
            <w:pPr>
              <w:pStyle w:val="20"/>
              <w:spacing w:line="360" w:lineRule="auto"/>
              <w:jc w:val="center"/>
              <w:rPr>
                <w:rFonts w:hint="eastAsia" w:ascii="宋体" w:hAnsi="宋体"/>
                <w:color w:val="auto"/>
                <w:sz w:val="24"/>
                <w:szCs w:val="24"/>
                <w:highlight w:val="none"/>
              </w:rPr>
            </w:pPr>
            <w:r>
              <w:rPr>
                <w:rFonts w:hint="eastAsia" w:ascii="宋体" w:hAnsi="宋体"/>
                <w:color w:val="auto"/>
                <w:sz w:val="24"/>
                <w:szCs w:val="24"/>
                <w:highlight w:val="none"/>
              </w:rPr>
              <w:t>与技术专长</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668"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c>
          <w:tcPr>
            <w:tcW w:w="1109"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c>
          <w:tcPr>
            <w:tcW w:w="810"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c>
          <w:tcPr>
            <w:tcW w:w="1432"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c>
          <w:tcPr>
            <w:tcW w:w="1660" w:type="dxa"/>
            <w:tcBorders>
              <w:top w:val="single" w:color="auto" w:sz="4" w:space="0"/>
              <w:left w:val="single" w:color="auto" w:sz="4" w:space="0"/>
              <w:bottom w:val="single" w:color="auto" w:sz="4" w:space="0"/>
              <w:right w:val="single" w:color="auto" w:sz="4" w:space="0"/>
            </w:tcBorders>
            <w:noWrap/>
          </w:tcPr>
          <w:p>
            <w:pPr>
              <w:pStyle w:val="20"/>
              <w:spacing w:line="360" w:lineRule="auto"/>
              <w:jc w:val="center"/>
              <w:rPr>
                <w:rFonts w:hint="eastAsia" w:ascii="宋体" w:hAnsi="宋体"/>
                <w:color w:val="auto"/>
                <w:sz w:val="24"/>
                <w:szCs w:val="24"/>
                <w:highlight w:val="none"/>
              </w:rPr>
            </w:pPr>
          </w:p>
        </w:tc>
        <w:tc>
          <w:tcPr>
            <w:tcW w:w="1296"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c>
          <w:tcPr>
            <w:tcW w:w="1539"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668"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c>
          <w:tcPr>
            <w:tcW w:w="1109"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c>
          <w:tcPr>
            <w:tcW w:w="810"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c>
          <w:tcPr>
            <w:tcW w:w="1432"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c>
          <w:tcPr>
            <w:tcW w:w="1660" w:type="dxa"/>
            <w:tcBorders>
              <w:top w:val="single" w:color="auto" w:sz="4" w:space="0"/>
              <w:left w:val="single" w:color="auto" w:sz="4" w:space="0"/>
              <w:bottom w:val="single" w:color="auto" w:sz="4" w:space="0"/>
              <w:right w:val="single" w:color="auto" w:sz="4" w:space="0"/>
            </w:tcBorders>
            <w:noWrap/>
          </w:tcPr>
          <w:p>
            <w:pPr>
              <w:pStyle w:val="20"/>
              <w:spacing w:line="360" w:lineRule="auto"/>
              <w:jc w:val="center"/>
              <w:rPr>
                <w:rFonts w:hint="eastAsia" w:ascii="宋体" w:hAnsi="宋体"/>
                <w:color w:val="auto"/>
                <w:sz w:val="24"/>
                <w:szCs w:val="24"/>
                <w:highlight w:val="none"/>
              </w:rPr>
            </w:pPr>
          </w:p>
        </w:tc>
        <w:tc>
          <w:tcPr>
            <w:tcW w:w="1296"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c>
          <w:tcPr>
            <w:tcW w:w="1539" w:type="dxa"/>
            <w:tcBorders>
              <w:top w:val="single" w:color="auto" w:sz="4" w:space="0"/>
              <w:left w:val="single" w:color="auto" w:sz="4" w:space="0"/>
              <w:bottom w:val="single" w:color="auto" w:sz="4" w:space="0"/>
              <w:right w:val="single" w:color="auto" w:sz="4" w:space="0"/>
            </w:tcBorders>
            <w:noWrap/>
            <w:vAlign w:val="center"/>
          </w:tcPr>
          <w:p>
            <w:pPr>
              <w:pStyle w:val="20"/>
              <w:spacing w:line="360" w:lineRule="auto"/>
              <w:jc w:val="center"/>
              <w:rPr>
                <w:rFonts w:hint="eastAsia" w:ascii="宋体" w:hAnsi="宋体"/>
                <w:color w:val="auto"/>
                <w:sz w:val="24"/>
                <w:szCs w:val="24"/>
                <w:highlight w:val="none"/>
              </w:rPr>
            </w:pPr>
          </w:p>
        </w:tc>
      </w:tr>
    </w:tbl>
    <w:p>
      <w:pPr>
        <w:spacing w:line="360" w:lineRule="auto"/>
        <w:rPr>
          <w:rFonts w:hint="eastAsia" w:ascii="宋体" w:hAnsi="宋体"/>
          <w:color w:val="auto"/>
          <w:sz w:val="24"/>
          <w:highlight w:val="none"/>
        </w:rPr>
      </w:pPr>
      <w:r>
        <w:rPr>
          <w:rFonts w:hint="eastAsia" w:ascii="宋体" w:hAnsi="宋体"/>
          <w:color w:val="auto"/>
          <w:sz w:val="24"/>
          <w:highlight w:val="none"/>
        </w:rPr>
        <w:t>注：1、“项目实施人员”指投标人针对该项目的销售、培训、售后服务等完成本项目所配备的人员。</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2、附各专业人员简历及相关证明材料复印件</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3、表格不够填写可添加。</w:t>
      </w:r>
    </w:p>
    <w:p>
      <w:pPr>
        <w:tabs>
          <w:tab w:val="left" w:pos="1418"/>
        </w:tabs>
        <w:spacing w:line="360" w:lineRule="auto"/>
        <w:rPr>
          <w:rFonts w:hint="eastAsia" w:ascii="宋体" w:hAnsi="宋体"/>
          <w:color w:val="auto"/>
          <w:sz w:val="24"/>
          <w:highlight w:val="none"/>
        </w:rPr>
      </w:pPr>
    </w:p>
    <w:p>
      <w:pPr>
        <w:tabs>
          <w:tab w:val="left" w:pos="1418"/>
        </w:tabs>
        <w:spacing w:line="360" w:lineRule="auto"/>
        <w:rPr>
          <w:rFonts w:hint="eastAsia" w:ascii="宋体" w:hAnsi="宋体"/>
          <w:bCs/>
          <w:color w:val="auto"/>
          <w:sz w:val="24"/>
          <w:highlight w:val="none"/>
        </w:rPr>
      </w:pPr>
      <w:r>
        <w:rPr>
          <w:rFonts w:ascii="宋体" w:hAnsi="宋体"/>
          <w:color w:val="auto"/>
          <w:sz w:val="24"/>
          <w:highlight w:val="none"/>
        </w:rPr>
        <w:t>法定代表人或委托代理人签名：</w:t>
      </w:r>
    </w:p>
    <w:p>
      <w:pPr>
        <w:tabs>
          <w:tab w:val="left" w:pos="1418"/>
        </w:tabs>
        <w:spacing w:line="360" w:lineRule="auto"/>
        <w:rPr>
          <w:rFonts w:hint="eastAsia" w:ascii="宋体" w:hAnsi="宋体"/>
          <w:bCs/>
          <w:color w:val="auto"/>
          <w:sz w:val="24"/>
          <w:highlight w:val="none"/>
        </w:rPr>
      </w:pPr>
      <w:r>
        <w:rPr>
          <w:rFonts w:hint="eastAsia" w:ascii="宋体" w:hAnsi="宋体"/>
          <w:bCs/>
          <w:color w:val="auto"/>
          <w:sz w:val="24"/>
          <w:highlight w:val="none"/>
        </w:rPr>
        <w:t>投 标 人（盖章）：                              年  月  日</w:t>
      </w:r>
    </w:p>
    <w:p>
      <w:pPr>
        <w:snapToGrid w:val="0"/>
        <w:spacing w:line="360" w:lineRule="auto"/>
        <w:rPr>
          <w:rFonts w:hint="eastAsia" w:ascii="宋体" w:hAnsi="宋体" w:cs="仿宋_GB2312"/>
          <w:color w:val="auto"/>
          <w:kern w:val="0"/>
          <w:sz w:val="24"/>
          <w:highlight w:val="none"/>
          <w:lang w:val="zh-CN"/>
        </w:rPr>
      </w:pPr>
      <w:r>
        <w:rPr>
          <w:rFonts w:hint="eastAsia" w:ascii="宋体" w:hAnsi="宋体"/>
          <w:color w:val="auto"/>
          <w:sz w:val="24"/>
          <w:highlight w:val="none"/>
          <w:lang w:val="en-US" w:eastAsia="zh-CN"/>
        </w:rPr>
        <w:t>9</w:t>
      </w:r>
      <w:r>
        <w:rPr>
          <w:rFonts w:hint="eastAsia" w:ascii="宋体" w:hAnsi="宋体"/>
          <w:color w:val="auto"/>
          <w:sz w:val="24"/>
          <w:highlight w:val="none"/>
        </w:rPr>
        <w:t>.同类项目业绩</w:t>
      </w:r>
      <w:r>
        <w:rPr>
          <w:rFonts w:ascii="宋体" w:hAnsi="宋体"/>
          <w:color w:val="auto"/>
          <w:sz w:val="24"/>
          <w:highlight w:val="none"/>
        </w:rPr>
        <w:t>格式</w:t>
      </w:r>
      <w:r>
        <w:rPr>
          <w:rFonts w:hint="eastAsia" w:ascii="宋体" w:hAnsi="宋体"/>
          <w:color w:val="auto"/>
          <w:sz w:val="24"/>
          <w:highlight w:val="none"/>
        </w:rPr>
        <w:t>：</w:t>
      </w:r>
    </w:p>
    <w:p>
      <w:pPr>
        <w:pStyle w:val="18"/>
        <w:spacing w:before="120" w:after="120" w:line="360" w:lineRule="auto"/>
        <w:jc w:val="center"/>
        <w:rPr>
          <w:rFonts w:hint="eastAsia" w:hAnsi="宋体"/>
          <w:b/>
          <w:color w:val="auto"/>
          <w:highlight w:val="none"/>
        </w:rPr>
      </w:pPr>
      <w:r>
        <w:rPr>
          <w:rFonts w:hAnsi="宋体"/>
          <w:b/>
          <w:color w:val="auto"/>
          <w:highlight w:val="none"/>
        </w:rPr>
        <w:t>投标人同类项目实施情况一览表</w:t>
      </w: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4"/>
        <w:gridCol w:w="1314"/>
        <w:gridCol w:w="1415"/>
        <w:gridCol w:w="900"/>
        <w:gridCol w:w="1335"/>
        <w:gridCol w:w="1245"/>
        <w:gridCol w:w="227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30" w:hRule="atLeast"/>
          <w:jc w:val="center"/>
        </w:trPr>
        <w:tc>
          <w:tcPr>
            <w:tcW w:w="774"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hint="eastAsia" w:ascii="宋体" w:hAnsi="宋体"/>
                <w:color w:val="auto"/>
                <w:sz w:val="24"/>
                <w:highlight w:val="none"/>
              </w:rPr>
              <w:t>序号</w:t>
            </w:r>
          </w:p>
        </w:tc>
        <w:tc>
          <w:tcPr>
            <w:tcW w:w="1314"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ascii="宋体" w:hAnsi="宋体"/>
                <w:color w:val="auto"/>
                <w:sz w:val="24"/>
                <w:highlight w:val="none"/>
              </w:rPr>
              <w:t>采购单位名称</w:t>
            </w:r>
          </w:p>
        </w:tc>
        <w:tc>
          <w:tcPr>
            <w:tcW w:w="1415"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ascii="宋体" w:hAnsi="宋体"/>
                <w:color w:val="auto"/>
                <w:sz w:val="24"/>
                <w:highlight w:val="none"/>
              </w:rPr>
              <w:t>项目名称</w:t>
            </w:r>
          </w:p>
        </w:tc>
        <w:tc>
          <w:tcPr>
            <w:tcW w:w="90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ascii="宋体" w:hAnsi="宋体"/>
                <w:color w:val="auto"/>
                <w:sz w:val="24"/>
                <w:highlight w:val="none"/>
              </w:rPr>
              <w:t>采购数量</w:t>
            </w:r>
          </w:p>
        </w:tc>
        <w:tc>
          <w:tcPr>
            <w:tcW w:w="1335"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ascii="宋体" w:hAnsi="宋体"/>
                <w:color w:val="auto"/>
                <w:sz w:val="24"/>
                <w:highlight w:val="none"/>
              </w:rPr>
              <w:t>合同</w:t>
            </w:r>
          </w:p>
          <w:p>
            <w:pPr>
              <w:snapToGrid w:val="0"/>
              <w:spacing w:line="360" w:lineRule="auto"/>
              <w:jc w:val="center"/>
              <w:rPr>
                <w:rFonts w:hint="eastAsia" w:ascii="宋体" w:hAnsi="宋体"/>
                <w:color w:val="auto"/>
                <w:sz w:val="24"/>
                <w:highlight w:val="none"/>
              </w:rPr>
            </w:pPr>
            <w:r>
              <w:rPr>
                <w:rFonts w:ascii="宋体" w:hAnsi="宋体"/>
                <w:color w:val="auto"/>
                <w:sz w:val="24"/>
                <w:highlight w:val="none"/>
              </w:rPr>
              <w:t>金额</w:t>
            </w:r>
            <w:r>
              <w:rPr>
                <w:rFonts w:hint="eastAsia" w:ascii="宋体" w:hAnsi="宋体"/>
                <w:color w:val="auto"/>
                <w:sz w:val="24"/>
                <w:highlight w:val="none"/>
              </w:rPr>
              <w:t>(</w:t>
            </w:r>
            <w:r>
              <w:rPr>
                <w:rFonts w:ascii="宋体" w:hAnsi="宋体"/>
                <w:color w:val="auto"/>
                <w:sz w:val="24"/>
                <w:highlight w:val="none"/>
              </w:rPr>
              <w:t>万元</w:t>
            </w:r>
            <w:r>
              <w:rPr>
                <w:rFonts w:hint="eastAsia" w:ascii="宋体" w:hAnsi="宋体"/>
                <w:color w:val="auto"/>
                <w:sz w:val="24"/>
                <w:highlight w:val="none"/>
              </w:rPr>
              <w:t>)</w:t>
            </w:r>
          </w:p>
        </w:tc>
        <w:tc>
          <w:tcPr>
            <w:tcW w:w="1245"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hint="eastAsia" w:ascii="宋体" w:hAnsi="宋体"/>
                <w:color w:val="auto"/>
                <w:sz w:val="24"/>
                <w:highlight w:val="none"/>
              </w:rPr>
              <w:t>合同复印件</w:t>
            </w:r>
            <w:r>
              <w:rPr>
                <w:rFonts w:ascii="宋体" w:hAnsi="宋体"/>
                <w:color w:val="auto"/>
                <w:sz w:val="24"/>
                <w:highlight w:val="none"/>
              </w:rPr>
              <w:t>页码</w:t>
            </w:r>
          </w:p>
        </w:tc>
        <w:tc>
          <w:tcPr>
            <w:tcW w:w="227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r>
              <w:rPr>
                <w:rFonts w:ascii="宋体" w:hAnsi="宋体"/>
                <w:color w:val="auto"/>
                <w:sz w:val="24"/>
                <w:highlight w:val="none"/>
              </w:rPr>
              <w:t>采购单位联系人及</w:t>
            </w:r>
          </w:p>
          <w:p>
            <w:pPr>
              <w:snapToGrid w:val="0"/>
              <w:spacing w:line="360" w:lineRule="auto"/>
              <w:jc w:val="center"/>
              <w:rPr>
                <w:rFonts w:hint="eastAsia" w:ascii="宋体" w:hAnsi="宋体"/>
                <w:color w:val="auto"/>
                <w:sz w:val="24"/>
                <w:highlight w:val="none"/>
              </w:rPr>
            </w:pPr>
            <w:r>
              <w:rPr>
                <w:rFonts w:ascii="宋体" w:hAnsi="宋体"/>
                <w:color w:val="auto"/>
                <w:sz w:val="24"/>
                <w:highlight w:val="none"/>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5" w:hRule="atLeast"/>
          <w:jc w:val="center"/>
        </w:trPr>
        <w:tc>
          <w:tcPr>
            <w:tcW w:w="774"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olor w:val="auto"/>
                <w:sz w:val="24"/>
                <w:highlight w:val="none"/>
              </w:rPr>
            </w:pPr>
          </w:p>
        </w:tc>
        <w:tc>
          <w:tcPr>
            <w:tcW w:w="1314"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olor w:val="auto"/>
                <w:sz w:val="24"/>
                <w:highlight w:val="none"/>
              </w:rPr>
            </w:pPr>
          </w:p>
        </w:tc>
        <w:tc>
          <w:tcPr>
            <w:tcW w:w="141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olor w:val="auto"/>
                <w:sz w:val="24"/>
                <w:highlight w:val="none"/>
              </w:rPr>
            </w:pPr>
          </w:p>
        </w:tc>
        <w:tc>
          <w:tcPr>
            <w:tcW w:w="90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olor w:val="auto"/>
                <w:sz w:val="24"/>
                <w:highlight w:val="none"/>
              </w:rPr>
            </w:pPr>
          </w:p>
        </w:tc>
        <w:tc>
          <w:tcPr>
            <w:tcW w:w="133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olor w:val="auto"/>
                <w:sz w:val="24"/>
                <w:highlight w:val="none"/>
              </w:rPr>
            </w:pPr>
          </w:p>
        </w:tc>
        <w:tc>
          <w:tcPr>
            <w:tcW w:w="1245"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p>
        </w:tc>
        <w:tc>
          <w:tcPr>
            <w:tcW w:w="2272"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5" w:hRule="atLeast"/>
          <w:jc w:val="center"/>
        </w:trPr>
        <w:tc>
          <w:tcPr>
            <w:tcW w:w="774"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olor w:val="auto"/>
                <w:sz w:val="24"/>
                <w:highlight w:val="none"/>
              </w:rPr>
            </w:pPr>
          </w:p>
        </w:tc>
        <w:tc>
          <w:tcPr>
            <w:tcW w:w="1314"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olor w:val="auto"/>
                <w:sz w:val="24"/>
                <w:highlight w:val="none"/>
              </w:rPr>
            </w:pPr>
          </w:p>
        </w:tc>
        <w:tc>
          <w:tcPr>
            <w:tcW w:w="141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olor w:val="auto"/>
                <w:sz w:val="24"/>
                <w:highlight w:val="none"/>
              </w:rPr>
            </w:pPr>
          </w:p>
        </w:tc>
        <w:tc>
          <w:tcPr>
            <w:tcW w:w="90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olor w:val="auto"/>
                <w:sz w:val="24"/>
                <w:highlight w:val="none"/>
              </w:rPr>
            </w:pPr>
          </w:p>
        </w:tc>
        <w:tc>
          <w:tcPr>
            <w:tcW w:w="133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olor w:val="auto"/>
                <w:sz w:val="24"/>
                <w:highlight w:val="none"/>
              </w:rPr>
            </w:pPr>
          </w:p>
        </w:tc>
        <w:tc>
          <w:tcPr>
            <w:tcW w:w="1245"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hint="eastAsia" w:ascii="宋体" w:hAnsi="宋体"/>
                <w:color w:val="auto"/>
                <w:sz w:val="24"/>
                <w:highlight w:val="none"/>
              </w:rPr>
            </w:pPr>
          </w:p>
        </w:tc>
        <w:tc>
          <w:tcPr>
            <w:tcW w:w="2272"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olor w:val="auto"/>
                <w:sz w:val="24"/>
                <w:highlight w:val="none"/>
              </w:rPr>
            </w:pPr>
          </w:p>
        </w:tc>
      </w:tr>
    </w:tbl>
    <w:p>
      <w:pPr>
        <w:pStyle w:val="10"/>
        <w:snapToGrid w:val="0"/>
        <w:spacing w:line="360" w:lineRule="auto"/>
        <w:rPr>
          <w:rFonts w:hint="eastAsia" w:ascii="宋体" w:hAnsi="宋体" w:eastAsia="宋体" w:cs="Times New Roman"/>
          <w:color w:val="auto"/>
          <w:sz w:val="24"/>
          <w:szCs w:val="24"/>
          <w:highlight w:val="none"/>
        </w:rPr>
      </w:pPr>
      <w:r>
        <w:rPr>
          <w:rFonts w:hint="eastAsia" w:ascii="宋体" w:hAnsi="宋体" w:eastAsia="宋体"/>
          <w:color w:val="auto"/>
          <w:sz w:val="24"/>
          <w:szCs w:val="24"/>
          <w:highlight w:val="none"/>
        </w:rPr>
        <w:t>说明：须提供投标人2021年1月1日以来同类项目业绩（提供合同复印件，以签订时间为准)。</w:t>
      </w:r>
    </w:p>
    <w:p>
      <w:pPr>
        <w:tabs>
          <w:tab w:val="left" w:pos="1418"/>
        </w:tabs>
        <w:spacing w:line="360" w:lineRule="auto"/>
        <w:rPr>
          <w:rFonts w:hint="eastAsia" w:ascii="宋体" w:hAnsi="宋体"/>
          <w:bCs/>
          <w:color w:val="auto"/>
          <w:sz w:val="24"/>
          <w:highlight w:val="none"/>
        </w:rPr>
      </w:pPr>
      <w:r>
        <w:rPr>
          <w:rFonts w:ascii="宋体" w:hAnsi="宋体"/>
          <w:color w:val="auto"/>
          <w:sz w:val="24"/>
          <w:highlight w:val="none"/>
        </w:rPr>
        <w:t>法定代表人或委托代理人签名：</w:t>
      </w:r>
    </w:p>
    <w:p>
      <w:pPr>
        <w:tabs>
          <w:tab w:val="left" w:pos="1418"/>
        </w:tabs>
        <w:spacing w:line="360" w:lineRule="auto"/>
        <w:rPr>
          <w:rFonts w:hint="eastAsia" w:ascii="宋体" w:hAnsi="宋体"/>
          <w:bCs/>
          <w:color w:val="auto"/>
          <w:sz w:val="24"/>
          <w:highlight w:val="none"/>
        </w:rPr>
      </w:pPr>
      <w:r>
        <w:rPr>
          <w:rFonts w:hint="eastAsia" w:ascii="宋体" w:hAnsi="宋体"/>
          <w:bCs/>
          <w:color w:val="auto"/>
          <w:sz w:val="24"/>
          <w:highlight w:val="none"/>
        </w:rPr>
        <w:t>投 标 人（盖章）：                              年  月  日</w:t>
      </w:r>
    </w:p>
    <w:p>
      <w:pPr>
        <w:snapToGrid w:val="0"/>
        <w:spacing w:before="50" w:after="120" w:afterLines="50" w:line="360" w:lineRule="auto"/>
        <w:jc w:val="left"/>
        <w:rPr>
          <w:rFonts w:hint="eastAsia" w:ascii="宋体" w:hAnsi="宋体"/>
          <w:color w:val="auto"/>
          <w:sz w:val="24"/>
          <w:highlight w:val="none"/>
        </w:rPr>
      </w:pPr>
    </w:p>
    <w:p>
      <w:pPr>
        <w:pStyle w:val="5"/>
        <w:rPr>
          <w:rFonts w:hint="eastAsia" w:ascii="宋体" w:hAnsi="宋体"/>
          <w:color w:val="auto"/>
          <w:sz w:val="24"/>
          <w:highlight w:val="none"/>
        </w:rPr>
      </w:pPr>
    </w:p>
    <w:p>
      <w:pPr>
        <w:pStyle w:val="6"/>
        <w:rPr>
          <w:rFonts w:hint="eastAsia" w:ascii="宋体" w:hAnsi="宋体"/>
          <w:color w:val="auto"/>
          <w:sz w:val="24"/>
          <w:highlight w:val="none"/>
        </w:rPr>
      </w:pPr>
    </w:p>
    <w:p>
      <w:pPr>
        <w:pStyle w:val="6"/>
        <w:rPr>
          <w:rFonts w:hint="eastAsia" w:ascii="宋体" w:hAnsi="宋体"/>
          <w:color w:val="auto"/>
          <w:sz w:val="24"/>
          <w:highlight w:val="none"/>
        </w:rPr>
      </w:pPr>
    </w:p>
    <w:p>
      <w:pPr>
        <w:pStyle w:val="6"/>
        <w:rPr>
          <w:rFonts w:hint="eastAsia" w:ascii="宋体" w:hAnsi="宋体"/>
          <w:color w:val="auto"/>
          <w:sz w:val="24"/>
          <w:highlight w:val="none"/>
        </w:rPr>
      </w:pPr>
    </w:p>
    <w:p>
      <w:pPr>
        <w:pStyle w:val="6"/>
        <w:rPr>
          <w:rFonts w:hint="eastAsia" w:ascii="宋体" w:hAnsi="宋体"/>
          <w:color w:val="auto"/>
          <w:sz w:val="24"/>
          <w:highlight w:val="none"/>
        </w:rPr>
      </w:pPr>
    </w:p>
    <w:p>
      <w:pPr>
        <w:pStyle w:val="6"/>
        <w:rPr>
          <w:rFonts w:hint="eastAsia" w:ascii="宋体" w:hAnsi="宋体"/>
          <w:color w:val="auto"/>
          <w:sz w:val="24"/>
          <w:highlight w:val="none"/>
        </w:rPr>
      </w:pPr>
    </w:p>
    <w:p>
      <w:pPr>
        <w:pStyle w:val="6"/>
        <w:rPr>
          <w:rFonts w:hint="eastAsia" w:ascii="宋体" w:hAnsi="宋体"/>
          <w:color w:val="auto"/>
          <w:sz w:val="24"/>
          <w:highlight w:val="none"/>
        </w:rPr>
      </w:pPr>
    </w:p>
    <w:p>
      <w:pPr>
        <w:pStyle w:val="6"/>
        <w:rPr>
          <w:rFonts w:hint="eastAsia" w:ascii="宋体" w:hAnsi="宋体"/>
          <w:color w:val="auto"/>
          <w:sz w:val="24"/>
          <w:highlight w:val="none"/>
        </w:rPr>
      </w:pPr>
    </w:p>
    <w:p>
      <w:pPr>
        <w:pStyle w:val="6"/>
        <w:rPr>
          <w:rFonts w:hint="eastAsia" w:ascii="宋体" w:hAnsi="宋体"/>
          <w:color w:val="auto"/>
          <w:sz w:val="24"/>
          <w:highlight w:val="none"/>
        </w:rPr>
      </w:pPr>
    </w:p>
    <w:p>
      <w:pPr>
        <w:pStyle w:val="6"/>
        <w:rPr>
          <w:rFonts w:hint="eastAsia" w:ascii="宋体" w:hAnsi="宋体"/>
          <w:color w:val="auto"/>
          <w:sz w:val="24"/>
          <w:highlight w:val="none"/>
        </w:rPr>
      </w:pPr>
    </w:p>
    <w:p>
      <w:pPr>
        <w:pStyle w:val="6"/>
        <w:rPr>
          <w:rFonts w:hint="eastAsia" w:ascii="宋体" w:hAnsi="宋体"/>
          <w:color w:val="auto"/>
          <w:sz w:val="24"/>
          <w:highlight w:val="none"/>
        </w:rPr>
      </w:pPr>
    </w:p>
    <w:p>
      <w:pPr>
        <w:pStyle w:val="6"/>
        <w:rPr>
          <w:rFonts w:hint="eastAsia" w:ascii="宋体" w:hAnsi="宋体"/>
          <w:color w:val="auto"/>
          <w:sz w:val="24"/>
          <w:highlight w:val="none"/>
        </w:rPr>
      </w:pPr>
    </w:p>
    <w:p>
      <w:pPr>
        <w:pStyle w:val="6"/>
        <w:rPr>
          <w:rFonts w:hint="eastAsia" w:ascii="宋体" w:hAnsi="宋体"/>
          <w:color w:val="auto"/>
          <w:sz w:val="24"/>
          <w:highlight w:val="none"/>
        </w:rPr>
      </w:pPr>
    </w:p>
    <w:p>
      <w:pPr>
        <w:pStyle w:val="18"/>
        <w:snapToGrid w:val="0"/>
        <w:spacing w:beforeLines="0" w:afterLines="0" w:line="360" w:lineRule="auto"/>
        <w:outlineLvl w:val="1"/>
        <w:rPr>
          <w:rFonts w:hint="eastAsia" w:hAnsi="宋体"/>
          <w:b/>
          <w:color w:val="auto"/>
          <w:highlight w:val="none"/>
        </w:rPr>
      </w:pPr>
      <w:r>
        <w:rPr>
          <w:rFonts w:hint="eastAsia" w:hAnsi="宋体"/>
          <w:b/>
          <w:color w:val="auto"/>
          <w:highlight w:val="none"/>
        </w:rPr>
        <w:t>三、报价文件格式</w:t>
      </w:r>
    </w:p>
    <w:p>
      <w:pPr>
        <w:snapToGrid w:val="0"/>
        <w:spacing w:line="360" w:lineRule="auto"/>
        <w:rPr>
          <w:rFonts w:hint="eastAsia" w:ascii="宋体" w:hAnsi="宋体"/>
          <w:color w:val="auto"/>
          <w:sz w:val="24"/>
          <w:highlight w:val="none"/>
        </w:rPr>
      </w:pPr>
      <w:r>
        <w:rPr>
          <w:rFonts w:hint="eastAsia" w:ascii="宋体" w:hAnsi="宋体"/>
          <w:bCs/>
          <w:color w:val="auto"/>
          <w:sz w:val="24"/>
          <w:highlight w:val="none"/>
        </w:rPr>
        <w:t>1</w:t>
      </w:r>
      <w:r>
        <w:rPr>
          <w:rFonts w:ascii="宋体" w:hAnsi="宋体"/>
          <w:color w:val="auto"/>
          <w:sz w:val="24"/>
          <w:highlight w:val="none"/>
        </w:rPr>
        <w:t>.</w:t>
      </w:r>
      <w:r>
        <w:rPr>
          <w:rFonts w:hint="eastAsia" w:ascii="宋体" w:hAnsi="宋体"/>
          <w:color w:val="auto"/>
          <w:sz w:val="24"/>
          <w:highlight w:val="none"/>
        </w:rPr>
        <w:t>投标报价文件封面格式</w:t>
      </w:r>
    </w:p>
    <w:p>
      <w:pPr>
        <w:snapToGrid w:val="0"/>
        <w:spacing w:line="360" w:lineRule="auto"/>
        <w:rPr>
          <w:rFonts w:hint="eastAsia" w:ascii="宋体" w:hAnsi="宋体"/>
          <w:b/>
          <w:bCs/>
          <w:color w:val="auto"/>
          <w:sz w:val="24"/>
          <w:highlight w:val="none"/>
        </w:rPr>
      </w:pPr>
    </w:p>
    <w:p>
      <w:pPr>
        <w:snapToGrid w:val="0"/>
        <w:spacing w:before="120" w:beforeLines="50" w:line="360" w:lineRule="auto"/>
        <w:jc w:val="center"/>
        <w:rPr>
          <w:rFonts w:hint="eastAsia" w:ascii="宋体" w:hAnsi="宋体"/>
          <w:b/>
          <w:bCs/>
          <w:color w:val="auto"/>
          <w:sz w:val="24"/>
          <w:highlight w:val="none"/>
        </w:rPr>
      </w:pPr>
      <w:r>
        <w:rPr>
          <w:rFonts w:hint="eastAsia" w:ascii="宋体" w:hAnsi="宋体"/>
          <w:b/>
          <w:bCs/>
          <w:color w:val="auto"/>
          <w:sz w:val="24"/>
          <w:highlight w:val="none"/>
        </w:rPr>
        <w:t>投标报价文件</w:t>
      </w:r>
    </w:p>
    <w:p>
      <w:pPr>
        <w:snapToGrid w:val="0"/>
        <w:spacing w:line="360" w:lineRule="auto"/>
        <w:ind w:firstLine="900" w:firstLineChars="375"/>
        <w:rPr>
          <w:rFonts w:hint="eastAsia" w:ascii="宋体" w:hAnsi="宋体"/>
          <w:color w:val="auto"/>
          <w:sz w:val="24"/>
          <w:highlight w:val="none"/>
        </w:rPr>
      </w:pPr>
      <w:r>
        <w:rPr>
          <w:rFonts w:hint="eastAsia" w:ascii="宋体" w:hAnsi="宋体"/>
          <w:bCs/>
          <w:color w:val="auto"/>
          <w:sz w:val="24"/>
          <w:highlight w:val="none"/>
        </w:rPr>
        <w:t>项目名称：</w:t>
      </w:r>
      <w:r>
        <w:rPr>
          <w:rFonts w:hint="eastAsia" w:ascii="宋体" w:hAnsi="宋体"/>
          <w:color w:val="auto"/>
          <w:sz w:val="24"/>
          <w:highlight w:val="none"/>
        </w:rPr>
        <w:t>采购项目</w:t>
      </w:r>
    </w:p>
    <w:p>
      <w:pPr>
        <w:pStyle w:val="9"/>
        <w:snapToGrid w:val="0"/>
        <w:spacing w:line="360" w:lineRule="auto"/>
        <w:ind w:firstLine="900" w:firstLineChars="375"/>
        <w:rPr>
          <w:rFonts w:hint="eastAsia" w:ascii="宋体" w:hAnsi="宋体"/>
          <w:bCs/>
          <w:color w:val="auto"/>
          <w:sz w:val="24"/>
          <w:highlight w:val="none"/>
        </w:rPr>
      </w:pPr>
      <w:r>
        <w:rPr>
          <w:rFonts w:hint="eastAsia" w:ascii="宋体" w:hAnsi="宋体"/>
          <w:bCs/>
          <w:color w:val="auto"/>
          <w:sz w:val="24"/>
          <w:highlight w:val="none"/>
        </w:rPr>
        <w:t>项目编号及标项号：</w:t>
      </w:r>
    </w:p>
    <w:p>
      <w:pPr>
        <w:pStyle w:val="9"/>
        <w:snapToGrid w:val="0"/>
        <w:spacing w:line="360" w:lineRule="auto"/>
        <w:ind w:firstLine="900" w:firstLineChars="375"/>
        <w:rPr>
          <w:rFonts w:hint="eastAsia" w:ascii="宋体" w:hAnsi="宋体"/>
          <w:bCs/>
          <w:color w:val="auto"/>
          <w:sz w:val="24"/>
          <w:highlight w:val="none"/>
        </w:rPr>
      </w:pPr>
      <w:r>
        <w:rPr>
          <w:rFonts w:hint="eastAsia" w:ascii="宋体" w:hAnsi="宋体"/>
          <w:bCs/>
          <w:color w:val="auto"/>
          <w:sz w:val="24"/>
          <w:highlight w:val="none"/>
        </w:rPr>
        <w:t>投标人名称（盖章）：</w:t>
      </w:r>
    </w:p>
    <w:p>
      <w:pPr>
        <w:pStyle w:val="9"/>
        <w:snapToGrid w:val="0"/>
        <w:spacing w:line="360" w:lineRule="auto"/>
        <w:ind w:firstLine="900" w:firstLineChars="375"/>
        <w:rPr>
          <w:rFonts w:hint="eastAsia" w:ascii="宋体" w:hAnsi="宋体"/>
          <w:bCs/>
          <w:color w:val="auto"/>
          <w:sz w:val="24"/>
          <w:highlight w:val="none"/>
        </w:rPr>
      </w:pPr>
      <w:r>
        <w:rPr>
          <w:rFonts w:hint="eastAsia" w:ascii="宋体" w:hAnsi="宋体"/>
          <w:bCs/>
          <w:color w:val="auto"/>
          <w:sz w:val="24"/>
          <w:highlight w:val="none"/>
        </w:rPr>
        <w:t>投标人地址：</w:t>
      </w:r>
    </w:p>
    <w:p>
      <w:pPr>
        <w:snapToGrid w:val="0"/>
        <w:spacing w:line="360" w:lineRule="auto"/>
        <w:ind w:firstLine="3280" w:firstLineChars="1367"/>
        <w:rPr>
          <w:rFonts w:hint="eastAsia" w:ascii="宋体" w:hAnsi="宋体"/>
          <w:color w:val="auto"/>
          <w:sz w:val="24"/>
          <w:highlight w:val="none"/>
        </w:rPr>
      </w:pPr>
      <w:r>
        <w:rPr>
          <w:rFonts w:hint="eastAsia" w:ascii="宋体" w:hAnsi="宋体"/>
          <w:color w:val="auto"/>
          <w:sz w:val="24"/>
          <w:highlight w:val="none"/>
        </w:rPr>
        <w:t>年 月 日</w:t>
      </w:r>
    </w:p>
    <w:p>
      <w:pPr>
        <w:snapToGrid w:val="0"/>
        <w:spacing w:line="360" w:lineRule="auto"/>
        <w:rPr>
          <w:rFonts w:hint="eastAsia" w:ascii="宋体" w:hAnsi="宋体"/>
          <w:bCs/>
          <w:color w:val="auto"/>
          <w:sz w:val="24"/>
          <w:highlight w:val="none"/>
        </w:rPr>
      </w:pPr>
    </w:p>
    <w:p>
      <w:pPr>
        <w:snapToGrid w:val="0"/>
        <w:spacing w:before="120" w:beforeLines="50" w:after="50" w:line="360" w:lineRule="auto"/>
        <w:rPr>
          <w:rFonts w:hint="eastAsia" w:ascii="宋体" w:hAnsi="宋体"/>
          <w:bCs/>
          <w:color w:val="auto"/>
          <w:sz w:val="24"/>
          <w:highlight w:val="none"/>
        </w:rPr>
      </w:pPr>
      <w:r>
        <w:rPr>
          <w:rFonts w:hint="eastAsia" w:ascii="宋体" w:hAnsi="宋体"/>
          <w:bCs/>
          <w:color w:val="auto"/>
          <w:sz w:val="24"/>
          <w:highlight w:val="none"/>
        </w:rPr>
        <w:t>2</w:t>
      </w:r>
      <w:r>
        <w:rPr>
          <w:rFonts w:ascii="宋体" w:hAnsi="宋体"/>
          <w:bCs/>
          <w:color w:val="auto"/>
          <w:sz w:val="24"/>
          <w:highlight w:val="none"/>
        </w:rPr>
        <w:t>.</w:t>
      </w:r>
      <w:r>
        <w:rPr>
          <w:rFonts w:hint="eastAsia" w:ascii="宋体" w:hAnsi="宋体"/>
          <w:bCs/>
          <w:color w:val="auto"/>
          <w:sz w:val="24"/>
          <w:highlight w:val="none"/>
        </w:rPr>
        <w:t>投标报价文件目录（请按照“第三章投标人须知，</w:t>
      </w:r>
      <w:r>
        <w:rPr>
          <w:rFonts w:ascii="宋体" w:hAnsi="宋体"/>
          <w:bCs/>
          <w:color w:val="auto"/>
          <w:sz w:val="24"/>
          <w:highlight w:val="none"/>
        </w:rPr>
        <w:t>三、投标文件的编制</w:t>
      </w:r>
      <w:r>
        <w:rPr>
          <w:rFonts w:hint="eastAsia" w:ascii="宋体" w:hAnsi="宋体"/>
          <w:bCs/>
          <w:color w:val="auto"/>
          <w:sz w:val="24"/>
          <w:highlight w:val="none"/>
        </w:rPr>
        <w:t>”的顺序，结合评标办法自行编制目录）</w:t>
      </w:r>
    </w:p>
    <w:p>
      <w:pPr>
        <w:snapToGrid w:val="0"/>
        <w:spacing w:before="50" w:after="50" w:line="360" w:lineRule="auto"/>
        <w:rPr>
          <w:rFonts w:hint="eastAsia" w:ascii="宋体" w:hAnsi="宋体"/>
          <w:bCs/>
          <w:color w:val="auto"/>
          <w:sz w:val="24"/>
          <w:highlight w:val="none"/>
        </w:rPr>
      </w:pPr>
      <w:r>
        <w:rPr>
          <w:rFonts w:hint="eastAsia" w:ascii="宋体" w:hAnsi="宋体"/>
          <w:bCs/>
          <w:color w:val="auto"/>
          <w:sz w:val="24"/>
          <w:highlight w:val="none"/>
        </w:rPr>
        <w:t>例如：</w:t>
      </w:r>
    </w:p>
    <w:p>
      <w:pPr>
        <w:snapToGrid w:val="0"/>
        <w:spacing w:line="360" w:lineRule="auto"/>
        <w:rPr>
          <w:rFonts w:hint="eastAsia" w:ascii="宋体" w:hAnsi="宋体"/>
          <w:color w:val="auto"/>
          <w:sz w:val="24"/>
          <w:highlight w:val="none"/>
        </w:rPr>
      </w:pPr>
      <w:r>
        <w:rPr>
          <w:rFonts w:hint="eastAsia" w:ascii="宋体" w:hAnsi="宋体"/>
          <w:bCs/>
          <w:color w:val="auto"/>
          <w:sz w:val="24"/>
          <w:highlight w:val="none"/>
        </w:rPr>
        <w:t>报价文件：</w:t>
      </w:r>
    </w:p>
    <w:p>
      <w:pPr>
        <w:snapToGrid w:val="0"/>
        <w:spacing w:line="360" w:lineRule="auto"/>
        <w:jc w:val="center"/>
        <w:rPr>
          <w:rFonts w:hint="eastAsia" w:ascii="宋体" w:hAnsi="宋体"/>
          <w:b/>
          <w:color w:val="auto"/>
          <w:sz w:val="24"/>
          <w:highlight w:val="none"/>
        </w:rPr>
      </w:pPr>
      <w:r>
        <w:rPr>
          <w:rFonts w:hint="eastAsia" w:ascii="宋体" w:hAnsi="宋体"/>
          <w:b/>
          <w:color w:val="auto"/>
          <w:sz w:val="24"/>
          <w:highlight w:val="none"/>
        </w:rPr>
        <w:t>目 录</w:t>
      </w:r>
    </w:p>
    <w:p>
      <w:pPr>
        <w:spacing w:line="360" w:lineRule="auto"/>
        <w:outlineLvl w:val="0"/>
        <w:rPr>
          <w:rFonts w:hint="eastAsia" w:ascii="宋体" w:hAnsi="宋体" w:cs="宋体"/>
          <w:color w:val="auto"/>
          <w:kern w:val="0"/>
          <w:sz w:val="24"/>
          <w:highlight w:val="none"/>
        </w:rPr>
      </w:pPr>
      <w:r>
        <w:rPr>
          <w:rFonts w:hint="eastAsia" w:ascii="宋体" w:hAnsi="宋体" w:cs="宋体"/>
          <w:color w:val="auto"/>
          <w:kern w:val="0"/>
          <w:sz w:val="24"/>
          <w:highlight w:val="none"/>
        </w:rPr>
        <w:t>（1）投标函……………………………………………………………………（页码）</w:t>
      </w:r>
    </w:p>
    <w:p>
      <w:pPr>
        <w:spacing w:line="360" w:lineRule="auto"/>
        <w:outlineLvl w:val="0"/>
        <w:rPr>
          <w:rFonts w:hint="eastAsia" w:ascii="宋体" w:hAnsi="宋体" w:cs="宋体"/>
          <w:color w:val="auto"/>
          <w:kern w:val="0"/>
          <w:sz w:val="24"/>
          <w:highlight w:val="none"/>
        </w:rPr>
      </w:pPr>
      <w:r>
        <w:rPr>
          <w:rFonts w:hint="eastAsia" w:ascii="宋体" w:hAnsi="宋体" w:cs="宋体"/>
          <w:color w:val="auto"/>
          <w:kern w:val="0"/>
          <w:sz w:val="24"/>
          <w:highlight w:val="none"/>
        </w:rPr>
        <w:t>（2）投标（开标）一览表……………………………………………………（页码）</w:t>
      </w:r>
    </w:p>
    <w:p>
      <w:pPr>
        <w:spacing w:line="360" w:lineRule="auto"/>
        <w:outlineLvl w:val="0"/>
        <w:rPr>
          <w:rFonts w:hint="eastAsia" w:ascii="宋体" w:hAnsi="宋体" w:cs="宋体"/>
          <w:color w:val="auto"/>
          <w:kern w:val="0"/>
          <w:sz w:val="24"/>
          <w:highlight w:val="none"/>
        </w:rPr>
      </w:pPr>
      <w:r>
        <w:rPr>
          <w:rFonts w:hint="eastAsia" w:ascii="宋体" w:hAnsi="宋体" w:cs="宋体"/>
          <w:color w:val="auto"/>
          <w:kern w:val="0"/>
          <w:sz w:val="24"/>
          <w:highlight w:val="none"/>
        </w:rPr>
        <w:t>（3）报价明细清单……………………………………………………………（页码）</w:t>
      </w:r>
    </w:p>
    <w:p>
      <w:pPr>
        <w:spacing w:line="360" w:lineRule="auto"/>
        <w:outlineLvl w:val="0"/>
        <w:rPr>
          <w:rFonts w:hint="eastAsia" w:ascii="宋体" w:hAnsi="宋体"/>
          <w:color w:val="auto"/>
          <w:sz w:val="24"/>
          <w:highlight w:val="none"/>
        </w:rPr>
      </w:pPr>
      <w:r>
        <w:rPr>
          <w:rFonts w:hint="eastAsia" w:ascii="宋体" w:hAnsi="宋体" w:cs="宋体"/>
          <w:color w:val="auto"/>
          <w:kern w:val="0"/>
          <w:sz w:val="24"/>
          <w:highlight w:val="none"/>
        </w:rPr>
        <w:t>（4）投标人认为需要的其他报价文件或说明………………………………（页码）</w:t>
      </w: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pStyle w:val="5"/>
        <w:rPr>
          <w:rFonts w:hint="eastAsia" w:ascii="宋体" w:hAnsi="宋体"/>
          <w:color w:val="auto"/>
          <w:sz w:val="24"/>
          <w:highlight w:val="none"/>
        </w:rPr>
      </w:pPr>
    </w:p>
    <w:p>
      <w:pPr>
        <w:rPr>
          <w:color w:val="auto"/>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r>
        <w:rPr>
          <w:rFonts w:hint="eastAsia" w:ascii="宋体" w:hAnsi="宋体"/>
          <w:color w:val="auto"/>
          <w:sz w:val="24"/>
          <w:highlight w:val="none"/>
        </w:rPr>
        <w:t>3.投标函格式：</w:t>
      </w:r>
    </w:p>
    <w:p>
      <w:pPr>
        <w:pStyle w:val="5"/>
        <w:spacing w:line="360" w:lineRule="auto"/>
        <w:jc w:val="center"/>
        <w:rPr>
          <w:rFonts w:hint="eastAsia" w:ascii="宋体" w:hAnsi="宋体" w:eastAsia="宋体"/>
          <w:color w:val="auto"/>
          <w:sz w:val="24"/>
          <w:szCs w:val="24"/>
          <w:highlight w:val="none"/>
        </w:rPr>
      </w:pPr>
      <w:r>
        <w:rPr>
          <w:rFonts w:hint="eastAsia" w:ascii="宋体" w:hAnsi="宋体" w:eastAsia="宋体"/>
          <w:color w:val="auto"/>
          <w:sz w:val="24"/>
          <w:szCs w:val="24"/>
          <w:highlight w:val="none"/>
        </w:rPr>
        <w:t>投标函</w:t>
      </w:r>
    </w:p>
    <w:p>
      <w:pPr>
        <w:spacing w:line="360" w:lineRule="auto"/>
        <w:rPr>
          <w:rFonts w:hint="eastAsia" w:ascii="宋体" w:hAnsi="宋体"/>
          <w:color w:val="auto"/>
          <w:sz w:val="24"/>
          <w:highlight w:val="none"/>
        </w:rPr>
      </w:pPr>
      <w:r>
        <w:rPr>
          <w:rFonts w:ascii="宋体" w:hAnsi="宋体"/>
          <w:color w:val="auto"/>
          <w:sz w:val="24"/>
          <w:highlight w:val="none"/>
        </w:rPr>
        <w:t>致：</w:t>
      </w:r>
      <w:r>
        <w:rPr>
          <w:rFonts w:hint="eastAsia" w:ascii="宋体" w:hAnsi="宋体"/>
          <w:color w:val="auto"/>
          <w:sz w:val="24"/>
          <w:highlight w:val="none"/>
          <w:u w:val="single"/>
        </w:rPr>
        <w:t>上海世外教育附属平湖经开实验小学</w:t>
      </w:r>
      <w:r>
        <w:rPr>
          <w:rFonts w:hint="eastAsia" w:ascii="宋体" w:hAnsi="宋体"/>
          <w:color w:val="auto"/>
          <w:sz w:val="24"/>
          <w:highlight w:val="none"/>
        </w:rPr>
        <w:t>（招标采购单位名称）：</w:t>
      </w:r>
    </w:p>
    <w:p>
      <w:pPr>
        <w:snapToGrid w:val="0"/>
        <w:spacing w:line="360" w:lineRule="auto"/>
        <w:ind w:firstLine="480"/>
        <w:rPr>
          <w:rFonts w:hint="eastAsia" w:ascii="宋体" w:hAnsi="宋体"/>
          <w:color w:val="auto"/>
          <w:sz w:val="24"/>
          <w:highlight w:val="none"/>
        </w:rPr>
      </w:pPr>
      <w:r>
        <w:rPr>
          <w:rFonts w:hint="eastAsia" w:ascii="宋体" w:hAnsi="宋体"/>
          <w:color w:val="auto"/>
          <w:sz w:val="24"/>
          <w:highlight w:val="none"/>
        </w:rPr>
        <w:t>根据贵方为</w:t>
      </w:r>
      <w:r>
        <w:rPr>
          <w:rFonts w:hint="eastAsia" w:ascii="宋体" w:hAnsi="宋体"/>
          <w:color w:val="auto"/>
          <w:sz w:val="24"/>
          <w:highlight w:val="none"/>
          <w:u w:val="single"/>
        </w:rPr>
        <w:t xml:space="preserve">         </w:t>
      </w:r>
      <w:r>
        <w:rPr>
          <w:rFonts w:hint="eastAsia" w:ascii="宋体" w:hAnsi="宋体"/>
          <w:color w:val="auto"/>
          <w:sz w:val="24"/>
          <w:highlight w:val="none"/>
        </w:rPr>
        <w:t>采购项目的公开招标公告（项目编号及标项号：</w:t>
      </w:r>
      <w:r>
        <w:rPr>
          <w:rFonts w:hint="eastAsia" w:ascii="宋体" w:hAnsi="宋体"/>
          <w:color w:val="auto"/>
          <w:sz w:val="24"/>
          <w:highlight w:val="none"/>
          <w:u w:val="single"/>
        </w:rPr>
        <w:t xml:space="preserve">      </w:t>
      </w:r>
      <w:r>
        <w:rPr>
          <w:rFonts w:hint="eastAsia" w:ascii="宋体" w:hAnsi="宋体"/>
          <w:color w:val="auto"/>
          <w:sz w:val="24"/>
          <w:highlight w:val="none"/>
        </w:rPr>
        <w:t>），签字代表</w:t>
      </w:r>
      <w:r>
        <w:rPr>
          <w:rFonts w:hint="eastAsia" w:ascii="宋体" w:hAnsi="宋体"/>
          <w:color w:val="auto"/>
          <w:sz w:val="24"/>
          <w:highlight w:val="none"/>
          <w:u w:val="single"/>
        </w:rPr>
        <w:t xml:space="preserve">          </w:t>
      </w:r>
      <w:r>
        <w:rPr>
          <w:rFonts w:hint="eastAsia" w:ascii="宋体" w:hAnsi="宋体"/>
          <w:color w:val="auto"/>
          <w:sz w:val="24"/>
          <w:highlight w:val="none"/>
        </w:rPr>
        <w:t>（全名）经正式授权并代表投标人</w:t>
      </w:r>
      <w:r>
        <w:rPr>
          <w:rFonts w:hint="eastAsia" w:ascii="宋体" w:hAnsi="宋体"/>
          <w:color w:val="auto"/>
          <w:sz w:val="24"/>
          <w:highlight w:val="none"/>
          <w:u w:val="single"/>
        </w:rPr>
        <w:t xml:space="preserve">      </w:t>
      </w:r>
      <w:r>
        <w:rPr>
          <w:rFonts w:hint="eastAsia" w:ascii="宋体" w:hAnsi="宋体"/>
          <w:color w:val="auto"/>
          <w:sz w:val="24"/>
          <w:highlight w:val="none"/>
        </w:rPr>
        <w:t>（投标人名称）提交资信</w:t>
      </w:r>
      <w:r>
        <w:rPr>
          <w:rFonts w:ascii="宋体" w:hAnsi="宋体"/>
          <w:color w:val="auto"/>
          <w:sz w:val="24"/>
          <w:highlight w:val="none"/>
        </w:rPr>
        <w:t>/</w:t>
      </w:r>
      <w:r>
        <w:rPr>
          <w:rFonts w:hint="eastAsia" w:ascii="宋体" w:hAnsi="宋体"/>
          <w:color w:val="auto"/>
          <w:sz w:val="24"/>
          <w:highlight w:val="none"/>
        </w:rPr>
        <w:t>商务及技术文件、投标报价文件。</w:t>
      </w:r>
    </w:p>
    <w:p>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据此函，签字代表宣布同意如下：</w:t>
      </w:r>
    </w:p>
    <w:p>
      <w:pPr>
        <w:snapToGri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.我方已详细审查全部“招标文件”，包括修改文件（如有的话）以及全部参考资料和有关附件，已经了解我方对于“招标文件”、采购过程、采购结果有依法进行询问、质疑、投诉的权利及相关渠道和要求。</w:t>
      </w:r>
    </w:p>
    <w:p>
      <w:pPr>
        <w:snapToGri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.我方在投标之前已经与贵方进行了充分的沟通，完全理解并接受“招标文件”的各项规定和要求，对“招标文件”的合理性、合法性不再有异议。</w:t>
      </w:r>
    </w:p>
    <w:p>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3.我方同意按照贵方要求提供与投标有关的一切数据或资料。</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4.我方完全理解贵方不一定要接受最低价的投标。</w:t>
      </w:r>
    </w:p>
    <w:p>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5.本投标有效期自开标日起</w:t>
      </w:r>
      <w:r>
        <w:rPr>
          <w:rFonts w:hint="eastAsia" w:ascii="宋体" w:hAnsi="宋体"/>
          <w:color w:val="auto"/>
          <w:sz w:val="24"/>
          <w:highlight w:val="none"/>
          <w:u w:val="single"/>
        </w:rPr>
        <w:t xml:space="preserve">90 </w:t>
      </w:r>
      <w:r>
        <w:rPr>
          <w:rFonts w:hint="eastAsia" w:ascii="宋体" w:hAnsi="宋体"/>
          <w:color w:val="auto"/>
          <w:sz w:val="24"/>
          <w:highlight w:val="none"/>
        </w:rPr>
        <w:t>个日历天。</w:t>
      </w:r>
    </w:p>
    <w:p>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6.如中标，本投标文件至本项目合同履行完毕均保持有效，本投标人将保证忠实地执行双方所签订的合同，并承担合同规定的责任和义务。</w:t>
      </w:r>
    </w:p>
    <w:p>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7.我方将严格遵守《中华人民共和国政府采购法》第七十七条、《</w:t>
      </w:r>
      <w:r>
        <w:rPr>
          <w:rFonts w:ascii="宋体" w:hAnsi="宋体" w:cs="Arial"/>
          <w:bCs/>
          <w:color w:val="auto"/>
          <w:kern w:val="0"/>
          <w:sz w:val="24"/>
          <w:highlight w:val="none"/>
        </w:rPr>
        <w:t>浙江省政府采购供应商注册及诚信管理暂行办法</w:t>
      </w:r>
      <w:r>
        <w:rPr>
          <w:rFonts w:hint="eastAsia" w:ascii="宋体" w:hAnsi="宋体" w:cs="Arial"/>
          <w:bCs/>
          <w:color w:val="auto"/>
          <w:kern w:val="0"/>
          <w:sz w:val="24"/>
          <w:highlight w:val="none"/>
        </w:rPr>
        <w:t>》</w:t>
      </w:r>
      <w:r>
        <w:rPr>
          <w:rFonts w:ascii="宋体" w:hAnsi="宋体" w:cs="Arial"/>
          <w:color w:val="auto"/>
          <w:kern w:val="0"/>
          <w:sz w:val="24"/>
          <w:highlight w:val="none"/>
        </w:rPr>
        <w:t>第三十八条</w:t>
      </w:r>
      <w:r>
        <w:rPr>
          <w:rFonts w:hint="eastAsia" w:ascii="宋体" w:hAnsi="宋体" w:cs="Arial"/>
          <w:color w:val="auto"/>
          <w:kern w:val="0"/>
          <w:sz w:val="24"/>
          <w:highlight w:val="none"/>
        </w:rPr>
        <w:t>、</w:t>
      </w:r>
      <w:r>
        <w:rPr>
          <w:rFonts w:ascii="宋体" w:hAnsi="宋体" w:cs="Arial"/>
          <w:color w:val="auto"/>
          <w:kern w:val="0"/>
          <w:sz w:val="24"/>
          <w:highlight w:val="none"/>
        </w:rPr>
        <w:t>第三十九条</w:t>
      </w:r>
      <w:r>
        <w:rPr>
          <w:rFonts w:hint="eastAsia" w:ascii="宋体" w:hAnsi="宋体" w:cs="Arial"/>
          <w:color w:val="auto"/>
          <w:kern w:val="0"/>
          <w:sz w:val="24"/>
          <w:highlight w:val="none"/>
        </w:rPr>
        <w:t>、</w:t>
      </w:r>
      <w:r>
        <w:rPr>
          <w:rFonts w:ascii="宋体" w:hAnsi="宋体" w:cs="Arial"/>
          <w:color w:val="auto"/>
          <w:kern w:val="0"/>
          <w:sz w:val="24"/>
          <w:highlight w:val="none"/>
        </w:rPr>
        <w:t>第四十条</w:t>
      </w:r>
      <w:r>
        <w:rPr>
          <w:rFonts w:hint="eastAsia" w:ascii="宋体" w:hAnsi="宋体"/>
          <w:color w:val="auto"/>
          <w:sz w:val="24"/>
          <w:highlight w:val="none"/>
        </w:rPr>
        <w:t>规定。</w:t>
      </w:r>
    </w:p>
    <w:p>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8.与本投标有关的一切正式往来信函请寄：</w:t>
      </w:r>
    </w:p>
    <w:p>
      <w:pPr>
        <w:snapToGrid w:val="0"/>
        <w:spacing w:line="360" w:lineRule="auto"/>
        <w:rPr>
          <w:rFonts w:hint="eastAsia" w:ascii="宋体" w:hAnsi="宋体"/>
          <w:color w:val="auto"/>
          <w:sz w:val="24"/>
          <w:highlight w:val="none"/>
          <w:u w:val="single"/>
        </w:rPr>
      </w:pPr>
      <w:r>
        <w:rPr>
          <w:rFonts w:ascii="宋体" w:hAnsi="宋体"/>
          <w:color w:val="auto"/>
          <w:sz w:val="24"/>
          <w:highlight w:val="none"/>
        </w:rPr>
        <w:t>地址：</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r>
        <w:rPr>
          <w:rFonts w:ascii="宋体" w:hAnsi="宋体"/>
          <w:color w:val="auto"/>
          <w:sz w:val="24"/>
          <w:highlight w:val="none"/>
        </w:rPr>
        <w:t>邮编：</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r>
        <w:rPr>
          <w:rFonts w:ascii="宋体" w:hAnsi="宋体"/>
          <w:color w:val="auto"/>
          <w:sz w:val="24"/>
          <w:highlight w:val="none"/>
        </w:rPr>
        <w:t>电话：</w:t>
      </w:r>
      <w:r>
        <w:rPr>
          <w:rFonts w:hint="eastAsia" w:ascii="宋体" w:hAnsi="宋体"/>
          <w:color w:val="auto"/>
          <w:sz w:val="24"/>
          <w:highlight w:val="none"/>
          <w:u w:val="single"/>
        </w:rPr>
        <w:t xml:space="preserve">              </w:t>
      </w:r>
    </w:p>
    <w:p>
      <w:pPr>
        <w:snapToGrid w:val="0"/>
        <w:spacing w:line="360" w:lineRule="auto"/>
        <w:rPr>
          <w:rFonts w:hint="eastAsia" w:ascii="宋体" w:hAnsi="宋体"/>
          <w:color w:val="auto"/>
          <w:sz w:val="24"/>
          <w:highlight w:val="none"/>
          <w:u w:val="single"/>
        </w:rPr>
      </w:pPr>
      <w:r>
        <w:rPr>
          <w:rFonts w:ascii="宋体" w:hAnsi="宋体"/>
          <w:color w:val="auto"/>
          <w:sz w:val="24"/>
          <w:highlight w:val="none"/>
        </w:rPr>
        <w:t>传真：</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r>
        <w:rPr>
          <w:rFonts w:ascii="宋体" w:hAnsi="宋体"/>
          <w:color w:val="auto"/>
          <w:sz w:val="24"/>
          <w:highlight w:val="none"/>
        </w:rPr>
        <w:t>投标人代表姓名</w:t>
      </w:r>
      <w:r>
        <w:rPr>
          <w:rFonts w:hint="eastAsia" w:ascii="宋体" w:hAnsi="宋体"/>
          <w:color w:val="auto"/>
          <w:sz w:val="24"/>
          <w:highlight w:val="none"/>
        </w:rPr>
        <w:t>：</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r>
        <w:rPr>
          <w:rFonts w:ascii="宋体" w:hAnsi="宋体"/>
          <w:color w:val="auto"/>
          <w:sz w:val="24"/>
          <w:highlight w:val="none"/>
        </w:rPr>
        <w:t>职务：</w:t>
      </w:r>
      <w:r>
        <w:rPr>
          <w:rFonts w:hint="eastAsia" w:ascii="宋体" w:hAnsi="宋体"/>
          <w:color w:val="auto"/>
          <w:sz w:val="24"/>
          <w:highlight w:val="none"/>
          <w:u w:val="single"/>
        </w:rPr>
        <w:t xml:space="preserve">          </w:t>
      </w:r>
    </w:p>
    <w:p>
      <w:pPr>
        <w:snapToGrid w:val="0"/>
        <w:spacing w:line="360" w:lineRule="auto"/>
        <w:rPr>
          <w:rFonts w:hint="eastAsia" w:ascii="宋体" w:hAnsi="宋体"/>
          <w:color w:val="auto"/>
          <w:sz w:val="24"/>
          <w:highlight w:val="none"/>
          <w:u w:val="single"/>
        </w:rPr>
      </w:pPr>
      <w:r>
        <w:rPr>
          <w:rFonts w:ascii="宋体" w:hAnsi="宋体"/>
          <w:color w:val="auto"/>
          <w:sz w:val="24"/>
          <w:highlight w:val="none"/>
        </w:rPr>
        <w:t>开户银行：</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rPr>
        <w:t xml:space="preserve"> 银行帐号：</w:t>
      </w:r>
      <w:r>
        <w:rPr>
          <w:rFonts w:hint="eastAsia" w:ascii="宋体" w:hAnsi="宋体"/>
          <w:color w:val="auto"/>
          <w:sz w:val="24"/>
          <w:highlight w:val="none"/>
          <w:u w:val="single"/>
        </w:rPr>
        <w:t xml:space="preserve">                           </w:t>
      </w:r>
    </w:p>
    <w:p>
      <w:pPr>
        <w:tabs>
          <w:tab w:val="left" w:pos="1418"/>
        </w:tabs>
        <w:spacing w:line="360" w:lineRule="auto"/>
        <w:rPr>
          <w:rFonts w:hint="eastAsia" w:ascii="宋体" w:hAnsi="宋体"/>
          <w:bCs/>
          <w:color w:val="auto"/>
          <w:sz w:val="24"/>
          <w:highlight w:val="none"/>
        </w:rPr>
      </w:pPr>
      <w:r>
        <w:rPr>
          <w:rFonts w:ascii="宋体" w:hAnsi="宋体"/>
          <w:color w:val="auto"/>
          <w:sz w:val="24"/>
          <w:highlight w:val="none"/>
        </w:rPr>
        <w:t>法定代表人或委托代理人签名：</w:t>
      </w:r>
    </w:p>
    <w:p>
      <w:pPr>
        <w:tabs>
          <w:tab w:val="left" w:pos="1418"/>
        </w:tabs>
        <w:spacing w:line="360" w:lineRule="auto"/>
        <w:rPr>
          <w:rFonts w:hint="eastAsia" w:ascii="宋体" w:hAnsi="宋体"/>
          <w:b/>
          <w:bCs/>
          <w:color w:val="auto"/>
          <w:sz w:val="24"/>
          <w:highlight w:val="none"/>
        </w:rPr>
      </w:pPr>
      <w:r>
        <w:rPr>
          <w:rFonts w:hint="eastAsia" w:ascii="宋体" w:hAnsi="宋体"/>
          <w:bCs/>
          <w:color w:val="auto"/>
          <w:sz w:val="24"/>
          <w:highlight w:val="none"/>
        </w:rPr>
        <w:t>投 标 人（盖章）：                              年  月  日</w:t>
      </w:r>
    </w:p>
    <w:p>
      <w:pPr>
        <w:spacing w:line="360" w:lineRule="auto"/>
        <w:rPr>
          <w:rFonts w:hint="eastAsia" w:ascii="宋体" w:hAnsi="宋体"/>
          <w:color w:val="auto"/>
          <w:sz w:val="24"/>
          <w:highlight w:val="none"/>
        </w:rPr>
      </w:pPr>
    </w:p>
    <w:p>
      <w:pPr>
        <w:spacing w:line="360" w:lineRule="auto"/>
        <w:outlineLvl w:val="4"/>
        <w:rPr>
          <w:rFonts w:hint="eastAsia" w:ascii="宋体" w:hAnsi="宋体"/>
          <w:color w:val="auto"/>
          <w:sz w:val="24"/>
          <w:highlight w:val="none"/>
        </w:rPr>
      </w:pPr>
    </w:p>
    <w:p>
      <w:pPr>
        <w:spacing w:line="360" w:lineRule="auto"/>
        <w:outlineLvl w:val="4"/>
        <w:rPr>
          <w:rFonts w:hint="eastAsia" w:ascii="宋体" w:hAnsi="宋体"/>
          <w:color w:val="auto"/>
          <w:sz w:val="24"/>
          <w:highlight w:val="none"/>
        </w:rPr>
      </w:pPr>
      <w:r>
        <w:rPr>
          <w:rFonts w:hint="eastAsia" w:ascii="宋体" w:hAnsi="宋体"/>
          <w:color w:val="auto"/>
          <w:sz w:val="24"/>
          <w:highlight w:val="none"/>
        </w:rPr>
        <w:t xml:space="preserve"> </w:t>
      </w:r>
    </w:p>
    <w:p>
      <w:pPr>
        <w:spacing w:line="360" w:lineRule="auto"/>
        <w:outlineLvl w:val="4"/>
        <w:rPr>
          <w:rFonts w:hint="eastAsia" w:ascii="宋体" w:hAnsi="宋体"/>
          <w:color w:val="auto"/>
          <w:sz w:val="24"/>
          <w:highlight w:val="none"/>
        </w:rPr>
      </w:pPr>
      <w:r>
        <w:rPr>
          <w:rFonts w:hint="eastAsia" w:ascii="宋体" w:hAnsi="宋体"/>
          <w:color w:val="auto"/>
          <w:sz w:val="24"/>
          <w:highlight w:val="none"/>
        </w:rPr>
        <w:t>4.</w:t>
      </w:r>
      <w:r>
        <w:rPr>
          <w:rFonts w:hint="eastAsia" w:ascii="宋体" w:hAnsi="宋体" w:cs="宋体"/>
          <w:color w:val="auto"/>
          <w:kern w:val="0"/>
          <w:sz w:val="24"/>
          <w:highlight w:val="none"/>
        </w:rPr>
        <w:t>开标一览表格式：</w:t>
      </w:r>
    </w:p>
    <w:p>
      <w:pPr>
        <w:pStyle w:val="5"/>
        <w:spacing w:line="360" w:lineRule="auto"/>
        <w:jc w:val="center"/>
        <w:rPr>
          <w:rFonts w:hint="eastAsia" w:ascii="宋体" w:hAnsi="宋体" w:eastAsia="宋体"/>
          <w:color w:val="auto"/>
          <w:sz w:val="24"/>
          <w:szCs w:val="24"/>
          <w:highlight w:val="none"/>
        </w:rPr>
      </w:pPr>
      <w:r>
        <w:rPr>
          <w:rFonts w:hint="eastAsia"/>
          <w:color w:val="auto"/>
          <w:highlight w:val="none"/>
        </w:rPr>
        <w:t>开标一览表</w:t>
      </w:r>
    </w:p>
    <w:p>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项目</w:t>
      </w:r>
      <w:r>
        <w:rPr>
          <w:rFonts w:ascii="宋体" w:hAnsi="宋体"/>
          <w:color w:val="auto"/>
          <w:sz w:val="24"/>
          <w:highlight w:val="none"/>
        </w:rPr>
        <w:t>编号：</w:t>
      </w:r>
      <w:r>
        <w:rPr>
          <w:rFonts w:hint="eastAsia" w:ascii="宋体" w:hAnsi="宋体"/>
          <w:color w:val="auto"/>
          <w:sz w:val="24"/>
          <w:highlight w:val="non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r>
        <w:rPr>
          <w:rFonts w:ascii="宋体" w:hAnsi="宋体"/>
          <w:color w:val="auto"/>
          <w:sz w:val="24"/>
          <w:highlight w:val="none"/>
        </w:rPr>
        <w:t>单位：元</w:t>
      </w:r>
    </w:p>
    <w:tbl>
      <w:tblPr>
        <w:tblStyle w:val="27"/>
        <w:tblW w:w="0" w:type="auto"/>
        <w:jc w:val="center"/>
        <w:tblLayout w:type="fixed"/>
        <w:tblCellMar>
          <w:top w:w="0" w:type="dxa"/>
          <w:left w:w="108" w:type="dxa"/>
          <w:bottom w:w="0" w:type="dxa"/>
          <w:right w:w="108" w:type="dxa"/>
        </w:tblCellMar>
      </w:tblPr>
      <w:tblGrid>
        <w:gridCol w:w="2436"/>
        <w:gridCol w:w="1012"/>
        <w:gridCol w:w="1620"/>
        <w:gridCol w:w="3240"/>
        <w:gridCol w:w="1632"/>
      </w:tblGrid>
      <w:tr>
        <w:tblPrEx>
          <w:tblCellMar>
            <w:top w:w="0" w:type="dxa"/>
            <w:left w:w="108" w:type="dxa"/>
            <w:bottom w:w="0" w:type="dxa"/>
            <w:right w:w="108" w:type="dxa"/>
          </w:tblCellMar>
        </w:tblPrEx>
        <w:trPr>
          <w:trHeight w:val="855" w:hRule="atLeast"/>
          <w:jc w:val="center"/>
        </w:trPr>
        <w:tc>
          <w:tcPr>
            <w:tcW w:w="2436"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cs="宋体"/>
                <w:b/>
                <w:color w:val="auto"/>
                <w:kern w:val="0"/>
                <w:sz w:val="24"/>
                <w:highlight w:val="none"/>
              </w:rPr>
            </w:pPr>
            <w:r>
              <w:rPr>
                <w:rFonts w:hint="eastAsia" w:ascii="宋体" w:hAnsi="宋体" w:cs="宋体"/>
                <w:b/>
                <w:color w:val="auto"/>
                <w:kern w:val="0"/>
                <w:sz w:val="24"/>
                <w:highlight w:val="none"/>
              </w:rPr>
              <w:t>采购内容</w:t>
            </w:r>
          </w:p>
        </w:tc>
        <w:tc>
          <w:tcPr>
            <w:tcW w:w="1012"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cs="宋体"/>
                <w:b/>
                <w:color w:val="auto"/>
                <w:kern w:val="0"/>
                <w:sz w:val="24"/>
                <w:highlight w:val="none"/>
              </w:rPr>
            </w:pPr>
            <w:r>
              <w:rPr>
                <w:rFonts w:hint="eastAsia" w:ascii="宋体" w:hAnsi="宋体" w:cs="宋体"/>
                <w:b/>
                <w:color w:val="auto"/>
                <w:kern w:val="0"/>
                <w:sz w:val="24"/>
                <w:highlight w:val="none"/>
              </w:rPr>
              <w:t>数量</w:t>
            </w:r>
          </w:p>
        </w:tc>
        <w:tc>
          <w:tcPr>
            <w:tcW w:w="162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cs="宋体"/>
                <w:b/>
                <w:color w:val="auto"/>
                <w:kern w:val="0"/>
                <w:sz w:val="24"/>
                <w:highlight w:val="none"/>
              </w:rPr>
            </w:pPr>
            <w:r>
              <w:rPr>
                <w:rFonts w:hint="eastAsia" w:ascii="宋体" w:hAnsi="宋体" w:cs="宋体"/>
                <w:b/>
                <w:color w:val="auto"/>
                <w:kern w:val="0"/>
                <w:sz w:val="24"/>
                <w:highlight w:val="none"/>
              </w:rPr>
              <w:t>交货期</w:t>
            </w:r>
          </w:p>
        </w:tc>
        <w:tc>
          <w:tcPr>
            <w:tcW w:w="324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cs="宋体"/>
                <w:b/>
                <w:color w:val="auto"/>
                <w:kern w:val="0"/>
                <w:sz w:val="24"/>
                <w:highlight w:val="none"/>
              </w:rPr>
            </w:pPr>
            <w:r>
              <w:rPr>
                <w:rFonts w:hint="eastAsia" w:ascii="宋体" w:hAnsi="宋体" w:cs="宋体"/>
                <w:b/>
                <w:color w:val="auto"/>
                <w:kern w:val="0"/>
                <w:sz w:val="24"/>
                <w:highlight w:val="none"/>
              </w:rPr>
              <w:t>投标总价</w:t>
            </w:r>
          </w:p>
        </w:tc>
        <w:tc>
          <w:tcPr>
            <w:tcW w:w="1632"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cs="宋体"/>
                <w:b/>
                <w:color w:val="auto"/>
                <w:kern w:val="0"/>
                <w:sz w:val="24"/>
                <w:highlight w:val="none"/>
              </w:rPr>
            </w:pPr>
            <w:r>
              <w:rPr>
                <w:rFonts w:hint="eastAsia" w:ascii="宋体" w:hAnsi="宋体" w:cs="宋体"/>
                <w:b/>
                <w:color w:val="auto"/>
                <w:kern w:val="0"/>
                <w:sz w:val="24"/>
                <w:highlight w:val="none"/>
              </w:rPr>
              <w:t>备注</w:t>
            </w:r>
          </w:p>
        </w:tc>
      </w:tr>
      <w:tr>
        <w:tblPrEx>
          <w:tblCellMar>
            <w:top w:w="0" w:type="dxa"/>
            <w:left w:w="108" w:type="dxa"/>
            <w:bottom w:w="0" w:type="dxa"/>
            <w:right w:w="108" w:type="dxa"/>
          </w:tblCellMar>
        </w:tblPrEx>
        <w:trPr>
          <w:trHeight w:val="1540" w:hRule="atLeast"/>
          <w:jc w:val="center"/>
        </w:trPr>
        <w:tc>
          <w:tcPr>
            <w:tcW w:w="2436"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cs="宋体"/>
                <w:b/>
                <w:color w:val="auto"/>
                <w:kern w:val="0"/>
                <w:sz w:val="24"/>
                <w:highlight w:val="none"/>
              </w:rPr>
            </w:pPr>
          </w:p>
        </w:tc>
        <w:tc>
          <w:tcPr>
            <w:tcW w:w="1012"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cs="宋体"/>
                <w:b/>
                <w:color w:val="auto"/>
                <w:kern w:val="0"/>
                <w:sz w:val="24"/>
                <w:highlight w:val="none"/>
              </w:rPr>
            </w:pPr>
          </w:p>
        </w:tc>
        <w:tc>
          <w:tcPr>
            <w:tcW w:w="162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cs="宋体"/>
                <w:b/>
                <w:color w:val="auto"/>
                <w:kern w:val="0"/>
                <w:sz w:val="24"/>
                <w:highlight w:val="none"/>
              </w:rPr>
            </w:pPr>
          </w:p>
        </w:tc>
        <w:tc>
          <w:tcPr>
            <w:tcW w:w="324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rPr>
                <w:rFonts w:hint="eastAsia" w:ascii="宋体" w:hAnsi="宋体" w:cs="宋体"/>
                <w:b/>
                <w:color w:val="auto"/>
                <w:kern w:val="0"/>
                <w:sz w:val="24"/>
                <w:highlight w:val="none"/>
              </w:rPr>
            </w:pPr>
            <w:r>
              <w:rPr>
                <w:rFonts w:hint="eastAsia" w:ascii="宋体" w:hAnsi="宋体" w:cs="宋体"/>
                <w:b/>
                <w:color w:val="auto"/>
                <w:kern w:val="0"/>
                <w:sz w:val="24"/>
                <w:highlight w:val="none"/>
              </w:rPr>
              <w:t>￥</w:t>
            </w:r>
          </w:p>
        </w:tc>
        <w:tc>
          <w:tcPr>
            <w:tcW w:w="1632"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hint="eastAsia" w:ascii="宋体" w:hAnsi="宋体" w:cs="宋体"/>
                <w:b/>
                <w:color w:val="auto"/>
                <w:kern w:val="0"/>
                <w:sz w:val="24"/>
                <w:highlight w:val="none"/>
              </w:rPr>
            </w:pPr>
          </w:p>
        </w:tc>
      </w:tr>
      <w:tr>
        <w:tblPrEx>
          <w:tblCellMar>
            <w:top w:w="0" w:type="dxa"/>
            <w:left w:w="108" w:type="dxa"/>
            <w:bottom w:w="0" w:type="dxa"/>
            <w:right w:w="108" w:type="dxa"/>
          </w:tblCellMar>
        </w:tblPrEx>
        <w:trPr>
          <w:trHeight w:val="856" w:hRule="atLeast"/>
          <w:jc w:val="center"/>
        </w:trPr>
        <w:tc>
          <w:tcPr>
            <w:tcW w:w="9940" w:type="dxa"/>
            <w:gridSpan w:val="5"/>
            <w:tcBorders>
              <w:top w:val="nil"/>
              <w:left w:val="single" w:color="auto" w:sz="4" w:space="0"/>
              <w:bottom w:val="single" w:color="auto" w:sz="4" w:space="0"/>
              <w:right w:val="single" w:color="auto" w:sz="4" w:space="0"/>
            </w:tcBorders>
            <w:noWrap/>
            <w:vAlign w:val="center"/>
          </w:tcPr>
          <w:p>
            <w:pPr>
              <w:widowControl/>
              <w:spacing w:line="360" w:lineRule="auto"/>
              <w:rPr>
                <w:rFonts w:hint="eastAsia" w:ascii="宋体" w:hAnsi="宋体" w:cs="宋体"/>
                <w:b/>
                <w:color w:val="auto"/>
                <w:kern w:val="0"/>
                <w:sz w:val="24"/>
                <w:highlight w:val="none"/>
              </w:rPr>
            </w:pPr>
            <w:r>
              <w:rPr>
                <w:rFonts w:hint="eastAsia" w:ascii="宋体" w:hAnsi="宋体" w:cs="宋体"/>
                <w:b/>
                <w:color w:val="auto"/>
                <w:kern w:val="0"/>
                <w:sz w:val="24"/>
                <w:highlight w:val="none"/>
              </w:rPr>
              <w:t>投标总价（人民币大写）：</w:t>
            </w:r>
          </w:p>
        </w:tc>
      </w:tr>
    </w:tbl>
    <w:p>
      <w:pPr>
        <w:snapToGrid w:val="0"/>
        <w:spacing w:line="360" w:lineRule="auto"/>
        <w:rPr>
          <w:rFonts w:hint="eastAsia" w:ascii="宋体" w:hAnsi="宋体"/>
          <w:color w:val="auto"/>
          <w:sz w:val="24"/>
          <w:highlight w:val="none"/>
        </w:rPr>
      </w:pPr>
      <w:r>
        <w:rPr>
          <w:rFonts w:ascii="宋体" w:hAnsi="宋体"/>
          <w:b/>
          <w:color w:val="auto"/>
          <w:sz w:val="24"/>
          <w:highlight w:val="none"/>
        </w:rPr>
        <w:t xml:space="preserve">注: </w:t>
      </w:r>
      <w:r>
        <w:rPr>
          <w:rFonts w:ascii="宋体" w:hAnsi="宋体"/>
          <w:color w:val="auto"/>
          <w:sz w:val="24"/>
          <w:highlight w:val="none"/>
        </w:rPr>
        <w:t>1、报价一经涂改，应在涂改处加盖单位公章或者由法定代表人或授权委托人签字或盖章，否则其投标作无效标处理。</w:t>
      </w:r>
    </w:p>
    <w:p>
      <w:pPr>
        <w:snapToGri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2、投标费用包括货款、标准附件、备品备件、专用工具、包装、运输、装卸、保险、税金、货到就位</w:t>
      </w:r>
      <w:r>
        <w:rPr>
          <w:rFonts w:hint="eastAsia" w:ascii="宋体" w:hAnsi="宋体"/>
          <w:color w:val="auto"/>
          <w:sz w:val="24"/>
          <w:highlight w:val="none"/>
        </w:rPr>
        <w:t>、现场保管以及</w:t>
      </w:r>
      <w:r>
        <w:rPr>
          <w:rFonts w:ascii="宋体" w:hAnsi="宋体"/>
          <w:color w:val="auto"/>
          <w:sz w:val="24"/>
          <w:highlight w:val="none"/>
        </w:rPr>
        <w:t>安装、调试、培训、保修等一切税金和费用。</w:t>
      </w:r>
    </w:p>
    <w:p>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w:t>
      </w:r>
      <w:r>
        <w:rPr>
          <w:rFonts w:ascii="宋体" w:hAnsi="宋体"/>
          <w:color w:val="auto"/>
          <w:sz w:val="24"/>
          <w:highlight w:val="none"/>
        </w:rPr>
        <w:t>、以上报价应与“投标设备报价明细表”中的“投标总价”相一致。</w:t>
      </w:r>
    </w:p>
    <w:p>
      <w:pPr>
        <w:tabs>
          <w:tab w:val="left" w:pos="1418"/>
        </w:tabs>
        <w:spacing w:line="360" w:lineRule="auto"/>
        <w:rPr>
          <w:rFonts w:hint="eastAsia" w:ascii="宋体" w:hAnsi="宋体"/>
          <w:color w:val="auto"/>
          <w:sz w:val="24"/>
          <w:highlight w:val="none"/>
        </w:rPr>
      </w:pPr>
    </w:p>
    <w:p>
      <w:pPr>
        <w:tabs>
          <w:tab w:val="left" w:pos="1418"/>
        </w:tabs>
        <w:spacing w:line="360" w:lineRule="auto"/>
        <w:rPr>
          <w:rFonts w:hint="eastAsia" w:ascii="宋体" w:hAnsi="宋体"/>
          <w:bCs/>
          <w:color w:val="auto"/>
          <w:sz w:val="24"/>
          <w:highlight w:val="none"/>
        </w:rPr>
      </w:pPr>
      <w:r>
        <w:rPr>
          <w:rFonts w:ascii="宋体" w:hAnsi="宋体"/>
          <w:color w:val="auto"/>
          <w:sz w:val="24"/>
          <w:highlight w:val="none"/>
        </w:rPr>
        <w:t>法定代表人或委托代理人签名：</w:t>
      </w:r>
    </w:p>
    <w:p>
      <w:pPr>
        <w:tabs>
          <w:tab w:val="left" w:pos="1418"/>
        </w:tabs>
        <w:spacing w:line="360" w:lineRule="auto"/>
        <w:rPr>
          <w:rFonts w:hint="eastAsia" w:ascii="宋体" w:hAnsi="宋体"/>
          <w:b/>
          <w:bCs/>
          <w:color w:val="auto"/>
          <w:sz w:val="24"/>
          <w:highlight w:val="none"/>
        </w:rPr>
      </w:pPr>
      <w:r>
        <w:rPr>
          <w:rFonts w:hint="eastAsia" w:ascii="宋体" w:hAnsi="宋体"/>
          <w:bCs/>
          <w:color w:val="auto"/>
          <w:sz w:val="24"/>
          <w:highlight w:val="none"/>
        </w:rPr>
        <w:t>投 标 人（盖章）：                              年  月  日</w:t>
      </w:r>
    </w:p>
    <w:p>
      <w:pPr>
        <w:adjustRightInd w:val="0"/>
        <w:snapToGrid w:val="0"/>
        <w:spacing w:line="360" w:lineRule="auto"/>
        <w:rPr>
          <w:rFonts w:hint="eastAsia" w:ascii="宋体" w:hAnsi="宋体"/>
          <w:color w:val="auto"/>
          <w:sz w:val="24"/>
          <w:highlight w:val="none"/>
        </w:rPr>
      </w:pPr>
    </w:p>
    <w:p>
      <w:pPr>
        <w:adjustRightInd w:val="0"/>
        <w:snapToGrid w:val="0"/>
        <w:spacing w:line="360" w:lineRule="auto"/>
        <w:rPr>
          <w:rFonts w:hint="eastAsia" w:ascii="宋体" w:hAnsi="宋体"/>
          <w:color w:val="auto"/>
          <w:sz w:val="24"/>
          <w:highlight w:val="none"/>
        </w:rPr>
      </w:pPr>
    </w:p>
    <w:p>
      <w:pPr>
        <w:adjustRightInd w:val="0"/>
        <w:snapToGrid w:val="0"/>
        <w:spacing w:line="360" w:lineRule="auto"/>
        <w:rPr>
          <w:rFonts w:hint="eastAsia" w:ascii="宋体" w:hAnsi="宋体"/>
          <w:color w:val="auto"/>
          <w:sz w:val="24"/>
          <w:highlight w:val="none"/>
        </w:rPr>
      </w:pPr>
    </w:p>
    <w:p>
      <w:pPr>
        <w:pStyle w:val="5"/>
        <w:rPr>
          <w:rFonts w:hint="eastAsia" w:ascii="宋体" w:hAnsi="宋体"/>
          <w:color w:val="auto"/>
          <w:sz w:val="24"/>
          <w:highlight w:val="none"/>
        </w:rPr>
      </w:pPr>
    </w:p>
    <w:p>
      <w:pPr>
        <w:pStyle w:val="6"/>
        <w:ind w:firstLine="480"/>
        <w:rPr>
          <w:rFonts w:hint="eastAsia" w:ascii="宋体" w:hAnsi="宋体"/>
          <w:color w:val="auto"/>
          <w:highlight w:val="none"/>
        </w:rPr>
      </w:pPr>
    </w:p>
    <w:p>
      <w:pPr>
        <w:pStyle w:val="6"/>
        <w:ind w:firstLine="480"/>
        <w:rPr>
          <w:rFonts w:hint="eastAsia" w:ascii="宋体" w:hAnsi="宋体"/>
          <w:color w:val="auto"/>
          <w:highlight w:val="none"/>
        </w:rPr>
      </w:pPr>
    </w:p>
    <w:p>
      <w:pPr>
        <w:pStyle w:val="6"/>
        <w:ind w:firstLine="480"/>
        <w:rPr>
          <w:rFonts w:hint="eastAsia" w:ascii="宋体" w:hAnsi="宋体"/>
          <w:color w:val="auto"/>
          <w:highlight w:val="none"/>
        </w:rPr>
      </w:pPr>
    </w:p>
    <w:p>
      <w:pPr>
        <w:adjustRightInd w:val="0"/>
        <w:snapToGrid w:val="0"/>
        <w:spacing w:line="360" w:lineRule="auto"/>
        <w:rPr>
          <w:rFonts w:hint="eastAsia" w:ascii="宋体" w:hAnsi="宋体"/>
          <w:color w:val="auto"/>
          <w:sz w:val="24"/>
          <w:highlight w:val="none"/>
        </w:rPr>
      </w:pPr>
    </w:p>
    <w:p>
      <w:pPr>
        <w:adjustRightInd w:val="0"/>
        <w:snapToGrid w:val="0"/>
        <w:spacing w:line="360" w:lineRule="auto"/>
        <w:rPr>
          <w:rFonts w:hint="eastAsia" w:ascii="宋体" w:hAnsi="宋体"/>
          <w:color w:val="auto"/>
          <w:sz w:val="24"/>
          <w:highlight w:val="none"/>
        </w:rPr>
      </w:pPr>
      <w:r>
        <w:rPr>
          <w:rFonts w:hint="eastAsia" w:ascii="宋体" w:hAnsi="宋体"/>
          <w:color w:val="auto"/>
          <w:sz w:val="24"/>
          <w:highlight w:val="none"/>
        </w:rPr>
        <w:t>5.报价明细清单格式：</w:t>
      </w:r>
    </w:p>
    <w:p>
      <w:pPr>
        <w:pStyle w:val="5"/>
        <w:spacing w:line="360" w:lineRule="auto"/>
        <w:jc w:val="center"/>
        <w:rPr>
          <w:color w:val="auto"/>
          <w:highlight w:val="none"/>
        </w:rPr>
      </w:pPr>
      <w:r>
        <w:rPr>
          <w:rFonts w:hint="eastAsia"/>
          <w:color w:val="auto"/>
          <w:highlight w:val="none"/>
        </w:rPr>
        <w:t>投 标 报 价 明 细 表</w:t>
      </w:r>
    </w:p>
    <w:p>
      <w:pPr>
        <w:rPr>
          <w:rFonts w:hint="eastAsia" w:ascii="宋体" w:hAnsi="宋体"/>
          <w:color w:val="auto"/>
          <w:sz w:val="24"/>
          <w:highlight w:val="none"/>
        </w:rPr>
      </w:pPr>
      <w:r>
        <w:rPr>
          <w:rFonts w:hint="eastAsia" w:ascii="宋体" w:hAnsi="宋体"/>
          <w:color w:val="auto"/>
          <w:sz w:val="24"/>
          <w:highlight w:val="none"/>
        </w:rPr>
        <w:t>项目</w:t>
      </w:r>
      <w:r>
        <w:rPr>
          <w:rFonts w:ascii="宋体" w:hAnsi="宋体"/>
          <w:color w:val="auto"/>
          <w:sz w:val="24"/>
          <w:highlight w:val="none"/>
        </w:rPr>
        <w:t>编号</w:t>
      </w:r>
      <w:r>
        <w:rPr>
          <w:rFonts w:hint="eastAsia" w:ascii="宋体" w:hAnsi="宋体"/>
          <w:color w:val="auto"/>
          <w:sz w:val="24"/>
          <w:highlight w:val="none"/>
        </w:rPr>
        <w:t>及标项号</w:t>
      </w:r>
      <w:r>
        <w:rPr>
          <w:rFonts w:ascii="宋体" w:hAnsi="宋体"/>
          <w:color w:val="auto"/>
          <w:sz w:val="24"/>
          <w:highlight w:val="none"/>
        </w:rPr>
        <w:t>：</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color w:val="auto"/>
          <w:sz w:val="24"/>
          <w:highlight w:val="none"/>
        </w:rPr>
        <w:t xml:space="preserve"> </w:t>
      </w:r>
      <w:r>
        <w:rPr>
          <w:rFonts w:hint="eastAsia" w:ascii="宋体" w:hAnsi="宋体"/>
          <w:color w:val="auto"/>
          <w:sz w:val="24"/>
          <w:highlight w:val="none"/>
        </w:rPr>
        <w:t xml:space="preserve">                         </w:t>
      </w:r>
      <w:r>
        <w:rPr>
          <w:rFonts w:ascii="宋体" w:hAnsi="宋体"/>
          <w:color w:val="auto"/>
          <w:sz w:val="24"/>
          <w:highlight w:val="none"/>
        </w:rPr>
        <w:t>单位：元</w:t>
      </w:r>
    </w:p>
    <w:p>
      <w:pPr>
        <w:rPr>
          <w:rFonts w:hint="eastAsia" w:ascii="宋体" w:hAnsi="宋体"/>
          <w:color w:val="auto"/>
          <w:sz w:val="24"/>
          <w:highlight w:val="none"/>
        </w:rPr>
      </w:pPr>
    </w:p>
    <w:tbl>
      <w:tblPr>
        <w:tblStyle w:val="27"/>
        <w:tblW w:w="904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3"/>
        <w:gridCol w:w="563"/>
        <w:gridCol w:w="672"/>
        <w:gridCol w:w="852"/>
        <w:gridCol w:w="1029"/>
        <w:gridCol w:w="957"/>
        <w:gridCol w:w="852"/>
        <w:gridCol w:w="891"/>
        <w:gridCol w:w="1277"/>
        <w:gridCol w:w="141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7" w:hRule="atLeast"/>
        </w:trPr>
        <w:tc>
          <w:tcPr>
            <w:tcW w:w="9045" w:type="dxa"/>
            <w:gridSpan w:val="10"/>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
                <w:color w:val="auto"/>
                <w:sz w:val="24"/>
                <w:highlight w:val="none"/>
              </w:rPr>
            </w:pPr>
            <w:r>
              <w:rPr>
                <w:rFonts w:hint="eastAsia" w:ascii="宋体" w:hAnsi="宋体" w:cs="宋体"/>
                <w:bCs/>
                <w:color w:val="auto"/>
                <w:sz w:val="24"/>
                <w:highlight w:val="none"/>
              </w:rPr>
              <w:t>货物类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1096" w:type="dxa"/>
            <w:gridSpan w:val="2"/>
            <w:vMerge w:val="restart"/>
            <w:tcBorders>
              <w:top w:val="single" w:color="auto" w:sz="4" w:space="0"/>
              <w:left w:val="single" w:color="auto" w:sz="4" w:space="0"/>
              <w:bottom w:val="nil"/>
              <w:right w:val="single" w:color="auto" w:sz="4" w:space="0"/>
            </w:tcBorders>
            <w:noWrap/>
            <w:vAlign w:val="center"/>
          </w:tcPr>
          <w:p>
            <w:pPr>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货物</w:t>
            </w:r>
          </w:p>
          <w:p>
            <w:pPr>
              <w:adjustRightInd w:val="0"/>
              <w:snapToGrid w:val="0"/>
              <w:spacing w:after="200"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名称</w:t>
            </w:r>
          </w:p>
        </w:tc>
        <w:tc>
          <w:tcPr>
            <w:tcW w:w="672" w:type="dxa"/>
            <w:vMerge w:val="restart"/>
            <w:tcBorders>
              <w:top w:val="single" w:color="auto" w:sz="4" w:space="0"/>
              <w:left w:val="single" w:color="auto" w:sz="4" w:space="0"/>
              <w:bottom w:val="nil"/>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品牌</w:t>
            </w:r>
          </w:p>
        </w:tc>
        <w:tc>
          <w:tcPr>
            <w:tcW w:w="852" w:type="dxa"/>
            <w:vMerge w:val="restart"/>
            <w:tcBorders>
              <w:top w:val="single" w:color="auto" w:sz="4" w:space="0"/>
              <w:left w:val="single" w:color="auto" w:sz="4" w:space="0"/>
              <w:bottom w:val="nil"/>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产地</w:t>
            </w:r>
          </w:p>
        </w:tc>
        <w:tc>
          <w:tcPr>
            <w:tcW w:w="1029" w:type="dxa"/>
            <w:vMerge w:val="restart"/>
            <w:tcBorders>
              <w:top w:val="single" w:color="auto" w:sz="4" w:space="0"/>
              <w:left w:val="single" w:color="auto" w:sz="4" w:space="0"/>
              <w:bottom w:val="nil"/>
              <w:right w:val="single" w:color="auto" w:sz="4" w:space="0"/>
            </w:tcBorders>
            <w:noWrap/>
            <w:vAlign w:val="center"/>
          </w:tcPr>
          <w:p>
            <w:pPr>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规格</w:t>
            </w:r>
          </w:p>
          <w:p>
            <w:pPr>
              <w:adjustRightInd w:val="0"/>
              <w:snapToGrid w:val="0"/>
              <w:spacing w:after="200"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型号</w:t>
            </w:r>
          </w:p>
        </w:tc>
        <w:tc>
          <w:tcPr>
            <w:tcW w:w="957" w:type="dxa"/>
            <w:vMerge w:val="restart"/>
            <w:tcBorders>
              <w:top w:val="single" w:color="auto" w:sz="4" w:space="0"/>
              <w:left w:val="single" w:color="auto" w:sz="4" w:space="0"/>
              <w:bottom w:val="nil"/>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数量</w:t>
            </w:r>
          </w:p>
        </w:tc>
        <w:tc>
          <w:tcPr>
            <w:tcW w:w="852" w:type="dxa"/>
            <w:vMerge w:val="restart"/>
            <w:tcBorders>
              <w:top w:val="single" w:color="auto" w:sz="4" w:space="0"/>
              <w:left w:val="single" w:color="auto" w:sz="4" w:space="0"/>
              <w:bottom w:val="nil"/>
              <w:right w:val="single" w:color="auto" w:sz="4" w:space="0"/>
            </w:tcBorders>
            <w:noWrap/>
            <w:vAlign w:val="center"/>
          </w:tcPr>
          <w:p>
            <w:pPr>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单价</w:t>
            </w:r>
          </w:p>
          <w:p>
            <w:pPr>
              <w:adjustRightInd w:val="0"/>
              <w:snapToGrid w:val="0"/>
              <w:spacing w:after="200"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（元）</w:t>
            </w:r>
          </w:p>
        </w:tc>
        <w:tc>
          <w:tcPr>
            <w:tcW w:w="891" w:type="dxa"/>
            <w:vMerge w:val="restart"/>
            <w:tcBorders>
              <w:top w:val="single" w:color="auto" w:sz="4" w:space="0"/>
              <w:left w:val="single" w:color="auto" w:sz="4" w:space="0"/>
              <w:bottom w:val="nil"/>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总价（元）</w:t>
            </w:r>
          </w:p>
        </w:tc>
        <w:tc>
          <w:tcPr>
            <w:tcW w:w="2696" w:type="dxa"/>
            <w:gridSpan w:val="2"/>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制造商情况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1096" w:type="dxa"/>
            <w:gridSpan w:val="2"/>
            <w:vMerge w:val="continue"/>
            <w:tcBorders>
              <w:top w:val="single" w:color="auto" w:sz="4" w:space="0"/>
              <w:left w:val="single" w:color="auto" w:sz="4" w:space="0"/>
              <w:bottom w:val="nil"/>
              <w:right w:val="single" w:color="auto" w:sz="4" w:space="0"/>
            </w:tcBorders>
            <w:noWrap/>
            <w:vAlign w:val="center"/>
          </w:tcPr>
          <w:p>
            <w:pPr>
              <w:spacing w:line="360" w:lineRule="auto"/>
              <w:jc w:val="center"/>
              <w:rPr>
                <w:rFonts w:hint="eastAsia" w:ascii="宋体" w:hAnsi="宋体" w:cs="宋体"/>
                <w:bCs/>
                <w:color w:val="auto"/>
                <w:sz w:val="24"/>
                <w:highlight w:val="none"/>
              </w:rPr>
            </w:pPr>
          </w:p>
        </w:tc>
        <w:tc>
          <w:tcPr>
            <w:tcW w:w="672" w:type="dxa"/>
            <w:vMerge w:val="continue"/>
            <w:tcBorders>
              <w:top w:val="single" w:color="auto" w:sz="4" w:space="0"/>
              <w:left w:val="single" w:color="auto" w:sz="4" w:space="0"/>
              <w:bottom w:val="nil"/>
              <w:right w:val="single" w:color="auto" w:sz="4" w:space="0"/>
            </w:tcBorders>
            <w:noWrap/>
            <w:vAlign w:val="center"/>
          </w:tcPr>
          <w:p>
            <w:pPr>
              <w:spacing w:line="360" w:lineRule="auto"/>
              <w:jc w:val="center"/>
              <w:rPr>
                <w:rFonts w:hint="eastAsia" w:ascii="宋体" w:hAnsi="宋体" w:cs="宋体"/>
                <w:bCs/>
                <w:color w:val="auto"/>
                <w:sz w:val="24"/>
                <w:highlight w:val="none"/>
              </w:rPr>
            </w:pPr>
          </w:p>
        </w:tc>
        <w:tc>
          <w:tcPr>
            <w:tcW w:w="852" w:type="dxa"/>
            <w:vMerge w:val="continue"/>
            <w:tcBorders>
              <w:top w:val="single" w:color="auto" w:sz="4" w:space="0"/>
              <w:left w:val="single" w:color="auto" w:sz="4" w:space="0"/>
              <w:bottom w:val="nil"/>
              <w:right w:val="single" w:color="auto" w:sz="4" w:space="0"/>
            </w:tcBorders>
            <w:noWrap/>
            <w:vAlign w:val="center"/>
          </w:tcPr>
          <w:p>
            <w:pPr>
              <w:spacing w:line="360" w:lineRule="auto"/>
              <w:jc w:val="center"/>
              <w:rPr>
                <w:rFonts w:hint="eastAsia" w:ascii="宋体" w:hAnsi="宋体" w:cs="宋体"/>
                <w:bCs/>
                <w:color w:val="auto"/>
                <w:sz w:val="24"/>
                <w:highlight w:val="none"/>
              </w:rPr>
            </w:pPr>
          </w:p>
        </w:tc>
        <w:tc>
          <w:tcPr>
            <w:tcW w:w="1029" w:type="dxa"/>
            <w:vMerge w:val="continue"/>
            <w:tcBorders>
              <w:top w:val="single" w:color="auto" w:sz="4" w:space="0"/>
              <w:left w:val="single" w:color="auto" w:sz="4" w:space="0"/>
              <w:bottom w:val="nil"/>
              <w:right w:val="single" w:color="auto" w:sz="4" w:space="0"/>
            </w:tcBorders>
            <w:noWrap/>
            <w:vAlign w:val="center"/>
          </w:tcPr>
          <w:p>
            <w:pPr>
              <w:spacing w:line="360" w:lineRule="auto"/>
              <w:jc w:val="center"/>
              <w:rPr>
                <w:rFonts w:hint="eastAsia" w:ascii="宋体" w:hAnsi="宋体" w:cs="宋体"/>
                <w:bCs/>
                <w:color w:val="auto"/>
                <w:sz w:val="24"/>
                <w:highlight w:val="none"/>
              </w:rPr>
            </w:pPr>
          </w:p>
        </w:tc>
        <w:tc>
          <w:tcPr>
            <w:tcW w:w="957" w:type="dxa"/>
            <w:vMerge w:val="continue"/>
            <w:tcBorders>
              <w:top w:val="single" w:color="auto" w:sz="4" w:space="0"/>
              <w:left w:val="single" w:color="auto" w:sz="4" w:space="0"/>
              <w:bottom w:val="nil"/>
              <w:right w:val="single" w:color="auto" w:sz="4" w:space="0"/>
            </w:tcBorders>
            <w:noWrap/>
            <w:vAlign w:val="center"/>
          </w:tcPr>
          <w:p>
            <w:pPr>
              <w:spacing w:line="360" w:lineRule="auto"/>
              <w:jc w:val="center"/>
              <w:rPr>
                <w:rFonts w:hint="eastAsia" w:ascii="宋体" w:hAnsi="宋体" w:cs="宋体"/>
                <w:bCs/>
                <w:color w:val="auto"/>
                <w:sz w:val="24"/>
                <w:highlight w:val="none"/>
              </w:rPr>
            </w:pPr>
          </w:p>
        </w:tc>
        <w:tc>
          <w:tcPr>
            <w:tcW w:w="852" w:type="dxa"/>
            <w:vMerge w:val="continue"/>
            <w:tcBorders>
              <w:top w:val="single" w:color="auto" w:sz="4" w:space="0"/>
              <w:left w:val="single" w:color="auto" w:sz="4" w:space="0"/>
              <w:bottom w:val="nil"/>
              <w:right w:val="single" w:color="auto" w:sz="4" w:space="0"/>
            </w:tcBorders>
            <w:noWrap/>
            <w:vAlign w:val="center"/>
          </w:tcPr>
          <w:p>
            <w:pPr>
              <w:spacing w:line="360" w:lineRule="auto"/>
              <w:jc w:val="center"/>
              <w:rPr>
                <w:rFonts w:hint="eastAsia" w:ascii="宋体" w:hAnsi="宋体" w:cs="宋体"/>
                <w:bCs/>
                <w:color w:val="auto"/>
                <w:sz w:val="24"/>
                <w:highlight w:val="none"/>
              </w:rPr>
            </w:pPr>
          </w:p>
        </w:tc>
        <w:tc>
          <w:tcPr>
            <w:tcW w:w="891" w:type="dxa"/>
            <w:vMerge w:val="continue"/>
            <w:tcBorders>
              <w:top w:val="single" w:color="auto" w:sz="4" w:space="0"/>
              <w:left w:val="single" w:color="auto" w:sz="4" w:space="0"/>
              <w:bottom w:val="nil"/>
              <w:right w:val="single" w:color="auto" w:sz="4" w:space="0"/>
            </w:tcBorders>
            <w:noWrap/>
            <w:vAlign w:val="center"/>
          </w:tcPr>
          <w:p>
            <w:pPr>
              <w:spacing w:line="360" w:lineRule="auto"/>
              <w:jc w:val="center"/>
              <w:rPr>
                <w:rFonts w:hint="eastAsia" w:ascii="宋体" w:hAnsi="宋体" w:cs="宋体"/>
                <w:bCs/>
                <w:color w:val="auto"/>
                <w:sz w:val="24"/>
                <w:highlight w:val="none"/>
              </w:rPr>
            </w:pPr>
          </w:p>
        </w:tc>
        <w:tc>
          <w:tcPr>
            <w:tcW w:w="1277" w:type="dxa"/>
            <w:tcBorders>
              <w:top w:val="single" w:color="auto" w:sz="4" w:space="0"/>
              <w:left w:val="single" w:color="auto" w:sz="4" w:space="0"/>
              <w:bottom w:val="nil"/>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是否中小企业</w:t>
            </w:r>
          </w:p>
        </w:tc>
        <w:tc>
          <w:tcPr>
            <w:tcW w:w="1419" w:type="dxa"/>
            <w:tcBorders>
              <w:top w:val="single" w:color="auto" w:sz="4" w:space="0"/>
              <w:left w:val="single" w:color="auto" w:sz="4" w:space="0"/>
              <w:bottom w:val="nil"/>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企业全称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1096" w:type="dxa"/>
            <w:gridSpan w:val="2"/>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w:t>
            </w:r>
          </w:p>
        </w:tc>
        <w:tc>
          <w:tcPr>
            <w:tcW w:w="672"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852"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957"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852"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891"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1277"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1096" w:type="dxa"/>
            <w:gridSpan w:val="2"/>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w:t>
            </w:r>
          </w:p>
        </w:tc>
        <w:tc>
          <w:tcPr>
            <w:tcW w:w="672"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852"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957"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852"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891"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1277"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jc w:val="center"/>
              <w:rPr>
                <w:rFonts w:hint="eastAsia" w:ascii="宋体" w:hAnsi="宋体" w:cs="宋体"/>
                <w:bCs/>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1" w:hRule="atLeast"/>
        </w:trPr>
        <w:tc>
          <w:tcPr>
            <w:tcW w:w="9045" w:type="dxa"/>
            <w:gridSpan w:val="10"/>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rPr>
                <w:rFonts w:hint="eastAsia" w:ascii="宋体" w:hAnsi="宋体" w:cs="宋体"/>
                <w:bCs/>
                <w:color w:val="auto"/>
                <w:sz w:val="24"/>
                <w:highlight w:val="none"/>
              </w:rPr>
            </w:pPr>
            <w:r>
              <w:rPr>
                <w:rFonts w:hint="eastAsia" w:ascii="宋体" w:hAnsi="宋体" w:cs="宋体"/>
                <w:bCs/>
                <w:color w:val="auto"/>
                <w:sz w:val="24"/>
                <w:highlight w:val="none"/>
              </w:rPr>
              <w:t>投标总价合计金额（小写）：￥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1" w:hRule="atLeast"/>
        </w:trPr>
        <w:tc>
          <w:tcPr>
            <w:tcW w:w="9045" w:type="dxa"/>
            <w:gridSpan w:val="10"/>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rPr>
                <w:rFonts w:hint="eastAsia" w:ascii="宋体" w:hAnsi="宋体" w:cs="宋体"/>
                <w:bCs/>
                <w:color w:val="auto"/>
                <w:sz w:val="24"/>
                <w:highlight w:val="none"/>
              </w:rPr>
            </w:pPr>
            <w:r>
              <w:rPr>
                <w:rFonts w:hint="eastAsia" w:ascii="宋体" w:hAnsi="宋体" w:cs="宋体"/>
                <w:bCs/>
                <w:color w:val="auto"/>
                <w:sz w:val="24"/>
                <w:highlight w:val="none"/>
              </w:rPr>
              <w:t>投标总价合计金额（大写）：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1" w:hRule="atLeast"/>
        </w:trPr>
        <w:tc>
          <w:tcPr>
            <w:tcW w:w="533"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after="200" w:line="360" w:lineRule="auto"/>
              <w:rPr>
                <w:rFonts w:hint="eastAsia" w:ascii="宋体" w:hAnsi="宋体" w:cs="宋体"/>
                <w:color w:val="auto"/>
                <w:sz w:val="24"/>
                <w:highlight w:val="none"/>
              </w:rPr>
            </w:pPr>
            <w:r>
              <w:rPr>
                <w:rFonts w:hint="eastAsia" w:ascii="宋体" w:hAnsi="宋体" w:cs="宋体"/>
                <w:color w:val="auto"/>
                <w:sz w:val="24"/>
                <w:highlight w:val="none"/>
              </w:rPr>
              <w:t>备注</w:t>
            </w:r>
          </w:p>
        </w:tc>
        <w:tc>
          <w:tcPr>
            <w:tcW w:w="8512" w:type="dxa"/>
            <w:gridSpan w:val="9"/>
            <w:tcBorders>
              <w:top w:val="single" w:color="auto" w:sz="4" w:space="0"/>
              <w:left w:val="single" w:color="auto" w:sz="4" w:space="0"/>
              <w:bottom w:val="single" w:color="auto" w:sz="4" w:space="0"/>
              <w:right w:val="single" w:color="auto" w:sz="4" w:space="0"/>
            </w:tcBorders>
            <w:noWrap/>
            <w:vAlign w:val="center"/>
          </w:tcPr>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1、此表应按项目的明细情况列项填报,在填写时，如上表不适合本项目的实际情况，可在确保投标明细内容完整的情况下，根据上表格式自行划表填写。</w:t>
            </w:r>
          </w:p>
          <w:p>
            <w:pPr>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2、报价要求：项目费用包括项目实施所需的工程费、工时费、服务费、运输费、安装调试费、税费及其他一切费用。</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3、报价中不允许出现报价优惠等字样,投标总价合计金额应与明细报价汇总相等。</w:t>
            </w:r>
          </w:p>
        </w:tc>
      </w:tr>
    </w:tbl>
    <w:p>
      <w:pPr>
        <w:spacing w:line="400" w:lineRule="exact"/>
        <w:rPr>
          <w:rFonts w:hint="eastAsia" w:ascii="仿宋" w:hAnsi="仿宋" w:eastAsia="仿宋"/>
          <w:color w:val="auto"/>
          <w:sz w:val="24"/>
          <w:highlight w:val="none"/>
        </w:rPr>
      </w:pPr>
    </w:p>
    <w:p>
      <w:pPr>
        <w:tabs>
          <w:tab w:val="left" w:pos="1418"/>
        </w:tabs>
        <w:spacing w:line="360" w:lineRule="auto"/>
        <w:rPr>
          <w:rFonts w:hint="eastAsia" w:ascii="宋体" w:hAnsi="宋体"/>
          <w:bCs/>
          <w:color w:val="auto"/>
          <w:sz w:val="24"/>
          <w:highlight w:val="none"/>
        </w:rPr>
      </w:pPr>
      <w:r>
        <w:rPr>
          <w:rFonts w:ascii="宋体" w:hAnsi="宋体"/>
          <w:color w:val="auto"/>
          <w:sz w:val="24"/>
          <w:highlight w:val="none"/>
        </w:rPr>
        <w:t>法定代表人或委托代理人签名：</w:t>
      </w:r>
    </w:p>
    <w:p>
      <w:pPr>
        <w:tabs>
          <w:tab w:val="left" w:pos="1418"/>
        </w:tabs>
        <w:spacing w:line="360" w:lineRule="auto"/>
        <w:rPr>
          <w:rFonts w:hint="eastAsia" w:ascii="宋体" w:hAnsi="宋体"/>
          <w:bCs/>
          <w:color w:val="auto"/>
          <w:sz w:val="24"/>
          <w:highlight w:val="none"/>
        </w:rPr>
      </w:pPr>
      <w:r>
        <w:rPr>
          <w:rFonts w:hint="eastAsia" w:ascii="宋体" w:hAnsi="宋体"/>
          <w:bCs/>
          <w:color w:val="auto"/>
          <w:sz w:val="24"/>
          <w:highlight w:val="none"/>
        </w:rPr>
        <w:t>投 标 人（盖章）：                              年  月  日</w:t>
      </w: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snapToGrid w:val="0"/>
        <w:spacing w:line="360" w:lineRule="auto"/>
        <w:rPr>
          <w:rFonts w:hint="eastAsia" w:ascii="宋体" w:hAnsi="宋体"/>
          <w:color w:val="auto"/>
          <w:sz w:val="24"/>
          <w:highlight w:val="none"/>
        </w:rPr>
      </w:pPr>
    </w:p>
    <w:p>
      <w:pPr>
        <w:rPr>
          <w:color w:val="auto"/>
          <w:highlight w:val="none"/>
        </w:rPr>
      </w:pPr>
    </w:p>
    <w:sectPr>
      <w:pgSz w:w="11906" w:h="16838"/>
      <w:pgMar w:top="1440" w:right="1797" w:bottom="1440" w:left="1797" w:header="851" w:footer="992" w:gutter="0"/>
      <w:pgBorders>
        <w:top w:val="none" w:sz="0" w:space="0"/>
        <w:left w:val="none" w:sz="0" w:space="0"/>
        <w:bottom w:val="none" w:sz="0" w:space="0"/>
        <w:right w:val="none" w:sz="0" w:space="0"/>
      </w:pgBorders>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auto"/>
    <w:pitch w:val="default"/>
    <w:sig w:usb0="E0002AFF" w:usb1="C0007841" w:usb2="00000009" w:usb3="00000000" w:csb0="400001FF" w:csb1="FFFF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Helvetica">
    <w:altName w:val="Arial"/>
    <w:panose1 w:val="020B0504020202020204"/>
    <w:charset w:val="00"/>
    <w:family w:val="auto"/>
    <w:pitch w:val="default"/>
    <w:sig w:usb0="00000000" w:usb1="00000000" w:usb2="00000000" w:usb3="00000000" w:csb0="0000019F" w:csb1="00000000"/>
  </w:font>
  <w:font w:name="创艺简标宋">
    <w:altName w:val="微软雅黑"/>
    <w:panose1 w:val="00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rPr>
        <w:rStyle w:val="31"/>
      </w:rPr>
    </w:pPr>
    <w:r>
      <w:fldChar w:fldCharType="begin"/>
    </w:r>
    <w:r>
      <w:rPr>
        <w:rStyle w:val="31"/>
      </w:rPr>
      <w:instrText xml:space="preserve">PAGE  </w:instrText>
    </w:r>
    <w:r>
      <w:fldChar w:fldCharType="separate"/>
    </w:r>
    <w:r>
      <w:rPr>
        <w:rStyle w:val="31"/>
      </w:rPr>
      <w:t>58</w:t>
    </w:r>
    <w:r>
      <w:fldChar w:fldCharType="end"/>
    </w:r>
  </w:p>
  <w:p>
    <w:pPr>
      <w:pStyle w:val="2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4F9E9B"/>
    <w:multiLevelType w:val="singleLevel"/>
    <w:tmpl w:val="984F9E9B"/>
    <w:lvl w:ilvl="0" w:tentative="0">
      <w:start w:val="1"/>
      <w:numFmt w:val="decimal"/>
      <w:lvlText w:val="%1."/>
      <w:lvlJc w:val="left"/>
      <w:pPr>
        <w:tabs>
          <w:tab w:val="left" w:pos="312"/>
        </w:tabs>
      </w:pPr>
    </w:lvl>
  </w:abstractNum>
  <w:abstractNum w:abstractNumId="1">
    <w:nsid w:val="A1AA2E40"/>
    <w:multiLevelType w:val="singleLevel"/>
    <w:tmpl w:val="A1AA2E40"/>
    <w:lvl w:ilvl="0" w:tentative="0">
      <w:start w:val="3"/>
      <w:numFmt w:val="chineseCounting"/>
      <w:suff w:val="nothing"/>
      <w:lvlText w:val="%1、"/>
      <w:lvlJc w:val="left"/>
      <w:rPr>
        <w:rFonts w:hint="eastAsia"/>
      </w:rPr>
    </w:lvl>
  </w:abstractNum>
  <w:abstractNum w:abstractNumId="2">
    <w:nsid w:val="D8BDC5A5"/>
    <w:multiLevelType w:val="singleLevel"/>
    <w:tmpl w:val="D8BDC5A5"/>
    <w:lvl w:ilvl="0" w:tentative="0">
      <w:start w:val="9"/>
      <w:numFmt w:val="chineseCounting"/>
      <w:suff w:val="nothing"/>
      <w:lvlText w:val="（%1）"/>
      <w:lvlJc w:val="left"/>
      <w:rPr>
        <w:rFonts w:hint="eastAsia"/>
      </w:rPr>
    </w:lvl>
  </w:abstractNum>
  <w:abstractNum w:abstractNumId="3">
    <w:nsid w:val="F221F3FA"/>
    <w:multiLevelType w:val="singleLevel"/>
    <w:tmpl w:val="F221F3FA"/>
    <w:lvl w:ilvl="0" w:tentative="0">
      <w:start w:val="2"/>
      <w:numFmt w:val="chineseCounting"/>
      <w:suff w:val="space"/>
      <w:lvlText w:val="第%1章"/>
      <w:lvlJc w:val="left"/>
      <w:rPr>
        <w:rFonts w:hint="eastAsia"/>
      </w:rPr>
    </w:lvl>
  </w:abstractNum>
  <w:abstractNum w:abstractNumId="4">
    <w:nsid w:val="57150A10"/>
    <w:multiLevelType w:val="singleLevel"/>
    <w:tmpl w:val="57150A10"/>
    <w:lvl w:ilvl="0" w:tentative="0">
      <w:start w:val="1"/>
      <w:numFmt w:val="chineseCounting"/>
      <w:suff w:val="nothing"/>
      <w:lvlText w:val="%1、"/>
      <w:lvlJc w:val="left"/>
      <w:rPr>
        <w:rFonts w:hint="eastAsia"/>
      </w:rPr>
    </w:lvl>
  </w:abstractNum>
  <w:abstractNum w:abstractNumId="5">
    <w:nsid w:val="7B9BA12D"/>
    <w:multiLevelType w:val="singleLevel"/>
    <w:tmpl w:val="7B9BA12D"/>
    <w:lvl w:ilvl="0" w:tentative="0">
      <w:start w:val="1"/>
      <w:numFmt w:val="decimal"/>
      <w:pStyle w:val="8"/>
      <w:lvlText w:val="%1."/>
      <w:lvlJc w:val="left"/>
      <w:pPr>
        <w:tabs>
          <w:tab w:val="left" w:pos="360"/>
        </w:tabs>
        <w:ind w:left="360" w:hanging="360"/>
      </w:pPr>
    </w:lvl>
  </w:abstractNum>
  <w:num w:numId="1">
    <w:abstractNumId w:val="5"/>
  </w:num>
  <w:num w:numId="2">
    <w:abstractNumId w:val="3"/>
  </w:num>
  <w:num w:numId="3">
    <w:abstractNumId w:val="4"/>
  </w:num>
  <w:num w:numId="4">
    <w:abstractNumId w:val="1"/>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E5N2QwZjQ4NDdjNmFhNjVmNjIwNTg5OGZkZDI0NWUifQ=="/>
    <w:docVar w:name="KSO_WPS_MARK_KEY" w:val="6ca883b3-8d22-4ed6-b0f7-e953b8cfe397"/>
  </w:docVars>
  <w:rsids>
    <w:rsidRoot w:val="24C921DA"/>
    <w:rsid w:val="00002369"/>
    <w:rsid w:val="00011EB6"/>
    <w:rsid w:val="00110946"/>
    <w:rsid w:val="0013642F"/>
    <w:rsid w:val="001538EC"/>
    <w:rsid w:val="001D49F1"/>
    <w:rsid w:val="001E1923"/>
    <w:rsid w:val="001E213B"/>
    <w:rsid w:val="001F4F95"/>
    <w:rsid w:val="00202351"/>
    <w:rsid w:val="002135F7"/>
    <w:rsid w:val="00217B3C"/>
    <w:rsid w:val="002351F6"/>
    <w:rsid w:val="00235E3D"/>
    <w:rsid w:val="0024288A"/>
    <w:rsid w:val="0027075D"/>
    <w:rsid w:val="002803C6"/>
    <w:rsid w:val="002C7767"/>
    <w:rsid w:val="00323572"/>
    <w:rsid w:val="003413B9"/>
    <w:rsid w:val="00342FD9"/>
    <w:rsid w:val="00343208"/>
    <w:rsid w:val="00391F86"/>
    <w:rsid w:val="00394498"/>
    <w:rsid w:val="003A01EC"/>
    <w:rsid w:val="003B2A4D"/>
    <w:rsid w:val="003B53B0"/>
    <w:rsid w:val="003D4B70"/>
    <w:rsid w:val="0040525F"/>
    <w:rsid w:val="00412C6D"/>
    <w:rsid w:val="00441683"/>
    <w:rsid w:val="004434A5"/>
    <w:rsid w:val="00443564"/>
    <w:rsid w:val="004748A7"/>
    <w:rsid w:val="004A3DBE"/>
    <w:rsid w:val="004B7522"/>
    <w:rsid w:val="004C5775"/>
    <w:rsid w:val="00522B0F"/>
    <w:rsid w:val="00576051"/>
    <w:rsid w:val="005D420A"/>
    <w:rsid w:val="005D6B64"/>
    <w:rsid w:val="006D0A27"/>
    <w:rsid w:val="006E0712"/>
    <w:rsid w:val="006E5F9D"/>
    <w:rsid w:val="00732FE3"/>
    <w:rsid w:val="00773BFC"/>
    <w:rsid w:val="007D485A"/>
    <w:rsid w:val="007F74D0"/>
    <w:rsid w:val="00882FD6"/>
    <w:rsid w:val="00895000"/>
    <w:rsid w:val="00897784"/>
    <w:rsid w:val="008E4058"/>
    <w:rsid w:val="00977EB7"/>
    <w:rsid w:val="00AB09F1"/>
    <w:rsid w:val="00AB3F14"/>
    <w:rsid w:val="00AB50FA"/>
    <w:rsid w:val="00AB579C"/>
    <w:rsid w:val="00AF0C5A"/>
    <w:rsid w:val="00C00052"/>
    <w:rsid w:val="00C06F00"/>
    <w:rsid w:val="00C2024F"/>
    <w:rsid w:val="00C22206"/>
    <w:rsid w:val="00C36277"/>
    <w:rsid w:val="00C56E7B"/>
    <w:rsid w:val="00C864D5"/>
    <w:rsid w:val="00CE03D3"/>
    <w:rsid w:val="00D4246E"/>
    <w:rsid w:val="00D70957"/>
    <w:rsid w:val="00D978ED"/>
    <w:rsid w:val="00DC048F"/>
    <w:rsid w:val="00DF2FB7"/>
    <w:rsid w:val="00DF7C48"/>
    <w:rsid w:val="00E514EA"/>
    <w:rsid w:val="00E766DF"/>
    <w:rsid w:val="00E84E73"/>
    <w:rsid w:val="00ED4BC8"/>
    <w:rsid w:val="00EF3D89"/>
    <w:rsid w:val="00F245F0"/>
    <w:rsid w:val="00F82A72"/>
    <w:rsid w:val="00FB5C8A"/>
    <w:rsid w:val="01582FCA"/>
    <w:rsid w:val="015D4BAB"/>
    <w:rsid w:val="0163439E"/>
    <w:rsid w:val="016F2BED"/>
    <w:rsid w:val="017C73A7"/>
    <w:rsid w:val="01CA528B"/>
    <w:rsid w:val="01DD0946"/>
    <w:rsid w:val="01FB0E97"/>
    <w:rsid w:val="023E1BBB"/>
    <w:rsid w:val="026231B7"/>
    <w:rsid w:val="02A7074A"/>
    <w:rsid w:val="034C55C8"/>
    <w:rsid w:val="03B222C5"/>
    <w:rsid w:val="03F434D0"/>
    <w:rsid w:val="04624601"/>
    <w:rsid w:val="04E12204"/>
    <w:rsid w:val="05054599"/>
    <w:rsid w:val="052128CB"/>
    <w:rsid w:val="0525471D"/>
    <w:rsid w:val="0560122C"/>
    <w:rsid w:val="056B24C0"/>
    <w:rsid w:val="05F81957"/>
    <w:rsid w:val="060312C1"/>
    <w:rsid w:val="06406F72"/>
    <w:rsid w:val="067000FC"/>
    <w:rsid w:val="071B2BC9"/>
    <w:rsid w:val="075D4AA1"/>
    <w:rsid w:val="07B81AA2"/>
    <w:rsid w:val="08513D24"/>
    <w:rsid w:val="090107BE"/>
    <w:rsid w:val="09483348"/>
    <w:rsid w:val="09647D4E"/>
    <w:rsid w:val="097911CD"/>
    <w:rsid w:val="09976DD7"/>
    <w:rsid w:val="0A4150E6"/>
    <w:rsid w:val="0A6A2B08"/>
    <w:rsid w:val="0ADB09AF"/>
    <w:rsid w:val="0B8F3D84"/>
    <w:rsid w:val="0B937D8C"/>
    <w:rsid w:val="0BA5328F"/>
    <w:rsid w:val="0BD77B84"/>
    <w:rsid w:val="0C0A4414"/>
    <w:rsid w:val="0C206374"/>
    <w:rsid w:val="0C4F4AF4"/>
    <w:rsid w:val="0C552FCB"/>
    <w:rsid w:val="0C5F60F4"/>
    <w:rsid w:val="0CB07185"/>
    <w:rsid w:val="0CBC3C74"/>
    <w:rsid w:val="0CD965F2"/>
    <w:rsid w:val="0D141CEC"/>
    <w:rsid w:val="0D2844FE"/>
    <w:rsid w:val="0DB522F7"/>
    <w:rsid w:val="0DE02F6F"/>
    <w:rsid w:val="0E2F02D2"/>
    <w:rsid w:val="0E447645"/>
    <w:rsid w:val="0ED45416"/>
    <w:rsid w:val="0F087337"/>
    <w:rsid w:val="0F112046"/>
    <w:rsid w:val="0F3C589B"/>
    <w:rsid w:val="104A4BA3"/>
    <w:rsid w:val="10741D0D"/>
    <w:rsid w:val="10D44A86"/>
    <w:rsid w:val="11405A78"/>
    <w:rsid w:val="114806AD"/>
    <w:rsid w:val="1163229B"/>
    <w:rsid w:val="11B56C23"/>
    <w:rsid w:val="11C82067"/>
    <w:rsid w:val="11CF1B8A"/>
    <w:rsid w:val="120743EE"/>
    <w:rsid w:val="128C1D92"/>
    <w:rsid w:val="128C697D"/>
    <w:rsid w:val="12BF44DE"/>
    <w:rsid w:val="12D564F6"/>
    <w:rsid w:val="12D97D8D"/>
    <w:rsid w:val="12DF7060"/>
    <w:rsid w:val="12FC7CAB"/>
    <w:rsid w:val="131A110C"/>
    <w:rsid w:val="132139F2"/>
    <w:rsid w:val="134C3F90"/>
    <w:rsid w:val="139E4089"/>
    <w:rsid w:val="145953D8"/>
    <w:rsid w:val="14A24BFD"/>
    <w:rsid w:val="14AB2D46"/>
    <w:rsid w:val="1510089B"/>
    <w:rsid w:val="152977B7"/>
    <w:rsid w:val="15444E58"/>
    <w:rsid w:val="1546511A"/>
    <w:rsid w:val="15545B0C"/>
    <w:rsid w:val="15807F6B"/>
    <w:rsid w:val="15A5462A"/>
    <w:rsid w:val="15E55C31"/>
    <w:rsid w:val="1636613D"/>
    <w:rsid w:val="164E25A2"/>
    <w:rsid w:val="16E37F5C"/>
    <w:rsid w:val="16F94C2D"/>
    <w:rsid w:val="174F0CF1"/>
    <w:rsid w:val="17A26A0E"/>
    <w:rsid w:val="17DC3A7C"/>
    <w:rsid w:val="180D01D7"/>
    <w:rsid w:val="182C23E2"/>
    <w:rsid w:val="18422FF5"/>
    <w:rsid w:val="18491BE4"/>
    <w:rsid w:val="18492B13"/>
    <w:rsid w:val="185F3690"/>
    <w:rsid w:val="18E11669"/>
    <w:rsid w:val="18F379CD"/>
    <w:rsid w:val="18F8126C"/>
    <w:rsid w:val="19043600"/>
    <w:rsid w:val="19927617"/>
    <w:rsid w:val="1A5C1197"/>
    <w:rsid w:val="1AB967DC"/>
    <w:rsid w:val="1ACF2A0B"/>
    <w:rsid w:val="1AD0095A"/>
    <w:rsid w:val="1AE33B69"/>
    <w:rsid w:val="1AFE7269"/>
    <w:rsid w:val="1B1C5AE4"/>
    <w:rsid w:val="1B594EFD"/>
    <w:rsid w:val="1BB04D11"/>
    <w:rsid w:val="1CBA7DDE"/>
    <w:rsid w:val="1CC83775"/>
    <w:rsid w:val="1CD33466"/>
    <w:rsid w:val="1D7814FC"/>
    <w:rsid w:val="1D890511"/>
    <w:rsid w:val="1DED72AD"/>
    <w:rsid w:val="1E285D8D"/>
    <w:rsid w:val="1ED55723"/>
    <w:rsid w:val="1F863F8E"/>
    <w:rsid w:val="20064CDC"/>
    <w:rsid w:val="20216BEF"/>
    <w:rsid w:val="205505D6"/>
    <w:rsid w:val="206E4602"/>
    <w:rsid w:val="207647F2"/>
    <w:rsid w:val="20AD021C"/>
    <w:rsid w:val="20B13158"/>
    <w:rsid w:val="20DE48F2"/>
    <w:rsid w:val="213E6C6C"/>
    <w:rsid w:val="215B26BA"/>
    <w:rsid w:val="21632778"/>
    <w:rsid w:val="217900C6"/>
    <w:rsid w:val="21AA741F"/>
    <w:rsid w:val="22996806"/>
    <w:rsid w:val="22C07E39"/>
    <w:rsid w:val="231562C2"/>
    <w:rsid w:val="23725B17"/>
    <w:rsid w:val="238729D6"/>
    <w:rsid w:val="23B02769"/>
    <w:rsid w:val="23E1100F"/>
    <w:rsid w:val="2430751B"/>
    <w:rsid w:val="245F0F30"/>
    <w:rsid w:val="24C921DA"/>
    <w:rsid w:val="250815A7"/>
    <w:rsid w:val="25425445"/>
    <w:rsid w:val="255E5CF4"/>
    <w:rsid w:val="25FF63AE"/>
    <w:rsid w:val="26017242"/>
    <w:rsid w:val="26816062"/>
    <w:rsid w:val="26A27C98"/>
    <w:rsid w:val="26C84301"/>
    <w:rsid w:val="271D0E3B"/>
    <w:rsid w:val="27284D09"/>
    <w:rsid w:val="27410161"/>
    <w:rsid w:val="277416D0"/>
    <w:rsid w:val="28714949"/>
    <w:rsid w:val="29C11F13"/>
    <w:rsid w:val="29CA3607"/>
    <w:rsid w:val="2A06727F"/>
    <w:rsid w:val="2A0F5BCD"/>
    <w:rsid w:val="2A263D60"/>
    <w:rsid w:val="2A336F53"/>
    <w:rsid w:val="2A831845"/>
    <w:rsid w:val="2A9B59D9"/>
    <w:rsid w:val="2AF12700"/>
    <w:rsid w:val="2B2801E1"/>
    <w:rsid w:val="2B3A6EA3"/>
    <w:rsid w:val="2B454E67"/>
    <w:rsid w:val="2C8D4E80"/>
    <w:rsid w:val="2CD93AFA"/>
    <w:rsid w:val="2DB82129"/>
    <w:rsid w:val="2DD22586"/>
    <w:rsid w:val="2DD3471B"/>
    <w:rsid w:val="2E0241CA"/>
    <w:rsid w:val="2E5417FA"/>
    <w:rsid w:val="2E5B3714"/>
    <w:rsid w:val="2E927C12"/>
    <w:rsid w:val="2EA46150"/>
    <w:rsid w:val="2EAA2515"/>
    <w:rsid w:val="2ECE4136"/>
    <w:rsid w:val="2EEB0D06"/>
    <w:rsid w:val="2EEC6788"/>
    <w:rsid w:val="2EFB58B5"/>
    <w:rsid w:val="2F246DF0"/>
    <w:rsid w:val="2FF03F4A"/>
    <w:rsid w:val="317F1508"/>
    <w:rsid w:val="31AF6250"/>
    <w:rsid w:val="31C75BFC"/>
    <w:rsid w:val="31D85C00"/>
    <w:rsid w:val="31F32531"/>
    <w:rsid w:val="32FC775D"/>
    <w:rsid w:val="33137D51"/>
    <w:rsid w:val="33656213"/>
    <w:rsid w:val="342F21F0"/>
    <w:rsid w:val="34404C72"/>
    <w:rsid w:val="3482399F"/>
    <w:rsid w:val="350D4FC8"/>
    <w:rsid w:val="35385256"/>
    <w:rsid w:val="35426C96"/>
    <w:rsid w:val="35B15D17"/>
    <w:rsid w:val="362E227C"/>
    <w:rsid w:val="3647730B"/>
    <w:rsid w:val="367E3325"/>
    <w:rsid w:val="369E2CA4"/>
    <w:rsid w:val="36DB6CF7"/>
    <w:rsid w:val="36DF0DC8"/>
    <w:rsid w:val="373E0612"/>
    <w:rsid w:val="3765281C"/>
    <w:rsid w:val="381816B1"/>
    <w:rsid w:val="383C5BD0"/>
    <w:rsid w:val="38572308"/>
    <w:rsid w:val="38674496"/>
    <w:rsid w:val="38675A43"/>
    <w:rsid w:val="38C11206"/>
    <w:rsid w:val="396F5574"/>
    <w:rsid w:val="39781C59"/>
    <w:rsid w:val="399020A1"/>
    <w:rsid w:val="39F93A0A"/>
    <w:rsid w:val="3A2E3494"/>
    <w:rsid w:val="3A505BE7"/>
    <w:rsid w:val="3AAA574E"/>
    <w:rsid w:val="3B1E7211"/>
    <w:rsid w:val="3B303854"/>
    <w:rsid w:val="3B523D67"/>
    <w:rsid w:val="3B754F4F"/>
    <w:rsid w:val="3BD81C50"/>
    <w:rsid w:val="3D401C11"/>
    <w:rsid w:val="3D5B369C"/>
    <w:rsid w:val="3D90778C"/>
    <w:rsid w:val="3D9C4750"/>
    <w:rsid w:val="3DAE273F"/>
    <w:rsid w:val="3DAF0DA6"/>
    <w:rsid w:val="3DC02F3E"/>
    <w:rsid w:val="3DC839B3"/>
    <w:rsid w:val="3E1E364A"/>
    <w:rsid w:val="3E204CE4"/>
    <w:rsid w:val="3E823DB1"/>
    <w:rsid w:val="3E97125A"/>
    <w:rsid w:val="3F25602F"/>
    <w:rsid w:val="3F467978"/>
    <w:rsid w:val="3F6568C7"/>
    <w:rsid w:val="400E647B"/>
    <w:rsid w:val="40AA2AB4"/>
    <w:rsid w:val="40BB0A4B"/>
    <w:rsid w:val="40BC3D30"/>
    <w:rsid w:val="413A5937"/>
    <w:rsid w:val="41450317"/>
    <w:rsid w:val="415E1A57"/>
    <w:rsid w:val="4218487C"/>
    <w:rsid w:val="42236491"/>
    <w:rsid w:val="422624CB"/>
    <w:rsid w:val="424C29FF"/>
    <w:rsid w:val="426F691B"/>
    <w:rsid w:val="42800436"/>
    <w:rsid w:val="42BF2701"/>
    <w:rsid w:val="4341470D"/>
    <w:rsid w:val="43445A5B"/>
    <w:rsid w:val="43580B32"/>
    <w:rsid w:val="43623CA2"/>
    <w:rsid w:val="43641F77"/>
    <w:rsid w:val="44E3318B"/>
    <w:rsid w:val="45AE137D"/>
    <w:rsid w:val="45F23B0D"/>
    <w:rsid w:val="460E1CCF"/>
    <w:rsid w:val="46127979"/>
    <w:rsid w:val="461D619C"/>
    <w:rsid w:val="4644583E"/>
    <w:rsid w:val="466954D9"/>
    <w:rsid w:val="47047BD0"/>
    <w:rsid w:val="475D19D8"/>
    <w:rsid w:val="47DB7839"/>
    <w:rsid w:val="48EE7943"/>
    <w:rsid w:val="48F52292"/>
    <w:rsid w:val="493F6348"/>
    <w:rsid w:val="497969A0"/>
    <w:rsid w:val="4A254AFE"/>
    <w:rsid w:val="4A2722FF"/>
    <w:rsid w:val="4A617857"/>
    <w:rsid w:val="4A7C6668"/>
    <w:rsid w:val="4A853D63"/>
    <w:rsid w:val="4A937CDF"/>
    <w:rsid w:val="4AD16A73"/>
    <w:rsid w:val="4B700248"/>
    <w:rsid w:val="4B7C6B3F"/>
    <w:rsid w:val="4BE00EF8"/>
    <w:rsid w:val="4BEE4E33"/>
    <w:rsid w:val="4BF4219C"/>
    <w:rsid w:val="4BF47196"/>
    <w:rsid w:val="4BFA6AB7"/>
    <w:rsid w:val="4C210EF5"/>
    <w:rsid w:val="4C317D50"/>
    <w:rsid w:val="4C8E1B40"/>
    <w:rsid w:val="4CBE71F1"/>
    <w:rsid w:val="4CC25C6B"/>
    <w:rsid w:val="4D272A95"/>
    <w:rsid w:val="4D283CA5"/>
    <w:rsid w:val="4D2D4AC3"/>
    <w:rsid w:val="4D955143"/>
    <w:rsid w:val="4E8F5FF6"/>
    <w:rsid w:val="4EA046D8"/>
    <w:rsid w:val="4EC217CD"/>
    <w:rsid w:val="4F293ABD"/>
    <w:rsid w:val="4F5D65AA"/>
    <w:rsid w:val="4F914497"/>
    <w:rsid w:val="4FC3106B"/>
    <w:rsid w:val="4FCC21D8"/>
    <w:rsid w:val="503240C7"/>
    <w:rsid w:val="50643954"/>
    <w:rsid w:val="509B4084"/>
    <w:rsid w:val="50A13CAD"/>
    <w:rsid w:val="51734F5B"/>
    <w:rsid w:val="51916E76"/>
    <w:rsid w:val="51AB6AD1"/>
    <w:rsid w:val="521614A4"/>
    <w:rsid w:val="52996D9E"/>
    <w:rsid w:val="52D1737D"/>
    <w:rsid w:val="52E82B11"/>
    <w:rsid w:val="5338474B"/>
    <w:rsid w:val="538B0C9F"/>
    <w:rsid w:val="549864FC"/>
    <w:rsid w:val="54B77BA5"/>
    <w:rsid w:val="5504483F"/>
    <w:rsid w:val="553246C2"/>
    <w:rsid w:val="555E5D43"/>
    <w:rsid w:val="557A53C9"/>
    <w:rsid w:val="55D44C23"/>
    <w:rsid w:val="55F55451"/>
    <w:rsid w:val="56002CE5"/>
    <w:rsid w:val="56AE52EA"/>
    <w:rsid w:val="56F0396A"/>
    <w:rsid w:val="57495D52"/>
    <w:rsid w:val="57E57228"/>
    <w:rsid w:val="57FC790D"/>
    <w:rsid w:val="58D82192"/>
    <w:rsid w:val="59095DC5"/>
    <w:rsid w:val="59805264"/>
    <w:rsid w:val="598354B1"/>
    <w:rsid w:val="59AF28C2"/>
    <w:rsid w:val="59C53D0E"/>
    <w:rsid w:val="59CF7206"/>
    <w:rsid w:val="5A254E02"/>
    <w:rsid w:val="5A315695"/>
    <w:rsid w:val="5A62216D"/>
    <w:rsid w:val="5A7F501F"/>
    <w:rsid w:val="5A9C23BD"/>
    <w:rsid w:val="5B0A42B7"/>
    <w:rsid w:val="5B2822C8"/>
    <w:rsid w:val="5B5464CC"/>
    <w:rsid w:val="5BAE60FD"/>
    <w:rsid w:val="5BC0528A"/>
    <w:rsid w:val="5BCB2314"/>
    <w:rsid w:val="5BE971EB"/>
    <w:rsid w:val="5C034459"/>
    <w:rsid w:val="5C0F47B3"/>
    <w:rsid w:val="5C105424"/>
    <w:rsid w:val="5C3579CF"/>
    <w:rsid w:val="5D2B6878"/>
    <w:rsid w:val="5D4F37F9"/>
    <w:rsid w:val="5DCF5207"/>
    <w:rsid w:val="5E6F0765"/>
    <w:rsid w:val="5E7B51F5"/>
    <w:rsid w:val="5E9374C0"/>
    <w:rsid w:val="5EFA1F8A"/>
    <w:rsid w:val="5FD63F33"/>
    <w:rsid w:val="60410315"/>
    <w:rsid w:val="608416EB"/>
    <w:rsid w:val="60C76626"/>
    <w:rsid w:val="60F53AB2"/>
    <w:rsid w:val="60F9385D"/>
    <w:rsid w:val="61104CBD"/>
    <w:rsid w:val="61912E0D"/>
    <w:rsid w:val="61BB0327"/>
    <w:rsid w:val="61EF2099"/>
    <w:rsid w:val="620E7C1B"/>
    <w:rsid w:val="62407211"/>
    <w:rsid w:val="624F7B3C"/>
    <w:rsid w:val="627B6C40"/>
    <w:rsid w:val="629D09DA"/>
    <w:rsid w:val="62B6728B"/>
    <w:rsid w:val="62FF673E"/>
    <w:rsid w:val="630870BE"/>
    <w:rsid w:val="631A5137"/>
    <w:rsid w:val="63793538"/>
    <w:rsid w:val="63975E63"/>
    <w:rsid w:val="63AD7417"/>
    <w:rsid w:val="63AF2F78"/>
    <w:rsid w:val="64054001"/>
    <w:rsid w:val="641C50F2"/>
    <w:rsid w:val="64585F9F"/>
    <w:rsid w:val="6491330D"/>
    <w:rsid w:val="64AC2778"/>
    <w:rsid w:val="64B17EC2"/>
    <w:rsid w:val="64C8237C"/>
    <w:rsid w:val="64F330BE"/>
    <w:rsid w:val="65186BCE"/>
    <w:rsid w:val="656E7F56"/>
    <w:rsid w:val="65893B2A"/>
    <w:rsid w:val="65B125DC"/>
    <w:rsid w:val="65BD19D9"/>
    <w:rsid w:val="65C730D6"/>
    <w:rsid w:val="6608120C"/>
    <w:rsid w:val="662B2E0F"/>
    <w:rsid w:val="66D44EDD"/>
    <w:rsid w:val="66DC1405"/>
    <w:rsid w:val="67416B40"/>
    <w:rsid w:val="67917CB9"/>
    <w:rsid w:val="67CC339B"/>
    <w:rsid w:val="67FA4405"/>
    <w:rsid w:val="68681CFD"/>
    <w:rsid w:val="68B00C8D"/>
    <w:rsid w:val="68EB1B7B"/>
    <w:rsid w:val="68F2692F"/>
    <w:rsid w:val="69134B7B"/>
    <w:rsid w:val="69251E17"/>
    <w:rsid w:val="69461A97"/>
    <w:rsid w:val="69BB732C"/>
    <w:rsid w:val="69D5005B"/>
    <w:rsid w:val="6AAA6C0E"/>
    <w:rsid w:val="6B5A0B96"/>
    <w:rsid w:val="6B881251"/>
    <w:rsid w:val="6BE51961"/>
    <w:rsid w:val="6BFD3C51"/>
    <w:rsid w:val="6C837F78"/>
    <w:rsid w:val="6C9A6630"/>
    <w:rsid w:val="6D1E7D42"/>
    <w:rsid w:val="6D3C51C6"/>
    <w:rsid w:val="6D9B2815"/>
    <w:rsid w:val="6DA975C4"/>
    <w:rsid w:val="6DAE630D"/>
    <w:rsid w:val="6DB42DDC"/>
    <w:rsid w:val="6E9943B7"/>
    <w:rsid w:val="6EAB002F"/>
    <w:rsid w:val="6EC119F3"/>
    <w:rsid w:val="6EEF30BF"/>
    <w:rsid w:val="6F2B4D64"/>
    <w:rsid w:val="7006010A"/>
    <w:rsid w:val="70473EC4"/>
    <w:rsid w:val="70BC00E7"/>
    <w:rsid w:val="70CB2EBE"/>
    <w:rsid w:val="70EB78AF"/>
    <w:rsid w:val="71145A61"/>
    <w:rsid w:val="711C11A3"/>
    <w:rsid w:val="71671618"/>
    <w:rsid w:val="71777D9E"/>
    <w:rsid w:val="72190D53"/>
    <w:rsid w:val="72595AEC"/>
    <w:rsid w:val="72A9042B"/>
    <w:rsid w:val="72AB1F75"/>
    <w:rsid w:val="72D54524"/>
    <w:rsid w:val="72D6012B"/>
    <w:rsid w:val="73127210"/>
    <w:rsid w:val="735C589C"/>
    <w:rsid w:val="73E20D43"/>
    <w:rsid w:val="7439758C"/>
    <w:rsid w:val="747C0B01"/>
    <w:rsid w:val="748A2102"/>
    <w:rsid w:val="74A220FD"/>
    <w:rsid w:val="74A64B9B"/>
    <w:rsid w:val="74B353D8"/>
    <w:rsid w:val="74D77C2D"/>
    <w:rsid w:val="75071823"/>
    <w:rsid w:val="75256566"/>
    <w:rsid w:val="75AE5B40"/>
    <w:rsid w:val="75CB65E0"/>
    <w:rsid w:val="76601B57"/>
    <w:rsid w:val="7664689D"/>
    <w:rsid w:val="766921CD"/>
    <w:rsid w:val="77BC7D41"/>
    <w:rsid w:val="78CA2C36"/>
    <w:rsid w:val="79455C9D"/>
    <w:rsid w:val="794B2173"/>
    <w:rsid w:val="79547DBF"/>
    <w:rsid w:val="79882EDF"/>
    <w:rsid w:val="79B26E80"/>
    <w:rsid w:val="79D23879"/>
    <w:rsid w:val="7A4F4397"/>
    <w:rsid w:val="7A7256D9"/>
    <w:rsid w:val="7A8679FB"/>
    <w:rsid w:val="7A8F6620"/>
    <w:rsid w:val="7A8F79EA"/>
    <w:rsid w:val="7A927AFD"/>
    <w:rsid w:val="7ACD1D04"/>
    <w:rsid w:val="7AD563E6"/>
    <w:rsid w:val="7B1A3E52"/>
    <w:rsid w:val="7B1F5C79"/>
    <w:rsid w:val="7B9800C8"/>
    <w:rsid w:val="7C341A8F"/>
    <w:rsid w:val="7C3C4255"/>
    <w:rsid w:val="7C690E42"/>
    <w:rsid w:val="7D0A452F"/>
    <w:rsid w:val="7D0C7871"/>
    <w:rsid w:val="7D7C7DCB"/>
    <w:rsid w:val="7E03309A"/>
    <w:rsid w:val="7E4C43F6"/>
    <w:rsid w:val="7EE60B13"/>
    <w:rsid w:val="7EF649F8"/>
    <w:rsid w:val="7F3E4D95"/>
    <w:rsid w:val="7F974EC7"/>
    <w:rsid w:val="7FF674D0"/>
    <w:rsid w:val="FEF720F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uiPriority="0" w:name="toc 2"/>
    <w:lsdException w:uiPriority="0" w:name="toc 3"/>
    <w:lsdException w:uiPriority="0" w:name="toc 4"/>
    <w:lsdException w:uiPriority="0" w:name="toc 5"/>
    <w:lsdException w:qFormat="1" w:uiPriority="0" w:semiHidden="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qFormat="1" w:unhideWhenUsed="0" w:uiPriority="99" w:semiHidden="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qFormat="1" w:unhideWhenUsed="0" w:uiPriority="0" w:semiHidden="0" w:name="Body Text 3"/>
    <w:lsdException w:uiPriority="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2"/>
    <w:basedOn w:val="1"/>
    <w:next w:val="6"/>
    <w:qFormat/>
    <w:uiPriority w:val="0"/>
    <w:pPr>
      <w:keepNext/>
      <w:keepLines/>
      <w:spacing w:before="260" w:after="260" w:line="416" w:lineRule="auto"/>
      <w:outlineLvl w:val="1"/>
    </w:pPr>
    <w:rPr>
      <w:rFonts w:ascii="Arial" w:hAnsi="Arial" w:eastAsia="黑体"/>
      <w:b/>
      <w:bCs/>
      <w:kern w:val="0"/>
      <w:sz w:val="32"/>
      <w:szCs w:val="32"/>
    </w:rPr>
  </w:style>
  <w:style w:type="paragraph" w:styleId="7">
    <w:name w:val="heading 3"/>
    <w:basedOn w:val="1"/>
    <w:next w:val="1"/>
    <w:qFormat/>
    <w:uiPriority w:val="0"/>
    <w:pPr>
      <w:keepNext/>
      <w:keepLines/>
      <w:tabs>
        <w:tab w:val="left" w:pos="720"/>
      </w:tabs>
      <w:spacing w:before="260" w:after="260" w:line="416" w:lineRule="auto"/>
      <w:ind w:left="720" w:hanging="720"/>
      <w:outlineLvl w:val="2"/>
    </w:pPr>
    <w:rPr>
      <w:b/>
      <w:bCs/>
      <w:sz w:val="32"/>
      <w:szCs w:val="32"/>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adjustRightInd w:val="0"/>
      <w:textAlignment w:val="baseline"/>
    </w:pPr>
    <w:rPr>
      <w:rFonts w:ascii="宋体" w:hAnsi="宋体"/>
      <w:sz w:val="32"/>
    </w:rPr>
  </w:style>
  <w:style w:type="paragraph" w:styleId="3">
    <w:name w:val="Body Text First Indent"/>
    <w:basedOn w:val="1"/>
    <w:next w:val="4"/>
    <w:qFormat/>
    <w:uiPriority w:val="0"/>
    <w:pPr>
      <w:spacing w:after="120"/>
      <w:ind w:firstLine="420" w:firstLineChars="100"/>
    </w:pPr>
  </w:style>
  <w:style w:type="paragraph" w:styleId="4">
    <w:name w:val="toc 6"/>
    <w:basedOn w:val="1"/>
    <w:next w:val="1"/>
    <w:unhideWhenUsed/>
    <w:qFormat/>
    <w:uiPriority w:val="0"/>
    <w:pPr>
      <w:ind w:left="1050"/>
      <w:jc w:val="left"/>
    </w:pPr>
    <w:rPr>
      <w:rFonts w:ascii="等线" w:hAnsi="等线" w:eastAsia="等线"/>
      <w:sz w:val="18"/>
      <w:szCs w:val="18"/>
    </w:rPr>
  </w:style>
  <w:style w:type="paragraph" w:customStyle="1" w:styleId="6">
    <w:name w:val="标准正文"/>
    <w:basedOn w:val="1"/>
    <w:qFormat/>
    <w:uiPriority w:val="0"/>
    <w:pPr>
      <w:spacing w:line="360" w:lineRule="auto"/>
      <w:ind w:firstLine="200" w:firstLineChars="200"/>
    </w:pPr>
    <w:rPr>
      <w:sz w:val="24"/>
      <w:szCs w:val="20"/>
    </w:rPr>
  </w:style>
  <w:style w:type="paragraph" w:styleId="8">
    <w:name w:val="List Number"/>
    <w:basedOn w:val="1"/>
    <w:qFormat/>
    <w:uiPriority w:val="0"/>
    <w:pPr>
      <w:numPr>
        <w:ilvl w:val="0"/>
        <w:numId w:val="1"/>
      </w:numPr>
    </w:pPr>
  </w:style>
  <w:style w:type="paragraph" w:styleId="9">
    <w:name w:val="Normal Indent"/>
    <w:basedOn w:val="1"/>
    <w:next w:val="1"/>
    <w:qFormat/>
    <w:uiPriority w:val="0"/>
    <w:pPr>
      <w:ind w:firstLine="420"/>
    </w:pPr>
    <w:rPr>
      <w:rFonts w:ascii="Calibri" w:hAnsi="Calibri"/>
      <w:kern w:val="0"/>
      <w:sz w:val="20"/>
      <w:szCs w:val="20"/>
    </w:rPr>
  </w:style>
  <w:style w:type="paragraph" w:styleId="10">
    <w:name w:val="caption"/>
    <w:basedOn w:val="1"/>
    <w:next w:val="1"/>
    <w:qFormat/>
    <w:uiPriority w:val="0"/>
    <w:pPr>
      <w:spacing w:before="152" w:after="160"/>
    </w:pPr>
    <w:rPr>
      <w:rFonts w:ascii="Arial" w:hAnsi="Arial" w:eastAsia="黑体" w:cs="Arial"/>
      <w:sz w:val="20"/>
      <w:szCs w:val="20"/>
    </w:rPr>
  </w:style>
  <w:style w:type="paragraph" w:styleId="11">
    <w:name w:val="index 5"/>
    <w:basedOn w:val="1"/>
    <w:next w:val="1"/>
    <w:qFormat/>
    <w:uiPriority w:val="0"/>
    <w:pPr>
      <w:ind w:left="1680"/>
    </w:pPr>
    <w:rPr>
      <w:rFonts w:ascii="黑体" w:hAnsi="Calibri" w:eastAsia="黑体" w:cs="Arial"/>
      <w:sz w:val="32"/>
      <w:szCs w:val="32"/>
    </w:rPr>
  </w:style>
  <w:style w:type="paragraph" w:styleId="12">
    <w:name w:val="annotation text"/>
    <w:basedOn w:val="1"/>
    <w:unhideWhenUsed/>
    <w:qFormat/>
    <w:uiPriority w:val="0"/>
    <w:pPr>
      <w:jc w:val="left"/>
    </w:pPr>
  </w:style>
  <w:style w:type="paragraph" w:styleId="13">
    <w:name w:val="Body Text 3"/>
    <w:basedOn w:val="1"/>
    <w:qFormat/>
    <w:uiPriority w:val="0"/>
    <w:pPr>
      <w:snapToGrid w:val="0"/>
      <w:spacing w:before="50" w:after="50"/>
    </w:pPr>
    <w:rPr>
      <w:rFonts w:ascii="Calibri" w:hAnsi="Calibri"/>
      <w:kern w:val="0"/>
      <w:sz w:val="20"/>
    </w:rPr>
  </w:style>
  <w:style w:type="paragraph" w:styleId="14">
    <w:name w:val="Body Text Indent"/>
    <w:basedOn w:val="1"/>
    <w:next w:val="15"/>
    <w:qFormat/>
    <w:uiPriority w:val="0"/>
    <w:pPr>
      <w:spacing w:line="200" w:lineRule="exact"/>
      <w:ind w:firstLine="301"/>
    </w:pPr>
    <w:rPr>
      <w:rFonts w:ascii="宋体" w:hAnsi="Courier New"/>
      <w:spacing w:val="-4"/>
      <w:kern w:val="0"/>
      <w:sz w:val="18"/>
    </w:rPr>
  </w:style>
  <w:style w:type="paragraph" w:styleId="15">
    <w:name w:val="Body Text First Indent 2"/>
    <w:basedOn w:val="14"/>
    <w:next w:val="16"/>
    <w:qFormat/>
    <w:uiPriority w:val="0"/>
    <w:pPr>
      <w:spacing w:after="120" w:line="240" w:lineRule="auto"/>
      <w:ind w:left="420" w:leftChars="200" w:firstLine="420" w:firstLineChars="200"/>
    </w:pPr>
    <w:rPr>
      <w:sz w:val="21"/>
    </w:rPr>
  </w:style>
  <w:style w:type="paragraph" w:customStyle="1" w:styleId="16">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paragraph" w:styleId="17">
    <w:name w:val="Block Text"/>
    <w:basedOn w:val="1"/>
    <w:qFormat/>
    <w:uiPriority w:val="0"/>
    <w:pPr>
      <w:adjustRightInd w:val="0"/>
      <w:ind w:left="420" w:right="33"/>
      <w:jc w:val="left"/>
      <w:textAlignment w:val="baseline"/>
    </w:pPr>
    <w:rPr>
      <w:kern w:val="0"/>
      <w:sz w:val="24"/>
      <w:szCs w:val="20"/>
    </w:rPr>
  </w:style>
  <w:style w:type="paragraph" w:styleId="18">
    <w:name w:val="Plain Text"/>
    <w:basedOn w:val="1"/>
    <w:next w:val="1"/>
    <w:qFormat/>
    <w:uiPriority w:val="0"/>
    <w:pPr>
      <w:spacing w:beforeLines="50" w:afterLines="50" w:line="400" w:lineRule="exact"/>
    </w:pPr>
    <w:rPr>
      <w:rFonts w:ascii="宋体" w:hAnsi="Courier New"/>
      <w:kern w:val="0"/>
      <w:sz w:val="24"/>
    </w:rPr>
  </w:style>
  <w:style w:type="paragraph" w:styleId="19">
    <w:name w:val="Date"/>
    <w:basedOn w:val="1"/>
    <w:next w:val="1"/>
    <w:qFormat/>
    <w:uiPriority w:val="0"/>
    <w:pPr>
      <w:ind w:left="2500" w:leftChars="2500"/>
    </w:pPr>
    <w:rPr>
      <w:rFonts w:ascii="Calibri" w:hAnsi="Calibri" w:eastAsia="楷体_GB2312"/>
      <w:kern w:val="0"/>
      <w:sz w:val="32"/>
      <w:szCs w:val="20"/>
    </w:rPr>
  </w:style>
  <w:style w:type="paragraph" w:styleId="20">
    <w:name w:val="Balloon Text"/>
    <w:basedOn w:val="1"/>
    <w:semiHidden/>
    <w:qFormat/>
    <w:uiPriority w:val="99"/>
    <w:rPr>
      <w:rFonts w:ascii="Calibri" w:hAnsi="Calibri"/>
      <w:kern w:val="0"/>
      <w:sz w:val="18"/>
      <w:szCs w:val="18"/>
    </w:rPr>
  </w:style>
  <w:style w:type="paragraph" w:styleId="21">
    <w:name w:val="footer"/>
    <w:basedOn w:val="1"/>
    <w:qFormat/>
    <w:uiPriority w:val="99"/>
    <w:pPr>
      <w:tabs>
        <w:tab w:val="center" w:pos="4153"/>
        <w:tab w:val="right" w:pos="8306"/>
      </w:tabs>
      <w:snapToGrid w:val="0"/>
      <w:jc w:val="left"/>
    </w:pPr>
    <w:rPr>
      <w:rFonts w:ascii="Calibri" w:hAnsi="Calibri" w:eastAsia="黑体"/>
      <w:snapToGrid w:val="0"/>
      <w:kern w:val="0"/>
      <w:sz w:val="18"/>
      <w:szCs w:val="18"/>
    </w:rPr>
  </w:style>
  <w:style w:type="paragraph" w:styleId="22">
    <w:name w:val="envelope return"/>
    <w:basedOn w:val="1"/>
    <w:qFormat/>
    <w:uiPriority w:val="99"/>
    <w:pPr>
      <w:snapToGrid w:val="0"/>
    </w:pPr>
    <w:rPr>
      <w:rFonts w:ascii="Arial" w:hAnsi="Arial" w:cs="Arial"/>
    </w:rPr>
  </w:style>
  <w:style w:type="paragraph" w:styleId="23">
    <w:name w:val="header"/>
    <w:basedOn w:val="1"/>
    <w:qFormat/>
    <w:uiPriority w:val="99"/>
    <w:pPr>
      <w:pBdr>
        <w:bottom w:val="single" w:color="auto" w:sz="6" w:space="1"/>
      </w:pBdr>
      <w:tabs>
        <w:tab w:val="center" w:pos="4153"/>
        <w:tab w:val="right" w:pos="8306"/>
      </w:tabs>
      <w:snapToGrid w:val="0"/>
      <w:jc w:val="center"/>
    </w:pPr>
    <w:rPr>
      <w:rFonts w:ascii="Calibri" w:hAnsi="Calibri" w:eastAsia="仿宋_GB2312"/>
      <w:kern w:val="0"/>
      <w:sz w:val="18"/>
      <w:szCs w:val="20"/>
    </w:rPr>
  </w:style>
  <w:style w:type="paragraph" w:styleId="24">
    <w:name w:val="toc 1"/>
    <w:basedOn w:val="1"/>
    <w:next w:val="1"/>
    <w:qFormat/>
    <w:uiPriority w:val="0"/>
  </w:style>
  <w:style w:type="paragraph" w:styleId="25">
    <w:name w:val="Body Text Indent 3"/>
    <w:basedOn w:val="1"/>
    <w:qFormat/>
    <w:uiPriority w:val="0"/>
    <w:pPr>
      <w:snapToGrid w:val="0"/>
      <w:ind w:firstLine="480" w:firstLineChars="200"/>
      <w:jc w:val="left"/>
    </w:pPr>
    <w:rPr>
      <w:rFonts w:ascii="仿宋_GB2312" w:hAnsi="宋体" w:eastAsia="仿宋_GB2312"/>
      <w:color w:val="000000"/>
      <w:kern w:val="0"/>
      <w:sz w:val="24"/>
    </w:rPr>
  </w:style>
  <w:style w:type="paragraph" w:styleId="26">
    <w:name w:val="Normal (Web)"/>
    <w:basedOn w:val="1"/>
    <w:qFormat/>
    <w:uiPriority w:val="99"/>
    <w:pPr>
      <w:widowControl/>
      <w:spacing w:before="100" w:beforeAutospacing="1" w:after="100" w:afterAutospacing="1"/>
      <w:jc w:val="left"/>
    </w:pPr>
    <w:rPr>
      <w:rFonts w:ascii="宋体" w:hAnsi="宋体" w:cs="宋体"/>
      <w:kern w:val="0"/>
      <w:szCs w:val="21"/>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22"/>
    <w:rPr>
      <w:b/>
      <w:bCs/>
    </w:rPr>
  </w:style>
  <w:style w:type="character" w:styleId="31">
    <w:name w:val="page number"/>
    <w:basedOn w:val="29"/>
    <w:qFormat/>
    <w:uiPriority w:val="0"/>
  </w:style>
  <w:style w:type="character" w:styleId="32">
    <w:name w:val="Hyperlink"/>
    <w:qFormat/>
    <w:uiPriority w:val="0"/>
    <w:rPr>
      <w:color w:val="FF6600"/>
      <w:u w:val="none"/>
    </w:rPr>
  </w:style>
  <w:style w:type="character" w:styleId="33">
    <w:name w:val="annotation reference"/>
    <w:qFormat/>
    <w:uiPriority w:val="0"/>
    <w:rPr>
      <w:rFonts w:ascii="Times New Roman" w:hAnsi="Times New Roman" w:eastAsia="宋体" w:cs="Times New Roman"/>
      <w:sz w:val="21"/>
      <w:szCs w:val="21"/>
    </w:rPr>
  </w:style>
  <w:style w:type="paragraph" w:customStyle="1" w:styleId="34">
    <w:name w:val="Default"/>
    <w:next w:val="35"/>
    <w:qFormat/>
    <w:uiPriority w:val="0"/>
    <w:pPr>
      <w:widowControl w:val="0"/>
      <w:autoSpaceDE w:val="0"/>
      <w:autoSpaceDN w:val="0"/>
      <w:adjustRightInd w:val="0"/>
    </w:pPr>
    <w:rPr>
      <w:rFonts w:ascii="仿宋_GB2312" w:hAnsi="Times New Roman" w:eastAsia="宋体" w:cs="仿宋_GB2312"/>
      <w:color w:val="000000"/>
      <w:sz w:val="24"/>
      <w:szCs w:val="24"/>
      <w:lang w:val="en-US" w:eastAsia="zh-CN" w:bidi="ar-SA"/>
    </w:rPr>
  </w:style>
  <w:style w:type="paragraph" w:customStyle="1" w:styleId="35">
    <w:name w:val="明显引用1"/>
    <w:basedOn w:val="1"/>
    <w:next w:val="1"/>
    <w:qFormat/>
    <w:uiPriority w:val="0"/>
    <w:pPr>
      <w:wordWrap w:val="0"/>
      <w:spacing w:before="360" w:after="360"/>
      <w:ind w:left="950" w:right="950"/>
      <w:jc w:val="center"/>
    </w:pPr>
    <w:rPr>
      <w:i/>
    </w:rPr>
  </w:style>
  <w:style w:type="paragraph" w:customStyle="1" w:styleId="36">
    <w:name w:val="正文段"/>
    <w:basedOn w:val="1"/>
    <w:qFormat/>
    <w:uiPriority w:val="0"/>
    <w:pPr>
      <w:widowControl/>
      <w:snapToGrid w:val="0"/>
      <w:spacing w:afterLines="50"/>
      <w:ind w:firstLine="200" w:firstLineChars="200"/>
    </w:pPr>
    <w:rPr>
      <w:kern w:val="0"/>
      <w:sz w:val="24"/>
      <w:szCs w:val="20"/>
    </w:rPr>
  </w:style>
  <w:style w:type="paragraph" w:customStyle="1" w:styleId="37">
    <w:name w:val="正文21"/>
    <w:basedOn w:val="1"/>
    <w:qFormat/>
    <w:uiPriority w:val="0"/>
    <w:pPr>
      <w:spacing w:before="156" w:line="360" w:lineRule="auto"/>
      <w:ind w:firstLine="510" w:firstLineChars="200"/>
    </w:pPr>
    <w:rPr>
      <w:rFonts w:ascii="Calibri" w:hAnsi="Calibri"/>
      <w:kern w:val="0"/>
      <w:sz w:val="24"/>
      <w:szCs w:val="20"/>
    </w:rPr>
  </w:style>
  <w:style w:type="paragraph" w:customStyle="1" w:styleId="38">
    <w:name w:val="列出段落1"/>
    <w:basedOn w:val="1"/>
    <w:qFormat/>
    <w:uiPriority w:val="34"/>
    <w:pPr>
      <w:ind w:firstLine="420" w:firstLineChars="200"/>
    </w:pPr>
    <w:rPr>
      <w:rFonts w:ascii="Calibri" w:hAnsi="Calibri"/>
      <w:kern w:val="0"/>
      <w:sz w:val="20"/>
      <w:szCs w:val="20"/>
    </w:rPr>
  </w:style>
  <w:style w:type="paragraph" w:customStyle="1" w:styleId="39">
    <w:name w:val="默认段落字体 Para Char Char Char Char Char Char Char Char Char1 Char Char Char Char"/>
    <w:basedOn w:val="1"/>
    <w:qFormat/>
    <w:uiPriority w:val="0"/>
    <w:rPr>
      <w:rFonts w:ascii="Tahoma" w:hAnsi="Tahoma"/>
      <w:sz w:val="24"/>
      <w:szCs w:val="20"/>
    </w:rPr>
  </w:style>
  <w:style w:type="paragraph" w:styleId="40">
    <w:name w:val="List Paragraph"/>
    <w:basedOn w:val="1"/>
    <w:unhideWhenUsed/>
    <w:qFormat/>
    <w:uiPriority w:val="99"/>
    <w:pPr>
      <w:ind w:firstLine="420" w:firstLineChars="200"/>
    </w:pPr>
  </w:style>
  <w:style w:type="paragraph" w:customStyle="1" w:styleId="41">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2">
    <w:name w:val="正文2"/>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3">
    <w:name w:val="章正文"/>
    <w:basedOn w:val="1"/>
    <w:qFormat/>
    <w:uiPriority w:val="0"/>
    <w:pPr>
      <w:spacing w:beforeLines="50" w:after="120" w:line="300" w:lineRule="auto"/>
      <w:ind w:firstLine="480" w:firstLineChars="200"/>
    </w:pPr>
    <w:rPr>
      <w:rFonts w:ascii="Helvetica" w:hAnsi="Helvetica"/>
      <w:kern w:val="0"/>
      <w:sz w:val="24"/>
    </w:rPr>
  </w:style>
  <w:style w:type="character" w:customStyle="1" w:styleId="44">
    <w:name w:val="font11"/>
    <w:basedOn w:val="29"/>
    <w:qFormat/>
    <w:uiPriority w:val="0"/>
    <w:rPr>
      <w:rFonts w:hint="eastAsia" w:ascii="宋体" w:hAnsi="宋体" w:eastAsia="宋体" w:cs="宋体"/>
      <w:color w:val="000000"/>
      <w:sz w:val="24"/>
      <w:szCs w:val="24"/>
      <w:u w:val="none"/>
    </w:rPr>
  </w:style>
  <w:style w:type="character" w:customStyle="1" w:styleId="45">
    <w:name w:val="font31"/>
    <w:basedOn w:val="29"/>
    <w:qFormat/>
    <w:uiPriority w:val="0"/>
    <w:rPr>
      <w:rFonts w:ascii="Calibri" w:hAnsi="Calibri" w:cs="Calibri"/>
      <w:color w:val="000000"/>
      <w:sz w:val="24"/>
      <w:szCs w:val="24"/>
      <w:u w:val="none"/>
    </w:rPr>
  </w:style>
  <w:style w:type="character" w:customStyle="1" w:styleId="46">
    <w:name w:val="font81"/>
    <w:basedOn w:val="29"/>
    <w:qFormat/>
    <w:uiPriority w:val="0"/>
    <w:rPr>
      <w:rFonts w:ascii="Calibri" w:hAnsi="Calibri" w:cs="Calibri"/>
      <w:color w:val="000000"/>
      <w:sz w:val="18"/>
      <w:szCs w:val="18"/>
      <w:u w:val="none"/>
    </w:rPr>
  </w:style>
  <w:style w:type="character" w:customStyle="1" w:styleId="47">
    <w:name w:val="font91"/>
    <w:basedOn w:val="29"/>
    <w:qFormat/>
    <w:uiPriority w:val="0"/>
    <w:rPr>
      <w:rFonts w:hint="default" w:ascii="Calibri" w:hAnsi="Calibri" w:cs="Calibri"/>
      <w:color w:val="000000"/>
      <w:sz w:val="18"/>
      <w:szCs w:val="18"/>
      <w:u w:val="none"/>
    </w:rPr>
  </w:style>
  <w:style w:type="character" w:customStyle="1" w:styleId="48">
    <w:name w:val="font101"/>
    <w:basedOn w:val="29"/>
    <w:qFormat/>
    <w:uiPriority w:val="0"/>
    <w:rPr>
      <w:rFonts w:hint="default" w:ascii="Calibri" w:hAnsi="Calibri" w:cs="Calibri"/>
      <w:color w:val="000000"/>
      <w:sz w:val="18"/>
      <w:szCs w:val="18"/>
      <w:u w:val="none"/>
    </w:rPr>
  </w:style>
  <w:style w:type="character" w:customStyle="1" w:styleId="49">
    <w:name w:val="font41"/>
    <w:basedOn w:val="29"/>
    <w:qFormat/>
    <w:uiPriority w:val="0"/>
    <w:rPr>
      <w:rFonts w:hint="eastAsia" w:ascii="宋体" w:hAnsi="宋体" w:eastAsia="宋体" w:cs="宋体"/>
      <w:color w:val="000000"/>
      <w:sz w:val="18"/>
      <w:szCs w:val="18"/>
      <w:u w:val="none"/>
    </w:rPr>
  </w:style>
  <w:style w:type="character" w:customStyle="1" w:styleId="50">
    <w:name w:val="font112"/>
    <w:basedOn w:val="29"/>
    <w:qFormat/>
    <w:uiPriority w:val="0"/>
    <w:rPr>
      <w:rFonts w:hint="default" w:ascii="Calibri" w:hAnsi="Calibri" w:cs="Calibri"/>
      <w:color w:val="000000"/>
      <w:sz w:val="20"/>
      <w:szCs w:val="20"/>
      <w:u w:val="none"/>
    </w:rPr>
  </w:style>
  <w:style w:type="character" w:customStyle="1" w:styleId="51">
    <w:name w:val="font71"/>
    <w:basedOn w:val="29"/>
    <w:qFormat/>
    <w:uiPriority w:val="0"/>
    <w:rPr>
      <w:rFonts w:hint="eastAsia" w:ascii="宋体" w:hAnsi="宋体" w:eastAsia="宋体" w:cs="宋体"/>
      <w:color w:val="000000"/>
      <w:sz w:val="20"/>
      <w:szCs w:val="20"/>
      <w:u w:val="none"/>
    </w:rPr>
  </w:style>
  <w:style w:type="character" w:customStyle="1" w:styleId="52">
    <w:name w:val="font121"/>
    <w:basedOn w:val="29"/>
    <w:qFormat/>
    <w:uiPriority w:val="0"/>
    <w:rPr>
      <w:rFonts w:ascii="微软雅黑" w:hAnsi="微软雅黑" w:eastAsia="微软雅黑" w:cs="微软雅黑"/>
      <w:color w:val="000000"/>
      <w:sz w:val="32"/>
      <w:szCs w:val="32"/>
      <w:u w:val="none"/>
    </w:rPr>
  </w:style>
  <w:style w:type="character" w:customStyle="1" w:styleId="53">
    <w:name w:val="font131"/>
    <w:basedOn w:val="29"/>
    <w:qFormat/>
    <w:uiPriority w:val="0"/>
    <w:rPr>
      <w:rFonts w:hint="eastAsia" w:ascii="宋体" w:hAnsi="宋体" w:eastAsia="宋体" w:cs="宋体"/>
      <w:color w:val="000000"/>
      <w:sz w:val="32"/>
      <w:szCs w:val="32"/>
      <w:u w:val="none"/>
    </w:rPr>
  </w:style>
  <w:style w:type="paragraph" w:customStyle="1" w:styleId="54">
    <w:name w:val="Normal Indent1"/>
    <w:next w:val="11"/>
    <w:qFormat/>
    <w:uiPriority w:val="0"/>
    <w:pPr>
      <w:widowControl w:val="0"/>
      <w:ind w:firstLine="420" w:firstLineChars="200"/>
      <w:jc w:val="both"/>
    </w:pPr>
    <w:rPr>
      <w:rFonts w:ascii="Times New Roman" w:hAnsi="Times New Roman" w:eastAsia="宋体" w:cs="Times New Roman"/>
      <w:kern w:val="2"/>
      <w:sz w:val="21"/>
      <w:szCs w:val="21"/>
      <w:lang w:val="en-US" w:eastAsia="zh-CN" w:bidi="ar-SA"/>
    </w:rPr>
  </w:style>
  <w:style w:type="character" w:customStyle="1" w:styleId="55">
    <w:name w:val="font221"/>
    <w:basedOn w:val="29"/>
    <w:qFormat/>
    <w:uiPriority w:val="0"/>
    <w:rPr>
      <w:rFonts w:ascii="Arial" w:hAnsi="Arial" w:cs="Arial"/>
      <w:color w:val="FF9900"/>
      <w:sz w:val="20"/>
      <w:szCs w:val="20"/>
      <w:u w:val="none"/>
    </w:rPr>
  </w:style>
  <w:style w:type="character" w:customStyle="1" w:styleId="56">
    <w:name w:val="font231"/>
    <w:basedOn w:val="29"/>
    <w:qFormat/>
    <w:uiPriority w:val="0"/>
    <w:rPr>
      <w:rFonts w:hint="default" w:ascii="Arial" w:hAnsi="Arial" w:cs="Arial"/>
      <w:color w:val="FF9900"/>
      <w:sz w:val="18"/>
      <w:szCs w:val="18"/>
      <w:u w:val="none"/>
    </w:rPr>
  </w:style>
  <w:style w:type="character" w:customStyle="1" w:styleId="57">
    <w:name w:val="font61"/>
    <w:basedOn w:val="29"/>
    <w:qFormat/>
    <w:uiPriority w:val="0"/>
    <w:rPr>
      <w:rFonts w:hint="eastAsia" w:ascii="宋体" w:hAnsi="宋体" w:eastAsia="宋体" w:cs="宋体"/>
      <w:color w:val="EE822F"/>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154</Pages>
  <Words>197</Words>
  <Characters>210</Characters>
  <Lines>449</Lines>
  <Paragraphs>126</Paragraphs>
  <TotalTime>111</TotalTime>
  <ScaleCrop>false</ScaleCrop>
  <LinksUpToDate>false</LinksUpToDate>
  <CharactersWithSpaces>225</CharactersWithSpaces>
  <Application>WPS Office_11.8.2.11542_F1E327BC-269C-435d-A152-05C5408002CA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2024-09-18T05:51:00Z</dcterms:created>
  <dc:creator>欢乐向</dc:creator>
  <cp:lastModifiedBy>Administrator</cp:lastModifiedBy>
  <cp:lastPrinted>2024-11-05T06:18:00Z</cp:lastPrinted>
  <dcterms:modified xsi:type="dcterms:W3CDTF">2024-11-15T00:57:42Z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2052-11.8.2.11542</vt:lpwstr>
  </property>
  <property fmtid="{D5CDD505-2E9C-101B-9397-08002B2CF9AE}" pid="3" name="ICV">
    <vt:lpwstr>945AA8DC4E594818BD90A24428CD633C</vt:lpwstr>
  </property>
</Properties>
</file>