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jc w:val="center"/>
        <w:rPr>
          <w:b/>
          <w:sz w:val="48"/>
          <w:szCs w:val="48"/>
        </w:rPr>
      </w:pPr>
    </w:p>
    <w:p>
      <w:pPr>
        <w:spacing w:before="120" w:beforeLines="50"/>
        <w:jc w:val="center"/>
        <w:rPr>
          <w:rFonts w:ascii="宋体" w:hAnsi="宋体"/>
          <w:b/>
          <w:spacing w:val="-20"/>
          <w:sz w:val="28"/>
          <w:szCs w:val="28"/>
        </w:rPr>
      </w:pPr>
      <w:r>
        <w:rPr>
          <w:rFonts w:hint="eastAsia" w:ascii="宋体" w:hAnsi="宋体"/>
          <w:b/>
          <w:spacing w:val="-20"/>
          <w:sz w:val="52"/>
          <w:szCs w:val="52"/>
        </w:rPr>
        <w:t>平湖市新仓镇人民政府关于新仓镇幼儿园新建项目户外玩具采购项目</w:t>
      </w:r>
    </w:p>
    <w:p>
      <w:pPr>
        <w:spacing w:before="120" w:beforeLines="50"/>
        <w:rPr>
          <w:rFonts w:ascii="宋体" w:hAnsi="宋体"/>
          <w:sz w:val="72"/>
          <w:szCs w:val="72"/>
        </w:rPr>
      </w:pPr>
    </w:p>
    <w:p>
      <w:pPr>
        <w:pStyle w:val="2"/>
      </w:pPr>
    </w:p>
    <w:p>
      <w:pPr>
        <w:spacing w:before="120" w:beforeLines="50"/>
        <w:jc w:val="center"/>
        <w:rPr>
          <w:rFonts w:ascii="宋体" w:hAnsi="宋体"/>
          <w:sz w:val="72"/>
          <w:szCs w:val="72"/>
        </w:rPr>
      </w:pPr>
      <w:r>
        <w:rPr>
          <w:rFonts w:hint="eastAsia" w:ascii="宋体" w:hAnsi="宋体"/>
          <w:sz w:val="72"/>
          <w:szCs w:val="72"/>
        </w:rPr>
        <w:t>招标文件</w:t>
      </w:r>
    </w:p>
    <w:p>
      <w:pPr>
        <w:snapToGrid w:val="0"/>
        <w:spacing w:before="120" w:beforeLines="50" w:line="360" w:lineRule="auto"/>
        <w:rPr>
          <w:rFonts w:ascii="宋体" w:hAnsi="宋体"/>
          <w:sz w:val="30"/>
          <w:szCs w:val="72"/>
        </w:rPr>
      </w:pPr>
    </w:p>
    <w:p>
      <w:pPr>
        <w:snapToGrid w:val="0"/>
        <w:spacing w:before="120" w:beforeLines="50" w:line="360" w:lineRule="auto"/>
        <w:rPr>
          <w:rFonts w:ascii="宋体" w:hAnsi="宋体"/>
          <w:sz w:val="30"/>
          <w:szCs w:val="72"/>
        </w:rPr>
      </w:pPr>
    </w:p>
    <w:p>
      <w:pPr>
        <w:snapToGrid w:val="0"/>
        <w:spacing w:before="120" w:beforeLines="50" w:line="360" w:lineRule="auto"/>
        <w:rPr>
          <w:rFonts w:ascii="宋体" w:hAnsi="宋体"/>
          <w:sz w:val="30"/>
          <w:szCs w:val="72"/>
        </w:rPr>
      </w:pPr>
    </w:p>
    <w:p>
      <w:pPr>
        <w:snapToGrid w:val="0"/>
        <w:spacing w:before="120" w:beforeLines="50" w:line="360" w:lineRule="auto"/>
        <w:rPr>
          <w:rFonts w:ascii="宋体" w:hAnsi="宋体"/>
          <w:sz w:val="30"/>
          <w:szCs w:val="72"/>
        </w:rPr>
      </w:pPr>
    </w:p>
    <w:p>
      <w:pPr>
        <w:pStyle w:val="11"/>
        <w:snapToGrid w:val="0"/>
        <w:spacing w:beforeLines="0" w:afterLines="0" w:line="560" w:lineRule="exact"/>
        <w:rPr>
          <w:b/>
          <w:sz w:val="30"/>
          <w:szCs w:val="30"/>
        </w:rPr>
      </w:pPr>
      <w:r>
        <w:rPr>
          <w:b/>
          <w:sz w:val="30"/>
          <w:szCs w:val="30"/>
        </w:rPr>
        <w:t>项目编号：</w:t>
      </w:r>
      <w:r>
        <w:rPr>
          <w:rFonts w:hint="eastAsia"/>
          <w:b/>
          <w:sz w:val="30"/>
          <w:szCs w:val="30"/>
        </w:rPr>
        <w:t>平政采招2025-01</w:t>
      </w:r>
    </w:p>
    <w:p>
      <w:pPr>
        <w:pStyle w:val="11"/>
        <w:snapToGrid w:val="0"/>
        <w:spacing w:beforeLines="0" w:afterLines="0" w:line="560" w:lineRule="exact"/>
        <w:rPr>
          <w:b/>
          <w:sz w:val="30"/>
          <w:szCs w:val="30"/>
        </w:rPr>
      </w:pPr>
      <w:r>
        <w:rPr>
          <w:rFonts w:hint="eastAsia"/>
          <w:b/>
          <w:sz w:val="30"/>
          <w:szCs w:val="30"/>
        </w:rPr>
        <w:t>项目名称：平湖市新仓镇人民政府关于新仓镇幼儿园新建项目户外玩具采购项目</w:t>
      </w:r>
    </w:p>
    <w:p>
      <w:pPr>
        <w:widowControl/>
        <w:shd w:val="clear" w:color="auto" w:fill="FFFFFF"/>
        <w:spacing w:line="560" w:lineRule="exact"/>
        <w:jc w:val="left"/>
        <w:rPr>
          <w:rFonts w:ascii="宋体" w:hAnsi="Courier New"/>
          <w:b/>
          <w:sz w:val="30"/>
          <w:szCs w:val="30"/>
        </w:rPr>
      </w:pPr>
      <w:r>
        <w:rPr>
          <w:b/>
          <w:sz w:val="30"/>
          <w:szCs w:val="30"/>
        </w:rPr>
        <w:t>采</w:t>
      </w:r>
      <w:r>
        <w:rPr>
          <w:rFonts w:hint="eastAsia"/>
          <w:b/>
          <w:sz w:val="30"/>
          <w:szCs w:val="30"/>
        </w:rPr>
        <w:t xml:space="preserve"> </w:t>
      </w:r>
      <w:r>
        <w:rPr>
          <w:b/>
          <w:sz w:val="30"/>
          <w:szCs w:val="30"/>
        </w:rPr>
        <w:t>购</w:t>
      </w:r>
      <w:r>
        <w:rPr>
          <w:rFonts w:hint="eastAsia"/>
          <w:b/>
          <w:sz w:val="30"/>
          <w:szCs w:val="30"/>
        </w:rPr>
        <w:t xml:space="preserve"> </w:t>
      </w:r>
      <w:r>
        <w:rPr>
          <w:b/>
          <w:sz w:val="30"/>
          <w:szCs w:val="30"/>
        </w:rPr>
        <w:t>人：</w:t>
      </w:r>
      <w:r>
        <w:rPr>
          <w:rFonts w:hint="eastAsia"/>
          <w:b/>
          <w:sz w:val="30"/>
          <w:szCs w:val="30"/>
        </w:rPr>
        <w:t>平湖市新仓镇人民政府</w:t>
      </w:r>
    </w:p>
    <w:p>
      <w:pPr>
        <w:pStyle w:val="11"/>
        <w:snapToGrid w:val="0"/>
        <w:spacing w:beforeLines="0" w:afterLines="0" w:line="560" w:lineRule="exact"/>
        <w:rPr>
          <w:rFonts w:hAnsi="宋体"/>
          <w:b/>
          <w:bCs/>
          <w:w w:val="95"/>
          <w:sz w:val="30"/>
          <w:szCs w:val="30"/>
        </w:rPr>
      </w:pPr>
      <w:r>
        <w:rPr>
          <w:rFonts w:hint="eastAsia"/>
          <w:b/>
          <w:sz w:val="30"/>
          <w:szCs w:val="30"/>
        </w:rPr>
        <w:t>采购</w:t>
      </w:r>
      <w:r>
        <w:rPr>
          <w:b/>
          <w:sz w:val="30"/>
          <w:szCs w:val="30"/>
        </w:rPr>
        <w:t>机构：</w:t>
      </w:r>
      <w:r>
        <w:rPr>
          <w:rFonts w:hint="eastAsia" w:hAnsi="宋体"/>
          <w:b/>
          <w:sz w:val="30"/>
          <w:szCs w:val="48"/>
        </w:rPr>
        <w:t>平湖市公共资源交易中心</w:t>
      </w:r>
    </w:p>
    <w:p>
      <w:pPr>
        <w:snapToGrid w:val="0"/>
        <w:spacing w:before="120" w:beforeLines="50" w:line="360" w:lineRule="auto"/>
        <w:ind w:left="384" w:leftChars="183" w:firstLine="4599" w:firstLineChars="1607"/>
        <w:jc w:val="right"/>
        <w:rPr>
          <w:rFonts w:ascii="宋体" w:hAnsi="宋体"/>
          <w:b/>
          <w:bCs/>
          <w:w w:val="95"/>
          <w:sz w:val="30"/>
          <w:szCs w:val="30"/>
        </w:rPr>
      </w:pPr>
    </w:p>
    <w:p>
      <w:pPr>
        <w:snapToGrid w:val="0"/>
        <w:spacing w:before="120" w:beforeLines="50" w:line="360" w:lineRule="auto"/>
        <w:ind w:left="384" w:leftChars="183" w:firstLine="4599" w:firstLineChars="1607"/>
        <w:jc w:val="right"/>
        <w:rPr>
          <w:rFonts w:ascii="宋体" w:hAnsi="宋体"/>
          <w:b/>
          <w:bCs/>
          <w:w w:val="95"/>
          <w:sz w:val="30"/>
          <w:szCs w:val="30"/>
          <w:highlight w:val="none"/>
        </w:rPr>
      </w:pPr>
      <w:r>
        <w:rPr>
          <w:rFonts w:hint="eastAsia" w:ascii="宋体" w:hAnsi="宋体"/>
          <w:b/>
          <w:bCs/>
          <w:w w:val="95"/>
          <w:sz w:val="30"/>
          <w:szCs w:val="30"/>
        </w:rPr>
        <w:t>2025年1月</w:t>
      </w:r>
      <w:r>
        <w:rPr>
          <w:rFonts w:hint="eastAsia" w:ascii="宋体" w:hAnsi="宋体"/>
          <w:b/>
          <w:bCs/>
          <w:w w:val="95"/>
          <w:sz w:val="30"/>
          <w:szCs w:val="30"/>
          <w:highlight w:val="none"/>
          <w:lang w:val="en-US" w:eastAsia="zh-CN"/>
        </w:rPr>
        <w:t>15</w:t>
      </w:r>
      <w:r>
        <w:rPr>
          <w:rFonts w:hint="eastAsia" w:ascii="宋体" w:hAnsi="宋体"/>
          <w:b/>
          <w:bCs/>
          <w:w w:val="95"/>
          <w:sz w:val="30"/>
          <w:szCs w:val="30"/>
          <w:highlight w:val="none"/>
        </w:rPr>
        <w:t>日</w:t>
      </w:r>
    </w:p>
    <w:p>
      <w:pPr>
        <w:snapToGrid w:val="0"/>
        <w:spacing w:before="120" w:beforeLines="50" w:line="360" w:lineRule="auto"/>
        <w:ind w:left="384" w:leftChars="183" w:firstLine="4579" w:firstLineChars="1607"/>
        <w:jc w:val="right"/>
        <w:rPr>
          <w:rFonts w:ascii="宋体" w:hAnsi="宋体"/>
          <w:w w:val="95"/>
          <w:sz w:val="30"/>
          <w:szCs w:val="30"/>
        </w:rPr>
      </w:pPr>
    </w:p>
    <w:p>
      <w:pPr>
        <w:snapToGrid w:val="0"/>
        <w:spacing w:before="120" w:beforeLines="50" w:line="360" w:lineRule="auto"/>
        <w:ind w:left="384" w:leftChars="183" w:firstLine="4599" w:firstLineChars="1607"/>
        <w:jc w:val="right"/>
        <w:rPr>
          <w:rFonts w:ascii="宋体" w:hAnsi="宋体"/>
          <w:b/>
          <w:bCs/>
          <w:w w:val="95"/>
          <w:sz w:val="30"/>
          <w:szCs w:val="30"/>
        </w:rPr>
      </w:pPr>
    </w:p>
    <w:p>
      <w:pPr>
        <w:pStyle w:val="11"/>
        <w:spacing w:beforeLines="0" w:afterLines="0" w:line="600" w:lineRule="exact"/>
        <w:jc w:val="center"/>
        <w:rPr>
          <w:rFonts w:ascii="黑体" w:hAnsi="Times New Roman" w:eastAsia="黑体"/>
          <w:sz w:val="32"/>
          <w:szCs w:val="32"/>
        </w:rPr>
      </w:pPr>
    </w:p>
    <w:p>
      <w:pPr>
        <w:pStyle w:val="11"/>
        <w:spacing w:beforeLines="0" w:afterLines="0" w:line="600" w:lineRule="exact"/>
        <w:jc w:val="center"/>
        <w:rPr>
          <w:rFonts w:ascii="黑体" w:hAnsi="Times New Roman" w:eastAsia="黑体"/>
          <w:sz w:val="32"/>
          <w:szCs w:val="32"/>
        </w:rPr>
      </w:pPr>
    </w:p>
    <w:p>
      <w:pPr>
        <w:pStyle w:val="11"/>
        <w:spacing w:beforeLines="0" w:afterLines="0" w:line="600" w:lineRule="exact"/>
        <w:jc w:val="center"/>
        <w:rPr>
          <w:rFonts w:ascii="创艺简标宋" w:hAnsi="宋体" w:eastAsia="创艺简标宋"/>
          <w:b/>
          <w:sz w:val="44"/>
          <w:szCs w:val="44"/>
        </w:rPr>
      </w:pPr>
      <w:r>
        <w:rPr>
          <w:rFonts w:hint="eastAsia" w:ascii="创艺简标宋" w:hAnsi="宋体" w:eastAsia="创艺简标宋"/>
          <w:b/>
          <w:sz w:val="44"/>
          <w:szCs w:val="44"/>
        </w:rPr>
        <w:t>目    录</w:t>
      </w:r>
    </w:p>
    <w:p>
      <w:pPr>
        <w:pStyle w:val="11"/>
        <w:spacing w:beforeLines="0" w:afterLines="0" w:line="600" w:lineRule="exact"/>
        <w:jc w:val="center"/>
        <w:rPr>
          <w:rFonts w:ascii="创艺简标宋" w:hAnsi="宋体" w:eastAsia="创艺简标宋"/>
          <w:b/>
          <w:sz w:val="44"/>
          <w:szCs w:val="44"/>
        </w:rPr>
      </w:pPr>
    </w:p>
    <w:p>
      <w:pPr>
        <w:pStyle w:val="17"/>
        <w:tabs>
          <w:tab w:val="right" w:leader="dot" w:pos="8834"/>
        </w:tabs>
        <w:spacing w:line="480" w:lineRule="auto"/>
        <w:jc w:val="center"/>
        <w:rPr>
          <w:b/>
          <w:sz w:val="28"/>
          <w:szCs w:val="28"/>
        </w:rPr>
      </w:pPr>
      <w:r>
        <w:rPr>
          <w:b/>
          <w:sz w:val="32"/>
          <w:szCs w:val="32"/>
        </w:rPr>
        <w:fldChar w:fldCharType="begin"/>
      </w:r>
      <w:r>
        <w:rPr>
          <w:b/>
          <w:sz w:val="32"/>
          <w:szCs w:val="32"/>
        </w:rPr>
        <w:instrText xml:space="preserve"> TOC \o "1-1" \h \z \u </w:instrText>
      </w:r>
      <w:r>
        <w:rPr>
          <w:b/>
          <w:sz w:val="32"/>
          <w:szCs w:val="32"/>
        </w:rPr>
        <w:fldChar w:fldCharType="separate"/>
      </w:r>
      <w:r>
        <w:fldChar w:fldCharType="begin"/>
      </w:r>
      <w:r>
        <w:instrText xml:space="preserve"> HYPERLINK \l "_Toc406402981" </w:instrText>
      </w:r>
      <w:r>
        <w:fldChar w:fldCharType="separate"/>
      </w:r>
      <w:r>
        <w:rPr>
          <w:rStyle w:val="26"/>
          <w:rFonts w:hint="eastAsia"/>
          <w:b/>
          <w:color w:val="auto"/>
          <w:sz w:val="28"/>
          <w:szCs w:val="28"/>
        </w:rPr>
        <w:t>第一章</w:t>
      </w:r>
      <w:r>
        <w:rPr>
          <w:rStyle w:val="26"/>
          <w:b/>
          <w:color w:val="auto"/>
          <w:sz w:val="28"/>
          <w:szCs w:val="28"/>
        </w:rPr>
        <w:t xml:space="preserve">  </w:t>
      </w:r>
      <w:r>
        <w:rPr>
          <w:rStyle w:val="26"/>
          <w:rFonts w:hint="eastAsia"/>
          <w:b/>
          <w:color w:val="auto"/>
          <w:sz w:val="28"/>
          <w:szCs w:val="28"/>
        </w:rPr>
        <w:t>公开招标采购公告</w:t>
      </w:r>
      <w:r>
        <w:rPr>
          <w:b/>
          <w:sz w:val="28"/>
          <w:szCs w:val="28"/>
        </w:rPr>
        <w:tab/>
      </w:r>
      <w:r>
        <w:rPr>
          <w:rFonts w:hint="eastAsia"/>
          <w:b/>
          <w:sz w:val="28"/>
          <w:szCs w:val="28"/>
        </w:rPr>
        <w:t>3</w:t>
      </w:r>
      <w:r>
        <w:rPr>
          <w:rFonts w:hint="eastAsia"/>
          <w:b/>
          <w:sz w:val="28"/>
          <w:szCs w:val="28"/>
        </w:rPr>
        <w:fldChar w:fldCharType="end"/>
      </w:r>
    </w:p>
    <w:p>
      <w:pPr>
        <w:pStyle w:val="17"/>
        <w:tabs>
          <w:tab w:val="right" w:leader="dot" w:pos="8834"/>
        </w:tabs>
        <w:spacing w:line="480" w:lineRule="auto"/>
        <w:jc w:val="center"/>
        <w:rPr>
          <w:b/>
          <w:sz w:val="28"/>
          <w:szCs w:val="28"/>
        </w:rPr>
      </w:pPr>
      <w:r>
        <w:fldChar w:fldCharType="begin"/>
      </w:r>
      <w:r>
        <w:instrText xml:space="preserve"> HYPERLINK \l "_Toc406402982" </w:instrText>
      </w:r>
      <w:r>
        <w:fldChar w:fldCharType="separate"/>
      </w:r>
      <w:r>
        <w:rPr>
          <w:rStyle w:val="26"/>
          <w:rFonts w:hint="eastAsia"/>
          <w:b/>
          <w:color w:val="auto"/>
          <w:sz w:val="28"/>
          <w:szCs w:val="28"/>
        </w:rPr>
        <w:t>第二章</w:t>
      </w:r>
      <w:r>
        <w:rPr>
          <w:rStyle w:val="26"/>
          <w:b/>
          <w:color w:val="auto"/>
          <w:sz w:val="28"/>
          <w:szCs w:val="28"/>
        </w:rPr>
        <w:t xml:space="preserve">  </w:t>
      </w:r>
      <w:r>
        <w:rPr>
          <w:rStyle w:val="26"/>
          <w:rFonts w:hint="eastAsia"/>
          <w:b/>
          <w:color w:val="auto"/>
          <w:sz w:val="28"/>
          <w:szCs w:val="28"/>
        </w:rPr>
        <w:t>招标需求</w:t>
      </w:r>
      <w:r>
        <w:rPr>
          <w:b/>
          <w:sz w:val="28"/>
          <w:szCs w:val="28"/>
        </w:rPr>
        <w:tab/>
      </w:r>
      <w:r>
        <w:rPr>
          <w:rFonts w:hint="eastAsia"/>
          <w:b/>
          <w:sz w:val="28"/>
          <w:szCs w:val="28"/>
        </w:rPr>
        <w:t>8</w:t>
      </w:r>
      <w:r>
        <w:rPr>
          <w:rFonts w:hint="eastAsia"/>
          <w:b/>
          <w:sz w:val="28"/>
          <w:szCs w:val="28"/>
        </w:rPr>
        <w:fldChar w:fldCharType="end"/>
      </w:r>
    </w:p>
    <w:p>
      <w:pPr>
        <w:pStyle w:val="17"/>
        <w:tabs>
          <w:tab w:val="right" w:leader="dot" w:pos="8834"/>
        </w:tabs>
        <w:spacing w:line="480" w:lineRule="auto"/>
        <w:jc w:val="center"/>
        <w:rPr>
          <w:rFonts w:hint="default" w:eastAsia="宋体"/>
          <w:b/>
          <w:sz w:val="28"/>
          <w:szCs w:val="28"/>
          <w:lang w:val="en-US" w:eastAsia="zh-CN"/>
        </w:rPr>
      </w:pPr>
      <w:r>
        <w:fldChar w:fldCharType="begin"/>
      </w:r>
      <w:r>
        <w:instrText xml:space="preserve"> HYPERLINK \l "_Toc406402986" </w:instrText>
      </w:r>
      <w:r>
        <w:fldChar w:fldCharType="separate"/>
      </w:r>
      <w:r>
        <w:rPr>
          <w:rStyle w:val="26"/>
          <w:rFonts w:hint="eastAsia"/>
          <w:b/>
          <w:color w:val="auto"/>
          <w:sz w:val="28"/>
          <w:szCs w:val="28"/>
        </w:rPr>
        <w:t>第三章</w:t>
      </w:r>
      <w:r>
        <w:rPr>
          <w:rStyle w:val="26"/>
          <w:b/>
          <w:color w:val="auto"/>
          <w:sz w:val="28"/>
          <w:szCs w:val="28"/>
        </w:rPr>
        <w:t xml:space="preserve">  </w:t>
      </w:r>
      <w:r>
        <w:rPr>
          <w:rStyle w:val="26"/>
          <w:rFonts w:hint="eastAsia"/>
          <w:b/>
          <w:color w:val="auto"/>
          <w:sz w:val="28"/>
          <w:szCs w:val="28"/>
        </w:rPr>
        <w:t>投标人须知</w:t>
      </w:r>
      <w:r>
        <w:rPr>
          <w:b/>
          <w:sz w:val="28"/>
          <w:szCs w:val="28"/>
        </w:rPr>
        <w:tab/>
      </w:r>
      <w:r>
        <w:rPr>
          <w:b/>
          <w:sz w:val="28"/>
          <w:szCs w:val="28"/>
        </w:rPr>
        <w:fldChar w:fldCharType="end"/>
      </w:r>
      <w:r>
        <w:rPr>
          <w:rFonts w:hint="eastAsia"/>
          <w:b/>
          <w:sz w:val="28"/>
          <w:szCs w:val="28"/>
          <w:lang w:val="en-US" w:eastAsia="zh-CN"/>
        </w:rPr>
        <w:t>31</w:t>
      </w:r>
    </w:p>
    <w:p>
      <w:pPr>
        <w:pStyle w:val="17"/>
        <w:tabs>
          <w:tab w:val="right" w:leader="dot" w:pos="8834"/>
        </w:tabs>
        <w:spacing w:line="480" w:lineRule="auto"/>
        <w:jc w:val="center"/>
        <w:rPr>
          <w:rFonts w:hint="default" w:eastAsia="宋体"/>
          <w:b/>
          <w:sz w:val="28"/>
          <w:szCs w:val="28"/>
          <w:lang w:val="en-US" w:eastAsia="zh-CN"/>
        </w:rPr>
      </w:pPr>
      <w:r>
        <w:fldChar w:fldCharType="begin"/>
      </w:r>
      <w:r>
        <w:instrText xml:space="preserve"> HYPERLINK \l "_Toc406402996" </w:instrText>
      </w:r>
      <w:r>
        <w:fldChar w:fldCharType="separate"/>
      </w:r>
      <w:r>
        <w:rPr>
          <w:rStyle w:val="26"/>
          <w:rFonts w:hint="eastAsia"/>
          <w:b/>
          <w:color w:val="auto"/>
          <w:sz w:val="28"/>
          <w:szCs w:val="28"/>
        </w:rPr>
        <w:t xml:space="preserve">第四章 </w:t>
      </w:r>
      <w:r>
        <w:rPr>
          <w:rStyle w:val="26"/>
          <w:b/>
          <w:color w:val="auto"/>
          <w:sz w:val="28"/>
          <w:szCs w:val="28"/>
        </w:rPr>
        <w:t xml:space="preserve"> </w:t>
      </w:r>
      <w:r>
        <w:rPr>
          <w:rStyle w:val="26"/>
          <w:rFonts w:hint="eastAsia"/>
          <w:b/>
          <w:color w:val="auto"/>
          <w:sz w:val="28"/>
          <w:szCs w:val="28"/>
        </w:rPr>
        <w:t>评标办法及评分标准</w:t>
      </w:r>
      <w:r>
        <w:rPr>
          <w:b/>
          <w:sz w:val="28"/>
          <w:szCs w:val="28"/>
        </w:rPr>
        <w:tab/>
      </w:r>
      <w:r>
        <w:rPr>
          <w:b/>
          <w:sz w:val="28"/>
          <w:szCs w:val="28"/>
        </w:rPr>
        <w:fldChar w:fldCharType="end"/>
      </w:r>
      <w:r>
        <w:rPr>
          <w:rFonts w:hint="eastAsia"/>
          <w:b/>
          <w:sz w:val="28"/>
          <w:szCs w:val="28"/>
          <w:lang w:val="en-US" w:eastAsia="zh-CN"/>
        </w:rPr>
        <w:t>47</w:t>
      </w:r>
    </w:p>
    <w:p>
      <w:pPr>
        <w:pStyle w:val="17"/>
        <w:tabs>
          <w:tab w:val="right" w:leader="dot" w:pos="8834"/>
        </w:tabs>
        <w:spacing w:line="480" w:lineRule="auto"/>
        <w:jc w:val="center"/>
        <w:rPr>
          <w:rFonts w:hint="default" w:eastAsia="宋体"/>
          <w:b/>
          <w:sz w:val="28"/>
          <w:szCs w:val="28"/>
          <w:lang w:val="en-US" w:eastAsia="zh-CN"/>
        </w:rPr>
      </w:pPr>
      <w:r>
        <w:fldChar w:fldCharType="begin"/>
      </w:r>
      <w:r>
        <w:instrText xml:space="preserve"> HYPERLINK \l "_Toc406402998" </w:instrText>
      </w:r>
      <w:r>
        <w:fldChar w:fldCharType="separate"/>
      </w:r>
      <w:r>
        <w:rPr>
          <w:rStyle w:val="26"/>
          <w:rFonts w:hint="eastAsia"/>
          <w:b/>
          <w:color w:val="auto"/>
          <w:sz w:val="28"/>
          <w:szCs w:val="28"/>
        </w:rPr>
        <w:t>第五章</w:t>
      </w:r>
      <w:r>
        <w:rPr>
          <w:rStyle w:val="26"/>
          <w:b/>
          <w:color w:val="auto"/>
          <w:sz w:val="28"/>
          <w:szCs w:val="28"/>
        </w:rPr>
        <w:t xml:space="preserve">  </w:t>
      </w:r>
      <w:r>
        <w:rPr>
          <w:rStyle w:val="26"/>
          <w:rFonts w:hint="eastAsia"/>
          <w:b/>
          <w:color w:val="auto"/>
          <w:sz w:val="28"/>
          <w:szCs w:val="28"/>
        </w:rPr>
        <w:t>平湖市政府采购合同（</w:t>
      </w:r>
      <w:bookmarkStart w:id="0" w:name="_Hlt497308216"/>
      <w:r>
        <w:rPr>
          <w:rStyle w:val="26"/>
          <w:rFonts w:hint="eastAsia"/>
          <w:b/>
          <w:color w:val="auto"/>
          <w:sz w:val="28"/>
          <w:szCs w:val="28"/>
        </w:rPr>
        <w:t>指</w:t>
      </w:r>
      <w:bookmarkEnd w:id="0"/>
      <w:bookmarkStart w:id="1" w:name="_Hlt497308220"/>
      <w:r>
        <w:rPr>
          <w:rStyle w:val="26"/>
          <w:rFonts w:hint="eastAsia"/>
          <w:b/>
          <w:color w:val="auto"/>
          <w:sz w:val="28"/>
          <w:szCs w:val="28"/>
        </w:rPr>
        <w:t>引</w:t>
      </w:r>
      <w:bookmarkEnd w:id="1"/>
      <w:r>
        <w:rPr>
          <w:rStyle w:val="26"/>
          <w:rFonts w:hint="eastAsia"/>
          <w:b/>
          <w:color w:val="auto"/>
          <w:sz w:val="28"/>
          <w:szCs w:val="28"/>
        </w:rPr>
        <w:t>）</w:t>
      </w:r>
      <w:bookmarkStart w:id="2" w:name="_Hlt497308212"/>
      <w:bookmarkStart w:id="3" w:name="_Hlt497308213"/>
      <w:r>
        <w:rPr>
          <w:b/>
          <w:sz w:val="28"/>
          <w:szCs w:val="28"/>
        </w:rPr>
        <w:tab/>
      </w:r>
      <w:bookmarkEnd w:id="2"/>
      <w:bookmarkEnd w:id="3"/>
      <w:r>
        <w:rPr>
          <w:b/>
          <w:sz w:val="28"/>
          <w:szCs w:val="28"/>
        </w:rPr>
        <w:fldChar w:fldCharType="end"/>
      </w:r>
      <w:r>
        <w:rPr>
          <w:rFonts w:hint="eastAsia"/>
          <w:b/>
          <w:sz w:val="28"/>
          <w:szCs w:val="28"/>
          <w:lang w:val="en-US" w:eastAsia="zh-CN"/>
        </w:rPr>
        <w:t>51</w:t>
      </w:r>
    </w:p>
    <w:p>
      <w:pPr>
        <w:pStyle w:val="17"/>
        <w:tabs>
          <w:tab w:val="right" w:leader="dot" w:pos="8834"/>
        </w:tabs>
        <w:spacing w:line="480" w:lineRule="auto"/>
        <w:jc w:val="center"/>
        <w:rPr>
          <w:rFonts w:hint="default" w:eastAsia="宋体"/>
          <w:b/>
          <w:sz w:val="32"/>
          <w:szCs w:val="32"/>
          <w:lang w:val="en-US" w:eastAsia="zh-CN"/>
        </w:rPr>
      </w:pPr>
      <w:r>
        <w:fldChar w:fldCharType="begin"/>
      </w:r>
      <w:r>
        <w:instrText xml:space="preserve"> HYPERLINK \l "_Toc406403000" </w:instrText>
      </w:r>
      <w:r>
        <w:fldChar w:fldCharType="separate"/>
      </w:r>
      <w:r>
        <w:rPr>
          <w:rStyle w:val="26"/>
          <w:rFonts w:hint="eastAsia"/>
          <w:b/>
          <w:color w:val="auto"/>
          <w:sz w:val="28"/>
          <w:szCs w:val="28"/>
        </w:rPr>
        <w:t>第六章　投标文件格式</w:t>
      </w:r>
      <w:r>
        <w:rPr>
          <w:b/>
          <w:sz w:val="28"/>
          <w:szCs w:val="28"/>
        </w:rPr>
        <w:tab/>
      </w:r>
      <w:r>
        <w:rPr>
          <w:b/>
          <w:sz w:val="28"/>
          <w:szCs w:val="28"/>
        </w:rPr>
        <w:fldChar w:fldCharType="end"/>
      </w:r>
      <w:r>
        <w:rPr>
          <w:rFonts w:hint="eastAsia"/>
          <w:b/>
          <w:sz w:val="28"/>
          <w:szCs w:val="28"/>
          <w:lang w:val="en-US" w:eastAsia="zh-CN"/>
        </w:rPr>
        <w:t>56</w:t>
      </w:r>
    </w:p>
    <w:p>
      <w:pPr>
        <w:pStyle w:val="17"/>
        <w:tabs>
          <w:tab w:val="right" w:leader="dot" w:pos="8834"/>
        </w:tabs>
        <w:spacing w:line="480" w:lineRule="auto"/>
        <w:jc w:val="center"/>
        <w:rPr>
          <w:b/>
          <w:sz w:val="32"/>
          <w:szCs w:val="32"/>
        </w:rPr>
      </w:pPr>
    </w:p>
    <w:p>
      <w:pPr>
        <w:pStyle w:val="11"/>
        <w:snapToGrid w:val="0"/>
        <w:spacing w:beforeLines="0" w:afterLines="0" w:line="240" w:lineRule="auto"/>
        <w:jc w:val="center"/>
        <w:outlineLvl w:val="0"/>
        <w:rPr>
          <w:rFonts w:ascii="Times New Roman" w:hAnsi="Times New Roman" w:eastAsia="黑体"/>
          <w:sz w:val="32"/>
          <w:szCs w:val="32"/>
        </w:rPr>
      </w:pPr>
      <w:r>
        <w:rPr>
          <w:szCs w:val="32"/>
        </w:rPr>
        <w:fldChar w:fldCharType="end"/>
      </w: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11"/>
        <w:snapToGrid w:val="0"/>
        <w:spacing w:beforeLines="0" w:afterLines="0" w:line="240" w:lineRule="auto"/>
        <w:jc w:val="center"/>
        <w:outlineLvl w:val="0"/>
        <w:rPr>
          <w:rFonts w:ascii="Times New Roman" w:hAnsi="Times New Roman" w:eastAsia="黑体"/>
          <w:sz w:val="32"/>
          <w:szCs w:val="32"/>
        </w:rPr>
      </w:pPr>
    </w:p>
    <w:p>
      <w:pPr>
        <w:pStyle w:val="2"/>
        <w:tabs>
          <w:tab w:val="center" w:pos="4649"/>
        </w:tabs>
        <w:jc w:val="center"/>
      </w:pPr>
      <w:bookmarkStart w:id="4" w:name="_第一章__公开招标采购公告"/>
      <w:bookmarkEnd w:id="4"/>
      <w:r>
        <w:t>第一章  公开招标采购公告</w:t>
      </w:r>
    </w:p>
    <w:p>
      <w:pPr>
        <w:pBdr>
          <w:top w:val="single" w:color="auto" w:sz="4" w:space="1"/>
          <w:left w:val="single" w:color="auto" w:sz="4" w:space="4"/>
          <w:bottom w:val="single" w:color="auto" w:sz="4" w:space="1"/>
          <w:right w:val="single" w:color="auto" w:sz="4" w:space="4"/>
        </w:pBdr>
        <w:spacing w:line="360" w:lineRule="auto"/>
        <w:ind w:left="840"/>
        <w:rPr>
          <w:rFonts w:ascii="宋体" w:hAnsi="宋体" w:cs="宋体"/>
          <w:sz w:val="24"/>
        </w:rPr>
      </w:pPr>
      <w:bookmarkStart w:id="5" w:name="_第二章__招标需求"/>
      <w:bookmarkEnd w:id="5"/>
      <w:bookmarkStart w:id="6" w:name="csmb"/>
      <w:bookmarkEnd w:id="6"/>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left="840"/>
        <w:rPr>
          <w:rFonts w:ascii="宋体" w:hAnsi="宋体" w:cs="宋体"/>
          <w:sz w:val="24"/>
        </w:rPr>
      </w:pPr>
      <w:r>
        <w:rPr>
          <w:rFonts w:hint="eastAsia" w:ascii="宋体" w:hAnsi="宋体" w:cs="宋体"/>
          <w:sz w:val="24"/>
          <w:u w:val="single"/>
        </w:rPr>
        <w:t>(平湖市新仓镇人民政府关于新仓镇幼儿园新建项目户外玩具采购项目)</w:t>
      </w:r>
      <w:r>
        <w:rPr>
          <w:rFonts w:hint="eastAsia" w:ascii="宋体" w:hAnsi="宋体" w:cs="宋体"/>
          <w:sz w:val="24"/>
        </w:rPr>
        <w:t xml:space="preserve"> 招标项目的潜在投标人应在</w:t>
      </w:r>
      <w:r>
        <w:rPr>
          <w:rFonts w:hint="eastAsia" w:ascii="宋体" w:hAnsi="宋体" w:cs="宋体"/>
          <w:sz w:val="24"/>
          <w:u w:val="single"/>
        </w:rPr>
        <w:t>政采云系统在线</w:t>
      </w:r>
      <w:r>
        <w:rPr>
          <w:rFonts w:hint="eastAsia" w:ascii="宋体" w:hAnsi="宋体" w:cs="宋体"/>
          <w:sz w:val="24"/>
        </w:rPr>
        <w:t>获取招标文件，并于</w:t>
      </w:r>
      <w:r>
        <w:rPr>
          <w:rFonts w:hint="eastAsia" w:ascii="宋体" w:hAnsi="宋体" w:cs="宋体"/>
          <w:sz w:val="24"/>
          <w:u w:val="single"/>
        </w:rPr>
        <w:t>2025</w:t>
      </w:r>
      <w:r>
        <w:rPr>
          <w:rFonts w:hint="eastAsia" w:ascii="宋体" w:hAnsi="宋体" w:cs="宋体"/>
          <w:bCs/>
          <w:sz w:val="24"/>
          <w:u w:val="single"/>
        </w:rPr>
        <w:t xml:space="preserve">年     </w:t>
      </w:r>
      <w:r>
        <w:rPr>
          <w:rFonts w:hint="eastAsia" w:ascii="宋体" w:hAnsi="宋体" w:cs="宋体"/>
          <w:bCs/>
          <w:sz w:val="24"/>
          <w:u w:val="single"/>
          <w:lang w:val="en-US" w:eastAsia="zh-CN"/>
        </w:rPr>
        <w:t>2</w:t>
      </w:r>
      <w:r>
        <w:rPr>
          <w:rFonts w:hint="eastAsia" w:ascii="宋体" w:hAnsi="宋体" w:cs="宋体"/>
          <w:bCs/>
          <w:sz w:val="24"/>
          <w:highlight w:val="none"/>
          <w:u w:val="single"/>
        </w:rPr>
        <w:t>月</w:t>
      </w:r>
      <w:r>
        <w:rPr>
          <w:rFonts w:hint="eastAsia" w:ascii="宋体" w:hAnsi="宋体" w:cs="宋体"/>
          <w:bCs/>
          <w:sz w:val="24"/>
          <w:highlight w:val="none"/>
          <w:u w:val="single"/>
          <w:lang w:val="en-US" w:eastAsia="zh-CN"/>
        </w:rPr>
        <w:t>12</w:t>
      </w:r>
      <w:r>
        <w:rPr>
          <w:rFonts w:hint="eastAsia" w:ascii="宋体" w:hAnsi="宋体" w:cs="宋体"/>
          <w:bCs/>
          <w:sz w:val="24"/>
          <w:highlight w:val="none"/>
          <w:u w:val="single"/>
        </w:rPr>
        <w:t>日</w:t>
      </w:r>
      <w:r>
        <w:rPr>
          <w:rFonts w:hint="eastAsia" w:ascii="宋体" w:hAnsi="宋体" w:cs="宋体"/>
          <w:bCs/>
          <w:sz w:val="24"/>
          <w:u w:val="single"/>
        </w:rPr>
        <w:t>9点30分（</w:t>
      </w:r>
      <w:r>
        <w:rPr>
          <w:rFonts w:hint="eastAsia" w:ascii="宋体" w:hAnsi="宋体" w:cs="宋体"/>
          <w:bCs/>
          <w:sz w:val="24"/>
        </w:rPr>
        <w:t>北京时间）前递交投标文件</w:t>
      </w:r>
      <w:r>
        <w:rPr>
          <w:rFonts w:hint="eastAsia" w:ascii="宋体" w:hAnsi="宋体" w:cs="宋体"/>
          <w:sz w:val="24"/>
        </w:rPr>
        <w:t>。</w:t>
      </w:r>
    </w:p>
    <w:p>
      <w:pPr>
        <w:pStyle w:val="2"/>
        <w:spacing w:line="360" w:lineRule="auto"/>
        <w:rPr>
          <w:rFonts w:ascii="宋体" w:hAnsi="宋体" w:eastAsia="宋体" w:cs="宋体"/>
          <w:sz w:val="24"/>
          <w:szCs w:val="24"/>
        </w:rPr>
      </w:pPr>
      <w:bookmarkStart w:id="7" w:name="_Toc28359079"/>
      <w:bookmarkStart w:id="8" w:name="_Toc35393790"/>
      <w:bookmarkStart w:id="9" w:name="_Toc35393621"/>
      <w:bookmarkStart w:id="10" w:name="_Toc28359002"/>
      <w:bookmarkStart w:id="11" w:name="_Hlk24379207"/>
      <w:r>
        <w:rPr>
          <w:rFonts w:hint="eastAsia" w:ascii="宋体" w:hAnsi="宋体" w:eastAsia="宋体" w:cs="宋体"/>
          <w:sz w:val="24"/>
          <w:szCs w:val="24"/>
        </w:rPr>
        <w:t>一、项目基本情况</w:t>
      </w:r>
      <w:bookmarkEnd w:id="7"/>
      <w:bookmarkEnd w:id="8"/>
      <w:bookmarkEnd w:id="9"/>
      <w:bookmarkEnd w:id="10"/>
    </w:p>
    <w:p>
      <w:pPr>
        <w:spacing w:line="360" w:lineRule="auto"/>
        <w:ind w:left="420" w:leftChars="200"/>
        <w:jc w:val="left"/>
        <w:rPr>
          <w:rFonts w:ascii="宋体" w:hAnsi="宋体" w:cs="宋体"/>
          <w:sz w:val="24"/>
        </w:rPr>
      </w:pPr>
      <w:r>
        <w:rPr>
          <w:rFonts w:hint="eastAsia" w:ascii="宋体" w:hAnsi="宋体" w:cs="宋体"/>
          <w:sz w:val="24"/>
        </w:rPr>
        <w:t>项目编号：平政采招2025-01</w:t>
      </w:r>
    </w:p>
    <w:p>
      <w:pPr>
        <w:spacing w:line="360" w:lineRule="auto"/>
        <w:ind w:left="420" w:leftChars="200"/>
        <w:jc w:val="left"/>
        <w:rPr>
          <w:rFonts w:ascii="宋体" w:hAnsi="宋体" w:cs="宋体"/>
          <w:sz w:val="24"/>
        </w:rPr>
      </w:pPr>
      <w:r>
        <w:rPr>
          <w:rFonts w:hint="eastAsia" w:ascii="宋体" w:hAnsi="宋体" w:cs="宋体"/>
          <w:sz w:val="24"/>
        </w:rPr>
        <w:t>项目名称：</w:t>
      </w:r>
      <w:bookmarkEnd w:id="11"/>
      <w:r>
        <w:rPr>
          <w:rFonts w:hint="eastAsia" w:ascii="宋体" w:hAnsi="宋体" w:cs="宋体"/>
          <w:sz w:val="24"/>
        </w:rPr>
        <w:t>平湖市新仓镇人民政府关于新仓镇幼儿园新建项目户外玩具采购项目</w:t>
      </w:r>
    </w:p>
    <w:p>
      <w:pPr>
        <w:spacing w:line="360" w:lineRule="auto"/>
        <w:ind w:left="420" w:leftChars="200"/>
        <w:jc w:val="left"/>
        <w:rPr>
          <w:rFonts w:ascii="宋体" w:hAnsi="宋体" w:cs="宋体"/>
          <w:sz w:val="24"/>
        </w:rPr>
      </w:pPr>
      <w:r>
        <w:rPr>
          <w:rFonts w:hint="eastAsia" w:ascii="宋体" w:hAnsi="宋体" w:cs="宋体"/>
          <w:sz w:val="24"/>
        </w:rPr>
        <w:t>预算金额：96万</w:t>
      </w:r>
    </w:p>
    <w:p>
      <w:pPr>
        <w:spacing w:line="360" w:lineRule="auto"/>
        <w:ind w:left="420" w:leftChars="200"/>
        <w:jc w:val="left"/>
        <w:rPr>
          <w:rFonts w:ascii="宋体" w:hAnsi="宋体" w:cs="宋体"/>
          <w:sz w:val="24"/>
        </w:rPr>
      </w:pPr>
      <w:r>
        <w:rPr>
          <w:rFonts w:hint="eastAsia" w:ascii="宋体" w:hAnsi="宋体" w:cs="宋体"/>
          <w:sz w:val="24"/>
        </w:rPr>
        <w:t>最高限价：96万</w:t>
      </w:r>
    </w:p>
    <w:p>
      <w:pPr>
        <w:spacing w:line="360" w:lineRule="auto"/>
        <w:ind w:left="420" w:leftChars="200"/>
        <w:jc w:val="left"/>
        <w:rPr>
          <w:rFonts w:ascii="宋体" w:hAnsi="宋体" w:cs="宋体"/>
          <w:sz w:val="24"/>
          <w:u w:val="single"/>
        </w:rPr>
      </w:pPr>
      <w:r>
        <w:rPr>
          <w:rFonts w:hint="eastAsia" w:ascii="宋体" w:hAnsi="宋体" w:cs="宋体"/>
          <w:sz w:val="24"/>
        </w:rPr>
        <w:t>采购需求：（详见招标文件）</w:t>
      </w:r>
    </w:p>
    <w:p>
      <w:pPr>
        <w:spacing w:line="360" w:lineRule="auto"/>
        <w:ind w:left="420" w:leftChars="200"/>
        <w:jc w:val="left"/>
        <w:rPr>
          <w:rFonts w:ascii="宋体" w:hAnsi="宋体" w:cs="宋体"/>
          <w:sz w:val="24"/>
          <w:u w:val="single"/>
        </w:rPr>
      </w:pPr>
      <w:r>
        <w:rPr>
          <w:rFonts w:hint="eastAsia" w:ascii="宋体" w:hAnsi="宋体" w:cs="宋体"/>
          <w:sz w:val="24"/>
        </w:rPr>
        <w:t>合同履行期限：自合同签订之日起至质保期结束</w:t>
      </w:r>
    </w:p>
    <w:p>
      <w:pPr>
        <w:spacing w:line="360" w:lineRule="auto"/>
        <w:ind w:left="420" w:leftChars="200"/>
        <w:jc w:val="left"/>
        <w:rPr>
          <w:rFonts w:ascii="宋体" w:hAnsi="宋体" w:cs="宋体"/>
          <w:sz w:val="24"/>
        </w:rPr>
      </w:pPr>
      <w:r>
        <w:rPr>
          <w:rFonts w:hint="eastAsia" w:ascii="宋体" w:hAnsi="宋体" w:cs="宋体"/>
          <w:sz w:val="24"/>
        </w:rPr>
        <w:t>本项目不接受联合体投标。</w:t>
      </w:r>
    </w:p>
    <w:p>
      <w:pPr>
        <w:pStyle w:val="2"/>
        <w:spacing w:line="360" w:lineRule="auto"/>
        <w:rPr>
          <w:rFonts w:ascii="宋体" w:hAnsi="宋体" w:eastAsia="宋体" w:cs="宋体"/>
          <w:sz w:val="24"/>
          <w:szCs w:val="24"/>
        </w:rPr>
      </w:pPr>
      <w:bookmarkStart w:id="12" w:name="_Toc28359080"/>
      <w:bookmarkStart w:id="13" w:name="_Toc35393791"/>
      <w:bookmarkStart w:id="14" w:name="_Toc35393622"/>
      <w:bookmarkStart w:id="15" w:name="_Toc28359003"/>
      <w:r>
        <w:rPr>
          <w:rFonts w:hint="eastAsia" w:ascii="宋体" w:hAnsi="宋体" w:eastAsia="宋体" w:cs="宋体"/>
          <w:sz w:val="24"/>
          <w:szCs w:val="24"/>
        </w:rPr>
        <w:t>二、申请人的资格要求：</w:t>
      </w:r>
      <w:bookmarkEnd w:id="12"/>
      <w:bookmarkEnd w:id="13"/>
      <w:bookmarkEnd w:id="14"/>
      <w:bookmarkEnd w:id="15"/>
    </w:p>
    <w:p>
      <w:pPr>
        <w:spacing w:line="360" w:lineRule="auto"/>
        <w:ind w:firstLine="480" w:firstLineChars="200"/>
        <w:jc w:val="left"/>
        <w:rPr>
          <w:rFonts w:ascii="宋体" w:hAnsi="宋体" w:cs="宋体"/>
          <w:sz w:val="24"/>
        </w:rPr>
      </w:pPr>
      <w:r>
        <w:rPr>
          <w:rFonts w:hint="eastAsia" w:ascii="宋体" w:hAnsi="宋体" w:cs="宋体"/>
          <w:sz w:val="24"/>
        </w:rPr>
        <w:t>1.满足《中华人民共和国政府采购法》第二十二条规定；</w:t>
      </w:r>
    </w:p>
    <w:p>
      <w:pPr>
        <w:spacing w:line="360" w:lineRule="auto"/>
        <w:ind w:firstLine="480" w:firstLineChars="200"/>
        <w:jc w:val="left"/>
        <w:rPr>
          <w:rFonts w:ascii="宋体" w:hAnsi="宋体" w:cs="宋体"/>
          <w:sz w:val="24"/>
        </w:rPr>
      </w:pPr>
      <w:r>
        <w:rPr>
          <w:rFonts w:hint="eastAsia" w:ascii="宋体" w:hAnsi="宋体" w:cs="宋体"/>
          <w:sz w:val="24"/>
        </w:rPr>
        <w:t>2.符合浙财采监【2013】24号《关于规范政府采购供应商资格设定及资格审查的通知》第六条规定,且未被“信用中国”（www.creditchina.gov.cn）、中国政府采购网（www.ccgp.gov.cn/search/cr/）列入失信被执行人、重大税收违法案件当事人名单、政府采购严重违法失信行为记录名单。</w:t>
      </w:r>
    </w:p>
    <w:p>
      <w:pPr>
        <w:spacing w:line="360" w:lineRule="auto"/>
        <w:ind w:firstLine="480" w:firstLineChars="200"/>
        <w:jc w:val="left"/>
        <w:rPr>
          <w:rFonts w:ascii="宋体" w:hAnsi="宋体" w:cs="宋体"/>
          <w:sz w:val="24"/>
        </w:rPr>
      </w:pPr>
      <w:bookmarkStart w:id="16" w:name="_Toc28359004"/>
      <w:bookmarkStart w:id="17" w:name="_Toc28359081"/>
      <w:r>
        <w:rPr>
          <w:rFonts w:hint="eastAsia" w:ascii="宋体" w:hAnsi="宋体" w:cs="宋体"/>
          <w:sz w:val="24"/>
        </w:rPr>
        <w:t>3.落实政府采购政策需满足的资格要求：本项目专门面向中小企业采购，监狱企业或残疾人福利企业参加政府采购活动的，视为中小企业。</w:t>
      </w:r>
    </w:p>
    <w:p>
      <w:pPr>
        <w:spacing w:line="360" w:lineRule="auto"/>
        <w:ind w:firstLine="480" w:firstLineChars="200"/>
        <w:jc w:val="left"/>
      </w:pPr>
      <w:r>
        <w:rPr>
          <w:rFonts w:hint="eastAsia" w:ascii="宋体" w:hAnsi="宋体" w:cs="宋体"/>
          <w:sz w:val="24"/>
        </w:rPr>
        <w:t>4.本项目的特定资格要求：无。</w:t>
      </w:r>
    </w:p>
    <w:p>
      <w:pPr>
        <w:pStyle w:val="2"/>
        <w:spacing w:line="360" w:lineRule="auto"/>
        <w:rPr>
          <w:rFonts w:ascii="宋体" w:hAnsi="宋体" w:eastAsia="宋体" w:cs="宋体"/>
          <w:sz w:val="24"/>
          <w:szCs w:val="24"/>
        </w:rPr>
      </w:pPr>
      <w:bookmarkStart w:id="18" w:name="_Toc35393623"/>
      <w:bookmarkStart w:id="19" w:name="_Toc35393792"/>
      <w:r>
        <w:rPr>
          <w:rFonts w:hint="eastAsia" w:ascii="宋体" w:hAnsi="宋体" w:eastAsia="宋体" w:cs="宋体"/>
          <w:sz w:val="24"/>
          <w:szCs w:val="24"/>
        </w:rPr>
        <w:t>三、获取招标文件</w:t>
      </w:r>
      <w:bookmarkEnd w:id="16"/>
      <w:bookmarkEnd w:id="17"/>
      <w:bookmarkEnd w:id="18"/>
      <w:bookmarkEnd w:id="19"/>
    </w:p>
    <w:p>
      <w:pPr>
        <w:spacing w:line="360" w:lineRule="auto"/>
        <w:ind w:firstLine="480" w:firstLineChars="200"/>
        <w:jc w:val="left"/>
        <w:rPr>
          <w:rFonts w:ascii="宋体" w:hAnsi="宋体" w:cs="宋体"/>
          <w:sz w:val="24"/>
        </w:rPr>
      </w:pPr>
      <w:r>
        <w:rPr>
          <w:rFonts w:hint="eastAsia" w:ascii="宋体" w:hAnsi="宋体" w:cs="宋体"/>
          <w:sz w:val="24"/>
        </w:rPr>
        <w:t>时间： 公告发布之日起到投标截止时间；</w:t>
      </w:r>
    </w:p>
    <w:p>
      <w:pPr>
        <w:spacing w:line="360" w:lineRule="auto"/>
        <w:ind w:firstLine="480" w:firstLineChars="200"/>
        <w:jc w:val="left"/>
        <w:rPr>
          <w:rFonts w:ascii="宋体" w:hAnsi="宋体" w:cs="宋体"/>
          <w:sz w:val="24"/>
        </w:rPr>
      </w:pPr>
      <w:r>
        <w:rPr>
          <w:rFonts w:hint="eastAsia" w:ascii="宋体" w:hAnsi="宋体" w:cs="宋体"/>
          <w:sz w:val="24"/>
        </w:rPr>
        <w:t>地点（网址）：政采云平台（</w:t>
      </w:r>
      <w:r>
        <w:fldChar w:fldCharType="begin"/>
      </w:r>
      <w:r>
        <w:instrText xml:space="preserve"> HYPERLINK "https://www.zcygov.cn/" </w:instrText>
      </w:r>
      <w:r>
        <w:fldChar w:fldCharType="separate"/>
      </w:r>
      <w:r>
        <w:rPr>
          <w:rFonts w:hint="eastAsia" w:ascii="宋体" w:hAnsi="宋体" w:cs="宋体"/>
          <w:sz w:val="24"/>
        </w:rPr>
        <w:t>https://www.zcygov.cn/</w:t>
      </w:r>
      <w:r>
        <w:rPr>
          <w:rFonts w:hint="eastAsia" w:ascii="宋体" w:hAnsi="宋体" w:cs="宋体"/>
          <w:sz w:val="24"/>
        </w:rPr>
        <w:fldChar w:fldCharType="end"/>
      </w:r>
      <w:r>
        <w:rPr>
          <w:rFonts w:hint="eastAsia" w:ascii="宋体" w:hAnsi="宋体" w:cs="宋体"/>
          <w:sz w:val="24"/>
        </w:rPr>
        <w:t>）</w:t>
      </w:r>
    </w:p>
    <w:p>
      <w:pPr>
        <w:spacing w:line="360" w:lineRule="auto"/>
        <w:ind w:firstLine="480" w:firstLineChars="200"/>
        <w:jc w:val="left"/>
        <w:rPr>
          <w:rFonts w:ascii="宋体" w:hAnsi="宋体" w:cs="宋体"/>
          <w:sz w:val="24"/>
          <w:u w:val="single"/>
        </w:rPr>
      </w:pPr>
      <w:r>
        <w:rPr>
          <w:rFonts w:hint="eastAsia" w:ascii="宋体" w:hAnsi="宋体" w:cs="宋体"/>
          <w:sz w:val="24"/>
        </w:rPr>
        <w:t>方式：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首次使用的供应商需要在“系统管理”-“权限管理”中打开对应功能权限。公告页面附件招标文件可以下载，仅供浏览使用；</w:t>
      </w:r>
    </w:p>
    <w:p>
      <w:pPr>
        <w:spacing w:line="360" w:lineRule="auto"/>
        <w:ind w:firstLine="480" w:firstLineChars="200"/>
        <w:jc w:val="left"/>
        <w:rPr>
          <w:rFonts w:ascii="宋体" w:hAnsi="宋体" w:cs="宋体"/>
          <w:sz w:val="24"/>
        </w:rPr>
      </w:pPr>
      <w:r>
        <w:rPr>
          <w:rFonts w:hint="eastAsia" w:ascii="宋体" w:hAnsi="宋体" w:cs="宋体"/>
          <w:sz w:val="24"/>
        </w:rPr>
        <w:t>售价：免费。</w:t>
      </w:r>
    </w:p>
    <w:p>
      <w:pPr>
        <w:pStyle w:val="2"/>
        <w:spacing w:line="360" w:lineRule="auto"/>
        <w:rPr>
          <w:rFonts w:ascii="宋体" w:hAnsi="宋体" w:eastAsia="宋体" w:cs="宋体"/>
          <w:sz w:val="24"/>
          <w:szCs w:val="24"/>
        </w:rPr>
      </w:pPr>
      <w:bookmarkStart w:id="20" w:name="_Toc28359005"/>
      <w:bookmarkStart w:id="21" w:name="_Toc28359082"/>
      <w:bookmarkStart w:id="22" w:name="_Toc35393793"/>
      <w:bookmarkStart w:id="23" w:name="_Toc35393624"/>
      <w:r>
        <w:rPr>
          <w:rFonts w:hint="eastAsia" w:ascii="宋体" w:hAnsi="宋体" w:eastAsia="宋体" w:cs="宋体"/>
          <w:sz w:val="24"/>
          <w:szCs w:val="24"/>
        </w:rPr>
        <w:t>四、提交投标文件</w:t>
      </w:r>
      <w:bookmarkEnd w:id="20"/>
      <w:bookmarkEnd w:id="21"/>
      <w:r>
        <w:rPr>
          <w:rFonts w:hint="eastAsia" w:ascii="宋体" w:hAnsi="宋体" w:eastAsia="宋体" w:cs="宋体"/>
          <w:sz w:val="24"/>
          <w:szCs w:val="24"/>
        </w:rPr>
        <w:t>截止时间、开标时间和地点</w:t>
      </w:r>
      <w:bookmarkEnd w:id="22"/>
      <w:bookmarkEnd w:id="23"/>
    </w:p>
    <w:p>
      <w:pPr>
        <w:spacing w:line="360" w:lineRule="auto"/>
        <w:ind w:firstLine="482" w:firstLineChars="200"/>
        <w:rPr>
          <w:rFonts w:ascii="宋体" w:hAnsi="宋体" w:cs="宋体"/>
          <w:sz w:val="24"/>
          <w:highlight w:val="none"/>
        </w:rPr>
      </w:pPr>
      <w:r>
        <w:rPr>
          <w:rFonts w:hint="eastAsia" w:ascii="宋体" w:hAnsi="宋体" w:cs="宋体"/>
          <w:b/>
          <w:sz w:val="24"/>
        </w:rPr>
        <w:t>提交投标文件截止时间：</w:t>
      </w:r>
      <w:r>
        <w:rPr>
          <w:rFonts w:hint="eastAsia" w:ascii="宋体" w:hAnsi="宋体" w:cs="宋体"/>
          <w:sz w:val="24"/>
        </w:rPr>
        <w:t>2025</w:t>
      </w:r>
      <w:r>
        <w:rPr>
          <w:rFonts w:hint="eastAsia" w:ascii="宋体" w:hAnsi="宋体" w:cs="宋体"/>
          <w:sz w:val="24"/>
          <w:highlight w:val="none"/>
        </w:rPr>
        <w:t>年</w:t>
      </w:r>
      <w:r>
        <w:rPr>
          <w:rFonts w:hint="eastAsia" w:ascii="宋体" w:hAnsi="宋体" w:cs="宋体"/>
          <w:sz w:val="24"/>
          <w:highlight w:val="none"/>
          <w:lang w:val="en-US" w:eastAsia="zh-CN"/>
        </w:rPr>
        <w:t>2</w:t>
      </w:r>
      <w:r>
        <w:rPr>
          <w:rFonts w:hint="eastAsia" w:ascii="宋体" w:hAnsi="宋体" w:cs="宋体"/>
          <w:sz w:val="24"/>
          <w:highlight w:val="none"/>
        </w:rPr>
        <w:t>月</w:t>
      </w:r>
      <w:r>
        <w:rPr>
          <w:rFonts w:hint="eastAsia" w:ascii="宋体" w:hAnsi="宋体" w:cs="宋体"/>
          <w:sz w:val="24"/>
          <w:highlight w:val="none"/>
          <w:lang w:val="en-US" w:eastAsia="zh-CN"/>
        </w:rPr>
        <w:t>12</w:t>
      </w:r>
      <w:r>
        <w:rPr>
          <w:rFonts w:hint="eastAsia" w:ascii="宋体" w:hAnsi="宋体" w:cs="宋体"/>
          <w:sz w:val="24"/>
          <w:highlight w:val="none"/>
        </w:rPr>
        <w:t>日9点30分（北京时间）</w:t>
      </w:r>
    </w:p>
    <w:p>
      <w:pPr>
        <w:spacing w:line="360" w:lineRule="auto"/>
        <w:ind w:firstLine="482" w:firstLineChars="200"/>
        <w:rPr>
          <w:rFonts w:ascii="宋体" w:hAnsi="宋体" w:cs="宋体"/>
          <w:bCs/>
          <w:sz w:val="24"/>
          <w:highlight w:val="none"/>
        </w:rPr>
      </w:pPr>
      <w:r>
        <w:rPr>
          <w:rFonts w:hint="eastAsia" w:ascii="宋体" w:hAnsi="宋体" w:cs="宋体"/>
          <w:b/>
          <w:sz w:val="24"/>
          <w:highlight w:val="none"/>
        </w:rPr>
        <w:t>投标地点：</w:t>
      </w:r>
      <w:r>
        <w:rPr>
          <w:rFonts w:hint="eastAsia" w:ascii="宋体" w:hAnsi="宋体" w:cs="宋体"/>
          <w:bCs/>
          <w:sz w:val="24"/>
          <w:highlight w:val="none"/>
        </w:rPr>
        <w:t>政采云平台</w:t>
      </w:r>
    </w:p>
    <w:p>
      <w:pPr>
        <w:spacing w:line="360" w:lineRule="auto"/>
        <w:ind w:firstLine="482" w:firstLineChars="200"/>
        <w:rPr>
          <w:rFonts w:ascii="宋体" w:hAnsi="宋体" w:cs="宋体"/>
          <w:sz w:val="24"/>
        </w:rPr>
      </w:pPr>
      <w:r>
        <w:rPr>
          <w:rFonts w:hint="eastAsia" w:ascii="宋体" w:hAnsi="宋体" w:cs="宋体"/>
          <w:b/>
          <w:sz w:val="24"/>
          <w:highlight w:val="none"/>
        </w:rPr>
        <w:t>开标时间：</w:t>
      </w:r>
      <w:r>
        <w:rPr>
          <w:rFonts w:hint="eastAsia" w:ascii="宋体" w:hAnsi="宋体" w:cs="宋体"/>
          <w:sz w:val="24"/>
          <w:highlight w:val="none"/>
        </w:rPr>
        <w:t>2025年</w:t>
      </w:r>
      <w:r>
        <w:rPr>
          <w:rFonts w:hint="eastAsia" w:ascii="宋体" w:hAnsi="宋体" w:cs="宋体"/>
          <w:sz w:val="24"/>
          <w:highlight w:val="none"/>
          <w:lang w:val="en-US" w:eastAsia="zh-CN"/>
        </w:rPr>
        <w:t>2</w:t>
      </w:r>
      <w:r>
        <w:rPr>
          <w:rFonts w:hint="eastAsia" w:ascii="宋体" w:hAnsi="宋体" w:cs="宋体"/>
          <w:sz w:val="24"/>
          <w:highlight w:val="none"/>
        </w:rPr>
        <w:t>月</w:t>
      </w:r>
      <w:r>
        <w:rPr>
          <w:rFonts w:hint="eastAsia" w:ascii="宋体" w:hAnsi="宋体" w:cs="宋体"/>
          <w:sz w:val="24"/>
          <w:highlight w:val="none"/>
          <w:lang w:val="en-US" w:eastAsia="zh-CN"/>
        </w:rPr>
        <w:t>12</w:t>
      </w:r>
      <w:r>
        <w:rPr>
          <w:rFonts w:hint="eastAsia" w:ascii="宋体" w:hAnsi="宋体" w:cs="宋体"/>
          <w:sz w:val="24"/>
          <w:highlight w:val="none"/>
        </w:rPr>
        <w:t>日9</w:t>
      </w:r>
      <w:r>
        <w:rPr>
          <w:rFonts w:hint="eastAsia" w:ascii="宋体" w:hAnsi="宋体" w:cs="宋体"/>
          <w:sz w:val="24"/>
        </w:rPr>
        <w:t>点30分</w:t>
      </w:r>
    </w:p>
    <w:p>
      <w:pPr>
        <w:spacing w:line="360" w:lineRule="auto"/>
        <w:ind w:firstLine="482" w:firstLineChars="200"/>
        <w:rPr>
          <w:rFonts w:ascii="宋体" w:hAnsi="宋体" w:cs="宋体"/>
          <w:sz w:val="24"/>
        </w:rPr>
      </w:pPr>
      <w:r>
        <w:rPr>
          <w:rFonts w:hint="eastAsia" w:ascii="宋体" w:hAnsi="宋体" w:cs="宋体"/>
          <w:b/>
          <w:sz w:val="24"/>
        </w:rPr>
        <w:t>开标地点：</w:t>
      </w:r>
      <w:r>
        <w:rPr>
          <w:rFonts w:hint="eastAsia" w:ascii="宋体" w:hAnsi="宋体" w:cs="宋体"/>
          <w:sz w:val="24"/>
        </w:rPr>
        <w:t xml:space="preserve"> 平湖市政务服务中心三楼 平湖市公共资源交易中心315室</w:t>
      </w:r>
    </w:p>
    <w:p>
      <w:pPr>
        <w:pStyle w:val="2"/>
        <w:spacing w:line="360" w:lineRule="auto"/>
        <w:rPr>
          <w:rFonts w:ascii="宋体" w:hAnsi="宋体" w:eastAsia="宋体" w:cs="宋体"/>
          <w:sz w:val="24"/>
          <w:szCs w:val="24"/>
        </w:rPr>
      </w:pPr>
      <w:bookmarkStart w:id="24" w:name="_Toc35393625"/>
      <w:bookmarkStart w:id="25" w:name="_Toc35393794"/>
      <w:bookmarkStart w:id="26" w:name="_Toc28359007"/>
      <w:bookmarkStart w:id="27" w:name="_Toc28359084"/>
      <w:r>
        <w:rPr>
          <w:rFonts w:hint="eastAsia" w:ascii="宋体" w:hAnsi="宋体" w:eastAsia="宋体" w:cs="宋体"/>
          <w:sz w:val="24"/>
          <w:szCs w:val="24"/>
        </w:rPr>
        <w:t>五、公告期限</w:t>
      </w:r>
      <w:bookmarkEnd w:id="24"/>
      <w:bookmarkEnd w:id="25"/>
      <w:bookmarkEnd w:id="26"/>
      <w:bookmarkEnd w:id="27"/>
    </w:p>
    <w:p>
      <w:pPr>
        <w:spacing w:line="360" w:lineRule="auto"/>
        <w:ind w:firstLine="480" w:firstLineChars="200"/>
        <w:jc w:val="left"/>
        <w:rPr>
          <w:rFonts w:ascii="宋体" w:hAnsi="宋体" w:cs="宋体"/>
          <w:kern w:val="0"/>
          <w:sz w:val="24"/>
        </w:rPr>
      </w:pPr>
      <w:r>
        <w:rPr>
          <w:rFonts w:hint="eastAsia" w:ascii="宋体" w:hAnsi="宋体" w:cs="宋体"/>
          <w:kern w:val="0"/>
          <w:sz w:val="24"/>
        </w:rPr>
        <w:t>自本公告发布之日起5个工作日。</w:t>
      </w:r>
    </w:p>
    <w:p>
      <w:pPr>
        <w:pStyle w:val="2"/>
        <w:spacing w:line="360" w:lineRule="auto"/>
        <w:rPr>
          <w:rFonts w:ascii="宋体" w:hAnsi="宋体" w:eastAsia="宋体" w:cs="宋体"/>
          <w:sz w:val="24"/>
          <w:szCs w:val="24"/>
        </w:rPr>
      </w:pPr>
      <w:bookmarkStart w:id="28" w:name="_Toc35393795"/>
      <w:bookmarkStart w:id="29" w:name="_Toc35393626"/>
      <w:r>
        <w:rPr>
          <w:rFonts w:hint="eastAsia" w:ascii="宋体" w:hAnsi="宋体" w:eastAsia="宋体" w:cs="宋体"/>
          <w:sz w:val="24"/>
          <w:szCs w:val="24"/>
        </w:rPr>
        <w:t>六、其他补充事宜</w:t>
      </w:r>
      <w:bookmarkEnd w:id="28"/>
      <w:bookmarkEnd w:id="29"/>
    </w:p>
    <w:p>
      <w:pPr>
        <w:pStyle w:val="3"/>
        <w:ind w:firstLine="480"/>
        <w:rPr>
          <w:rFonts w:asciiTheme="minorEastAsia" w:hAnsiTheme="minorEastAsia" w:eastAsiaTheme="minorEastAsia" w:cstheme="minorEastAsia"/>
          <w:szCs w:val="24"/>
          <w:shd w:val="clear" w:color="auto" w:fill="FFFFFF"/>
        </w:rPr>
      </w:pPr>
      <w:bookmarkStart w:id="30" w:name="_Toc28359085"/>
      <w:bookmarkStart w:id="31" w:name="_Toc35393627"/>
      <w:bookmarkStart w:id="32" w:name="_Toc28359008"/>
      <w:bookmarkStart w:id="33" w:name="_Toc35393796"/>
      <w:r>
        <w:rPr>
          <w:rFonts w:hint="eastAsia" w:asciiTheme="minorEastAsia" w:hAnsiTheme="minorEastAsia" w:eastAsiaTheme="minorEastAsia" w:cstheme="minorEastAsia"/>
          <w:szCs w:val="24"/>
          <w:shd w:val="clear" w:color="auto" w:fill="FFFFFF"/>
        </w:rPr>
        <w:t>1.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2.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3.本项目按照《浙江省财政厅关于印发浙江省政府采购项电子交易管理暂行办法的通知》实行电子交易。</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3.1.投标文件制作注意事项</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3.1.1供应商将政采云电子交易客户端下载、安装完成后，可通过账号密码或CA登录客户端进行投标文件制作。</w:t>
      </w:r>
      <w:r>
        <w:rPr>
          <w:rFonts w:hint="eastAsia" w:asciiTheme="minorEastAsia" w:hAnsiTheme="minorEastAsia" w:eastAsiaTheme="minorEastAsia" w:cstheme="minorEastAsia"/>
          <w:szCs w:val="24"/>
          <w:shd w:val="clear" w:color="auto" w:fill="FFFFFF"/>
        </w:rPr>
        <w:br w:type="textWrapping"/>
      </w:r>
      <w:r>
        <w:rPr>
          <w:rFonts w:hint="eastAsia" w:asciiTheme="minorEastAsia" w:hAnsiTheme="minorEastAsia" w:eastAsiaTheme="minorEastAsia" w:cstheme="minorEastAsia"/>
          <w:szCs w:val="24"/>
          <w:shd w:val="clear" w:color="auto" w:fill="FFFFFF"/>
        </w:rPr>
        <w:t>注：供应商先要申领CA，拿到CA后需要在政采云平台进行绑定，CA相关操作可参考CA驱动和申领流程。完成CA数字证书办理在资料齐全的情况下预计7个工作日左右，建议供应商获取招标文件后立即办理。</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3.1.2 CA驱动和申领流程</w:t>
      </w:r>
      <w:r>
        <w:rPr>
          <w:rFonts w:hint="eastAsia" w:asciiTheme="minorEastAsia" w:hAnsiTheme="minorEastAsia" w:eastAsiaTheme="minorEastAsia" w:cstheme="minorEastAsia"/>
          <w:szCs w:val="24"/>
          <w:shd w:val="clear" w:color="auto" w:fill="FFFFFF"/>
        </w:rPr>
        <w:br w:type="textWrapping"/>
      </w:r>
      <w:r>
        <w:fldChar w:fldCharType="begin"/>
      </w:r>
      <w:r>
        <w:instrText xml:space="preserve"> HYPERLINK "https://zfcg.czt.zj.gov.cn/bidClientTemplate/2019-05-27/12945.html" \t "_blank" </w:instrText>
      </w:r>
      <w:r>
        <w:fldChar w:fldCharType="separate"/>
      </w:r>
      <w:r>
        <w:rPr>
          <w:rStyle w:val="26"/>
          <w:rFonts w:hint="eastAsia" w:asciiTheme="minorEastAsia" w:hAnsiTheme="minorEastAsia" w:eastAsiaTheme="minorEastAsia" w:cstheme="minorEastAsia"/>
          <w:color w:val="auto"/>
          <w:szCs w:val="24"/>
          <w:shd w:val="clear" w:color="auto" w:fill="FFFFFF"/>
        </w:rPr>
        <w:t>https://zfcg.czt.zj.gov.cn/bidClientTemplate/2019-05-27/12945.html</w:t>
      </w:r>
      <w:r>
        <w:rPr>
          <w:rStyle w:val="26"/>
          <w:rFonts w:hint="eastAsia" w:asciiTheme="minorEastAsia" w:hAnsiTheme="minorEastAsia" w:eastAsiaTheme="minorEastAsia" w:cstheme="minorEastAsia"/>
          <w:color w:val="auto"/>
          <w:szCs w:val="24"/>
          <w:shd w:val="clear" w:color="auto" w:fill="FFFFFF"/>
        </w:rPr>
        <w:fldChar w:fldCharType="end"/>
      </w:r>
      <w:r>
        <w:rPr>
          <w:rFonts w:hint="eastAsia" w:asciiTheme="minorEastAsia" w:hAnsiTheme="minorEastAsia" w:eastAsiaTheme="minorEastAsia" w:cstheme="minorEastAsia"/>
          <w:szCs w:val="24"/>
          <w:shd w:val="clear" w:color="auto" w:fill="FFFFFF"/>
        </w:rPr>
        <w:t xml:space="preserve"> </w:t>
      </w:r>
      <w:r>
        <w:rPr>
          <w:rFonts w:hint="eastAsia" w:asciiTheme="minorEastAsia" w:hAnsiTheme="minorEastAsia" w:eastAsiaTheme="minorEastAsia" w:cstheme="minorEastAsia"/>
          <w:szCs w:val="24"/>
          <w:shd w:val="clear" w:color="auto" w:fill="FFFFFF"/>
        </w:rPr>
        <w:br w:type="textWrapping"/>
      </w:r>
      <w:r>
        <w:rPr>
          <w:rFonts w:hint="eastAsia" w:asciiTheme="minorEastAsia" w:hAnsiTheme="minorEastAsia" w:eastAsiaTheme="minorEastAsia" w:cstheme="minorEastAsia"/>
          <w:szCs w:val="24"/>
          <w:shd w:val="clear" w:color="auto" w:fill="FFFFFF"/>
        </w:rPr>
        <w:t>注：CA证书遗失补办、延期、解锁、质保等业务可以在联连客户端上进行操作；使用政采云投标客户端时，建议使用windows7以上且64位的操作系统。</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3.1.3 CA证书办理操作视频</w:t>
      </w:r>
      <w:r>
        <w:rPr>
          <w:rFonts w:hint="eastAsia" w:asciiTheme="minorEastAsia" w:hAnsiTheme="minorEastAsia" w:eastAsiaTheme="minorEastAsia" w:cstheme="minorEastAsia"/>
          <w:szCs w:val="24"/>
          <w:shd w:val="clear" w:color="auto" w:fill="FFFFFF"/>
        </w:rPr>
        <w:br w:type="textWrapping"/>
      </w:r>
      <w:r>
        <w:fldChar w:fldCharType="begin"/>
      </w:r>
      <w:r>
        <w:instrText xml:space="preserve"> HYPERLINK "https://service.zcygov.cn/" \l "/knowledges/UgcbC3EBiyELHE-opz1b/EWqqyXEByNnJ3A2CPyDI" \t "_blank" </w:instrText>
      </w:r>
      <w:r>
        <w:fldChar w:fldCharType="separate"/>
      </w:r>
      <w:r>
        <w:rPr>
          <w:rStyle w:val="26"/>
          <w:rFonts w:hint="eastAsia" w:asciiTheme="minorEastAsia" w:hAnsiTheme="minorEastAsia" w:eastAsiaTheme="minorEastAsia" w:cstheme="minorEastAsia"/>
          <w:color w:val="auto"/>
          <w:szCs w:val="24"/>
          <w:shd w:val="clear" w:color="auto" w:fill="FFFFFF"/>
        </w:rPr>
        <w:t>https://service.zcygov.cn/#/knowledges/UgcbC3EBiyELHE-opz1b/EWqqyXEByNnJ3A2CPyDI</w:t>
      </w:r>
      <w:r>
        <w:rPr>
          <w:rStyle w:val="26"/>
          <w:rFonts w:hint="eastAsia" w:asciiTheme="minorEastAsia" w:hAnsiTheme="minorEastAsia" w:eastAsiaTheme="minorEastAsia" w:cstheme="minorEastAsia"/>
          <w:color w:val="auto"/>
          <w:szCs w:val="24"/>
          <w:shd w:val="clear" w:color="auto" w:fill="FFFFFF"/>
        </w:rPr>
        <w:fldChar w:fldCharType="end"/>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3.1.4 CA绑定登录操作视频</w:t>
      </w:r>
      <w:r>
        <w:rPr>
          <w:rFonts w:hint="eastAsia" w:asciiTheme="minorEastAsia" w:hAnsiTheme="minorEastAsia" w:eastAsiaTheme="minorEastAsia" w:cstheme="minorEastAsia"/>
          <w:szCs w:val="24"/>
          <w:shd w:val="clear" w:color="auto" w:fill="FFFFFF"/>
        </w:rPr>
        <w:br w:type="textWrapping"/>
      </w:r>
      <w:r>
        <w:fldChar w:fldCharType="begin"/>
      </w:r>
      <w:r>
        <w:instrText xml:space="preserve"> HYPERLINK "https://service.zcygov.cn/" \l "/knowledges/UgcbC3EBiyELHE-opz1b/nAkmyXEBiyELHE-o-983" \t "_blank" </w:instrText>
      </w:r>
      <w:r>
        <w:fldChar w:fldCharType="separate"/>
      </w:r>
      <w:r>
        <w:rPr>
          <w:rStyle w:val="26"/>
          <w:rFonts w:hint="eastAsia" w:asciiTheme="minorEastAsia" w:hAnsiTheme="minorEastAsia" w:eastAsiaTheme="minorEastAsia" w:cstheme="minorEastAsia"/>
          <w:color w:val="auto"/>
          <w:szCs w:val="24"/>
          <w:shd w:val="clear" w:color="auto" w:fill="FFFFFF"/>
        </w:rPr>
        <w:t>https://service.zcygov.cn/#/knowledges/UgcbC3EBiyELHE-opz1b/nAkmyXEBiyELHE-o-983</w:t>
      </w:r>
      <w:r>
        <w:rPr>
          <w:rStyle w:val="26"/>
          <w:rFonts w:hint="eastAsia" w:asciiTheme="minorEastAsia" w:hAnsiTheme="minorEastAsia" w:eastAsiaTheme="minorEastAsia" w:cstheme="minorEastAsia"/>
          <w:color w:val="auto"/>
          <w:szCs w:val="24"/>
          <w:shd w:val="clear" w:color="auto" w:fill="FFFFFF"/>
        </w:rPr>
        <w:fldChar w:fldCharType="end"/>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3.1.5浙江省“项目采购电子交易系统/不见面开评审”学习专题：</w:t>
      </w:r>
      <w:r>
        <w:fldChar w:fldCharType="begin"/>
      </w:r>
      <w:r>
        <w:instrText xml:space="preserve"> HYPERLINK "https://edu.zcygov.cn/luban/e-biding" \t "_blank" </w:instrText>
      </w:r>
      <w:r>
        <w:fldChar w:fldCharType="separate"/>
      </w:r>
      <w:r>
        <w:rPr>
          <w:rStyle w:val="26"/>
          <w:rFonts w:hint="eastAsia" w:asciiTheme="minorEastAsia" w:hAnsiTheme="minorEastAsia" w:eastAsiaTheme="minorEastAsia" w:cstheme="minorEastAsia"/>
          <w:color w:val="auto"/>
          <w:szCs w:val="24"/>
          <w:shd w:val="clear" w:color="auto" w:fill="FFFFFF"/>
        </w:rPr>
        <w:t>https://edu.zcygov.cn/luban/e-biding</w:t>
      </w:r>
      <w:r>
        <w:rPr>
          <w:rStyle w:val="26"/>
          <w:rFonts w:hint="eastAsia" w:asciiTheme="minorEastAsia" w:hAnsiTheme="minorEastAsia" w:eastAsiaTheme="minorEastAsia" w:cstheme="minorEastAsia"/>
          <w:color w:val="auto"/>
          <w:szCs w:val="24"/>
          <w:shd w:val="clear" w:color="auto" w:fill="FFFFFF"/>
        </w:rPr>
        <w:fldChar w:fldCharType="end"/>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3.2.投标文件提交注意事项</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3.2.1本项目实行电子投标。投标文件应按照本项目招标文件和电子交易平台的要求编制、加密，并应当在投标截止时间前在规定电子交易平台完成传输递交，投标截止时间后送达的投标文件，将被电子交易平台拒收。</w:t>
      </w:r>
    </w:p>
    <w:p>
      <w:pPr>
        <w:pStyle w:val="3"/>
        <w:ind w:firstLine="48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3.2.2为确保采购项目顺利实施，避免因解密失败导致投标方投标无效，投标方可在202</w:t>
      </w:r>
      <w:r>
        <w:rPr>
          <w:rFonts w:hint="eastAsia" w:asciiTheme="minorEastAsia" w:hAnsiTheme="minorEastAsia" w:eastAsiaTheme="minorEastAsia" w:cstheme="minorEastAsia"/>
          <w:szCs w:val="24"/>
          <w:highlight w:val="none"/>
          <w:shd w:val="clear" w:color="auto" w:fill="FFFFFF"/>
        </w:rPr>
        <w:t>5年</w:t>
      </w:r>
      <w:r>
        <w:rPr>
          <w:rFonts w:hint="eastAsia" w:asciiTheme="minorEastAsia" w:hAnsiTheme="minorEastAsia" w:eastAsiaTheme="minorEastAsia" w:cstheme="minorEastAsia"/>
          <w:szCs w:val="24"/>
          <w:highlight w:val="none"/>
          <w:shd w:val="clear" w:color="auto" w:fill="FFFFFF"/>
          <w:lang w:val="en-US" w:eastAsia="zh-CN"/>
        </w:rPr>
        <w:t>2月12</w:t>
      </w:r>
      <w:r>
        <w:rPr>
          <w:rFonts w:hint="eastAsia" w:asciiTheme="minorEastAsia" w:hAnsiTheme="minorEastAsia" w:eastAsiaTheme="minorEastAsia" w:cstheme="minorEastAsia"/>
          <w:szCs w:val="24"/>
          <w:highlight w:val="none"/>
          <w:shd w:val="clear" w:color="auto" w:fill="FFFFFF"/>
        </w:rPr>
        <w:t>日上</w:t>
      </w:r>
      <w:r>
        <w:rPr>
          <w:rFonts w:hint="eastAsia" w:asciiTheme="minorEastAsia" w:hAnsiTheme="minorEastAsia" w:eastAsiaTheme="minorEastAsia" w:cstheme="minorEastAsia"/>
          <w:szCs w:val="24"/>
          <w:shd w:val="clear" w:color="auto" w:fill="FFFFFF"/>
        </w:rPr>
        <w:t>午9点30分前将在政采云平台上最后生成的具备电子签章的备份电子标文件装袋密封后邮寄或直接送达至平湖市公共资源交易中心（包裹外包装上应当用不褪色墨水笔注明投标人名称、项目名称以及法定代表人或其委托代理人签名，投标人应当确保U盘能够打开运行并正常使用）（送达地址：浙江省嘉兴市平湖市政务服务中心，收件人：姜方芳；联系电话：0573-85631737），如在开标过程中出现解密失败情况，以备份文件作为替代投标文件，如投标人未按照规定时间及要求提供有效备份文件，同时政采云上投标文件解密失败的，将导致投标无效。</w:t>
      </w:r>
    </w:p>
    <w:p>
      <w:pPr>
        <w:pStyle w:val="3"/>
        <w:ind w:left="479" w:leftChars="228" w:firstLine="0" w:firstLineChars="0"/>
        <w:rPr>
          <w:rFonts w:asciiTheme="minorEastAsia" w:hAnsiTheme="minorEastAsia" w:eastAsiaTheme="minorEastAsia" w:cstheme="minorEastAsia"/>
          <w:szCs w:val="24"/>
          <w:shd w:val="clear" w:color="auto" w:fill="FFFFFF"/>
        </w:rPr>
      </w:pPr>
      <w:r>
        <w:rPr>
          <w:rFonts w:hint="eastAsia" w:asciiTheme="minorEastAsia" w:hAnsiTheme="minorEastAsia" w:eastAsiaTheme="minorEastAsia" w:cstheme="minorEastAsia"/>
          <w:szCs w:val="24"/>
          <w:shd w:val="clear" w:color="auto" w:fill="FFFFFF"/>
        </w:rPr>
        <w:t>4.惠企政策</w:t>
      </w:r>
    </w:p>
    <w:p>
      <w:pPr>
        <w:pStyle w:val="3"/>
        <w:ind w:firstLine="480"/>
        <w:rPr>
          <w:rFonts w:ascii="宋体" w:hAnsi="宋体"/>
          <w:bCs/>
        </w:rPr>
      </w:pPr>
      <w:r>
        <w:rPr>
          <w:rFonts w:hint="eastAsia" w:asciiTheme="minorEastAsia" w:hAnsiTheme="minorEastAsia" w:eastAsiaTheme="minorEastAsia" w:cstheme="minorEastAsia"/>
          <w:szCs w:val="24"/>
          <w:shd w:val="clear" w:color="auto" w:fill="FFFFFF"/>
        </w:rPr>
        <w:t>本采购项目，中标单位与采购人签订的政府采购合同适用于平湖市政府采购贷款政策，简称“政采贷”，具体内容可参阅各银行政府采购贷款流程：</w:t>
      </w:r>
      <w:r>
        <w:rPr>
          <w:rFonts w:hint="eastAsia" w:ascii="宋体" w:hAnsi="宋体" w:cs="宋体"/>
          <w:szCs w:val="24"/>
        </w:rPr>
        <w:t>http://jxszwsjb.jiaxing.gov.cn/art/2021/1/26/art_1229743922_103958.html</w:t>
      </w:r>
    </w:p>
    <w:p>
      <w:pPr>
        <w:pStyle w:val="2"/>
        <w:spacing w:line="360" w:lineRule="auto"/>
        <w:rPr>
          <w:rFonts w:ascii="宋体" w:hAnsi="宋体" w:eastAsia="宋体" w:cs="宋体"/>
          <w:sz w:val="24"/>
          <w:szCs w:val="24"/>
        </w:rPr>
      </w:pPr>
      <w:r>
        <w:rPr>
          <w:rFonts w:hint="eastAsia" w:ascii="宋体" w:hAnsi="宋体" w:eastAsia="宋体" w:cs="宋体"/>
          <w:sz w:val="24"/>
          <w:szCs w:val="24"/>
        </w:rPr>
        <w:t>七、对本次招标提出询问，请按以下方式联系。</w:t>
      </w:r>
      <w:bookmarkEnd w:id="30"/>
      <w:bookmarkEnd w:id="31"/>
      <w:bookmarkEnd w:id="32"/>
      <w:bookmarkEnd w:id="33"/>
    </w:p>
    <w:p>
      <w:pPr>
        <w:widowControl/>
        <w:spacing w:line="360" w:lineRule="auto"/>
        <w:jc w:val="left"/>
        <w:rPr>
          <w:rFonts w:ascii="宋体" w:hAnsi="宋体" w:cs="宋体"/>
          <w:sz w:val="24"/>
        </w:rPr>
      </w:pPr>
      <w:r>
        <w:rPr>
          <w:rFonts w:hint="eastAsia" w:ascii="宋体" w:hAnsi="宋体" w:cs="宋体"/>
          <w:sz w:val="24"/>
        </w:rPr>
        <w:t>1.采购人信息</w:t>
      </w:r>
    </w:p>
    <w:p>
      <w:pPr>
        <w:spacing w:line="360" w:lineRule="auto"/>
        <w:jc w:val="left"/>
        <w:rPr>
          <w:rFonts w:ascii="宋体" w:hAnsi="宋体" w:cs="宋体"/>
          <w:sz w:val="24"/>
        </w:rPr>
      </w:pPr>
      <w:r>
        <w:rPr>
          <w:rFonts w:hint="eastAsia" w:ascii="宋体" w:hAnsi="宋体" w:cs="宋体"/>
          <w:sz w:val="24"/>
        </w:rPr>
        <w:t>名 称：平湖市新仓镇人民政府</w:t>
      </w:r>
    </w:p>
    <w:p>
      <w:pPr>
        <w:spacing w:line="360" w:lineRule="auto"/>
        <w:jc w:val="left"/>
        <w:rPr>
          <w:rFonts w:ascii="宋体" w:hAnsi="宋体" w:cs="宋体"/>
          <w:sz w:val="24"/>
        </w:rPr>
      </w:pPr>
      <w:r>
        <w:rPr>
          <w:rFonts w:hint="eastAsia" w:ascii="宋体" w:hAnsi="宋体" w:cs="宋体"/>
          <w:sz w:val="24"/>
        </w:rPr>
        <w:t>地址：平湖市新仓镇仓东路688号</w:t>
      </w:r>
    </w:p>
    <w:p>
      <w:pPr>
        <w:spacing w:line="360" w:lineRule="auto"/>
        <w:jc w:val="left"/>
      </w:pPr>
      <w:r>
        <w:rPr>
          <w:rFonts w:hint="eastAsia" w:ascii="宋体" w:hAnsi="宋体" w:cs="宋体"/>
          <w:sz w:val="24"/>
        </w:rPr>
        <w:t>项目联系人（询问）：朱佳成</w:t>
      </w:r>
    </w:p>
    <w:p>
      <w:pPr>
        <w:spacing w:line="360" w:lineRule="auto"/>
        <w:jc w:val="left"/>
        <w:rPr>
          <w:rFonts w:ascii="宋体" w:hAnsi="宋体" w:cs="宋体"/>
          <w:sz w:val="24"/>
        </w:rPr>
      </w:pPr>
      <w:r>
        <w:rPr>
          <w:rFonts w:hint="eastAsia" w:ascii="宋体" w:hAnsi="宋体" w:cs="宋体"/>
          <w:sz w:val="24"/>
        </w:rPr>
        <w:t>项目联系方式（询问）：18358304997</w:t>
      </w:r>
    </w:p>
    <w:p>
      <w:pPr>
        <w:spacing w:line="360" w:lineRule="auto"/>
        <w:jc w:val="left"/>
        <w:rPr>
          <w:rFonts w:ascii="宋体" w:hAnsi="宋体" w:cs="宋体"/>
          <w:sz w:val="24"/>
        </w:rPr>
      </w:pPr>
      <w:r>
        <w:rPr>
          <w:rFonts w:hint="eastAsia" w:ascii="宋体" w:hAnsi="宋体" w:cs="宋体"/>
          <w:sz w:val="24"/>
        </w:rPr>
        <w:t>质疑联系人：朱佳成</w:t>
      </w:r>
    </w:p>
    <w:p>
      <w:pPr>
        <w:spacing w:line="360" w:lineRule="auto"/>
        <w:jc w:val="left"/>
        <w:rPr>
          <w:rFonts w:ascii="宋体" w:hAnsi="宋体" w:cs="宋体"/>
          <w:sz w:val="24"/>
        </w:rPr>
      </w:pPr>
      <w:r>
        <w:rPr>
          <w:rFonts w:hint="eastAsia" w:ascii="宋体" w:hAnsi="宋体" w:cs="宋体"/>
          <w:sz w:val="24"/>
        </w:rPr>
        <w:t>质疑联系方式：</w:t>
      </w:r>
      <w:bookmarkStart w:id="34" w:name="_Toc28359009"/>
      <w:bookmarkStart w:id="35" w:name="_Toc28359086"/>
      <w:r>
        <w:rPr>
          <w:rFonts w:hint="eastAsia" w:ascii="宋体" w:hAnsi="宋体" w:cs="宋体"/>
          <w:sz w:val="24"/>
        </w:rPr>
        <w:t>18358304997</w:t>
      </w:r>
    </w:p>
    <w:p>
      <w:pPr>
        <w:spacing w:line="360" w:lineRule="auto"/>
        <w:jc w:val="left"/>
        <w:rPr>
          <w:rFonts w:ascii="宋体" w:hAnsi="宋体" w:cs="宋体"/>
          <w:sz w:val="24"/>
        </w:rPr>
      </w:pPr>
      <w:r>
        <w:rPr>
          <w:rFonts w:hint="eastAsia" w:ascii="宋体" w:hAnsi="宋体" w:cs="宋体"/>
          <w:sz w:val="24"/>
        </w:rPr>
        <w:t>2.集中采购机构信息</w:t>
      </w:r>
      <w:bookmarkEnd w:id="34"/>
      <w:bookmarkEnd w:id="35"/>
    </w:p>
    <w:p>
      <w:pPr>
        <w:spacing w:line="360" w:lineRule="auto"/>
        <w:jc w:val="left"/>
        <w:rPr>
          <w:rFonts w:ascii="宋体" w:hAnsi="宋体" w:cs="宋体"/>
          <w:sz w:val="24"/>
        </w:rPr>
      </w:pPr>
      <w:r>
        <w:rPr>
          <w:rFonts w:hint="eastAsia" w:ascii="宋体" w:hAnsi="宋体" w:cs="宋体"/>
          <w:sz w:val="24"/>
        </w:rPr>
        <w:t>名 称：平湖市公共资源交易中心</w:t>
      </w:r>
    </w:p>
    <w:p>
      <w:pPr>
        <w:spacing w:line="360" w:lineRule="auto"/>
        <w:jc w:val="left"/>
        <w:rPr>
          <w:rFonts w:ascii="宋体" w:hAnsi="宋体" w:cs="宋体"/>
          <w:sz w:val="24"/>
        </w:rPr>
      </w:pPr>
      <w:r>
        <w:rPr>
          <w:rFonts w:hint="eastAsia" w:ascii="宋体" w:hAnsi="宋体" w:cs="宋体"/>
          <w:sz w:val="24"/>
        </w:rPr>
        <w:t>地址：平湖市政务服务中心三楼</w:t>
      </w:r>
    </w:p>
    <w:p>
      <w:pPr>
        <w:spacing w:line="360" w:lineRule="auto"/>
        <w:jc w:val="left"/>
        <w:rPr>
          <w:rFonts w:ascii="宋体" w:hAnsi="宋体" w:cs="宋体"/>
          <w:sz w:val="24"/>
        </w:rPr>
      </w:pPr>
      <w:r>
        <w:rPr>
          <w:rFonts w:hint="eastAsia" w:ascii="宋体" w:hAnsi="宋体" w:cs="宋体"/>
          <w:sz w:val="24"/>
        </w:rPr>
        <w:t>传真：0573-85631737</w:t>
      </w:r>
    </w:p>
    <w:p>
      <w:pPr>
        <w:spacing w:line="360" w:lineRule="auto"/>
        <w:jc w:val="left"/>
        <w:rPr>
          <w:rFonts w:ascii="宋体" w:hAnsi="宋体" w:cs="宋体"/>
          <w:sz w:val="24"/>
        </w:rPr>
      </w:pPr>
      <w:r>
        <w:rPr>
          <w:rFonts w:hint="eastAsia" w:ascii="宋体" w:hAnsi="宋体" w:cs="宋体"/>
          <w:sz w:val="24"/>
        </w:rPr>
        <w:t>项目联系人（询问）：姜方芳</w:t>
      </w:r>
    </w:p>
    <w:p>
      <w:pPr>
        <w:spacing w:line="360" w:lineRule="auto"/>
        <w:jc w:val="left"/>
        <w:rPr>
          <w:rFonts w:ascii="宋体" w:hAnsi="宋体" w:cs="宋体"/>
          <w:sz w:val="24"/>
        </w:rPr>
      </w:pPr>
      <w:r>
        <w:rPr>
          <w:rFonts w:hint="eastAsia" w:ascii="宋体" w:hAnsi="宋体" w:cs="宋体"/>
          <w:sz w:val="24"/>
        </w:rPr>
        <w:t>项目联系方式（询问）：0573-85631737</w:t>
      </w:r>
    </w:p>
    <w:p>
      <w:pPr>
        <w:spacing w:line="360" w:lineRule="auto"/>
        <w:jc w:val="left"/>
        <w:rPr>
          <w:rFonts w:ascii="宋体" w:hAnsi="宋体" w:cs="宋体"/>
          <w:sz w:val="24"/>
        </w:rPr>
      </w:pPr>
      <w:r>
        <w:rPr>
          <w:rFonts w:hint="eastAsia" w:ascii="宋体" w:hAnsi="宋体" w:cs="宋体"/>
          <w:sz w:val="24"/>
        </w:rPr>
        <w:t>质疑联系人：于金成</w:t>
      </w:r>
    </w:p>
    <w:p>
      <w:pPr>
        <w:spacing w:line="360" w:lineRule="auto"/>
        <w:jc w:val="left"/>
        <w:rPr>
          <w:rFonts w:ascii="宋体" w:hAnsi="宋体" w:cs="宋体"/>
          <w:sz w:val="24"/>
        </w:rPr>
      </w:pPr>
      <w:r>
        <w:rPr>
          <w:rFonts w:hint="eastAsia" w:ascii="宋体" w:hAnsi="宋体" w:cs="宋体"/>
          <w:sz w:val="24"/>
        </w:rPr>
        <w:t xml:space="preserve">质疑联系方式：0573-85631720 </w:t>
      </w:r>
    </w:p>
    <w:p>
      <w:pPr>
        <w:spacing w:line="360" w:lineRule="auto"/>
        <w:jc w:val="left"/>
        <w:rPr>
          <w:rFonts w:ascii="宋体" w:hAnsi="宋体" w:cs="宋体"/>
          <w:sz w:val="24"/>
        </w:rPr>
      </w:pPr>
      <w:r>
        <w:rPr>
          <w:rFonts w:hint="eastAsia" w:ascii="宋体" w:hAnsi="宋体" w:cs="宋体"/>
          <w:sz w:val="24"/>
        </w:rPr>
        <w:t>3.同级政府采购监督管理部门            </w:t>
      </w:r>
    </w:p>
    <w:p>
      <w:pPr>
        <w:spacing w:line="360" w:lineRule="auto"/>
        <w:jc w:val="left"/>
        <w:rPr>
          <w:rFonts w:ascii="宋体" w:hAnsi="宋体" w:cs="宋体"/>
          <w:sz w:val="24"/>
        </w:rPr>
      </w:pPr>
      <w:r>
        <w:rPr>
          <w:rFonts w:hint="eastAsia" w:ascii="宋体" w:hAnsi="宋体" w:cs="宋体"/>
          <w:sz w:val="24"/>
        </w:rPr>
        <w:t>名称：平湖市财政局政府采购监管科             </w:t>
      </w:r>
    </w:p>
    <w:p>
      <w:pPr>
        <w:spacing w:line="360" w:lineRule="auto"/>
        <w:jc w:val="left"/>
        <w:rPr>
          <w:rFonts w:ascii="宋体" w:hAnsi="宋体" w:cs="宋体"/>
          <w:sz w:val="24"/>
        </w:rPr>
      </w:pPr>
      <w:r>
        <w:rPr>
          <w:rFonts w:hint="eastAsia" w:ascii="宋体" w:hAnsi="宋体" w:cs="宋体"/>
          <w:sz w:val="24"/>
        </w:rPr>
        <w:t>地址：平湖市望湖路318号                         </w:t>
      </w:r>
    </w:p>
    <w:p>
      <w:pPr>
        <w:spacing w:line="360" w:lineRule="auto"/>
        <w:jc w:val="left"/>
        <w:rPr>
          <w:rFonts w:ascii="宋体" w:hAnsi="宋体" w:cs="宋体"/>
          <w:sz w:val="24"/>
        </w:rPr>
      </w:pPr>
      <w:r>
        <w:rPr>
          <w:rFonts w:hint="eastAsia" w:ascii="宋体" w:hAnsi="宋体" w:cs="宋体"/>
          <w:sz w:val="24"/>
        </w:rPr>
        <w:t>联系人 ：陆先生             </w:t>
      </w:r>
    </w:p>
    <w:p>
      <w:pPr>
        <w:spacing w:line="360" w:lineRule="auto"/>
        <w:jc w:val="left"/>
        <w:rPr>
          <w:rFonts w:ascii="宋体" w:hAnsi="宋体" w:cs="宋体"/>
          <w:sz w:val="24"/>
        </w:rPr>
      </w:pPr>
      <w:r>
        <w:rPr>
          <w:rFonts w:hint="eastAsia" w:ascii="宋体" w:hAnsi="宋体" w:cs="宋体"/>
          <w:sz w:val="24"/>
        </w:rPr>
        <w:t>监督投诉电话：0573-85013033         </w:t>
      </w:r>
    </w:p>
    <w:p>
      <w:pPr>
        <w:wordWrap w:val="0"/>
        <w:spacing w:line="360" w:lineRule="auto"/>
        <w:ind w:firstLine="480" w:firstLineChars="200"/>
        <w:jc w:val="left"/>
        <w:rPr>
          <w:rFonts w:ascii="宋体" w:hAnsi="宋体" w:cs="宋体"/>
          <w:sz w:val="24"/>
        </w:rPr>
      </w:pPr>
      <w:r>
        <w:rPr>
          <w:rFonts w:hint="eastAsia" w:ascii="宋体" w:hAnsi="宋体" w:cs="宋体"/>
          <w:sz w:val="24"/>
        </w:rPr>
        <w:t xml:space="preserve">若对项目采购电子交易系统操作有疑问，可登录政采云（https://www.zcygov.cn/），点击右侧咨询小采，获取采小蜜智能服务管家帮助，或拨打政采云服务热线400-881-7190获取热线服务帮助。       </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pStyle w:val="27"/>
        <w:widowControl w:val="0"/>
        <w:spacing w:afterLines="0" w:line="500" w:lineRule="exact"/>
        <w:ind w:firstLine="480"/>
        <w:rPr>
          <w:rFonts w:ascii="宋体" w:hAnsi="宋体"/>
          <w:szCs w:val="24"/>
        </w:rPr>
      </w:pPr>
    </w:p>
    <w:p>
      <w:pPr>
        <w:rPr>
          <w:rFonts w:ascii="宋体" w:hAnsi="宋体" w:cs="宋体"/>
          <w:snapToGrid w:val="0"/>
          <w:sz w:val="24"/>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ascii="宋体" w:hAnsi="宋体"/>
        </w:rPr>
        <w:br w:type="page"/>
      </w:r>
    </w:p>
    <w:p>
      <w:pPr>
        <w:pStyle w:val="2"/>
        <w:numPr>
          <w:ilvl w:val="0"/>
          <w:numId w:val="2"/>
        </w:numPr>
        <w:tabs>
          <w:tab w:val="center" w:pos="4649"/>
        </w:tabs>
        <w:spacing w:before="0" w:after="0" w:line="460" w:lineRule="exact"/>
        <w:jc w:val="center"/>
      </w:pPr>
      <w:r>
        <w:rPr>
          <w:rFonts w:hint="eastAsia"/>
        </w:rPr>
        <w:t>采购</w:t>
      </w:r>
      <w:r>
        <w:t>需求</w:t>
      </w:r>
      <w:bookmarkStart w:id="36" w:name="_第三章__投标人须知"/>
      <w:bookmarkEnd w:id="36"/>
    </w:p>
    <w:p>
      <w:pPr>
        <w:pStyle w:val="3"/>
        <w:numPr>
          <w:ilvl w:val="0"/>
          <w:numId w:val="3"/>
        </w:numPr>
        <w:ind w:firstLine="0" w:firstLineChars="0"/>
        <w:rPr>
          <w:rFonts w:hint="eastAsia"/>
          <w:b/>
          <w:bCs/>
          <w:lang w:eastAsia="zh-CN"/>
        </w:rPr>
      </w:pPr>
      <w:r>
        <w:rPr>
          <w:rFonts w:hint="eastAsia"/>
          <w:b/>
          <w:bCs/>
          <w:lang w:eastAsia="zh-CN"/>
        </w:rPr>
        <w:t>采购清单</w:t>
      </w:r>
    </w:p>
    <w:tbl>
      <w:tblPr>
        <w:tblStyle w:val="22"/>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62"/>
        <w:gridCol w:w="4262"/>
        <w:gridCol w:w="1597"/>
        <w:gridCol w:w="159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序号</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产品名称</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数量</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单位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木屋</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门头</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户外大型玩具</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中型玩具</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户外运动跑酷系列-标准版</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自由组合基础套装C</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A型爬梯</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p>
        </w:tc>
        <w:tc>
          <w:tcPr>
            <w:tcW w:w="2500"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滚筒</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户外种植</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玩具驿站</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11</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软梯</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米</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12</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拖拉机</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13</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沙水游戏组合A</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14</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曲线波纹挡板</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15</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直线波纹挡板</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16</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H80cm挡板连接件</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17</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托育体能多功能攀爬架</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18</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kern w:val="0"/>
                <w:sz w:val="24"/>
                <w:szCs w:val="24"/>
                <w:lang w:bidi="ar"/>
              </w:rPr>
              <w:t>养殖</w:t>
            </w:r>
            <w:r>
              <w:rPr>
                <w:rFonts w:hint="eastAsia" w:ascii="宋体" w:hAnsi="宋体" w:cs="宋体"/>
                <w:kern w:val="0"/>
                <w:sz w:val="24"/>
                <w:szCs w:val="24"/>
                <w:lang w:eastAsia="zh-CN" w:bidi="ar"/>
              </w:rPr>
              <w:t>棚</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19</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停车棚</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红绿灯</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21</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交通标志B</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22</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轮胎桌椅</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23</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小车餐桌</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24</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茅草休闲椅</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25</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桌子</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26</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厨房组合</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27</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灶台</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28</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方形光影小车</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29</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户外休闲秋千椅</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30</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桥</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31</w:t>
            </w:r>
          </w:p>
        </w:tc>
        <w:tc>
          <w:tcPr>
            <w:tcW w:w="2500" w:type="pct"/>
            <w:tcBorders>
              <w:tl2br w:val="nil"/>
              <w:tr2bl w:val="nil"/>
            </w:tcBorders>
            <w:shd w:val="clear" w:color="auto" w:fill="auto"/>
            <w:vAlign w:val="center"/>
          </w:tcPr>
          <w:p>
            <w:pPr>
              <w:spacing w:line="360" w:lineRule="auto"/>
              <w:ind w:firstLine="240" w:firstLineChars="100"/>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斜坡</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32</w:t>
            </w:r>
          </w:p>
        </w:tc>
        <w:tc>
          <w:tcPr>
            <w:tcW w:w="2500" w:type="pct"/>
            <w:tcBorders>
              <w:tl2br w:val="nil"/>
              <w:tr2bl w:val="nil"/>
            </w:tcBorders>
            <w:shd w:val="clear" w:color="auto" w:fill="auto"/>
            <w:vAlign w:val="center"/>
          </w:tcPr>
          <w:p>
            <w:pPr>
              <w:spacing w:line="360" w:lineRule="auto"/>
              <w:ind w:firstLine="240" w:firstLineChars="100"/>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全龄环</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33</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爬网</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623" w:type="pct"/>
            <w:tcBorders>
              <w:tl2br w:val="nil"/>
              <w:tr2bl w:val="nil"/>
            </w:tcBorders>
            <w:shd w:val="clear" w:color="auto" w:fill="auto"/>
            <w:vAlign w:val="center"/>
          </w:tcPr>
          <w:p>
            <w:pPr>
              <w:widowControl/>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34</w:t>
            </w:r>
          </w:p>
        </w:tc>
        <w:tc>
          <w:tcPr>
            <w:tcW w:w="2500" w:type="pct"/>
            <w:tcBorders>
              <w:tl2br w:val="nil"/>
              <w:tr2bl w:val="nil"/>
            </w:tcBorders>
            <w:shd w:val="clear" w:color="auto" w:fill="FFFFFF"/>
            <w:vAlign w:val="center"/>
          </w:tcPr>
          <w:p>
            <w:pPr>
              <w:widowControl/>
              <w:spacing w:line="360" w:lineRule="auto"/>
              <w:ind w:firstLine="198"/>
              <w:jc w:val="center"/>
              <w:rPr>
                <w:rFonts w:hint="eastAsia" w:ascii="宋体" w:hAnsi="宋体" w:eastAsia="宋体" w:cs="宋体"/>
                <w:color w:val="auto"/>
                <w:kern w:val="0"/>
                <w:sz w:val="24"/>
                <w:szCs w:val="24"/>
                <w:highlight w:val="none"/>
              </w:rPr>
            </w:pPr>
            <w:r>
              <w:rPr>
                <w:rFonts w:hint="eastAsia" w:ascii="宋体" w:hAnsi="宋体" w:eastAsia="宋体" w:cs="宋体"/>
                <w:kern w:val="0"/>
                <w:sz w:val="24"/>
                <w:szCs w:val="24"/>
                <w:lang w:bidi="ar"/>
              </w:rPr>
              <w:t>攀爬</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937" w:type="pct"/>
            <w:tcBorders>
              <w:tl2br w:val="nil"/>
              <w:tr2bl w:val="nil"/>
            </w:tcBorders>
            <w:shd w:val="clear" w:color="auto" w:fill="auto"/>
            <w:vAlign w:val="center"/>
          </w:tcPr>
          <w:p>
            <w:pPr>
              <w:widowControl/>
              <w:spacing w:line="360" w:lineRule="auto"/>
              <w:ind w:firstLine="198"/>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套</w:t>
            </w:r>
          </w:p>
        </w:tc>
      </w:tr>
    </w:tbl>
    <w:p>
      <w:pPr>
        <w:pStyle w:val="3"/>
        <w:numPr>
          <w:ilvl w:val="0"/>
          <w:numId w:val="0"/>
        </w:numPr>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pPr>
    </w:p>
    <w:p>
      <w:pPr>
        <w:pStyle w:val="3"/>
        <w:ind w:firstLine="0" w:firstLineChars="0"/>
        <w:rPr>
          <w:rFonts w:hint="eastAsia"/>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ind w:firstLine="0" w:firstLineChars="0"/>
        <w:rPr>
          <w:rFonts w:hint="eastAsia"/>
          <w:b/>
          <w:bCs/>
          <w:lang w:eastAsia="zh-CN"/>
        </w:rPr>
      </w:pPr>
    </w:p>
    <w:p>
      <w:pPr>
        <w:pStyle w:val="3"/>
        <w:ind w:firstLine="0" w:firstLineChars="0"/>
        <w:rPr>
          <w:b/>
          <w:bCs/>
        </w:rPr>
      </w:pPr>
      <w:r>
        <w:rPr>
          <w:rFonts w:hint="eastAsia"/>
          <w:b/>
          <w:bCs/>
          <w:lang w:eastAsia="zh-CN"/>
        </w:rPr>
        <w:t>二、</w:t>
      </w:r>
      <w:r>
        <w:rPr>
          <w:rFonts w:hint="eastAsia"/>
          <w:b/>
          <w:bCs/>
        </w:rPr>
        <w:t>采购内容及技术参数要求：</w:t>
      </w:r>
    </w:p>
    <w:tbl>
      <w:tblPr>
        <w:tblStyle w:val="22"/>
        <w:tblpPr w:leftFromText="180" w:rightFromText="180" w:vertAnchor="text" w:horzAnchor="page" w:tblpX="1558" w:tblpY="723"/>
        <w:tblOverlap w:val="never"/>
        <w:tblW w:w="14173" w:type="dxa"/>
        <w:tblInd w:w="0" w:type="dxa"/>
        <w:tblLayout w:type="fixed"/>
        <w:tblCellMar>
          <w:top w:w="0" w:type="dxa"/>
          <w:left w:w="108" w:type="dxa"/>
          <w:bottom w:w="0" w:type="dxa"/>
          <w:right w:w="108" w:type="dxa"/>
        </w:tblCellMar>
      </w:tblPr>
      <w:tblGrid>
        <w:gridCol w:w="934"/>
        <w:gridCol w:w="1549"/>
        <w:gridCol w:w="2041"/>
        <w:gridCol w:w="8177"/>
        <w:gridCol w:w="774"/>
        <w:gridCol w:w="698"/>
      </w:tblGrid>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b/>
                <w:bCs/>
                <w:kern w:val="0"/>
                <w:szCs w:val="21"/>
                <w:lang w:bidi="ar"/>
              </w:rPr>
              <w:t>序号</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b/>
                <w:bCs/>
                <w:kern w:val="0"/>
                <w:szCs w:val="21"/>
                <w:lang w:bidi="ar"/>
              </w:rPr>
              <w:t>名称</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rFonts w:hint="eastAsia"/>
                <w:b/>
                <w:bCs/>
                <w:kern w:val="0"/>
                <w:szCs w:val="21"/>
                <w:lang w:bidi="ar"/>
              </w:rPr>
              <w:t>参考</w:t>
            </w:r>
            <w:r>
              <w:rPr>
                <w:b/>
                <w:bCs/>
                <w:kern w:val="0"/>
                <w:szCs w:val="21"/>
                <w:lang w:bidi="ar"/>
              </w:rPr>
              <w:t>图片</w:t>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b/>
                <w:bCs/>
                <w:kern w:val="0"/>
                <w:szCs w:val="21"/>
                <w:lang w:bidi="ar"/>
              </w:rPr>
              <w:t>规格</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b/>
                <w:bCs/>
                <w:kern w:val="0"/>
                <w:szCs w:val="21"/>
                <w:lang w:bidi="ar"/>
              </w:rPr>
              <w:t>数量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b/>
                <w:bCs/>
                <w:szCs w:val="21"/>
              </w:rPr>
            </w:pPr>
            <w:r>
              <w:rPr>
                <w:b/>
                <w:bCs/>
                <w:kern w:val="0"/>
                <w:szCs w:val="21"/>
                <w:lang w:bidi="ar"/>
              </w:rPr>
              <w:t>单位</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szCs w:val="21"/>
              </w:rPr>
            </w:pPr>
            <w:r>
              <w:rPr>
                <w:kern w:val="0"/>
                <w:szCs w:val="21"/>
                <w:lang w:bidi="ar"/>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szCs w:val="21"/>
              </w:rPr>
            </w:pPr>
            <w:r>
              <w:rPr>
                <w:kern w:val="0"/>
                <w:szCs w:val="21"/>
                <w:lang w:bidi="ar"/>
              </w:rPr>
              <w:t>木屋</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szCs w:val="21"/>
              </w:rPr>
            </w:pPr>
            <w:r>
              <w:rPr>
                <w:kern w:val="0"/>
                <w:szCs w:val="21"/>
                <w:lang w:bidi="ar"/>
              </w:rPr>
              <w:drawing>
                <wp:inline distT="0" distB="0" distL="114300" distR="114300">
                  <wp:extent cx="904875" cy="762000"/>
                  <wp:effectExtent l="0" t="0" r="9525"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6"/>
                          <a:stretch>
                            <a:fillRect/>
                          </a:stretch>
                        </pic:blipFill>
                        <pic:spPr>
                          <a:xfrm>
                            <a:off x="0" y="0"/>
                            <a:ext cx="90487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szCs w:val="21"/>
              </w:rPr>
            </w:pPr>
            <w:r>
              <w:rPr>
                <w:kern w:val="0"/>
                <w:szCs w:val="21"/>
                <w:lang w:bidi="ar"/>
              </w:rPr>
              <w:t>规格240*240*26</w:t>
            </w:r>
            <w:r>
              <w:rPr>
                <w:color w:val="auto"/>
                <w:kern w:val="0"/>
                <w:szCs w:val="21"/>
                <w:lang w:bidi="ar"/>
              </w:rPr>
              <w:t>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kern w:val="0"/>
                <w:szCs w:val="21"/>
                <w:lang w:bidi="ar"/>
              </w:rPr>
              <w:t>1、材质：平台板采用塑木板，宽度不小于15cm，厚度不小于2.5cm带子母槽，平台四周带铁架，材质镀锌管经酸洗处理，后经特殊工艺除锈，抛砂，表面再喷涂户外环保聚酯粉末，二层静电喷塑成形，高温固化，表面光滑，抗紫外光能力强，色彩鲜艳，不易脱落，耐腐蚀；提供原材料塑木（检测内容须含：耐开裂性能、抗冲击性能、抗紫外线老化）具有（CMA资质）的检测机构出具的合格检测报告复印件盖公章）。</w:t>
            </w:r>
            <w:r>
              <w:rPr>
                <w:kern w:val="0"/>
                <w:szCs w:val="21"/>
                <w:lang w:bidi="ar"/>
              </w:rPr>
              <w:br w:type="textWrapping"/>
            </w:r>
            <w:r>
              <w:rPr>
                <w:kern w:val="0"/>
                <w:szCs w:val="21"/>
                <w:lang w:bidi="ar"/>
              </w:rPr>
              <w:t>2、铁件：铁件框架采用3*5cm镀锌方管，厚度不小于2毫米，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kern w:val="0"/>
                <w:szCs w:val="21"/>
                <w:lang w:bidi="ar"/>
              </w:rPr>
              <w:br w:type="textWrapping"/>
            </w:r>
            <w:r>
              <w:rPr>
                <w:kern w:val="0"/>
                <w:szCs w:val="21"/>
                <w:lang w:bidi="ar"/>
              </w:rPr>
              <w:t>3、PE板材质：高密度聚乙烯，厚度不小于1.5cm，产品无臭，无毒，手感似蜡，吸水性小，电绝缘性能优良。造型采用雕刻工艺。</w:t>
            </w:r>
            <w:r>
              <w:rPr>
                <w:kern w:val="0"/>
                <w:szCs w:val="21"/>
                <w:lang w:bidi="ar"/>
              </w:rPr>
              <w:br w:type="textWrapping"/>
            </w:r>
            <w:r>
              <w:rPr>
                <w:kern w:val="0"/>
                <w:szCs w:val="21"/>
                <w:lang w:bidi="ar"/>
              </w:rPr>
              <w:t xml:space="preserve">4、五金螺丝：采用不锈钢304#子母螺丝，燕尾自攻螺丝采用410#，牢固，不易松动脱落及变形和损坏。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门头</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876300" cy="762000"/>
                  <wp:effectExtent l="0" t="0" r="0" b="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7"/>
                          <a:stretch>
                            <a:fillRect/>
                          </a:stretch>
                        </pic:blipFill>
                        <pic:spPr>
                          <a:xfrm>
                            <a:off x="0" y="0"/>
                            <a:ext cx="87630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规格220*35*</w:t>
            </w:r>
            <w:r>
              <w:rPr>
                <w:color w:val="auto"/>
                <w:kern w:val="0"/>
                <w:szCs w:val="21"/>
                <w:lang w:bidi="ar"/>
              </w:rPr>
              <w:t>200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kern w:val="0"/>
                <w:szCs w:val="21"/>
                <w:lang w:bidi="ar"/>
              </w:rPr>
              <w:t>1、木头材质采用塑木板，厚度不小于1.4cm,防滑、耐磨损，抗老化性能强。</w:t>
            </w:r>
            <w:r>
              <w:rPr>
                <w:kern w:val="0"/>
                <w:szCs w:val="21"/>
                <w:lang w:bidi="ar"/>
              </w:rPr>
              <w:br w:type="textWrapping"/>
            </w:r>
            <w:r>
              <w:rPr>
                <w:kern w:val="0"/>
                <w:szCs w:val="21"/>
                <w:lang w:bidi="ar"/>
              </w:rPr>
              <w:t>2、铁件：铁件框架采用3*5cm镀锌方管，厚度不小于2毫米，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kern w:val="0"/>
                <w:szCs w:val="21"/>
                <w:lang w:bidi="ar"/>
              </w:rPr>
              <w:br w:type="textWrapping"/>
            </w:r>
            <w:r>
              <w:rPr>
                <w:kern w:val="0"/>
                <w:szCs w:val="21"/>
                <w:lang w:bidi="ar"/>
              </w:rPr>
              <w:t>4、五金螺丝：采用不锈钢304#子母螺丝，燕尾自攻螺丝采用410#，牢固，不易松动脱落及变形和损坏。</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kern w:val="0"/>
                <w:szCs w:val="21"/>
                <w:lang w:bidi="ar"/>
              </w:rPr>
            </w:pPr>
            <w:r>
              <w:rPr>
                <w:rFonts w:hint="eastAsia"/>
                <w:kern w:val="0"/>
                <w:szCs w:val="21"/>
                <w:lang w:bidi="ar"/>
              </w:rPr>
              <w:t>★核心产品，</w:t>
            </w:r>
          </w:p>
          <w:p>
            <w:pPr>
              <w:widowControl/>
              <w:jc w:val="center"/>
              <w:textAlignment w:val="center"/>
              <w:rPr>
                <w:szCs w:val="21"/>
              </w:rPr>
            </w:pPr>
            <w:r>
              <w:rPr>
                <w:kern w:val="0"/>
                <w:szCs w:val="21"/>
                <w:lang w:bidi="ar"/>
              </w:rPr>
              <w:t>户外大型玩具</w:t>
            </w:r>
            <w:r>
              <w:rPr>
                <w:b/>
                <w:bCs/>
                <w:kern w:val="0"/>
                <w:szCs w:val="21"/>
                <w:lang w:bidi="ar"/>
              </w:rPr>
              <w:t>（提供样品，要求</w:t>
            </w:r>
            <w:r>
              <w:rPr>
                <w:b/>
                <w:bCs/>
                <w:szCs w:val="21"/>
              </w:rPr>
              <w:t>荡桥板小样一块：材质塑木，长度30cm，宽度20cm，厚度不少于2.5cm</w:t>
            </w:r>
            <w:r>
              <w:rPr>
                <w:b/>
                <w:bCs/>
                <w:kern w:val="0"/>
                <w:szCs w:val="21"/>
                <w:lang w:bidi="ar"/>
              </w:rPr>
              <w:t>）</w:t>
            </w:r>
          </w:p>
        </w:tc>
        <w:tc>
          <w:tcPr>
            <w:tcW w:w="20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drawing>
                <wp:inline distT="0" distB="0" distL="114300" distR="114300">
                  <wp:extent cx="1113790" cy="875665"/>
                  <wp:effectExtent l="0" t="0" r="10160" b="635"/>
                  <wp:docPr id="2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8"/>
                          <pic:cNvPicPr>
                            <a:picLocks noChangeAspect="1"/>
                          </pic:cNvPicPr>
                        </pic:nvPicPr>
                        <pic:blipFill>
                          <a:blip r:embed="rId8"/>
                          <a:stretch>
                            <a:fillRect/>
                          </a:stretch>
                        </pic:blipFill>
                        <pic:spPr>
                          <a:xfrm>
                            <a:off x="0" y="0"/>
                            <a:ext cx="1113790" cy="875665"/>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szCs w:val="21"/>
              </w:rPr>
            </w:pPr>
            <w:r>
              <w:rPr>
                <w:kern w:val="0"/>
                <w:szCs w:val="21"/>
                <w:lang w:bidi="ar"/>
              </w:rPr>
              <w:t>规格2400*650*</w:t>
            </w:r>
            <w:r>
              <w:rPr>
                <w:color w:val="auto"/>
                <w:kern w:val="0"/>
                <w:szCs w:val="21"/>
                <w:lang w:bidi="ar"/>
              </w:rPr>
              <w:t>420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kern w:val="0"/>
                <w:szCs w:val="21"/>
                <w:lang w:bidi="ar"/>
              </w:rPr>
              <w:t>1、材质：立柱采用Φ114mm镀锌钢管，厚度不小于2毫米，经酸洗处理，后经特殊工艺除锈，抛砂，表面再喷涂户外环保聚酯粉末，二层静电喷塑成形，高温固化，表面光滑，抗紫外光能力强，色彩鲜艳，不易脱落，耐腐蚀；扣件均采用铸铝合金材质；（提供扣件、镀锌管（检测内容含：硬度、中性盐雾实验及试验评级不小于9级、抗拉强度、规定塑性延伸强度、断后伸长率、冲击测试、密度测试）</w:t>
            </w:r>
            <w:r>
              <w:rPr>
                <w:kern w:val="0"/>
                <w:szCs w:val="21"/>
                <w:highlight w:val="yellow"/>
                <w:lang w:bidi="ar"/>
              </w:rPr>
              <w:br w:type="textWrapping"/>
            </w:r>
            <w:r>
              <w:rPr>
                <w:kern w:val="0"/>
                <w:szCs w:val="21"/>
                <w:lang w:bidi="ar"/>
              </w:rPr>
              <w:t>2、荡桥：荡桥</w:t>
            </w:r>
            <w:r>
              <w:rPr>
                <w:color w:val="auto"/>
                <w:kern w:val="0"/>
                <w:szCs w:val="21"/>
                <w:lang w:bidi="ar"/>
              </w:rPr>
              <w:t>板+16±</w:t>
            </w:r>
            <w:r>
              <w:rPr>
                <w:rFonts w:hint="eastAsia"/>
                <w:color w:val="auto"/>
                <w:kern w:val="0"/>
                <w:szCs w:val="21"/>
                <w:lang w:val="en-US" w:eastAsia="zh-CN" w:bidi="ar"/>
              </w:rPr>
              <w:t>1</w:t>
            </w:r>
            <w:r>
              <w:rPr>
                <w:color w:val="auto"/>
                <w:kern w:val="0"/>
                <w:szCs w:val="21"/>
                <w:lang w:bidi="ar"/>
              </w:rPr>
              <w:t>mm</w:t>
            </w:r>
            <w:r>
              <w:rPr>
                <w:kern w:val="0"/>
                <w:szCs w:val="21"/>
                <w:lang w:bidi="ar"/>
              </w:rPr>
              <w:t>钢丝绳+连接扣，荡桥板材质采用</w:t>
            </w:r>
            <w:r>
              <w:rPr>
                <w:szCs w:val="21"/>
              </w:rPr>
              <w:t>塑木</w:t>
            </w:r>
            <w:r>
              <w:rPr>
                <w:kern w:val="0"/>
                <w:szCs w:val="21"/>
                <w:lang w:bidi="ar"/>
              </w:rPr>
              <w:t>，宽度20cm，厚度不少于2.5cm，采用一体压制而成，超强耐用，防腐、防水、抗菌、阻燃、绝缘。</w:t>
            </w:r>
            <w:r>
              <w:rPr>
                <w:kern w:val="0"/>
                <w:szCs w:val="21"/>
                <w:lang w:bidi="ar"/>
              </w:rPr>
              <w:br w:type="textWrapping"/>
            </w:r>
            <w:r>
              <w:rPr>
                <w:kern w:val="0"/>
                <w:szCs w:val="21"/>
                <w:lang w:bidi="ar"/>
              </w:rPr>
              <w:t>3、平台：平台四周带镀锌管铁架，表面光滑，抗紫外光能力强，不易脱落，耐腐蚀，铁架规格不小于4*8cm，连接处采用三角铁片，铁片带螺丝卡扣，中间横梁采用规格不小于3*5cm镀锌方管，平台板采用</w:t>
            </w:r>
            <w:r>
              <w:rPr>
                <w:szCs w:val="21"/>
              </w:rPr>
              <w:t>塑木</w:t>
            </w:r>
            <w:r>
              <w:rPr>
                <w:kern w:val="0"/>
                <w:szCs w:val="21"/>
                <w:lang w:bidi="ar"/>
              </w:rPr>
              <w:t>规格宽度15cm，厚度2.5cm以公母槽连接方式来拼装；</w:t>
            </w:r>
            <w:r>
              <w:rPr>
                <w:kern w:val="0"/>
                <w:szCs w:val="21"/>
                <w:lang w:bidi="ar"/>
              </w:rPr>
              <w:br w:type="textWrapping"/>
            </w:r>
            <w:r>
              <w:rPr>
                <w:kern w:val="0"/>
                <w:szCs w:val="21"/>
                <w:lang w:bidi="ar"/>
              </w:rPr>
              <w:t>4、绳网：全部采用航海船用缆绳，直径不小于16mm，中芯为镀铬钢丝外套胶管，外层再覆以变色锦纶编织绳，强度大，抗磨损，耐腐蚀，安全性能好。提供钢丝绳（检测内容含：硬度、中性盐雾实验及试验评级不小于9级、抗拉强度、规定塑性延伸强度、断后伸长率、冲击测试、密度测试）</w:t>
            </w:r>
            <w:r>
              <w:rPr>
                <w:kern w:val="0"/>
                <w:szCs w:val="21"/>
                <w:highlight w:val="yellow"/>
                <w:lang w:bidi="ar"/>
              </w:rPr>
              <w:br w:type="textWrapping"/>
            </w:r>
            <w:r>
              <w:rPr>
                <w:kern w:val="0"/>
                <w:szCs w:val="21"/>
                <w:lang w:bidi="ar"/>
              </w:rPr>
              <w:t>5、PE板材质：高密度聚乙烯，厚度不小于1.5cm，产品无臭，无毒，手感似蜡，吸水性小，电绝缘性能优良。造型采用雕刻工艺。</w:t>
            </w:r>
            <w:r>
              <w:rPr>
                <w:kern w:val="0"/>
                <w:szCs w:val="21"/>
                <w:lang w:bidi="ar"/>
              </w:rPr>
              <w:br w:type="textWrapping"/>
            </w:r>
            <w:r>
              <w:rPr>
                <w:kern w:val="0"/>
                <w:szCs w:val="21"/>
                <w:lang w:bidi="ar"/>
              </w:rPr>
              <w:t>6、滑梯：采用环保专用塑料粒子滚塑工艺一次成型，塑料壁厚不小于6mm，色彩艳丽，不易退色、抗紫外光（UV）能力、抗静电能力强，不变形、成品内外平整，安全环保，无毒、无味，对皮肤无刺激无过敏反映。滑梯无外漏的锐边、尖角、毛刺，保证儿童安全。</w:t>
            </w:r>
            <w:r>
              <w:rPr>
                <w:kern w:val="0"/>
                <w:szCs w:val="21"/>
                <w:lang w:bidi="ar"/>
              </w:rPr>
              <w:br w:type="textWrapping"/>
            </w:r>
            <w:r>
              <w:rPr>
                <w:kern w:val="0"/>
                <w:szCs w:val="21"/>
                <w:lang w:bidi="ar"/>
              </w:rPr>
              <w:t>7、透明造型部分采用耐力板：厚度不小于8毫米，耐撞击、坚韧安全、可塑性强。</w:t>
            </w:r>
            <w:r>
              <w:rPr>
                <w:kern w:val="0"/>
                <w:szCs w:val="21"/>
                <w:lang w:bidi="ar"/>
              </w:rPr>
              <w:br w:type="textWrapping"/>
            </w:r>
            <w:r>
              <w:rPr>
                <w:kern w:val="0"/>
                <w:szCs w:val="21"/>
                <w:lang w:bidi="ar"/>
              </w:rPr>
              <w:t xml:space="preserve">8、五金螺丝：采用不锈钢304#子母螺丝，燕尾自攻螺丝采用410#，牢固，不易松动脱落及变形和损坏。提供五金件螺丝、膨胀螺丝（检测内容含：硬度、破坏扭矩、中性盐雾实验及试验评级不小于9级、抗拉强度、规定塑性延伸强度、断后伸长率、冲击测试、密度测试）具有（CMA资质）的检测机构出具的合格检测报告复印件盖公章。 </w:t>
            </w:r>
            <w:r>
              <w:rPr>
                <w:kern w:val="0"/>
                <w:szCs w:val="21"/>
                <w:lang w:bidi="ar"/>
              </w:rPr>
              <w:br w:type="textWrapping"/>
            </w:r>
            <w:r>
              <w:rPr>
                <w:kern w:val="0"/>
                <w:szCs w:val="21"/>
                <w:lang w:bidi="ar"/>
              </w:rPr>
              <w:t>结构配置：房子大顶不少于3个，拱门装饰不少于2个，立柱不少于28根，波浪栈道不少于1套、网道栈道不少于1套、木栈道不少于1套、玻璃栈道不少于1套、大平台不少于1套、中平台不少于2套、150*150cm小平台2套、攀爬不少于2套，直径250cm圆平台一套、贩卖柜不少于一套、荡桥不少于1套、轮胎秋千不少于1套、180cm高S筒滑不少于1套、爬网不少于1套、钻网不少于1套、攀爬绳不少于2根、沙袋不少于1套、球形沙袋不少于1套等</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中型玩具</w:t>
            </w:r>
            <w:r>
              <w:rPr>
                <w:b/>
                <w:bCs/>
                <w:kern w:val="0"/>
                <w:szCs w:val="21"/>
                <w:lang w:bidi="ar"/>
              </w:rPr>
              <w:t>（提供样品，要求投掷架</w:t>
            </w:r>
            <w:r>
              <w:rPr>
                <w:b/>
                <w:bCs/>
                <w:szCs w:val="21"/>
              </w:rPr>
              <w:t>一个</w:t>
            </w:r>
            <w:r>
              <w:rPr>
                <w:b/>
                <w:bCs/>
                <w:kern w:val="0"/>
                <w:szCs w:val="21"/>
                <w:lang w:bidi="ar"/>
              </w:rPr>
              <w:t>）</w:t>
            </w:r>
          </w:p>
        </w:tc>
        <w:tc>
          <w:tcPr>
            <w:tcW w:w="20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drawing>
                <wp:inline distT="0" distB="0" distL="114300" distR="114300">
                  <wp:extent cx="886460" cy="700405"/>
                  <wp:effectExtent l="0" t="0" r="8890" b="4445"/>
                  <wp:docPr id="3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IMG_260"/>
                          <pic:cNvPicPr>
                            <a:picLocks noChangeAspect="1"/>
                          </pic:cNvPicPr>
                        </pic:nvPicPr>
                        <pic:blipFill>
                          <a:blip r:embed="rId9"/>
                          <a:stretch>
                            <a:fillRect/>
                          </a:stretch>
                        </pic:blipFill>
                        <pic:spPr>
                          <a:xfrm>
                            <a:off x="0" y="0"/>
                            <a:ext cx="886460" cy="700405"/>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kern w:val="0"/>
                <w:szCs w:val="21"/>
                <w:lang w:bidi="ar"/>
              </w:rPr>
            </w:pPr>
            <w:r>
              <w:rPr>
                <w:kern w:val="0"/>
                <w:szCs w:val="21"/>
                <w:lang w:bidi="ar"/>
              </w:rPr>
              <w:t>规格1500*350</w:t>
            </w:r>
            <w:r>
              <w:rPr>
                <w:color w:val="auto"/>
                <w:kern w:val="0"/>
                <w:szCs w:val="21"/>
                <w:lang w:bidi="ar"/>
              </w:rPr>
              <w:t>*400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1、材质：立柱采用Φ114</w:t>
            </w:r>
            <w:r>
              <w:rPr>
                <w:rFonts w:hint="eastAsia"/>
                <w:color w:val="auto"/>
                <w:kern w:val="0"/>
                <w:szCs w:val="21"/>
                <w:lang w:eastAsia="zh-CN" w:bidi="ar"/>
              </w:rPr>
              <w:t>±1</w:t>
            </w:r>
            <w:r>
              <w:rPr>
                <w:color w:val="auto"/>
                <w:kern w:val="0"/>
                <w:szCs w:val="21"/>
                <w:lang w:bidi="ar"/>
              </w:rPr>
              <w:t>mm镀</w:t>
            </w:r>
            <w:r>
              <w:rPr>
                <w:kern w:val="0"/>
                <w:szCs w:val="21"/>
                <w:lang w:bidi="ar"/>
              </w:rPr>
              <w:t>锌钢管，厚度不小于2毫米，经酸洗处理，后经特殊工艺除锈，抛砂，表面再喷涂户外环保聚酯粉末，二层静电喷塑成形，高温固化，表面光滑，抗紫外光能力强，色彩鲜艳，不易脱落，耐腐蚀；扣件均采用铸铝合金材质；</w:t>
            </w:r>
            <w:r>
              <w:rPr>
                <w:kern w:val="0"/>
                <w:szCs w:val="21"/>
                <w:lang w:bidi="ar"/>
              </w:rPr>
              <w:br w:type="textWrapping"/>
            </w:r>
            <w:r>
              <w:rPr>
                <w:kern w:val="0"/>
                <w:szCs w:val="21"/>
                <w:lang w:bidi="ar"/>
              </w:rPr>
              <w:t>2、平台：平台四周带镀锌管铁架，表面光滑，抗紫外光能力强，不易脱落，耐腐蚀，铁架规格不小于4*8cm，连接处采用三角铁片，铁片带螺丝卡扣，中间横梁采用规格不小于3*5cm镀锌方管，平台板采用</w:t>
            </w:r>
            <w:r>
              <w:rPr>
                <w:szCs w:val="21"/>
              </w:rPr>
              <w:t>塑木，</w:t>
            </w:r>
            <w:r>
              <w:rPr>
                <w:kern w:val="0"/>
                <w:szCs w:val="21"/>
                <w:lang w:bidi="ar"/>
              </w:rPr>
              <w:t>规格宽</w:t>
            </w:r>
            <w:r>
              <w:rPr>
                <w:color w:val="auto"/>
                <w:kern w:val="0"/>
                <w:szCs w:val="21"/>
                <w:lang w:bidi="ar"/>
              </w:rPr>
              <w:t>度15</w:t>
            </w:r>
            <w:r>
              <w:rPr>
                <w:rFonts w:hint="eastAsia"/>
                <w:color w:val="auto"/>
                <w:kern w:val="0"/>
                <w:szCs w:val="21"/>
                <w:lang w:eastAsia="zh-CN" w:bidi="ar"/>
              </w:rPr>
              <w:t>±</w:t>
            </w:r>
            <w:r>
              <w:rPr>
                <w:rFonts w:hint="eastAsia"/>
                <w:color w:val="auto"/>
                <w:kern w:val="0"/>
                <w:szCs w:val="21"/>
                <w:lang w:val="en-US" w:eastAsia="zh-CN" w:bidi="ar"/>
              </w:rPr>
              <w:t>0.</w:t>
            </w:r>
            <w:r>
              <w:rPr>
                <w:rFonts w:hint="eastAsia"/>
                <w:color w:val="auto"/>
                <w:kern w:val="0"/>
                <w:szCs w:val="21"/>
                <w:lang w:eastAsia="zh-CN" w:bidi="ar"/>
              </w:rPr>
              <w:t>1</w:t>
            </w:r>
            <w:r>
              <w:rPr>
                <w:color w:val="auto"/>
                <w:kern w:val="0"/>
                <w:szCs w:val="21"/>
                <w:lang w:bidi="ar"/>
              </w:rPr>
              <w:t>cm，厚度2.5</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cm以公母槽连接方式来拼装；</w:t>
            </w:r>
            <w:r>
              <w:rPr>
                <w:color w:val="auto"/>
                <w:kern w:val="0"/>
                <w:szCs w:val="21"/>
                <w:highlight w:val="yellow"/>
                <w:lang w:bidi="ar"/>
              </w:rPr>
              <w:br w:type="textWrapping"/>
            </w:r>
            <w:r>
              <w:rPr>
                <w:kern w:val="0"/>
                <w:szCs w:val="21"/>
                <w:lang w:bidi="ar"/>
              </w:rPr>
              <w:t>3、绳网：全部采用航海船用缆绳，直径不小于16mm，中芯为镀铬钢丝外套胶管，外层再覆以变色锦纶编织绳，强度大，抗磨损，耐腐蚀，安全性能好，绳网扣采用优质扣件。</w:t>
            </w:r>
            <w:r>
              <w:rPr>
                <w:kern w:val="0"/>
                <w:szCs w:val="21"/>
                <w:lang w:bidi="ar"/>
              </w:rPr>
              <w:br w:type="textWrapping"/>
            </w:r>
            <w:r>
              <w:rPr>
                <w:kern w:val="0"/>
                <w:szCs w:val="21"/>
                <w:lang w:bidi="ar"/>
              </w:rPr>
              <w:t>4、PE板材质：高密度聚乙烯，厚度不小于1.5cm，产品无臭，无毒，手感似蜡，吸水性小，电绝缘性能优良。造型采用雕刻工艺。</w:t>
            </w:r>
            <w:r>
              <w:rPr>
                <w:kern w:val="0"/>
                <w:szCs w:val="21"/>
                <w:lang w:bidi="ar"/>
              </w:rPr>
              <w:br w:type="textWrapping"/>
            </w:r>
            <w:r>
              <w:rPr>
                <w:kern w:val="0"/>
                <w:szCs w:val="21"/>
                <w:lang w:bidi="ar"/>
              </w:rPr>
              <w:t>5、塑料部件：采用有色聚乙烯粉末制成，加工热度为200度，所加工产品只发生物理变化，不发生化学变化，色彩艳丽，不易退色、抗紫外光（UV）能力、抗静电能力强，不变形、成品内外平整，安全环保，无毒、无味，对皮肤无刺激无过敏反映。透明造型部分采用耐力板：厚度不小于8毫米，耐撞击、坚韧安全、可塑性强。</w:t>
            </w:r>
            <w:r>
              <w:rPr>
                <w:kern w:val="0"/>
                <w:szCs w:val="21"/>
                <w:lang w:bidi="ar"/>
              </w:rPr>
              <w:br w:type="textWrapping"/>
            </w:r>
            <w:r>
              <w:rPr>
                <w:kern w:val="0"/>
                <w:szCs w:val="21"/>
                <w:lang w:bidi="ar"/>
              </w:rPr>
              <w:t>7、投掷架：尺寸为1300*800*</w:t>
            </w:r>
            <w:r>
              <w:rPr>
                <w:color w:val="auto"/>
                <w:kern w:val="0"/>
                <w:szCs w:val="21"/>
                <w:lang w:bidi="ar"/>
              </w:rPr>
              <w:t>1700</w:t>
            </w:r>
            <w:r>
              <w:rPr>
                <w:rFonts w:hint="eastAsia"/>
                <w:color w:val="auto"/>
                <w:kern w:val="0"/>
                <w:szCs w:val="21"/>
                <w:lang w:eastAsia="zh-CN" w:bidi="ar"/>
              </w:rPr>
              <w:t>±1</w:t>
            </w:r>
            <w:r>
              <w:rPr>
                <w:rFonts w:hint="eastAsia"/>
                <w:color w:val="auto"/>
                <w:kern w:val="0"/>
                <w:szCs w:val="21"/>
                <w:lang w:val="en-US" w:eastAsia="zh-CN" w:bidi="ar"/>
              </w:rPr>
              <w:t>0</w:t>
            </w:r>
            <w:r>
              <w:rPr>
                <w:color w:val="auto"/>
                <w:kern w:val="0"/>
                <w:szCs w:val="21"/>
                <w:lang w:bidi="ar"/>
              </w:rPr>
              <w:t>m</w:t>
            </w:r>
            <w:r>
              <w:rPr>
                <w:kern w:val="0"/>
                <w:szCs w:val="21"/>
                <w:lang w:bidi="ar"/>
              </w:rPr>
              <w:t>m，采用聚乙烯工程塑料为原料，加入抗紫外线、耐风化稳定剂；采用6级标准色母，滚塑工艺一次成型。钢管采用镀锌钢管</w:t>
            </w:r>
            <w:r>
              <w:rPr>
                <w:rFonts w:hint="eastAsia"/>
                <w:kern w:val="0"/>
                <w:szCs w:val="21"/>
                <w:lang w:val="en-US" w:eastAsia="zh-CN" w:bidi="ar"/>
              </w:rPr>
              <w:t>不少于</w:t>
            </w:r>
            <w:r>
              <w:rPr>
                <w:kern w:val="0"/>
                <w:szCs w:val="21"/>
                <w:lang w:bidi="ar"/>
              </w:rPr>
              <w:t>φ32mm、厚度2.5mm，焊接工艺采用C02气体保护焊。</w:t>
            </w:r>
            <w:r>
              <w:rPr>
                <w:kern w:val="0"/>
                <w:szCs w:val="21"/>
                <w:highlight w:val="none"/>
                <w:lang w:bidi="ar"/>
              </w:rPr>
              <w:t>表面采用低金属静电粉末喷涂处理，粉末喷涂材料添加抗紫外线稳定剂，达到五级</w:t>
            </w:r>
            <w:r>
              <w:rPr>
                <w:kern w:val="0"/>
                <w:szCs w:val="21"/>
                <w:lang w:bidi="ar"/>
              </w:rPr>
              <w:t>抗紫外线标准，颜色保持长久鲜艳；坚固件：304不锈钢材质；种类：采用半圆头内六角安全螺丝与T型平头六角螺丝。螺丝要求一般工具无法松动，可预防任意调整功能。篮球网采用锦纶材料，具有抗紫外线、抗老化性能；足球网网采用锦纶材料，具有抗紫外线、抗老化性能。</w:t>
            </w:r>
          </w:p>
          <w:p>
            <w:pPr>
              <w:widowControl/>
              <w:jc w:val="left"/>
              <w:textAlignment w:val="center"/>
              <w:rPr>
                <w:szCs w:val="21"/>
              </w:rPr>
            </w:pPr>
            <w:r>
              <w:rPr>
                <w:kern w:val="0"/>
                <w:szCs w:val="21"/>
                <w:lang w:bidi="ar"/>
              </w:rPr>
              <w:t xml:space="preserve">8、螺丝均采用不锈钢304#材质防盗螺丝，牢固可靠，不易松动脱落及变形和损坏。 </w:t>
            </w:r>
            <w:r>
              <w:rPr>
                <w:kern w:val="0"/>
                <w:szCs w:val="21"/>
                <w:lang w:bidi="ar"/>
              </w:rPr>
              <w:br w:type="textWrapping"/>
            </w:r>
            <w:r>
              <w:rPr>
                <w:kern w:val="0"/>
                <w:szCs w:val="21"/>
                <w:lang w:bidi="ar"/>
              </w:rPr>
              <w:t>结构配置：立柱不少于25根，150cm高L型楼梯一套，117*117cm平台两套，280*220cm平台一套、240cm长开口网一套，90cm高S梯一套，弧长360cm钻网一套，120cm高楼梯一套、秋千一套、弧长200钻网一套、投掷架不少于1套等</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szCs w:val="21"/>
              </w:rPr>
            </w:pPr>
            <w:r>
              <w:rPr>
                <w:kern w:val="0"/>
                <w:szCs w:val="21"/>
                <w:lang w:bidi="ar"/>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户外运动跑酷系列-标准版</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704850" cy="762000"/>
                  <wp:effectExtent l="0" t="0" r="0" b="0"/>
                  <wp:docPr id="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61"/>
                          <pic:cNvPicPr>
                            <a:picLocks noChangeAspect="1"/>
                          </pic:cNvPicPr>
                        </pic:nvPicPr>
                        <pic:blipFill>
                          <a:blip r:embed="rId10"/>
                          <a:stretch>
                            <a:fillRect/>
                          </a:stretch>
                        </pic:blipFill>
                        <pic:spPr>
                          <a:xfrm>
                            <a:off x="0" y="0"/>
                            <a:ext cx="7048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szCs w:val="21"/>
              </w:rPr>
            </w:pPr>
            <w:r>
              <w:rPr>
                <w:kern w:val="0"/>
                <w:szCs w:val="21"/>
                <w:lang w:bidi="ar"/>
              </w:rPr>
              <w:t>户外运动跑酷系列-标准版</w:t>
            </w:r>
            <w:r>
              <w:rPr>
                <w:rFonts w:hint="eastAsia"/>
                <w:kern w:val="0"/>
                <w:szCs w:val="21"/>
                <w:lang w:eastAsia="zh-CN" w:bidi="ar"/>
              </w:rPr>
              <w:t>，</w:t>
            </w:r>
            <w:r>
              <w:rPr>
                <w:rFonts w:hint="eastAsia"/>
                <w:b w:val="0"/>
                <w:bCs w:val="0"/>
                <w:color w:val="auto"/>
                <w:kern w:val="0"/>
                <w:szCs w:val="21"/>
                <w:lang w:val="en-US" w:eastAsia="zh-CN" w:bidi="ar"/>
              </w:rPr>
              <w:t>所有尺寸正负偏离不高于百分之五</w:t>
            </w:r>
            <w:r>
              <w:rPr>
                <w:color w:val="auto"/>
                <w:kern w:val="0"/>
                <w:szCs w:val="21"/>
                <w:lang w:bidi="ar"/>
              </w:rPr>
              <w:t>：</w:t>
            </w:r>
            <w:r>
              <w:rPr>
                <w:color w:val="auto"/>
                <w:kern w:val="0"/>
                <w:szCs w:val="21"/>
                <w:lang w:bidi="ar"/>
              </w:rPr>
              <w:br w:type="textWrapping"/>
            </w:r>
            <w:r>
              <w:rPr>
                <w:kern w:val="0"/>
                <w:szCs w:val="21"/>
                <w:lang w:bidi="ar"/>
              </w:rPr>
              <w:t>包含：1、三角蹬（咖啡色）：尺寸：57*60*57cm，材质：EPE+EVA+户外PVC防雨皮。数量：5件。</w:t>
            </w:r>
            <w:r>
              <w:rPr>
                <w:kern w:val="0"/>
                <w:szCs w:val="21"/>
                <w:lang w:bidi="ar"/>
              </w:rPr>
              <w:br w:type="textWrapping"/>
            </w:r>
            <w:r>
              <w:rPr>
                <w:kern w:val="0"/>
                <w:szCs w:val="21"/>
                <w:lang w:bidi="ar"/>
              </w:rPr>
              <w:t>2、三角蹬（绿色）：尺寸：57*60*57cm，材质：EPE+EVA+户外PVC防雨皮。数量：5件。</w:t>
            </w:r>
            <w:r>
              <w:rPr>
                <w:kern w:val="0"/>
                <w:szCs w:val="21"/>
                <w:lang w:bidi="ar"/>
              </w:rPr>
              <w:br w:type="textWrapping"/>
            </w:r>
            <w:r>
              <w:rPr>
                <w:kern w:val="0"/>
                <w:szCs w:val="21"/>
                <w:lang w:bidi="ar"/>
              </w:rPr>
              <w:t>3、三角蹬防滑地垫：尺寸：800*500mm，数量：6件。</w:t>
            </w:r>
            <w:r>
              <w:rPr>
                <w:kern w:val="0"/>
                <w:szCs w:val="21"/>
                <w:lang w:bidi="ar"/>
              </w:rPr>
              <w:br w:type="textWrapping"/>
            </w:r>
            <w:r>
              <w:rPr>
                <w:kern w:val="0"/>
                <w:szCs w:val="21"/>
                <w:lang w:bidi="ar"/>
              </w:rPr>
              <w:t>4、半圆柱-H15（咖啡色）：尺寸：30*30*15cm，材质：EPE+EVA+户外PVC防雨皮。数量：3件。</w:t>
            </w:r>
            <w:r>
              <w:rPr>
                <w:kern w:val="0"/>
                <w:szCs w:val="21"/>
                <w:lang w:bidi="ar"/>
              </w:rPr>
              <w:br w:type="textWrapping"/>
            </w:r>
            <w:r>
              <w:rPr>
                <w:kern w:val="0"/>
                <w:szCs w:val="21"/>
                <w:lang w:bidi="ar"/>
              </w:rPr>
              <w:t>5、半圆柱-H15（绿色）：尺寸：30*30*15cm，材质：EPE+EVA+户外PVC防雨皮。数量：3件。</w:t>
            </w:r>
            <w:r>
              <w:rPr>
                <w:kern w:val="0"/>
                <w:szCs w:val="21"/>
                <w:lang w:bidi="ar"/>
              </w:rPr>
              <w:br w:type="textWrapping"/>
            </w:r>
            <w:r>
              <w:rPr>
                <w:kern w:val="0"/>
                <w:szCs w:val="21"/>
                <w:lang w:bidi="ar"/>
              </w:rPr>
              <w:t>6、平衡木-H30（咖啡色）：尺寸：60*30*30cm，材质：EPE+EVA+户外PVC防雨皮。数量：4件。</w:t>
            </w:r>
            <w:r>
              <w:rPr>
                <w:kern w:val="0"/>
                <w:szCs w:val="21"/>
                <w:lang w:bidi="ar"/>
              </w:rPr>
              <w:br w:type="textWrapping"/>
            </w:r>
            <w:r>
              <w:rPr>
                <w:kern w:val="0"/>
                <w:szCs w:val="21"/>
                <w:lang w:bidi="ar"/>
              </w:rPr>
              <w:t>7、平衡木-H45（绿色）：尺寸：60*30*45cm，材质：EPE+EVA+户外PVC防雨皮。数量：2件。</w:t>
            </w:r>
            <w:r>
              <w:rPr>
                <w:kern w:val="0"/>
                <w:szCs w:val="21"/>
                <w:lang w:bidi="ar"/>
              </w:rPr>
              <w:br w:type="textWrapping"/>
            </w:r>
            <w:r>
              <w:rPr>
                <w:kern w:val="0"/>
                <w:szCs w:val="21"/>
                <w:lang w:bidi="ar"/>
              </w:rPr>
              <w:t>8、防护地垫（绿色）：尺寸：200*80*5cm，材质：EVA+户外PVC防雨皮。数量：5件。</w:t>
            </w:r>
            <w:r>
              <w:rPr>
                <w:kern w:val="0"/>
                <w:szCs w:val="21"/>
                <w:lang w:bidi="ar"/>
              </w:rPr>
              <w:br w:type="textWrapping"/>
            </w:r>
            <w:r>
              <w:rPr>
                <w:kern w:val="0"/>
                <w:szCs w:val="21"/>
                <w:lang w:bidi="ar"/>
              </w:rPr>
              <w:t>9、跳箱-H10（深米色）：尺寸：80*60*10cm，材质：EPE+EVA+户外PVC防雨皮。数量：2件。</w:t>
            </w:r>
            <w:r>
              <w:rPr>
                <w:kern w:val="0"/>
                <w:szCs w:val="21"/>
                <w:lang w:bidi="ar"/>
              </w:rPr>
              <w:br w:type="textWrapping"/>
            </w:r>
            <w:r>
              <w:rPr>
                <w:kern w:val="0"/>
                <w:szCs w:val="21"/>
                <w:lang w:bidi="ar"/>
              </w:rPr>
              <w:t>10、跳箱-H20（咖啡色）：尺寸：80*60*20cm，材质：EPE+EVA+户外PVC防雨皮。数量：2件。</w:t>
            </w:r>
            <w:r>
              <w:rPr>
                <w:kern w:val="0"/>
                <w:szCs w:val="21"/>
                <w:lang w:bidi="ar"/>
              </w:rPr>
              <w:br w:type="textWrapping"/>
            </w:r>
            <w:r>
              <w:rPr>
                <w:kern w:val="0"/>
                <w:szCs w:val="21"/>
                <w:lang w:bidi="ar"/>
              </w:rPr>
              <w:t>11、跳箱-H30（绿色）：尺寸：80*60*30cm，材质：EPE+EVA+户外PVC防雨皮。数量：2件。</w:t>
            </w:r>
            <w:r>
              <w:rPr>
                <w:kern w:val="0"/>
                <w:szCs w:val="21"/>
                <w:lang w:bidi="ar"/>
              </w:rPr>
              <w:br w:type="textWrapping"/>
            </w:r>
            <w:r>
              <w:rPr>
                <w:kern w:val="0"/>
                <w:szCs w:val="21"/>
                <w:lang w:bidi="ar"/>
              </w:rPr>
              <w:t>12、跳箱-H40（咖啡色）：尺寸：80*60*40cm，材质：EPE+EVA+户外PVC防雨皮。数量：2件。</w:t>
            </w:r>
            <w:r>
              <w:rPr>
                <w:kern w:val="0"/>
                <w:szCs w:val="21"/>
                <w:lang w:bidi="ar"/>
              </w:rPr>
              <w:br w:type="textWrapping"/>
            </w:r>
            <w:r>
              <w:rPr>
                <w:kern w:val="0"/>
                <w:szCs w:val="21"/>
                <w:lang w:bidi="ar"/>
              </w:rPr>
              <w:t>13、跳马-第1级（苹果绿）：尺寸：80*60*20cm，材质：EPE+EVA+户外PVC防雨皮。数量：1件。</w:t>
            </w:r>
            <w:r>
              <w:rPr>
                <w:kern w:val="0"/>
                <w:szCs w:val="21"/>
                <w:lang w:bidi="ar"/>
              </w:rPr>
              <w:br w:type="textWrapping"/>
            </w:r>
            <w:r>
              <w:rPr>
                <w:kern w:val="0"/>
                <w:szCs w:val="21"/>
                <w:lang w:bidi="ar"/>
              </w:rPr>
              <w:t>14、跳马=第2级（咖啡色）：尺寸：80*50*20cm，材质：EPE+EVA+户外PVC防雨皮。数量：1件。</w:t>
            </w:r>
            <w:r>
              <w:rPr>
                <w:kern w:val="0"/>
                <w:szCs w:val="21"/>
                <w:lang w:bidi="ar"/>
              </w:rPr>
              <w:br w:type="textWrapping"/>
            </w:r>
            <w:r>
              <w:rPr>
                <w:kern w:val="0"/>
                <w:szCs w:val="21"/>
                <w:lang w:bidi="ar"/>
              </w:rPr>
              <w:t>15、跳马-第3级（深米色）：尺寸：80*40*20cm，材质：EPE+EVA+户外PVC防雨皮。数量：1件。</w:t>
            </w:r>
            <w:r>
              <w:rPr>
                <w:kern w:val="0"/>
                <w:szCs w:val="21"/>
                <w:lang w:bidi="ar"/>
              </w:rPr>
              <w:br w:type="textWrapping"/>
            </w:r>
            <w:r>
              <w:rPr>
                <w:kern w:val="0"/>
                <w:szCs w:val="21"/>
                <w:lang w:bidi="ar"/>
              </w:rPr>
              <w:t>16、跳马-第4级（苹果绿）：尺寸：80*30*20cm，材质：EPE+EVA+户外PVC防雨皮。数量：1件。</w:t>
            </w:r>
            <w:r>
              <w:rPr>
                <w:kern w:val="0"/>
                <w:szCs w:val="21"/>
                <w:highlight w:val="yellow"/>
                <w:lang w:bidi="ar"/>
              </w:rPr>
              <w:br w:type="textWrapping"/>
            </w:r>
            <w:r>
              <w:rPr>
                <w:kern w:val="0"/>
                <w:szCs w:val="21"/>
                <w:lang w:bidi="ar"/>
              </w:rPr>
              <w:t>17、升降单杠支架：升降单杠支架尺寸：150.6*95*154.3cm，单杠支架尺寸：φ2.5*100cm，数量：4件。</w:t>
            </w:r>
            <w:r>
              <w:rPr>
                <w:kern w:val="0"/>
                <w:szCs w:val="21"/>
                <w:lang w:bidi="ar"/>
              </w:rPr>
              <w:br w:type="textWrapping"/>
            </w:r>
            <w:r>
              <w:rPr>
                <w:kern w:val="0"/>
                <w:szCs w:val="21"/>
                <w:lang w:bidi="ar"/>
              </w:rPr>
              <w:t>18、户外运动探索区-中轮胎乌龟壳盖板（果绿）：尺寸：φ44*12mm，数量：2件。</w:t>
            </w:r>
            <w:r>
              <w:rPr>
                <w:kern w:val="0"/>
                <w:szCs w:val="21"/>
                <w:lang w:bidi="ar"/>
              </w:rPr>
              <w:br w:type="textWrapping"/>
            </w:r>
            <w:r>
              <w:rPr>
                <w:kern w:val="0"/>
                <w:szCs w:val="21"/>
                <w:lang w:bidi="ar"/>
              </w:rPr>
              <w:t>19、乌龟背套装（果绿+墨绿）：材质：塑料，尺寸：乌龟背约39.5*38.3*19cm，牵引绳长约146.5cm，配置：红色*2，黄色*2，蓝色*2，牵引绳*6，数量：6件。</w:t>
            </w:r>
            <w:r>
              <w:rPr>
                <w:kern w:val="0"/>
                <w:szCs w:val="21"/>
                <w:lang w:bidi="ar"/>
              </w:rPr>
              <w:br w:type="textWrapping"/>
            </w:r>
            <w:r>
              <w:rPr>
                <w:kern w:val="0"/>
                <w:szCs w:val="21"/>
                <w:lang w:bidi="ar"/>
              </w:rPr>
              <w:t>20、体能圈（橙黄）：材质：塑料。尺寸：外径600mm ，数量：6件。</w:t>
            </w:r>
            <w:r>
              <w:rPr>
                <w:kern w:val="0"/>
                <w:szCs w:val="21"/>
                <w:lang w:bidi="ar"/>
              </w:rPr>
              <w:br w:type="textWrapping"/>
            </w:r>
            <w:r>
              <w:rPr>
                <w:kern w:val="0"/>
                <w:szCs w:val="21"/>
                <w:lang w:bidi="ar"/>
              </w:rPr>
              <w:t>21、体能圈（海军蓝）：材质：塑料。尺寸：外径600mm ，数量：6件。</w:t>
            </w:r>
            <w:r>
              <w:rPr>
                <w:kern w:val="0"/>
                <w:szCs w:val="21"/>
                <w:lang w:bidi="ar"/>
              </w:rPr>
              <w:br w:type="textWrapping"/>
            </w:r>
            <w:r>
              <w:rPr>
                <w:kern w:val="0"/>
                <w:szCs w:val="21"/>
                <w:lang w:bidi="ar"/>
              </w:rPr>
              <w:t>22、体能圈（果绿）：材质：塑料。尺寸：外径600mm ，数量：6件。</w:t>
            </w:r>
            <w:r>
              <w:rPr>
                <w:kern w:val="0"/>
                <w:szCs w:val="21"/>
                <w:lang w:bidi="ar"/>
              </w:rPr>
              <w:br w:type="textWrapping"/>
            </w:r>
            <w:r>
              <w:rPr>
                <w:kern w:val="0"/>
                <w:szCs w:val="21"/>
                <w:lang w:bidi="ar"/>
              </w:rPr>
              <w:t>23、体能棒（深米色）：材质：塑料。外径28mm长1000mm，数量：18件。</w:t>
            </w:r>
            <w:r>
              <w:rPr>
                <w:kern w:val="0"/>
                <w:szCs w:val="21"/>
                <w:lang w:bidi="ar"/>
              </w:rPr>
              <w:br w:type="textWrapping"/>
            </w:r>
            <w:r>
              <w:rPr>
                <w:kern w:val="0"/>
                <w:szCs w:val="21"/>
                <w:lang w:bidi="ar"/>
              </w:rPr>
              <w:t>24、体能圈固定夹（2件/组）：材质：塑料。尺寸：66*38*36mm，数量：20件。</w:t>
            </w:r>
            <w:r>
              <w:rPr>
                <w:kern w:val="0"/>
                <w:szCs w:val="21"/>
                <w:lang w:bidi="ar"/>
              </w:rPr>
              <w:br w:type="textWrapping"/>
            </w:r>
            <w:r>
              <w:rPr>
                <w:kern w:val="0"/>
                <w:szCs w:val="21"/>
                <w:lang w:bidi="ar"/>
              </w:rPr>
              <w:t>25、体能棒固定夹（2件/组）：材质：塑料：尺寸：72*34*15mm，数量：12件。</w:t>
            </w:r>
            <w:r>
              <w:rPr>
                <w:kern w:val="0"/>
                <w:szCs w:val="21"/>
                <w:lang w:bidi="ar"/>
              </w:rPr>
              <w:br w:type="textWrapping"/>
            </w:r>
            <w:r>
              <w:rPr>
                <w:kern w:val="0"/>
                <w:szCs w:val="21"/>
                <w:lang w:bidi="ar"/>
              </w:rPr>
              <w:t>26、三角锥底座（墨绿色）：材质：塑料。尺寸：222*222*304mm，数量：9件。</w:t>
            </w:r>
            <w:r>
              <w:rPr>
                <w:kern w:val="0"/>
                <w:szCs w:val="21"/>
                <w:lang w:bidi="ar"/>
              </w:rPr>
              <w:br w:type="textWrapping"/>
            </w:r>
            <w:r>
              <w:rPr>
                <w:kern w:val="0"/>
                <w:szCs w:val="21"/>
                <w:lang w:bidi="ar"/>
              </w:rPr>
              <w:t>27、三角锥底座（果绿色）：材质：塑料。尺寸：222*222*304mm，数量：9件。</w:t>
            </w:r>
            <w:r>
              <w:rPr>
                <w:kern w:val="0"/>
                <w:szCs w:val="21"/>
                <w:lang w:bidi="ar"/>
              </w:rPr>
              <w:br w:type="textWrapping"/>
            </w:r>
            <w:r>
              <w:rPr>
                <w:kern w:val="0"/>
                <w:szCs w:val="21"/>
                <w:lang w:bidi="ar"/>
              </w:rPr>
              <w:t>28、户外运动跑酷系列-活动方案（大、中、小班）：1份。</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346"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自由组合基础套装C</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209675" cy="762000"/>
                  <wp:effectExtent l="0" t="0" r="9525" b="0"/>
                  <wp:docPr id="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62"/>
                          <pic:cNvPicPr>
                            <a:picLocks noChangeAspect="1"/>
                          </pic:cNvPicPr>
                        </pic:nvPicPr>
                        <pic:blipFill>
                          <a:blip r:embed="rId11"/>
                          <a:stretch>
                            <a:fillRect/>
                          </a:stretch>
                        </pic:blipFill>
                        <pic:spPr>
                          <a:xfrm>
                            <a:off x="0" y="0"/>
                            <a:ext cx="120967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规格：450*</w:t>
            </w:r>
            <w:r>
              <w:rPr>
                <w:color w:val="auto"/>
                <w:kern w:val="0"/>
                <w:szCs w:val="21"/>
                <w:lang w:bidi="ar"/>
              </w:rPr>
              <w:t>440*90</w:t>
            </w:r>
            <w:r>
              <w:rPr>
                <w:rFonts w:hint="eastAsia"/>
                <w:color w:val="auto"/>
                <w:kern w:val="0"/>
                <w:szCs w:val="21"/>
                <w:lang w:eastAsia="zh-CN" w:bidi="ar"/>
              </w:rPr>
              <w:t>±1</w:t>
            </w:r>
            <w:r>
              <w:rPr>
                <w:color w:val="auto"/>
                <w:kern w:val="0"/>
                <w:szCs w:val="21"/>
                <w:lang w:bidi="ar"/>
              </w:rPr>
              <w:t>cm</w:t>
            </w:r>
            <w:r>
              <w:rPr>
                <w:kern w:val="0"/>
                <w:szCs w:val="21"/>
                <w:lang w:bidi="ar"/>
              </w:rPr>
              <w:t>，</w:t>
            </w:r>
            <w:r>
              <w:rPr>
                <w:kern w:val="0"/>
                <w:szCs w:val="21"/>
                <w:lang w:bidi="ar"/>
              </w:rPr>
              <w:br w:type="textWrapping"/>
            </w:r>
            <w:r>
              <w:rPr>
                <w:kern w:val="0"/>
                <w:szCs w:val="21"/>
                <w:lang w:bidi="ar"/>
              </w:rPr>
              <w:t>1、体能由方块90*90cm4个，网梯130*45cm2个，楼梯130*45cm4个，平衡板130*20cm6个，共16件组成，</w:t>
            </w:r>
            <w:r>
              <w:rPr>
                <w:kern w:val="0"/>
                <w:szCs w:val="21"/>
                <w:lang w:bidi="ar"/>
              </w:rPr>
              <w:br w:type="textWrapping"/>
            </w:r>
            <w:r>
              <w:rPr>
                <w:kern w:val="0"/>
                <w:szCs w:val="21"/>
                <w:lang w:bidi="ar"/>
              </w:rPr>
              <w:t>2、主体材质芬兰木，面板厚度不小于2.7cm，表面处理：进行压、刨、铣、冲等处理后，表面进行防腐、防蛀处理，后采用原子灰进行三次刮灰抹平，并打磨光滑，表面喷涂三次聚氨脂清漆，</w:t>
            </w:r>
            <w:r>
              <w:rPr>
                <w:kern w:val="0"/>
                <w:szCs w:val="21"/>
                <w:lang w:bidi="ar"/>
              </w:rPr>
              <w:br w:type="textWrapping"/>
            </w:r>
            <w:r>
              <w:rPr>
                <w:kern w:val="0"/>
                <w:szCs w:val="21"/>
                <w:lang w:bidi="ar"/>
              </w:rPr>
              <w:t>3、五金螺丝：采用不锈钢304#子母螺丝，燕尾自攻螺丝采用410#，牢固，不易松动脱落及变形和损坏。</w:t>
            </w:r>
            <w:r>
              <w:rPr>
                <w:kern w:val="0"/>
                <w:szCs w:val="21"/>
                <w:lang w:bidi="ar"/>
              </w:rPr>
              <w:br w:type="textWrapping"/>
            </w:r>
            <w:r>
              <w:rPr>
                <w:kern w:val="0"/>
                <w:szCs w:val="21"/>
                <w:lang w:bidi="ar"/>
              </w:rPr>
              <w:t>4、产品外表和内表以及儿童手指可触及处无毛刺及尖锐的棱角，油漆采用户外哑光漆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A型爬梯</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2466975" cy="762000"/>
                  <wp:effectExtent l="0" t="0" r="9525" b="0"/>
                  <wp:docPr id="4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63"/>
                          <pic:cNvPicPr>
                            <a:picLocks noChangeAspect="1"/>
                          </pic:cNvPicPr>
                        </pic:nvPicPr>
                        <pic:blipFill>
                          <a:blip r:embed="rId12"/>
                          <a:stretch>
                            <a:fillRect/>
                          </a:stretch>
                        </pic:blipFill>
                        <pic:spPr>
                          <a:xfrm>
                            <a:off x="0" y="0"/>
                            <a:ext cx="246697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1、规格为小：90*90cm 2个，中：90*110cm  2个，大：90*130cm  2个；</w:t>
            </w:r>
            <w:r>
              <w:rPr>
                <w:kern w:val="0"/>
                <w:szCs w:val="21"/>
                <w:lang w:bidi="ar"/>
              </w:rPr>
              <w:br w:type="textWrapping"/>
            </w:r>
            <w:r>
              <w:rPr>
                <w:kern w:val="0"/>
                <w:szCs w:val="21"/>
                <w:lang w:bidi="ar"/>
              </w:rPr>
              <w:t>2、框架主体材质芬兰木，立柱：</w:t>
            </w:r>
            <w:r>
              <w:rPr>
                <w:rFonts w:hint="eastAsia"/>
                <w:kern w:val="0"/>
                <w:szCs w:val="21"/>
                <w:lang w:val="en-US" w:eastAsia="zh-CN" w:bidi="ar"/>
              </w:rPr>
              <w:t>不少于</w:t>
            </w:r>
            <w:r>
              <w:rPr>
                <w:kern w:val="0"/>
                <w:szCs w:val="21"/>
                <w:lang w:bidi="ar"/>
              </w:rPr>
              <w:t>4.5*5.5cm，表面处理：进行压、刨、铣、冲等处理后，表面进行防腐、防蛀处理，后采用原子灰进行三次刮灰抹平，并打磨光滑，表面喷涂三次聚氨脂清漆，</w:t>
            </w:r>
            <w:r>
              <w:rPr>
                <w:kern w:val="0"/>
                <w:szCs w:val="21"/>
                <w:lang w:bidi="ar"/>
              </w:rPr>
              <w:br w:type="textWrapping"/>
            </w:r>
            <w:r>
              <w:rPr>
                <w:kern w:val="0"/>
                <w:szCs w:val="21"/>
                <w:lang w:bidi="ar"/>
              </w:rPr>
              <w:t>3、内网采用航海船用缆绳，中芯为镀铬钢丝，外层再覆以变色锦纶编织绳，强度大，抗磨损，耐腐蚀，安全性能好。</w:t>
            </w:r>
            <w:r>
              <w:rPr>
                <w:kern w:val="0"/>
                <w:szCs w:val="21"/>
                <w:lang w:bidi="ar"/>
              </w:rPr>
              <w:br w:type="textWrapping"/>
            </w:r>
            <w:r>
              <w:rPr>
                <w:kern w:val="0"/>
                <w:szCs w:val="21"/>
                <w:lang w:bidi="ar"/>
              </w:rPr>
              <w:t>4、五金螺丝：采用不锈钢304#子母螺丝，燕尾自攻螺丝采用410#，牢固，不易松动脱落及变形和损坏。</w:t>
            </w:r>
            <w:r>
              <w:rPr>
                <w:kern w:val="0"/>
                <w:szCs w:val="21"/>
                <w:lang w:bidi="ar"/>
              </w:rPr>
              <w:br w:type="textWrapping"/>
            </w:r>
            <w:r>
              <w:rPr>
                <w:kern w:val="0"/>
                <w:szCs w:val="21"/>
                <w:lang w:bidi="ar"/>
              </w:rPr>
              <w:t>5、产品外表和内表以及儿童手指可触及处无毛刺及尖锐的棱角，油漆采用户外哑光漆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滚筒</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238250" cy="762000"/>
                  <wp:effectExtent l="0" t="0" r="0" b="0"/>
                  <wp:docPr id="4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64"/>
                          <pic:cNvPicPr>
                            <a:picLocks noChangeAspect="1"/>
                          </pic:cNvPicPr>
                        </pic:nvPicPr>
                        <pic:blipFill>
                          <a:blip r:embed="rId13"/>
                          <a:stretch>
                            <a:fillRect/>
                          </a:stretch>
                        </pic:blipFill>
                        <pic:spPr>
                          <a:xfrm>
                            <a:off x="0" y="0"/>
                            <a:ext cx="12382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kern w:val="0"/>
                <w:szCs w:val="21"/>
                <w:lang w:bidi="ar"/>
              </w:rPr>
            </w:pPr>
            <w:r>
              <w:rPr>
                <w:kern w:val="0"/>
                <w:szCs w:val="21"/>
                <w:lang w:bidi="ar"/>
              </w:rPr>
              <w:t>规格：直</w:t>
            </w:r>
            <w:r>
              <w:rPr>
                <w:color w:val="auto"/>
                <w:kern w:val="0"/>
                <w:szCs w:val="21"/>
                <w:lang w:bidi="ar"/>
              </w:rPr>
              <w:t>径63*60</w:t>
            </w:r>
            <w:r>
              <w:rPr>
                <w:rFonts w:hint="eastAsia"/>
                <w:color w:val="auto"/>
                <w:kern w:val="0"/>
                <w:szCs w:val="21"/>
                <w:lang w:eastAsia="zh-CN" w:bidi="ar"/>
              </w:rPr>
              <w:t>±1</w:t>
            </w:r>
            <w:r>
              <w:rPr>
                <w:color w:val="auto"/>
                <w:kern w:val="0"/>
                <w:szCs w:val="21"/>
                <w:lang w:bidi="ar"/>
              </w:rPr>
              <w:t>cm</w:t>
            </w:r>
            <w:r>
              <w:rPr>
                <w:kern w:val="0"/>
                <w:szCs w:val="21"/>
                <w:lang w:bidi="ar"/>
              </w:rPr>
              <w:t>，壁厚</w:t>
            </w:r>
            <w:r>
              <w:rPr>
                <w:rFonts w:hint="eastAsia"/>
                <w:kern w:val="0"/>
                <w:szCs w:val="21"/>
                <w:lang w:val="en-US" w:eastAsia="zh-CN" w:bidi="ar"/>
              </w:rPr>
              <w:t>不少于</w:t>
            </w:r>
            <w:r>
              <w:rPr>
                <w:kern w:val="0"/>
                <w:szCs w:val="21"/>
                <w:lang w:bidi="ar"/>
              </w:rPr>
              <w:t>1.2cm，PP材质</w:t>
            </w:r>
          </w:p>
          <w:p>
            <w:pPr>
              <w:widowControl/>
              <w:jc w:val="left"/>
              <w:textAlignment w:val="center"/>
              <w:rPr>
                <w:szCs w:val="21"/>
              </w:rPr>
            </w:pPr>
            <w:r>
              <w:rPr>
                <w:kern w:val="0"/>
                <w:szCs w:val="21"/>
                <w:lang w:bidi="ar"/>
              </w:rPr>
              <w:t>工艺：边缘和外表面、内表面以及儿童可触及的隐蔽部位进行倒角及抛光处理。</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户外种植</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156845</wp:posOffset>
                  </wp:positionV>
                  <wp:extent cx="720090" cy="365125"/>
                  <wp:effectExtent l="0" t="0" r="3810" b="15875"/>
                  <wp:wrapNone/>
                  <wp:docPr id="137" name="ID_E8606D04250E42A4AC59F61893B9FA54"/>
                  <wp:cNvGraphicFramePr/>
                  <a:graphic xmlns:a="http://schemas.openxmlformats.org/drawingml/2006/main">
                    <a:graphicData uri="http://schemas.openxmlformats.org/drawingml/2006/picture">
                      <pic:pic xmlns:pic="http://schemas.openxmlformats.org/drawingml/2006/picture">
                        <pic:nvPicPr>
                          <pic:cNvPr id="137" name="ID_E8606D04250E42A4AC59F61893B9FA54"/>
                          <pic:cNvPicPr/>
                        </pic:nvPicPr>
                        <pic:blipFill>
                          <a:blip r:embed="rId14"/>
                          <a:stretch>
                            <a:fillRect/>
                          </a:stretch>
                        </pic:blipFill>
                        <pic:spPr>
                          <a:xfrm>
                            <a:off x="0" y="0"/>
                            <a:ext cx="720090" cy="365125"/>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0288"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38" name="AutoShape_1"/>
                  <wp:cNvGraphicFramePr/>
                  <a:graphic xmlns:a="http://schemas.openxmlformats.org/drawingml/2006/main">
                    <a:graphicData uri="http://schemas.openxmlformats.org/drawingml/2006/picture">
                      <pic:pic xmlns:pic="http://schemas.openxmlformats.org/drawingml/2006/picture">
                        <pic:nvPicPr>
                          <pic:cNvPr id="138" name="AutoShape_1"/>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1312"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39" name="AutoShape_3"/>
                  <wp:cNvGraphicFramePr/>
                  <a:graphic xmlns:a="http://schemas.openxmlformats.org/drawingml/2006/main">
                    <a:graphicData uri="http://schemas.openxmlformats.org/drawingml/2006/picture">
                      <pic:pic xmlns:pic="http://schemas.openxmlformats.org/drawingml/2006/picture">
                        <pic:nvPicPr>
                          <pic:cNvPr id="139" name="AutoShape_3"/>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2336"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0" name="AutoShape_3_SpCnt_1"/>
                  <wp:cNvGraphicFramePr/>
                  <a:graphic xmlns:a="http://schemas.openxmlformats.org/drawingml/2006/main">
                    <a:graphicData uri="http://schemas.openxmlformats.org/drawingml/2006/picture">
                      <pic:pic xmlns:pic="http://schemas.openxmlformats.org/drawingml/2006/picture">
                        <pic:nvPicPr>
                          <pic:cNvPr id="140" name="AutoShape_3_SpCnt_1"/>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3360"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1" name="AutoShape_2"/>
                  <wp:cNvGraphicFramePr/>
                  <a:graphic xmlns:a="http://schemas.openxmlformats.org/drawingml/2006/main">
                    <a:graphicData uri="http://schemas.openxmlformats.org/drawingml/2006/picture">
                      <pic:pic xmlns:pic="http://schemas.openxmlformats.org/drawingml/2006/picture">
                        <pic:nvPicPr>
                          <pic:cNvPr id="141" name="AutoShape_2"/>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4384"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2" name="AutoShape_2_SpCnt_1"/>
                  <wp:cNvGraphicFramePr/>
                  <a:graphic xmlns:a="http://schemas.openxmlformats.org/drawingml/2006/main">
                    <a:graphicData uri="http://schemas.openxmlformats.org/drawingml/2006/picture">
                      <pic:pic xmlns:pic="http://schemas.openxmlformats.org/drawingml/2006/picture">
                        <pic:nvPicPr>
                          <pic:cNvPr id="142" name="AutoShape_2_SpCnt_1"/>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5408"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3" name="AutoShape_1_SpCnt_1"/>
                  <wp:cNvGraphicFramePr/>
                  <a:graphic xmlns:a="http://schemas.openxmlformats.org/drawingml/2006/main">
                    <a:graphicData uri="http://schemas.openxmlformats.org/drawingml/2006/picture">
                      <pic:pic xmlns:pic="http://schemas.openxmlformats.org/drawingml/2006/picture">
                        <pic:nvPicPr>
                          <pic:cNvPr id="143" name="AutoShape_1_SpCnt_1"/>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6432"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4" name="AutoShape_1_SpCnt_2"/>
                  <wp:cNvGraphicFramePr/>
                  <a:graphic xmlns:a="http://schemas.openxmlformats.org/drawingml/2006/main">
                    <a:graphicData uri="http://schemas.openxmlformats.org/drawingml/2006/picture">
                      <pic:pic xmlns:pic="http://schemas.openxmlformats.org/drawingml/2006/picture">
                        <pic:nvPicPr>
                          <pic:cNvPr id="144" name="AutoShape_1_SpCnt_2"/>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7456"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5" name="AutoShape_3_SpCnt_2"/>
                  <wp:cNvGraphicFramePr/>
                  <a:graphic xmlns:a="http://schemas.openxmlformats.org/drawingml/2006/main">
                    <a:graphicData uri="http://schemas.openxmlformats.org/drawingml/2006/picture">
                      <pic:pic xmlns:pic="http://schemas.openxmlformats.org/drawingml/2006/picture">
                        <pic:nvPicPr>
                          <pic:cNvPr id="145" name="AutoShape_3_SpCnt_2"/>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8480"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6" name="AutoShape_2_SpCnt_2"/>
                  <wp:cNvGraphicFramePr/>
                  <a:graphic xmlns:a="http://schemas.openxmlformats.org/drawingml/2006/main">
                    <a:graphicData uri="http://schemas.openxmlformats.org/drawingml/2006/picture">
                      <pic:pic xmlns:pic="http://schemas.openxmlformats.org/drawingml/2006/picture">
                        <pic:nvPicPr>
                          <pic:cNvPr id="146" name="AutoShape_2_SpCnt_2"/>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69504"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8" name="AutoShape_2_SpCnt_3"/>
                  <wp:cNvGraphicFramePr/>
                  <a:graphic xmlns:a="http://schemas.openxmlformats.org/drawingml/2006/main">
                    <a:graphicData uri="http://schemas.openxmlformats.org/drawingml/2006/picture">
                      <pic:pic xmlns:pic="http://schemas.openxmlformats.org/drawingml/2006/picture">
                        <pic:nvPicPr>
                          <pic:cNvPr id="148" name="AutoShape_2_SpCnt_3"/>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0528"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49" name="AutoShape_1_SpCnt_3"/>
                  <wp:cNvGraphicFramePr/>
                  <a:graphic xmlns:a="http://schemas.openxmlformats.org/drawingml/2006/main">
                    <a:graphicData uri="http://schemas.openxmlformats.org/drawingml/2006/picture">
                      <pic:pic xmlns:pic="http://schemas.openxmlformats.org/drawingml/2006/picture">
                        <pic:nvPicPr>
                          <pic:cNvPr id="149" name="AutoShape_1_SpCnt_3"/>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1552"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52" name="AutoShape_9"/>
                  <wp:cNvGraphicFramePr/>
                  <a:graphic xmlns:a="http://schemas.openxmlformats.org/drawingml/2006/main">
                    <a:graphicData uri="http://schemas.openxmlformats.org/drawingml/2006/picture">
                      <pic:pic xmlns:pic="http://schemas.openxmlformats.org/drawingml/2006/picture">
                        <pic:nvPicPr>
                          <pic:cNvPr id="152" name="AutoShape_9"/>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1552"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53" name="AutoShape_9_SpCnt_1"/>
                  <wp:cNvGraphicFramePr/>
                  <a:graphic xmlns:a="http://schemas.openxmlformats.org/drawingml/2006/main">
                    <a:graphicData uri="http://schemas.openxmlformats.org/drawingml/2006/picture">
                      <pic:pic xmlns:pic="http://schemas.openxmlformats.org/drawingml/2006/picture">
                        <pic:nvPicPr>
                          <pic:cNvPr id="153" name="AutoShape_9_SpCnt_1"/>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2576"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54" name="AutoShape_9_SpCnt_2"/>
                  <wp:cNvGraphicFramePr/>
                  <a:graphic xmlns:a="http://schemas.openxmlformats.org/drawingml/2006/main">
                    <a:graphicData uri="http://schemas.openxmlformats.org/drawingml/2006/picture">
                      <pic:pic xmlns:pic="http://schemas.openxmlformats.org/drawingml/2006/picture">
                        <pic:nvPicPr>
                          <pic:cNvPr id="154" name="AutoShape_9_SpCnt_2"/>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3600"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55" name="AutoShape_9_SpCnt_3"/>
                  <wp:cNvGraphicFramePr/>
                  <a:graphic xmlns:a="http://schemas.openxmlformats.org/drawingml/2006/main">
                    <a:graphicData uri="http://schemas.openxmlformats.org/drawingml/2006/picture">
                      <pic:pic xmlns:pic="http://schemas.openxmlformats.org/drawingml/2006/picture">
                        <pic:nvPicPr>
                          <pic:cNvPr id="155" name="AutoShape_9_SpCnt_3"/>
                          <pic:cNvPicPr/>
                        </pic:nvPicPr>
                        <pic:blipFill>
                          <a:blip r:embed="rId15"/>
                          <a:stretch>
                            <a:fillRect/>
                          </a:stretch>
                        </pic:blipFill>
                        <pic:spPr>
                          <a:xfrm>
                            <a:off x="0" y="0"/>
                            <a:ext cx="316230" cy="171450"/>
                          </a:xfrm>
                          <a:prstGeom prst="rect">
                            <a:avLst/>
                          </a:prstGeom>
                          <a:noFill/>
                          <a:ln>
                            <a:noFill/>
                          </a:ln>
                        </pic:spPr>
                      </pic:pic>
                    </a:graphicData>
                  </a:graphic>
                </wp:anchor>
              </w:drawing>
            </w:r>
            <w:r>
              <w:rPr>
                <w:b/>
                <w:bCs/>
                <w:kern w:val="0"/>
                <w:szCs w:val="21"/>
                <w:bdr w:val="single" w:color="000000" w:sz="4" w:space="0"/>
                <w:lang w:bidi="ar"/>
              </w:rPr>
              <w:drawing>
                <wp:anchor distT="0" distB="0" distL="114300" distR="114300" simplePos="0" relativeHeight="251674624" behindDoc="0" locked="0" layoutInCell="1" allowOverlap="1">
                  <wp:simplePos x="0" y="0"/>
                  <wp:positionH relativeFrom="column">
                    <wp:posOffset>573405</wp:posOffset>
                  </wp:positionH>
                  <wp:positionV relativeFrom="paragraph">
                    <wp:posOffset>0</wp:posOffset>
                  </wp:positionV>
                  <wp:extent cx="316230" cy="171450"/>
                  <wp:effectExtent l="0" t="0" r="0" b="0"/>
                  <wp:wrapNone/>
                  <wp:docPr id="156" name="AutoShape_3_SpCnt_3"/>
                  <wp:cNvGraphicFramePr/>
                  <a:graphic xmlns:a="http://schemas.openxmlformats.org/drawingml/2006/main">
                    <a:graphicData uri="http://schemas.openxmlformats.org/drawingml/2006/picture">
                      <pic:pic xmlns:pic="http://schemas.openxmlformats.org/drawingml/2006/picture">
                        <pic:nvPicPr>
                          <pic:cNvPr id="156" name="AutoShape_3_SpCnt_3"/>
                          <pic:cNvPicPr/>
                        </pic:nvPicPr>
                        <pic:blipFill>
                          <a:blip r:embed="rId15"/>
                          <a:stretch>
                            <a:fillRect/>
                          </a:stretch>
                        </pic:blipFill>
                        <pic:spPr>
                          <a:xfrm>
                            <a:off x="0" y="0"/>
                            <a:ext cx="316230" cy="171450"/>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37"/>
                <w:rFonts w:hint="default" w:ascii="Times New Roman" w:hAnsi="Times New Roman" w:eastAsia="宋体" w:cs="Times New Roman"/>
                <w:b w:val="0"/>
                <w:bCs w:val="0"/>
                <w:color w:val="auto"/>
                <w:sz w:val="21"/>
                <w:szCs w:val="21"/>
                <w:lang w:bidi="ar"/>
              </w:rPr>
            </w:pPr>
            <w:r>
              <w:rPr>
                <w:kern w:val="0"/>
                <w:szCs w:val="21"/>
                <w:lang w:bidi="ar"/>
              </w:rPr>
              <w:t>规格：</w:t>
            </w:r>
            <w:r>
              <w:rPr>
                <w:rStyle w:val="37"/>
                <w:rFonts w:hint="default" w:ascii="Times New Roman" w:hAnsi="Times New Roman" w:eastAsia="宋体" w:cs="Times New Roman"/>
                <w:b w:val="0"/>
                <w:bCs w:val="0"/>
                <w:color w:val="auto"/>
                <w:sz w:val="21"/>
                <w:szCs w:val="21"/>
                <w:lang w:bidi="ar"/>
              </w:rPr>
              <w:t>121*127*143.5</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 xml:space="preserve">cm                                       </w:t>
            </w:r>
          </w:p>
          <w:p>
            <w:pPr>
              <w:widowControl/>
              <w:jc w:val="left"/>
              <w:textAlignment w:val="center"/>
              <w:rPr>
                <w:szCs w:val="21"/>
              </w:rPr>
            </w:pPr>
            <w:r>
              <w:rPr>
                <w:rStyle w:val="40"/>
                <w:rFonts w:hint="default" w:ascii="Times New Roman" w:hAnsi="Times New Roman" w:cs="Times New Roman"/>
                <w:b w:val="0"/>
                <w:bCs w:val="0"/>
                <w:color w:val="auto"/>
                <w:sz w:val="21"/>
                <w:szCs w:val="21"/>
                <w:lang w:bidi="ar"/>
              </w:rPr>
              <w:t>材质采用花梨木，木油浸泡，</w:t>
            </w:r>
            <w:r>
              <w:rPr>
                <w:rStyle w:val="37"/>
                <w:rFonts w:hint="default" w:ascii="Times New Roman" w:hAnsi="Times New Roman" w:eastAsia="宋体" w:cs="Times New Roman"/>
                <w:b w:val="0"/>
                <w:bCs w:val="0"/>
                <w:color w:val="auto"/>
                <w:sz w:val="21"/>
                <w:szCs w:val="21"/>
                <w:lang w:bidi="ar"/>
              </w:rPr>
              <w:t>PU</w:t>
            </w:r>
            <w:r>
              <w:rPr>
                <w:rStyle w:val="40"/>
                <w:rFonts w:hint="default" w:ascii="Times New Roman" w:hAnsi="Times New Roman" w:cs="Times New Roman"/>
                <w:b w:val="0"/>
                <w:bCs w:val="0"/>
                <w:color w:val="auto"/>
                <w:sz w:val="21"/>
                <w:szCs w:val="21"/>
                <w:lang w:bidi="ar"/>
              </w:rPr>
              <w:t>封固，表面防腐防虫处理，花梨木材质应符合</w:t>
            </w:r>
            <w:r>
              <w:rPr>
                <w:rStyle w:val="37"/>
                <w:rFonts w:hint="default" w:ascii="Times New Roman" w:hAnsi="Times New Roman" w:eastAsia="宋体" w:cs="Times New Roman"/>
                <w:b w:val="0"/>
                <w:bCs w:val="0"/>
                <w:color w:val="auto"/>
                <w:sz w:val="21"/>
                <w:szCs w:val="21"/>
                <w:lang w:bidi="ar"/>
              </w:rPr>
              <w:t>GB6675.4-2014</w:t>
            </w:r>
            <w:r>
              <w:rPr>
                <w:rStyle w:val="40"/>
                <w:rFonts w:hint="default" w:ascii="Times New Roman" w:hAnsi="Times New Roman" w:cs="Times New Roman"/>
                <w:b w:val="0"/>
                <w:bCs w:val="0"/>
                <w:color w:val="auto"/>
                <w:sz w:val="21"/>
                <w:szCs w:val="21"/>
                <w:lang w:bidi="ar"/>
              </w:rPr>
              <w:t>对于特定元素迁移的最大限量。</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玩具驿站</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75648" behindDoc="0" locked="0" layoutInCell="1" allowOverlap="1">
                  <wp:simplePos x="0" y="0"/>
                  <wp:positionH relativeFrom="column">
                    <wp:posOffset>74930</wp:posOffset>
                  </wp:positionH>
                  <wp:positionV relativeFrom="paragraph">
                    <wp:posOffset>1310005</wp:posOffset>
                  </wp:positionV>
                  <wp:extent cx="989965" cy="704215"/>
                  <wp:effectExtent l="0" t="0" r="635" b="635"/>
                  <wp:wrapNone/>
                  <wp:docPr id="157" name="ID_6FC8EF0ED6F342C19760E900F666F730"/>
                  <wp:cNvGraphicFramePr/>
                  <a:graphic xmlns:a="http://schemas.openxmlformats.org/drawingml/2006/main">
                    <a:graphicData uri="http://schemas.openxmlformats.org/drawingml/2006/picture">
                      <pic:pic xmlns:pic="http://schemas.openxmlformats.org/drawingml/2006/picture">
                        <pic:nvPicPr>
                          <pic:cNvPr id="157" name="ID_6FC8EF0ED6F342C19760E900F666F730"/>
                          <pic:cNvPicPr/>
                        </pic:nvPicPr>
                        <pic:blipFill>
                          <a:blip r:embed="rId16"/>
                          <a:stretch>
                            <a:fillRect/>
                          </a:stretch>
                        </pic:blipFill>
                        <pic:spPr>
                          <a:xfrm>
                            <a:off x="0" y="0"/>
                            <a:ext cx="989965" cy="70421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37"/>
                <w:rFonts w:hint="default" w:ascii="Times New Roman" w:hAnsi="Times New Roman" w:eastAsia="宋体" w:cs="Times New Roman"/>
                <w:b w:val="0"/>
                <w:bCs w:val="0"/>
                <w:color w:val="auto"/>
                <w:sz w:val="21"/>
                <w:szCs w:val="21"/>
                <w:lang w:bidi="ar"/>
              </w:rPr>
            </w:pPr>
            <w:r>
              <w:rPr>
                <w:kern w:val="0"/>
                <w:szCs w:val="21"/>
                <w:lang w:bidi="ar"/>
              </w:rPr>
              <w:t>规格：</w:t>
            </w:r>
            <w:r>
              <w:rPr>
                <w:rStyle w:val="37"/>
                <w:rFonts w:hint="default" w:ascii="Times New Roman" w:hAnsi="Times New Roman" w:eastAsia="宋体" w:cs="Times New Roman"/>
                <w:b w:val="0"/>
                <w:bCs w:val="0"/>
                <w:color w:val="auto"/>
                <w:sz w:val="21"/>
                <w:szCs w:val="21"/>
                <w:lang w:bidi="ar"/>
              </w:rPr>
              <w:t>450*65*210</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 xml:space="preserve">cm                                                 </w:t>
            </w:r>
          </w:p>
          <w:p>
            <w:pPr>
              <w:widowControl/>
              <w:jc w:val="left"/>
              <w:textAlignment w:val="center"/>
              <w:rPr>
                <w:szCs w:val="21"/>
              </w:rPr>
            </w:pPr>
            <w:r>
              <w:rPr>
                <w:rStyle w:val="40"/>
                <w:rFonts w:hint="default" w:ascii="Times New Roman" w:hAnsi="Times New Roman" w:cs="Times New Roman"/>
                <w:b w:val="0"/>
                <w:bCs w:val="0"/>
                <w:color w:val="auto"/>
                <w:sz w:val="21"/>
                <w:szCs w:val="21"/>
                <w:lang w:bidi="ar"/>
              </w:rPr>
              <w:t>材质：镀锌钢管、现代科技木、沥青瓦、</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板等</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整体框架采用</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4*4cm</w:t>
            </w:r>
            <w:r>
              <w:rPr>
                <w:rStyle w:val="40"/>
                <w:rFonts w:hint="default" w:ascii="Times New Roman" w:hAnsi="Times New Roman" w:cs="Times New Roman"/>
                <w:b w:val="0"/>
                <w:bCs w:val="0"/>
                <w:color w:val="auto"/>
                <w:sz w:val="21"/>
                <w:szCs w:val="21"/>
                <w:lang w:bidi="ar"/>
              </w:rPr>
              <w:t>，壁厚</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2.0mm</w:t>
            </w:r>
            <w:r>
              <w:rPr>
                <w:rStyle w:val="40"/>
                <w:rFonts w:hint="default" w:ascii="Times New Roman" w:hAnsi="Times New Roman" w:cs="Times New Roman"/>
                <w:b w:val="0"/>
                <w:bCs w:val="0"/>
                <w:color w:val="auto"/>
                <w:sz w:val="21"/>
                <w:szCs w:val="21"/>
                <w:lang w:bidi="ar"/>
              </w:rPr>
              <w:t>钢管焊接而成，整体加工经特殊工艺除锈，抛沙处理。表面处理：</w:t>
            </w:r>
            <w:r>
              <w:rPr>
                <w:rStyle w:val="37"/>
                <w:rFonts w:hint="default" w:ascii="Times New Roman" w:hAnsi="Times New Roman" w:eastAsia="宋体" w:cs="Times New Roman"/>
                <w:b w:val="0"/>
                <w:bCs w:val="0"/>
                <w:color w:val="auto"/>
                <w:sz w:val="21"/>
                <w:szCs w:val="21"/>
                <w:lang w:bidi="ar"/>
              </w:rPr>
              <w:t xml:space="preserve">CO2 </w:t>
            </w:r>
            <w:r>
              <w:rPr>
                <w:rStyle w:val="40"/>
                <w:rFonts w:hint="default" w:ascii="Times New Roman" w:hAnsi="Times New Roman" w:cs="Times New Roman"/>
                <w:b w:val="0"/>
                <w:bCs w:val="0"/>
                <w:color w:val="auto"/>
                <w:sz w:val="21"/>
                <w:szCs w:val="21"/>
                <w:lang w:bidi="ar"/>
              </w:rPr>
              <w:t>保护焊、经喷丸技术处理、然后经过抛光处理、室外聚酯系树脂粉体涂装高温电磁烤漆、高温固化、防锈性能特强，表面光滑，抗紫外线，色泽艳丽，不易脱落。</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板材采用现代科技木，厚度</w:t>
            </w:r>
            <w:r>
              <w:rPr>
                <w:rStyle w:val="37"/>
                <w:rFonts w:hint="default" w:ascii="Times New Roman" w:hAnsi="Times New Roman" w:eastAsia="宋体" w:cs="Times New Roman"/>
                <w:b w:val="0"/>
                <w:bCs w:val="0"/>
                <w:color w:val="auto"/>
                <w:sz w:val="21"/>
                <w:szCs w:val="21"/>
                <w:lang w:bidi="ar"/>
              </w:rPr>
              <w:t>14mm/20</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，科技木防水、防潮、耐候，从根本上解决了木制产品在潮湿多水环境中易腐烂和膨胀变形的问题。</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顶部内层做防水处理，外铺沥青瓦，沥青瓦色彩丰富，隔热保温，耐用不破碎，可抵御光照、冷热，雨水和冰冻等多种气候因素引起的侵蚀等。</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4.</w:t>
            </w:r>
            <w:r>
              <w:rPr>
                <w:rStyle w:val="40"/>
                <w:rFonts w:hint="default" w:ascii="Times New Roman" w:hAnsi="Times New Roman" w:cs="Times New Roman"/>
                <w:b w:val="0"/>
                <w:bCs w:val="0"/>
                <w:color w:val="auto"/>
                <w:sz w:val="21"/>
                <w:szCs w:val="21"/>
                <w:lang w:bidi="ar"/>
              </w:rPr>
              <w:t>边条采用</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板封板，整体看上去有立体感。</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5.</w:t>
            </w:r>
            <w:r>
              <w:rPr>
                <w:rStyle w:val="40"/>
                <w:rFonts w:hint="default" w:ascii="Times New Roman" w:hAnsi="Times New Roman" w:cs="Times New Roman"/>
                <w:b w:val="0"/>
                <w:bCs w:val="0"/>
                <w:color w:val="auto"/>
                <w:sz w:val="21"/>
                <w:szCs w:val="21"/>
                <w:lang w:bidi="ar"/>
              </w:rPr>
              <w:t>五金配件材质：采用不锈钢材质的半圆头、</w:t>
            </w:r>
            <w:r>
              <w:rPr>
                <w:rStyle w:val="37"/>
                <w:rFonts w:hint="default" w:ascii="Times New Roman" w:hAnsi="Times New Roman" w:eastAsia="宋体" w:cs="Times New Roman"/>
                <w:b w:val="0"/>
                <w:bCs w:val="0"/>
                <w:color w:val="auto"/>
                <w:sz w:val="21"/>
                <w:szCs w:val="21"/>
                <w:lang w:bidi="ar"/>
              </w:rPr>
              <w:t>T</w:t>
            </w:r>
            <w:r>
              <w:rPr>
                <w:rStyle w:val="40"/>
                <w:rFonts w:hint="default" w:ascii="Times New Roman" w:hAnsi="Times New Roman" w:cs="Times New Roman"/>
                <w:b w:val="0"/>
                <w:bCs w:val="0"/>
                <w:color w:val="auto"/>
                <w:sz w:val="21"/>
                <w:szCs w:val="21"/>
                <w:lang w:bidi="ar"/>
              </w:rPr>
              <w:t>型平头螺丝。外露螺丝均使用不锈钢半圆、无棱角的螺丝，加不锈钢螺丝帽。螺丝需使用专用工具，具有预防任意调整功能，维护设备安全的作用。</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6.</w:t>
            </w:r>
            <w:r>
              <w:rPr>
                <w:rStyle w:val="40"/>
                <w:rFonts w:hint="default" w:ascii="Times New Roman" w:hAnsi="Times New Roman" w:cs="Times New Roman"/>
                <w:b w:val="0"/>
                <w:bCs w:val="0"/>
                <w:color w:val="auto"/>
                <w:sz w:val="21"/>
                <w:szCs w:val="21"/>
                <w:lang w:bidi="ar"/>
              </w:rPr>
              <w:t>其他：所有接触面材料均经倒圆角处理。所有产品外表面和内表面以及儿童手指可触及无任何毛刺及尖锐的棱角。</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软梯</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76672" behindDoc="0" locked="0" layoutInCell="1" allowOverlap="1">
                  <wp:simplePos x="0" y="0"/>
                  <wp:positionH relativeFrom="column">
                    <wp:posOffset>306070</wp:posOffset>
                  </wp:positionH>
                  <wp:positionV relativeFrom="paragraph">
                    <wp:posOffset>10795</wp:posOffset>
                  </wp:positionV>
                  <wp:extent cx="593725" cy="365125"/>
                  <wp:effectExtent l="0" t="0" r="15875" b="15875"/>
                  <wp:wrapNone/>
                  <wp:docPr id="158" name="ID_75E9E2ED8C76487F9A0CD9273F1CC1AB"/>
                  <wp:cNvGraphicFramePr/>
                  <a:graphic xmlns:a="http://schemas.openxmlformats.org/drawingml/2006/main">
                    <a:graphicData uri="http://schemas.openxmlformats.org/drawingml/2006/picture">
                      <pic:pic xmlns:pic="http://schemas.openxmlformats.org/drawingml/2006/picture">
                        <pic:nvPicPr>
                          <pic:cNvPr id="158" name="ID_75E9E2ED8C76487F9A0CD9273F1CC1AB"/>
                          <pic:cNvPicPr/>
                        </pic:nvPicPr>
                        <pic:blipFill>
                          <a:blip r:embed="rId17"/>
                          <a:stretch>
                            <a:fillRect/>
                          </a:stretch>
                        </pic:blipFill>
                        <pic:spPr>
                          <a:xfrm>
                            <a:off x="0" y="0"/>
                            <a:ext cx="593725" cy="36512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材质采用花梨木，木油浸泡，</w:t>
            </w:r>
            <w:r>
              <w:rPr>
                <w:rStyle w:val="37"/>
                <w:rFonts w:hint="default" w:ascii="Times New Roman" w:hAnsi="Times New Roman" w:eastAsia="宋体" w:cs="Times New Roman"/>
                <w:b w:val="0"/>
                <w:bCs w:val="0"/>
                <w:color w:val="auto"/>
                <w:sz w:val="21"/>
                <w:szCs w:val="21"/>
                <w:lang w:bidi="ar"/>
              </w:rPr>
              <w:t>PU</w:t>
            </w:r>
            <w:r>
              <w:rPr>
                <w:rStyle w:val="40"/>
                <w:rFonts w:hint="default" w:ascii="Times New Roman" w:hAnsi="Times New Roman" w:cs="Times New Roman"/>
                <w:b w:val="0"/>
                <w:bCs w:val="0"/>
                <w:color w:val="auto"/>
                <w:sz w:val="21"/>
                <w:szCs w:val="21"/>
                <w:lang w:bidi="ar"/>
              </w:rPr>
              <w:t>封固，表面防腐防虫处理，花梨木材质应符合</w:t>
            </w:r>
            <w:r>
              <w:rPr>
                <w:rStyle w:val="37"/>
                <w:rFonts w:hint="default" w:ascii="Times New Roman" w:hAnsi="Times New Roman" w:eastAsia="宋体" w:cs="Times New Roman"/>
                <w:b w:val="0"/>
                <w:bCs w:val="0"/>
                <w:color w:val="auto"/>
                <w:sz w:val="21"/>
                <w:szCs w:val="21"/>
                <w:lang w:bidi="ar"/>
              </w:rPr>
              <w:t>GB6675.4-2014</w:t>
            </w:r>
            <w:r>
              <w:rPr>
                <w:rStyle w:val="40"/>
                <w:rFonts w:hint="default" w:ascii="Times New Roman" w:hAnsi="Times New Roman" w:cs="Times New Roman"/>
                <w:b w:val="0"/>
                <w:bCs w:val="0"/>
                <w:color w:val="auto"/>
                <w:sz w:val="21"/>
                <w:szCs w:val="21"/>
                <w:lang w:bidi="ar"/>
              </w:rPr>
              <w:t>对于特定元素迁移的最大限量。</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米</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拖拉机</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77696" behindDoc="0" locked="0" layoutInCell="1" allowOverlap="1">
                  <wp:simplePos x="0" y="0"/>
                  <wp:positionH relativeFrom="column">
                    <wp:posOffset>243205</wp:posOffset>
                  </wp:positionH>
                  <wp:positionV relativeFrom="paragraph">
                    <wp:posOffset>1964055</wp:posOffset>
                  </wp:positionV>
                  <wp:extent cx="769620" cy="655955"/>
                  <wp:effectExtent l="0" t="0" r="11430" b="10795"/>
                  <wp:wrapNone/>
                  <wp:docPr id="159" name="ID_B6B1FA5A96FB4C51930D72B5585B813F"/>
                  <wp:cNvGraphicFramePr/>
                  <a:graphic xmlns:a="http://schemas.openxmlformats.org/drawingml/2006/main">
                    <a:graphicData uri="http://schemas.openxmlformats.org/drawingml/2006/picture">
                      <pic:pic xmlns:pic="http://schemas.openxmlformats.org/drawingml/2006/picture">
                        <pic:nvPicPr>
                          <pic:cNvPr id="159" name="ID_B6B1FA5A96FB4C51930D72B5585B813F"/>
                          <pic:cNvPicPr/>
                        </pic:nvPicPr>
                        <pic:blipFill>
                          <a:blip r:embed="rId18"/>
                          <a:stretch>
                            <a:fillRect/>
                          </a:stretch>
                        </pic:blipFill>
                        <pic:spPr>
                          <a:xfrm>
                            <a:off x="0" y="0"/>
                            <a:ext cx="769620" cy="65595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外观规格：</w:t>
            </w:r>
            <w:r>
              <w:rPr>
                <w:rStyle w:val="37"/>
                <w:rFonts w:hint="default" w:ascii="Times New Roman" w:hAnsi="Times New Roman" w:eastAsia="宋体" w:cs="Times New Roman"/>
                <w:b w:val="0"/>
                <w:bCs w:val="0"/>
                <w:color w:val="auto"/>
                <w:sz w:val="21"/>
                <w:szCs w:val="21"/>
                <w:lang w:bidi="ar"/>
              </w:rPr>
              <w:t>L300*W180*H245</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40"/>
                <w:rFonts w:hint="default" w:ascii="Times New Roman" w:hAnsi="Times New Roman" w:cs="Times New Roman"/>
                <w:b w:val="0"/>
                <w:bCs w:val="0"/>
                <w:color w:val="auto"/>
                <w:sz w:val="21"/>
                <w:szCs w:val="21"/>
                <w:lang w:bidi="ar"/>
              </w:rPr>
              <w:t>（具体以实际尺寸为准）</w:t>
            </w:r>
            <w:r>
              <w:rPr>
                <w:rStyle w:val="37"/>
                <w:rFonts w:hint="default" w:ascii="Times New Roman" w:hAnsi="Times New Roman" w:eastAsia="宋体" w:cs="Times New Roman"/>
                <w:b w:val="0"/>
                <w:bCs w:val="0"/>
                <w:color w:val="auto"/>
                <w:sz w:val="21"/>
                <w:szCs w:val="21"/>
                <w:lang w:bidi="ar"/>
              </w:rPr>
              <w:t xml:space="preserve">                                                                                  </w:t>
            </w:r>
            <w:r>
              <w:rPr>
                <w:rStyle w:val="40"/>
                <w:rFonts w:hint="default" w:ascii="Times New Roman" w:hAnsi="Times New Roman" w:cs="Times New Roman"/>
                <w:b w:val="0"/>
                <w:bCs w:val="0"/>
                <w:color w:val="auto"/>
                <w:sz w:val="21"/>
                <w:szCs w:val="21"/>
                <w:lang w:bidi="ar"/>
              </w:rPr>
              <w:t>产品说明：此产品占地面积为</w:t>
            </w:r>
            <w:r>
              <w:rPr>
                <w:rStyle w:val="37"/>
                <w:rFonts w:hint="default" w:ascii="Times New Roman" w:hAnsi="Times New Roman" w:eastAsia="宋体" w:cs="Times New Roman"/>
                <w:b w:val="0"/>
                <w:bCs w:val="0"/>
                <w:color w:val="auto"/>
                <w:sz w:val="21"/>
                <w:szCs w:val="21"/>
                <w:lang w:bidi="ar"/>
              </w:rPr>
              <w:t xml:space="preserve"> 5.4</w:t>
            </w:r>
            <w:r>
              <w:rPr>
                <w:rStyle w:val="40"/>
                <w:rFonts w:hint="default" w:ascii="Times New Roman" w:hAnsi="Times New Roman" w:cs="Times New Roman"/>
                <w:b w:val="0"/>
                <w:bCs w:val="0"/>
                <w:color w:val="auto"/>
                <w:sz w:val="21"/>
                <w:szCs w:val="21"/>
                <w:lang w:bidi="ar"/>
              </w:rPr>
              <w:t>平方，建议安全使用面积为</w:t>
            </w:r>
            <w:r>
              <w:rPr>
                <w:rStyle w:val="37"/>
                <w:rFonts w:hint="default" w:ascii="Times New Roman" w:hAnsi="Times New Roman" w:eastAsia="宋体" w:cs="Times New Roman"/>
                <w:b w:val="0"/>
                <w:bCs w:val="0"/>
                <w:color w:val="auto"/>
                <w:sz w:val="21"/>
                <w:szCs w:val="21"/>
                <w:lang w:bidi="ar"/>
              </w:rPr>
              <w:t>30</w:t>
            </w:r>
            <w:r>
              <w:rPr>
                <w:rStyle w:val="40"/>
                <w:rFonts w:hint="default" w:ascii="Times New Roman" w:hAnsi="Times New Roman" w:cs="Times New Roman"/>
                <w:b w:val="0"/>
                <w:bCs w:val="0"/>
                <w:color w:val="auto"/>
                <w:sz w:val="21"/>
                <w:szCs w:val="21"/>
                <w:lang w:bidi="ar"/>
              </w:rPr>
              <w:t>平方，可同时容纳</w:t>
            </w:r>
            <w:r>
              <w:rPr>
                <w:rStyle w:val="37"/>
                <w:rFonts w:hint="default" w:ascii="Times New Roman" w:hAnsi="Times New Roman" w:eastAsia="宋体" w:cs="Times New Roman"/>
                <w:b w:val="0"/>
                <w:bCs w:val="0"/>
                <w:color w:val="auto"/>
                <w:sz w:val="21"/>
                <w:szCs w:val="21"/>
                <w:lang w:bidi="ar"/>
              </w:rPr>
              <w:t>5~10</w:t>
            </w:r>
            <w:r>
              <w:rPr>
                <w:rStyle w:val="40"/>
                <w:rFonts w:hint="default" w:ascii="Times New Roman" w:hAnsi="Times New Roman" w:cs="Times New Roman"/>
                <w:b w:val="0"/>
                <w:bCs w:val="0"/>
                <w:color w:val="auto"/>
                <w:sz w:val="21"/>
                <w:szCs w:val="21"/>
                <w:lang w:bidi="ar"/>
              </w:rPr>
              <w:t>人游玩，适用年龄为</w:t>
            </w:r>
            <w:r>
              <w:rPr>
                <w:rStyle w:val="37"/>
                <w:rFonts w:hint="default" w:ascii="Times New Roman" w:hAnsi="Times New Roman" w:eastAsia="宋体" w:cs="Times New Roman"/>
                <w:b w:val="0"/>
                <w:bCs w:val="0"/>
                <w:color w:val="auto"/>
                <w:sz w:val="21"/>
                <w:szCs w:val="21"/>
                <w:lang w:bidi="ar"/>
              </w:rPr>
              <w:t>3~12</w:t>
            </w:r>
            <w:r>
              <w:rPr>
                <w:rStyle w:val="40"/>
                <w:rFonts w:hint="default" w:ascii="Times New Roman" w:hAnsi="Times New Roman" w:cs="Times New Roman"/>
                <w:b w:val="0"/>
                <w:bCs w:val="0"/>
                <w:color w:val="auto"/>
                <w:sz w:val="21"/>
                <w:szCs w:val="21"/>
                <w:lang w:bidi="ar"/>
              </w:rPr>
              <w:t>岁。产品</w:t>
            </w:r>
            <w:r>
              <w:rPr>
                <w:rStyle w:val="40"/>
                <w:rFonts w:hint="eastAsia" w:cs="Times New Roman"/>
                <w:b w:val="0"/>
                <w:bCs w:val="0"/>
                <w:color w:val="auto"/>
                <w:sz w:val="21"/>
                <w:szCs w:val="21"/>
                <w:lang w:val="en-US" w:eastAsia="zh-CN" w:bidi="ar"/>
              </w:rPr>
              <w:t>尺寸正负百分之五，</w:t>
            </w:r>
            <w:r>
              <w:rPr>
                <w:rStyle w:val="40"/>
                <w:rFonts w:hint="default" w:ascii="Times New Roman" w:hAnsi="Times New Roman" w:cs="Times New Roman"/>
                <w:b w:val="0"/>
                <w:bCs w:val="0"/>
                <w:color w:val="auto"/>
                <w:sz w:val="21"/>
                <w:szCs w:val="21"/>
                <w:lang w:bidi="ar"/>
              </w:rPr>
              <w:t>至少含：</w:t>
            </w:r>
            <w:r>
              <w:rPr>
                <w:rStyle w:val="37"/>
                <w:rFonts w:hint="default" w:ascii="Times New Roman" w:hAnsi="Times New Roman" w:eastAsia="宋体" w:cs="Times New Roman"/>
                <w:b w:val="0"/>
                <w:bCs w:val="0"/>
                <w:color w:val="auto"/>
                <w:sz w:val="21"/>
                <w:szCs w:val="21"/>
                <w:lang w:bidi="ar"/>
              </w:rPr>
              <w:t>φ700x250mm</w:t>
            </w:r>
            <w:r>
              <w:rPr>
                <w:rStyle w:val="40"/>
                <w:rFonts w:hint="default" w:ascii="Times New Roman" w:hAnsi="Times New Roman" w:cs="Times New Roman"/>
                <w:b w:val="0"/>
                <w:bCs w:val="0"/>
                <w:color w:val="auto"/>
                <w:sz w:val="21"/>
                <w:szCs w:val="21"/>
                <w:lang w:bidi="ar"/>
              </w:rPr>
              <w:t>黑色轮子</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个（轮胎</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板规格：</w:t>
            </w:r>
            <w:r>
              <w:rPr>
                <w:rStyle w:val="37"/>
                <w:rFonts w:hint="default" w:ascii="Times New Roman" w:hAnsi="Times New Roman" w:eastAsia="宋体" w:cs="Times New Roman"/>
                <w:b w:val="0"/>
                <w:bCs w:val="0"/>
                <w:color w:val="auto"/>
                <w:sz w:val="21"/>
                <w:szCs w:val="21"/>
                <w:lang w:bidi="ar"/>
              </w:rPr>
              <w:t>φ300x19mm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φ950x250mm</w:t>
            </w:r>
            <w:r>
              <w:rPr>
                <w:rStyle w:val="40"/>
                <w:rFonts w:hint="default" w:ascii="Times New Roman" w:hAnsi="Times New Roman" w:cs="Times New Roman"/>
                <w:b w:val="0"/>
                <w:bCs w:val="0"/>
                <w:color w:val="auto"/>
                <w:sz w:val="21"/>
                <w:szCs w:val="21"/>
                <w:lang w:bidi="ar"/>
              </w:rPr>
              <w:t>黑色轮子</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个（轮胎</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板规格：</w:t>
            </w:r>
            <w:r>
              <w:rPr>
                <w:rStyle w:val="37"/>
                <w:rFonts w:hint="default" w:ascii="Times New Roman" w:hAnsi="Times New Roman" w:eastAsia="宋体" w:cs="Times New Roman"/>
                <w:b w:val="0"/>
                <w:bCs w:val="0"/>
                <w:color w:val="auto"/>
                <w:sz w:val="21"/>
                <w:szCs w:val="21"/>
                <w:lang w:bidi="ar"/>
              </w:rPr>
              <w:t>φ300x19mm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L516xW250xH150mm</w:t>
            </w:r>
            <w:r>
              <w:rPr>
                <w:rStyle w:val="40"/>
                <w:rFonts w:hint="default" w:ascii="Times New Roman" w:hAnsi="Times New Roman" w:cs="Times New Roman"/>
                <w:b w:val="0"/>
                <w:bCs w:val="0"/>
                <w:color w:val="auto"/>
                <w:sz w:val="21"/>
                <w:szCs w:val="21"/>
                <w:lang w:bidi="ar"/>
              </w:rPr>
              <w:t>刺槐挡泥板造型</w:t>
            </w:r>
            <w:r>
              <w:rPr>
                <w:rStyle w:val="37"/>
                <w:rFonts w:hint="default" w:ascii="Times New Roman" w:hAnsi="Times New Roman" w:eastAsia="宋体" w:cs="Times New Roman"/>
                <w:b w:val="0"/>
                <w:bCs w:val="0"/>
                <w:color w:val="auto"/>
                <w:sz w:val="21"/>
                <w:szCs w:val="21"/>
                <w:lang w:bidi="ar"/>
              </w:rPr>
              <w:t>4</w:t>
            </w:r>
            <w:r>
              <w:rPr>
                <w:rStyle w:val="40"/>
                <w:rFonts w:hint="default" w:ascii="Times New Roman" w:hAnsi="Times New Roman" w:cs="Times New Roman"/>
                <w:b w:val="0"/>
                <w:bCs w:val="0"/>
                <w:color w:val="auto"/>
                <w:sz w:val="21"/>
                <w:szCs w:val="21"/>
                <w:lang w:bidi="ar"/>
              </w:rPr>
              <w:t>个，平台</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个，梯形爬网</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w:t>
            </w:r>
            <w:r>
              <w:rPr>
                <w:rStyle w:val="37"/>
                <w:rFonts w:hint="default" w:ascii="Times New Roman" w:hAnsi="Times New Roman" w:eastAsia="宋体" w:cs="Times New Roman"/>
                <w:b w:val="0"/>
                <w:bCs w:val="0"/>
                <w:color w:val="auto"/>
                <w:sz w:val="21"/>
                <w:szCs w:val="21"/>
                <w:lang w:bidi="ar"/>
              </w:rPr>
              <w:t>L965xW63xH950mm</w:t>
            </w:r>
            <w:r>
              <w:rPr>
                <w:rStyle w:val="40"/>
                <w:rFonts w:hint="default" w:ascii="Times New Roman" w:hAnsi="Times New Roman" w:cs="Times New Roman"/>
                <w:b w:val="0"/>
                <w:bCs w:val="0"/>
                <w:color w:val="auto"/>
                <w:sz w:val="21"/>
                <w:szCs w:val="21"/>
                <w:lang w:bidi="ar"/>
              </w:rPr>
              <w:t>操作板</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个（内嵌卡其色</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板规格：</w:t>
            </w:r>
            <w:r>
              <w:rPr>
                <w:rStyle w:val="37"/>
                <w:rFonts w:hint="default" w:ascii="Times New Roman" w:hAnsi="Times New Roman" w:eastAsia="宋体" w:cs="Times New Roman"/>
                <w:b w:val="0"/>
                <w:bCs w:val="0"/>
                <w:color w:val="auto"/>
                <w:sz w:val="21"/>
                <w:szCs w:val="21"/>
                <w:lang w:bidi="ar"/>
              </w:rPr>
              <w:t>L780xW400mm</w:t>
            </w:r>
            <w:r>
              <w:rPr>
                <w:rStyle w:val="40"/>
                <w:rFonts w:hint="default" w:ascii="Times New Roman" w:hAnsi="Times New Roman" w:cs="Times New Roman"/>
                <w:b w:val="0"/>
                <w:bCs w:val="0"/>
                <w:color w:val="auto"/>
                <w:sz w:val="21"/>
                <w:szCs w:val="21"/>
                <w:lang w:bidi="ar"/>
              </w:rPr>
              <w:t>），书写记录板</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个（规格：</w:t>
            </w:r>
            <w:r>
              <w:rPr>
                <w:rStyle w:val="37"/>
                <w:rFonts w:hint="default" w:ascii="Times New Roman" w:hAnsi="Times New Roman" w:eastAsia="宋体" w:cs="Times New Roman"/>
                <w:b w:val="0"/>
                <w:bCs w:val="0"/>
                <w:color w:val="auto"/>
                <w:sz w:val="21"/>
                <w:szCs w:val="21"/>
                <w:lang w:bidi="ar"/>
              </w:rPr>
              <w:t>L840xW460xH45mm</w:t>
            </w:r>
            <w:r>
              <w:rPr>
                <w:rStyle w:val="40"/>
                <w:rFonts w:hint="default" w:ascii="Times New Roman" w:hAnsi="Times New Roman" w:cs="Times New Roman"/>
                <w:b w:val="0"/>
                <w:bCs w:val="0"/>
                <w:color w:val="auto"/>
                <w:sz w:val="21"/>
                <w:szCs w:val="21"/>
                <w:lang w:bidi="ar"/>
              </w:rPr>
              <w:t>），黑色方向盘</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个（规格：</w:t>
            </w:r>
            <w:r>
              <w:rPr>
                <w:rStyle w:val="37"/>
                <w:rFonts w:hint="default" w:ascii="Times New Roman" w:hAnsi="Times New Roman" w:eastAsia="宋体" w:cs="Times New Roman"/>
                <w:b w:val="0"/>
                <w:bCs w:val="0"/>
                <w:color w:val="auto"/>
                <w:sz w:val="21"/>
                <w:szCs w:val="21"/>
                <w:lang w:bidi="ar"/>
              </w:rPr>
              <w:t>φ255x45mm</w:t>
            </w:r>
            <w:r>
              <w:rPr>
                <w:rStyle w:val="40"/>
                <w:rFonts w:hint="default" w:ascii="Times New Roman" w:hAnsi="Times New Roman" w:cs="Times New Roman"/>
                <w:b w:val="0"/>
                <w:bCs w:val="0"/>
                <w:color w:val="auto"/>
                <w:sz w:val="21"/>
                <w:szCs w:val="21"/>
                <w:lang w:bidi="ar"/>
              </w:rPr>
              <w:t>），墨绿传声筒</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个（喇叭口直径：</w:t>
            </w:r>
            <w:r>
              <w:rPr>
                <w:rStyle w:val="37"/>
                <w:rFonts w:hint="default" w:ascii="Times New Roman" w:hAnsi="Times New Roman" w:eastAsia="宋体" w:cs="Times New Roman"/>
                <w:b w:val="0"/>
                <w:bCs w:val="0"/>
                <w:color w:val="auto"/>
                <w:sz w:val="21"/>
                <w:szCs w:val="21"/>
                <w:lang w:bidi="ar"/>
              </w:rPr>
              <w:t>L866xW436xH200mm</w:t>
            </w:r>
            <w:r>
              <w:rPr>
                <w:rStyle w:val="40"/>
                <w:rFonts w:hint="default" w:ascii="Times New Roman" w:hAnsi="Times New Roman" w:cs="Times New Roman"/>
                <w:b w:val="0"/>
                <w:bCs w:val="0"/>
                <w:color w:val="auto"/>
                <w:sz w:val="21"/>
                <w:szCs w:val="21"/>
                <w:lang w:bidi="ar"/>
              </w:rPr>
              <w:t>），车顶光影游戏</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项（颜色棕色，规格</w:t>
            </w:r>
            <w:r>
              <w:rPr>
                <w:rStyle w:val="37"/>
                <w:rFonts w:hint="default" w:ascii="Times New Roman" w:hAnsi="Times New Roman" w:eastAsia="宋体" w:cs="Times New Roman"/>
                <w:b w:val="0"/>
                <w:bCs w:val="0"/>
                <w:color w:val="auto"/>
                <w:sz w:val="21"/>
                <w:szCs w:val="21"/>
                <w:lang w:bidi="ar"/>
              </w:rPr>
              <w:t>:L1253xW1240xH815mm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刺槐材质楼梯踏板</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个（规格</w:t>
            </w:r>
            <w:r>
              <w:rPr>
                <w:rStyle w:val="37"/>
                <w:rFonts w:hint="default" w:ascii="Times New Roman" w:hAnsi="Times New Roman" w:eastAsia="宋体" w:cs="Times New Roman"/>
                <w:b w:val="0"/>
                <w:bCs w:val="0"/>
                <w:color w:val="auto"/>
                <w:sz w:val="21"/>
                <w:szCs w:val="21"/>
                <w:lang w:bidi="ar"/>
              </w:rPr>
              <w:t>L590xW170xH57mm</w:t>
            </w:r>
            <w:r>
              <w:rPr>
                <w:rStyle w:val="40"/>
                <w:rFonts w:hint="default" w:ascii="Times New Roman" w:hAnsi="Times New Roman" w:cs="Times New Roman"/>
                <w:b w:val="0"/>
                <w:bCs w:val="0"/>
                <w:color w:val="auto"/>
                <w:sz w:val="21"/>
                <w:szCs w:val="21"/>
                <w:lang w:bidi="ar"/>
              </w:rPr>
              <w:t>、踏板离地高度</w:t>
            </w:r>
            <w:r>
              <w:rPr>
                <w:rStyle w:val="37"/>
                <w:rFonts w:hint="default" w:ascii="Times New Roman" w:hAnsi="Times New Roman" w:eastAsia="宋体" w:cs="Times New Roman"/>
                <w:b w:val="0"/>
                <w:bCs w:val="0"/>
                <w:color w:val="auto"/>
                <w:sz w:val="21"/>
                <w:szCs w:val="21"/>
                <w:lang w:bidi="ar"/>
              </w:rPr>
              <w:t>300mm</w:t>
            </w:r>
            <w:r>
              <w:rPr>
                <w:rStyle w:val="40"/>
                <w:rFonts w:hint="default" w:ascii="Times New Roman" w:hAnsi="Times New Roman" w:cs="Times New Roman"/>
                <w:b w:val="0"/>
                <w:bCs w:val="0"/>
                <w:color w:val="auto"/>
                <w:sz w:val="21"/>
                <w:szCs w:val="21"/>
                <w:lang w:bidi="ar"/>
              </w:rPr>
              <w:t>），刺槐材质可拆</w:t>
            </w:r>
            <w:r>
              <w:rPr>
                <w:rStyle w:val="37"/>
                <w:rFonts w:hint="default" w:ascii="Times New Roman" w:hAnsi="Times New Roman" w:eastAsia="宋体" w:cs="Times New Roman"/>
                <w:b w:val="0"/>
                <w:bCs w:val="0"/>
                <w:color w:val="auto"/>
                <w:sz w:val="21"/>
                <w:szCs w:val="21"/>
                <w:lang w:bidi="ar"/>
              </w:rPr>
              <w:t>LOGO</w:t>
            </w:r>
            <w:r>
              <w:rPr>
                <w:rStyle w:val="40"/>
                <w:rFonts w:hint="default" w:ascii="Times New Roman" w:hAnsi="Times New Roman" w:cs="Times New Roman"/>
                <w:b w:val="0"/>
                <w:bCs w:val="0"/>
                <w:color w:val="auto"/>
                <w:sz w:val="21"/>
                <w:szCs w:val="21"/>
                <w:lang w:bidi="ar"/>
              </w:rPr>
              <w:t>牌</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个（规格：</w:t>
            </w:r>
            <w:r>
              <w:rPr>
                <w:rStyle w:val="37"/>
                <w:rFonts w:hint="default" w:ascii="Times New Roman" w:hAnsi="Times New Roman" w:eastAsia="宋体" w:cs="Times New Roman"/>
                <w:b w:val="0"/>
                <w:bCs w:val="0"/>
                <w:color w:val="auto"/>
                <w:sz w:val="21"/>
                <w:szCs w:val="21"/>
                <w:lang w:bidi="ar"/>
              </w:rPr>
              <w:t>L475xW150xH45mm</w:t>
            </w:r>
            <w:r>
              <w:rPr>
                <w:rStyle w:val="40"/>
                <w:rFonts w:hint="default" w:ascii="Times New Roman" w:hAnsi="Times New Roman" w:cs="Times New Roman"/>
                <w:b w:val="0"/>
                <w:bCs w:val="0"/>
                <w:color w:val="auto"/>
                <w:sz w:val="21"/>
                <w:szCs w:val="21"/>
                <w:lang w:bidi="ar"/>
              </w:rPr>
              <w:t>），带亚克力窗后挡板</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个（窗户规格</w:t>
            </w:r>
            <w:r>
              <w:rPr>
                <w:rStyle w:val="37"/>
                <w:rFonts w:hint="default" w:ascii="Times New Roman" w:hAnsi="Times New Roman" w:eastAsia="宋体" w:cs="Times New Roman"/>
                <w:b w:val="0"/>
                <w:bCs w:val="0"/>
                <w:color w:val="auto"/>
                <w:sz w:val="21"/>
                <w:szCs w:val="21"/>
                <w:lang w:bidi="ar"/>
              </w:rPr>
              <w:t>L380xW380xH45mm</w:t>
            </w:r>
            <w:r>
              <w:rPr>
                <w:rStyle w:val="40"/>
                <w:rFonts w:hint="default" w:ascii="Times New Roman" w:hAnsi="Times New Roman" w:cs="Times New Roman"/>
                <w:b w:val="0"/>
                <w:bCs w:val="0"/>
                <w:color w:val="auto"/>
                <w:sz w:val="21"/>
                <w:szCs w:val="21"/>
                <w:lang w:bidi="ar"/>
              </w:rPr>
              <w:t>，亚克力规格：</w:t>
            </w:r>
            <w:r>
              <w:rPr>
                <w:rStyle w:val="37"/>
                <w:rFonts w:hint="default" w:ascii="Times New Roman" w:hAnsi="Times New Roman" w:eastAsia="宋体" w:cs="Times New Roman"/>
                <w:b w:val="0"/>
                <w:bCs w:val="0"/>
                <w:color w:val="auto"/>
                <w:sz w:val="21"/>
                <w:szCs w:val="21"/>
                <w:lang w:bidi="ar"/>
              </w:rPr>
              <w:t>L318xW318xH8mm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板造型车灯</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个（规格：</w:t>
            </w:r>
            <w:r>
              <w:rPr>
                <w:rStyle w:val="37"/>
                <w:rFonts w:hint="default" w:ascii="Times New Roman" w:hAnsi="Times New Roman" w:eastAsia="宋体" w:cs="Times New Roman"/>
                <w:b w:val="0"/>
                <w:bCs w:val="0"/>
                <w:color w:val="auto"/>
                <w:sz w:val="21"/>
                <w:szCs w:val="21"/>
                <w:lang w:bidi="ar"/>
              </w:rPr>
              <w:t>φ180x19mm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 xml:space="preserve">                                                                                                                   </w:t>
            </w:r>
            <w:r>
              <w:rPr>
                <w:rStyle w:val="40"/>
                <w:rFonts w:hint="default" w:ascii="Times New Roman" w:hAnsi="Times New Roman" w:cs="Times New Roman"/>
                <w:b w:val="0"/>
                <w:bCs w:val="0"/>
                <w:color w:val="auto"/>
                <w:sz w:val="21"/>
                <w:szCs w:val="21"/>
                <w:lang w:bidi="ar"/>
              </w:rPr>
              <w:t>主材料说明：</w:t>
            </w:r>
            <w:r>
              <w:rPr>
                <w:rStyle w:val="37"/>
                <w:rFonts w:hint="default" w:ascii="Times New Roman" w:hAnsi="Times New Roman" w:eastAsia="宋体" w:cs="Times New Roman"/>
                <w:b w:val="0"/>
                <w:bCs w:val="0"/>
                <w:color w:val="auto"/>
                <w:sz w:val="21"/>
                <w:szCs w:val="21"/>
                <w:lang w:bidi="ar"/>
              </w:rPr>
              <w:t xml:space="preserve">                                                                                                                </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木板材质：采用中部直径不小于</w:t>
            </w:r>
            <w:r>
              <w:rPr>
                <w:rStyle w:val="37"/>
                <w:rFonts w:hint="default" w:ascii="Times New Roman" w:hAnsi="Times New Roman" w:eastAsia="宋体" w:cs="Times New Roman"/>
                <w:b w:val="0"/>
                <w:bCs w:val="0"/>
                <w:color w:val="auto"/>
                <w:sz w:val="21"/>
                <w:szCs w:val="21"/>
                <w:lang w:bidi="ar"/>
              </w:rPr>
              <w:t>120mm</w:t>
            </w:r>
            <w:r>
              <w:rPr>
                <w:rStyle w:val="40"/>
                <w:rFonts w:hint="default" w:ascii="Times New Roman" w:hAnsi="Times New Roman" w:cs="Times New Roman"/>
                <w:b w:val="0"/>
                <w:bCs w:val="0"/>
                <w:color w:val="auto"/>
                <w:sz w:val="21"/>
                <w:szCs w:val="21"/>
                <w:lang w:bidi="ar"/>
              </w:rPr>
              <w:t>的优质天然刺槐原木。经过精心处理的刺槐原木去除表层易霉变腐朽的白色边材，只保留稳定性极佳的深色心材部分，外观颜色均匀同一</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属于天然防腐硬木，不会变形褪色</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更防水防虫蛀</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外观光滑亮丽</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并且材质力学性能优异。含水率及抗弯强度符合标准要求。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绳网：采用</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16mm</w:t>
            </w:r>
            <w:r>
              <w:rPr>
                <w:rStyle w:val="40"/>
                <w:rFonts w:hint="default" w:ascii="Times New Roman" w:hAnsi="Times New Roman" w:cs="Times New Roman"/>
                <w:b w:val="0"/>
                <w:bCs w:val="0"/>
                <w:color w:val="auto"/>
                <w:sz w:val="21"/>
                <w:szCs w:val="21"/>
                <w:lang w:bidi="ar"/>
              </w:rPr>
              <w:t>航海船用高强六股钢丝网绳，外层再覆锦纶编织绳，强度大，抗磨损，耐腐蚀，安全性能好，易燃性能符合符合</w:t>
            </w:r>
            <w:r>
              <w:rPr>
                <w:rStyle w:val="37"/>
                <w:rFonts w:hint="default" w:ascii="Times New Roman" w:hAnsi="Times New Roman" w:eastAsia="宋体" w:cs="Times New Roman"/>
                <w:b w:val="0"/>
                <w:bCs w:val="0"/>
                <w:color w:val="auto"/>
                <w:sz w:val="21"/>
                <w:szCs w:val="21"/>
                <w:lang w:bidi="ar"/>
              </w:rPr>
              <w:t>GB 6675.1-2014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6675.2-2014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6675.3-2014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的有害物质限量、机械与物理性能（边缘、尖端、稳定性及超载要求、扭力测试、拉力测试、压力测试）、易燃性能、特定元素的迁移（锑、砷、钡、镉、铬、铅、汞、硒）、洛氏硬度、镀层厚度等检测符合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油漆：表面喷涂环保户外木蜡油，天然环保、不含有害物质，木蜡油具有更好的耐候性、附着力，耐紫外线，绿色环保，通过高强力渗透进入木材内部，与木材有机地结合，形成网状组织既有效地阻止水分进入，从而有效地控制木材开裂，延长木材使用寿命，又能突显木材的天然纹理美感，</w:t>
            </w:r>
            <w:r>
              <w:rPr>
                <w:rStyle w:val="37"/>
                <w:rFonts w:hint="default" w:ascii="Times New Roman" w:hAnsi="Times New Roman" w:eastAsia="宋体" w:cs="Times New Roman"/>
                <w:b w:val="0"/>
                <w:bCs w:val="0"/>
                <w:color w:val="auto"/>
                <w:sz w:val="21"/>
                <w:szCs w:val="21"/>
                <w:lang w:bidi="ar"/>
              </w:rPr>
              <w:t xml:space="preserve"> </w:t>
            </w:r>
            <w:r>
              <w:rPr>
                <w:rStyle w:val="40"/>
                <w:rFonts w:hint="default" w:ascii="Times New Roman" w:hAnsi="Times New Roman" w:cs="Times New Roman"/>
                <w:b w:val="0"/>
                <w:bCs w:val="0"/>
                <w:color w:val="auto"/>
                <w:sz w:val="21"/>
                <w:szCs w:val="21"/>
                <w:lang w:bidi="ar"/>
              </w:rPr>
              <w:t>可迁移元素等符合</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t xml:space="preserve">                                                                                                         4.</w:t>
            </w:r>
            <w:r>
              <w:rPr>
                <w:rStyle w:val="40"/>
                <w:rFonts w:hint="default" w:ascii="Times New Roman" w:hAnsi="Times New Roman" w:cs="Times New Roman"/>
                <w:b w:val="0"/>
                <w:bCs w:val="0"/>
                <w:color w:val="auto"/>
                <w:sz w:val="21"/>
                <w:szCs w:val="21"/>
                <w:lang w:bidi="ar"/>
              </w:rPr>
              <w:t>钢管：采用壁厚不小于</w:t>
            </w:r>
            <w:r>
              <w:rPr>
                <w:rStyle w:val="37"/>
                <w:rFonts w:hint="default" w:ascii="Times New Roman" w:hAnsi="Times New Roman" w:eastAsia="宋体" w:cs="Times New Roman"/>
                <w:b w:val="0"/>
                <w:bCs w:val="0"/>
                <w:color w:val="auto"/>
                <w:sz w:val="21"/>
                <w:szCs w:val="21"/>
                <w:lang w:bidi="ar"/>
              </w:rPr>
              <w:t>2mm</w:t>
            </w:r>
            <w:r>
              <w:rPr>
                <w:rStyle w:val="40"/>
                <w:rFonts w:hint="default" w:ascii="Times New Roman" w:hAnsi="Times New Roman" w:cs="Times New Roman"/>
                <w:b w:val="0"/>
                <w:bCs w:val="0"/>
                <w:color w:val="auto"/>
                <w:sz w:val="21"/>
                <w:szCs w:val="21"/>
                <w:lang w:bidi="ar"/>
              </w:rPr>
              <w:t>镀锌钢管加工而成，表面采用静电粉末喷涂处理，添加抗紫外线稳定剂，耐盐雾、耐老化、防腐蚀，符合</w:t>
            </w:r>
            <w:r>
              <w:rPr>
                <w:rStyle w:val="37"/>
                <w:rFonts w:hint="default" w:ascii="Times New Roman" w:hAnsi="Times New Roman" w:eastAsia="宋体" w:cs="Times New Roman"/>
                <w:b w:val="0"/>
                <w:bCs w:val="0"/>
                <w:color w:val="auto"/>
                <w:sz w:val="21"/>
                <w:szCs w:val="21"/>
                <w:lang w:bidi="ar"/>
              </w:rPr>
              <w:t>HG/T 2006-2006</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t xml:space="preserve">                                                                                                                           5.PE</w:t>
            </w:r>
            <w:r>
              <w:rPr>
                <w:rStyle w:val="40"/>
                <w:rFonts w:hint="default" w:ascii="Times New Roman" w:hAnsi="Times New Roman" w:cs="Times New Roman"/>
                <w:b w:val="0"/>
                <w:bCs w:val="0"/>
                <w:color w:val="auto"/>
                <w:sz w:val="21"/>
                <w:szCs w:val="21"/>
                <w:lang w:bidi="ar"/>
              </w:rPr>
              <w:t>板：均采用</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19mm</w:t>
            </w:r>
            <w:r>
              <w:rPr>
                <w:rStyle w:val="40"/>
                <w:rFonts w:hint="default" w:ascii="Times New Roman" w:hAnsi="Times New Roman" w:cs="Times New Roman"/>
                <w:b w:val="0"/>
                <w:bCs w:val="0"/>
                <w:color w:val="auto"/>
                <w:sz w:val="21"/>
                <w:szCs w:val="21"/>
                <w:lang w:bidi="ar"/>
              </w:rPr>
              <w:t>厚度高密度</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板，整体稳固耐用，美观大方，户外使用不变形、不褪色，安装便捷，结构稳定。</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6.</w:t>
            </w:r>
            <w:r>
              <w:rPr>
                <w:rStyle w:val="40"/>
                <w:rFonts w:hint="default" w:ascii="Times New Roman" w:hAnsi="Times New Roman" w:cs="Times New Roman"/>
                <w:b w:val="0"/>
                <w:bCs w:val="0"/>
                <w:color w:val="auto"/>
                <w:sz w:val="21"/>
                <w:szCs w:val="21"/>
                <w:lang w:bidi="ar"/>
              </w:rPr>
              <w:t>五金：不锈钢</w:t>
            </w:r>
            <w:r>
              <w:rPr>
                <w:rStyle w:val="37"/>
                <w:rFonts w:hint="default" w:ascii="Times New Roman" w:hAnsi="Times New Roman" w:eastAsia="宋体" w:cs="Times New Roman"/>
                <w:b w:val="0"/>
                <w:bCs w:val="0"/>
                <w:color w:val="auto"/>
                <w:sz w:val="21"/>
                <w:szCs w:val="21"/>
                <w:lang w:bidi="ar"/>
              </w:rPr>
              <w:t>D</w:t>
            </w:r>
            <w:r>
              <w:rPr>
                <w:rStyle w:val="40"/>
                <w:rFonts w:hint="default" w:ascii="Times New Roman" w:hAnsi="Times New Roman" w:cs="Times New Roman"/>
                <w:b w:val="0"/>
                <w:bCs w:val="0"/>
                <w:color w:val="auto"/>
                <w:sz w:val="21"/>
                <w:szCs w:val="21"/>
                <w:lang w:bidi="ar"/>
              </w:rPr>
              <w:t>型锁扣、不锈钢内六角螺杆、不锈钢螺母等不锈钢五金件均腐蚀性良好，符合盐雾测试符合标准。其它五金件无生锈、无气泡、无粉化等腐蚀现象等，符合标准</w:t>
            </w:r>
            <w:r>
              <w:rPr>
                <w:rStyle w:val="37"/>
                <w:rFonts w:hint="default" w:ascii="Times New Roman" w:hAnsi="Times New Roman" w:eastAsia="宋体" w:cs="Times New Roman"/>
                <w:b w:val="0"/>
                <w:bCs w:val="0"/>
                <w:color w:val="auto"/>
                <w:sz w:val="21"/>
                <w:szCs w:val="21"/>
                <w:lang w:bidi="ar"/>
              </w:rPr>
              <w:t>GB/T 1766-2008</w:t>
            </w:r>
            <w:r>
              <w:rPr>
                <w:rStyle w:val="40"/>
                <w:rFonts w:hint="default" w:ascii="Times New Roman" w:hAnsi="Times New Roman" w:cs="Times New Roman"/>
                <w:b w:val="0"/>
                <w:bCs w:val="0"/>
                <w:color w:val="auto"/>
                <w:sz w:val="21"/>
                <w:szCs w:val="21"/>
                <w:lang w:bidi="ar"/>
              </w:rPr>
              <w:t>要求。五金螺丝可迁移元素未检出，符合</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7.</w:t>
            </w:r>
            <w:r>
              <w:rPr>
                <w:rStyle w:val="40"/>
                <w:rFonts w:hint="default" w:ascii="Times New Roman" w:hAnsi="Times New Roman" w:cs="Times New Roman"/>
                <w:b w:val="0"/>
                <w:bCs w:val="0"/>
                <w:color w:val="auto"/>
                <w:sz w:val="21"/>
                <w:szCs w:val="21"/>
                <w:lang w:bidi="ar"/>
              </w:rPr>
              <w:t>标准：生产符合《</w:t>
            </w:r>
            <w:r>
              <w:rPr>
                <w:rStyle w:val="37"/>
                <w:rFonts w:hint="default" w:ascii="Times New Roman" w:hAnsi="Times New Roman" w:eastAsia="宋体" w:cs="Times New Roman"/>
                <w:b w:val="0"/>
                <w:bCs w:val="0"/>
                <w:color w:val="auto"/>
                <w:sz w:val="21"/>
                <w:szCs w:val="21"/>
                <w:lang w:bidi="ar"/>
              </w:rPr>
              <w:t>GBT 27689-2011</w:t>
            </w:r>
            <w:r>
              <w:rPr>
                <w:rStyle w:val="40"/>
                <w:rFonts w:hint="default" w:ascii="Times New Roman" w:hAnsi="Times New Roman" w:cs="Times New Roman"/>
                <w:b w:val="0"/>
                <w:bCs w:val="0"/>
                <w:color w:val="auto"/>
                <w:sz w:val="21"/>
                <w:szCs w:val="21"/>
                <w:lang w:bidi="ar"/>
              </w:rPr>
              <w:t>无动力类游乐设施儿童滑梯》的要求</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沙水游戏组合A</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78720" behindDoc="0" locked="0" layoutInCell="1" allowOverlap="1">
                  <wp:simplePos x="0" y="0"/>
                  <wp:positionH relativeFrom="column">
                    <wp:posOffset>249555</wp:posOffset>
                  </wp:positionH>
                  <wp:positionV relativeFrom="paragraph">
                    <wp:posOffset>1458595</wp:posOffset>
                  </wp:positionV>
                  <wp:extent cx="744855" cy="365125"/>
                  <wp:effectExtent l="0" t="0" r="17145" b="15875"/>
                  <wp:wrapNone/>
                  <wp:docPr id="160" name="ID_36EE1B9A931A4C09BA4304DA4EB664CE"/>
                  <wp:cNvGraphicFramePr/>
                  <a:graphic xmlns:a="http://schemas.openxmlformats.org/drawingml/2006/main">
                    <a:graphicData uri="http://schemas.openxmlformats.org/drawingml/2006/picture">
                      <pic:pic xmlns:pic="http://schemas.openxmlformats.org/drawingml/2006/picture">
                        <pic:nvPicPr>
                          <pic:cNvPr id="160" name="ID_36EE1B9A931A4C09BA4304DA4EB664CE"/>
                          <pic:cNvPicPr/>
                        </pic:nvPicPr>
                        <pic:blipFill>
                          <a:blip r:embed="rId19"/>
                          <a:stretch>
                            <a:fillRect/>
                          </a:stretch>
                        </pic:blipFill>
                        <pic:spPr>
                          <a:xfrm>
                            <a:off x="0" y="0"/>
                            <a:ext cx="744855" cy="36512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w:t>
            </w:r>
            <w:r>
              <w:rPr>
                <w:rStyle w:val="37"/>
                <w:rFonts w:hint="default" w:ascii="Times New Roman" w:hAnsi="Times New Roman" w:eastAsia="宋体" w:cs="Times New Roman"/>
                <w:b w:val="0"/>
                <w:bCs w:val="0"/>
                <w:color w:val="auto"/>
                <w:sz w:val="21"/>
                <w:szCs w:val="21"/>
                <w:lang w:bidi="ar"/>
              </w:rPr>
              <w:t>L250*W182*H68</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木材：采用优质松木加工而成，经过防腐、烘干处理具有抗腐蚀性、抗菌性和抗虫性，不易发生收缩变形，环保无毒，力学性能优异。要求防腐松木的甲醛释放量、机械与物理性能、易燃性能、可迁移元素（锑、钡、镉、铅、硒、砷、铬、汞八大金属）含量、木材含水率（</w:t>
            </w:r>
            <w:r>
              <w:rPr>
                <w:rStyle w:val="37"/>
                <w:rFonts w:hint="default" w:ascii="Times New Roman" w:hAnsi="Times New Roman" w:eastAsia="宋体" w:cs="Times New Roman"/>
                <w:b w:val="0"/>
                <w:bCs w:val="0"/>
                <w:color w:val="auto"/>
                <w:sz w:val="21"/>
                <w:szCs w:val="21"/>
                <w:lang w:bidi="ar"/>
              </w:rPr>
              <w:t>8%~12%</w:t>
            </w:r>
            <w:r>
              <w:rPr>
                <w:rStyle w:val="40"/>
                <w:rFonts w:hint="default" w:ascii="Times New Roman" w:hAnsi="Times New Roman" w:cs="Times New Roman"/>
                <w:b w:val="0"/>
                <w:bCs w:val="0"/>
                <w:color w:val="auto"/>
                <w:sz w:val="21"/>
                <w:szCs w:val="21"/>
                <w:lang w:bidi="ar"/>
              </w:rPr>
              <w:t>）、抗菌率</w:t>
            </w:r>
            <w:r>
              <w:rPr>
                <w:rStyle w:val="37"/>
                <w:rFonts w:hint="default" w:ascii="Times New Roman" w:hAnsi="Times New Roman" w:eastAsia="宋体" w:cs="Times New Roman"/>
                <w:b w:val="0"/>
                <w:bCs w:val="0"/>
                <w:color w:val="auto"/>
                <w:sz w:val="21"/>
                <w:szCs w:val="21"/>
                <w:lang w:bidi="ar"/>
              </w:rPr>
              <w:t>≥99%</w:t>
            </w:r>
            <w:r>
              <w:rPr>
                <w:rStyle w:val="40"/>
                <w:rFonts w:hint="default" w:ascii="Times New Roman" w:hAnsi="Times New Roman" w:cs="Times New Roman"/>
                <w:b w:val="0"/>
                <w:bCs w:val="0"/>
                <w:color w:val="auto"/>
                <w:sz w:val="21"/>
                <w:szCs w:val="21"/>
                <w:lang w:bidi="ar"/>
              </w:rPr>
              <w:t>，符合</w:t>
            </w:r>
            <w:r>
              <w:rPr>
                <w:rStyle w:val="37"/>
                <w:rFonts w:hint="default" w:ascii="Times New Roman" w:hAnsi="Times New Roman" w:eastAsia="宋体" w:cs="Times New Roman"/>
                <w:b w:val="0"/>
                <w:bCs w:val="0"/>
                <w:color w:val="auto"/>
                <w:sz w:val="21"/>
                <w:szCs w:val="21"/>
                <w:lang w:bidi="ar"/>
              </w:rPr>
              <w:t>GB 18584-2001</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6675.2-2014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6675.3-2014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JC/T2039-2010</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玻璃钢：沙水过道与八角沙水盘采用环保型高分子玻璃纤维材料制作，表面呈枯木纹仿真树纹，涂抹环氧树脂固化成型，强度好，不褪色，耐热晒雨淋，耐风化，抗酸碱度好，色彩鲜艳逼真，要求所有凸起和锐角均做导圆处理；沙水过道尺寸为</w:t>
            </w:r>
            <w:r>
              <w:rPr>
                <w:rStyle w:val="37"/>
                <w:rFonts w:hint="default" w:ascii="Times New Roman" w:hAnsi="Times New Roman" w:eastAsia="宋体" w:cs="Times New Roman"/>
                <w:b w:val="0"/>
                <w:bCs w:val="0"/>
                <w:color w:val="auto"/>
                <w:sz w:val="21"/>
                <w:szCs w:val="21"/>
                <w:lang w:bidi="ar"/>
              </w:rPr>
              <w:t>L1210xW180xH130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，八角沙水盘尺寸为</w:t>
            </w:r>
            <w:r>
              <w:rPr>
                <w:rStyle w:val="37"/>
                <w:rFonts w:hint="default" w:ascii="Times New Roman" w:hAnsi="Times New Roman" w:eastAsia="宋体" w:cs="Times New Roman"/>
                <w:b w:val="0"/>
                <w:bCs w:val="0"/>
                <w:color w:val="auto"/>
                <w:sz w:val="21"/>
                <w:szCs w:val="21"/>
                <w:lang w:bidi="ar"/>
              </w:rPr>
              <w:t>L790xW790xH155</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3.PE</w:t>
            </w:r>
            <w:r>
              <w:rPr>
                <w:rStyle w:val="40"/>
                <w:rFonts w:hint="default" w:ascii="Times New Roman" w:hAnsi="Times New Roman" w:cs="Times New Roman"/>
                <w:b w:val="0"/>
                <w:bCs w:val="0"/>
                <w:color w:val="auto"/>
                <w:sz w:val="21"/>
                <w:szCs w:val="21"/>
                <w:lang w:bidi="ar"/>
              </w:rPr>
              <w:t>板：玩沙装置采用</w:t>
            </w:r>
            <w:r>
              <w:rPr>
                <w:rStyle w:val="37"/>
                <w:rFonts w:hint="default" w:ascii="Times New Roman" w:hAnsi="Times New Roman" w:eastAsia="宋体" w:cs="Times New Roman"/>
                <w:b w:val="0"/>
                <w:bCs w:val="0"/>
                <w:color w:val="auto"/>
                <w:sz w:val="21"/>
                <w:szCs w:val="21"/>
                <w:lang w:bidi="ar"/>
              </w:rPr>
              <w:t>19mm</w:t>
            </w:r>
            <w:r>
              <w:rPr>
                <w:rStyle w:val="40"/>
                <w:rFonts w:hint="default" w:ascii="Times New Roman" w:hAnsi="Times New Roman" w:cs="Times New Roman"/>
                <w:b w:val="0"/>
                <w:bCs w:val="0"/>
                <w:color w:val="auto"/>
                <w:sz w:val="21"/>
                <w:szCs w:val="21"/>
                <w:lang w:bidi="ar"/>
              </w:rPr>
              <w:t>厚度高密度</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板，尺寸为：</w:t>
            </w:r>
            <w:r>
              <w:rPr>
                <w:rStyle w:val="37"/>
                <w:rFonts w:hint="default" w:ascii="Times New Roman" w:hAnsi="Times New Roman" w:eastAsia="宋体" w:cs="Times New Roman"/>
                <w:b w:val="0"/>
                <w:bCs w:val="0"/>
                <w:color w:val="auto"/>
                <w:sz w:val="21"/>
                <w:szCs w:val="21"/>
                <w:lang w:bidi="ar"/>
              </w:rPr>
              <w:t>L583xW193xH360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，共三层，整体稳固耐用，户外使用不变形、不褪色，阻燃性好，环保无毒。要求</w:t>
            </w:r>
            <w:r>
              <w:rPr>
                <w:rStyle w:val="37"/>
                <w:rFonts w:hint="default" w:ascii="Times New Roman" w:hAnsi="Times New Roman" w:eastAsia="宋体" w:cs="Times New Roman"/>
                <w:b w:val="0"/>
                <w:bCs w:val="0"/>
                <w:color w:val="auto"/>
                <w:sz w:val="21"/>
                <w:szCs w:val="21"/>
                <w:lang w:bidi="ar"/>
              </w:rPr>
              <w:t>PE</w:t>
            </w:r>
            <w:r>
              <w:rPr>
                <w:rStyle w:val="40"/>
                <w:rFonts w:hint="default" w:ascii="Times New Roman" w:hAnsi="Times New Roman" w:cs="Times New Roman"/>
                <w:b w:val="0"/>
                <w:bCs w:val="0"/>
                <w:color w:val="auto"/>
                <w:sz w:val="21"/>
                <w:szCs w:val="21"/>
                <w:lang w:bidi="ar"/>
              </w:rPr>
              <w:t>板的邻苯二甲酸酯、机械与物理性能、易燃性能、可迁移元素（锑、钡、镉、铅、硒、砷、铬、汞八大金属）含量符合</w:t>
            </w:r>
            <w:r>
              <w:rPr>
                <w:rStyle w:val="37"/>
                <w:rFonts w:hint="default" w:ascii="Times New Roman" w:hAnsi="Times New Roman" w:eastAsia="宋体" w:cs="Times New Roman"/>
                <w:b w:val="0"/>
                <w:bCs w:val="0"/>
                <w:color w:val="auto"/>
                <w:sz w:val="21"/>
                <w:szCs w:val="21"/>
                <w:lang w:bidi="ar"/>
              </w:rPr>
              <w:t>GB 6675.1-2014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6675.2-2014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6675.3-2014</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标准要求；防霉等级为</w:t>
            </w:r>
            <w:r>
              <w:rPr>
                <w:rStyle w:val="37"/>
                <w:rFonts w:hint="default" w:ascii="Times New Roman" w:hAnsi="Times New Roman" w:eastAsia="宋体" w:cs="Times New Roman"/>
                <w:b w:val="0"/>
                <w:bCs w:val="0"/>
                <w:color w:val="auto"/>
                <w:sz w:val="21"/>
                <w:szCs w:val="21"/>
                <w:lang w:bidi="ar"/>
              </w:rPr>
              <w:t>0</w:t>
            </w:r>
            <w:r>
              <w:rPr>
                <w:rStyle w:val="40"/>
                <w:rFonts w:hint="default" w:ascii="Times New Roman" w:hAnsi="Times New Roman" w:cs="Times New Roman"/>
                <w:b w:val="0"/>
                <w:bCs w:val="0"/>
                <w:color w:val="auto"/>
                <w:sz w:val="21"/>
                <w:szCs w:val="21"/>
                <w:lang w:bidi="ar"/>
              </w:rPr>
              <w:t>级符合</w:t>
            </w:r>
            <w:r>
              <w:rPr>
                <w:rStyle w:val="37"/>
                <w:rFonts w:hint="default" w:ascii="Times New Roman" w:hAnsi="Times New Roman" w:eastAsia="宋体" w:cs="Times New Roman"/>
                <w:b w:val="0"/>
                <w:bCs w:val="0"/>
                <w:color w:val="auto"/>
                <w:sz w:val="21"/>
                <w:szCs w:val="21"/>
                <w:lang w:bidi="ar"/>
              </w:rPr>
              <w:t>GB/T 24128-2018</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油漆：表面喷涂户外木蜡油，天然环保、不含有害物质。优质木蜡油具有良好的耐候性及附着力，耐紫外线，能渗透进入木材内部，与木材有机地结合，形成网状组织既有效地阻止水分进入，从而有效地控制木材开裂，延长木材使用寿命，又能突显木材的天然纹理美感。要求木蜡油的有害物质限量符合</w:t>
            </w:r>
            <w:r>
              <w:rPr>
                <w:rStyle w:val="37"/>
                <w:rFonts w:hint="default" w:ascii="Times New Roman" w:hAnsi="Times New Roman" w:eastAsia="宋体" w:cs="Times New Roman"/>
                <w:b w:val="0"/>
                <w:bCs w:val="0"/>
                <w:color w:val="auto"/>
                <w:sz w:val="21"/>
                <w:szCs w:val="21"/>
                <w:lang w:bidi="ar"/>
              </w:rPr>
              <w:t>GB 18581-2020</w:t>
            </w:r>
            <w:r>
              <w:rPr>
                <w:rStyle w:val="40"/>
                <w:rFonts w:hint="default" w:ascii="Times New Roman" w:hAnsi="Times New Roman" w:cs="Times New Roman"/>
                <w:b w:val="0"/>
                <w:bCs w:val="0"/>
                <w:color w:val="auto"/>
                <w:sz w:val="21"/>
                <w:szCs w:val="21"/>
                <w:lang w:bidi="ar"/>
              </w:rPr>
              <w:t>标准要求，可迁移元素（锑、钡、镉、铅、硒、砷、铬、汞八大金属）含量符合</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标准要求，抑菌率</w:t>
            </w:r>
            <w:r>
              <w:rPr>
                <w:rStyle w:val="37"/>
                <w:rFonts w:hint="default" w:ascii="Times New Roman" w:hAnsi="Times New Roman" w:eastAsia="宋体" w:cs="Times New Roman"/>
                <w:b w:val="0"/>
                <w:bCs w:val="0"/>
                <w:color w:val="auto"/>
                <w:sz w:val="21"/>
                <w:szCs w:val="21"/>
                <w:lang w:bidi="ar"/>
              </w:rPr>
              <w:t>≥99%</w:t>
            </w:r>
            <w:r>
              <w:rPr>
                <w:rStyle w:val="40"/>
                <w:rFonts w:hint="default" w:ascii="Times New Roman" w:hAnsi="Times New Roman" w:cs="Times New Roman"/>
                <w:b w:val="0"/>
                <w:bCs w:val="0"/>
                <w:color w:val="auto"/>
                <w:sz w:val="21"/>
                <w:szCs w:val="21"/>
                <w:lang w:bidi="ar"/>
              </w:rPr>
              <w:t>符合</w:t>
            </w:r>
            <w:r>
              <w:rPr>
                <w:rStyle w:val="37"/>
                <w:rFonts w:hint="default" w:ascii="Times New Roman" w:hAnsi="Times New Roman" w:eastAsia="宋体" w:cs="Times New Roman"/>
                <w:b w:val="0"/>
                <w:bCs w:val="0"/>
                <w:color w:val="auto"/>
                <w:sz w:val="21"/>
                <w:szCs w:val="21"/>
                <w:lang w:bidi="ar"/>
              </w:rPr>
              <w:t>GB/T 21866-2008</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4.</w:t>
            </w:r>
            <w:r>
              <w:rPr>
                <w:rStyle w:val="40"/>
                <w:rFonts w:hint="default" w:ascii="Times New Roman" w:hAnsi="Times New Roman" w:cs="Times New Roman"/>
                <w:b w:val="0"/>
                <w:bCs w:val="0"/>
                <w:color w:val="auto"/>
                <w:sz w:val="21"/>
                <w:szCs w:val="21"/>
                <w:lang w:bidi="ar"/>
              </w:rPr>
              <w:t>五金件：选用不锈钢材质五金件，分量足，硬度高，环保安全无毒，耐腐性良好。要求五金件的可迁移元素（锑、钡、镉、铅、硒、砷、铬、汞八大金属）含量符合</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标准要求；经至少</w:t>
            </w:r>
            <w:r>
              <w:rPr>
                <w:rStyle w:val="37"/>
                <w:rFonts w:hint="default" w:ascii="Times New Roman" w:hAnsi="Times New Roman" w:eastAsia="宋体" w:cs="Times New Roman"/>
                <w:b w:val="0"/>
                <w:bCs w:val="0"/>
                <w:color w:val="auto"/>
                <w:sz w:val="21"/>
                <w:szCs w:val="21"/>
                <w:lang w:bidi="ar"/>
              </w:rPr>
              <w:t>100h</w:t>
            </w:r>
            <w:r>
              <w:rPr>
                <w:rStyle w:val="40"/>
                <w:rFonts w:hint="default" w:ascii="Times New Roman" w:hAnsi="Times New Roman" w:cs="Times New Roman"/>
                <w:b w:val="0"/>
                <w:bCs w:val="0"/>
                <w:color w:val="auto"/>
                <w:sz w:val="21"/>
                <w:szCs w:val="21"/>
                <w:lang w:bidi="ar"/>
              </w:rPr>
              <w:t>以上中性盐雾腐蚀测试无生锈、无气泡、无粉化现象符合</w:t>
            </w:r>
            <w:r>
              <w:rPr>
                <w:rStyle w:val="37"/>
                <w:rFonts w:hint="default" w:ascii="Times New Roman" w:hAnsi="Times New Roman" w:eastAsia="宋体" w:cs="Times New Roman"/>
                <w:b w:val="0"/>
                <w:bCs w:val="0"/>
                <w:color w:val="auto"/>
                <w:sz w:val="21"/>
                <w:szCs w:val="21"/>
                <w:lang w:bidi="ar"/>
              </w:rPr>
              <w:t>GB/T 10125-2021</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5.</w:t>
            </w:r>
            <w:r>
              <w:rPr>
                <w:rStyle w:val="40"/>
                <w:rFonts w:hint="default" w:ascii="Times New Roman" w:hAnsi="Times New Roman" w:cs="Times New Roman"/>
                <w:b w:val="0"/>
                <w:bCs w:val="0"/>
                <w:color w:val="auto"/>
                <w:sz w:val="21"/>
                <w:szCs w:val="21"/>
                <w:lang w:bidi="ar"/>
              </w:rPr>
              <w:t>脚套：脚部安装有</w:t>
            </w:r>
            <w:r>
              <w:rPr>
                <w:rStyle w:val="37"/>
                <w:rFonts w:hint="default" w:ascii="Times New Roman" w:hAnsi="Times New Roman" w:eastAsia="宋体" w:cs="Times New Roman"/>
                <w:b w:val="0"/>
                <w:bCs w:val="0"/>
                <w:color w:val="auto"/>
                <w:sz w:val="21"/>
                <w:szCs w:val="21"/>
                <w:lang w:bidi="ar"/>
              </w:rPr>
              <w:t>ABS</w:t>
            </w:r>
            <w:r>
              <w:rPr>
                <w:rStyle w:val="40"/>
                <w:rFonts w:hint="default" w:ascii="Times New Roman" w:hAnsi="Times New Roman" w:cs="Times New Roman"/>
                <w:b w:val="0"/>
                <w:bCs w:val="0"/>
                <w:color w:val="auto"/>
                <w:sz w:val="21"/>
                <w:szCs w:val="21"/>
                <w:lang w:bidi="ar"/>
              </w:rPr>
              <w:t>塑料脚套，尺寸为</w:t>
            </w:r>
            <w:r>
              <w:rPr>
                <w:rStyle w:val="37"/>
                <w:rFonts w:hint="default" w:ascii="Times New Roman" w:hAnsi="Times New Roman" w:eastAsia="宋体" w:cs="Times New Roman"/>
                <w:b w:val="0"/>
                <w:bCs w:val="0"/>
                <w:color w:val="auto"/>
                <w:sz w:val="21"/>
                <w:szCs w:val="21"/>
                <w:lang w:bidi="ar"/>
              </w:rPr>
              <w:t>L100xW100xH71</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呈咖啡色共</w:t>
            </w:r>
            <w:r>
              <w:rPr>
                <w:rStyle w:val="37"/>
                <w:rFonts w:hint="default" w:ascii="Times New Roman" w:hAnsi="Times New Roman" w:eastAsia="宋体" w:cs="Times New Roman"/>
                <w:b w:val="0"/>
                <w:bCs w:val="0"/>
                <w:color w:val="auto"/>
                <w:sz w:val="21"/>
                <w:szCs w:val="21"/>
                <w:lang w:bidi="ar"/>
              </w:rPr>
              <w:t>10</w:t>
            </w:r>
            <w:r>
              <w:rPr>
                <w:rStyle w:val="40"/>
                <w:rFonts w:hint="default" w:ascii="Times New Roman" w:hAnsi="Times New Roman" w:cs="Times New Roman"/>
                <w:b w:val="0"/>
                <w:bCs w:val="0"/>
                <w:color w:val="auto"/>
                <w:sz w:val="21"/>
                <w:szCs w:val="21"/>
                <w:lang w:bidi="ar"/>
              </w:rPr>
              <w:t>个，保护木材远离地面潮湿。采用环保无毒材质，优质不易开裂，邻苯二甲酸酯符合</w:t>
            </w:r>
            <w:r>
              <w:rPr>
                <w:rStyle w:val="37"/>
                <w:rFonts w:hint="default" w:ascii="Times New Roman" w:hAnsi="Times New Roman" w:eastAsia="宋体" w:cs="Times New Roman"/>
                <w:b w:val="0"/>
                <w:bCs w:val="0"/>
                <w:color w:val="auto"/>
                <w:sz w:val="21"/>
                <w:szCs w:val="21"/>
                <w:lang w:bidi="ar"/>
              </w:rPr>
              <w:t>GB 6675.1-2014</w:t>
            </w:r>
            <w:r>
              <w:rPr>
                <w:rStyle w:val="40"/>
                <w:rFonts w:hint="default" w:ascii="Times New Roman" w:hAnsi="Times New Roman" w:cs="Times New Roman"/>
                <w:b w:val="0"/>
                <w:bCs w:val="0"/>
                <w:color w:val="auto"/>
                <w:sz w:val="21"/>
                <w:szCs w:val="21"/>
                <w:lang w:bidi="ar"/>
              </w:rPr>
              <w:t>，可迁移元素中锑、钡、镉、铅、硒、砷、铬、汞八大金属含量符合</w:t>
            </w:r>
            <w:r>
              <w:rPr>
                <w:rStyle w:val="37"/>
                <w:rFonts w:hint="default" w:ascii="Times New Roman" w:hAnsi="Times New Roman" w:eastAsia="宋体" w:cs="Times New Roman"/>
                <w:b w:val="0"/>
                <w:bCs w:val="0"/>
                <w:color w:val="auto"/>
                <w:sz w:val="21"/>
                <w:szCs w:val="21"/>
                <w:lang w:bidi="ar"/>
              </w:rPr>
              <w:t>GB 6675.4-2014</w:t>
            </w:r>
            <w:r>
              <w:rPr>
                <w:rStyle w:val="40"/>
                <w:rFonts w:hint="default" w:ascii="Times New Roman" w:hAnsi="Times New Roman" w:cs="Times New Roman"/>
                <w:b w:val="0"/>
                <w:bCs w:val="0"/>
                <w:color w:val="auto"/>
                <w:sz w:val="21"/>
                <w:szCs w:val="21"/>
                <w:lang w:bidi="ar"/>
              </w:rPr>
              <w:t>标准要求。</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6.</w:t>
            </w:r>
            <w:r>
              <w:rPr>
                <w:rStyle w:val="40"/>
                <w:rFonts w:hint="default" w:ascii="Times New Roman" w:hAnsi="Times New Roman" w:cs="Times New Roman"/>
                <w:b w:val="0"/>
                <w:bCs w:val="0"/>
                <w:color w:val="auto"/>
                <w:sz w:val="21"/>
                <w:szCs w:val="21"/>
                <w:lang w:bidi="ar"/>
              </w:rPr>
              <w:t>产品：外表面和内表面等儿童手指可触及的隐蔽处，均不得有锋利的锐角、毛刺，产品外角均倒圆处理，以保证儿童的安全，成品表面涂层耐刮、耐热、耐冲击，结构安全稳固。多功能可组合沙水游乐设备，增强动手能力，户外活动更有趣味！</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曲线波纹挡板</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79744" behindDoc="0" locked="0" layoutInCell="1" allowOverlap="1">
                  <wp:simplePos x="0" y="0"/>
                  <wp:positionH relativeFrom="column">
                    <wp:posOffset>341630</wp:posOffset>
                  </wp:positionH>
                  <wp:positionV relativeFrom="paragraph">
                    <wp:posOffset>858520</wp:posOffset>
                  </wp:positionV>
                  <wp:extent cx="340995" cy="365125"/>
                  <wp:effectExtent l="0" t="0" r="1905" b="15875"/>
                  <wp:wrapNone/>
                  <wp:docPr id="161" name="ID_A846A8A79FA047A6948025F35A8C2EB9"/>
                  <wp:cNvGraphicFramePr/>
                  <a:graphic xmlns:a="http://schemas.openxmlformats.org/drawingml/2006/main">
                    <a:graphicData uri="http://schemas.openxmlformats.org/drawingml/2006/picture">
                      <pic:pic xmlns:pic="http://schemas.openxmlformats.org/drawingml/2006/picture">
                        <pic:nvPicPr>
                          <pic:cNvPr id="161" name="ID_A846A8A79FA047A6948025F35A8C2EB9"/>
                          <pic:cNvPicPr/>
                        </pic:nvPicPr>
                        <pic:blipFill>
                          <a:blip r:embed="rId20"/>
                          <a:stretch>
                            <a:fillRect/>
                          </a:stretch>
                        </pic:blipFill>
                        <pic:spPr>
                          <a:xfrm>
                            <a:off x="0" y="0"/>
                            <a:ext cx="340995" cy="36512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w:t>
            </w:r>
            <w:r>
              <w:rPr>
                <w:rStyle w:val="37"/>
                <w:rFonts w:hint="default" w:ascii="Times New Roman" w:hAnsi="Times New Roman" w:eastAsia="宋体" w:cs="Times New Roman"/>
                <w:b w:val="0"/>
                <w:bCs w:val="0"/>
                <w:color w:val="auto"/>
                <w:sz w:val="21"/>
                <w:szCs w:val="21"/>
                <w:lang w:bidi="ar"/>
              </w:rPr>
              <w:t>L89xW2.5xH80</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、工艺设计：</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）半透明通透波纹板，能搭配其他产品形成围合区域，增强独立性与互动性。</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）所有螺丝位无毛刺不刮手，边角采用圆边</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圆角处理以及安全防撞设计，最大程度的避免儿童磕碰伤害，结构稳固。</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、外观结构及材质：</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）边框采用厚度</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24mm</w:t>
            </w:r>
            <w:r>
              <w:rPr>
                <w:rStyle w:val="40"/>
                <w:rFonts w:hint="default" w:ascii="Times New Roman" w:hAnsi="Times New Roman" w:cs="Times New Roman"/>
                <w:b w:val="0"/>
                <w:bCs w:val="0"/>
                <w:color w:val="auto"/>
                <w:sz w:val="21"/>
                <w:szCs w:val="21"/>
                <w:lang w:bidi="ar"/>
              </w:rPr>
              <w:t>的环保实木多层板，顶部流畅曲线造型，圆弧</w:t>
            </w:r>
            <w:r>
              <w:rPr>
                <w:rStyle w:val="37"/>
                <w:rFonts w:hint="default" w:ascii="Times New Roman" w:hAnsi="Times New Roman" w:eastAsia="宋体" w:cs="Times New Roman"/>
                <w:b w:val="0"/>
                <w:bCs w:val="0"/>
                <w:color w:val="auto"/>
                <w:sz w:val="21"/>
                <w:szCs w:val="21"/>
                <w:lang w:bidi="ar"/>
              </w:rPr>
              <w:t>R750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，最小高度</w:t>
            </w:r>
            <w:r>
              <w:rPr>
                <w:rStyle w:val="37"/>
                <w:rFonts w:hint="default" w:ascii="Times New Roman" w:hAnsi="Times New Roman" w:eastAsia="宋体" w:cs="Times New Roman"/>
                <w:b w:val="0"/>
                <w:bCs w:val="0"/>
                <w:color w:val="auto"/>
                <w:sz w:val="21"/>
                <w:szCs w:val="21"/>
                <w:lang w:bidi="ar"/>
              </w:rPr>
              <w:t>590mm</w:t>
            </w:r>
            <w:r>
              <w:rPr>
                <w:rStyle w:val="40"/>
                <w:rFonts w:hint="default" w:ascii="Times New Roman" w:hAnsi="Times New Roman" w:cs="Times New Roman"/>
                <w:b w:val="0"/>
                <w:bCs w:val="0"/>
                <w:color w:val="auto"/>
                <w:sz w:val="21"/>
                <w:szCs w:val="21"/>
                <w:lang w:bidi="ar"/>
              </w:rPr>
              <w:t>，顶部流畅曲线造型。</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）波纹板：芯板采用厚度</w:t>
            </w:r>
            <w:r>
              <w:rPr>
                <w:rStyle w:val="37"/>
                <w:rFonts w:hint="default" w:ascii="Times New Roman" w:hAnsi="Times New Roman" w:eastAsia="宋体" w:cs="Times New Roman"/>
                <w:b w:val="0"/>
                <w:bCs w:val="0"/>
                <w:color w:val="auto"/>
                <w:sz w:val="21"/>
                <w:szCs w:val="21"/>
                <w:lang w:bidi="ar"/>
              </w:rPr>
              <w:t>8mm</w:t>
            </w:r>
            <w:r>
              <w:rPr>
                <w:rStyle w:val="40"/>
                <w:rFonts w:hint="default" w:ascii="Times New Roman" w:hAnsi="Times New Roman" w:cs="Times New Roman"/>
                <w:b w:val="0"/>
                <w:bCs w:val="0"/>
                <w:color w:val="auto"/>
                <w:sz w:val="21"/>
                <w:szCs w:val="21"/>
                <w:lang w:bidi="ar"/>
              </w:rPr>
              <w:t>的优质半透明亚克力中空板，半透明芯板最大高度</w:t>
            </w:r>
            <w:r>
              <w:rPr>
                <w:rStyle w:val="37"/>
                <w:rFonts w:hint="default" w:ascii="Times New Roman" w:hAnsi="Times New Roman" w:eastAsia="宋体" w:cs="Times New Roman"/>
                <w:b w:val="0"/>
                <w:bCs w:val="0"/>
                <w:color w:val="auto"/>
                <w:sz w:val="21"/>
                <w:szCs w:val="21"/>
                <w:lang w:bidi="ar"/>
              </w:rPr>
              <w:t>670mm,</w:t>
            </w:r>
            <w:r>
              <w:rPr>
                <w:rStyle w:val="40"/>
                <w:rFonts w:hint="default" w:ascii="Times New Roman" w:hAnsi="Times New Roman" w:cs="Times New Roman"/>
                <w:b w:val="0"/>
                <w:bCs w:val="0"/>
                <w:color w:val="auto"/>
                <w:sz w:val="21"/>
                <w:szCs w:val="21"/>
                <w:lang w:bidi="ar"/>
              </w:rPr>
              <w:t>最小高度</w:t>
            </w:r>
            <w:r>
              <w:rPr>
                <w:rStyle w:val="37"/>
                <w:rFonts w:hint="default" w:ascii="Times New Roman" w:hAnsi="Times New Roman" w:eastAsia="宋体" w:cs="Times New Roman"/>
                <w:b w:val="0"/>
                <w:bCs w:val="0"/>
                <w:color w:val="auto"/>
                <w:sz w:val="21"/>
                <w:szCs w:val="21"/>
                <w:lang w:bidi="ar"/>
              </w:rPr>
              <w:t>460mm</w:t>
            </w:r>
            <w:r>
              <w:rPr>
                <w:rStyle w:val="40"/>
                <w:rFonts w:hint="default" w:ascii="Times New Roman" w:hAnsi="Times New Roman" w:cs="Times New Roman"/>
                <w:b w:val="0"/>
                <w:bCs w:val="0"/>
                <w:color w:val="auto"/>
                <w:sz w:val="21"/>
                <w:szCs w:val="21"/>
                <w:lang w:bidi="ar"/>
              </w:rPr>
              <w:t>，表面光滑无缺陷，中空结构抗压性强。</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）油漆：采用环保的水性漆，全封闭涂装工艺，漆面光泽高透，颜色均匀。</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kern w:val="0"/>
                <w:szCs w:val="21"/>
                <w:lang w:bidi="ar"/>
              </w:rPr>
            </w:pPr>
            <w:r>
              <w:rPr>
                <w:kern w:val="0"/>
                <w:szCs w:val="21"/>
                <w:lang w:bidi="ar"/>
              </w:rPr>
              <w:t>15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直线波纹挡板</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80768" behindDoc="0" locked="0" layoutInCell="1" allowOverlap="1">
                  <wp:simplePos x="0" y="0"/>
                  <wp:positionH relativeFrom="column">
                    <wp:posOffset>257810</wp:posOffset>
                  </wp:positionH>
                  <wp:positionV relativeFrom="paragraph">
                    <wp:posOffset>887095</wp:posOffset>
                  </wp:positionV>
                  <wp:extent cx="518795" cy="365125"/>
                  <wp:effectExtent l="0" t="0" r="14605" b="15875"/>
                  <wp:wrapNone/>
                  <wp:docPr id="162" name="ID_88CC5464E11C42438C148AF0B895FFCC"/>
                  <wp:cNvGraphicFramePr/>
                  <a:graphic xmlns:a="http://schemas.openxmlformats.org/drawingml/2006/main">
                    <a:graphicData uri="http://schemas.openxmlformats.org/drawingml/2006/picture">
                      <pic:pic xmlns:pic="http://schemas.openxmlformats.org/drawingml/2006/picture">
                        <pic:nvPicPr>
                          <pic:cNvPr id="162" name="ID_88CC5464E11C42438C148AF0B895FFCC"/>
                          <pic:cNvPicPr/>
                        </pic:nvPicPr>
                        <pic:blipFill>
                          <a:blip r:embed="rId21"/>
                          <a:stretch>
                            <a:fillRect/>
                          </a:stretch>
                        </pic:blipFill>
                        <pic:spPr>
                          <a:xfrm>
                            <a:off x="0" y="0"/>
                            <a:ext cx="518795" cy="365125"/>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w:t>
            </w:r>
            <w:r>
              <w:rPr>
                <w:rStyle w:val="37"/>
                <w:rFonts w:hint="default" w:ascii="Times New Roman" w:hAnsi="Times New Roman" w:eastAsia="宋体" w:cs="Times New Roman"/>
                <w:b w:val="0"/>
                <w:bCs w:val="0"/>
                <w:color w:val="auto"/>
                <w:sz w:val="21"/>
                <w:szCs w:val="21"/>
                <w:lang w:bidi="ar"/>
              </w:rPr>
              <w:t>L89xW2.5xH59</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、工艺设计：</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）半透明通透波纹板，能搭配其他产品形成围合区域，增强独立性与互动性。</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）所有螺丝位无毛刺不刮手，边角采用圆边</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圆角处理以及安全防撞设计，最大程度的避免儿童磕碰伤害，结构稳固。</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、外观结构及材质：</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）边框采用厚度</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24mm</w:t>
            </w:r>
            <w:r>
              <w:rPr>
                <w:rStyle w:val="40"/>
                <w:rFonts w:hint="default" w:ascii="Times New Roman" w:hAnsi="Times New Roman" w:cs="Times New Roman"/>
                <w:b w:val="0"/>
                <w:bCs w:val="0"/>
                <w:color w:val="auto"/>
                <w:sz w:val="21"/>
                <w:szCs w:val="21"/>
                <w:lang w:bidi="ar"/>
              </w:rPr>
              <w:t>的环保实木多层板，边框宽度</w:t>
            </w:r>
            <w:r>
              <w:rPr>
                <w:rStyle w:val="37"/>
                <w:rFonts w:hint="default" w:ascii="Times New Roman" w:hAnsi="Times New Roman" w:eastAsia="宋体" w:cs="Times New Roman"/>
                <w:b w:val="0"/>
                <w:bCs w:val="0"/>
                <w:color w:val="auto"/>
                <w:sz w:val="21"/>
                <w:szCs w:val="21"/>
                <w:lang w:bidi="ar"/>
              </w:rPr>
              <w:t>45</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，长方形直线造型。</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）芯板采用厚度</w:t>
            </w:r>
            <w:r>
              <w:rPr>
                <w:rStyle w:val="40"/>
                <w:rFonts w:hint="eastAsia" w:cs="Times New Roman"/>
                <w:b w:val="0"/>
                <w:bCs w:val="0"/>
                <w:color w:val="auto"/>
                <w:sz w:val="21"/>
                <w:szCs w:val="21"/>
                <w:lang w:val="en-US" w:eastAsia="zh-CN" w:bidi="ar"/>
              </w:rPr>
              <w:t>不少于</w:t>
            </w:r>
            <w:r>
              <w:rPr>
                <w:rStyle w:val="37"/>
                <w:rFonts w:hint="default" w:ascii="Times New Roman" w:hAnsi="Times New Roman" w:eastAsia="宋体" w:cs="Times New Roman"/>
                <w:b w:val="0"/>
                <w:bCs w:val="0"/>
                <w:color w:val="auto"/>
                <w:sz w:val="21"/>
                <w:szCs w:val="21"/>
                <w:lang w:bidi="ar"/>
              </w:rPr>
              <w:t>8mm</w:t>
            </w:r>
            <w:r>
              <w:rPr>
                <w:rStyle w:val="40"/>
                <w:rFonts w:hint="default" w:ascii="Times New Roman" w:hAnsi="Times New Roman" w:cs="Times New Roman"/>
                <w:b w:val="0"/>
                <w:bCs w:val="0"/>
                <w:color w:val="auto"/>
                <w:sz w:val="21"/>
                <w:szCs w:val="21"/>
                <w:lang w:bidi="ar"/>
              </w:rPr>
              <w:t>双层中空波纹板，波纹板中间间隔由多条厚度</w:t>
            </w:r>
            <w:r>
              <w:rPr>
                <w:rStyle w:val="37"/>
                <w:rFonts w:hint="default" w:ascii="Times New Roman" w:hAnsi="Times New Roman" w:eastAsia="宋体" w:cs="Times New Roman"/>
                <w:b w:val="0"/>
                <w:bCs w:val="0"/>
                <w:color w:val="auto"/>
                <w:sz w:val="21"/>
                <w:szCs w:val="21"/>
                <w:lang w:bidi="ar"/>
              </w:rPr>
              <w:t>0.5mm</w:t>
            </w:r>
            <w:r>
              <w:rPr>
                <w:rStyle w:val="40"/>
                <w:rFonts w:hint="default" w:ascii="Times New Roman" w:hAnsi="Times New Roman" w:cs="Times New Roman"/>
                <w:b w:val="0"/>
                <w:bCs w:val="0"/>
                <w:color w:val="auto"/>
                <w:sz w:val="21"/>
                <w:szCs w:val="21"/>
                <w:lang w:bidi="ar"/>
              </w:rPr>
              <w:t>组成</w:t>
            </w:r>
            <w:r>
              <w:rPr>
                <w:rStyle w:val="37"/>
                <w:rFonts w:hint="default" w:ascii="Times New Roman" w:hAnsi="Times New Roman" w:eastAsia="宋体" w:cs="Times New Roman"/>
                <w:b w:val="0"/>
                <w:bCs w:val="0"/>
                <w:color w:val="auto"/>
                <w:sz w:val="21"/>
                <w:szCs w:val="21"/>
                <w:lang w:bidi="ar"/>
              </w:rPr>
              <w:t>15.5x6</w:t>
            </w:r>
            <w:r>
              <w:rPr>
                <w:rFonts w:hint="eastAsia"/>
                <w:color w:val="auto"/>
                <w:kern w:val="0"/>
                <w:szCs w:val="21"/>
                <w:lang w:eastAsia="zh-CN" w:bidi="ar"/>
              </w:rPr>
              <w:t>±</w:t>
            </w:r>
            <w:r>
              <w:rPr>
                <w:rFonts w:hint="eastAsia"/>
                <w:color w:val="auto"/>
                <w:kern w:val="0"/>
                <w:szCs w:val="21"/>
                <w:lang w:val="en-US" w:eastAsia="zh-CN" w:bidi="ar"/>
              </w:rPr>
              <w:t>0.5</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的长方条格子，半透明芯板可见尺寸</w:t>
            </w:r>
            <w:r>
              <w:rPr>
                <w:rStyle w:val="37"/>
                <w:rFonts w:hint="default" w:ascii="Times New Roman" w:hAnsi="Times New Roman" w:eastAsia="宋体" w:cs="Times New Roman"/>
                <w:b w:val="0"/>
                <w:bCs w:val="0"/>
                <w:color w:val="auto"/>
                <w:sz w:val="21"/>
                <w:szCs w:val="21"/>
                <w:lang w:bidi="ar"/>
              </w:rPr>
              <w:t>770x460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，表面光滑无缺陷，中空结构抗压性强。</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）油漆：采用环保的水性漆，全封闭涂装工艺，漆面光泽高透，颜色均匀。</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H80cm挡板连接件</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81792" behindDoc="0" locked="0" layoutInCell="1" allowOverlap="1">
                  <wp:simplePos x="0" y="0"/>
                  <wp:positionH relativeFrom="column">
                    <wp:posOffset>445135</wp:posOffset>
                  </wp:positionH>
                  <wp:positionV relativeFrom="paragraph">
                    <wp:posOffset>953770</wp:posOffset>
                  </wp:positionV>
                  <wp:extent cx="400685" cy="593090"/>
                  <wp:effectExtent l="0" t="0" r="18415" b="16510"/>
                  <wp:wrapNone/>
                  <wp:docPr id="163" name="ID_85303B45EE434126829C43D525FE9D31"/>
                  <wp:cNvGraphicFramePr/>
                  <a:graphic xmlns:a="http://schemas.openxmlformats.org/drawingml/2006/main">
                    <a:graphicData uri="http://schemas.openxmlformats.org/drawingml/2006/picture">
                      <pic:pic xmlns:pic="http://schemas.openxmlformats.org/drawingml/2006/picture">
                        <pic:nvPicPr>
                          <pic:cNvPr id="163" name="ID_85303B45EE434126829C43D525FE9D31"/>
                          <pic:cNvPicPr/>
                        </pic:nvPicPr>
                        <pic:blipFill>
                          <a:blip r:embed="rId22"/>
                          <a:stretch>
                            <a:fillRect/>
                          </a:stretch>
                        </pic:blipFill>
                        <pic:spPr>
                          <a:xfrm>
                            <a:off x="0" y="0"/>
                            <a:ext cx="400685" cy="593090"/>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w:t>
            </w:r>
            <w:r>
              <w:rPr>
                <w:rStyle w:val="37"/>
                <w:rFonts w:hint="default" w:ascii="Times New Roman" w:hAnsi="Times New Roman" w:eastAsia="宋体" w:cs="Times New Roman"/>
                <w:b w:val="0"/>
                <w:bCs w:val="0"/>
                <w:color w:val="auto"/>
                <w:sz w:val="21"/>
                <w:szCs w:val="21"/>
                <w:lang w:bidi="ar"/>
              </w:rPr>
              <w:t>φ5.5xH80</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、工艺设计：</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）配合连接梢，方便实现柜体与挡板之间、挡板与挡板之间、挡板与门洞之间的多角度连接，无须使用工具轻松快捷，提高环创多样性。</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）连接铁管表面采用静电粉末喷涂工艺，圆润光滑，防腐抗锈，坚固耐用。</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）所有螺丝位无毛刺不刮手，边角采用圆边</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圆角处理以及安全防撞设计，最大程度的避免儿童磕碰伤害，结构稳固。</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、外观结构及材质：</w:t>
            </w:r>
            <w:r>
              <w:rPr>
                <w:rStyle w:val="40"/>
                <w:rFonts w:hint="default" w:ascii="Times New Roman" w:hAnsi="Times New Roman"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（1）4个链接柜体的“1”字型插销，由塑料一次成型两头带孔位L46</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mm呈浅咖色的插销，孔位直径9.7</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（2）连接件底座分为3段，①底层为固定件由塑料一次成型8个齿轮成带脚钉呈浅咖色的底座，整体高44</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mm直径57.5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mm，脚钉位置高18</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mm，直径34</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mm；②中间为塑料一次成型8个齿轮的旋转件，只需旋转一个齿轮即可实现快拆快组，直径49.5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mm高度14.5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mm；③上层为塑料一次成型8个齿轮型组成呈浅咖色的底座，高度49.5mm直径57.5mm.</w:t>
            </w:r>
            <w:r>
              <w:rPr>
                <w:rStyle w:val="40"/>
                <w:rFonts w:hint="default" w:ascii="Times New Roman" w:hAnsi="Times New Roman"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(3)顶部固定链接座，分为两段，上层为一个塑料一次成型带8个齿轮呈浅咖色的盖帽，直径57.5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mm高度28.5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mm；下层为塑料一次成型8个齿轮型组成呈浅咖色的固定件，直径57.5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mm高度50</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（4）一个连接两段塑料件的铁艺圆棒，用优质冷轧铁艺，表面采用静电粉末喷涂工艺壁厚1.2</w:t>
            </w:r>
            <w:r>
              <w:rPr>
                <w:rFonts w:hint="eastAsia"/>
                <w:color w:val="auto"/>
                <w:kern w:val="0"/>
                <w:szCs w:val="21"/>
                <w:lang w:eastAsia="zh-CN" w:bidi="ar"/>
              </w:rPr>
              <w:t>±</w:t>
            </w:r>
            <w:r>
              <w:rPr>
                <w:rFonts w:hint="eastAsia"/>
                <w:color w:val="auto"/>
                <w:kern w:val="0"/>
                <w:szCs w:val="21"/>
                <w:lang w:val="en-US" w:eastAsia="zh-CN" w:bidi="ar"/>
              </w:rPr>
              <w:t>0.1</w:t>
            </w:r>
            <w:r>
              <w:rPr>
                <w:rStyle w:val="40"/>
                <w:rFonts w:hint="default" w:ascii="Times New Roman" w:hAnsi="Times New Roman" w:cs="Times New Roman"/>
                <w:b w:val="0"/>
                <w:bCs w:val="0"/>
                <w:color w:val="auto"/>
                <w:sz w:val="21"/>
                <w:szCs w:val="21"/>
                <w:lang w:bidi="ar"/>
              </w:rPr>
              <w:t>mm，尺寸：Ф19x735</w:t>
            </w:r>
            <w:r>
              <w:rPr>
                <w:rFonts w:hint="eastAsia"/>
                <w:color w:val="auto"/>
                <w:kern w:val="0"/>
                <w:szCs w:val="21"/>
                <w:lang w:eastAsia="zh-CN" w:bidi="ar"/>
              </w:rPr>
              <w:t>±1</w:t>
            </w:r>
            <w:r>
              <w:rPr>
                <w:rStyle w:val="40"/>
                <w:rFonts w:hint="default" w:ascii="Times New Roman" w:hAnsi="Times New Roman"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（5）产品用于连接，通过连接梢连接套环上不同的插槽，可以进行90°/135°/180°的连接选择。</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10</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托育体能多功能攀爬架</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b/>
                <w:bCs/>
                <w:kern w:val="0"/>
                <w:szCs w:val="21"/>
                <w:bdr w:val="single" w:color="000000" w:sz="4" w:space="0"/>
                <w:lang w:bidi="ar"/>
              </w:rPr>
              <w:drawing>
                <wp:anchor distT="0" distB="0" distL="114300" distR="114300" simplePos="0" relativeHeight="251682816" behindDoc="0" locked="0" layoutInCell="1" allowOverlap="1">
                  <wp:simplePos x="0" y="0"/>
                  <wp:positionH relativeFrom="column">
                    <wp:posOffset>427990</wp:posOffset>
                  </wp:positionH>
                  <wp:positionV relativeFrom="paragraph">
                    <wp:posOffset>1249045</wp:posOffset>
                  </wp:positionV>
                  <wp:extent cx="482600" cy="783590"/>
                  <wp:effectExtent l="0" t="0" r="12700" b="16510"/>
                  <wp:wrapNone/>
                  <wp:docPr id="164" name="ID_8DA4F3A296D442CFB6EF9E56C984F5C2"/>
                  <wp:cNvGraphicFramePr/>
                  <a:graphic xmlns:a="http://schemas.openxmlformats.org/drawingml/2006/main">
                    <a:graphicData uri="http://schemas.openxmlformats.org/drawingml/2006/picture">
                      <pic:pic xmlns:pic="http://schemas.openxmlformats.org/drawingml/2006/picture">
                        <pic:nvPicPr>
                          <pic:cNvPr id="164" name="ID_8DA4F3A296D442CFB6EF9E56C984F5C2"/>
                          <pic:cNvPicPr/>
                        </pic:nvPicPr>
                        <pic:blipFill>
                          <a:blip r:embed="rId23"/>
                          <a:stretch>
                            <a:fillRect/>
                          </a:stretch>
                        </pic:blipFill>
                        <pic:spPr>
                          <a:xfrm>
                            <a:off x="0" y="0"/>
                            <a:ext cx="482600" cy="783590"/>
                          </a:xfrm>
                          <a:prstGeom prst="rect">
                            <a:avLst/>
                          </a:prstGeom>
                          <a:noFill/>
                          <a:ln>
                            <a:noFill/>
                          </a:ln>
                        </pic:spPr>
                      </pic:pic>
                    </a:graphicData>
                  </a:graphic>
                </wp:anchor>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w:t>
            </w:r>
            <w:r>
              <w:rPr>
                <w:rStyle w:val="37"/>
                <w:rFonts w:hint="default" w:ascii="Times New Roman" w:hAnsi="Times New Roman" w:eastAsia="宋体" w:cs="Times New Roman"/>
                <w:b w:val="0"/>
                <w:bCs w:val="0"/>
                <w:color w:val="auto"/>
                <w:sz w:val="21"/>
                <w:szCs w:val="21"/>
                <w:lang w:bidi="ar"/>
              </w:rPr>
              <w:t>L120xW110-200xH116</w:t>
            </w:r>
            <w:r>
              <w:rPr>
                <w:rFonts w:hint="eastAsia"/>
                <w:color w:val="auto"/>
                <w:kern w:val="0"/>
                <w:szCs w:val="21"/>
                <w:lang w:eastAsia="zh-CN" w:bidi="ar"/>
              </w:rPr>
              <w:t>±1</w:t>
            </w:r>
            <w:r>
              <w:rPr>
                <w:rStyle w:val="37"/>
                <w:rFonts w:hint="default" w:ascii="Times New Roman" w:hAnsi="Times New Roman" w:eastAsia="宋体" w:cs="Times New Roman"/>
                <w:b w:val="0"/>
                <w:bCs w:val="0"/>
                <w:color w:val="auto"/>
                <w:sz w:val="21"/>
                <w:szCs w:val="21"/>
                <w:lang w:bidi="ar"/>
              </w:rPr>
              <w:t>cm</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、工艺设计：</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）攀爬架可组合可单用，小体量，不占地，适合多场所使用。</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）所有螺丝位无毛刺不刮手，边角采用圆边</w:t>
            </w:r>
            <w:r>
              <w:rPr>
                <w:rStyle w:val="37"/>
                <w:rFonts w:hint="default" w:ascii="Times New Roman" w:hAnsi="Times New Roman" w:eastAsia="宋体" w:cs="Times New Roman"/>
                <w:b w:val="0"/>
                <w:bCs w:val="0"/>
                <w:color w:val="auto"/>
                <w:sz w:val="21"/>
                <w:szCs w:val="21"/>
                <w:lang w:bidi="ar"/>
              </w:rPr>
              <w:t>/</w:t>
            </w:r>
            <w:r>
              <w:rPr>
                <w:rStyle w:val="40"/>
                <w:rFonts w:hint="default" w:ascii="Times New Roman" w:hAnsi="Times New Roman" w:cs="Times New Roman"/>
                <w:b w:val="0"/>
                <w:bCs w:val="0"/>
                <w:color w:val="auto"/>
                <w:sz w:val="21"/>
                <w:szCs w:val="21"/>
                <w:lang w:bidi="ar"/>
              </w:rPr>
              <w:t>圆角处理以及安全防撞设计，最大程度的避免儿童磕碰伤害，结构稳固。</w:t>
            </w:r>
            <w:r>
              <w:rPr>
                <w:rStyle w:val="37"/>
                <w:rFonts w:hint="default" w:ascii="Times New Roman" w:hAnsi="Times New Roman" w:eastAsia="宋体" w:cs="Times New Roman"/>
                <w:b w:val="0"/>
                <w:bCs w:val="0"/>
                <w:color w:val="auto"/>
                <w:sz w:val="21"/>
                <w:szCs w:val="21"/>
                <w:lang w:bidi="ar"/>
              </w:rPr>
              <w:br w:type="textWrapping"/>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、外观结构及材质</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1</w:t>
            </w:r>
            <w:r>
              <w:rPr>
                <w:rStyle w:val="40"/>
                <w:rFonts w:hint="default" w:ascii="Times New Roman" w:hAnsi="Times New Roman" w:cs="Times New Roman"/>
                <w:b w:val="0"/>
                <w:bCs w:val="0"/>
                <w:color w:val="auto"/>
                <w:sz w:val="21"/>
                <w:szCs w:val="21"/>
                <w:lang w:bidi="ar"/>
              </w:rPr>
              <w:t>）主体采用厚度</w:t>
            </w:r>
            <w:r>
              <w:rPr>
                <w:rStyle w:val="37"/>
                <w:rFonts w:hint="default" w:ascii="Times New Roman" w:hAnsi="Times New Roman" w:eastAsia="宋体" w:cs="Times New Roman"/>
                <w:b w:val="0"/>
                <w:bCs w:val="0"/>
                <w:color w:val="auto"/>
                <w:sz w:val="21"/>
                <w:szCs w:val="21"/>
                <w:lang w:bidi="ar"/>
              </w:rPr>
              <w:t>18mm</w:t>
            </w:r>
            <w:r>
              <w:rPr>
                <w:rStyle w:val="40"/>
                <w:rFonts w:hint="default" w:ascii="Times New Roman" w:hAnsi="Times New Roman" w:cs="Times New Roman"/>
                <w:b w:val="0"/>
                <w:bCs w:val="0"/>
                <w:color w:val="auto"/>
                <w:sz w:val="21"/>
                <w:szCs w:val="21"/>
                <w:lang w:bidi="ar"/>
              </w:rPr>
              <w:t>的环保实木多层板及松木原木，</w:t>
            </w:r>
            <w:r>
              <w:rPr>
                <w:rStyle w:val="37"/>
                <w:rFonts w:hint="default" w:ascii="Times New Roman" w:hAnsi="Times New Roman" w:eastAsia="宋体" w:cs="Times New Roman"/>
                <w:b w:val="0"/>
                <w:bCs w:val="0"/>
                <w:color w:val="auto"/>
                <w:sz w:val="21"/>
                <w:szCs w:val="21"/>
                <w:lang w:bidi="ar"/>
              </w:rPr>
              <w:t>φ28mm</w:t>
            </w:r>
            <w:r>
              <w:rPr>
                <w:rStyle w:val="40"/>
                <w:rFonts w:hint="default" w:ascii="Times New Roman" w:hAnsi="Times New Roman" w:cs="Times New Roman"/>
                <w:b w:val="0"/>
                <w:bCs w:val="0"/>
                <w:color w:val="auto"/>
                <w:sz w:val="21"/>
                <w:szCs w:val="21"/>
                <w:lang w:bidi="ar"/>
              </w:rPr>
              <w:t>圆棒采用松木原木，材质厚实坚固，纹理均匀细致；梯形稳定结构，攀爬架能扣紧在梯子上，上下调节难度，适用不同发展水平的幼儿。</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2</w:t>
            </w:r>
            <w:r>
              <w:rPr>
                <w:rStyle w:val="40"/>
                <w:rFonts w:hint="default" w:ascii="Times New Roman" w:hAnsi="Times New Roman" w:cs="Times New Roman"/>
                <w:b w:val="0"/>
                <w:bCs w:val="0"/>
                <w:color w:val="auto"/>
                <w:sz w:val="21"/>
                <w:szCs w:val="21"/>
                <w:lang w:bidi="ar"/>
              </w:rPr>
              <w:t>）整体呈立体镂空梯形，两侧立体绿草造型；</w:t>
            </w:r>
            <w:r>
              <w:rPr>
                <w:rStyle w:val="37"/>
                <w:rFonts w:hint="default" w:ascii="Times New Roman" w:hAnsi="Times New Roman" w:eastAsia="宋体" w:cs="Times New Roman"/>
                <w:b w:val="0"/>
                <w:bCs w:val="0"/>
                <w:color w:val="auto"/>
                <w:sz w:val="21"/>
                <w:szCs w:val="21"/>
                <w:lang w:bidi="ar"/>
              </w:rPr>
              <w:t>A</w:t>
            </w:r>
            <w:r>
              <w:rPr>
                <w:rStyle w:val="40"/>
                <w:rFonts w:hint="default" w:ascii="Times New Roman" w:hAnsi="Times New Roman" w:cs="Times New Roman"/>
                <w:b w:val="0"/>
                <w:bCs w:val="0"/>
                <w:color w:val="auto"/>
                <w:sz w:val="21"/>
                <w:szCs w:val="21"/>
                <w:lang w:bidi="ar"/>
              </w:rPr>
              <w:t>面左侧由长度</w:t>
            </w:r>
            <w:r>
              <w:rPr>
                <w:rStyle w:val="37"/>
                <w:rFonts w:hint="default" w:ascii="Times New Roman" w:hAnsi="Times New Roman" w:eastAsia="宋体" w:cs="Times New Roman"/>
                <w:b w:val="0"/>
                <w:bCs w:val="0"/>
                <w:color w:val="auto"/>
                <w:sz w:val="21"/>
                <w:szCs w:val="21"/>
                <w:lang w:bidi="ar"/>
              </w:rPr>
              <w:t>520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圆棒组成的攀爬架，搭配一个木质攀爬点的攀爬架长度</w:t>
            </w:r>
            <w:r>
              <w:rPr>
                <w:rStyle w:val="37"/>
                <w:rFonts w:hint="default" w:ascii="Times New Roman" w:hAnsi="Times New Roman" w:eastAsia="宋体" w:cs="Times New Roman"/>
                <w:b w:val="0"/>
                <w:bCs w:val="0"/>
                <w:color w:val="auto"/>
                <w:sz w:val="21"/>
                <w:szCs w:val="21"/>
                <w:lang w:bidi="ar"/>
              </w:rPr>
              <w:t>1200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可根据孩子年龄任意调整攀岩爬架的高度；右侧为一个秋千设计，座板尺寸</w:t>
            </w:r>
            <w:r>
              <w:rPr>
                <w:rStyle w:val="37"/>
                <w:rFonts w:hint="default" w:ascii="Times New Roman" w:hAnsi="Times New Roman" w:eastAsia="宋体" w:cs="Times New Roman"/>
                <w:b w:val="0"/>
                <w:bCs w:val="0"/>
                <w:color w:val="auto"/>
                <w:sz w:val="21"/>
                <w:szCs w:val="21"/>
                <w:lang w:bidi="ar"/>
              </w:rPr>
              <w:t>400x100x18</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3</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B</w:t>
            </w:r>
            <w:r>
              <w:rPr>
                <w:rStyle w:val="40"/>
                <w:rFonts w:hint="default" w:ascii="Times New Roman" w:hAnsi="Times New Roman" w:cs="Times New Roman"/>
                <w:b w:val="0"/>
                <w:bCs w:val="0"/>
                <w:color w:val="auto"/>
                <w:sz w:val="21"/>
                <w:szCs w:val="21"/>
                <w:lang w:bidi="ar"/>
              </w:rPr>
              <w:t>面右侧由长度</w:t>
            </w:r>
            <w:r>
              <w:rPr>
                <w:rStyle w:val="37"/>
                <w:rFonts w:hint="default" w:ascii="Times New Roman" w:hAnsi="Times New Roman" w:eastAsia="宋体" w:cs="Times New Roman"/>
                <w:b w:val="0"/>
                <w:bCs w:val="0"/>
                <w:color w:val="auto"/>
                <w:sz w:val="21"/>
                <w:szCs w:val="21"/>
                <w:lang w:bidi="ar"/>
              </w:rPr>
              <w:t>520</w:t>
            </w:r>
            <w:r>
              <w:rPr>
                <w:rFonts w:hint="eastAsia"/>
                <w:color w:val="auto"/>
                <w:kern w:val="0"/>
                <w:szCs w:val="21"/>
                <w:lang w:eastAsia="zh-CN" w:bidi="ar"/>
              </w:rPr>
              <w:t>±1</w:t>
            </w:r>
            <w:r>
              <w:rPr>
                <w:rFonts w:hint="eastAsia"/>
                <w:color w:val="auto"/>
                <w:kern w:val="0"/>
                <w:szCs w:val="21"/>
                <w:lang w:val="en-US" w:eastAsia="zh-CN" w:bidi="ar"/>
              </w:rPr>
              <w:t>0</w:t>
            </w:r>
            <w:r>
              <w:rPr>
                <w:rStyle w:val="37"/>
                <w:rFonts w:hint="default" w:ascii="Times New Roman" w:hAnsi="Times New Roman" w:eastAsia="宋体" w:cs="Times New Roman"/>
                <w:b w:val="0"/>
                <w:bCs w:val="0"/>
                <w:color w:val="auto"/>
                <w:sz w:val="21"/>
                <w:szCs w:val="21"/>
                <w:lang w:bidi="ar"/>
              </w:rPr>
              <w:t>mm</w:t>
            </w:r>
            <w:r>
              <w:rPr>
                <w:rStyle w:val="40"/>
                <w:rFonts w:hint="default" w:ascii="Times New Roman" w:hAnsi="Times New Roman" w:cs="Times New Roman"/>
                <w:b w:val="0"/>
                <w:bCs w:val="0"/>
                <w:color w:val="auto"/>
                <w:sz w:val="21"/>
                <w:szCs w:val="21"/>
                <w:lang w:bidi="ar"/>
              </w:rPr>
              <w:t>圆棒组成的攀爬架；左侧为一个网格攀爬，整体倾斜</w:t>
            </w:r>
            <w:r>
              <w:rPr>
                <w:rStyle w:val="37"/>
                <w:rFonts w:hint="default" w:ascii="Times New Roman" w:hAnsi="Times New Roman" w:eastAsia="宋体" w:cs="Times New Roman"/>
                <w:b w:val="0"/>
                <w:bCs w:val="0"/>
                <w:color w:val="auto"/>
                <w:sz w:val="21"/>
                <w:szCs w:val="21"/>
                <w:lang w:bidi="ar"/>
              </w:rPr>
              <w:t>15°</w:t>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br w:type="textWrapping"/>
            </w:r>
            <w:r>
              <w:rPr>
                <w:rStyle w:val="40"/>
                <w:rFonts w:hint="default" w:ascii="Times New Roman" w:hAnsi="Times New Roman" w:cs="Times New Roman"/>
                <w:b w:val="0"/>
                <w:bCs w:val="0"/>
                <w:color w:val="auto"/>
                <w:sz w:val="21"/>
                <w:szCs w:val="21"/>
                <w:lang w:bidi="ar"/>
              </w:rPr>
              <w:t>（</w:t>
            </w:r>
            <w:r>
              <w:rPr>
                <w:rStyle w:val="37"/>
                <w:rFonts w:hint="default" w:ascii="Times New Roman" w:hAnsi="Times New Roman" w:eastAsia="宋体" w:cs="Times New Roman"/>
                <w:b w:val="0"/>
                <w:bCs w:val="0"/>
                <w:color w:val="auto"/>
                <w:sz w:val="21"/>
                <w:szCs w:val="21"/>
                <w:lang w:bidi="ar"/>
              </w:rPr>
              <w:t>4</w:t>
            </w:r>
            <w:r>
              <w:rPr>
                <w:rStyle w:val="40"/>
                <w:rFonts w:hint="default" w:ascii="Times New Roman" w:hAnsi="Times New Roman" w:cs="Times New Roman"/>
                <w:b w:val="0"/>
                <w:bCs w:val="0"/>
                <w:color w:val="auto"/>
                <w:sz w:val="21"/>
                <w:szCs w:val="21"/>
                <w:lang w:bidi="ar"/>
              </w:rPr>
              <w:t>）油漆：采用环保的水性漆，全封闭涂装工艺，漆面光泽高透，颜色均匀。</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eastAsia="宋体"/>
                <w:szCs w:val="21"/>
                <w:lang w:eastAsia="zh-CN"/>
              </w:rPr>
            </w:pPr>
            <w:r>
              <w:rPr>
                <w:kern w:val="0"/>
                <w:szCs w:val="21"/>
                <w:lang w:bidi="ar"/>
              </w:rPr>
              <w:t>养殖</w:t>
            </w:r>
            <w:r>
              <w:rPr>
                <w:rFonts w:hint="eastAsia"/>
                <w:kern w:val="0"/>
                <w:szCs w:val="21"/>
                <w:lang w:eastAsia="zh-CN" w:bidi="ar"/>
              </w:rPr>
              <w:t>棚</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123950" cy="762000"/>
                  <wp:effectExtent l="0" t="0" r="0" b="0"/>
                  <wp:docPr id="2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67"/>
                          <pic:cNvPicPr>
                            <a:picLocks noChangeAspect="1"/>
                          </pic:cNvPicPr>
                        </pic:nvPicPr>
                        <pic:blipFill>
                          <a:blip r:embed="rId24"/>
                          <a:stretch>
                            <a:fillRect/>
                          </a:stretch>
                        </pic:blipFill>
                        <pic:spPr>
                          <a:xfrm>
                            <a:off x="0" y="0"/>
                            <a:ext cx="11239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kern w:val="0"/>
                <w:szCs w:val="21"/>
                <w:lang w:bidi="ar"/>
              </w:rPr>
            </w:pPr>
            <w:r>
              <w:rPr>
                <w:color w:val="auto"/>
                <w:kern w:val="0"/>
                <w:szCs w:val="21"/>
                <w:lang w:bidi="ar"/>
              </w:rPr>
              <w:t>规格200*90*135</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1、外框采用铁件：铁件厚度</w:t>
            </w:r>
            <w:r>
              <w:rPr>
                <w:rFonts w:hint="eastAsia"/>
                <w:color w:val="auto"/>
                <w:kern w:val="0"/>
                <w:szCs w:val="21"/>
                <w:lang w:val="en-US" w:eastAsia="zh-CN" w:bidi="ar"/>
              </w:rPr>
              <w:t>不少于</w:t>
            </w:r>
            <w:r>
              <w:rPr>
                <w:color w:val="auto"/>
                <w:kern w:val="0"/>
                <w:szCs w:val="21"/>
                <w:lang w:bidi="ar"/>
              </w:rPr>
              <w:t>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color w:val="auto"/>
                <w:kern w:val="0"/>
                <w:szCs w:val="21"/>
                <w:lang w:bidi="ar"/>
              </w:rPr>
              <w:br w:type="textWrapping"/>
            </w:r>
            <w:r>
              <w:rPr>
                <w:color w:val="auto"/>
                <w:kern w:val="0"/>
                <w:szCs w:val="21"/>
                <w:lang w:bidi="ar"/>
              </w:rPr>
              <w:t>2、内封板主体材质芬兰木，厚度不小于1.3cm,表面处理：进行压、刨、铣、冲等处理后，表面进行防腐、防蛀处理，后采用原子灰进行三次刮灰抹平，并打磨光滑，表面喷涂三次聚氨脂清漆，</w:t>
            </w:r>
            <w:r>
              <w:rPr>
                <w:color w:val="auto"/>
                <w:kern w:val="0"/>
                <w:szCs w:val="21"/>
                <w:lang w:bidi="ar"/>
              </w:rPr>
              <w:br w:type="textWrapping"/>
            </w:r>
            <w:r>
              <w:rPr>
                <w:color w:val="auto"/>
                <w:kern w:val="0"/>
                <w:szCs w:val="21"/>
                <w:lang w:bidi="ar"/>
              </w:rPr>
              <w:t>3、五金螺丝：采用不锈钢304#子母螺丝，燕尾自攻螺丝采用410#，牢固，不易松动脱落及变形和损坏</w:t>
            </w:r>
          </w:p>
          <w:p>
            <w:pPr>
              <w:widowControl/>
              <w:jc w:val="left"/>
              <w:textAlignment w:val="center"/>
              <w:rPr>
                <w:color w:val="auto"/>
                <w:szCs w:val="21"/>
              </w:rPr>
            </w:pPr>
            <w:r>
              <w:rPr>
                <w:color w:val="auto"/>
                <w:kern w:val="0"/>
                <w:szCs w:val="21"/>
                <w:lang w:bidi="ar"/>
              </w:rPr>
              <w:t>4、产品外表和内表以及儿童手指可触及处无毛刺及尖锐的棱角，油漆采用户外哑光漆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停车棚</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800100" cy="762000"/>
                  <wp:effectExtent l="0" t="0" r="0" b="0"/>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25"/>
                          <a:stretch>
                            <a:fillRect/>
                          </a:stretch>
                        </pic:blipFill>
                        <pic:spPr>
                          <a:xfrm>
                            <a:off x="0" y="0"/>
                            <a:ext cx="80010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规格300*120*225</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主体材质芬兰木，立柱不小于7*7cm,表面处理：进行压、刨、铣、冲等处理后，表面进行防腐、防蛀处理，后采用原子灰进行三次刮灰抹平，并打磨光滑，表面喷涂三次聚氨脂清漆。产品外表和内表以及儿童手指可触及处无毛刺及尖锐的棱角，油漆采用户外哑光漆 。</w:t>
            </w:r>
            <w:r>
              <w:rPr>
                <w:color w:val="auto"/>
                <w:kern w:val="0"/>
                <w:szCs w:val="21"/>
                <w:lang w:bidi="ar"/>
              </w:rPr>
              <w:br w:type="textWrapping"/>
            </w:r>
            <w:r>
              <w:rPr>
                <w:color w:val="auto"/>
                <w:kern w:val="0"/>
                <w:szCs w:val="21"/>
                <w:lang w:bidi="ar"/>
              </w:rPr>
              <w:t>2、顶部采用防雨篷布。</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红绿灯</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314325" cy="762000"/>
                  <wp:effectExtent l="0" t="0" r="9525" b="0"/>
                  <wp:docPr id="2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9"/>
                          <pic:cNvPicPr>
                            <a:picLocks noChangeAspect="1"/>
                          </pic:cNvPicPr>
                        </pic:nvPicPr>
                        <pic:blipFill>
                          <a:blip r:embed="rId26"/>
                          <a:stretch>
                            <a:fillRect/>
                          </a:stretch>
                        </pic:blipFill>
                        <pic:spPr>
                          <a:xfrm>
                            <a:off x="0" y="0"/>
                            <a:ext cx="3143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尺寸：高129</w:t>
            </w:r>
            <w:r>
              <w:rPr>
                <w:rFonts w:hint="eastAsia"/>
                <w:color w:val="auto"/>
                <w:kern w:val="0"/>
                <w:szCs w:val="21"/>
                <w:lang w:eastAsia="zh-CN" w:bidi="ar"/>
              </w:rPr>
              <w:t>±1</w:t>
            </w:r>
            <w:r>
              <w:rPr>
                <w:color w:val="auto"/>
                <w:kern w:val="0"/>
                <w:szCs w:val="21"/>
                <w:lang w:bidi="ar"/>
              </w:rPr>
              <w:t>cm红绿灯约20cm</w:t>
            </w:r>
            <w:r>
              <w:rPr>
                <w:rFonts w:hint="eastAsia"/>
                <w:color w:val="auto"/>
                <w:kern w:val="0"/>
                <w:szCs w:val="21"/>
                <w:lang w:eastAsia="zh-CN" w:bidi="ar"/>
              </w:rPr>
              <w:t>，</w:t>
            </w:r>
            <w:r>
              <w:rPr>
                <w:color w:val="auto"/>
                <w:kern w:val="0"/>
                <w:szCs w:val="21"/>
                <w:lang w:bidi="ar"/>
              </w:rPr>
              <w:t>底座19*19*20</w:t>
            </w:r>
            <w:r>
              <w:rPr>
                <w:rFonts w:hint="eastAsia"/>
                <w:color w:val="auto"/>
                <w:kern w:val="0"/>
                <w:szCs w:val="21"/>
                <w:lang w:eastAsia="zh-CN" w:bidi="ar"/>
              </w:rPr>
              <w:t>±1</w:t>
            </w:r>
            <w:r>
              <w:rPr>
                <w:color w:val="auto"/>
                <w:kern w:val="0"/>
                <w:szCs w:val="21"/>
                <w:lang w:bidi="ar"/>
              </w:rPr>
              <w:t>cm,让孩子在游戏的过程中了解交通规则  从小培养安全出行的意识</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交通标志B</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352425" cy="762000"/>
                  <wp:effectExtent l="0" t="0" r="9525" b="0"/>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27"/>
                          <a:stretch>
                            <a:fillRect/>
                          </a:stretch>
                        </pic:blipFill>
                        <pic:spPr>
                          <a:xfrm>
                            <a:off x="0" y="0"/>
                            <a:ext cx="3524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尺寸：高117</w:t>
            </w:r>
            <w:r>
              <w:rPr>
                <w:rFonts w:hint="eastAsia"/>
                <w:color w:val="auto"/>
                <w:kern w:val="0"/>
                <w:szCs w:val="21"/>
                <w:lang w:eastAsia="zh-CN" w:bidi="ar"/>
              </w:rPr>
              <w:t>±1</w:t>
            </w:r>
            <w:r>
              <w:rPr>
                <w:color w:val="auto"/>
                <w:kern w:val="0"/>
                <w:szCs w:val="21"/>
                <w:lang w:bidi="ar"/>
              </w:rPr>
              <w:t>cm 牌宽约25cm  底座19*19*20</w:t>
            </w:r>
            <w:r>
              <w:rPr>
                <w:rFonts w:hint="eastAsia"/>
                <w:color w:val="auto"/>
                <w:kern w:val="0"/>
                <w:szCs w:val="21"/>
                <w:lang w:eastAsia="zh-CN" w:bidi="ar"/>
              </w:rPr>
              <w:t>±1</w:t>
            </w:r>
            <w:r>
              <w:rPr>
                <w:color w:val="auto"/>
                <w:kern w:val="0"/>
                <w:szCs w:val="21"/>
                <w:lang w:bidi="ar"/>
              </w:rPr>
              <w:t>cm  材质：环保塑料（无毒无味光泽细腻）产品特点：可在场地构建自己的交通标志 让孩子在游戏的过程中认识各种交通标志 了解交通规则  从小培养安全出行的意识</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轮胎桌椅</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809625" cy="762000"/>
                  <wp:effectExtent l="0" t="0" r="9525" b="0"/>
                  <wp:docPr id="1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71"/>
                          <pic:cNvPicPr>
                            <a:picLocks noChangeAspect="1"/>
                          </pic:cNvPicPr>
                        </pic:nvPicPr>
                        <pic:blipFill>
                          <a:blip r:embed="rId28"/>
                          <a:stretch>
                            <a:fillRect/>
                          </a:stretch>
                        </pic:blipFill>
                        <pic:spPr>
                          <a:xfrm>
                            <a:off x="0" y="0"/>
                            <a:ext cx="8096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eastAsia="宋体"/>
                <w:color w:val="auto"/>
                <w:szCs w:val="21"/>
                <w:lang w:val="en-US" w:eastAsia="zh-CN"/>
              </w:rPr>
            </w:pPr>
            <w:r>
              <w:rPr>
                <w:color w:val="auto"/>
                <w:kern w:val="0"/>
                <w:szCs w:val="21"/>
                <w:lang w:bidi="ar"/>
              </w:rPr>
              <w:t>颜色：黑金色，一套五件</w:t>
            </w:r>
            <w:r>
              <w:rPr>
                <w:color w:val="auto"/>
                <w:kern w:val="0"/>
                <w:szCs w:val="21"/>
                <w:lang w:bidi="ar"/>
              </w:rPr>
              <w:br w:type="textWrapping"/>
            </w:r>
            <w:r>
              <w:rPr>
                <w:color w:val="auto"/>
                <w:kern w:val="0"/>
                <w:szCs w:val="21"/>
                <w:lang w:bidi="ar"/>
              </w:rPr>
              <w:t>尺寸：宽度58</w:t>
            </w:r>
            <w:r>
              <w:rPr>
                <w:rFonts w:hint="eastAsia"/>
                <w:color w:val="auto"/>
                <w:kern w:val="0"/>
                <w:szCs w:val="21"/>
                <w:lang w:eastAsia="zh-CN" w:bidi="ar"/>
              </w:rPr>
              <w:t>±1</w:t>
            </w:r>
            <w:r>
              <w:rPr>
                <w:rFonts w:hint="eastAsia"/>
                <w:color w:val="auto"/>
                <w:kern w:val="0"/>
                <w:szCs w:val="21"/>
                <w:lang w:val="en-US" w:eastAsia="zh-CN" w:bidi="ar"/>
              </w:rPr>
              <w:t>cm</w:t>
            </w:r>
            <w:r>
              <w:rPr>
                <w:color w:val="auto"/>
                <w:kern w:val="0"/>
                <w:szCs w:val="21"/>
                <w:lang w:bidi="ar"/>
              </w:rPr>
              <w:t>、高度90</w:t>
            </w:r>
            <w:r>
              <w:rPr>
                <w:rFonts w:hint="eastAsia"/>
                <w:color w:val="auto"/>
                <w:kern w:val="0"/>
                <w:szCs w:val="21"/>
                <w:lang w:eastAsia="zh-CN" w:bidi="ar"/>
              </w:rPr>
              <w:t>±1</w:t>
            </w:r>
            <w:r>
              <w:rPr>
                <w:rFonts w:hint="eastAsia"/>
                <w:color w:val="auto"/>
                <w:kern w:val="0"/>
                <w:szCs w:val="21"/>
                <w:lang w:val="en-US" w:eastAsia="zh-CN" w:bidi="ar"/>
              </w:rPr>
              <w:t>cm</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小车餐桌</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942975" cy="762000"/>
                  <wp:effectExtent l="0" t="0" r="9525" b="0"/>
                  <wp:docPr id="2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72"/>
                          <pic:cNvPicPr>
                            <a:picLocks noChangeAspect="1"/>
                          </pic:cNvPicPr>
                        </pic:nvPicPr>
                        <pic:blipFill>
                          <a:blip r:embed="rId29"/>
                          <a:stretch>
                            <a:fillRect/>
                          </a:stretch>
                        </pic:blipFill>
                        <pic:spPr>
                          <a:xfrm>
                            <a:off x="0" y="0"/>
                            <a:ext cx="94297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规格235*100*120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主体材质芬兰木，立柱不小于7*7cm,表面处理：进行压、刨、铣、冲等处理后，表面进行防腐、防蛀处理，后采用原子灰进行三次刮灰抹平，并打磨光滑，表面喷涂三次聚氨脂清漆。产品外表和内表以及儿童手指可触及处无毛刺及尖锐的棱角，油漆采用户外环保漆 。</w:t>
            </w:r>
            <w:r>
              <w:rPr>
                <w:color w:val="auto"/>
                <w:kern w:val="0"/>
                <w:szCs w:val="21"/>
                <w:lang w:bidi="ar"/>
              </w:rPr>
              <w:br w:type="textWrapping"/>
            </w:r>
            <w:r>
              <w:rPr>
                <w:color w:val="auto"/>
                <w:kern w:val="0"/>
                <w:szCs w:val="21"/>
                <w:lang w:bidi="ar"/>
              </w:rPr>
              <w:t>2、顶部带防雨篷布。</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茅草休闲椅</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600075" cy="762000"/>
                  <wp:effectExtent l="0" t="0" r="9525" b="0"/>
                  <wp:docPr id="3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IMG_273"/>
                          <pic:cNvPicPr>
                            <a:picLocks noChangeAspect="1"/>
                          </pic:cNvPicPr>
                        </pic:nvPicPr>
                        <pic:blipFill>
                          <a:blip r:embed="rId30"/>
                          <a:stretch>
                            <a:fillRect/>
                          </a:stretch>
                        </pic:blipFill>
                        <pic:spPr>
                          <a:xfrm>
                            <a:off x="0" y="0"/>
                            <a:ext cx="60007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kern w:val="0"/>
                <w:szCs w:val="21"/>
                <w:lang w:bidi="ar"/>
              </w:rPr>
            </w:pPr>
            <w:r>
              <w:rPr>
                <w:color w:val="auto"/>
                <w:kern w:val="0"/>
                <w:szCs w:val="21"/>
                <w:lang w:bidi="ar"/>
              </w:rPr>
              <w:t>规格：180*180*240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1、主体材质芬兰木，主立柱：φ直径15</w:t>
            </w:r>
            <w:r>
              <w:rPr>
                <w:rFonts w:hint="eastAsia"/>
                <w:color w:val="auto"/>
                <w:kern w:val="0"/>
                <w:szCs w:val="21"/>
                <w:lang w:eastAsia="zh-CN" w:bidi="ar"/>
              </w:rPr>
              <w:t>±</w:t>
            </w:r>
            <w:r>
              <w:rPr>
                <w:rFonts w:hint="eastAsia"/>
                <w:color w:val="auto"/>
                <w:kern w:val="0"/>
                <w:szCs w:val="21"/>
                <w:lang w:val="en-US" w:eastAsia="zh-CN" w:bidi="ar"/>
              </w:rPr>
              <w:t>0.5</w:t>
            </w:r>
            <w:r>
              <w:rPr>
                <w:color w:val="auto"/>
                <w:kern w:val="0"/>
                <w:szCs w:val="21"/>
                <w:lang w:bidi="ar"/>
              </w:rPr>
              <w:t>cm，坐面厚度：2.7</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表面处理：进行压、刨、铣、冲等处理后，表面进行防腐、防蛀处理，后采用原子灰进行三次刮灰抹平，并打磨光滑，表面喷涂三次聚氨脂清漆。提供休闲桌椅（检测内容须含：苯、甲苯、二甲苯、总挥发性有机化合物(TVOC)、表面涂层可迁移元素、可接触的实木部件中五氯苯酚），具有（CMA资质）的检测机构出具的合格检测报告复印件盖公章。</w:t>
            </w:r>
            <w:r>
              <w:rPr>
                <w:color w:val="auto"/>
                <w:kern w:val="0"/>
                <w:szCs w:val="21"/>
                <w:lang w:bidi="ar"/>
              </w:rPr>
              <w:br w:type="textWrapping"/>
            </w:r>
            <w:r>
              <w:rPr>
                <w:color w:val="auto"/>
                <w:kern w:val="0"/>
                <w:szCs w:val="21"/>
                <w:lang w:bidi="ar"/>
              </w:rPr>
              <w:t>2、茅草顶：采用高分子树脂仿真茅草用高分子塑料成分经模具压制成型，克服了天然茅草的易腐烂、易褪色。</w:t>
            </w:r>
          </w:p>
          <w:p>
            <w:pPr>
              <w:widowControl/>
              <w:jc w:val="left"/>
              <w:textAlignment w:val="center"/>
              <w:rPr>
                <w:color w:val="auto"/>
                <w:kern w:val="0"/>
                <w:szCs w:val="21"/>
                <w:lang w:bidi="ar"/>
              </w:rPr>
            </w:pPr>
            <w:r>
              <w:rPr>
                <w:color w:val="auto"/>
                <w:kern w:val="0"/>
                <w:szCs w:val="21"/>
                <w:lang w:bidi="ar"/>
              </w:rPr>
              <w:t>3、铁件：顶部采用φ3.2</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cm圆管钢架结构，厚度</w:t>
            </w:r>
            <w:r>
              <w:rPr>
                <w:rFonts w:hint="eastAsia"/>
                <w:color w:val="auto"/>
                <w:kern w:val="0"/>
                <w:szCs w:val="21"/>
                <w:lang w:val="en-US" w:eastAsia="zh-CN" w:bidi="ar"/>
              </w:rPr>
              <w:t>不少于</w:t>
            </w:r>
            <w:r>
              <w:rPr>
                <w:color w:val="auto"/>
                <w:kern w:val="0"/>
                <w:szCs w:val="21"/>
                <w:lang w:bidi="ar"/>
              </w:rPr>
              <w:t>2mm镀锌钢管，经酸洗处理，表面光滑，抗紫外光线能力强，色彩鲜艳，不易脱落，耐腐蚀；</w:t>
            </w:r>
          </w:p>
          <w:p>
            <w:pPr>
              <w:widowControl/>
              <w:jc w:val="left"/>
              <w:textAlignment w:val="center"/>
              <w:rPr>
                <w:color w:val="auto"/>
                <w:kern w:val="0"/>
                <w:szCs w:val="21"/>
                <w:lang w:bidi="ar"/>
              </w:rPr>
            </w:pPr>
            <w:r>
              <w:rPr>
                <w:color w:val="auto"/>
                <w:kern w:val="0"/>
                <w:szCs w:val="21"/>
                <w:lang w:bidi="ar"/>
              </w:rPr>
              <w:t>3、五金螺丝：采用不锈钢304#子母螺丝，燕尾自攻螺丝采用410#，牢固，不易松动脱落及变形和损坏；</w:t>
            </w:r>
          </w:p>
          <w:p>
            <w:pPr>
              <w:widowControl/>
              <w:jc w:val="left"/>
              <w:textAlignment w:val="center"/>
              <w:rPr>
                <w:color w:val="auto"/>
                <w:szCs w:val="21"/>
              </w:rPr>
            </w:pPr>
            <w:r>
              <w:rPr>
                <w:color w:val="auto"/>
                <w:kern w:val="0"/>
                <w:szCs w:val="21"/>
                <w:lang w:bidi="ar"/>
              </w:rPr>
              <w:t>4、产品外表和内表以及儿童手指可触及处无毛刺及尖锐的棱角，油漆采用户外哑光漆。</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桌子</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733425" cy="762000"/>
                  <wp:effectExtent l="0" t="0" r="9525" b="0"/>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31"/>
                          <a:stretch>
                            <a:fillRect/>
                          </a:stretch>
                        </pic:blipFill>
                        <pic:spPr>
                          <a:xfrm>
                            <a:off x="0" y="0"/>
                            <a:ext cx="7334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桌子规格：110*150*54</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1、主体材质：芬兰木，立柱：4*9.5</w:t>
            </w:r>
            <w:r>
              <w:rPr>
                <w:rFonts w:hint="eastAsia"/>
                <w:color w:val="auto"/>
                <w:kern w:val="0"/>
                <w:szCs w:val="21"/>
                <w:lang w:eastAsia="zh-CN" w:bidi="ar"/>
              </w:rPr>
              <w:t>±</w:t>
            </w:r>
            <w:r>
              <w:rPr>
                <w:rFonts w:hint="eastAsia"/>
                <w:color w:val="auto"/>
                <w:kern w:val="0"/>
                <w:szCs w:val="21"/>
                <w:lang w:val="en-US" w:eastAsia="zh-CN" w:bidi="ar"/>
              </w:rPr>
              <w:t>0.5</w:t>
            </w:r>
            <w:r>
              <w:rPr>
                <w:color w:val="auto"/>
                <w:kern w:val="0"/>
                <w:szCs w:val="21"/>
                <w:lang w:bidi="ar"/>
              </w:rPr>
              <w:t>cm，主板厚度：2.7</w:t>
            </w:r>
            <w:r>
              <w:rPr>
                <w:rFonts w:hint="eastAsia"/>
                <w:color w:val="auto"/>
                <w:kern w:val="0"/>
                <w:szCs w:val="21"/>
                <w:lang w:eastAsia="zh-CN" w:bidi="ar"/>
              </w:rPr>
              <w:t>±</w:t>
            </w:r>
            <w:r>
              <w:rPr>
                <w:rFonts w:hint="eastAsia"/>
                <w:color w:val="auto"/>
                <w:kern w:val="0"/>
                <w:szCs w:val="21"/>
                <w:lang w:val="en-US" w:eastAsia="zh-CN" w:bidi="ar"/>
              </w:rPr>
              <w:t>0.5</w:t>
            </w:r>
            <w:r>
              <w:rPr>
                <w:color w:val="auto"/>
                <w:kern w:val="0"/>
                <w:szCs w:val="21"/>
                <w:lang w:bidi="ar"/>
              </w:rPr>
              <w:t>cm，表面处理：进行压、刨、铣、冲等处理后，表面进行防腐、防蛀处理，后采用原子灰进行三次刮灰抹平，并打磨光滑，表面喷涂三次聚氨脂清漆。</w:t>
            </w:r>
            <w:r>
              <w:rPr>
                <w:color w:val="auto"/>
                <w:kern w:val="0"/>
                <w:szCs w:val="21"/>
                <w:lang w:bidi="ar"/>
              </w:rPr>
              <w:br w:type="textWrapping"/>
            </w:r>
            <w:r>
              <w:rPr>
                <w:color w:val="auto"/>
                <w:kern w:val="0"/>
                <w:szCs w:val="21"/>
                <w:lang w:bidi="ar"/>
              </w:rPr>
              <w:t>2、螺丝均采用不锈钢304#材质防盗螺丝，并采用防松螺母连接，牢固可靠，不易松动脱落及变形和损坏。</w:t>
            </w:r>
            <w:r>
              <w:rPr>
                <w:color w:val="auto"/>
                <w:kern w:val="0"/>
                <w:szCs w:val="21"/>
                <w:lang w:bidi="ar"/>
              </w:rPr>
              <w:br w:type="textWrapping"/>
            </w:r>
            <w:r>
              <w:rPr>
                <w:color w:val="auto"/>
                <w:kern w:val="0"/>
                <w:szCs w:val="21"/>
                <w:lang w:bidi="ar"/>
              </w:rPr>
              <w:t>3、产品外表和内表以及儿童手指可触及处无毛刺及尖锐的棱角，油漆采用户外哑光漆 。</w:t>
            </w:r>
            <w:r>
              <w:rPr>
                <w:color w:val="auto"/>
                <w:kern w:val="0"/>
                <w:szCs w:val="21"/>
                <w:lang w:bidi="ar"/>
              </w:rPr>
              <w:br w:type="textWrapping"/>
            </w:r>
            <w:r>
              <w:rPr>
                <w:color w:val="auto"/>
                <w:kern w:val="0"/>
                <w:szCs w:val="21"/>
                <w:lang w:bidi="ar"/>
              </w:rPr>
              <w:t>4、遮阳伞：伞布直径2.7m，高度2.55m，伞布采用涤纶伞布，遮阳防雨防紫外线。铝合金骨架结实耐用，增强稳定性。</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张</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厨房组合</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647825" cy="762000"/>
                  <wp:effectExtent l="0" t="0" r="9525" b="0"/>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32"/>
                          <a:stretch>
                            <a:fillRect/>
                          </a:stretch>
                        </pic:blipFill>
                        <pic:spPr>
                          <a:xfrm>
                            <a:off x="0" y="0"/>
                            <a:ext cx="16478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总尺寸：580*80*200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厨房操作台1个，厨房处理台1个，d小冰箱一个</w:t>
            </w:r>
            <w:r>
              <w:rPr>
                <w:color w:val="auto"/>
                <w:kern w:val="0"/>
                <w:szCs w:val="21"/>
                <w:lang w:bidi="ar"/>
              </w:rPr>
              <w:br w:type="textWrapping"/>
            </w:r>
            <w:r>
              <w:rPr>
                <w:color w:val="auto"/>
                <w:kern w:val="0"/>
                <w:szCs w:val="21"/>
                <w:lang w:bidi="ar"/>
              </w:rPr>
              <w:t>不含灶台</w:t>
            </w:r>
            <w:r>
              <w:rPr>
                <w:color w:val="auto"/>
                <w:kern w:val="0"/>
                <w:szCs w:val="21"/>
                <w:lang w:bidi="ar"/>
              </w:rPr>
              <w:br w:type="textWrapping"/>
            </w:r>
            <w:r>
              <w:rPr>
                <w:color w:val="auto"/>
                <w:kern w:val="0"/>
                <w:szCs w:val="21"/>
                <w:lang w:bidi="ar"/>
              </w:rPr>
              <w:t>1、主体材质：芬兰木，立柱：9.5*9.5</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cm，主板厚度2.7</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cm，辅助木板厚度</w:t>
            </w:r>
            <w:r>
              <w:rPr>
                <w:rFonts w:hint="eastAsia"/>
                <w:color w:val="auto"/>
                <w:kern w:val="0"/>
                <w:szCs w:val="21"/>
                <w:lang w:val="en-US" w:eastAsia="zh-CN" w:bidi="ar"/>
              </w:rPr>
              <w:t>不少于</w:t>
            </w:r>
            <w:r>
              <w:rPr>
                <w:color w:val="auto"/>
                <w:kern w:val="0"/>
                <w:szCs w:val="21"/>
                <w:lang w:bidi="ar"/>
              </w:rPr>
              <w:t>2cm，表面处理：进行压、刨、铣、冲等处理后，表面进行防腐、防蛀处理，后采用原子灰进行三次刮灰抹平，并打磨光滑，表面喷涂三次聚氨脂清漆。</w:t>
            </w:r>
            <w:r>
              <w:rPr>
                <w:color w:val="auto"/>
                <w:kern w:val="0"/>
                <w:szCs w:val="21"/>
                <w:lang w:bidi="ar"/>
              </w:rPr>
              <w:br w:type="textWrapping"/>
            </w:r>
            <w:r>
              <w:rPr>
                <w:color w:val="auto"/>
                <w:kern w:val="0"/>
                <w:szCs w:val="21"/>
                <w:lang w:bidi="ar"/>
              </w:rPr>
              <w:t>2、涂鸦板：采用厚度不少于0.4cm的抗倍特板，可用于涂鸦；</w:t>
            </w:r>
            <w:r>
              <w:rPr>
                <w:color w:val="auto"/>
                <w:kern w:val="0"/>
                <w:szCs w:val="21"/>
                <w:lang w:bidi="ar"/>
              </w:rPr>
              <w:br w:type="textWrapping"/>
            </w:r>
            <w:r>
              <w:rPr>
                <w:color w:val="auto"/>
                <w:kern w:val="0"/>
                <w:szCs w:val="21"/>
                <w:lang w:bidi="ar"/>
              </w:rPr>
              <w:t>3、五金螺丝：采用不锈钢304#子母螺丝，燕尾自攻螺丝采用410#，牢固，不易松动脱落及变形和损坏。</w:t>
            </w:r>
            <w:r>
              <w:rPr>
                <w:color w:val="auto"/>
                <w:kern w:val="0"/>
                <w:szCs w:val="21"/>
                <w:lang w:bidi="ar"/>
              </w:rPr>
              <w:br w:type="textWrapping"/>
            </w:r>
            <w:r>
              <w:rPr>
                <w:color w:val="auto"/>
                <w:kern w:val="0"/>
                <w:szCs w:val="21"/>
                <w:lang w:bidi="ar"/>
              </w:rPr>
              <w:t>4、产品外表和内表以及儿童手指可触及处无毛刺及尖锐的棱角，油漆采用户外哑光漆 。</w:t>
            </w:r>
            <w:r>
              <w:rPr>
                <w:color w:val="auto"/>
                <w:kern w:val="0"/>
                <w:szCs w:val="21"/>
                <w:lang w:bidi="ar"/>
              </w:rPr>
              <w:br w:type="textWrapping"/>
            </w:r>
            <w:r>
              <w:rPr>
                <w:color w:val="auto"/>
                <w:kern w:val="0"/>
                <w:szCs w:val="21"/>
                <w:lang w:bidi="ar"/>
              </w:rPr>
              <w:t>提供所投产品户外厨房组合（检测内容须含：增塑剂含量、易燃性能、特定元的迁移钡、铅、镉、锑、硒、铬、汞、砷含量）具有（CMA资质）的检测机构出具的合格检测报告复印件盖公章。</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灶台</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638300" cy="762000"/>
                  <wp:effectExtent l="0" t="0" r="0" b="0"/>
                  <wp:docPr id="3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76"/>
                          <pic:cNvPicPr>
                            <a:picLocks noChangeAspect="1"/>
                          </pic:cNvPicPr>
                        </pic:nvPicPr>
                        <pic:blipFill>
                          <a:blip r:embed="rId33"/>
                          <a:stretch>
                            <a:fillRect/>
                          </a:stretch>
                        </pic:blipFill>
                        <pic:spPr>
                          <a:xfrm>
                            <a:off x="0" y="0"/>
                            <a:ext cx="163830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规格灶台规格：100*83*80</w:t>
            </w:r>
            <w:r>
              <w:rPr>
                <w:rFonts w:hint="eastAsia"/>
                <w:color w:val="auto"/>
                <w:kern w:val="0"/>
                <w:szCs w:val="21"/>
                <w:lang w:eastAsia="zh-CN" w:bidi="ar"/>
              </w:rPr>
              <w:t>±1</w:t>
            </w:r>
            <w:r>
              <w:rPr>
                <w:color w:val="auto"/>
                <w:kern w:val="0"/>
                <w:szCs w:val="21"/>
                <w:lang w:bidi="ar"/>
              </w:rPr>
              <w:t>cm；烟囱规格85*20*210</w:t>
            </w:r>
            <w:r>
              <w:rPr>
                <w:rFonts w:hint="eastAsia"/>
                <w:color w:val="auto"/>
                <w:kern w:val="0"/>
                <w:szCs w:val="21"/>
                <w:lang w:eastAsia="zh-CN" w:bidi="ar"/>
              </w:rPr>
              <w:t>±1</w:t>
            </w:r>
            <w:r>
              <w:rPr>
                <w:color w:val="auto"/>
                <w:kern w:val="0"/>
                <w:szCs w:val="21"/>
                <w:lang w:bidi="ar"/>
              </w:rPr>
              <w:t>cm，材质：青砖+水泥</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项</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方形光影小车</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857250" cy="762000"/>
                  <wp:effectExtent l="0" t="0" r="0" b="0"/>
                  <wp:docPr id="3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IMG_277"/>
                          <pic:cNvPicPr>
                            <a:picLocks noChangeAspect="1"/>
                          </pic:cNvPicPr>
                        </pic:nvPicPr>
                        <pic:blipFill>
                          <a:blip r:embed="rId34"/>
                          <a:stretch>
                            <a:fillRect/>
                          </a:stretch>
                        </pic:blipFill>
                        <pic:spPr>
                          <a:xfrm>
                            <a:off x="0" y="0"/>
                            <a:ext cx="8572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kern w:val="0"/>
                <w:szCs w:val="21"/>
                <w:lang w:bidi="ar"/>
              </w:rPr>
            </w:pPr>
            <w:r>
              <w:rPr>
                <w:color w:val="auto"/>
                <w:kern w:val="0"/>
                <w:szCs w:val="21"/>
                <w:lang w:bidi="ar"/>
              </w:rPr>
              <w:t>规格170*120*155</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木头主体材质芬兰木，厚度2.8cm；表面处理：进行压、刨、铣、冲等处理后，表面进行防腐、防蛀处理，后采用原子灰进行三次刮灰抹平，并打磨光滑，表面喷涂三次聚氨脂清漆，五金螺丝：采用不锈钢304#子母螺丝，燕尾自攻螺丝采用410#，牢固，不易松动脱落及变形和损坏。产品外表和内表以及儿童手指可触及处无毛刺及尖锐的棱角，油漆采用户外哑光漆 。</w:t>
            </w:r>
          </w:p>
          <w:p>
            <w:pPr>
              <w:widowControl/>
              <w:jc w:val="left"/>
              <w:textAlignment w:val="center"/>
              <w:rPr>
                <w:color w:val="auto"/>
                <w:kern w:val="0"/>
                <w:szCs w:val="21"/>
                <w:lang w:bidi="ar"/>
              </w:rPr>
            </w:pPr>
            <w:r>
              <w:rPr>
                <w:color w:val="auto"/>
                <w:kern w:val="0"/>
                <w:szCs w:val="21"/>
                <w:lang w:bidi="ar"/>
              </w:rPr>
              <w:t>2、铁件：内部框架用镀锌钢管焊接，框架为</w:t>
            </w:r>
            <w:r>
              <w:rPr>
                <w:rFonts w:hint="eastAsia"/>
                <w:color w:val="auto"/>
                <w:kern w:val="0"/>
                <w:szCs w:val="21"/>
                <w:lang w:val="en-US" w:eastAsia="zh-CN" w:bidi="ar"/>
              </w:rPr>
              <w:t>不少于</w:t>
            </w:r>
            <w:r>
              <w:rPr>
                <w:color w:val="auto"/>
                <w:kern w:val="0"/>
                <w:szCs w:val="21"/>
                <w:lang w:bidi="ar"/>
              </w:rPr>
              <w:t>3*5cm方管。镀锌钢管厚度</w:t>
            </w:r>
            <w:r>
              <w:rPr>
                <w:rFonts w:hint="eastAsia"/>
                <w:color w:val="auto"/>
                <w:kern w:val="0"/>
                <w:szCs w:val="21"/>
                <w:lang w:val="en-US" w:eastAsia="zh-CN" w:bidi="ar"/>
              </w:rPr>
              <w:t>不少于</w:t>
            </w:r>
            <w:r>
              <w:rPr>
                <w:color w:val="auto"/>
                <w:kern w:val="0"/>
                <w:szCs w:val="21"/>
                <w:lang w:bidi="ar"/>
              </w:rPr>
              <w:t>2毫米，表面经过处理，耐腐蚀性强，表面光滑，抗紫外光能力强，色彩鲜艳，不易脱落，耐腐蚀；</w:t>
            </w:r>
          </w:p>
          <w:p>
            <w:pPr>
              <w:widowControl/>
              <w:jc w:val="left"/>
              <w:textAlignment w:val="center"/>
              <w:rPr>
                <w:color w:val="auto"/>
                <w:kern w:val="0"/>
                <w:szCs w:val="21"/>
                <w:lang w:bidi="ar"/>
              </w:rPr>
            </w:pPr>
            <w:r>
              <w:rPr>
                <w:color w:val="auto"/>
                <w:kern w:val="0"/>
                <w:szCs w:val="21"/>
                <w:lang w:bidi="ar"/>
              </w:rPr>
              <w:t>3、透明部分采用</w:t>
            </w:r>
            <w:r>
              <w:rPr>
                <w:rFonts w:hint="eastAsia"/>
                <w:color w:val="auto"/>
                <w:kern w:val="0"/>
                <w:szCs w:val="21"/>
                <w:lang w:val="en-US" w:eastAsia="zh-CN" w:bidi="ar"/>
              </w:rPr>
              <w:t>不少于</w:t>
            </w:r>
            <w:r>
              <w:rPr>
                <w:color w:val="auto"/>
                <w:kern w:val="0"/>
                <w:szCs w:val="21"/>
                <w:lang w:bidi="ar"/>
              </w:rPr>
              <w:t>4mm厚耐力板，特性:耐撞击、坚韧安全；</w:t>
            </w:r>
          </w:p>
          <w:p>
            <w:pPr>
              <w:widowControl/>
              <w:jc w:val="left"/>
              <w:textAlignment w:val="center"/>
              <w:rPr>
                <w:color w:val="auto"/>
                <w:szCs w:val="21"/>
              </w:rPr>
            </w:pPr>
            <w:r>
              <w:rPr>
                <w:color w:val="auto"/>
                <w:kern w:val="0"/>
                <w:szCs w:val="21"/>
                <w:lang w:bidi="ar"/>
              </w:rPr>
              <w:t xml:space="preserve">4、五金螺丝：采用不锈钢304#子母螺丝，燕尾自攻螺丝采用410#，牢固，不易松动脱落及变形和损坏 。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29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户外休闲秋千椅</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704850" cy="762000"/>
                  <wp:effectExtent l="0" t="0" r="0" b="0"/>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35"/>
                          <a:stretch>
                            <a:fillRect/>
                          </a:stretch>
                        </pic:blipFill>
                        <pic:spPr>
                          <a:xfrm>
                            <a:off x="0" y="0"/>
                            <a:ext cx="7048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规格174*105*180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1、木头材质芬兰木，表面处理：进行压、刨、铣、冲等处理后，表面进行防腐、防蛀处理，后采用原子灰进行三次刮灰抹平，并打磨光滑，表面喷涂三次聚氨脂清漆，</w:t>
            </w:r>
            <w:r>
              <w:rPr>
                <w:color w:val="auto"/>
                <w:kern w:val="0"/>
                <w:szCs w:val="21"/>
                <w:lang w:bidi="ar"/>
              </w:rPr>
              <w:br w:type="textWrapping"/>
            </w:r>
            <w:r>
              <w:rPr>
                <w:color w:val="auto"/>
                <w:kern w:val="0"/>
                <w:szCs w:val="21"/>
                <w:lang w:bidi="ar"/>
              </w:rPr>
              <w:t>2、五金螺丝：采用不锈钢304#子母螺丝，燕尾自攻螺丝采用410#，牢固，不易松动脱落及变形和损坏。</w:t>
            </w:r>
            <w:r>
              <w:rPr>
                <w:color w:val="auto"/>
                <w:kern w:val="0"/>
                <w:szCs w:val="21"/>
                <w:lang w:bidi="ar"/>
              </w:rPr>
              <w:br w:type="textWrapping"/>
            </w:r>
            <w:r>
              <w:rPr>
                <w:color w:val="auto"/>
                <w:kern w:val="0"/>
                <w:szCs w:val="21"/>
                <w:lang w:bidi="ar"/>
              </w:rPr>
              <w:t>3、产品外表和内表以及儿童手指可触及处无毛刺及尖锐的棱角，油漆采用户外哑光漆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30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桥</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962025" cy="762000"/>
                  <wp:effectExtent l="0" t="0" r="9525" b="0"/>
                  <wp:docPr id="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IMG_279"/>
                          <pic:cNvPicPr>
                            <a:picLocks noChangeAspect="1"/>
                          </pic:cNvPicPr>
                        </pic:nvPicPr>
                        <pic:blipFill>
                          <a:blip r:embed="rId36"/>
                          <a:stretch>
                            <a:fillRect/>
                          </a:stretch>
                        </pic:blipFill>
                        <pic:spPr>
                          <a:xfrm>
                            <a:off x="0" y="0"/>
                            <a:ext cx="9620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规格160*100*110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1、木头材质芬兰木，立柱采用9.5*9.5</w:t>
            </w:r>
            <w:r>
              <w:rPr>
                <w:rFonts w:hint="eastAsia"/>
                <w:color w:val="auto"/>
                <w:kern w:val="0"/>
                <w:szCs w:val="21"/>
                <w:lang w:eastAsia="zh-CN" w:bidi="ar"/>
              </w:rPr>
              <w:t>±1</w:t>
            </w:r>
            <w:r>
              <w:rPr>
                <w:color w:val="auto"/>
                <w:kern w:val="0"/>
                <w:szCs w:val="21"/>
                <w:lang w:bidi="ar"/>
              </w:rPr>
              <w:t>cm，底板厚度2.7</w:t>
            </w:r>
            <w:r>
              <w:rPr>
                <w:rFonts w:hint="eastAsia"/>
                <w:color w:val="auto"/>
                <w:kern w:val="0"/>
                <w:szCs w:val="21"/>
                <w:lang w:eastAsia="zh-CN" w:bidi="ar"/>
              </w:rPr>
              <w:t>±</w:t>
            </w:r>
            <w:r>
              <w:rPr>
                <w:rFonts w:hint="eastAsia"/>
                <w:color w:val="auto"/>
                <w:kern w:val="0"/>
                <w:szCs w:val="21"/>
                <w:lang w:val="en-US" w:eastAsia="zh-CN" w:bidi="ar"/>
              </w:rPr>
              <w:t>0.1</w:t>
            </w:r>
            <w:r>
              <w:rPr>
                <w:color w:val="auto"/>
                <w:kern w:val="0"/>
                <w:szCs w:val="21"/>
                <w:lang w:bidi="ar"/>
              </w:rPr>
              <w:t>cm，表面处理：进行压、刨、铣、冲等处理后，表面进行防腐、防蛀处理，后采用原子灰进行三次刮灰抹平，并打磨光滑，表面喷涂三次聚氨脂清漆，</w:t>
            </w:r>
            <w:r>
              <w:rPr>
                <w:color w:val="auto"/>
                <w:kern w:val="0"/>
                <w:szCs w:val="21"/>
                <w:lang w:bidi="ar"/>
              </w:rPr>
              <w:br w:type="textWrapping"/>
            </w:r>
            <w:r>
              <w:rPr>
                <w:color w:val="auto"/>
                <w:kern w:val="0"/>
                <w:szCs w:val="21"/>
                <w:lang w:bidi="ar"/>
              </w:rPr>
              <w:t>2、底部采用铁框架结构规格4*8cm，厚度不少于2mm镀锌钢管，经酸洗处理，后经特殊工艺除锈，抛砂，表面光滑，抗紫外光能力强，色彩鲜艳，不易脱落，耐腐蚀；</w:t>
            </w:r>
            <w:r>
              <w:rPr>
                <w:color w:val="auto"/>
                <w:kern w:val="0"/>
                <w:szCs w:val="21"/>
                <w:lang w:bidi="ar"/>
              </w:rPr>
              <w:br w:type="textWrapping"/>
            </w:r>
            <w:r>
              <w:rPr>
                <w:color w:val="auto"/>
                <w:kern w:val="0"/>
                <w:szCs w:val="21"/>
                <w:lang w:bidi="ar"/>
              </w:rPr>
              <w:t>2、五金螺丝：采用不锈钢304#子母螺丝，燕尾自攻螺丝采用410#，牢固，不易松动脱落及变形和损坏。</w:t>
            </w:r>
            <w:r>
              <w:rPr>
                <w:color w:val="auto"/>
                <w:kern w:val="0"/>
                <w:szCs w:val="21"/>
                <w:lang w:bidi="ar"/>
              </w:rPr>
              <w:br w:type="textWrapping"/>
            </w:r>
            <w:r>
              <w:rPr>
                <w:color w:val="auto"/>
                <w:kern w:val="0"/>
                <w:szCs w:val="21"/>
                <w:lang w:bidi="ar"/>
              </w:rPr>
              <w:t>3、产品外表和内表以及儿童手指可触及处无毛刺及尖锐的棱角，油漆采用户外哑光漆 。</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个</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szCs w:val="21"/>
              </w:rPr>
              <w:t>31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斜坡</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266825" cy="762000"/>
                  <wp:effectExtent l="0" t="0" r="9525" b="0"/>
                  <wp:docPr id="4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IMG_281"/>
                          <pic:cNvPicPr>
                            <a:picLocks noChangeAspect="1"/>
                          </pic:cNvPicPr>
                        </pic:nvPicPr>
                        <pic:blipFill>
                          <a:blip r:embed="rId37"/>
                          <a:stretch>
                            <a:fillRect/>
                          </a:stretch>
                        </pic:blipFill>
                        <pic:spPr>
                          <a:xfrm>
                            <a:off x="0" y="0"/>
                            <a:ext cx="1266825"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爬绳：330cm</w:t>
            </w:r>
            <w:r>
              <w:rPr>
                <w:rFonts w:hint="eastAsia"/>
                <w:color w:val="auto"/>
                <w:kern w:val="0"/>
                <w:szCs w:val="21"/>
                <w:lang w:eastAsia="zh-CN" w:bidi="ar"/>
              </w:rPr>
              <w:t>±1</w:t>
            </w:r>
            <w:r>
              <w:rPr>
                <w:color w:val="auto"/>
                <w:kern w:val="0"/>
                <w:szCs w:val="21"/>
                <w:lang w:bidi="ar"/>
              </w:rPr>
              <w:t>（2根）</w:t>
            </w:r>
            <w:r>
              <w:rPr>
                <w:color w:val="auto"/>
                <w:kern w:val="0"/>
                <w:szCs w:val="21"/>
                <w:lang w:bidi="ar"/>
              </w:rPr>
              <w:br w:type="textWrapping"/>
            </w:r>
            <w:r>
              <w:rPr>
                <w:color w:val="auto"/>
                <w:kern w:val="0"/>
                <w:szCs w:val="21"/>
                <w:lang w:bidi="ar"/>
              </w:rPr>
              <w:t>120cm高滑梯：320cm</w:t>
            </w:r>
            <w:r>
              <w:rPr>
                <w:color w:val="auto"/>
                <w:kern w:val="0"/>
                <w:szCs w:val="21"/>
                <w:lang w:bidi="ar"/>
              </w:rPr>
              <w:br w:type="textWrapping"/>
            </w:r>
            <w:r>
              <w:rPr>
                <w:color w:val="auto"/>
                <w:kern w:val="0"/>
                <w:szCs w:val="21"/>
                <w:lang w:bidi="ar"/>
              </w:rPr>
              <w:t>攀爬点：34个</w:t>
            </w:r>
            <w:r>
              <w:rPr>
                <w:color w:val="auto"/>
                <w:kern w:val="0"/>
                <w:szCs w:val="21"/>
                <w:lang w:bidi="ar"/>
              </w:rPr>
              <w:br w:type="textWrapping"/>
            </w:r>
            <w:r>
              <w:rPr>
                <w:color w:val="auto"/>
                <w:kern w:val="0"/>
                <w:szCs w:val="21"/>
                <w:lang w:bidi="ar"/>
              </w:rPr>
              <w:t>1、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color w:val="auto"/>
                <w:kern w:val="0"/>
                <w:szCs w:val="21"/>
                <w:lang w:bidi="ar"/>
              </w:rPr>
              <w:br w:type="textWrapping"/>
            </w:r>
            <w:r>
              <w:rPr>
                <w:color w:val="auto"/>
                <w:kern w:val="0"/>
                <w:szCs w:val="21"/>
                <w:lang w:bidi="ar"/>
              </w:rPr>
              <w:t>2、绳网：全部采用航海船用缆绳，直径不小于16mm，中芯为镀铬钢丝外套胶管，外层再覆以变色锦纶编织绳，强度大，抗磨损，耐腐蚀，安全性能好。</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szCs w:val="21"/>
              </w:rPr>
              <w:t>32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全龄环</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257300" cy="762000"/>
                  <wp:effectExtent l="0" t="0" r="0" b="0"/>
                  <wp:docPr id="4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descr="IMG_282"/>
                          <pic:cNvPicPr>
                            <a:picLocks noChangeAspect="1"/>
                          </pic:cNvPicPr>
                        </pic:nvPicPr>
                        <pic:blipFill>
                          <a:blip r:embed="rId38"/>
                          <a:stretch>
                            <a:fillRect/>
                          </a:stretch>
                        </pic:blipFill>
                        <pic:spPr>
                          <a:xfrm>
                            <a:off x="0" y="0"/>
                            <a:ext cx="125730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auto"/>
                <w:szCs w:val="21"/>
              </w:rPr>
            </w:pPr>
            <w:r>
              <w:rPr>
                <w:color w:val="auto"/>
                <w:kern w:val="0"/>
                <w:szCs w:val="21"/>
                <w:lang w:bidi="ar"/>
              </w:rPr>
              <w:t>直径460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color w:val="auto"/>
                <w:kern w:val="0"/>
                <w:szCs w:val="21"/>
                <w:lang w:bidi="ar"/>
              </w:rPr>
              <w:br w:type="textWrapping"/>
            </w:r>
            <w:r>
              <w:rPr>
                <w:color w:val="auto"/>
                <w:kern w:val="0"/>
                <w:szCs w:val="21"/>
                <w:lang w:bidi="ar"/>
              </w:rPr>
              <w:t>2、绳网：全部采用航海船用缆绳，直径不小于16mm，中芯为镀铬钢丝外套胶管，外层再覆以变色锦纶编织绳，强度大，抗磨损，耐腐蚀，安全性能好。</w:t>
            </w:r>
            <w:r>
              <w:rPr>
                <w:color w:val="auto"/>
                <w:kern w:val="0"/>
                <w:szCs w:val="21"/>
                <w:lang w:bidi="ar"/>
              </w:rPr>
              <w:br w:type="textWrapping"/>
            </w:r>
            <w:r>
              <w:rPr>
                <w:color w:val="auto"/>
                <w:kern w:val="0"/>
                <w:szCs w:val="21"/>
                <w:lang w:bidi="ar"/>
              </w:rPr>
              <w:t>结构配置：立柱不少于10根、吊环不少于8个、弧长300cm爬网不少于一套、绳网秋千不少于一套、弧长180cm不规则吊盘不少于一套、直径40cm吊盘不少于4个、弧长380cm座椅不少于一套、直径18cm吊桩不少于10个、篮球框不少于一套等</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szCs w:val="21"/>
              </w:rPr>
              <w:t>33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爬网</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200150" cy="762000"/>
                  <wp:effectExtent l="0" t="0" r="0" b="0"/>
                  <wp:docPr id="5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descr="IMG_283"/>
                          <pic:cNvPicPr>
                            <a:picLocks noChangeAspect="1"/>
                          </pic:cNvPicPr>
                        </pic:nvPicPr>
                        <pic:blipFill>
                          <a:blip r:embed="rId39"/>
                          <a:stretch>
                            <a:fillRect/>
                          </a:stretch>
                        </pic:blipFill>
                        <pic:spPr>
                          <a:xfrm>
                            <a:off x="0" y="0"/>
                            <a:ext cx="120015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120*7</w:t>
            </w:r>
            <w:r>
              <w:rPr>
                <w:color w:val="auto"/>
                <w:kern w:val="0"/>
                <w:szCs w:val="21"/>
                <w:lang w:bidi="ar"/>
              </w:rPr>
              <w:t>0*65</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1、铁件：铁件厚度</w:t>
            </w:r>
            <w:r>
              <w:rPr>
                <w:rFonts w:hint="eastAsia"/>
                <w:color w:val="auto"/>
                <w:kern w:val="0"/>
                <w:szCs w:val="21"/>
                <w:lang w:val="en-US" w:eastAsia="zh-CN" w:bidi="ar"/>
              </w:rPr>
              <w:t>不少于</w:t>
            </w:r>
            <w:r>
              <w:rPr>
                <w:color w:val="auto"/>
                <w:kern w:val="0"/>
                <w:szCs w:val="21"/>
                <w:lang w:bidi="ar"/>
              </w:rPr>
              <w:t>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w:t>
            </w:r>
            <w:r>
              <w:rPr>
                <w:kern w:val="0"/>
                <w:szCs w:val="21"/>
                <w:lang w:bidi="ar"/>
              </w:rPr>
              <w:t>高效率，无污染。</w:t>
            </w:r>
            <w:r>
              <w:rPr>
                <w:kern w:val="0"/>
                <w:szCs w:val="21"/>
                <w:lang w:bidi="ar"/>
              </w:rPr>
              <w:br w:type="textWrapping"/>
            </w:r>
            <w:r>
              <w:rPr>
                <w:kern w:val="0"/>
                <w:szCs w:val="21"/>
                <w:lang w:bidi="ar"/>
              </w:rPr>
              <w:t>2、绳网：全部采用航海船用缆绳，直径不小于16mm，中芯为镀铬钢丝外套胶管，外层再覆以变色锦纶编织绳，强度大，抗磨损，耐腐蚀，安全性能好。</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r>
        <w:tblPrEx>
          <w:tblCellMar>
            <w:top w:w="0" w:type="dxa"/>
            <w:left w:w="108" w:type="dxa"/>
            <w:bottom w:w="0" w:type="dxa"/>
            <w:right w:w="108" w:type="dxa"/>
          </w:tblCellMar>
        </w:tblPrEx>
        <w:trPr>
          <w:trHeight w:val="600"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szCs w:val="21"/>
              </w:rPr>
              <w:t>34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攀爬</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drawing>
                <wp:inline distT="0" distB="0" distL="114300" distR="114300">
                  <wp:extent cx="1066800" cy="762000"/>
                  <wp:effectExtent l="0" t="0" r="0" b="0"/>
                  <wp:docPr id="5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descr="IMG_284"/>
                          <pic:cNvPicPr>
                            <a:picLocks noChangeAspect="1"/>
                          </pic:cNvPicPr>
                        </pic:nvPicPr>
                        <pic:blipFill>
                          <a:blip r:embed="rId40"/>
                          <a:stretch>
                            <a:fillRect/>
                          </a:stretch>
                        </pic:blipFill>
                        <pic:spPr>
                          <a:xfrm>
                            <a:off x="0" y="0"/>
                            <a:ext cx="1066800" cy="762000"/>
                          </a:xfrm>
                          <a:prstGeom prst="rect">
                            <a:avLst/>
                          </a:prstGeom>
                          <a:noFill/>
                          <a:ln w="9525">
                            <a:noFill/>
                          </a:ln>
                        </pic:spPr>
                      </pic:pic>
                    </a:graphicData>
                  </a:graphic>
                </wp:inline>
              </w:drawing>
            </w:r>
          </w:p>
        </w:tc>
        <w:tc>
          <w:tcPr>
            <w:tcW w:w="81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szCs w:val="21"/>
              </w:rPr>
            </w:pPr>
            <w:r>
              <w:rPr>
                <w:kern w:val="0"/>
                <w:szCs w:val="21"/>
                <w:lang w:bidi="ar"/>
              </w:rPr>
              <w:t>规格480*</w:t>
            </w:r>
            <w:r>
              <w:rPr>
                <w:color w:val="auto"/>
                <w:kern w:val="0"/>
                <w:szCs w:val="21"/>
                <w:lang w:bidi="ar"/>
              </w:rPr>
              <w:t>10*240</w:t>
            </w:r>
            <w:r>
              <w:rPr>
                <w:rFonts w:hint="eastAsia"/>
                <w:color w:val="auto"/>
                <w:kern w:val="0"/>
                <w:szCs w:val="21"/>
                <w:lang w:eastAsia="zh-CN" w:bidi="ar"/>
              </w:rPr>
              <w:t>±1</w:t>
            </w:r>
            <w:r>
              <w:rPr>
                <w:color w:val="auto"/>
                <w:kern w:val="0"/>
                <w:szCs w:val="21"/>
                <w:lang w:bidi="ar"/>
              </w:rPr>
              <w:t>cm，</w:t>
            </w:r>
            <w:r>
              <w:rPr>
                <w:color w:val="auto"/>
                <w:kern w:val="0"/>
                <w:szCs w:val="21"/>
                <w:lang w:bidi="ar"/>
              </w:rPr>
              <w:br w:type="textWrapping"/>
            </w:r>
            <w:r>
              <w:rPr>
                <w:color w:val="auto"/>
                <w:kern w:val="0"/>
                <w:szCs w:val="21"/>
                <w:lang w:bidi="ar"/>
              </w:rPr>
              <w:t>1、主体材质芬兰木，立柱不</w:t>
            </w:r>
            <w:r>
              <w:rPr>
                <w:kern w:val="0"/>
                <w:szCs w:val="21"/>
                <w:lang w:bidi="ar"/>
              </w:rPr>
              <w:t>小于9.5*9.5cm,表面处理：进行压、刨、铣、冲等处理后，表面进行防腐、防蛀处理，后采用原子灰进行三次刮灰抹平，并打磨光滑，表面喷涂三次聚氨脂清漆，五金螺丝：采用不锈钢304#子母螺丝，燕尾自攻螺丝采用410#，牢固，不易松动脱落及变形和损坏。产品外表和内表以及儿童手指可触及处无毛刺及尖锐的棱角，油漆采用户外环保漆。</w:t>
            </w:r>
            <w:r>
              <w:rPr>
                <w:kern w:val="0"/>
                <w:szCs w:val="21"/>
                <w:lang w:bidi="ar"/>
              </w:rPr>
              <w:br w:type="textWrapping"/>
            </w:r>
            <w:r>
              <w:rPr>
                <w:kern w:val="0"/>
                <w:szCs w:val="21"/>
                <w:lang w:bidi="ar"/>
              </w:rPr>
              <w:t>2、铁件：铁件厚度为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滤心，高效率，无污染。</w:t>
            </w:r>
            <w:r>
              <w:rPr>
                <w:kern w:val="0"/>
                <w:szCs w:val="21"/>
                <w:lang w:bidi="ar"/>
              </w:rPr>
              <w:br w:type="textWrapping"/>
            </w:r>
            <w:r>
              <w:rPr>
                <w:kern w:val="0"/>
                <w:szCs w:val="21"/>
                <w:lang w:bidi="ar"/>
              </w:rPr>
              <w:t>3、PE板材质：高密度聚乙烯，厚度不少于1.5cm，产品无臭，无毒，手感似蜡，吸水性小，电绝缘性能优良。</w:t>
            </w:r>
            <w:r>
              <w:rPr>
                <w:kern w:val="0"/>
                <w:szCs w:val="21"/>
                <w:lang w:bidi="ar"/>
              </w:rPr>
              <w:br w:type="textWrapping"/>
            </w:r>
            <w:r>
              <w:rPr>
                <w:kern w:val="0"/>
                <w:szCs w:val="21"/>
                <w:lang w:bidi="ar"/>
              </w:rPr>
              <w:t>4、轮胎材质橡胶。</w:t>
            </w:r>
            <w:r>
              <w:rPr>
                <w:kern w:val="0"/>
                <w:szCs w:val="21"/>
                <w:lang w:bidi="ar"/>
              </w:rPr>
              <w:br w:type="textWrapping"/>
            </w:r>
            <w:r>
              <w:rPr>
                <w:kern w:val="0"/>
                <w:szCs w:val="21"/>
                <w:lang w:bidi="ar"/>
              </w:rPr>
              <w:t xml:space="preserve">5、螺丝均采用不锈钢304#材质防盗螺丝，牢固可靠，不易松动脱落及变形和损坏。 </w:t>
            </w:r>
            <w:r>
              <w:rPr>
                <w:kern w:val="0"/>
                <w:szCs w:val="21"/>
                <w:lang w:bidi="ar"/>
              </w:rPr>
              <w:br w:type="textWrapping"/>
            </w:r>
            <w:r>
              <w:rPr>
                <w:kern w:val="0"/>
                <w:szCs w:val="21"/>
                <w:lang w:bidi="ar"/>
              </w:rPr>
              <w:t>功能：轮胎攀爬架不少于1个，造型攀爬架不少于1个</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1</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szCs w:val="21"/>
              </w:rPr>
            </w:pPr>
            <w:r>
              <w:rPr>
                <w:kern w:val="0"/>
                <w:szCs w:val="21"/>
                <w:lang w:bidi="ar"/>
              </w:rPr>
              <w:t>套</w:t>
            </w:r>
          </w:p>
        </w:tc>
      </w:tr>
    </w:tbl>
    <w:p>
      <w:pPr>
        <w:spacing w:line="360" w:lineRule="auto"/>
        <w:rPr>
          <w:rFonts w:ascii="宋体" w:hAnsi="宋体" w:cs="宋体"/>
          <w:b/>
          <w:sz w:val="24"/>
        </w:rPr>
      </w:pPr>
      <w:r>
        <w:rPr>
          <w:rFonts w:hint="eastAsia" w:ascii="宋体" w:hAnsi="宋体" w:cs="宋体"/>
          <w:b/>
          <w:sz w:val="24"/>
        </w:rPr>
        <w:t>注：序号3“★</w:t>
      </w:r>
      <w:r>
        <w:rPr>
          <w:rFonts w:ascii="宋体" w:hAnsi="宋体" w:cs="宋体"/>
          <w:b/>
          <w:sz w:val="24"/>
        </w:rPr>
        <w:t>户外大型玩具</w:t>
      </w:r>
      <w:r>
        <w:rPr>
          <w:rFonts w:hint="eastAsia" w:ascii="宋体" w:hAnsi="宋体" w:cs="宋体"/>
          <w:b/>
          <w:sz w:val="24"/>
        </w:rPr>
        <w:t>”系指本项目核心产品，按照招标文件中核心产品要求处理。</w:t>
      </w:r>
    </w:p>
    <w:p/>
    <w:p>
      <w:pPr>
        <w:spacing w:line="360" w:lineRule="auto"/>
        <w:rPr>
          <w:rFonts w:ascii="宋体" w:hAnsi="宋体" w:cs="宋体"/>
          <w:b/>
          <w:sz w:val="24"/>
        </w:rPr>
      </w:pPr>
      <w:r>
        <w:rPr>
          <w:rFonts w:hint="eastAsia" w:ascii="宋体" w:hAnsi="宋体" w:cs="宋体"/>
          <w:b/>
          <w:sz w:val="24"/>
          <w:lang w:eastAsia="zh-CN"/>
        </w:rPr>
        <w:t>三</w:t>
      </w:r>
      <w:r>
        <w:rPr>
          <w:rFonts w:hint="eastAsia" w:ascii="宋体" w:hAnsi="宋体" w:cs="宋体"/>
          <w:b/>
          <w:sz w:val="24"/>
        </w:rPr>
        <w:t>、样品要求</w:t>
      </w:r>
    </w:p>
    <w:p>
      <w:pPr>
        <w:spacing w:line="360" w:lineRule="auto"/>
        <w:ind w:firstLine="480" w:firstLineChars="200"/>
        <w:rPr>
          <w:rFonts w:ascii="宋体" w:hAnsi="宋体" w:cs="宋体"/>
          <w:bCs/>
          <w:sz w:val="24"/>
        </w:rPr>
      </w:pPr>
      <w:r>
        <w:rPr>
          <w:rFonts w:hint="eastAsia" w:ascii="宋体" w:hAnsi="宋体" w:cs="宋体"/>
          <w:bCs/>
          <w:sz w:val="24"/>
        </w:rPr>
        <w:t>（1）提供：①序号3号：</w:t>
      </w:r>
      <w:r>
        <w:rPr>
          <w:rFonts w:ascii="宋体" w:hAnsi="宋体" w:cs="宋体"/>
          <w:bCs/>
          <w:sz w:val="24"/>
        </w:rPr>
        <w:t>荡桥</w:t>
      </w:r>
      <w:r>
        <w:rPr>
          <w:rFonts w:hint="eastAsia" w:ascii="宋体" w:hAnsi="宋体" w:cs="宋体"/>
          <w:bCs/>
          <w:sz w:val="24"/>
        </w:rPr>
        <w:t>板小样一块</w:t>
      </w:r>
      <w:r>
        <w:rPr>
          <w:rFonts w:ascii="宋体" w:hAnsi="宋体" w:cs="宋体"/>
          <w:bCs/>
          <w:sz w:val="24"/>
        </w:rPr>
        <w:t>：</w:t>
      </w:r>
      <w:r>
        <w:rPr>
          <w:rFonts w:hint="eastAsia" w:ascii="宋体" w:hAnsi="宋体" w:cs="宋体"/>
          <w:bCs/>
          <w:sz w:val="24"/>
        </w:rPr>
        <w:t>材质塑木</w:t>
      </w:r>
      <w:r>
        <w:rPr>
          <w:rFonts w:ascii="宋体" w:hAnsi="宋体" w:cs="宋体"/>
          <w:bCs/>
          <w:sz w:val="24"/>
        </w:rPr>
        <w:t>，</w:t>
      </w:r>
      <w:r>
        <w:rPr>
          <w:rFonts w:hint="eastAsia" w:ascii="宋体" w:hAnsi="宋体" w:cs="宋体"/>
          <w:bCs/>
          <w:sz w:val="24"/>
        </w:rPr>
        <w:t>长度30cm，</w:t>
      </w:r>
      <w:r>
        <w:rPr>
          <w:rFonts w:ascii="宋体" w:hAnsi="宋体" w:cs="宋体"/>
          <w:bCs/>
          <w:sz w:val="24"/>
        </w:rPr>
        <w:t>宽度20cm，厚度不少于2.5cm</w:t>
      </w:r>
      <w:r>
        <w:rPr>
          <w:rFonts w:hint="eastAsia" w:ascii="宋体" w:hAnsi="宋体" w:cs="宋体"/>
          <w:bCs/>
          <w:sz w:val="24"/>
        </w:rPr>
        <w:t>；②序号4号：</w:t>
      </w:r>
      <w:r>
        <w:rPr>
          <w:rFonts w:ascii="宋体" w:hAnsi="宋体" w:cs="宋体"/>
          <w:bCs/>
          <w:sz w:val="24"/>
        </w:rPr>
        <w:t>投掷架一个</w:t>
      </w:r>
      <w:r>
        <w:rPr>
          <w:rFonts w:hint="eastAsia" w:ascii="宋体" w:hAnsi="宋体" w:cs="宋体"/>
          <w:bCs/>
          <w:sz w:val="24"/>
        </w:rPr>
        <w:t>；</w:t>
      </w:r>
    </w:p>
    <w:p>
      <w:pPr>
        <w:spacing w:line="360" w:lineRule="auto"/>
        <w:ind w:firstLine="480" w:firstLineChars="200"/>
        <w:rPr>
          <w:rFonts w:ascii="宋体" w:hAnsi="宋体" w:cs="宋体"/>
          <w:bCs/>
          <w:sz w:val="24"/>
        </w:rPr>
      </w:pPr>
      <w:r>
        <w:rPr>
          <w:rFonts w:hint="eastAsia" w:ascii="宋体" w:hAnsi="宋体" w:cs="宋体"/>
          <w:bCs/>
          <w:sz w:val="24"/>
        </w:rPr>
        <w:t>（2）提供样品的时间：投标单位于开标时间当天9时30分前提交至平湖市政务服务中心四楼电梯口。</w:t>
      </w:r>
    </w:p>
    <w:p>
      <w:pPr>
        <w:spacing w:line="360" w:lineRule="auto"/>
        <w:ind w:firstLine="480" w:firstLineChars="200"/>
        <w:rPr>
          <w:rFonts w:ascii="宋体" w:hAnsi="宋体" w:cs="宋体"/>
          <w:bCs/>
          <w:sz w:val="24"/>
        </w:rPr>
      </w:pPr>
      <w:r>
        <w:rPr>
          <w:rFonts w:hint="eastAsia" w:ascii="宋体" w:hAnsi="宋体" w:cs="宋体"/>
          <w:bCs/>
          <w:sz w:val="24"/>
        </w:rPr>
        <w:t>（3）各个供应商所提供的样品需做好标识，注明投标人名称。</w:t>
      </w:r>
    </w:p>
    <w:p>
      <w:pPr>
        <w:spacing w:line="360" w:lineRule="auto"/>
        <w:ind w:firstLine="480" w:firstLineChars="200"/>
        <w:rPr>
          <w:rFonts w:ascii="宋体" w:hAnsi="宋体" w:cs="宋体"/>
          <w:bCs/>
          <w:sz w:val="24"/>
        </w:rPr>
      </w:pPr>
      <w:r>
        <w:rPr>
          <w:rFonts w:hint="eastAsia" w:ascii="宋体" w:hAnsi="宋体" w:cs="宋体"/>
          <w:bCs/>
          <w:sz w:val="24"/>
        </w:rPr>
        <w:t>（4）评标结束后1个工作日内，对于未中标人提供的样品，采购人、采购机构将通知未中标人在规定的时间内取回，逾期未取回的，采购人不负保管义务；对于中标人提供的样品，采购人将进行保管、封存，并作为履约验收的参考。</w:t>
      </w:r>
    </w:p>
    <w:p>
      <w:pPr>
        <w:spacing w:line="360" w:lineRule="auto"/>
        <w:ind w:firstLine="480" w:firstLineChars="200"/>
        <w:rPr>
          <w:rFonts w:ascii="宋体" w:hAnsi="宋体" w:cs="宋体"/>
          <w:bCs/>
          <w:sz w:val="24"/>
        </w:rPr>
      </w:pPr>
      <w:r>
        <w:rPr>
          <w:rFonts w:hint="eastAsia" w:ascii="宋体" w:hAnsi="宋体" w:cs="宋体"/>
          <w:bCs/>
          <w:sz w:val="24"/>
        </w:rPr>
        <w:t>（5）制作、运输、安装和保管样品所发生的一切费用由投标人自理。</w:t>
      </w:r>
    </w:p>
    <w:p>
      <w:pPr>
        <w:spacing w:line="360" w:lineRule="auto"/>
        <w:ind w:firstLine="482" w:firstLineChars="200"/>
        <w:rPr>
          <w:rFonts w:ascii="宋体" w:hAnsi="宋体" w:cs="宋体"/>
          <w:b/>
          <w:sz w:val="24"/>
        </w:rPr>
      </w:pPr>
      <w:r>
        <w:rPr>
          <w:rFonts w:hint="eastAsia" w:ascii="宋体" w:hAnsi="宋体" w:cs="宋体"/>
          <w:b/>
          <w:sz w:val="24"/>
        </w:rPr>
        <w:t>（6）未递交样品或样品数量不全的，其投标文件将被视为无效。</w:t>
      </w:r>
    </w:p>
    <w:p>
      <w:pPr>
        <w:spacing w:line="360" w:lineRule="auto"/>
        <w:rPr>
          <w:rFonts w:ascii="宋体" w:hAnsi="宋体" w:cs="宋体"/>
          <w:b/>
          <w:sz w:val="24"/>
        </w:rPr>
      </w:pPr>
      <w:r>
        <w:rPr>
          <w:rFonts w:hint="eastAsia" w:ascii="宋体" w:hAnsi="宋体" w:cs="宋体"/>
          <w:b/>
          <w:sz w:val="24"/>
          <w:lang w:eastAsia="zh-CN"/>
        </w:rPr>
        <w:t>四</w:t>
      </w:r>
      <w:r>
        <w:rPr>
          <w:rFonts w:hint="eastAsia" w:ascii="宋体" w:hAnsi="宋体" w:cs="宋体"/>
          <w:b/>
          <w:sz w:val="24"/>
        </w:rPr>
        <w:t>、现场踏勘</w:t>
      </w:r>
    </w:p>
    <w:p>
      <w:pPr>
        <w:spacing w:line="360" w:lineRule="auto"/>
        <w:ind w:firstLine="480" w:firstLineChars="200"/>
        <w:rPr>
          <w:rFonts w:ascii="宋体" w:hAnsi="宋体" w:cs="宋体"/>
          <w:b/>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bCs/>
          <w:sz w:val="24"/>
        </w:rPr>
        <w:t>本项目由各供应商自行决定是否到现场踏勘（供应商自行承担现场踏勘所发生的费用以及责任和风险）。现场踏勘起止时间：采购公告发布后至开标前一天止。联系人：朱佳成；联系电话：18358304997。</w:t>
      </w:r>
    </w:p>
    <w:p>
      <w:pPr>
        <w:adjustRightInd w:val="0"/>
        <w:spacing w:line="360" w:lineRule="auto"/>
        <w:rPr>
          <w:rFonts w:ascii="宋体" w:hAnsi="宋体" w:cs="宋体"/>
          <w:b/>
          <w:bCs/>
          <w:sz w:val="24"/>
        </w:rPr>
      </w:pPr>
      <w:r>
        <w:rPr>
          <w:rFonts w:hint="eastAsia" w:ascii="宋体" w:hAnsi="宋体" w:cs="宋体"/>
          <w:b/>
          <w:sz w:val="24"/>
          <w:lang w:eastAsia="zh-CN"/>
        </w:rPr>
        <w:t>五</w:t>
      </w:r>
      <w:r>
        <w:rPr>
          <w:rFonts w:hint="eastAsia" w:ascii="宋体" w:hAnsi="宋体" w:cs="宋体"/>
          <w:b/>
          <w:sz w:val="24"/>
        </w:rPr>
        <w:t>、</w:t>
      </w:r>
      <w:r>
        <w:rPr>
          <w:rFonts w:hint="eastAsia" w:ascii="宋体" w:hAnsi="宋体" w:cs="宋体"/>
          <w:b/>
          <w:bCs/>
          <w:sz w:val="24"/>
        </w:rPr>
        <w:t>其他要求</w:t>
      </w:r>
    </w:p>
    <w:tbl>
      <w:tblPr>
        <w:tblStyle w:val="22"/>
        <w:tblW w:w="848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2"/>
        <w:gridCol w:w="69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rPr>
              <w:t>交货及安装调试时间</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outlineLvl w:val="0"/>
              <w:rPr>
                <w:rFonts w:ascii="宋体" w:hAnsi="宋体" w:cs="宋体"/>
                <w:sz w:val="24"/>
              </w:rPr>
            </w:pPr>
            <w:r>
              <w:rPr>
                <w:rFonts w:hint="eastAsia" w:ascii="宋体" w:hAnsi="宋体" w:cs="宋体"/>
                <w:sz w:val="24"/>
              </w:rPr>
              <w:t>1.交货及安装调试时间：合同签订后30个工作日内完成设备交付与安装调试；2.交货地点：采购人指定地点。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lang w:bidi="ar"/>
              </w:rPr>
            </w:pPr>
            <w:r>
              <w:rPr>
                <w:rFonts w:hint="eastAsia" w:ascii="宋体" w:hAnsi="宋体" w:cs="宋体"/>
                <w:sz w:val="24"/>
                <w:lang w:bidi="ar"/>
              </w:rPr>
              <w:t>付款方式</w:t>
            </w:r>
          </w:p>
        </w:tc>
        <w:tc>
          <w:tcPr>
            <w:tcW w:w="6971" w:type="dxa"/>
            <w:tcBorders>
              <w:top w:val="single" w:color="auto" w:sz="4" w:space="0"/>
              <w:left w:val="single" w:color="auto" w:sz="4" w:space="0"/>
              <w:bottom w:val="single" w:color="auto" w:sz="4" w:space="0"/>
              <w:right w:val="single" w:color="auto" w:sz="4" w:space="0"/>
            </w:tcBorders>
            <w:vAlign w:val="center"/>
          </w:tcPr>
          <w:p>
            <w:pPr>
              <w:numPr>
                <w:ilvl w:val="0"/>
                <w:numId w:val="4"/>
              </w:numPr>
              <w:spacing w:line="360" w:lineRule="auto"/>
              <w:outlineLvl w:val="0"/>
              <w:rPr>
                <w:rFonts w:ascii="宋体" w:hAnsi="宋体" w:cs="新宋体"/>
                <w:sz w:val="24"/>
              </w:rPr>
            </w:pPr>
            <w:r>
              <w:rPr>
                <w:rFonts w:hint="eastAsia" w:ascii="宋体" w:hAnsi="宋体" w:cs="新宋体"/>
                <w:sz w:val="24"/>
              </w:rPr>
              <w:t>合同签订并具备实施条件后七个工作日内，中标供应商开具发票，采购人向中标供应商支付合同金额50%预付款；</w:t>
            </w:r>
          </w:p>
          <w:p>
            <w:pPr>
              <w:numPr>
                <w:ilvl w:val="0"/>
                <w:numId w:val="4"/>
              </w:numPr>
              <w:spacing w:line="360" w:lineRule="auto"/>
              <w:outlineLvl w:val="0"/>
              <w:rPr>
                <w:rFonts w:ascii="宋体" w:hAnsi="宋体" w:cs="新宋体"/>
                <w:sz w:val="24"/>
              </w:rPr>
            </w:pPr>
            <w:r>
              <w:rPr>
                <w:rFonts w:hint="eastAsia" w:ascii="宋体" w:hAnsi="宋体" w:cs="新宋体"/>
                <w:sz w:val="24"/>
              </w:rPr>
              <w:t>全部安装完毕、验收合格且收到发票后，支付至合同价的100%。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lang w:bidi="ar"/>
              </w:rPr>
              <w:t>质保期</w:t>
            </w:r>
          </w:p>
        </w:tc>
        <w:tc>
          <w:tcPr>
            <w:tcW w:w="6971"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spacing w:line="360" w:lineRule="auto"/>
              <w:textAlignment w:val="bottom"/>
              <w:rPr>
                <w:rFonts w:ascii="宋体" w:hAnsi="宋体" w:cs="新宋体"/>
                <w:sz w:val="24"/>
              </w:rPr>
            </w:pPr>
            <w:r>
              <w:rPr>
                <w:rFonts w:hint="eastAsia" w:ascii="宋体" w:hAnsi="宋体" w:cs="新宋体"/>
                <w:sz w:val="24"/>
              </w:rPr>
              <w:t>除特殊注明外，所有产品质保期均不少于三年。质保期内非人为因素出现的质量问题，须按国家有关规定和要求（如无国家规定和要求的，按承诺和厂方“三包”规定）立即进行免费维修、免费更换有缺陷的零部件、直至免费更换新产品。因产品本身问题在 48 小时之内仍不能排除的故障，应提供与原产品相同或不低于原产品性能的备用产品。故障排除后应出具书面故障诊断报告备案。</w:t>
            </w:r>
          </w:p>
          <w:p>
            <w:pPr>
              <w:spacing w:line="360" w:lineRule="auto"/>
              <w:outlineLvl w:val="0"/>
              <w:rPr>
                <w:rFonts w:ascii="宋体" w:hAnsi="宋体" w:cs="宋体"/>
                <w:sz w:val="24"/>
              </w:rPr>
            </w:pPr>
            <w:r>
              <w:rPr>
                <w:rFonts w:hint="eastAsia" w:ascii="宋体" w:hAnsi="宋体" w:cs="新宋体"/>
                <w:sz w:val="24"/>
              </w:rPr>
              <w:t>在质保期内，中标人应负责对其提供的产品进行现场维修、损坏件更换，不收取额外费用。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lang w:bidi="ar"/>
              </w:rPr>
              <w:t>售后（技术）服务要求</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outlineLvl w:val="0"/>
              <w:rPr>
                <w:rFonts w:ascii="宋体" w:hAnsi="宋体" w:cs="宋体"/>
                <w:sz w:val="24"/>
                <w:lang w:bidi="ar"/>
              </w:rPr>
            </w:pPr>
            <w:r>
              <w:rPr>
                <w:rFonts w:hint="eastAsia" w:ascii="宋体" w:hAnsi="宋体" w:cs="新宋体"/>
                <w:sz w:val="24"/>
              </w:rPr>
              <w:t>中标人有义务对产品的正常使用和维护提供必要的培训。培训的内容包括主要产品的安装、使用、配置管理、性能优化以及硬件基本维护知识。</w:t>
            </w:r>
          </w:p>
          <w:p>
            <w:pPr>
              <w:spacing w:line="360" w:lineRule="auto"/>
              <w:outlineLvl w:val="0"/>
              <w:rPr>
                <w:rFonts w:ascii="宋体" w:hAnsi="宋体" w:cs="宋体"/>
                <w:sz w:val="24"/>
              </w:rPr>
            </w:pPr>
            <w:r>
              <w:rPr>
                <w:rFonts w:hint="eastAsia" w:ascii="宋体" w:hAnsi="宋体" w:cs="宋体"/>
                <w:sz w:val="24"/>
                <w:lang w:bidi="ar"/>
              </w:rPr>
              <w:t>投标人设有投标产品的售后技术服务机构，配有较强的技术队伍，能提供快速的售后服务响应。提供7*24小时售后服务响应，24小时内上门服务。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rPr>
              <w:t>验收</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outlineLvl w:val="0"/>
              <w:rPr>
                <w:rFonts w:ascii="宋体" w:hAnsi="宋体" w:cs="新宋体"/>
                <w:sz w:val="24"/>
              </w:rPr>
            </w:pPr>
            <w:r>
              <w:rPr>
                <w:rFonts w:hint="eastAsia" w:ascii="宋体" w:hAnsi="宋体" w:cs="新宋体"/>
                <w:sz w:val="24"/>
              </w:rPr>
              <w:t>1.验收以采购文件和技术文件、投标文件、合同及安装技术要求为依据。</w:t>
            </w:r>
          </w:p>
          <w:p>
            <w:pPr>
              <w:spacing w:line="360" w:lineRule="auto"/>
              <w:outlineLvl w:val="0"/>
              <w:rPr>
                <w:rFonts w:ascii="宋体" w:hAnsi="宋体" w:cs="新宋体"/>
                <w:sz w:val="24"/>
              </w:rPr>
            </w:pPr>
            <w:r>
              <w:rPr>
                <w:rFonts w:hint="eastAsia" w:ascii="宋体" w:hAnsi="宋体" w:cs="新宋体"/>
                <w:sz w:val="24"/>
              </w:rPr>
              <w:t>2. 供货安装完成后，中标人应该向采购人提交申请验收报告，并且提供主要货物的出厂合格证书（或报告）、检测报告等完整的技术档案资料，若中标人未能按照上述要求履行的，导致无法及时验收的，则须由中标人承担一切责任。采购人在10个工作日内组织验收。</w:t>
            </w:r>
          </w:p>
          <w:p>
            <w:pPr>
              <w:spacing w:line="360" w:lineRule="auto"/>
              <w:outlineLvl w:val="0"/>
              <w:rPr>
                <w:rFonts w:ascii="宋体" w:hAnsi="宋体" w:cs="新宋体"/>
                <w:sz w:val="24"/>
              </w:rPr>
            </w:pPr>
            <w:r>
              <w:rPr>
                <w:rFonts w:hint="eastAsia" w:ascii="宋体" w:hAnsi="宋体" w:cs="新宋体"/>
                <w:sz w:val="24"/>
              </w:rPr>
              <w:t>3.验收必须符合国家、地方有关规范、标准及设计要求。</w:t>
            </w:r>
          </w:p>
          <w:p>
            <w:pPr>
              <w:spacing w:line="360" w:lineRule="auto"/>
              <w:outlineLvl w:val="0"/>
              <w:rPr>
                <w:rFonts w:ascii="宋体" w:hAnsi="宋体" w:cs="新宋体"/>
                <w:sz w:val="24"/>
              </w:rPr>
            </w:pPr>
            <w:r>
              <w:rPr>
                <w:rFonts w:hint="eastAsia" w:ascii="宋体" w:hAnsi="宋体" w:cs="新宋体"/>
                <w:sz w:val="24"/>
              </w:rPr>
              <w:t>4. 符合验收条件的，由采购人组织有关部门按照国家、地方有关规范、标准及设计要求进行验收。验收后中标人应按照验收中提出的意见整改。</w:t>
            </w:r>
          </w:p>
          <w:p>
            <w:pPr>
              <w:spacing w:line="360" w:lineRule="auto"/>
              <w:outlineLvl w:val="0"/>
              <w:rPr>
                <w:rFonts w:ascii="宋体" w:hAnsi="宋体" w:cs="新宋体"/>
                <w:sz w:val="24"/>
              </w:rPr>
            </w:pPr>
            <w:r>
              <w:rPr>
                <w:rFonts w:hint="eastAsia" w:ascii="宋体" w:hAnsi="宋体" w:cs="新宋体"/>
                <w:sz w:val="24"/>
              </w:rPr>
              <w:t>5. 整改完毕且复验合格后将本项目货物交给采购人使用，完成日期以通过复验日期为准。</w:t>
            </w:r>
          </w:p>
          <w:p>
            <w:pPr>
              <w:spacing w:line="360" w:lineRule="auto"/>
              <w:outlineLvl w:val="0"/>
              <w:rPr>
                <w:rFonts w:ascii="宋体" w:hAnsi="宋体" w:cs="新宋体"/>
                <w:sz w:val="24"/>
              </w:rPr>
            </w:pPr>
            <w:r>
              <w:rPr>
                <w:rFonts w:hint="eastAsia" w:ascii="宋体" w:hAnsi="宋体" w:cs="新宋体"/>
                <w:sz w:val="24"/>
              </w:rPr>
              <w:t>6.采购人在中标人送货、安装、调试后对货物服务进行检查验收，如果发现数量不足或有质量、技术等问题，中标人应负责根据合同及采购人的要求采取补足或更换等处理措施，并承担由此发生的一切损失和费用。采购人有权在产品的生产加工期间到中标人的工厂查看原料、加工工艺和产品实样，不按招标要求的，一切责任由中标人承担。验收合格后，采购人在验收单上签字并加盖单位公章。</w:t>
            </w:r>
          </w:p>
          <w:p>
            <w:pPr>
              <w:spacing w:line="360" w:lineRule="auto"/>
              <w:outlineLvl w:val="0"/>
              <w:rPr>
                <w:rFonts w:ascii="宋体" w:hAnsi="宋体" w:cs="宋体"/>
                <w:sz w:val="24"/>
              </w:rPr>
            </w:pPr>
            <w:r>
              <w:rPr>
                <w:rFonts w:hint="eastAsia" w:ascii="宋体" w:hAnsi="宋体" w:cs="新宋体"/>
                <w:sz w:val="24"/>
              </w:rPr>
              <w:t>7.设备安装调试完毕后须进行现场清理干净；户外玩具施工安装完毕后，要对开挖、损毁的道路、绿化等进行复原。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lang w:bidi="ar"/>
              </w:rPr>
              <w:t>备品备件及耗材等要求</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outlineLvl w:val="0"/>
              <w:rPr>
                <w:rFonts w:ascii="宋体" w:hAnsi="宋体" w:cs="宋体"/>
                <w:sz w:val="24"/>
              </w:rPr>
            </w:pPr>
            <w:r>
              <w:rPr>
                <w:rFonts w:hint="eastAsia" w:ascii="宋体" w:hAnsi="宋体" w:cs="新宋体"/>
                <w:sz w:val="24"/>
              </w:rPr>
              <w:t>质保期内免费更换一切在正常情况下损坏的零配件，每年提供两次免费上门巡检服务；质保期后，中标人负责设备的终身维修及零配件的及时供应。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lang w:bidi="ar"/>
              </w:rPr>
              <w:t>责任认定</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outlineLvl w:val="0"/>
              <w:rPr>
                <w:rFonts w:ascii="宋体" w:hAnsi="宋体" w:cs="宋体"/>
                <w:sz w:val="24"/>
              </w:rPr>
            </w:pPr>
            <w:r>
              <w:rPr>
                <w:rFonts w:hint="eastAsia" w:ascii="宋体" w:hAnsi="宋体" w:cs="宋体"/>
                <w:sz w:val="24"/>
                <w:lang w:bidi="ar"/>
              </w:rPr>
              <w:t>在合同有效期内，因中标人原因，未能完全履行质保承诺，采购人有权追究中标人的责任。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特殊条款</w:t>
            </w:r>
          </w:p>
        </w:tc>
        <w:tc>
          <w:tcPr>
            <w:tcW w:w="697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left"/>
              <w:rPr>
                <w:rFonts w:ascii="宋体" w:hAnsi="宋体" w:cs="宋体"/>
                <w:sz w:val="24"/>
              </w:rPr>
            </w:pPr>
            <w:r>
              <w:rPr>
                <w:rFonts w:hint="eastAsia" w:ascii="宋体" w:hAnsi="宋体" w:cs="宋体"/>
                <w:sz w:val="24"/>
              </w:rPr>
              <w:t>招标文件中的技术要求（规格）书为原则性要求，并不是详尽的要求，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51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0"/>
              <w:rPr>
                <w:rFonts w:ascii="宋体" w:hAnsi="宋体" w:cs="宋体"/>
                <w:sz w:val="24"/>
              </w:rPr>
            </w:pPr>
            <w:r>
              <w:rPr>
                <w:rFonts w:hint="eastAsia" w:ascii="宋体" w:hAnsi="宋体" w:cs="宋体"/>
                <w:sz w:val="24"/>
                <w:lang w:bidi="ar"/>
              </w:rPr>
              <w:t>其他</w:t>
            </w:r>
          </w:p>
        </w:tc>
        <w:tc>
          <w:tcPr>
            <w:tcW w:w="697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新宋体"/>
                <w:sz w:val="24"/>
                <w:lang w:val="zh-CN"/>
              </w:rPr>
              <w:t>投标人可根据以上所列</w:t>
            </w:r>
            <w:r>
              <w:rPr>
                <w:rFonts w:hint="eastAsia" w:ascii="宋体" w:hAnsi="宋体" w:cs="新宋体"/>
                <w:sz w:val="24"/>
              </w:rPr>
              <w:t>产品</w:t>
            </w:r>
            <w:r>
              <w:rPr>
                <w:rFonts w:hint="eastAsia" w:ascii="宋体" w:hAnsi="宋体" w:cs="新宋体"/>
                <w:sz w:val="24"/>
                <w:lang w:val="zh-CN"/>
              </w:rPr>
              <w:t>的技术配置及技术性能要求作为参考选择投标产品，但所选投标产品的技术配置及技术性能应相当于或高于招标文件要求，并满足采购需求，否则将可能作出对投标人不利的评定。</w:t>
            </w:r>
            <w:r>
              <w:rPr>
                <w:rFonts w:hint="eastAsia" w:ascii="宋体" w:hAnsi="宋体" w:cs="新宋体"/>
                <w:bCs/>
                <w:sz w:val="24"/>
              </w:rPr>
              <w:t>投标人提供的产品需标明所执行的质量标准，若同一标准已颁发新标准，则按最新标准执行。</w:t>
            </w:r>
          </w:p>
        </w:tc>
      </w:tr>
    </w:tbl>
    <w:p>
      <w:pPr>
        <w:pStyle w:val="29"/>
        <w:spacing w:line="360" w:lineRule="auto"/>
        <w:ind w:firstLine="0" w:firstLineChars="0"/>
        <w:rPr>
          <w:rFonts w:ascii="宋体" w:hAnsi="宋体" w:cs="宋体"/>
          <w:b/>
          <w:sz w:val="24"/>
          <w:szCs w:val="24"/>
        </w:rPr>
      </w:pPr>
    </w:p>
    <w:p>
      <w:pPr>
        <w:pStyle w:val="2"/>
        <w:spacing w:line="360" w:lineRule="auto"/>
        <w:jc w:val="center"/>
      </w:pPr>
      <w:r>
        <w:t>第三章  投标人须知</w:t>
      </w:r>
    </w:p>
    <w:p>
      <w:pPr>
        <w:snapToGrid w:val="0"/>
        <w:spacing w:before="240" w:beforeLines="100" w:line="360" w:lineRule="auto"/>
        <w:jc w:val="center"/>
        <w:rPr>
          <w:rFonts w:ascii="宋体" w:hAnsi="宋体"/>
          <w:b/>
          <w:sz w:val="24"/>
        </w:rPr>
      </w:pPr>
      <w:r>
        <w:rPr>
          <w:rFonts w:ascii="宋体" w:hAnsi="宋体"/>
          <w:b/>
          <w:sz w:val="24"/>
        </w:rPr>
        <w:t>前附表</w:t>
      </w:r>
    </w:p>
    <w:tbl>
      <w:tblPr>
        <w:tblStyle w:val="22"/>
        <w:tblW w:w="96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2"/>
        <w:gridCol w:w="88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序号</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1</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ascii="宋体" w:hAnsi="宋体"/>
                <w:b/>
                <w:sz w:val="24"/>
              </w:rPr>
              <w:t>项目名称：</w:t>
            </w:r>
            <w:r>
              <w:rPr>
                <w:rFonts w:hint="eastAsia" w:ascii="宋体" w:hAnsi="宋体"/>
                <w:kern w:val="0"/>
                <w:sz w:val="24"/>
              </w:rPr>
              <w:t>平湖市新仓镇人民政府关于新仓镇幼儿园新建项目户外玩具采购项目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2</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ascii="宋体" w:hAnsi="宋体"/>
                <w:b/>
                <w:bCs/>
                <w:sz w:val="24"/>
              </w:rPr>
              <w:t>采购内容</w:t>
            </w:r>
            <w:r>
              <w:rPr>
                <w:rFonts w:hint="eastAsia" w:ascii="宋体" w:hAnsi="宋体"/>
                <w:b/>
                <w:bCs/>
                <w:sz w:val="24"/>
              </w:rPr>
              <w:t>：</w:t>
            </w:r>
            <w:r>
              <w:rPr>
                <w:rFonts w:hint="eastAsia" w:ascii="宋体" w:hAnsi="宋体"/>
                <w:kern w:val="0"/>
                <w:sz w:val="24"/>
              </w:rPr>
              <w:t>户外玩具</w:t>
            </w:r>
            <w:r>
              <w:rPr>
                <w:rFonts w:hint="eastAsia" w:ascii="宋体" w:hAnsi="宋体"/>
                <w:bCs/>
                <w:sz w:val="24"/>
              </w:rPr>
              <w:t>，具体详见采购需求。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3</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hint="eastAsia" w:ascii="宋体" w:hAnsi="宋体"/>
                <w:b/>
                <w:sz w:val="24"/>
              </w:rPr>
              <w:t>投标报价及费用：</w:t>
            </w:r>
            <w:r>
              <w:rPr>
                <w:rFonts w:ascii="宋体" w:hAnsi="宋体"/>
                <w:sz w:val="24"/>
              </w:rPr>
              <w:t>1</w:t>
            </w:r>
            <w:r>
              <w:rPr>
                <w:rFonts w:hint="eastAsia" w:ascii="宋体" w:hAnsi="宋体"/>
                <w:sz w:val="24"/>
              </w:rPr>
              <w:t>、本项目投标应以人民币报价；</w:t>
            </w:r>
            <w:r>
              <w:rPr>
                <w:rFonts w:ascii="宋体" w:hAnsi="宋体"/>
                <w:sz w:val="24"/>
              </w:rPr>
              <w:t>2</w:t>
            </w:r>
            <w:r>
              <w:rPr>
                <w:rFonts w:hint="eastAsia" w:ascii="宋体" w:hAnsi="宋体"/>
                <w:sz w:val="24"/>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4</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ascii="宋体" w:hAnsi="宋体"/>
                <w:b/>
                <w:sz w:val="24"/>
              </w:rPr>
              <w:t>投标保证金：</w:t>
            </w:r>
            <w:r>
              <w:rPr>
                <w:rFonts w:hint="eastAsia" w:ascii="宋体" w:hAnsi="宋体"/>
                <w:sz w:val="24"/>
              </w:rPr>
              <w:t>0元</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5</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仿宋_GB2312"/>
                <w:b/>
                <w:sz w:val="24"/>
              </w:rPr>
            </w:pPr>
            <w:r>
              <w:rPr>
                <w:rFonts w:hint="eastAsia" w:ascii="宋体" w:hAnsi="宋体"/>
                <w:b/>
                <w:bCs/>
                <w:sz w:val="24"/>
              </w:rPr>
              <w:t>答疑与澄清：</w:t>
            </w:r>
            <w:r>
              <w:rPr>
                <w:rFonts w:hint="eastAsia" w:ascii="宋体" w:hAnsi="宋体"/>
                <w:sz w:val="24"/>
              </w:rPr>
              <w:t>投标人应认真阅读本招标文件，发现其中有误或有不合理要求的，供应商可在获取招标文件之日或者招标文件公告期限届满之日（公告期限届满后获取招标文件的，以公告期限届满之日为准）起7个工作日内以书面形式向招标人一次性提出。采购代理机构对已发出的招标文件进行必要澄清、答复、修改或补充的，应当在招标文件要求提交投标文件截止时间十五日前，在浙江政府采购网</w:t>
            </w:r>
            <w:r>
              <w:rPr>
                <w:rFonts w:hint="eastAsia" w:ascii="宋体" w:hAnsi="宋体" w:cs="宋体"/>
                <w:sz w:val="24"/>
              </w:rPr>
              <w:t>(https://zfcg.czt.zj.gov.cn/)和平湖市公共资源交易中心网（https://jxszwsjb.jiaxing.gov.cn/col/col1229743843/index.html ）</w:t>
            </w:r>
            <w:r>
              <w:rPr>
                <w:rFonts w:hint="eastAsia" w:ascii="宋体" w:hAnsi="宋体"/>
                <w:sz w:val="24"/>
              </w:rPr>
              <w:t>上发布更正公告，请投标人在投标截止前及时关注。招标文件的要澄清、答复、修改或补充，一经在上述媒体发布，即视所有投标人都已经收到相关文件。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6</w:t>
            </w:r>
          </w:p>
        </w:tc>
        <w:tc>
          <w:tcPr>
            <w:tcW w:w="886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 w:val="24"/>
              </w:rPr>
            </w:pPr>
            <w:r>
              <w:rPr>
                <w:rFonts w:hint="eastAsia" w:ascii="宋体" w:hAnsi="宋体"/>
                <w:b/>
                <w:sz w:val="24"/>
              </w:rPr>
              <w:t>本项目实行网上投标，投标人于“政采云”上提供电子投标文件。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7</w:t>
            </w: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b/>
                <w:sz w:val="24"/>
              </w:rPr>
            </w:pPr>
            <w:r>
              <w:rPr>
                <w:rFonts w:hint="eastAsia" w:ascii="宋体" w:hAnsi="宋体" w:cs="宋体"/>
                <w:b/>
                <w:bCs/>
                <w:sz w:val="24"/>
              </w:rPr>
              <w:t>上传电子投标文件时间</w:t>
            </w:r>
            <w:r>
              <w:rPr>
                <w:rFonts w:hint="eastAsia" w:ascii="宋体" w:hAnsi="宋体" w:cs="宋体"/>
                <w:sz w:val="24"/>
              </w:rPr>
              <w:t>：2025</w:t>
            </w:r>
            <w:r>
              <w:rPr>
                <w:rFonts w:hint="eastAsia" w:ascii="宋体" w:hAnsi="宋体" w:cs="宋体"/>
                <w:sz w:val="24"/>
                <w:highlight w:val="none"/>
              </w:rPr>
              <w:t>年</w:t>
            </w:r>
            <w:r>
              <w:rPr>
                <w:rFonts w:hint="eastAsia" w:ascii="宋体" w:hAnsi="宋体" w:cs="宋体"/>
                <w:sz w:val="24"/>
                <w:highlight w:val="none"/>
                <w:lang w:val="en-US" w:eastAsia="zh-CN"/>
              </w:rPr>
              <w:t>2</w:t>
            </w:r>
            <w:r>
              <w:rPr>
                <w:rFonts w:hint="eastAsia" w:ascii="宋体" w:hAnsi="宋体" w:cs="宋体"/>
                <w:sz w:val="24"/>
                <w:highlight w:val="none"/>
              </w:rPr>
              <w:t>月</w:t>
            </w:r>
            <w:r>
              <w:rPr>
                <w:rFonts w:hint="eastAsia" w:ascii="宋体" w:hAnsi="宋体" w:cs="宋体"/>
                <w:sz w:val="24"/>
                <w:highlight w:val="none"/>
                <w:lang w:val="en-US" w:eastAsia="zh-CN"/>
              </w:rPr>
              <w:t>12</w:t>
            </w:r>
            <w:r>
              <w:rPr>
                <w:rFonts w:hint="eastAsia" w:ascii="宋体" w:hAnsi="宋体" w:cs="宋体"/>
                <w:sz w:val="24"/>
                <w:highlight w:val="none"/>
              </w:rPr>
              <w:t>日上</w:t>
            </w:r>
            <w:r>
              <w:rPr>
                <w:rFonts w:hint="eastAsia" w:ascii="宋体" w:hAnsi="宋体" w:cs="宋体"/>
                <w:sz w:val="24"/>
              </w:rPr>
              <w:t>午9：30前在“政采云”上自行加密上传电子投标文件，逾期上传或未按要求上传的投标文件将予以拒收。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b/>
                <w:bCs/>
                <w:sz w:val="24"/>
              </w:rPr>
            </w:pPr>
            <w:r>
              <w:rPr>
                <w:rFonts w:hint="eastAsia" w:ascii="宋体" w:hAnsi="宋体"/>
                <w:b/>
                <w:bCs/>
                <w:sz w:val="24"/>
              </w:rPr>
              <w:t>首台套产品政策：</w:t>
            </w:r>
            <w:r>
              <w:rPr>
                <w:rFonts w:hint="eastAsia" w:ascii="宋体" w:hAnsi="宋体"/>
                <w:sz w:val="24"/>
              </w:rPr>
              <w:t>首台套产品被纳入《首台套产品推广应用指导目录》之日起3年内，视同已具备相应销售业绩，参加政府采购活动时业绩分值为满分。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8</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ascii="宋体" w:hAnsi="宋体"/>
                <w:b/>
                <w:sz w:val="24"/>
              </w:rPr>
              <w:t>评标办法及评分标准：</w:t>
            </w:r>
            <w:r>
              <w:rPr>
                <w:rFonts w:ascii="宋体" w:hAnsi="宋体"/>
                <w:sz w:val="24"/>
              </w:rPr>
              <w:t>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8"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9</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b/>
                <w:sz w:val="24"/>
              </w:rPr>
            </w:pPr>
            <w:r>
              <w:rPr>
                <w:rFonts w:hint="eastAsia" w:ascii="宋体" w:hAnsi="宋体" w:cs="宋体"/>
                <w:b/>
                <w:bCs/>
                <w:sz w:val="24"/>
              </w:rPr>
              <w:t>评标结果公告：</w:t>
            </w:r>
            <w:r>
              <w:rPr>
                <w:rFonts w:hint="eastAsia" w:ascii="宋体" w:hAnsi="宋体" w:cs="宋体"/>
                <w:sz w:val="24"/>
              </w:rPr>
              <w:t>评标结束后2个工作日内，评标结果公告于浙江省政府采购网(http://zfcg.czt.zj.gov.cn)和</w:t>
            </w:r>
            <w:r>
              <w:rPr>
                <w:rFonts w:hint="eastAsia" w:ascii="宋体" w:hAnsi="宋体"/>
                <w:sz w:val="24"/>
              </w:rPr>
              <w:t>平湖市</w:t>
            </w:r>
            <w:r>
              <w:rPr>
                <w:rFonts w:ascii="宋体" w:hAnsi="宋体"/>
                <w:sz w:val="24"/>
              </w:rPr>
              <w:t>公共资源交易中心网（</w:t>
            </w:r>
            <w:r>
              <w:rPr>
                <w:rFonts w:hint="eastAsia" w:ascii="宋体" w:hAnsi="宋体" w:cs="宋体"/>
                <w:sz w:val="24"/>
              </w:rPr>
              <w:t xml:space="preserve">https://jxszwsjb.jiaxing.gov.cn/col/col1229743843/index.html </w:t>
            </w:r>
            <w:r>
              <w:rPr>
                <w:rFonts w:ascii="宋体" w:hAnsi="宋体"/>
                <w:sz w:val="24"/>
              </w:rPr>
              <w:t>）</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10</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sz w:val="24"/>
              </w:rPr>
            </w:pPr>
            <w:r>
              <w:rPr>
                <w:rFonts w:hint="eastAsia" w:ascii="宋体" w:hAnsi="宋体" w:cs="宋体"/>
                <w:b/>
                <w:bCs/>
                <w:sz w:val="24"/>
              </w:rPr>
              <w:t>中标公告及中标通知书：</w:t>
            </w:r>
            <w:r>
              <w:rPr>
                <w:rFonts w:hint="eastAsia" w:ascii="宋体" w:hAnsi="宋体" w:cs="宋体"/>
                <w:sz w:val="24"/>
              </w:rPr>
              <w:t>中标公告发布于上述媒体，中标公告期限为1个工作日。在公告中标结果的同时，集中采购机构向中标人发出中标通知书。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b/>
                <w:sz w:val="24"/>
              </w:rPr>
              <w:t>信用记录：</w:t>
            </w:r>
            <w:r>
              <w:rPr>
                <w:rFonts w:hint="eastAsia" w:ascii="宋体" w:hAnsi="宋体"/>
                <w:sz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b/>
                <w:bCs/>
                <w:sz w:val="24"/>
              </w:rPr>
              <w:t>政府采购节能环保产品：</w:t>
            </w:r>
            <w:r>
              <w:rPr>
                <w:rFonts w:ascii="宋体" w:hAnsi="宋体"/>
                <w:sz w:val="24"/>
              </w:rPr>
              <w:t>投标产品符合财库〔2019〕9号《关于调整优化节能产品、环境标志产品政府采购执行机制的通知》条件。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13</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sz w:val="24"/>
              </w:rPr>
            </w:pPr>
            <w:r>
              <w:rPr>
                <w:rFonts w:hint="eastAsia" w:ascii="宋体" w:hAnsi="宋体"/>
                <w:b/>
                <w:sz w:val="24"/>
              </w:rPr>
              <w:t>中小企业划分标准所属行业（具体根据《中小企业划型标准规定》执行）：</w:t>
            </w:r>
          </w:p>
          <w:p>
            <w:pPr>
              <w:snapToGrid w:val="0"/>
              <w:spacing w:line="360" w:lineRule="auto"/>
              <w:rPr>
                <w:rFonts w:ascii="宋体" w:hAnsi="宋体" w:cs="宋体"/>
                <w:b/>
                <w:kern w:val="0"/>
                <w:sz w:val="24"/>
              </w:rPr>
            </w:pPr>
            <w:r>
              <w:rPr>
                <w:rFonts w:hint="eastAsia" w:ascii="宋体" w:hAnsi="宋体"/>
                <w:sz w:val="24"/>
              </w:rPr>
              <w:t>采购标的：其他娱乐设备，所属行业：工业。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14</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sz w:val="24"/>
              </w:rPr>
            </w:pPr>
            <w:r>
              <w:rPr>
                <w:rFonts w:hint="eastAsia" w:ascii="宋体" w:hAnsi="宋体"/>
                <w:b/>
                <w:sz w:val="24"/>
              </w:rPr>
              <w:t>中小企业预留份额情况：</w:t>
            </w:r>
            <w:r>
              <w:rPr>
                <w:rFonts w:hint="eastAsia" w:ascii="宋体" w:hAnsi="宋体"/>
                <w:sz w:val="24"/>
              </w:rPr>
              <w:t>根据《政府采购促进中小企业发展管理办法》财库〔2020〕46号文件的规定，本项目</w:t>
            </w:r>
            <w:r>
              <w:rPr>
                <w:rFonts w:hint="eastAsia" w:ascii="宋体" w:hAnsi="宋体"/>
                <w:sz w:val="24"/>
                <w:u w:val="single"/>
              </w:rPr>
              <w:t xml:space="preserve"> 是 </w:t>
            </w:r>
            <w:r>
              <w:rPr>
                <w:rFonts w:hint="eastAsia" w:ascii="宋体" w:hAnsi="宋体"/>
                <w:sz w:val="24"/>
              </w:rPr>
              <w:t>属于预留份额专门面向中小企业采购的项目。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15</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bCs/>
                <w:sz w:val="24"/>
              </w:rPr>
            </w:pPr>
            <w:r>
              <w:rPr>
                <w:rFonts w:hint="eastAsia" w:ascii="宋体" w:hAnsi="宋体"/>
                <w:b/>
                <w:bCs/>
                <w:sz w:val="24"/>
              </w:rPr>
              <w:t>小微企业有关政策：</w:t>
            </w:r>
          </w:p>
          <w:p>
            <w:pPr>
              <w:snapToGrid w:val="0"/>
              <w:spacing w:line="360" w:lineRule="auto"/>
              <w:rPr>
                <w:rFonts w:ascii="宋体" w:hAnsi="宋体" w:cs="宋体"/>
                <w:sz w:val="24"/>
              </w:rPr>
            </w:pPr>
            <w:r>
              <w:rPr>
                <w:rFonts w:hint="eastAsia" w:ascii="宋体" w:hAnsi="宋体" w:cs="宋体"/>
                <w:sz w:val="24"/>
              </w:rPr>
              <w:t>1.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auto"/>
              <w:rPr>
                <w:rFonts w:ascii="宋体" w:hAnsi="宋体" w:cs="宋体"/>
                <w:sz w:val="24"/>
              </w:rPr>
            </w:pPr>
            <w:r>
              <w:rPr>
                <w:rFonts w:hint="eastAsia" w:ascii="宋体" w:hAnsi="宋体" w:cs="宋体"/>
                <w:sz w:val="24"/>
              </w:rPr>
              <w:t>2.投标人按照《关于印发中小企业划型标准规定的通知》（工信部联企业〔2011〕300号）的所属行业规定为中型、小型、微型企业，在投标文件须提供《中小企业声明函》（见附件）；</w:t>
            </w:r>
          </w:p>
          <w:p>
            <w:pPr>
              <w:snapToGrid w:val="0"/>
              <w:spacing w:line="360" w:lineRule="auto"/>
              <w:rPr>
                <w:rFonts w:ascii="宋体" w:hAnsi="宋体" w:cs="宋体"/>
                <w:sz w:val="24"/>
              </w:rPr>
            </w:pPr>
            <w:r>
              <w:rPr>
                <w:rFonts w:hint="eastAsia" w:ascii="宋体" w:hAnsi="宋体" w:cs="宋体"/>
                <w:sz w:val="24"/>
              </w:rPr>
              <w:t>3.残疾人福利性单位参加采购活动，视为中小企业，享受中小企业政策扶持，应满足财库[2017]141号文件第一条的规定，并在投标文件中提供《残疾人福利性单位声明函》（见附件）。</w:t>
            </w:r>
          </w:p>
          <w:p>
            <w:pPr>
              <w:snapToGrid w:val="0"/>
              <w:spacing w:line="360" w:lineRule="auto"/>
              <w:rPr>
                <w:rFonts w:ascii="宋体" w:hAnsi="宋体"/>
                <w:b/>
                <w:sz w:val="24"/>
              </w:rPr>
            </w:pPr>
            <w:r>
              <w:rPr>
                <w:rFonts w:hint="eastAsia" w:ascii="宋体" w:hAnsi="宋体" w:cs="宋体"/>
                <w:sz w:val="24"/>
              </w:rPr>
              <w:t>4.监狱企业参加采购活动，视为中小企业，享受中小企业政策扶持，在投标文件中提供由省级以上监狱管理局、戒毒管理局（含新疆生产建设兵团）出具的属于监狱企业的证明文件（格式自拟）。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16</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b/>
                <w:bCs/>
                <w:sz w:val="24"/>
              </w:rPr>
              <w:t>现场踏勘：</w:t>
            </w:r>
            <w:r>
              <w:rPr>
                <w:rFonts w:hint="eastAsia" w:ascii="宋体" w:hAnsi="宋体" w:cs="宋体"/>
                <w:bCs/>
                <w:sz w:val="24"/>
              </w:rPr>
              <w:t>本项目由各供应商自行决定是否到现场踏勘（供应商自行承担现场踏勘所发生的费用以及责任和风险）。现场踏勘起止时间：采购公告发布后至开标前一天止。</w:t>
            </w:r>
            <w:r>
              <w:rPr>
                <w:rFonts w:hint="eastAsia" w:ascii="宋体" w:hAnsi="宋体" w:cs="宋体"/>
                <w:sz w:val="24"/>
              </w:rPr>
              <w:t>联系人：朱佳成；联系电话：18358304997。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17</w:t>
            </w: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b/>
                <w:bCs/>
                <w:sz w:val="24"/>
              </w:rPr>
            </w:pPr>
            <w:r>
              <w:rPr>
                <w:rFonts w:ascii="宋体" w:hAnsi="宋体"/>
                <w:b/>
                <w:sz w:val="24"/>
              </w:rPr>
              <w:t>签订合同时间：</w:t>
            </w:r>
            <w:r>
              <w:rPr>
                <w:rFonts w:hint="eastAsia" w:ascii="宋体" w:hAnsi="宋体" w:cs="宋体"/>
                <w:sz w:val="24"/>
              </w:rPr>
              <w:t>中标通知书发出后30日内。建议采购人在对采购结果质疑期（自采购结果公告之日起七个工作日）后与中标人签订政府采购合同。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18</w:t>
            </w:r>
          </w:p>
        </w:tc>
        <w:tc>
          <w:tcPr>
            <w:tcW w:w="8866"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b/>
                <w:bCs/>
                <w:sz w:val="24"/>
              </w:rPr>
            </w:pPr>
            <w:r>
              <w:rPr>
                <w:rFonts w:hint="eastAsia" w:ascii="宋体" w:hAnsi="宋体" w:cs="宋体"/>
                <w:b/>
                <w:bCs/>
                <w:sz w:val="24"/>
              </w:rPr>
              <w:t>合同公告：</w:t>
            </w:r>
            <w:r>
              <w:rPr>
                <w:rFonts w:hint="eastAsia" w:ascii="宋体" w:hAnsi="宋体" w:cs="宋体"/>
                <w:sz w:val="24"/>
              </w:rPr>
              <w:t>本项目政府采购合同将于签订之日起2个工作日内发布于上述媒体，但政府采购合同中涉及国家秘密、商业秘密的内容除外。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19</w:t>
            </w:r>
          </w:p>
        </w:tc>
        <w:tc>
          <w:tcPr>
            <w:tcW w:w="8866" w:type="dxa"/>
            <w:tcBorders>
              <w:top w:val="single" w:color="auto" w:sz="4" w:space="0"/>
              <w:left w:val="single" w:color="auto" w:sz="4" w:space="0"/>
              <w:bottom w:val="single" w:color="auto" w:sz="4" w:space="0"/>
              <w:right w:val="single" w:color="auto" w:sz="4" w:space="0"/>
            </w:tcBorders>
            <w:vAlign w:val="center"/>
          </w:tcPr>
          <w:p>
            <w:pPr>
              <w:pStyle w:val="3"/>
              <w:ind w:firstLine="0" w:firstLineChars="0"/>
              <w:rPr>
                <w:rFonts w:ascii="宋体" w:hAnsi="宋体"/>
                <w:bCs/>
              </w:rPr>
            </w:pPr>
            <w:r>
              <w:rPr>
                <w:rFonts w:hint="eastAsia" w:ascii="宋体" w:hAnsi="宋体"/>
                <w:b/>
              </w:rPr>
              <w:t>付款方式：</w:t>
            </w:r>
            <w:r>
              <w:rPr>
                <w:rFonts w:hint="eastAsia" w:ascii="宋体" w:hAnsi="宋体"/>
                <w:bCs/>
              </w:rPr>
              <w:t>1.合同签订并具备实施条件后七个工作日内，中标供应商开具发票，采购人向中标供应商支付合同金额50%预付款；</w:t>
            </w:r>
          </w:p>
          <w:p>
            <w:pPr>
              <w:pStyle w:val="3"/>
              <w:ind w:firstLine="0" w:firstLineChars="0"/>
              <w:rPr>
                <w:rFonts w:ascii="宋体" w:hAnsi="宋体"/>
                <w:b/>
                <w:bCs/>
              </w:rPr>
            </w:pPr>
            <w:r>
              <w:rPr>
                <w:rFonts w:hint="eastAsia" w:ascii="宋体" w:hAnsi="宋体"/>
                <w:bCs/>
              </w:rPr>
              <w:t>2.全部安装完毕、验收合格且收到发票后，支付至合同价的100%。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8"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kern w:val="0"/>
                <w:sz w:val="24"/>
              </w:rPr>
            </w:pPr>
            <w:r>
              <w:rPr>
                <w:rFonts w:hint="eastAsia" w:ascii="宋体" w:hAnsi="宋体" w:cs="宋体"/>
                <w:kern w:val="0"/>
                <w:sz w:val="24"/>
              </w:rPr>
              <w:t>20</w:t>
            </w:r>
          </w:p>
        </w:tc>
        <w:tc>
          <w:tcPr>
            <w:tcW w:w="8866" w:type="dxa"/>
            <w:tcBorders>
              <w:top w:val="single" w:color="auto" w:sz="4" w:space="0"/>
              <w:left w:val="single" w:color="auto" w:sz="4" w:space="0"/>
              <w:bottom w:val="single" w:color="auto" w:sz="4" w:space="0"/>
              <w:right w:val="single" w:color="auto" w:sz="4" w:space="0"/>
            </w:tcBorders>
            <w:vAlign w:val="center"/>
          </w:tcPr>
          <w:p>
            <w:pPr>
              <w:pStyle w:val="2"/>
              <w:spacing w:line="360" w:lineRule="auto"/>
              <w:rPr>
                <w:rFonts w:ascii="宋体" w:hAnsi="宋体"/>
                <w:sz w:val="24"/>
              </w:rPr>
            </w:pPr>
            <w:r>
              <w:rPr>
                <w:rFonts w:hint="eastAsia" w:ascii="宋体" w:hAnsi="宋体" w:eastAsia="宋体" w:cs="宋体"/>
                <w:kern w:val="2"/>
                <w:sz w:val="24"/>
                <w:szCs w:val="24"/>
              </w:rPr>
              <w:t>交货及安装调试时间：</w:t>
            </w:r>
            <w:r>
              <w:rPr>
                <w:rFonts w:hint="eastAsia" w:ascii="宋体" w:hAnsi="宋体" w:eastAsia="宋体" w:cs="宋体"/>
                <w:b w:val="0"/>
                <w:bCs w:val="0"/>
                <w:kern w:val="2"/>
                <w:sz w:val="24"/>
                <w:szCs w:val="24"/>
              </w:rPr>
              <w:t>1.交货及安装调试时间：合同签订后30个工作日内完成设备交付与安装调试；2.交货地点：采购人指定地点。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21</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 w:val="24"/>
              </w:rPr>
            </w:pPr>
            <w:r>
              <w:rPr>
                <w:rFonts w:ascii="宋体" w:hAnsi="宋体"/>
                <w:b/>
                <w:sz w:val="24"/>
              </w:rPr>
              <w:t>投标文件有效期：</w:t>
            </w:r>
            <w:r>
              <w:rPr>
                <w:rFonts w:hint="eastAsia" w:ascii="宋体" w:hAnsi="宋体"/>
                <w:sz w:val="24"/>
                <w:u w:val="single"/>
              </w:rPr>
              <w:t xml:space="preserve"> 90 </w:t>
            </w:r>
            <w:r>
              <w:rPr>
                <w:rFonts w:ascii="宋体" w:hAnsi="宋体"/>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22</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sz w:val="24"/>
              </w:rPr>
            </w:pPr>
            <w:r>
              <w:rPr>
                <w:rFonts w:hint="eastAsia" w:ascii="宋体" w:hAnsi="宋体"/>
                <w:b/>
                <w:bCs/>
                <w:kern w:val="0"/>
                <w:sz w:val="24"/>
              </w:rPr>
              <w:t>履约保证金：</w:t>
            </w:r>
            <w:r>
              <w:rPr>
                <w:rFonts w:hint="eastAsia" w:ascii="宋体" w:hAnsi="宋体"/>
                <w:sz w:val="24"/>
              </w:rPr>
              <w:t>本项目不设置履约保证金。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7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23</w:t>
            </w:r>
          </w:p>
        </w:tc>
        <w:tc>
          <w:tcPr>
            <w:tcW w:w="886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sz w:val="24"/>
              </w:rPr>
            </w:pPr>
            <w:r>
              <w:rPr>
                <w:rFonts w:ascii="宋体" w:hAnsi="宋体"/>
                <w:b/>
                <w:sz w:val="24"/>
              </w:rPr>
              <w:t>解释：</w:t>
            </w:r>
            <w:r>
              <w:rPr>
                <w:rFonts w:ascii="宋体" w:hAnsi="宋体"/>
                <w:sz w:val="24"/>
              </w:rPr>
              <w:t>本招标文件的解释权属于</w:t>
            </w:r>
            <w:r>
              <w:rPr>
                <w:rFonts w:hint="eastAsia" w:ascii="宋体" w:hAnsi="宋体"/>
                <w:sz w:val="24"/>
              </w:rPr>
              <w:t>采购人和平湖市公共资源交易中心</w:t>
            </w:r>
            <w:r>
              <w:rPr>
                <w:rFonts w:ascii="宋体" w:hAnsi="宋体"/>
                <w:sz w:val="24"/>
              </w:rPr>
              <w:t>。</w:t>
            </w:r>
          </w:p>
        </w:tc>
      </w:tr>
    </w:tbl>
    <w:p>
      <w:pPr>
        <w:pStyle w:val="11"/>
        <w:snapToGrid w:val="0"/>
        <w:spacing w:beforeLines="0" w:afterLines="0" w:line="360" w:lineRule="auto"/>
        <w:outlineLvl w:val="1"/>
        <w:rPr>
          <w:rFonts w:hAnsi="宋体"/>
          <w:b/>
        </w:rPr>
      </w:pPr>
    </w:p>
    <w:p>
      <w:pPr>
        <w:pStyle w:val="11"/>
        <w:snapToGrid w:val="0"/>
        <w:spacing w:beforeLines="0" w:afterLines="0" w:line="360" w:lineRule="auto"/>
        <w:ind w:left="802" w:leftChars="267" w:hanging="241" w:hangingChars="100"/>
        <w:outlineLvl w:val="1"/>
        <w:rPr>
          <w:rFonts w:hAnsi="宋体"/>
          <w:b/>
        </w:rPr>
      </w:pPr>
      <w:r>
        <w:rPr>
          <w:rFonts w:hAnsi="宋体"/>
          <w:b/>
        </w:rPr>
        <w:t>一</w:t>
      </w:r>
      <w:r>
        <w:rPr>
          <w:rFonts w:hint="eastAsia" w:hAnsi="宋体"/>
          <w:b/>
        </w:rPr>
        <w:t>、</w:t>
      </w:r>
      <w:r>
        <w:rPr>
          <w:rFonts w:hAnsi="宋体"/>
          <w:b/>
        </w:rPr>
        <w:t>总  则</w:t>
      </w:r>
    </w:p>
    <w:p>
      <w:pPr>
        <w:snapToGrid w:val="0"/>
        <w:spacing w:line="520" w:lineRule="exact"/>
        <w:ind w:firstLine="482" w:firstLineChars="200"/>
        <w:rPr>
          <w:rFonts w:ascii="宋体" w:hAnsi="宋体"/>
          <w:b/>
          <w:sz w:val="24"/>
        </w:rPr>
      </w:pPr>
      <w:r>
        <w:rPr>
          <w:rFonts w:ascii="宋体" w:hAnsi="宋体"/>
          <w:b/>
          <w:sz w:val="24"/>
        </w:rPr>
        <w:t>（一） 适用范围</w:t>
      </w:r>
    </w:p>
    <w:p>
      <w:pPr>
        <w:snapToGrid w:val="0"/>
        <w:spacing w:line="520" w:lineRule="exact"/>
        <w:ind w:firstLine="480" w:firstLineChars="200"/>
        <w:rPr>
          <w:rFonts w:ascii="宋体" w:hAnsi="宋体"/>
          <w:sz w:val="24"/>
        </w:rPr>
      </w:pPr>
      <w:r>
        <w:rPr>
          <w:rFonts w:hint="eastAsia" w:ascii="宋体" w:hAnsi="宋体"/>
          <w:sz w:val="24"/>
        </w:rPr>
        <w:t>本招标文件适用于本次所述项目的招标、评标、定标、验收、合同履约、付款等</w:t>
      </w:r>
      <w:r>
        <w:rPr>
          <w:rFonts w:ascii="宋体" w:hAnsi="宋体"/>
          <w:sz w:val="24"/>
        </w:rPr>
        <w:t>（法律、法规另有规定的，从其规定）。</w:t>
      </w:r>
    </w:p>
    <w:p>
      <w:pPr>
        <w:snapToGrid w:val="0"/>
        <w:spacing w:line="520" w:lineRule="exact"/>
        <w:ind w:firstLine="482" w:firstLineChars="200"/>
        <w:rPr>
          <w:rFonts w:ascii="宋体" w:hAnsi="宋体"/>
          <w:b/>
          <w:sz w:val="24"/>
        </w:rPr>
      </w:pPr>
      <w:r>
        <w:rPr>
          <w:rFonts w:ascii="宋体" w:hAnsi="宋体"/>
          <w:b/>
          <w:sz w:val="24"/>
        </w:rPr>
        <w:t>（二）定义</w:t>
      </w:r>
    </w:p>
    <w:p>
      <w:pPr>
        <w:snapToGrid w:val="0"/>
        <w:spacing w:line="520" w:lineRule="exact"/>
        <w:ind w:firstLine="480" w:firstLineChars="200"/>
        <w:rPr>
          <w:rFonts w:ascii="宋体" w:hAnsi="宋体"/>
          <w:sz w:val="24"/>
        </w:rPr>
      </w:pPr>
      <w:r>
        <w:rPr>
          <w:rFonts w:ascii="宋体" w:hAnsi="宋体"/>
          <w:sz w:val="24"/>
        </w:rPr>
        <w:t>1.</w:t>
      </w:r>
      <w:r>
        <w:rPr>
          <w:rFonts w:hint="eastAsia" w:ascii="宋体" w:hAnsi="宋体"/>
          <w:sz w:val="24"/>
        </w:rPr>
        <w:t>“招标采购人”系指组织本次招标的平湖市公共资源交易中心（“招标人”）和采购人。</w:t>
      </w:r>
    </w:p>
    <w:p>
      <w:pPr>
        <w:snapToGrid w:val="0"/>
        <w:spacing w:line="520" w:lineRule="exact"/>
        <w:ind w:firstLine="480" w:firstLineChars="200"/>
        <w:rPr>
          <w:rFonts w:ascii="宋体" w:hAnsi="宋体"/>
          <w:sz w:val="24"/>
        </w:rPr>
      </w:pPr>
      <w:r>
        <w:rPr>
          <w:rFonts w:ascii="宋体" w:hAnsi="宋体"/>
          <w:sz w:val="24"/>
        </w:rPr>
        <w:t>2.“投标人”系指向招标</w:t>
      </w:r>
      <w:r>
        <w:rPr>
          <w:rFonts w:hint="eastAsia" w:ascii="宋体" w:hAnsi="宋体"/>
          <w:sz w:val="24"/>
        </w:rPr>
        <w:t>人</w:t>
      </w:r>
      <w:r>
        <w:rPr>
          <w:rFonts w:ascii="宋体" w:hAnsi="宋体"/>
          <w:sz w:val="24"/>
        </w:rPr>
        <w:t>提交投标文件的单位或个人。</w:t>
      </w:r>
    </w:p>
    <w:p>
      <w:pPr>
        <w:snapToGrid w:val="0"/>
        <w:spacing w:line="520" w:lineRule="exact"/>
        <w:ind w:firstLine="480" w:firstLineChars="200"/>
        <w:rPr>
          <w:rFonts w:ascii="宋体" w:hAnsi="宋体"/>
          <w:sz w:val="24"/>
        </w:rPr>
      </w:pPr>
      <w:r>
        <w:rPr>
          <w:rFonts w:ascii="宋体" w:hAnsi="宋体"/>
          <w:sz w:val="24"/>
        </w:rPr>
        <w:t>3.“产品”</w:t>
      </w:r>
      <w:r>
        <w:rPr>
          <w:rFonts w:hint="eastAsia" w:ascii="宋体" w:hAnsi="宋体"/>
          <w:sz w:val="24"/>
        </w:rPr>
        <w:t>系指供方按招标文件规定，须向采购人提供的一切设备、保险、税金、备品备件、工具、手册及其它有关技术资料和材料。</w:t>
      </w:r>
    </w:p>
    <w:p>
      <w:pPr>
        <w:snapToGrid w:val="0"/>
        <w:spacing w:line="520" w:lineRule="exact"/>
        <w:ind w:firstLine="480" w:firstLineChars="200"/>
        <w:rPr>
          <w:rFonts w:ascii="宋体" w:hAnsi="宋体"/>
          <w:sz w:val="24"/>
        </w:rPr>
      </w:pPr>
      <w:r>
        <w:rPr>
          <w:rFonts w:ascii="宋体" w:hAnsi="宋体"/>
          <w:sz w:val="24"/>
        </w:rPr>
        <w:t>4.</w:t>
      </w:r>
      <w:r>
        <w:rPr>
          <w:rFonts w:hint="eastAsia" w:ascii="宋体" w:hAnsi="宋体"/>
          <w:sz w:val="24"/>
        </w:rPr>
        <w:t>“服务”系指招标文件规定投标人须承担的安装、调试、技术协助、校准、培训、技术指导以及其他类似的义务。</w:t>
      </w:r>
    </w:p>
    <w:p>
      <w:pPr>
        <w:snapToGrid w:val="0"/>
        <w:spacing w:line="520" w:lineRule="exact"/>
        <w:ind w:firstLine="480" w:firstLineChars="200"/>
        <w:rPr>
          <w:rFonts w:ascii="宋体" w:hAnsi="宋体"/>
          <w:sz w:val="24"/>
        </w:rPr>
      </w:pPr>
      <w:r>
        <w:rPr>
          <w:rFonts w:hint="eastAsia" w:ascii="宋体" w:hAnsi="宋体"/>
          <w:sz w:val="24"/>
        </w:rPr>
        <w:t>5.“项目”系指投标人按招标文件规定向采购人提供的产品和服务。</w:t>
      </w:r>
    </w:p>
    <w:p>
      <w:pPr>
        <w:snapToGrid w:val="0"/>
        <w:spacing w:line="520" w:lineRule="exact"/>
        <w:ind w:firstLine="480" w:firstLineChars="200"/>
        <w:rPr>
          <w:rFonts w:ascii="宋体" w:hAnsi="宋体"/>
          <w:sz w:val="24"/>
        </w:rPr>
      </w:pPr>
      <w:r>
        <w:rPr>
          <w:rFonts w:hint="eastAsia" w:ascii="宋体" w:hAnsi="宋体"/>
          <w:sz w:val="24"/>
        </w:rPr>
        <w:t>6.“书面形式”包括信函、传真、电报等。</w:t>
      </w:r>
    </w:p>
    <w:p>
      <w:pPr>
        <w:snapToGrid w:val="0"/>
        <w:spacing w:line="520" w:lineRule="exact"/>
        <w:ind w:firstLine="480" w:firstLineChars="200"/>
        <w:jc w:val="left"/>
        <w:rPr>
          <w:rFonts w:ascii="宋体" w:hAnsi="宋体"/>
          <w:sz w:val="24"/>
        </w:rPr>
      </w:pPr>
      <w:r>
        <w:rPr>
          <w:rFonts w:hint="eastAsia" w:ascii="宋体" w:hAnsi="宋体"/>
          <w:sz w:val="24"/>
        </w:rPr>
        <w:t>7</w:t>
      </w:r>
      <w:r>
        <w:rPr>
          <w:rFonts w:ascii="宋体" w:hAnsi="宋体"/>
          <w:sz w:val="24"/>
        </w:rPr>
        <w:t>.“▲”系指实质性要求条款，</w:t>
      </w:r>
      <w:r>
        <w:rPr>
          <w:rFonts w:hint="eastAsia" w:ascii="宋体" w:hAnsi="宋体"/>
          <w:sz w:val="24"/>
        </w:rPr>
        <w:t xml:space="preserve">不满足实质性要求条款的投标文件无效。 </w:t>
      </w:r>
    </w:p>
    <w:p>
      <w:pPr>
        <w:snapToGrid w:val="0"/>
        <w:spacing w:line="520" w:lineRule="exact"/>
        <w:ind w:firstLine="720" w:firstLineChars="300"/>
        <w:jc w:val="left"/>
        <w:rPr>
          <w:rFonts w:ascii="宋体" w:hAnsi="宋体"/>
          <w:sz w:val="24"/>
        </w:rPr>
      </w:pPr>
      <w:r>
        <w:rPr>
          <w:rFonts w:hint="eastAsia" w:ascii="宋体" w:hAnsi="宋体"/>
          <w:sz w:val="24"/>
        </w:rPr>
        <w:t>“★”系指核心产品。</w:t>
      </w:r>
    </w:p>
    <w:p>
      <w:pPr>
        <w:snapToGrid w:val="0"/>
        <w:spacing w:line="520" w:lineRule="exact"/>
        <w:ind w:firstLine="482" w:firstLineChars="200"/>
        <w:rPr>
          <w:rFonts w:ascii="宋体" w:hAnsi="宋体"/>
          <w:b/>
          <w:sz w:val="24"/>
        </w:rPr>
      </w:pPr>
      <w:r>
        <w:rPr>
          <w:rFonts w:ascii="宋体" w:hAnsi="宋体"/>
          <w:b/>
          <w:sz w:val="24"/>
        </w:rPr>
        <w:t>（三）招标方式</w:t>
      </w:r>
    </w:p>
    <w:p>
      <w:pPr>
        <w:snapToGrid w:val="0"/>
        <w:spacing w:line="520" w:lineRule="exact"/>
        <w:ind w:firstLine="480" w:firstLineChars="200"/>
        <w:rPr>
          <w:rFonts w:ascii="宋体" w:hAnsi="宋体"/>
          <w:sz w:val="24"/>
        </w:rPr>
      </w:pPr>
      <w:r>
        <w:rPr>
          <w:rFonts w:ascii="宋体" w:hAnsi="宋体"/>
          <w:sz w:val="24"/>
        </w:rPr>
        <w:t>本次招标采用公开招标方式进行。</w:t>
      </w:r>
    </w:p>
    <w:p>
      <w:pPr>
        <w:snapToGrid w:val="0"/>
        <w:spacing w:line="520" w:lineRule="exact"/>
        <w:ind w:firstLine="482" w:firstLineChars="200"/>
        <w:rPr>
          <w:rFonts w:ascii="宋体" w:hAnsi="宋体"/>
          <w:b/>
          <w:sz w:val="24"/>
        </w:rPr>
      </w:pPr>
      <w:r>
        <w:rPr>
          <w:rFonts w:ascii="宋体" w:hAnsi="宋体"/>
          <w:b/>
          <w:sz w:val="24"/>
        </w:rPr>
        <w:t>（四）投标委托</w:t>
      </w:r>
    </w:p>
    <w:p>
      <w:pPr>
        <w:pStyle w:val="9"/>
        <w:snapToGrid w:val="0"/>
        <w:spacing w:line="520" w:lineRule="exact"/>
        <w:ind w:firstLine="464" w:firstLineChars="200"/>
        <w:rPr>
          <w:rFonts w:hAnsi="宋体"/>
          <w:sz w:val="24"/>
        </w:rPr>
      </w:pPr>
      <w:r>
        <w:rPr>
          <w:rFonts w:hAnsi="宋体"/>
          <w:sz w:val="24"/>
        </w:rPr>
        <w:t>如投标人代表不是法定代表人，须有法定代表人出具的授权委托书（格式见第</w:t>
      </w:r>
      <w:r>
        <w:rPr>
          <w:rFonts w:hint="eastAsia" w:hAnsi="宋体"/>
          <w:sz w:val="24"/>
        </w:rPr>
        <w:t>六章</w:t>
      </w:r>
      <w:r>
        <w:rPr>
          <w:rFonts w:hAnsi="宋体"/>
          <w:sz w:val="24"/>
        </w:rPr>
        <w:t>）。</w:t>
      </w:r>
    </w:p>
    <w:p>
      <w:pPr>
        <w:snapToGrid w:val="0"/>
        <w:spacing w:line="520" w:lineRule="exact"/>
        <w:ind w:firstLine="482" w:firstLineChars="200"/>
        <w:rPr>
          <w:rFonts w:ascii="宋体" w:hAnsi="宋体"/>
          <w:b/>
          <w:sz w:val="24"/>
        </w:rPr>
      </w:pPr>
      <w:r>
        <w:rPr>
          <w:rFonts w:ascii="宋体" w:hAnsi="宋体"/>
          <w:b/>
          <w:sz w:val="24"/>
        </w:rPr>
        <w:t>（五）投标费用</w:t>
      </w:r>
    </w:p>
    <w:p>
      <w:pPr>
        <w:snapToGrid w:val="0"/>
        <w:spacing w:line="520" w:lineRule="exact"/>
        <w:ind w:firstLine="480" w:firstLineChars="200"/>
        <w:rPr>
          <w:rFonts w:ascii="宋体" w:hAnsi="宋体"/>
          <w:sz w:val="24"/>
        </w:rPr>
      </w:pPr>
      <w:r>
        <w:rPr>
          <w:rFonts w:ascii="宋体" w:hAnsi="宋体"/>
          <w:sz w:val="24"/>
        </w:rPr>
        <w:t>不论投标结果如何，投标人均应自行承担所有与投标有关的全部费用（招标文件有相</w:t>
      </w:r>
      <w:r>
        <w:rPr>
          <w:rFonts w:hint="eastAsia" w:ascii="宋体" w:hAnsi="宋体"/>
          <w:sz w:val="24"/>
        </w:rPr>
        <w:t>关</w:t>
      </w:r>
      <w:r>
        <w:rPr>
          <w:rFonts w:ascii="宋体" w:hAnsi="宋体"/>
          <w:sz w:val="24"/>
        </w:rPr>
        <w:t>规定除外）。</w:t>
      </w:r>
    </w:p>
    <w:p>
      <w:pPr>
        <w:snapToGrid w:val="0"/>
        <w:spacing w:line="520" w:lineRule="exact"/>
        <w:ind w:firstLine="482" w:firstLineChars="200"/>
        <w:rPr>
          <w:rFonts w:ascii="宋体" w:hAnsi="宋体"/>
          <w:b/>
          <w:sz w:val="24"/>
        </w:rPr>
      </w:pPr>
      <w:r>
        <w:rPr>
          <w:rFonts w:ascii="宋体" w:hAnsi="宋体"/>
          <w:b/>
          <w:sz w:val="24"/>
        </w:rPr>
        <w:t>（六）联合体投标</w:t>
      </w:r>
    </w:p>
    <w:p>
      <w:pPr>
        <w:snapToGrid w:val="0"/>
        <w:spacing w:line="520" w:lineRule="exact"/>
        <w:ind w:firstLine="480" w:firstLineChars="200"/>
        <w:rPr>
          <w:rFonts w:ascii="宋体" w:hAnsi="宋体"/>
          <w:sz w:val="24"/>
        </w:rPr>
      </w:pPr>
      <w:r>
        <w:rPr>
          <w:rFonts w:ascii="宋体" w:hAnsi="宋体"/>
          <w:sz w:val="24"/>
        </w:rPr>
        <w:t>本项目</w:t>
      </w:r>
      <w:r>
        <w:rPr>
          <w:rFonts w:hint="eastAsia" w:ascii="宋体" w:hAnsi="宋体"/>
          <w:sz w:val="24"/>
        </w:rPr>
        <w:t>不接受</w:t>
      </w:r>
      <w:r>
        <w:rPr>
          <w:rFonts w:ascii="宋体" w:hAnsi="宋体"/>
          <w:sz w:val="24"/>
        </w:rPr>
        <w:t>联合体投标。</w:t>
      </w:r>
    </w:p>
    <w:p>
      <w:pPr>
        <w:snapToGrid w:val="0"/>
        <w:spacing w:line="520" w:lineRule="exact"/>
        <w:ind w:firstLine="482" w:firstLineChars="200"/>
        <w:rPr>
          <w:rFonts w:ascii="宋体" w:hAnsi="宋体"/>
          <w:b/>
          <w:kern w:val="0"/>
          <w:sz w:val="24"/>
        </w:rPr>
      </w:pPr>
      <w:r>
        <w:rPr>
          <w:rFonts w:ascii="宋体" w:hAnsi="宋体"/>
          <w:b/>
          <w:sz w:val="24"/>
        </w:rPr>
        <w:t>（七）</w:t>
      </w:r>
      <w:r>
        <w:rPr>
          <w:rFonts w:ascii="宋体" w:hAnsi="宋体"/>
          <w:b/>
          <w:kern w:val="0"/>
          <w:sz w:val="24"/>
        </w:rPr>
        <w:t>转包与分包</w:t>
      </w:r>
    </w:p>
    <w:p>
      <w:pPr>
        <w:snapToGrid w:val="0"/>
        <w:spacing w:line="520" w:lineRule="exact"/>
        <w:ind w:firstLine="480" w:firstLineChars="200"/>
        <w:rPr>
          <w:rFonts w:ascii="宋体" w:hAnsi="宋体" w:cs="宋体"/>
          <w:kern w:val="0"/>
          <w:sz w:val="24"/>
        </w:rPr>
      </w:pPr>
      <w:r>
        <w:rPr>
          <w:rFonts w:ascii="宋体" w:hAnsi="宋体" w:cs="宋体"/>
          <w:kern w:val="0"/>
          <w:sz w:val="24"/>
        </w:rPr>
        <w:t>1</w:t>
      </w:r>
      <w:r>
        <w:rPr>
          <w:rFonts w:hint="eastAsia" w:ascii="宋体" w:hAnsi="宋体" w:cs="宋体"/>
          <w:kern w:val="0"/>
          <w:sz w:val="24"/>
        </w:rPr>
        <w:t>.</w:t>
      </w:r>
      <w:r>
        <w:rPr>
          <w:rFonts w:ascii="宋体" w:hAnsi="宋体" w:cs="宋体"/>
          <w:kern w:val="0"/>
          <w:sz w:val="24"/>
        </w:rPr>
        <w:t>本项目不允许转包。</w:t>
      </w:r>
    </w:p>
    <w:p>
      <w:pPr>
        <w:snapToGrid w:val="0"/>
        <w:spacing w:line="520" w:lineRule="exact"/>
        <w:ind w:firstLine="480" w:firstLineChars="200"/>
        <w:rPr>
          <w:rFonts w:ascii="宋体" w:hAnsi="宋体" w:cs="宋体"/>
          <w:kern w:val="0"/>
          <w:sz w:val="24"/>
        </w:rPr>
      </w:pPr>
      <w:r>
        <w:rPr>
          <w:rFonts w:ascii="宋体" w:hAnsi="宋体" w:cs="宋体"/>
          <w:kern w:val="0"/>
          <w:sz w:val="24"/>
        </w:rPr>
        <w:t>2</w:t>
      </w:r>
      <w:r>
        <w:rPr>
          <w:rFonts w:hint="eastAsia" w:ascii="宋体" w:hAnsi="宋体" w:cs="宋体"/>
          <w:kern w:val="0"/>
          <w:sz w:val="24"/>
        </w:rPr>
        <w:t>.</w:t>
      </w:r>
      <w:r>
        <w:rPr>
          <w:rFonts w:ascii="宋体" w:hAnsi="宋体" w:cs="宋体"/>
          <w:kern w:val="0"/>
          <w:sz w:val="24"/>
        </w:rPr>
        <w:t>本项目不可以分包</w:t>
      </w:r>
      <w:r>
        <w:rPr>
          <w:rFonts w:hint="eastAsia" w:ascii="宋体" w:hAnsi="宋体" w:cs="宋体"/>
          <w:kern w:val="0"/>
          <w:sz w:val="24"/>
        </w:rPr>
        <w:t>。</w:t>
      </w:r>
    </w:p>
    <w:p>
      <w:pPr>
        <w:snapToGrid w:val="0"/>
        <w:spacing w:line="520" w:lineRule="exact"/>
        <w:ind w:firstLine="482" w:firstLineChars="200"/>
        <w:rPr>
          <w:rFonts w:ascii="宋体" w:hAnsi="宋体"/>
          <w:b/>
          <w:sz w:val="24"/>
        </w:rPr>
      </w:pPr>
      <w:r>
        <w:rPr>
          <w:rFonts w:hint="eastAsia" w:ascii="宋体" w:hAnsi="宋体"/>
          <w:b/>
          <w:sz w:val="24"/>
        </w:rPr>
        <w:t>（八）是否允许采购进口产品</w:t>
      </w:r>
    </w:p>
    <w:p>
      <w:pPr>
        <w:snapToGrid w:val="0"/>
        <w:spacing w:line="520" w:lineRule="exact"/>
        <w:ind w:firstLine="480" w:firstLineChars="200"/>
        <w:rPr>
          <w:rFonts w:ascii="宋体" w:hAnsi="宋体"/>
          <w:sz w:val="24"/>
        </w:rPr>
      </w:pPr>
      <w:r>
        <w:rPr>
          <w:rFonts w:ascii="宋体" w:hAnsi="宋体" w:cs="宋体"/>
          <w:kern w:val="0"/>
          <w:sz w:val="24"/>
        </w:rPr>
        <w:t>本项目不允</w:t>
      </w:r>
      <w:r>
        <w:rPr>
          <w:rFonts w:hint="eastAsia" w:ascii="宋体" w:hAnsi="宋体" w:cs="宋体"/>
          <w:kern w:val="0"/>
          <w:sz w:val="24"/>
        </w:rPr>
        <w:t>许采购进口产品</w:t>
      </w:r>
      <w:r>
        <w:rPr>
          <w:rFonts w:ascii="宋体" w:hAnsi="宋体" w:cs="宋体"/>
          <w:kern w:val="0"/>
          <w:sz w:val="24"/>
        </w:rPr>
        <w:t>。</w:t>
      </w:r>
    </w:p>
    <w:p>
      <w:pPr>
        <w:numPr>
          <w:ilvl w:val="0"/>
          <w:numId w:val="5"/>
        </w:numPr>
        <w:snapToGrid w:val="0"/>
        <w:spacing w:line="520" w:lineRule="exact"/>
        <w:ind w:firstLine="482" w:firstLineChars="200"/>
        <w:rPr>
          <w:rFonts w:ascii="宋体" w:hAnsi="宋体"/>
          <w:b/>
          <w:sz w:val="24"/>
        </w:rPr>
      </w:pPr>
      <w:r>
        <w:rPr>
          <w:rFonts w:ascii="宋体" w:hAnsi="宋体"/>
          <w:b/>
          <w:sz w:val="24"/>
        </w:rPr>
        <w:t>特别说明：</w:t>
      </w:r>
    </w:p>
    <w:p>
      <w:pPr>
        <w:pStyle w:val="11"/>
        <w:snapToGrid w:val="0"/>
        <w:spacing w:beforeLines="0" w:afterLines="0" w:line="520" w:lineRule="exact"/>
        <w:ind w:firstLine="480" w:firstLineChars="200"/>
        <w:rPr>
          <w:rFonts w:hAnsi="宋体"/>
        </w:rPr>
      </w:pPr>
      <w:r>
        <w:rPr>
          <w:rFonts w:hint="eastAsia" w:hAnsi="宋体"/>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11"/>
        <w:snapToGrid w:val="0"/>
        <w:spacing w:beforeLines="0" w:afterLines="0" w:line="520" w:lineRule="exact"/>
        <w:ind w:firstLine="480" w:firstLineChars="200"/>
        <w:rPr>
          <w:rFonts w:hAnsi="宋体"/>
        </w:rPr>
      </w:pPr>
      <w:r>
        <w:rPr>
          <w:rFonts w:hint="eastAsia" w:hAnsi="宋体"/>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11"/>
        <w:snapToGrid w:val="0"/>
        <w:spacing w:beforeLines="0" w:afterLines="0" w:line="520" w:lineRule="exact"/>
        <w:ind w:firstLine="480" w:firstLineChars="200"/>
        <w:rPr>
          <w:rFonts w:hAnsi="宋体"/>
        </w:rPr>
      </w:pPr>
      <w:r>
        <w:rPr>
          <w:rFonts w:hint="eastAsia" w:hAnsi="宋体"/>
        </w:rPr>
        <w:t>非单一产品采购项目，采购人应当根据采购项目技术构成、产品价格比重等合理确定核心产品，并在招标文件中载明。多家投标人提供的核心产品品牌相同的，按前两款规定处理。</w:t>
      </w:r>
    </w:p>
    <w:p>
      <w:pPr>
        <w:pStyle w:val="11"/>
        <w:snapToGrid w:val="0"/>
        <w:spacing w:beforeLines="0" w:afterLines="0" w:line="520" w:lineRule="exact"/>
        <w:ind w:firstLine="480" w:firstLineChars="200"/>
        <w:rPr>
          <w:rFonts w:hAnsi="宋体"/>
        </w:rPr>
      </w:pPr>
      <w:r>
        <w:rPr>
          <w:rFonts w:hAnsi="宋体"/>
        </w:rPr>
        <w:t>2.投标人投标所使用的资格、信誉、荣誉、业绩与企业认证必须为本法人所拥有。投标人投标所使用的采购项目实施人员必须为本法人员工（或必须为本法人或控股公司正式员工）。</w:t>
      </w:r>
    </w:p>
    <w:p>
      <w:pPr>
        <w:pStyle w:val="11"/>
        <w:snapToGrid w:val="0"/>
        <w:spacing w:beforeLines="0" w:afterLines="0" w:line="520" w:lineRule="exact"/>
        <w:ind w:firstLine="480" w:firstLineChars="200"/>
        <w:rPr>
          <w:rFonts w:hAnsi="宋体"/>
        </w:rPr>
      </w:pPr>
      <w:r>
        <w:rPr>
          <w:rFonts w:hAnsi="宋体"/>
        </w:rPr>
        <w:t>3.投标人应仔细阅读招标文件的所有内容，按照招标文件的要求提交投标文件，并对所提供的全部资料的真实性承担法律责任。</w:t>
      </w:r>
    </w:p>
    <w:p>
      <w:pPr>
        <w:pStyle w:val="11"/>
        <w:snapToGrid w:val="0"/>
        <w:spacing w:beforeLines="0" w:afterLines="0" w:line="520" w:lineRule="exact"/>
        <w:ind w:firstLine="480" w:firstLineChars="200"/>
        <w:rPr>
          <w:rFonts w:hAnsi="宋体"/>
          <w:b/>
        </w:rPr>
      </w:pPr>
      <w:r>
        <w:rPr>
          <w:rFonts w:hAnsi="宋体"/>
        </w:rPr>
        <w:t>4.投标人在投标活动中提供任何虚假材料，其投标无效，并报监管部门查处；中标后发现的，</w:t>
      </w:r>
      <w:r>
        <w:rPr>
          <w:rFonts w:hint="eastAsia" w:hAnsi="宋体"/>
        </w:rPr>
        <w:t>中标人须</w:t>
      </w:r>
      <w:r>
        <w:rPr>
          <w:rFonts w:hAnsi="宋体"/>
        </w:rPr>
        <w:t>依照《中华人民共和国消费者权益保护法》第49条之规定由中标人双倍赔偿采购人，且民事赔偿并不免除违法投标人的行政与刑事责任。</w:t>
      </w:r>
    </w:p>
    <w:p>
      <w:pPr>
        <w:snapToGrid w:val="0"/>
        <w:spacing w:line="520" w:lineRule="exact"/>
        <w:ind w:firstLine="482" w:firstLineChars="200"/>
        <w:rPr>
          <w:rFonts w:ascii="宋体" w:hAnsi="宋体"/>
          <w:b/>
          <w:sz w:val="24"/>
        </w:rPr>
      </w:pPr>
      <w:r>
        <w:rPr>
          <w:rFonts w:ascii="宋体" w:hAnsi="宋体"/>
          <w:b/>
          <w:sz w:val="24"/>
        </w:rPr>
        <w:t>（</w:t>
      </w:r>
      <w:r>
        <w:rPr>
          <w:rFonts w:hint="eastAsia" w:ascii="宋体" w:hAnsi="宋体"/>
          <w:b/>
          <w:sz w:val="24"/>
        </w:rPr>
        <w:t>十</w:t>
      </w:r>
      <w:r>
        <w:rPr>
          <w:rFonts w:ascii="宋体" w:hAnsi="宋体"/>
          <w:b/>
          <w:sz w:val="24"/>
        </w:rPr>
        <w:t>）质疑和投诉</w:t>
      </w:r>
    </w:p>
    <w:p>
      <w:pPr>
        <w:pStyle w:val="28"/>
        <w:adjustRightInd w:val="0"/>
        <w:snapToGrid w:val="0"/>
        <w:spacing w:before="0" w:line="520" w:lineRule="exact"/>
        <w:ind w:firstLine="480"/>
        <w:rPr>
          <w:rFonts w:ascii="宋体" w:hAnsi="宋体"/>
        </w:rPr>
      </w:pPr>
      <w:r>
        <w:rPr>
          <w:rFonts w:hint="eastAsia" w:ascii="宋体" w:hAnsi="宋体"/>
        </w:rPr>
        <w:t>根据《中华人民共和国政府采购法》、《中华人民共和国政府采购法实施条例》《财政部关于加强政府采购供应商投诉受理审查工作的通知》(财库〔2007〕1号)、《政府采购质疑和投诉办法》（第94号令）和《浙江省政府采购供应商质疑处理办法》（浙财采监[2012]18号）等规定，政府采购供应商可以依法提起质疑和投诉。</w:t>
      </w:r>
    </w:p>
    <w:p>
      <w:pPr>
        <w:pStyle w:val="28"/>
        <w:spacing w:before="0" w:line="520" w:lineRule="exact"/>
        <w:ind w:firstLine="480"/>
        <w:rPr>
          <w:rFonts w:ascii="宋体" w:hAnsi="宋体"/>
        </w:rPr>
      </w:pPr>
      <w:r>
        <w:rPr>
          <w:rFonts w:ascii="宋体" w:hAnsi="宋体"/>
        </w:rPr>
        <w:t>1.</w:t>
      </w:r>
      <w:r>
        <w:rPr>
          <w:rFonts w:hint="eastAsia" w:ascii="宋体" w:hAnsi="宋体"/>
        </w:rPr>
        <w:t>供应商询问</w:t>
      </w:r>
    </w:p>
    <w:p>
      <w:pPr>
        <w:pStyle w:val="28"/>
        <w:adjustRightInd w:val="0"/>
        <w:snapToGrid w:val="0"/>
        <w:spacing w:before="0" w:line="520" w:lineRule="exact"/>
        <w:ind w:firstLine="480"/>
        <w:rPr>
          <w:rFonts w:ascii="宋体" w:hAnsi="宋体"/>
        </w:rPr>
      </w:pPr>
      <w:r>
        <w:rPr>
          <w:rFonts w:hint="eastAsia" w:ascii="宋体" w:hAnsi="宋体"/>
        </w:rPr>
        <w:t>供应商对政府采购活动事项有疑问的，可以向</w:t>
      </w:r>
      <w:r>
        <w:rPr>
          <w:rFonts w:ascii="宋体" w:hAnsi="宋体"/>
        </w:rPr>
        <w:t>招标采购单位</w:t>
      </w:r>
      <w:r>
        <w:rPr>
          <w:rFonts w:hint="eastAsia" w:ascii="宋体" w:hAnsi="宋体"/>
        </w:rPr>
        <w:t>提出询问，</w:t>
      </w:r>
      <w:r>
        <w:rPr>
          <w:rFonts w:ascii="宋体" w:hAnsi="宋体"/>
        </w:rPr>
        <w:t>招标采购单位</w:t>
      </w:r>
      <w:r>
        <w:rPr>
          <w:rFonts w:hint="eastAsia" w:ascii="宋体" w:hAnsi="宋体"/>
        </w:rPr>
        <w:t>应当及时做出答复，但答复的内容不得涉及商业秘密。</w:t>
      </w:r>
    </w:p>
    <w:p>
      <w:pPr>
        <w:pStyle w:val="11"/>
        <w:snapToGrid w:val="0"/>
        <w:spacing w:beforeLines="0" w:afterLines="0" w:line="520" w:lineRule="exact"/>
        <w:ind w:firstLine="480" w:firstLineChars="200"/>
        <w:rPr>
          <w:rFonts w:hAnsi="宋体"/>
          <w:bCs/>
        </w:rPr>
      </w:pPr>
      <w:r>
        <w:rPr>
          <w:rFonts w:hint="eastAsia" w:hAnsi="宋体"/>
        </w:rPr>
        <w:t>2</w:t>
      </w:r>
      <w:r>
        <w:rPr>
          <w:rFonts w:hAnsi="宋体"/>
        </w:rPr>
        <w:t>.</w:t>
      </w:r>
      <w:r>
        <w:rPr>
          <w:rFonts w:hint="eastAsia" w:hAnsi="宋体"/>
        </w:rPr>
        <w:t>供应商质疑</w:t>
      </w:r>
    </w:p>
    <w:p>
      <w:pPr>
        <w:pStyle w:val="11"/>
        <w:snapToGrid w:val="0"/>
        <w:spacing w:beforeLines="0" w:afterLines="0" w:line="520" w:lineRule="exact"/>
        <w:ind w:firstLine="480" w:firstLineChars="200"/>
        <w:rPr>
          <w:rFonts w:hAnsi="宋体"/>
          <w:szCs w:val="20"/>
        </w:rPr>
      </w:pPr>
      <w:r>
        <w:rPr>
          <w:rFonts w:hint="eastAsia" w:hAnsi="宋体"/>
          <w:szCs w:val="20"/>
        </w:rPr>
        <w:t>2.1采购文件质疑：供应商可在获取采购文件之日或者采购文件公告期限届满之日（公告期限届满后获取采购文件的，以公告期限届满之日为准）起7个工作日内发起；采购结果质疑：投标（响应）供应商可在采购结果公告期限届满之日起7个工作日内发起。</w:t>
      </w:r>
    </w:p>
    <w:p>
      <w:pPr>
        <w:pStyle w:val="11"/>
        <w:snapToGrid w:val="0"/>
        <w:spacing w:beforeLines="0" w:afterLines="0" w:line="520" w:lineRule="exact"/>
        <w:ind w:firstLine="480" w:firstLineChars="200"/>
        <w:rPr>
          <w:rFonts w:hAnsi="宋体"/>
          <w:szCs w:val="20"/>
        </w:rPr>
      </w:pPr>
      <w:r>
        <w:rPr>
          <w:rFonts w:hint="eastAsia" w:hAnsi="宋体"/>
          <w:szCs w:val="20"/>
        </w:rPr>
        <w:t xml:space="preserve">2.2质疑应当以书面形式提出，格式见《政府采购质疑和投诉办法》（财政部令第94号）附件范本，下载网址：浙江政府采购网(网https://login.zcygov.cn/login)，位置：“首页-下载专区-质疑投诉模板”。供应商提出质疑应当提交质疑函和必要的证明材料。供应商应当在法定质疑期内一次性提出针对同一采购程序环节的质疑。 </w:t>
      </w:r>
    </w:p>
    <w:p>
      <w:pPr>
        <w:pStyle w:val="28"/>
        <w:spacing w:before="0" w:line="520" w:lineRule="exact"/>
        <w:ind w:firstLine="480"/>
        <w:rPr>
          <w:rFonts w:ascii="宋体" w:hAnsi="宋体"/>
        </w:rPr>
      </w:pPr>
      <w:r>
        <w:rPr>
          <w:rFonts w:hint="eastAsia" w:ascii="宋体" w:hAnsi="宋体"/>
        </w:rPr>
        <w:t>质疑函应当包括下列内容：</w:t>
      </w:r>
    </w:p>
    <w:p>
      <w:pPr>
        <w:pStyle w:val="28"/>
        <w:spacing w:before="0" w:line="520" w:lineRule="exact"/>
        <w:ind w:firstLine="480"/>
        <w:rPr>
          <w:rFonts w:ascii="宋体" w:hAnsi="宋体"/>
        </w:rPr>
      </w:pPr>
      <w:r>
        <w:rPr>
          <w:rFonts w:hint="eastAsia" w:ascii="宋体" w:hAnsi="宋体"/>
        </w:rPr>
        <w:t>a供应商的姓名或者名称、地址、邮编、联系人及联系电话；</w:t>
      </w:r>
    </w:p>
    <w:p>
      <w:pPr>
        <w:pStyle w:val="28"/>
        <w:spacing w:before="0" w:line="520" w:lineRule="exact"/>
        <w:ind w:firstLine="480"/>
        <w:rPr>
          <w:rFonts w:ascii="宋体" w:hAnsi="宋体"/>
        </w:rPr>
      </w:pPr>
      <w:r>
        <w:rPr>
          <w:rFonts w:hint="eastAsia" w:ascii="宋体" w:hAnsi="宋体"/>
        </w:rPr>
        <w:t>b质疑项目的名称、编号；</w:t>
      </w:r>
    </w:p>
    <w:p>
      <w:pPr>
        <w:pStyle w:val="28"/>
        <w:spacing w:before="0" w:line="520" w:lineRule="exact"/>
        <w:ind w:firstLine="480"/>
        <w:rPr>
          <w:rFonts w:ascii="宋体" w:hAnsi="宋体"/>
        </w:rPr>
      </w:pPr>
      <w:r>
        <w:rPr>
          <w:rFonts w:hint="eastAsia" w:ascii="宋体" w:hAnsi="宋体"/>
        </w:rPr>
        <w:t>c具体、明确的质疑事项和与质疑事项相关的请求；</w:t>
      </w:r>
    </w:p>
    <w:p>
      <w:pPr>
        <w:pStyle w:val="28"/>
        <w:spacing w:before="0" w:line="520" w:lineRule="exact"/>
        <w:ind w:firstLine="480"/>
        <w:rPr>
          <w:rFonts w:ascii="宋体" w:hAnsi="宋体"/>
        </w:rPr>
      </w:pPr>
      <w:r>
        <w:rPr>
          <w:rFonts w:hint="eastAsia" w:ascii="宋体" w:hAnsi="宋体"/>
        </w:rPr>
        <w:t>d事实依据；</w:t>
      </w:r>
    </w:p>
    <w:p>
      <w:pPr>
        <w:pStyle w:val="28"/>
        <w:spacing w:before="0" w:line="520" w:lineRule="exact"/>
        <w:ind w:firstLine="480"/>
        <w:rPr>
          <w:rFonts w:ascii="宋体" w:hAnsi="宋体"/>
        </w:rPr>
      </w:pPr>
      <w:r>
        <w:rPr>
          <w:rFonts w:hint="eastAsia" w:ascii="宋体" w:hAnsi="宋体"/>
        </w:rPr>
        <w:t>e必要的法律依据；</w:t>
      </w:r>
    </w:p>
    <w:p>
      <w:pPr>
        <w:pStyle w:val="28"/>
        <w:spacing w:before="0" w:line="520" w:lineRule="exact"/>
        <w:ind w:firstLine="480"/>
        <w:rPr>
          <w:rFonts w:ascii="宋体" w:hAnsi="宋体"/>
        </w:rPr>
      </w:pPr>
      <w:r>
        <w:rPr>
          <w:rFonts w:hint="eastAsia" w:ascii="宋体" w:hAnsi="宋体"/>
        </w:rPr>
        <w:t>f提出质疑的日期。</w:t>
      </w:r>
    </w:p>
    <w:p>
      <w:pPr>
        <w:pStyle w:val="28"/>
        <w:spacing w:before="0" w:line="520" w:lineRule="exact"/>
        <w:ind w:firstLine="480"/>
        <w:rPr>
          <w:rFonts w:ascii="宋体" w:hAnsi="宋体"/>
        </w:rPr>
      </w:pPr>
      <w:r>
        <w:rPr>
          <w:rFonts w:hint="eastAsia" w:ascii="宋体" w:hAnsi="宋体"/>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 质疑函不符合《政府采购质疑和投诉办法》相关规定的，应在规定期限内补齐的，招标方自收到补齐材料之日起受理；逾期未补齐的，按自动撤回质疑处理。</w:t>
      </w:r>
    </w:p>
    <w:p>
      <w:pPr>
        <w:pStyle w:val="28"/>
        <w:spacing w:before="0" w:line="520" w:lineRule="exact"/>
        <w:ind w:firstLine="480"/>
        <w:rPr>
          <w:rFonts w:ascii="宋体" w:hAnsi="宋体"/>
        </w:rPr>
      </w:pPr>
      <w:r>
        <w:rPr>
          <w:rFonts w:hint="eastAsia" w:ascii="宋体" w:hAnsi="宋体"/>
        </w:rPr>
        <w:t>3.供应商投诉</w:t>
      </w:r>
    </w:p>
    <w:p>
      <w:pPr>
        <w:adjustRightInd w:val="0"/>
        <w:snapToGrid w:val="0"/>
        <w:spacing w:line="520" w:lineRule="exact"/>
        <w:ind w:firstLine="480" w:firstLineChars="200"/>
        <w:rPr>
          <w:rFonts w:ascii="宋体" w:hAnsi="宋体"/>
          <w:sz w:val="24"/>
        </w:rPr>
      </w:pPr>
      <w:r>
        <w:rPr>
          <w:rFonts w:ascii="宋体" w:hAnsi="宋体"/>
          <w:sz w:val="24"/>
        </w:rPr>
        <w:t>供应商对招标采购单位的质疑答复不满意或者招标采购单位未在规定时间内</w:t>
      </w:r>
      <w:r>
        <w:rPr>
          <w:rFonts w:hint="eastAsia" w:ascii="宋体" w:hAnsi="宋体"/>
          <w:sz w:val="24"/>
        </w:rPr>
        <w:t>做出</w:t>
      </w:r>
      <w:r>
        <w:rPr>
          <w:rFonts w:ascii="宋体" w:hAnsi="宋体"/>
          <w:sz w:val="24"/>
        </w:rPr>
        <w:t>答复的，可以在答复期满后十五个工作日内向同级政府采购监督管理部门投诉。</w:t>
      </w:r>
    </w:p>
    <w:p>
      <w:pPr>
        <w:adjustRightInd w:val="0"/>
        <w:snapToGrid w:val="0"/>
        <w:spacing w:line="520" w:lineRule="exact"/>
        <w:ind w:firstLine="480" w:firstLineChars="200"/>
        <w:rPr>
          <w:rFonts w:ascii="宋体" w:hAnsi="宋体"/>
          <w:sz w:val="24"/>
        </w:rPr>
      </w:pPr>
      <w:r>
        <w:rPr>
          <w:rFonts w:hint="eastAsia" w:ascii="宋体" w:hAnsi="宋体"/>
          <w:sz w:val="24"/>
        </w:rPr>
        <w:t>4.供应商质疑、投诉应当有明确的请求和必要的证明材料。供应商投诉的事项不得超出已质疑事项的范围。</w:t>
      </w:r>
    </w:p>
    <w:p>
      <w:pPr>
        <w:spacing w:line="520" w:lineRule="exact"/>
        <w:ind w:firstLine="480" w:firstLineChars="200"/>
        <w:rPr>
          <w:rFonts w:ascii="宋体" w:hAnsi="宋体"/>
          <w:sz w:val="24"/>
        </w:rPr>
      </w:pPr>
      <w:r>
        <w:rPr>
          <w:rFonts w:ascii="宋体" w:hAnsi="宋体"/>
          <w:sz w:val="24"/>
        </w:rPr>
        <w:t>质疑受理地点：</w:t>
      </w:r>
      <w:r>
        <w:rPr>
          <w:rFonts w:hint="eastAsia" w:ascii="宋体" w:hAnsi="宋体"/>
          <w:sz w:val="24"/>
        </w:rPr>
        <w:t>平湖市</w:t>
      </w:r>
      <w:r>
        <w:rPr>
          <w:rFonts w:ascii="宋体" w:hAnsi="宋体"/>
          <w:sz w:val="24"/>
        </w:rPr>
        <w:t>公共资源交易中心；联系人：</w:t>
      </w:r>
      <w:r>
        <w:rPr>
          <w:rFonts w:hint="eastAsia" w:ascii="宋体" w:hAnsi="宋体"/>
          <w:sz w:val="24"/>
          <w:u w:val="single"/>
        </w:rPr>
        <w:t>于金成</w:t>
      </w:r>
      <w:r>
        <w:rPr>
          <w:rFonts w:ascii="宋体" w:hAnsi="宋体"/>
          <w:sz w:val="24"/>
        </w:rPr>
        <w:t>；联系电话：</w:t>
      </w:r>
      <w:r>
        <w:rPr>
          <w:rFonts w:ascii="宋体" w:hAnsi="宋体"/>
          <w:sz w:val="24"/>
          <w:u w:val="single"/>
        </w:rPr>
        <w:t xml:space="preserve"> </w:t>
      </w:r>
      <w:r>
        <w:rPr>
          <w:rFonts w:hint="eastAsia" w:ascii="宋体" w:hAnsi="宋体"/>
          <w:sz w:val="24"/>
          <w:u w:val="single"/>
        </w:rPr>
        <w:t xml:space="preserve">0573-85631720 </w:t>
      </w:r>
      <w:r>
        <w:rPr>
          <w:rFonts w:ascii="宋体" w:hAnsi="宋体"/>
          <w:sz w:val="24"/>
        </w:rPr>
        <w:t>。</w:t>
      </w:r>
    </w:p>
    <w:p>
      <w:pPr>
        <w:adjustRightInd w:val="0"/>
        <w:snapToGrid w:val="0"/>
        <w:spacing w:line="520" w:lineRule="exact"/>
        <w:ind w:firstLine="480" w:firstLineChars="200"/>
        <w:rPr>
          <w:rFonts w:ascii="宋体" w:hAnsi="宋体"/>
          <w:sz w:val="24"/>
        </w:rPr>
      </w:pPr>
      <w:r>
        <w:rPr>
          <w:rFonts w:ascii="宋体" w:hAnsi="宋体"/>
          <w:sz w:val="24"/>
        </w:rPr>
        <w:t>投诉受理地点：</w:t>
      </w:r>
      <w:r>
        <w:rPr>
          <w:rFonts w:hint="eastAsia" w:ascii="宋体" w:hAnsi="宋体"/>
          <w:sz w:val="24"/>
        </w:rPr>
        <w:t>平湖市</w:t>
      </w:r>
      <w:r>
        <w:rPr>
          <w:rFonts w:ascii="宋体" w:hAnsi="宋体"/>
          <w:sz w:val="24"/>
        </w:rPr>
        <w:t>财政局；联系人：</w:t>
      </w:r>
      <w:r>
        <w:rPr>
          <w:rFonts w:hint="eastAsia" w:ascii="宋体" w:hAnsi="宋体"/>
          <w:sz w:val="24"/>
          <w:u w:val="single"/>
        </w:rPr>
        <w:t>陆先生</w:t>
      </w:r>
      <w:r>
        <w:rPr>
          <w:rFonts w:ascii="宋体" w:hAnsi="宋体"/>
          <w:sz w:val="24"/>
        </w:rPr>
        <w:t>；联系电话：</w:t>
      </w:r>
      <w:r>
        <w:rPr>
          <w:rFonts w:ascii="宋体" w:hAnsi="宋体"/>
          <w:sz w:val="24"/>
          <w:u w:val="single"/>
        </w:rPr>
        <w:t xml:space="preserve"> </w:t>
      </w:r>
      <w:r>
        <w:rPr>
          <w:rFonts w:hint="eastAsia" w:ascii="宋体" w:hAnsi="宋体"/>
          <w:sz w:val="24"/>
          <w:u w:val="single"/>
        </w:rPr>
        <w:t xml:space="preserve">0573-85013033 </w:t>
      </w:r>
      <w:r>
        <w:rPr>
          <w:rFonts w:ascii="宋体" w:hAnsi="宋体"/>
          <w:sz w:val="24"/>
        </w:rPr>
        <w:t>。</w:t>
      </w:r>
    </w:p>
    <w:p>
      <w:pPr>
        <w:pStyle w:val="11"/>
        <w:snapToGrid w:val="0"/>
        <w:spacing w:beforeLines="0" w:afterLines="0" w:line="520" w:lineRule="exact"/>
        <w:ind w:firstLine="482" w:firstLineChars="200"/>
        <w:outlineLvl w:val="1"/>
        <w:rPr>
          <w:rFonts w:hAnsi="宋体"/>
          <w:b/>
        </w:rPr>
      </w:pPr>
      <w:r>
        <w:rPr>
          <w:rFonts w:hAnsi="宋体"/>
          <w:b/>
        </w:rPr>
        <w:t>二</w:t>
      </w:r>
      <w:r>
        <w:rPr>
          <w:rFonts w:hint="eastAsia" w:hAnsi="宋体"/>
          <w:b/>
        </w:rPr>
        <w:t>、</w:t>
      </w:r>
      <w:r>
        <w:rPr>
          <w:rFonts w:hAnsi="宋体"/>
          <w:b/>
        </w:rPr>
        <w:t>招标文件</w:t>
      </w:r>
    </w:p>
    <w:p>
      <w:pPr>
        <w:snapToGrid w:val="0"/>
        <w:spacing w:line="520" w:lineRule="exact"/>
        <w:ind w:firstLine="482" w:firstLineChars="200"/>
        <w:jc w:val="left"/>
        <w:rPr>
          <w:rFonts w:ascii="宋体" w:hAnsi="宋体"/>
          <w:b/>
          <w:sz w:val="24"/>
        </w:rPr>
      </w:pPr>
      <w:r>
        <w:rPr>
          <w:rFonts w:ascii="宋体" w:hAnsi="宋体"/>
          <w:b/>
          <w:sz w:val="24"/>
        </w:rPr>
        <w:t>（一）招标文件的构成</w:t>
      </w:r>
    </w:p>
    <w:p>
      <w:pPr>
        <w:snapToGrid w:val="0"/>
        <w:spacing w:line="520" w:lineRule="exact"/>
        <w:ind w:firstLine="480" w:firstLineChars="200"/>
        <w:jc w:val="left"/>
        <w:rPr>
          <w:rFonts w:ascii="宋体" w:hAnsi="宋体"/>
          <w:sz w:val="24"/>
        </w:rPr>
      </w:pPr>
      <w:r>
        <w:rPr>
          <w:rFonts w:hint="eastAsia" w:ascii="宋体" w:hAnsi="宋体"/>
          <w:sz w:val="24"/>
        </w:rPr>
        <w:t>招标文件由招标文件目录所列的全部内容及在招标过程中发出的修正和补充文件组成。</w:t>
      </w:r>
    </w:p>
    <w:p>
      <w:pPr>
        <w:snapToGrid w:val="0"/>
        <w:spacing w:line="520" w:lineRule="exact"/>
        <w:ind w:firstLine="482" w:firstLineChars="200"/>
        <w:jc w:val="left"/>
        <w:rPr>
          <w:rFonts w:ascii="宋体" w:hAnsi="宋体"/>
          <w:b/>
          <w:sz w:val="24"/>
        </w:rPr>
      </w:pPr>
      <w:r>
        <w:rPr>
          <w:rFonts w:ascii="宋体" w:hAnsi="宋体"/>
          <w:b/>
          <w:sz w:val="24"/>
        </w:rPr>
        <w:t>（二）投标人的风险</w:t>
      </w:r>
    </w:p>
    <w:p>
      <w:pPr>
        <w:pStyle w:val="18"/>
        <w:spacing w:line="520" w:lineRule="exact"/>
        <w:rPr>
          <w:rFonts w:ascii="宋体" w:eastAsia="宋体"/>
          <w:color w:val="auto"/>
        </w:rPr>
      </w:pPr>
      <w:r>
        <w:rPr>
          <w:rFonts w:ascii="宋体" w:eastAsia="宋体"/>
          <w:color w:val="auto"/>
        </w:rPr>
        <w:t>投标人没有按照招标文件要求提供全部资料，或者投标人没有对招标文件在各方面</w:t>
      </w:r>
      <w:r>
        <w:rPr>
          <w:rFonts w:hint="eastAsia" w:ascii="宋体" w:eastAsia="宋体"/>
          <w:color w:val="auto"/>
        </w:rPr>
        <w:t>做出</w:t>
      </w:r>
      <w:r>
        <w:rPr>
          <w:rFonts w:ascii="宋体" w:eastAsia="宋体"/>
          <w:color w:val="auto"/>
        </w:rPr>
        <w:t>实质性响应是投标人的风险，并可能导致其投标</w:t>
      </w:r>
      <w:r>
        <w:rPr>
          <w:rFonts w:hint="eastAsia" w:ascii="宋体" w:eastAsia="宋体"/>
          <w:color w:val="auto"/>
        </w:rPr>
        <w:t>无效</w:t>
      </w:r>
      <w:r>
        <w:rPr>
          <w:rFonts w:ascii="宋体" w:eastAsia="宋体"/>
          <w:color w:val="auto"/>
        </w:rPr>
        <w:t>。</w:t>
      </w:r>
    </w:p>
    <w:p>
      <w:pPr>
        <w:pStyle w:val="5"/>
        <w:numPr>
          <w:ilvl w:val="0"/>
          <w:numId w:val="0"/>
        </w:numPr>
        <w:tabs>
          <w:tab w:val="left" w:pos="454"/>
          <w:tab w:val="left" w:pos="720"/>
          <w:tab w:val="left" w:pos="900"/>
          <w:tab w:val="clear" w:pos="360"/>
        </w:tabs>
        <w:snapToGrid w:val="0"/>
        <w:spacing w:line="520" w:lineRule="exact"/>
        <w:ind w:left="420" w:leftChars="200"/>
        <w:rPr>
          <w:rFonts w:ascii="宋体" w:hAnsi="宋体"/>
          <w:b/>
          <w:sz w:val="24"/>
        </w:rPr>
      </w:pPr>
      <w:r>
        <w:rPr>
          <w:rFonts w:ascii="宋体" w:hAnsi="宋体"/>
          <w:b/>
          <w:sz w:val="24"/>
        </w:rPr>
        <w:t xml:space="preserve">（三）招标文件的澄清与修改 </w:t>
      </w:r>
    </w:p>
    <w:p>
      <w:pPr>
        <w:pStyle w:val="11"/>
        <w:snapToGrid w:val="0"/>
        <w:spacing w:beforeLines="0" w:afterLines="0" w:line="520" w:lineRule="exact"/>
        <w:ind w:firstLine="480" w:firstLineChars="200"/>
        <w:rPr>
          <w:rFonts w:hAnsi="宋体"/>
        </w:rPr>
      </w:pPr>
      <w:r>
        <w:rPr>
          <w:rFonts w:hint="eastAsia" w:hAnsi="宋体"/>
        </w:rPr>
        <w:t xml:space="preserve">1.投标人应认真阅读本招标文件，发现其中有误或有不合理要求的，供应商可在获取招标文件之日或者招标文件公告期限届满之日（公告期限届满后获取招标文件的，以公告期限届满之日为准）起7个工作日内以书面形式向招标人一次性提出。采购代理机构对已发出的招标文件进行必要澄清、答复、修改或补充的，应当在招标文件要求提交投标文件截止时间十五日前，在浙江政府采购网(https://zfcg.czt.zj.gov.cn/)和平湖市公共资源交易中心网（https://jxszwsjb.jiaxing.gov.cn/col/col1229743843/index.html ）上发布更正公告，请投标人在投标截止前及时关注。招标文件的澄清、答复、修改或补充，一经在上述媒体发布，即视所有投标人都已经收到相关文件。                                                                                                                   </w:t>
      </w:r>
    </w:p>
    <w:p>
      <w:pPr>
        <w:pStyle w:val="11"/>
        <w:snapToGrid w:val="0"/>
        <w:spacing w:beforeLines="0" w:afterLines="0" w:line="520" w:lineRule="exact"/>
        <w:ind w:firstLine="480" w:firstLineChars="200"/>
        <w:rPr>
          <w:rFonts w:hAnsi="宋体"/>
        </w:rPr>
      </w:pPr>
      <w:r>
        <w:rPr>
          <w:rFonts w:hAnsi="宋体"/>
        </w:rPr>
        <w:t>2</w:t>
      </w:r>
      <w:r>
        <w:rPr>
          <w:rFonts w:hint="eastAsia" w:hAnsi="宋体"/>
        </w:rPr>
        <w:t>.</w:t>
      </w:r>
      <w:r>
        <w:rPr>
          <w:rFonts w:hAnsi="宋体"/>
        </w:rPr>
        <w:t>采购代理机构必须以书面形式答复投标人要求澄清的问题，并将不包含问题来源的答复书面通知所有</w:t>
      </w:r>
      <w:r>
        <w:rPr>
          <w:rFonts w:hint="eastAsia" w:hAnsi="宋体"/>
        </w:rPr>
        <w:t>获取</w:t>
      </w:r>
      <w:r>
        <w:rPr>
          <w:rFonts w:hAnsi="宋体"/>
        </w:rPr>
        <w:t>招标文件的投标人；除书面答复以外的其他澄清方式及澄清内容均无效。</w:t>
      </w:r>
    </w:p>
    <w:p>
      <w:pPr>
        <w:pStyle w:val="11"/>
        <w:snapToGrid w:val="0"/>
        <w:spacing w:beforeLines="0" w:afterLines="0" w:line="520" w:lineRule="exact"/>
        <w:ind w:firstLine="480" w:firstLineChars="200"/>
        <w:rPr>
          <w:rFonts w:hAnsi="宋体"/>
        </w:rPr>
      </w:pPr>
      <w:r>
        <w:rPr>
          <w:rFonts w:hint="eastAsia" w:hAnsi="宋体"/>
        </w:rPr>
        <w:t>3.</w:t>
      </w:r>
      <w:r>
        <w:rPr>
          <w:rFonts w:hAnsi="宋体"/>
        </w:rPr>
        <w:t>招标文件澄清、答复、修改、补充的内容为招标文件的组成部分。当招标文件与招标文件的答复、澄清、修改、补充通知就同一内容的表述不一致时，以最后发出的书面文件为准。</w:t>
      </w:r>
    </w:p>
    <w:p>
      <w:pPr>
        <w:pStyle w:val="11"/>
        <w:snapToGrid w:val="0"/>
        <w:spacing w:beforeLines="0" w:afterLines="0" w:line="520" w:lineRule="exact"/>
        <w:ind w:firstLine="480" w:firstLineChars="200"/>
        <w:rPr>
          <w:rFonts w:hAnsi="宋体"/>
        </w:rPr>
      </w:pPr>
      <w:r>
        <w:rPr>
          <w:rFonts w:hint="eastAsia" w:hAnsi="宋体"/>
        </w:rPr>
        <w:t>4.</w:t>
      </w:r>
      <w:r>
        <w:rPr>
          <w:rFonts w:hAnsi="宋体"/>
        </w:rPr>
        <w:t>招标文件的澄清、答复、修改或补充都应该通过本代理机构以法定形式发布，采购人非通过本机构，不得擅自澄清、答复、修改或补充招标文件。</w:t>
      </w:r>
    </w:p>
    <w:p>
      <w:pPr>
        <w:pStyle w:val="11"/>
        <w:snapToGrid w:val="0"/>
        <w:spacing w:beforeLines="0" w:afterLines="0" w:line="520" w:lineRule="exact"/>
        <w:ind w:firstLine="480" w:firstLineChars="200"/>
        <w:rPr>
          <w:rFonts w:hAnsi="宋体"/>
          <w:b/>
        </w:rPr>
      </w:pPr>
      <w:r>
        <w:rPr>
          <w:rFonts w:hint="eastAsia" w:hAnsi="宋体"/>
        </w:rPr>
        <w:t xml:space="preserve"> </w:t>
      </w:r>
      <w:r>
        <w:rPr>
          <w:rFonts w:hAnsi="宋体"/>
          <w:b/>
        </w:rPr>
        <w:t>三、投标文件的编制</w:t>
      </w:r>
    </w:p>
    <w:p>
      <w:pPr>
        <w:pStyle w:val="11"/>
        <w:snapToGrid w:val="0"/>
        <w:spacing w:beforeLines="0" w:afterLines="0" w:line="520" w:lineRule="exact"/>
        <w:ind w:firstLine="482" w:firstLineChars="200"/>
        <w:rPr>
          <w:rFonts w:hAnsi="宋体"/>
          <w:b/>
        </w:rPr>
      </w:pPr>
      <w:r>
        <w:rPr>
          <w:rFonts w:hint="eastAsia" w:hAnsi="宋体"/>
          <w:b/>
        </w:rPr>
        <w:t>本项目所涉投标文件格式请详见第六章，未给出的格式请自拟。资信商务及技术文件中不得出现报价，否则投标文件将被视为无效。</w:t>
      </w:r>
    </w:p>
    <w:p>
      <w:pPr>
        <w:adjustRightInd w:val="0"/>
        <w:snapToGrid w:val="0"/>
        <w:spacing w:line="520" w:lineRule="exact"/>
        <w:ind w:firstLine="482" w:firstLineChars="200"/>
        <w:rPr>
          <w:rFonts w:hAnsi="宋体"/>
          <w:b/>
        </w:rPr>
      </w:pPr>
      <w:r>
        <w:rPr>
          <w:rFonts w:hint="eastAsia"/>
          <w:b/>
          <w:sz w:val="24"/>
        </w:rPr>
        <w:t>在电子投标文件中所有需要加盖公章的均采用CA签章。</w:t>
      </w:r>
    </w:p>
    <w:p>
      <w:pPr>
        <w:snapToGrid w:val="0"/>
        <w:spacing w:line="520" w:lineRule="exact"/>
        <w:ind w:firstLine="482" w:firstLineChars="200"/>
        <w:jc w:val="left"/>
        <w:outlineLvl w:val="0"/>
        <w:rPr>
          <w:rFonts w:ascii="宋体" w:hAnsi="宋体"/>
          <w:b/>
          <w:sz w:val="24"/>
        </w:rPr>
      </w:pPr>
      <w:r>
        <w:rPr>
          <w:rFonts w:hint="eastAsia" w:ascii="宋体" w:hAnsi="宋体"/>
          <w:b/>
          <w:sz w:val="24"/>
        </w:rPr>
        <w:t>（一）</w:t>
      </w:r>
      <w:r>
        <w:rPr>
          <w:rFonts w:ascii="宋体" w:hAnsi="宋体"/>
          <w:b/>
          <w:sz w:val="24"/>
        </w:rPr>
        <w:t>投标文件的组成</w:t>
      </w:r>
    </w:p>
    <w:p>
      <w:pPr>
        <w:snapToGrid w:val="0"/>
        <w:spacing w:line="360" w:lineRule="auto"/>
        <w:ind w:firstLine="480" w:firstLineChars="200"/>
        <w:jc w:val="left"/>
        <w:rPr>
          <w:rFonts w:ascii="宋体" w:hAnsi="宋体"/>
          <w:sz w:val="24"/>
        </w:rPr>
      </w:pPr>
      <w:r>
        <w:rPr>
          <w:rFonts w:ascii="宋体" w:hAnsi="宋体"/>
          <w:sz w:val="24"/>
        </w:rPr>
        <w:t>投标文件</w:t>
      </w:r>
      <w:r>
        <w:rPr>
          <w:rFonts w:hint="eastAsia" w:ascii="宋体" w:hAnsi="宋体"/>
          <w:sz w:val="24"/>
        </w:rPr>
        <w:t>由资格文件、商务技术文件、报价文件</w:t>
      </w:r>
      <w:r>
        <w:rPr>
          <w:rFonts w:ascii="宋体" w:hAnsi="宋体"/>
          <w:sz w:val="24"/>
        </w:rPr>
        <w:t>组成。</w:t>
      </w:r>
    </w:p>
    <w:p>
      <w:pPr>
        <w:pStyle w:val="11"/>
        <w:spacing w:beforeLines="0" w:afterLines="0" w:line="360" w:lineRule="auto"/>
        <w:ind w:firstLine="482" w:firstLineChars="200"/>
        <w:rPr>
          <w:rFonts w:hAnsi="宋体"/>
          <w:b/>
          <w:bCs/>
          <w:szCs w:val="20"/>
        </w:rPr>
      </w:pPr>
      <w:r>
        <w:rPr>
          <w:rFonts w:hint="eastAsia" w:hAnsi="宋体"/>
          <w:b/>
          <w:bCs/>
          <w:szCs w:val="20"/>
        </w:rPr>
        <w:t>1.资格文件：</w:t>
      </w:r>
    </w:p>
    <w:p>
      <w:pPr>
        <w:pStyle w:val="11"/>
        <w:spacing w:beforeLines="0" w:afterLines="0" w:line="360" w:lineRule="auto"/>
        <w:ind w:firstLine="480" w:firstLineChars="200"/>
        <w:rPr>
          <w:rFonts w:hAnsi="宋体"/>
          <w:szCs w:val="20"/>
        </w:rPr>
      </w:pPr>
      <w:r>
        <w:rPr>
          <w:rFonts w:hint="eastAsia" w:hAnsi="宋体"/>
          <w:szCs w:val="20"/>
        </w:rPr>
        <w:t>（1）投标声明书（格式见附件）；</w:t>
      </w:r>
    </w:p>
    <w:p>
      <w:pPr>
        <w:pStyle w:val="11"/>
        <w:spacing w:beforeLines="0" w:afterLines="0" w:line="360" w:lineRule="auto"/>
        <w:ind w:firstLine="480" w:firstLineChars="200"/>
        <w:rPr>
          <w:rFonts w:hAnsi="宋体"/>
        </w:rPr>
      </w:pPr>
      <w:r>
        <w:rPr>
          <w:rFonts w:hint="eastAsia" w:hAnsi="宋体"/>
        </w:rPr>
        <w:t>（2）法定代表人有效身份证件复印件或者法定代表人授权委托书（复印件，格式见附件）；</w:t>
      </w:r>
    </w:p>
    <w:p>
      <w:pPr>
        <w:pStyle w:val="11"/>
        <w:spacing w:beforeLines="0" w:afterLines="0" w:line="360" w:lineRule="auto"/>
        <w:ind w:firstLine="480" w:firstLineChars="200"/>
        <w:rPr>
          <w:rFonts w:hAnsi="宋体"/>
        </w:rPr>
      </w:pPr>
      <w:r>
        <w:rPr>
          <w:rFonts w:hint="eastAsia" w:hAnsi="宋体"/>
        </w:rPr>
        <w:t>（3）企业（法人）营业执照复印件；</w:t>
      </w:r>
    </w:p>
    <w:p>
      <w:pPr>
        <w:pStyle w:val="11"/>
        <w:spacing w:beforeLines="0" w:afterLines="0" w:line="360" w:lineRule="auto"/>
        <w:ind w:firstLine="480" w:firstLineChars="200"/>
        <w:rPr>
          <w:rFonts w:hAnsi="宋体"/>
        </w:rPr>
      </w:pPr>
      <w:r>
        <w:rPr>
          <w:rFonts w:hint="eastAsia" w:hAnsi="宋体"/>
        </w:rPr>
        <w:t>（4）符合参加政府采购活动应当具备的一般条件的承诺函（格式见附件）；</w:t>
      </w:r>
    </w:p>
    <w:p>
      <w:pPr>
        <w:spacing w:line="360" w:lineRule="auto"/>
        <w:ind w:firstLine="480" w:firstLineChars="200"/>
        <w:rPr>
          <w:rFonts w:ascii="宋体" w:hAnsi="宋体"/>
          <w:kern w:val="0"/>
          <w:sz w:val="24"/>
        </w:rPr>
      </w:pPr>
      <w:r>
        <w:rPr>
          <w:rFonts w:hint="eastAsia" w:ascii="宋体" w:hAnsi="宋体"/>
          <w:kern w:val="0"/>
          <w:sz w:val="24"/>
        </w:rPr>
        <w:t>（5）中小企业声明函等承诺函（格式见附件）</w:t>
      </w:r>
    </w:p>
    <w:p>
      <w:pPr>
        <w:pStyle w:val="11"/>
        <w:spacing w:beforeLines="0" w:afterLines="0" w:line="360" w:lineRule="auto"/>
        <w:ind w:firstLine="480" w:firstLineChars="200"/>
        <w:rPr>
          <w:rFonts w:hAnsi="宋体"/>
          <w:szCs w:val="20"/>
        </w:rPr>
      </w:pPr>
      <w:r>
        <w:rPr>
          <w:rFonts w:hint="eastAsia" w:hAnsi="宋体"/>
        </w:rPr>
        <w:t xml:space="preserve">（6）落实政府采购政策需满足的资格要求。        </w:t>
      </w:r>
      <w:r>
        <w:rPr>
          <w:rFonts w:hint="eastAsia" w:hAnsi="宋体"/>
          <w:szCs w:val="20"/>
        </w:rPr>
        <w:t xml:space="preserve">             </w:t>
      </w:r>
    </w:p>
    <w:p>
      <w:pPr>
        <w:pStyle w:val="11"/>
        <w:spacing w:beforeLines="0" w:afterLines="0" w:line="360" w:lineRule="auto"/>
        <w:ind w:firstLine="482" w:firstLineChars="200"/>
        <w:rPr>
          <w:rFonts w:hAnsi="宋体"/>
          <w:b/>
          <w:bCs/>
          <w:szCs w:val="20"/>
        </w:rPr>
      </w:pPr>
      <w:r>
        <w:rPr>
          <w:rFonts w:hint="eastAsia" w:hAnsi="宋体"/>
          <w:b/>
          <w:bCs/>
          <w:szCs w:val="20"/>
        </w:rPr>
        <w:t>2.商务技术文件:</w:t>
      </w:r>
    </w:p>
    <w:p>
      <w:pPr>
        <w:pStyle w:val="11"/>
        <w:spacing w:beforeLines="0" w:afterLines="0" w:line="360" w:lineRule="auto"/>
        <w:ind w:firstLine="480" w:firstLineChars="200"/>
        <w:rPr>
          <w:rFonts w:hAnsi="宋体"/>
          <w:bCs/>
        </w:rPr>
      </w:pPr>
      <w:r>
        <w:rPr>
          <w:rFonts w:hint="eastAsia" w:hAnsi="宋体"/>
          <w:bCs/>
        </w:rPr>
        <w:t>（1）投标人基本情况要求（格式见附件）；</w:t>
      </w:r>
    </w:p>
    <w:p>
      <w:pPr>
        <w:pStyle w:val="11"/>
        <w:spacing w:beforeLines="0" w:afterLines="0" w:line="360" w:lineRule="auto"/>
        <w:ind w:firstLine="480" w:firstLineChars="200"/>
        <w:rPr>
          <w:rFonts w:hAnsi="宋体"/>
          <w:bCs/>
        </w:rPr>
      </w:pPr>
      <w:r>
        <w:rPr>
          <w:rFonts w:hint="eastAsia" w:hAnsi="宋体"/>
          <w:bCs/>
          <w:lang w:val="zh-CN"/>
        </w:rPr>
        <w:t>（</w:t>
      </w:r>
      <w:r>
        <w:rPr>
          <w:rFonts w:hint="eastAsia" w:hAnsi="宋体"/>
          <w:bCs/>
        </w:rPr>
        <w:t>2</w:t>
      </w:r>
      <w:r>
        <w:rPr>
          <w:rFonts w:hint="eastAsia" w:hAnsi="宋体"/>
          <w:bCs/>
          <w:lang w:val="zh-CN"/>
        </w:rPr>
        <w:t>）诚信承诺书</w:t>
      </w:r>
      <w:r>
        <w:rPr>
          <w:rFonts w:hint="eastAsia" w:hAnsi="宋体"/>
          <w:bCs/>
        </w:rPr>
        <w:t>（格式见附件）；</w:t>
      </w:r>
    </w:p>
    <w:p>
      <w:pPr>
        <w:pStyle w:val="11"/>
        <w:spacing w:beforeLines="0" w:afterLines="0" w:line="360" w:lineRule="auto"/>
        <w:ind w:firstLine="480" w:firstLineChars="200"/>
        <w:rPr>
          <w:rFonts w:hAnsi="宋体"/>
          <w:bCs/>
        </w:rPr>
      </w:pPr>
      <w:r>
        <w:rPr>
          <w:rFonts w:hint="eastAsia" w:hAnsi="宋体"/>
          <w:bCs/>
        </w:rPr>
        <w:t>（3）所有荣誉证书、资质文件等（复印件）；</w:t>
      </w:r>
    </w:p>
    <w:p>
      <w:pPr>
        <w:pStyle w:val="11"/>
        <w:spacing w:beforeLines="0" w:afterLines="0" w:line="360" w:lineRule="auto"/>
        <w:ind w:firstLine="480" w:firstLineChars="200"/>
        <w:rPr>
          <w:rFonts w:hAnsi="宋体"/>
          <w:bCs/>
        </w:rPr>
      </w:pPr>
      <w:r>
        <w:rPr>
          <w:rFonts w:hint="eastAsia" w:hAnsi="宋体"/>
          <w:bCs/>
        </w:rPr>
        <w:t>（4）同类项目业绩（投标人2022年1月1日以来同类项目实施情况一览表，以签订时间为准，格式见附件）；</w:t>
      </w:r>
    </w:p>
    <w:p>
      <w:pPr>
        <w:pStyle w:val="11"/>
        <w:spacing w:beforeLines="0" w:afterLines="0" w:line="360" w:lineRule="auto"/>
        <w:ind w:firstLine="480" w:firstLineChars="200"/>
        <w:rPr>
          <w:rFonts w:hAnsi="宋体"/>
          <w:bCs/>
          <w:lang w:val="zh-CN"/>
        </w:rPr>
      </w:pPr>
      <w:r>
        <w:rPr>
          <w:rFonts w:hint="eastAsia" w:hAnsi="宋体"/>
          <w:bCs/>
        </w:rPr>
        <w:t>（5）</w:t>
      </w:r>
      <w:r>
        <w:rPr>
          <w:rFonts w:hint="eastAsia" w:hAnsi="宋体"/>
          <w:bCs/>
          <w:lang w:val="zh-CN"/>
        </w:rPr>
        <w:t xml:space="preserve">商务响应表（格式见附件）；                                                                                                                                                                                                                                                                                                                                                                                                                                                                                                                                                                                                                                                                                                                                                                                                                                                                                                                                                                                                                                                                                                                                                                                                                                                                                                                                                                                                                                                                                                                                                                                                                                                                                                                                                                                                                                                                                                                                                                                                                                                                                                                                                                                                                                                                                                                                                                                                                                                                                                                                                                                                                                                                                                                                                                                                                                                                                                                                                                                                                                                                                                                                                                                                                                                                                                                                                                                                                                                                                                                                                                                                                                                                                                                                                                                                                                                                                                                                                                                                                                                                                                                                                                                                   </w:t>
      </w:r>
      <w:r>
        <w:rPr>
          <w:rFonts w:hint="eastAsia" w:hAnsi="宋体"/>
          <w:bCs/>
          <w:lang w:val="zh-CN"/>
        </w:rPr>
        <w:t xml:space="preserve">                                                                                                                                                                                                                                                                                                                                                                                                      </w:t>
      </w:r>
    </w:p>
    <w:p>
      <w:pPr>
        <w:pStyle w:val="11"/>
        <w:spacing w:beforeLines="0" w:afterLines="0" w:line="360" w:lineRule="auto"/>
        <w:ind w:firstLine="480" w:firstLineChars="200"/>
        <w:rPr>
          <w:rFonts w:hAnsi="宋体"/>
          <w:bCs/>
          <w:lang w:val="zh-CN"/>
        </w:rPr>
      </w:pPr>
      <w:r>
        <w:rPr>
          <w:rFonts w:hint="eastAsia" w:hAnsi="宋体"/>
          <w:bCs/>
          <w:lang w:val="zh-CN"/>
        </w:rPr>
        <w:t>（</w:t>
      </w:r>
      <w:r>
        <w:rPr>
          <w:rFonts w:hint="eastAsia" w:hAnsi="宋体"/>
          <w:bCs/>
        </w:rPr>
        <w:t>6</w:t>
      </w:r>
      <w:r>
        <w:rPr>
          <w:rFonts w:hint="eastAsia" w:hAnsi="宋体"/>
          <w:bCs/>
          <w:lang w:val="zh-CN"/>
        </w:rPr>
        <w:t>）各类认证证书</w:t>
      </w:r>
      <w:r>
        <w:rPr>
          <w:rFonts w:hint="eastAsia" w:hAnsi="宋体"/>
          <w:bCs/>
        </w:rPr>
        <w:t>（复印件）</w:t>
      </w:r>
      <w:r>
        <w:rPr>
          <w:rFonts w:hint="eastAsia" w:hAnsi="宋体"/>
          <w:bCs/>
          <w:lang w:val="zh-CN"/>
        </w:rPr>
        <w:t>；</w:t>
      </w:r>
    </w:p>
    <w:p>
      <w:pPr>
        <w:pStyle w:val="11"/>
        <w:spacing w:beforeLines="0" w:afterLines="0" w:line="360" w:lineRule="auto"/>
        <w:ind w:firstLine="480" w:firstLineChars="200"/>
        <w:rPr>
          <w:rFonts w:hAnsi="宋体"/>
          <w:bCs/>
          <w:lang w:val="zh-CN"/>
        </w:rPr>
      </w:pPr>
      <w:r>
        <w:rPr>
          <w:rFonts w:hint="eastAsia" w:hAnsi="宋体"/>
          <w:bCs/>
          <w:lang w:val="zh-CN"/>
        </w:rPr>
        <w:t>（</w:t>
      </w:r>
      <w:r>
        <w:rPr>
          <w:rFonts w:hint="eastAsia" w:hAnsi="宋体"/>
          <w:bCs/>
        </w:rPr>
        <w:t>7</w:t>
      </w:r>
      <w:r>
        <w:rPr>
          <w:rFonts w:hint="eastAsia" w:hAnsi="宋体"/>
          <w:bCs/>
          <w:lang w:val="zh-CN"/>
        </w:rPr>
        <w:t>）技术响应表（格式见附件）；</w:t>
      </w:r>
    </w:p>
    <w:p>
      <w:pPr>
        <w:pStyle w:val="11"/>
        <w:spacing w:beforeLines="0" w:afterLines="0" w:line="360" w:lineRule="auto"/>
        <w:ind w:firstLine="480" w:firstLineChars="200"/>
        <w:rPr>
          <w:rFonts w:hAnsi="宋体"/>
          <w:bCs/>
        </w:rPr>
      </w:pPr>
      <w:r>
        <w:rPr>
          <w:rFonts w:hint="eastAsia" w:hAnsi="宋体"/>
          <w:bCs/>
        </w:rPr>
        <w:t>（8）设备配置清单（格式见附件）；</w:t>
      </w:r>
    </w:p>
    <w:p>
      <w:pPr>
        <w:pStyle w:val="11"/>
        <w:spacing w:beforeLines="0" w:afterLines="0" w:line="360" w:lineRule="auto"/>
        <w:ind w:firstLine="480" w:firstLineChars="200"/>
        <w:rPr>
          <w:rFonts w:hAnsi="宋体"/>
          <w:bCs/>
          <w:lang w:val="zh-CN"/>
        </w:rPr>
      </w:pPr>
      <w:r>
        <w:rPr>
          <w:rFonts w:hint="eastAsia" w:hAnsi="宋体"/>
          <w:bCs/>
          <w:lang w:val="zh-CN"/>
        </w:rPr>
        <w:t>（</w:t>
      </w:r>
      <w:r>
        <w:rPr>
          <w:rFonts w:hint="eastAsia" w:hAnsi="宋体"/>
          <w:bCs/>
        </w:rPr>
        <w:t>9</w:t>
      </w:r>
      <w:r>
        <w:rPr>
          <w:rFonts w:hint="eastAsia" w:hAnsi="宋体"/>
          <w:bCs/>
          <w:lang w:val="zh-CN"/>
        </w:rPr>
        <w:t>）项目实施人员一览表（格式见附件）；</w:t>
      </w:r>
    </w:p>
    <w:p>
      <w:pPr>
        <w:pStyle w:val="11"/>
        <w:spacing w:beforeLines="0" w:afterLines="0" w:line="360" w:lineRule="auto"/>
        <w:ind w:firstLine="480" w:firstLineChars="200"/>
        <w:rPr>
          <w:rFonts w:hAnsi="宋体"/>
          <w:bCs/>
          <w:highlight w:val="none"/>
          <w:lang w:val="zh-CN"/>
        </w:rPr>
      </w:pPr>
      <w:r>
        <w:rPr>
          <w:rFonts w:hint="eastAsia" w:hAnsi="宋体"/>
          <w:bCs/>
          <w:highlight w:val="none"/>
          <w:lang w:val="zh-CN"/>
        </w:rPr>
        <w:t>（</w:t>
      </w:r>
      <w:r>
        <w:rPr>
          <w:rFonts w:hint="eastAsia" w:hAnsi="宋体"/>
          <w:bCs/>
          <w:highlight w:val="none"/>
        </w:rPr>
        <w:t>10</w:t>
      </w:r>
      <w:r>
        <w:rPr>
          <w:rFonts w:hint="eastAsia" w:hAnsi="宋体"/>
          <w:bCs/>
          <w:highlight w:val="none"/>
          <w:lang w:val="zh-CN"/>
        </w:rPr>
        <w:t>）设计方案；</w:t>
      </w:r>
    </w:p>
    <w:p>
      <w:pPr>
        <w:pStyle w:val="11"/>
        <w:spacing w:beforeLines="0" w:afterLines="0" w:line="360" w:lineRule="auto"/>
        <w:ind w:firstLine="480" w:firstLineChars="200"/>
        <w:rPr>
          <w:rFonts w:hAnsi="宋体"/>
          <w:bCs/>
          <w:highlight w:val="none"/>
          <w:lang w:val="zh-CN"/>
        </w:rPr>
      </w:pPr>
      <w:r>
        <w:rPr>
          <w:rFonts w:hint="eastAsia" w:hAnsi="宋体"/>
          <w:bCs/>
          <w:highlight w:val="none"/>
          <w:lang w:val="zh-CN"/>
        </w:rPr>
        <w:t>（</w:t>
      </w:r>
      <w:r>
        <w:rPr>
          <w:rFonts w:hint="eastAsia" w:hAnsi="宋体"/>
          <w:bCs/>
          <w:highlight w:val="none"/>
        </w:rPr>
        <w:t>11</w:t>
      </w:r>
      <w:r>
        <w:rPr>
          <w:rFonts w:hint="eastAsia" w:hAnsi="宋体"/>
          <w:bCs/>
          <w:highlight w:val="none"/>
          <w:lang w:val="zh-CN"/>
        </w:rPr>
        <w:t xml:space="preserve">）项目整体实施规划方案； </w:t>
      </w:r>
    </w:p>
    <w:p>
      <w:pPr>
        <w:pStyle w:val="11"/>
        <w:spacing w:beforeLines="0" w:afterLines="0" w:line="360" w:lineRule="auto"/>
        <w:ind w:firstLine="480" w:firstLineChars="200"/>
        <w:rPr>
          <w:rFonts w:hint="eastAsia" w:hAnsi="宋体"/>
          <w:bCs/>
          <w:lang w:val="zh-CN"/>
        </w:rPr>
      </w:pPr>
      <w:r>
        <w:rPr>
          <w:rFonts w:hint="eastAsia" w:hAnsi="宋体"/>
          <w:bCs/>
          <w:lang w:val="zh-CN"/>
        </w:rPr>
        <w:t>（12）主要原材料检测报告；</w:t>
      </w:r>
    </w:p>
    <w:p>
      <w:pPr>
        <w:pStyle w:val="11"/>
        <w:spacing w:beforeLines="0" w:afterLines="0" w:line="360" w:lineRule="auto"/>
        <w:ind w:firstLine="480" w:firstLineChars="200"/>
        <w:rPr>
          <w:rFonts w:hint="eastAsia" w:hAnsi="宋体"/>
          <w:bCs/>
          <w:lang w:val="zh-CN" w:eastAsia="zh-CN"/>
        </w:rPr>
      </w:pPr>
      <w:r>
        <w:rPr>
          <w:rFonts w:hint="eastAsia" w:hAnsi="宋体"/>
          <w:bCs/>
          <w:lang w:val="zh-CN"/>
        </w:rPr>
        <w:t>（</w:t>
      </w:r>
      <w:r>
        <w:rPr>
          <w:rFonts w:hint="eastAsia" w:hAnsi="宋体"/>
          <w:bCs/>
          <w:lang w:val="en-US" w:eastAsia="zh-CN"/>
        </w:rPr>
        <w:t>13</w:t>
      </w:r>
      <w:r>
        <w:rPr>
          <w:rFonts w:hint="eastAsia" w:hAnsi="宋体"/>
          <w:bCs/>
          <w:lang w:val="zh-CN"/>
        </w:rPr>
        <w:t>）成品检测报告</w:t>
      </w:r>
      <w:r>
        <w:rPr>
          <w:rFonts w:hint="eastAsia" w:hAnsi="宋体"/>
          <w:bCs/>
          <w:lang w:val="zh-CN" w:eastAsia="zh-CN"/>
        </w:rPr>
        <w:t>；</w:t>
      </w:r>
    </w:p>
    <w:p>
      <w:pPr>
        <w:pStyle w:val="11"/>
        <w:spacing w:beforeLines="0" w:afterLines="0" w:line="360" w:lineRule="auto"/>
        <w:ind w:firstLine="480" w:firstLineChars="200"/>
        <w:rPr>
          <w:rFonts w:hint="eastAsia" w:hAnsi="宋体"/>
          <w:bCs/>
          <w:lang w:val="zh-CN"/>
        </w:rPr>
      </w:pPr>
      <w:r>
        <w:rPr>
          <w:rFonts w:hint="eastAsia" w:hAnsi="宋体"/>
          <w:bCs/>
          <w:lang w:val="zh-CN"/>
        </w:rPr>
        <w:t>（1</w:t>
      </w:r>
      <w:r>
        <w:rPr>
          <w:rFonts w:hint="eastAsia" w:hAnsi="宋体"/>
          <w:bCs/>
          <w:lang w:val="en-US" w:eastAsia="zh-CN"/>
        </w:rPr>
        <w:t>4</w:t>
      </w:r>
      <w:r>
        <w:rPr>
          <w:rFonts w:hint="eastAsia" w:hAnsi="宋体"/>
          <w:bCs/>
          <w:lang w:val="zh-CN"/>
        </w:rPr>
        <w:t>）产品保障（保险）；</w:t>
      </w:r>
    </w:p>
    <w:p>
      <w:pPr>
        <w:pStyle w:val="11"/>
        <w:spacing w:beforeLines="0" w:afterLines="0" w:line="360" w:lineRule="auto"/>
        <w:ind w:firstLine="480" w:firstLineChars="200"/>
        <w:rPr>
          <w:rFonts w:hint="eastAsia" w:hAnsi="宋体"/>
          <w:bCs/>
          <w:lang w:val="zh-CN"/>
        </w:rPr>
      </w:pPr>
      <w:r>
        <w:rPr>
          <w:rFonts w:hint="eastAsia" w:hAnsi="宋体"/>
          <w:bCs/>
          <w:lang w:val="zh-CN"/>
        </w:rPr>
        <w:t>（1</w:t>
      </w:r>
      <w:r>
        <w:rPr>
          <w:rFonts w:hint="eastAsia" w:hAnsi="宋体"/>
          <w:bCs/>
          <w:lang w:val="en-US" w:eastAsia="zh-CN"/>
        </w:rPr>
        <w:t>5</w:t>
      </w:r>
      <w:r>
        <w:rPr>
          <w:rFonts w:hint="eastAsia" w:hAnsi="宋体"/>
          <w:bCs/>
          <w:lang w:val="zh-CN"/>
        </w:rPr>
        <w:t>）质保期；</w:t>
      </w:r>
    </w:p>
    <w:p>
      <w:pPr>
        <w:pStyle w:val="11"/>
        <w:spacing w:beforeLines="0" w:afterLines="0" w:line="360" w:lineRule="auto"/>
        <w:ind w:firstLine="480" w:firstLineChars="200"/>
        <w:rPr>
          <w:rFonts w:hint="eastAsia" w:hAnsi="宋体"/>
          <w:bCs/>
          <w:lang w:val="zh-CN"/>
        </w:rPr>
      </w:pPr>
      <w:r>
        <w:rPr>
          <w:rFonts w:hint="eastAsia" w:hAnsi="宋体"/>
          <w:bCs/>
          <w:lang w:val="zh-CN"/>
        </w:rPr>
        <w:t>（1</w:t>
      </w:r>
      <w:r>
        <w:rPr>
          <w:rFonts w:hint="eastAsia" w:hAnsi="宋体"/>
          <w:bCs/>
          <w:lang w:val="en-US" w:eastAsia="zh-CN"/>
        </w:rPr>
        <w:t>6</w:t>
      </w:r>
      <w:r>
        <w:rPr>
          <w:rFonts w:hint="eastAsia" w:hAnsi="宋体"/>
          <w:bCs/>
          <w:lang w:val="zh-CN"/>
        </w:rPr>
        <w:t>）售后服务方案；</w:t>
      </w:r>
    </w:p>
    <w:p>
      <w:pPr>
        <w:pStyle w:val="11"/>
        <w:spacing w:beforeLines="0" w:afterLines="0" w:line="360" w:lineRule="auto"/>
        <w:ind w:firstLine="480" w:firstLineChars="200"/>
        <w:rPr>
          <w:rFonts w:hint="eastAsia" w:hAnsi="宋体"/>
          <w:bCs/>
          <w:lang w:val="zh-CN" w:eastAsia="zh-CN"/>
        </w:rPr>
      </w:pPr>
      <w:r>
        <w:rPr>
          <w:rFonts w:hint="eastAsia" w:hAnsi="宋体"/>
          <w:bCs/>
          <w:lang w:val="zh-CN" w:eastAsia="zh-CN"/>
        </w:rPr>
        <w:t>（</w:t>
      </w:r>
      <w:r>
        <w:rPr>
          <w:rFonts w:hint="eastAsia" w:hAnsi="宋体"/>
          <w:bCs/>
          <w:lang w:val="en-US" w:eastAsia="zh-CN"/>
        </w:rPr>
        <w:t>17</w:t>
      </w:r>
      <w:r>
        <w:rPr>
          <w:rFonts w:hint="eastAsia" w:hAnsi="宋体"/>
          <w:bCs/>
          <w:lang w:val="zh-CN" w:eastAsia="zh-CN"/>
        </w:rPr>
        <w:t>）</w:t>
      </w:r>
      <w:r>
        <w:rPr>
          <w:rFonts w:hint="eastAsia" w:hAnsi="宋体"/>
          <w:bCs/>
          <w:lang w:val="zh-CN"/>
        </w:rPr>
        <w:t>环境标志产品</w:t>
      </w:r>
      <w:r>
        <w:rPr>
          <w:rFonts w:hint="eastAsia" w:hAnsi="宋体"/>
          <w:bCs/>
          <w:lang w:val="zh-CN" w:eastAsia="zh-CN"/>
        </w:rPr>
        <w:t>；</w:t>
      </w:r>
    </w:p>
    <w:p>
      <w:pPr>
        <w:pStyle w:val="11"/>
        <w:spacing w:beforeLines="0" w:afterLines="0" w:line="360" w:lineRule="auto"/>
        <w:ind w:firstLine="480" w:firstLineChars="200"/>
        <w:rPr>
          <w:rFonts w:hint="eastAsia" w:hAnsi="宋体"/>
          <w:bCs/>
          <w:lang w:val="zh-CN" w:eastAsia="zh-CN"/>
        </w:rPr>
      </w:pPr>
      <w:r>
        <w:rPr>
          <w:rFonts w:hint="eastAsia" w:hAnsi="宋体"/>
          <w:bCs/>
          <w:lang w:val="zh-CN" w:eastAsia="zh-CN"/>
        </w:rPr>
        <w:t>（</w:t>
      </w:r>
      <w:r>
        <w:rPr>
          <w:rFonts w:hint="eastAsia" w:hAnsi="宋体"/>
          <w:bCs/>
          <w:lang w:val="en-US" w:eastAsia="zh-CN"/>
        </w:rPr>
        <w:t>18</w:t>
      </w:r>
      <w:r>
        <w:rPr>
          <w:rFonts w:hint="eastAsia" w:hAnsi="宋体"/>
          <w:bCs/>
          <w:lang w:val="zh-CN" w:eastAsia="zh-CN"/>
        </w:rPr>
        <w:t>）</w:t>
      </w:r>
      <w:r>
        <w:rPr>
          <w:rFonts w:hint="eastAsia" w:hAnsi="宋体"/>
          <w:bCs/>
          <w:lang w:val="zh-CN"/>
        </w:rPr>
        <w:t>同类项目业绩</w:t>
      </w:r>
      <w:r>
        <w:rPr>
          <w:rFonts w:hint="eastAsia" w:hAnsi="宋体"/>
          <w:bCs/>
          <w:lang w:val="zh-CN" w:eastAsia="zh-CN"/>
        </w:rPr>
        <w:t>；</w:t>
      </w:r>
    </w:p>
    <w:p>
      <w:pPr>
        <w:pStyle w:val="11"/>
        <w:spacing w:beforeLines="0" w:afterLines="0" w:line="360" w:lineRule="auto"/>
        <w:ind w:firstLine="480" w:firstLineChars="200"/>
        <w:rPr>
          <w:rFonts w:hint="eastAsia" w:hAnsi="宋体"/>
          <w:bCs/>
          <w:lang w:val="zh-CN"/>
        </w:rPr>
      </w:pPr>
      <w:r>
        <w:rPr>
          <w:rFonts w:hint="eastAsia" w:hAnsi="宋体"/>
          <w:bCs/>
          <w:lang w:val="zh-CN"/>
        </w:rPr>
        <w:t>（1</w:t>
      </w:r>
      <w:r>
        <w:rPr>
          <w:rFonts w:hint="eastAsia" w:hAnsi="宋体"/>
          <w:bCs/>
          <w:lang w:val="en-US" w:eastAsia="zh-CN"/>
        </w:rPr>
        <w:t>9</w:t>
      </w:r>
      <w:r>
        <w:rPr>
          <w:rFonts w:hint="eastAsia" w:hAnsi="宋体"/>
          <w:bCs/>
          <w:lang w:val="zh-CN"/>
        </w:rPr>
        <w:t>）投标人认为需要的其他商务技术文件或说明。</w:t>
      </w:r>
    </w:p>
    <w:p>
      <w:pPr>
        <w:snapToGrid w:val="0"/>
        <w:spacing w:line="360" w:lineRule="auto"/>
        <w:ind w:firstLine="482" w:firstLineChars="200"/>
        <w:jc w:val="left"/>
        <w:rPr>
          <w:rFonts w:ascii="宋体" w:hAnsi="宋体"/>
          <w:b/>
          <w:sz w:val="24"/>
        </w:rPr>
      </w:pPr>
      <w:r>
        <w:rPr>
          <w:rFonts w:hint="eastAsia" w:ascii="宋体" w:hAnsi="宋体"/>
          <w:b/>
          <w:sz w:val="24"/>
        </w:rPr>
        <w:t>3</w:t>
      </w:r>
      <w:r>
        <w:rPr>
          <w:rFonts w:ascii="宋体" w:hAnsi="宋体"/>
          <w:b/>
          <w:sz w:val="24"/>
        </w:rPr>
        <w:t>.</w:t>
      </w:r>
      <w:r>
        <w:rPr>
          <w:rFonts w:hint="eastAsia" w:ascii="宋体" w:hAnsi="宋体"/>
          <w:b/>
          <w:sz w:val="24"/>
        </w:rPr>
        <w:t>投标</w:t>
      </w:r>
      <w:r>
        <w:rPr>
          <w:rFonts w:ascii="宋体" w:hAnsi="宋体"/>
          <w:b/>
          <w:sz w:val="24"/>
        </w:rPr>
        <w:t>报价文件</w:t>
      </w:r>
      <w:r>
        <w:rPr>
          <w:rFonts w:hint="eastAsia" w:ascii="宋体" w:hAnsi="宋体"/>
          <w:b/>
          <w:sz w:val="24"/>
        </w:rPr>
        <w:t>（</w:t>
      </w:r>
      <w:r>
        <w:rPr>
          <w:rFonts w:hint="eastAsia" w:ascii="宋体" w:hAnsi="宋体"/>
          <w:kern w:val="0"/>
          <w:sz w:val="24"/>
        </w:rPr>
        <w:t>包括以下内容）</w:t>
      </w:r>
      <w:r>
        <w:rPr>
          <w:rFonts w:ascii="宋体" w:hAnsi="宋体"/>
          <w:b/>
          <w:sz w:val="24"/>
        </w:rPr>
        <w:t>：</w:t>
      </w:r>
    </w:p>
    <w:p>
      <w:pPr>
        <w:tabs>
          <w:tab w:val="left" w:pos="3870"/>
          <w:tab w:val="left" w:pos="4085"/>
        </w:tabs>
        <w:snapToGrid w:val="0"/>
        <w:spacing w:line="360" w:lineRule="auto"/>
        <w:ind w:firstLine="480" w:firstLineChars="200"/>
        <w:jc w:val="left"/>
        <w:rPr>
          <w:rFonts w:ascii="宋体" w:hAnsi="宋体"/>
          <w:sz w:val="24"/>
        </w:rPr>
      </w:pPr>
      <w:r>
        <w:rPr>
          <w:rFonts w:ascii="宋体" w:hAnsi="宋体"/>
          <w:sz w:val="24"/>
        </w:rPr>
        <w:t>（1）投标函</w:t>
      </w:r>
      <w:r>
        <w:rPr>
          <w:rFonts w:hint="eastAsia" w:ascii="宋体" w:hAnsi="宋体"/>
          <w:sz w:val="24"/>
        </w:rPr>
        <w:t>（格式见附件）</w:t>
      </w:r>
      <w:r>
        <w:rPr>
          <w:rFonts w:ascii="宋体" w:hAnsi="宋体"/>
          <w:sz w:val="24"/>
        </w:rPr>
        <w:t xml:space="preserve">； </w:t>
      </w:r>
    </w:p>
    <w:p>
      <w:pPr>
        <w:tabs>
          <w:tab w:val="left" w:pos="3870"/>
          <w:tab w:val="left" w:pos="4085"/>
        </w:tabs>
        <w:snapToGrid w:val="0"/>
        <w:spacing w:line="360" w:lineRule="auto"/>
        <w:ind w:firstLine="480" w:firstLineChars="200"/>
        <w:jc w:val="left"/>
        <w:rPr>
          <w:rFonts w:ascii="宋体" w:hAnsi="宋体"/>
          <w:sz w:val="24"/>
        </w:rPr>
      </w:pPr>
      <w:r>
        <w:rPr>
          <w:rFonts w:ascii="宋体" w:hAnsi="宋体"/>
          <w:sz w:val="24"/>
        </w:rPr>
        <w:t>（2）</w:t>
      </w:r>
      <w:r>
        <w:rPr>
          <w:rFonts w:hint="eastAsia" w:ascii="宋体" w:hAnsi="宋体"/>
          <w:sz w:val="24"/>
        </w:rPr>
        <w:t>开标</w:t>
      </w:r>
      <w:r>
        <w:rPr>
          <w:rFonts w:ascii="宋体" w:hAnsi="宋体"/>
          <w:sz w:val="24"/>
        </w:rPr>
        <w:t>一览</w:t>
      </w:r>
      <w:r>
        <w:rPr>
          <w:rFonts w:hint="eastAsia" w:ascii="宋体" w:hAnsi="宋体"/>
          <w:sz w:val="24"/>
        </w:rPr>
        <w:t>表（格式见附件）；</w:t>
      </w:r>
    </w:p>
    <w:p>
      <w:pPr>
        <w:tabs>
          <w:tab w:val="left" w:pos="3870"/>
          <w:tab w:val="left" w:pos="4085"/>
        </w:tabs>
        <w:snapToGrid w:val="0"/>
        <w:spacing w:line="360" w:lineRule="auto"/>
        <w:ind w:firstLine="480" w:firstLineChars="200"/>
        <w:jc w:val="left"/>
        <w:rPr>
          <w:rFonts w:ascii="宋体" w:hAnsi="宋体"/>
          <w:sz w:val="24"/>
        </w:rPr>
      </w:pPr>
      <w:r>
        <w:rPr>
          <w:rFonts w:ascii="宋体" w:hAnsi="宋体"/>
          <w:sz w:val="24"/>
        </w:rPr>
        <w:t>（</w:t>
      </w:r>
      <w:r>
        <w:rPr>
          <w:rFonts w:hint="eastAsia" w:ascii="宋体" w:hAnsi="宋体"/>
          <w:sz w:val="24"/>
        </w:rPr>
        <w:t>3</w:t>
      </w:r>
      <w:r>
        <w:rPr>
          <w:rFonts w:ascii="宋体" w:hAnsi="宋体"/>
          <w:sz w:val="24"/>
        </w:rPr>
        <w:t>）</w:t>
      </w:r>
      <w:r>
        <w:rPr>
          <w:rFonts w:hint="eastAsia" w:ascii="宋体" w:hAnsi="宋体"/>
          <w:sz w:val="24"/>
        </w:rPr>
        <w:t>报价明细清单（格式见附件）；</w:t>
      </w:r>
    </w:p>
    <w:p>
      <w:pPr>
        <w:pStyle w:val="12"/>
        <w:snapToGrid w:val="0"/>
        <w:spacing w:line="360" w:lineRule="auto"/>
        <w:ind w:left="0" w:leftChars="0" w:firstLine="480" w:firstLineChars="200"/>
        <w:rPr>
          <w:rFonts w:ascii="宋体" w:hAnsi="宋体" w:eastAsia="宋体"/>
          <w:sz w:val="24"/>
          <w:szCs w:val="24"/>
        </w:rPr>
      </w:pPr>
      <w:r>
        <w:rPr>
          <w:rFonts w:hint="eastAsia" w:ascii="宋体" w:hAnsi="宋体" w:eastAsia="宋体"/>
          <w:sz w:val="24"/>
          <w:szCs w:val="24"/>
        </w:rPr>
        <w:t>（4）投标人针对报价需要说明的其他文件和说明</w:t>
      </w:r>
      <w:r>
        <w:rPr>
          <w:rFonts w:ascii="宋体" w:hAnsi="宋体"/>
          <w:sz w:val="24"/>
        </w:rPr>
        <w:t>。</w:t>
      </w:r>
    </w:p>
    <w:p>
      <w:pPr>
        <w:snapToGrid w:val="0"/>
        <w:spacing w:line="520" w:lineRule="exact"/>
        <w:ind w:firstLine="482" w:firstLineChars="200"/>
        <w:jc w:val="left"/>
        <w:outlineLvl w:val="0"/>
        <w:rPr>
          <w:rFonts w:ascii="宋体" w:hAnsi="宋体"/>
          <w:b/>
          <w:sz w:val="24"/>
        </w:rPr>
      </w:pPr>
      <w:r>
        <w:rPr>
          <w:rFonts w:hint="eastAsia" w:ascii="宋体" w:hAnsi="宋体"/>
          <w:b/>
          <w:sz w:val="24"/>
        </w:rPr>
        <w:t>投标声明书、法定代表人授权委托书、投标函、开标一览表必须</w:t>
      </w:r>
      <w:r>
        <w:rPr>
          <w:rFonts w:ascii="宋体" w:hAnsi="宋体"/>
          <w:b/>
          <w:sz w:val="24"/>
        </w:rPr>
        <w:t>由</w:t>
      </w:r>
      <w:r>
        <w:rPr>
          <w:rFonts w:hint="eastAsia" w:ascii="宋体" w:hAnsi="宋体"/>
          <w:b/>
          <w:sz w:val="24"/>
        </w:rPr>
        <w:t>法定代表人或委托代理人签名（或签章）并加盖单位公章。</w:t>
      </w:r>
    </w:p>
    <w:p>
      <w:pPr>
        <w:snapToGrid w:val="0"/>
        <w:spacing w:line="520" w:lineRule="exact"/>
        <w:ind w:firstLine="482" w:firstLineChars="200"/>
        <w:jc w:val="left"/>
        <w:outlineLvl w:val="0"/>
        <w:rPr>
          <w:rFonts w:ascii="宋体" w:hAnsi="宋体"/>
          <w:b/>
          <w:sz w:val="24"/>
        </w:rPr>
      </w:pPr>
      <w:r>
        <w:rPr>
          <w:rFonts w:ascii="宋体" w:hAnsi="宋体"/>
          <w:b/>
          <w:sz w:val="24"/>
        </w:rPr>
        <w:t>（二）投标文件的语言及计量</w:t>
      </w:r>
    </w:p>
    <w:p>
      <w:pPr>
        <w:snapToGrid w:val="0"/>
        <w:spacing w:line="520" w:lineRule="exact"/>
        <w:ind w:firstLine="480" w:firstLineChars="200"/>
        <w:jc w:val="left"/>
        <w:rPr>
          <w:rFonts w:ascii="宋体" w:hAnsi="宋体"/>
          <w:sz w:val="24"/>
        </w:rPr>
      </w:pPr>
      <w:r>
        <w:rPr>
          <w:rFonts w:ascii="宋体" w:hAnsi="宋体"/>
          <w:sz w:val="24"/>
        </w:rPr>
        <w:t>1.投标文件以及投标人与招标人就有关投标事宜的所有来往函电，均应以中文汉语书写。除签名、盖章、专用名称等特殊情形外，以中文汉语以外的文字表述的投标文件视同未提供。</w:t>
      </w:r>
    </w:p>
    <w:p>
      <w:pPr>
        <w:snapToGrid w:val="0"/>
        <w:spacing w:line="520" w:lineRule="exact"/>
        <w:ind w:firstLine="480" w:firstLineChars="200"/>
        <w:jc w:val="left"/>
        <w:rPr>
          <w:rFonts w:ascii="宋体" w:hAnsi="宋体"/>
          <w:sz w:val="24"/>
        </w:rPr>
      </w:pPr>
      <w:r>
        <w:rPr>
          <w:rFonts w:ascii="宋体" w:hAnsi="宋体"/>
          <w:sz w:val="24"/>
        </w:rPr>
        <w:t>2.投标计量单位，招标文件已有明确规定的，使用招标文件规定的计量单位；招标文件没有规定的，应采用中华人民共和国法定计量单位（货币单位：人民币元），否则视同未响应。</w:t>
      </w:r>
    </w:p>
    <w:p>
      <w:pPr>
        <w:snapToGrid w:val="0"/>
        <w:spacing w:line="500" w:lineRule="exact"/>
        <w:ind w:firstLine="482" w:firstLineChars="200"/>
        <w:jc w:val="left"/>
        <w:outlineLvl w:val="0"/>
        <w:rPr>
          <w:rFonts w:ascii="宋体" w:hAnsi="宋体"/>
          <w:b/>
          <w:sz w:val="24"/>
        </w:rPr>
      </w:pPr>
      <w:r>
        <w:rPr>
          <w:rFonts w:ascii="宋体" w:hAnsi="宋体"/>
          <w:b/>
          <w:sz w:val="24"/>
        </w:rPr>
        <w:t>（三）投标报价</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1.投标报价应按招标文件中相关附表格式填写。</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2.投标报价是履行合同的最终价格，应包括货款、标准附件、备品备件、专用工具、包装、运输、装卸、保险、税金、货到就位以及安装、调试、培训、保修和前期方案编制、招投标等一切税金和费用。</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▲3.投标文件只允许有一个报价，有选择的或有条件的报价将不予接受。</w:t>
      </w:r>
    </w:p>
    <w:p>
      <w:pPr>
        <w:snapToGrid w:val="0"/>
        <w:spacing w:line="520" w:lineRule="exact"/>
        <w:ind w:firstLine="482" w:firstLineChars="200"/>
        <w:jc w:val="left"/>
        <w:outlineLvl w:val="0"/>
        <w:rPr>
          <w:rFonts w:ascii="宋体" w:hAnsi="宋体"/>
          <w:b/>
          <w:sz w:val="24"/>
        </w:rPr>
      </w:pPr>
      <w:r>
        <w:rPr>
          <w:rFonts w:ascii="宋体" w:hAnsi="宋体"/>
          <w:b/>
          <w:sz w:val="24"/>
        </w:rPr>
        <w:t>（四）投标文件的有效期</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1.投标文件从投标文件递交截止之日起，有效期为 90天，有效期不足的投标文件无效。</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2.在特殊情况下，招标人可与投标人协商延长投标书的有效期，这种要求和答复均以书面形式进行。</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 xml:space="preserve">3.投标人可拒绝接受延期要求。同意延长有效期的投标人不能修改投标文件。 </w:t>
      </w:r>
    </w:p>
    <w:p>
      <w:pPr>
        <w:snapToGrid w:val="0"/>
        <w:spacing w:line="520" w:lineRule="exact"/>
        <w:ind w:firstLine="480" w:firstLineChars="200"/>
        <w:jc w:val="left"/>
        <w:outlineLvl w:val="0"/>
        <w:rPr>
          <w:rFonts w:ascii="宋体" w:hAnsi="宋体" w:cs="宋体"/>
          <w:sz w:val="24"/>
        </w:rPr>
      </w:pPr>
      <w:r>
        <w:rPr>
          <w:rFonts w:hint="eastAsia" w:ascii="宋体" w:hAnsi="宋体" w:cs="宋体"/>
          <w:sz w:val="24"/>
        </w:rPr>
        <w:t>4.中标人的投标文件自开标之日起至合同履行完毕均应保持有效。</w:t>
      </w:r>
    </w:p>
    <w:p>
      <w:pPr>
        <w:snapToGrid w:val="0"/>
        <w:spacing w:line="520" w:lineRule="exact"/>
        <w:ind w:firstLine="482" w:firstLineChars="200"/>
        <w:jc w:val="left"/>
        <w:outlineLvl w:val="0"/>
        <w:rPr>
          <w:rFonts w:ascii="宋体" w:hAnsi="宋体"/>
          <w:b/>
          <w:sz w:val="24"/>
        </w:rPr>
      </w:pPr>
      <w:r>
        <w:rPr>
          <w:rFonts w:hint="eastAsia" w:ascii="宋体" w:hAnsi="宋体"/>
          <w:b/>
          <w:sz w:val="24"/>
        </w:rPr>
        <w:t>（五）</w:t>
      </w:r>
      <w:bookmarkStart w:id="37" w:name="_Toc385854151"/>
      <w:bookmarkStart w:id="38" w:name="_Toc406402951"/>
      <w:bookmarkStart w:id="39" w:name="_Toc402963122"/>
      <w:bookmarkStart w:id="40" w:name="_Toc402963089"/>
      <w:bookmarkStart w:id="41" w:name="_Toc385854105"/>
      <w:bookmarkStart w:id="42" w:name="_Toc406402995"/>
      <w:r>
        <w:rPr>
          <w:rFonts w:hint="eastAsia" w:ascii="宋体" w:hAnsi="宋体"/>
          <w:b/>
          <w:sz w:val="24"/>
        </w:rPr>
        <w:t>投标文件的</w:t>
      </w:r>
      <w:bookmarkEnd w:id="37"/>
      <w:bookmarkEnd w:id="38"/>
      <w:bookmarkEnd w:id="39"/>
      <w:bookmarkEnd w:id="40"/>
      <w:bookmarkEnd w:id="41"/>
      <w:bookmarkEnd w:id="42"/>
      <w:r>
        <w:rPr>
          <w:rFonts w:hint="eastAsia" w:ascii="宋体" w:hAnsi="宋体"/>
          <w:b/>
          <w:sz w:val="24"/>
        </w:rPr>
        <w:t>递交</w:t>
      </w:r>
    </w:p>
    <w:p>
      <w:pPr>
        <w:snapToGrid w:val="0"/>
        <w:spacing w:line="520" w:lineRule="exact"/>
        <w:ind w:firstLine="482" w:firstLineChars="200"/>
        <w:jc w:val="left"/>
        <w:outlineLvl w:val="0"/>
        <w:rPr>
          <w:rFonts w:ascii="宋体" w:hAnsi="宋体"/>
          <w:b/>
          <w:kern w:val="0"/>
          <w:sz w:val="24"/>
        </w:rPr>
      </w:pPr>
      <w:r>
        <w:rPr>
          <w:rFonts w:hint="eastAsia" w:ascii="宋体" w:hAnsi="宋体"/>
          <w:b/>
          <w:kern w:val="0"/>
          <w:sz w:val="24"/>
        </w:rPr>
        <w:t>电子投标</w:t>
      </w:r>
      <w:r>
        <w:rPr>
          <w:rFonts w:ascii="宋体" w:hAnsi="宋体"/>
          <w:b/>
          <w:kern w:val="0"/>
          <w:sz w:val="24"/>
        </w:rPr>
        <w:t>文件</w:t>
      </w:r>
    </w:p>
    <w:p>
      <w:pPr>
        <w:snapToGrid w:val="0"/>
        <w:spacing w:line="520" w:lineRule="exact"/>
        <w:ind w:firstLine="480" w:firstLineChars="200"/>
        <w:jc w:val="left"/>
        <w:outlineLvl w:val="0"/>
        <w:rPr>
          <w:rFonts w:ascii="宋体" w:hAnsi="宋体"/>
          <w:kern w:val="0"/>
          <w:sz w:val="24"/>
        </w:rPr>
      </w:pPr>
      <w:r>
        <w:rPr>
          <w:rFonts w:hint="eastAsia" w:ascii="宋体" w:hAnsi="宋体"/>
          <w:kern w:val="0"/>
          <w:sz w:val="24"/>
        </w:rPr>
        <w:t>电子投标文件按政采云平台供应商电子招投标操作指南（网址：</w:t>
      </w:r>
      <w:r>
        <w:fldChar w:fldCharType="begin"/>
      </w:r>
      <w:r>
        <w:instrText xml:space="preserve"> HYPERLINK "https://help.zcygov.cn/web/site_2/2018/12-28/2573.html）及本招标文件规定的格式和顺序编制电子投标文件并进行关联定位。" </w:instrText>
      </w:r>
      <w:r>
        <w:fldChar w:fldCharType="separate"/>
      </w:r>
      <w:r>
        <w:rPr>
          <w:rStyle w:val="26"/>
          <w:rFonts w:hint="eastAsia" w:ascii="宋体" w:hAnsi="宋体"/>
          <w:color w:val="auto"/>
          <w:kern w:val="0"/>
          <w:sz w:val="24"/>
        </w:rPr>
        <w:t>https://edu.zcygov.cn/luban/e-biding）及本招标文件规定的格式和顺序编制电子投标文件并进行关联定位。</w:t>
      </w:r>
      <w:r>
        <w:rPr>
          <w:rStyle w:val="26"/>
          <w:rFonts w:hint="eastAsia" w:ascii="宋体" w:hAnsi="宋体"/>
          <w:color w:val="auto"/>
          <w:kern w:val="0"/>
          <w:sz w:val="24"/>
        </w:rPr>
        <w:fldChar w:fldCharType="end"/>
      </w:r>
    </w:p>
    <w:p>
      <w:pPr>
        <w:tabs>
          <w:tab w:val="left" w:pos="2212"/>
        </w:tabs>
        <w:adjustRightInd w:val="0"/>
        <w:snapToGrid w:val="0"/>
        <w:spacing w:line="520" w:lineRule="exact"/>
        <w:ind w:firstLine="480" w:firstLineChars="200"/>
        <w:rPr>
          <w:rFonts w:ascii="新宋体" w:hAnsi="新宋体" w:eastAsia="新宋体" w:cs="Courier New"/>
          <w:sz w:val="24"/>
          <w:szCs w:val="21"/>
          <w:highlight w:val="none"/>
        </w:rPr>
      </w:pPr>
      <w:r>
        <w:rPr>
          <w:rFonts w:hint="eastAsia" w:ascii="宋体" w:hAnsi="宋体" w:eastAsia="新宋体"/>
          <w:bCs/>
          <w:sz w:val="24"/>
        </w:rPr>
        <w:t>1.</w:t>
      </w:r>
      <w:r>
        <w:rPr>
          <w:rFonts w:hint="eastAsia" w:ascii="新宋体" w:hAnsi="新宋体" w:eastAsia="新宋体" w:cs="Courier New"/>
          <w:bCs/>
          <w:sz w:val="24"/>
          <w:szCs w:val="21"/>
        </w:rPr>
        <w:t>投</w:t>
      </w:r>
      <w:r>
        <w:rPr>
          <w:rFonts w:hint="eastAsia" w:ascii="新宋体" w:hAnsi="新宋体" w:eastAsia="新宋体" w:cs="Courier New"/>
          <w:sz w:val="24"/>
          <w:szCs w:val="21"/>
        </w:rPr>
        <w:t>标人应于2025</w:t>
      </w:r>
      <w:r>
        <w:rPr>
          <w:rFonts w:ascii="新宋体" w:hAnsi="新宋体" w:eastAsia="新宋体" w:cs="Courier New"/>
          <w:sz w:val="24"/>
          <w:szCs w:val="21"/>
        </w:rPr>
        <w:t>年</w:t>
      </w:r>
      <w:r>
        <w:rPr>
          <w:rFonts w:hint="eastAsia" w:ascii="新宋体" w:hAnsi="新宋体" w:eastAsia="新宋体" w:cs="Courier New"/>
          <w:sz w:val="24"/>
          <w:szCs w:val="21"/>
          <w:highlight w:val="none"/>
          <w:lang w:val="en-US" w:eastAsia="zh-CN"/>
        </w:rPr>
        <w:t>2</w:t>
      </w:r>
      <w:r>
        <w:rPr>
          <w:rFonts w:hint="eastAsia" w:ascii="新宋体" w:hAnsi="新宋体" w:eastAsia="新宋体" w:cs="Courier New"/>
          <w:sz w:val="24"/>
          <w:szCs w:val="21"/>
          <w:highlight w:val="none"/>
        </w:rPr>
        <w:t>月</w:t>
      </w:r>
      <w:r>
        <w:rPr>
          <w:rFonts w:hint="eastAsia" w:ascii="新宋体" w:hAnsi="新宋体" w:eastAsia="新宋体" w:cs="Courier New"/>
          <w:sz w:val="24"/>
          <w:szCs w:val="21"/>
          <w:highlight w:val="none"/>
          <w:lang w:val="en-US" w:eastAsia="zh-CN"/>
        </w:rPr>
        <w:t>12</w:t>
      </w:r>
      <w:r>
        <w:rPr>
          <w:rFonts w:ascii="新宋体" w:hAnsi="新宋体" w:eastAsia="新宋体" w:cs="Courier New"/>
          <w:sz w:val="24"/>
          <w:szCs w:val="21"/>
          <w:highlight w:val="none"/>
        </w:rPr>
        <w:t>日</w:t>
      </w:r>
      <w:r>
        <w:rPr>
          <w:rFonts w:hint="eastAsia" w:ascii="新宋体" w:hAnsi="新宋体" w:eastAsia="新宋体" w:cs="Courier New"/>
          <w:sz w:val="24"/>
          <w:szCs w:val="21"/>
          <w:highlight w:val="none"/>
        </w:rPr>
        <w:t>9</w:t>
      </w:r>
      <w:r>
        <w:rPr>
          <w:rFonts w:ascii="新宋体" w:hAnsi="新宋体" w:eastAsia="新宋体" w:cs="Courier New"/>
          <w:sz w:val="24"/>
          <w:szCs w:val="21"/>
          <w:highlight w:val="none"/>
        </w:rPr>
        <w:t>：</w:t>
      </w:r>
      <w:r>
        <w:rPr>
          <w:rFonts w:hint="eastAsia" w:ascii="新宋体" w:hAnsi="新宋体" w:eastAsia="新宋体" w:cs="Courier New"/>
          <w:sz w:val="24"/>
          <w:szCs w:val="21"/>
          <w:highlight w:val="none"/>
        </w:rPr>
        <w:t>30前在“政采云”上自行加密上传电子投标文件，</w:t>
      </w:r>
      <w:r>
        <w:rPr>
          <w:rFonts w:ascii="新宋体" w:hAnsi="新宋体" w:eastAsia="新宋体" w:cs="Courier New"/>
          <w:sz w:val="24"/>
          <w:szCs w:val="21"/>
          <w:highlight w:val="none"/>
        </w:rPr>
        <w:t>逾期</w:t>
      </w:r>
      <w:r>
        <w:rPr>
          <w:rFonts w:hint="eastAsia" w:ascii="新宋体" w:hAnsi="新宋体" w:eastAsia="新宋体" w:cs="Courier New"/>
          <w:sz w:val="24"/>
          <w:szCs w:val="21"/>
          <w:highlight w:val="none"/>
        </w:rPr>
        <w:t>上传</w:t>
      </w:r>
      <w:r>
        <w:rPr>
          <w:rFonts w:ascii="新宋体" w:hAnsi="新宋体" w:eastAsia="新宋体" w:cs="Courier New"/>
          <w:sz w:val="24"/>
          <w:szCs w:val="21"/>
          <w:highlight w:val="none"/>
        </w:rPr>
        <w:t>或未按要求</w:t>
      </w:r>
      <w:r>
        <w:rPr>
          <w:rFonts w:hint="eastAsia" w:ascii="新宋体" w:hAnsi="新宋体" w:eastAsia="新宋体" w:cs="Courier New"/>
          <w:sz w:val="24"/>
          <w:szCs w:val="21"/>
          <w:highlight w:val="none"/>
        </w:rPr>
        <w:t>上传</w:t>
      </w:r>
      <w:r>
        <w:rPr>
          <w:rFonts w:ascii="新宋体" w:hAnsi="新宋体" w:eastAsia="新宋体" w:cs="Courier New"/>
          <w:sz w:val="24"/>
          <w:szCs w:val="21"/>
          <w:highlight w:val="none"/>
        </w:rPr>
        <w:t>的投标文件将予以拒收。</w:t>
      </w:r>
    </w:p>
    <w:p>
      <w:pPr>
        <w:tabs>
          <w:tab w:val="left" w:pos="2212"/>
        </w:tabs>
        <w:adjustRightInd w:val="0"/>
        <w:snapToGrid w:val="0"/>
        <w:spacing w:line="520" w:lineRule="exact"/>
        <w:ind w:firstLine="480" w:firstLineChars="200"/>
        <w:rPr>
          <w:rFonts w:ascii="新宋体" w:hAnsi="新宋体" w:eastAsia="新宋体" w:cs="Courier New"/>
          <w:sz w:val="24"/>
          <w:szCs w:val="21"/>
          <w:highlight w:val="none"/>
        </w:rPr>
      </w:pPr>
      <w:r>
        <w:rPr>
          <w:rFonts w:hint="eastAsia" w:ascii="新宋体" w:hAnsi="新宋体" w:eastAsia="新宋体" w:cs="Courier New"/>
          <w:sz w:val="24"/>
          <w:szCs w:val="21"/>
          <w:highlight w:val="none"/>
        </w:rPr>
        <w:t>2.代理机构在规定的投标截止时间以后“政采云平台”将不接收投标文件。</w:t>
      </w:r>
    </w:p>
    <w:p>
      <w:pPr>
        <w:pStyle w:val="11"/>
        <w:spacing w:beforeLines="0" w:afterLines="0" w:line="520" w:lineRule="exact"/>
        <w:ind w:firstLine="480" w:firstLineChars="200"/>
        <w:rPr>
          <w:rFonts w:ascii="新宋体" w:hAnsi="新宋体" w:eastAsia="新宋体" w:cs="Courier New"/>
          <w:szCs w:val="21"/>
        </w:rPr>
      </w:pPr>
      <w:r>
        <w:rPr>
          <w:rFonts w:hint="eastAsia" w:ascii="新宋体" w:hAnsi="新宋体" w:eastAsia="新宋体"/>
          <w:highlight w:val="none"/>
        </w:rPr>
        <w:t>3.投标文件解密：</w:t>
      </w:r>
      <w:r>
        <w:rPr>
          <w:rFonts w:hint="eastAsia" w:ascii="新宋体" w:hAnsi="新宋体" w:eastAsia="新宋体" w:cs="Courier New"/>
          <w:szCs w:val="21"/>
          <w:highlight w:val="none"/>
        </w:rPr>
        <w:t>开标时间后半小时内（2025</w:t>
      </w:r>
      <w:r>
        <w:rPr>
          <w:rFonts w:ascii="新宋体" w:hAnsi="新宋体" w:eastAsia="新宋体" w:cs="Courier New"/>
          <w:szCs w:val="21"/>
          <w:highlight w:val="none"/>
        </w:rPr>
        <w:t>年</w:t>
      </w:r>
      <w:r>
        <w:rPr>
          <w:rFonts w:hint="eastAsia" w:ascii="新宋体" w:hAnsi="新宋体" w:eastAsia="新宋体" w:cs="Courier New"/>
          <w:szCs w:val="21"/>
          <w:highlight w:val="none"/>
          <w:lang w:val="en-US" w:eastAsia="zh-CN"/>
        </w:rPr>
        <w:t>2</w:t>
      </w:r>
      <w:r>
        <w:rPr>
          <w:rFonts w:ascii="新宋体" w:hAnsi="新宋体" w:eastAsia="新宋体" w:cs="Courier New"/>
          <w:szCs w:val="21"/>
          <w:highlight w:val="none"/>
        </w:rPr>
        <w:t>月</w:t>
      </w:r>
      <w:r>
        <w:rPr>
          <w:rFonts w:hint="eastAsia" w:ascii="新宋体" w:hAnsi="新宋体" w:eastAsia="新宋体" w:cs="Courier New"/>
          <w:szCs w:val="21"/>
          <w:highlight w:val="none"/>
          <w:lang w:val="en-US" w:eastAsia="zh-CN"/>
        </w:rPr>
        <w:t>12</w:t>
      </w:r>
      <w:r>
        <w:rPr>
          <w:rFonts w:ascii="新宋体" w:hAnsi="新宋体" w:eastAsia="新宋体" w:cs="Courier New"/>
          <w:szCs w:val="21"/>
          <w:highlight w:val="none"/>
        </w:rPr>
        <w:t>日</w:t>
      </w:r>
      <w:r>
        <w:rPr>
          <w:rFonts w:hint="eastAsia" w:ascii="新宋体" w:hAnsi="新宋体" w:eastAsia="新宋体" w:cs="Courier New"/>
          <w:szCs w:val="21"/>
          <w:highlight w:val="none"/>
        </w:rPr>
        <w:t>10</w:t>
      </w:r>
      <w:r>
        <w:rPr>
          <w:rFonts w:ascii="新宋体" w:hAnsi="新宋体" w:eastAsia="新宋体" w:cs="Courier New"/>
          <w:szCs w:val="21"/>
          <w:highlight w:val="none"/>
        </w:rPr>
        <w:t>:</w:t>
      </w:r>
      <w:r>
        <w:rPr>
          <w:rFonts w:hint="eastAsia" w:ascii="新宋体" w:hAnsi="新宋体" w:eastAsia="新宋体" w:cs="Courier New"/>
          <w:szCs w:val="21"/>
          <w:highlight w:val="none"/>
        </w:rPr>
        <w:t>00</w:t>
      </w:r>
      <w:r>
        <w:rPr>
          <w:rFonts w:ascii="新宋体" w:hAnsi="新宋体" w:eastAsia="新宋体" w:cs="Courier New"/>
          <w:szCs w:val="21"/>
          <w:highlight w:val="none"/>
        </w:rPr>
        <w:t>前</w:t>
      </w:r>
      <w:r>
        <w:rPr>
          <w:rFonts w:hint="eastAsia" w:ascii="新宋体" w:hAnsi="新宋体" w:eastAsia="新宋体" w:cs="Courier New"/>
          <w:szCs w:val="21"/>
          <w:highlight w:val="none"/>
        </w:rPr>
        <w:t>）</w:t>
      </w:r>
      <w:r>
        <w:rPr>
          <w:rFonts w:ascii="新宋体" w:hAnsi="新宋体" w:eastAsia="新宋体" w:cs="Courier New"/>
          <w:szCs w:val="21"/>
          <w:highlight w:val="none"/>
        </w:rPr>
        <w:t>供应商可以登录“</w:t>
      </w:r>
      <w:r>
        <w:rPr>
          <w:rFonts w:hint="eastAsia" w:ascii="新宋体" w:hAnsi="新宋体" w:eastAsia="新宋体" w:cs="Courier New"/>
          <w:szCs w:val="21"/>
          <w:highlight w:val="none"/>
        </w:rPr>
        <w:t>政采云</w:t>
      </w:r>
      <w:r>
        <w:rPr>
          <w:rFonts w:ascii="新宋体" w:hAnsi="新宋体" w:eastAsia="新宋体" w:cs="Courier New"/>
          <w:szCs w:val="21"/>
          <w:highlight w:val="none"/>
        </w:rPr>
        <w:t>”</w:t>
      </w:r>
      <w:r>
        <w:rPr>
          <w:rFonts w:hint="eastAsia" w:ascii="新宋体" w:hAnsi="新宋体" w:eastAsia="新宋体" w:cs="Courier New"/>
          <w:szCs w:val="21"/>
          <w:highlight w:val="none"/>
        </w:rPr>
        <w:t>平台</w:t>
      </w:r>
      <w:r>
        <w:rPr>
          <w:rFonts w:ascii="新宋体" w:hAnsi="新宋体" w:eastAsia="新宋体" w:cs="Courier New"/>
          <w:szCs w:val="21"/>
          <w:highlight w:val="none"/>
        </w:rPr>
        <w:t>，用“</w:t>
      </w:r>
      <w:r>
        <w:rPr>
          <w:rFonts w:hint="eastAsia" w:ascii="新宋体" w:hAnsi="新宋体" w:eastAsia="新宋体" w:cs="Courier New"/>
          <w:szCs w:val="21"/>
          <w:highlight w:val="none"/>
        </w:rPr>
        <w:t>项目采购-开标评标</w:t>
      </w:r>
      <w:r>
        <w:rPr>
          <w:rFonts w:ascii="新宋体" w:hAnsi="新宋体" w:eastAsia="新宋体" w:cs="Courier New"/>
          <w:szCs w:val="21"/>
          <w:highlight w:val="none"/>
        </w:rPr>
        <w:t>”功能</w:t>
      </w:r>
      <w:r>
        <w:rPr>
          <w:rFonts w:hint="eastAsia" w:ascii="新宋体" w:hAnsi="新宋体" w:eastAsia="新宋体" w:cs="Courier New"/>
          <w:szCs w:val="21"/>
          <w:highlight w:val="none"/>
        </w:rPr>
        <w:t>进行</w:t>
      </w:r>
      <w:r>
        <w:rPr>
          <w:rFonts w:hint="eastAsia" w:ascii="新宋体" w:hAnsi="新宋体" w:eastAsia="新宋体" w:cs="Courier New"/>
          <w:szCs w:val="21"/>
        </w:rPr>
        <w:t>解密投标文件</w:t>
      </w:r>
      <w:r>
        <w:rPr>
          <w:rFonts w:ascii="新宋体" w:hAnsi="新宋体" w:eastAsia="新宋体" w:cs="Courier New"/>
          <w:szCs w:val="21"/>
        </w:rPr>
        <w:t>。</w:t>
      </w:r>
      <w:r>
        <w:rPr>
          <w:rFonts w:hint="eastAsia" w:ascii="新宋体" w:hAnsi="新宋体" w:eastAsia="新宋体" w:cs="Courier New"/>
          <w:szCs w:val="21"/>
        </w:rPr>
        <w:t>若供应商在规定时间内无法解密或解密失败，将导致投标无效或失败。</w:t>
      </w:r>
    </w:p>
    <w:p>
      <w:pPr>
        <w:snapToGrid w:val="0"/>
        <w:spacing w:line="520" w:lineRule="exact"/>
        <w:ind w:firstLine="480" w:firstLineChars="200"/>
        <w:jc w:val="left"/>
        <w:rPr>
          <w:rFonts w:ascii="新宋体" w:hAnsi="新宋体" w:eastAsia="新宋体" w:cs="Courier New"/>
          <w:sz w:val="24"/>
          <w:szCs w:val="21"/>
        </w:rPr>
      </w:pPr>
      <w:r>
        <w:rPr>
          <w:rFonts w:hint="eastAsia" w:ascii="宋体" w:hAnsi="宋体"/>
          <w:sz w:val="24"/>
        </w:rPr>
        <w:t>4.</w:t>
      </w:r>
      <w:r>
        <w:rPr>
          <w:rFonts w:hint="eastAsia" w:ascii="新宋体" w:hAnsi="新宋体" w:eastAsia="新宋体" w:cs="Courier New"/>
          <w:sz w:val="24"/>
          <w:szCs w:val="21"/>
        </w:rPr>
        <w:t>投标人在提交投标文件以后，在规定的投标截止时间之前，可以重新补充修改或撤回已上传的投标文件，补充、修改的内容为投标文件的组成部分。</w:t>
      </w:r>
    </w:p>
    <w:p>
      <w:pPr>
        <w:tabs>
          <w:tab w:val="left" w:pos="2212"/>
        </w:tabs>
        <w:adjustRightInd w:val="0"/>
        <w:snapToGrid w:val="0"/>
        <w:spacing w:line="520" w:lineRule="exact"/>
        <w:ind w:firstLine="480" w:firstLineChars="200"/>
        <w:rPr>
          <w:rFonts w:ascii="新宋体" w:hAnsi="新宋体" w:eastAsia="新宋体" w:cs="Courier New"/>
          <w:sz w:val="24"/>
          <w:szCs w:val="21"/>
        </w:rPr>
      </w:pPr>
      <w:r>
        <w:rPr>
          <w:rFonts w:hint="eastAsia" w:ascii="新宋体" w:hAnsi="新宋体" w:eastAsia="新宋体" w:cs="Courier New"/>
          <w:sz w:val="24"/>
          <w:szCs w:val="21"/>
        </w:rPr>
        <w:t>在投标截止时间之后，投标人不得对其投标做任何修改。</w:t>
      </w:r>
    </w:p>
    <w:p>
      <w:pPr>
        <w:tabs>
          <w:tab w:val="left" w:pos="2212"/>
        </w:tabs>
        <w:adjustRightInd w:val="0"/>
        <w:snapToGrid w:val="0"/>
        <w:spacing w:line="520" w:lineRule="exact"/>
        <w:ind w:firstLine="480" w:firstLineChars="200"/>
        <w:rPr>
          <w:rFonts w:ascii="新宋体" w:hAnsi="新宋体" w:eastAsia="新宋体" w:cs="Courier New"/>
          <w:sz w:val="24"/>
          <w:szCs w:val="21"/>
        </w:rPr>
      </w:pPr>
      <w:r>
        <w:rPr>
          <w:rFonts w:hint="eastAsia" w:ascii="新宋体" w:hAnsi="新宋体" w:eastAsia="新宋体" w:cs="Courier New"/>
          <w:sz w:val="24"/>
          <w:szCs w:val="21"/>
        </w:rPr>
        <w:t>从投标截止时间至投标人在投标书格式中确定的投标有效期期满这段时间内，投标人不得撤回其投标。</w:t>
      </w:r>
    </w:p>
    <w:p>
      <w:pPr>
        <w:snapToGrid w:val="0"/>
        <w:spacing w:line="520" w:lineRule="exact"/>
        <w:ind w:firstLine="482" w:firstLineChars="200"/>
        <w:jc w:val="left"/>
        <w:outlineLvl w:val="0"/>
        <w:rPr>
          <w:rFonts w:ascii="宋体" w:hAnsi="宋体"/>
          <w:b/>
          <w:sz w:val="24"/>
        </w:rPr>
      </w:pPr>
      <w:r>
        <w:rPr>
          <w:rFonts w:ascii="宋体" w:hAnsi="宋体"/>
          <w:b/>
          <w:sz w:val="24"/>
        </w:rPr>
        <w:t>（</w:t>
      </w:r>
      <w:r>
        <w:rPr>
          <w:rFonts w:hint="eastAsia" w:ascii="宋体" w:hAnsi="宋体"/>
          <w:b/>
          <w:sz w:val="24"/>
        </w:rPr>
        <w:t>六</w:t>
      </w:r>
      <w:r>
        <w:rPr>
          <w:rFonts w:ascii="宋体" w:hAnsi="宋体"/>
          <w:b/>
          <w:sz w:val="24"/>
        </w:rPr>
        <w:t>）投标无效的情形</w:t>
      </w:r>
    </w:p>
    <w:p>
      <w:pPr>
        <w:snapToGrid w:val="0"/>
        <w:spacing w:line="520" w:lineRule="exact"/>
        <w:ind w:firstLine="480" w:firstLineChars="200"/>
        <w:rPr>
          <w:rFonts w:ascii="宋体" w:hAnsi="宋体"/>
          <w:bCs/>
          <w:sz w:val="24"/>
        </w:rPr>
      </w:pPr>
      <w:r>
        <w:rPr>
          <w:rFonts w:hint="eastAsia" w:ascii="宋体" w:hAnsi="宋体"/>
          <w:bCs/>
          <w:sz w:val="24"/>
        </w:rPr>
        <w:t>根据《政府采购货物和服务招标投标管理办法》有下列情形之一的，视为投标人串通投标，其投标无效：</w:t>
      </w:r>
    </w:p>
    <w:p>
      <w:pPr>
        <w:snapToGrid w:val="0"/>
        <w:spacing w:line="520" w:lineRule="exact"/>
        <w:ind w:firstLine="480" w:firstLineChars="200"/>
        <w:rPr>
          <w:rFonts w:ascii="宋体" w:hAnsi="宋体"/>
          <w:bCs/>
          <w:sz w:val="24"/>
        </w:rPr>
      </w:pPr>
      <w:r>
        <w:rPr>
          <w:rFonts w:hint="eastAsia" w:ascii="宋体" w:hAnsi="宋体"/>
          <w:bCs/>
          <w:sz w:val="24"/>
        </w:rPr>
        <w:t>(一)不同投标人的投标文件由同一单位或者个人编制；</w:t>
      </w:r>
    </w:p>
    <w:p>
      <w:pPr>
        <w:snapToGrid w:val="0"/>
        <w:spacing w:line="520" w:lineRule="exact"/>
        <w:ind w:firstLine="480" w:firstLineChars="200"/>
        <w:rPr>
          <w:rFonts w:ascii="宋体" w:hAnsi="宋体"/>
          <w:bCs/>
          <w:sz w:val="24"/>
        </w:rPr>
      </w:pPr>
      <w:r>
        <w:rPr>
          <w:rFonts w:hint="eastAsia" w:ascii="宋体" w:hAnsi="宋体"/>
          <w:bCs/>
          <w:sz w:val="24"/>
        </w:rPr>
        <w:t>(二)不同投标人委托同一单位或者个人办理投标事宜；</w:t>
      </w:r>
    </w:p>
    <w:p>
      <w:pPr>
        <w:snapToGrid w:val="0"/>
        <w:spacing w:line="520" w:lineRule="exact"/>
        <w:ind w:firstLine="480" w:firstLineChars="200"/>
        <w:rPr>
          <w:rFonts w:ascii="宋体" w:hAnsi="宋体"/>
          <w:bCs/>
          <w:sz w:val="24"/>
        </w:rPr>
      </w:pPr>
      <w:r>
        <w:rPr>
          <w:rFonts w:hint="eastAsia" w:ascii="宋体" w:hAnsi="宋体"/>
          <w:bCs/>
          <w:sz w:val="24"/>
        </w:rPr>
        <w:t>(三)不同投标人的投标文件载明的项目管理成员或者联系人员为同一人；</w:t>
      </w:r>
    </w:p>
    <w:p>
      <w:pPr>
        <w:snapToGrid w:val="0"/>
        <w:spacing w:line="520" w:lineRule="exact"/>
        <w:ind w:firstLine="480" w:firstLineChars="200"/>
        <w:rPr>
          <w:rFonts w:ascii="宋体" w:hAnsi="宋体"/>
          <w:bCs/>
          <w:sz w:val="24"/>
        </w:rPr>
      </w:pPr>
      <w:r>
        <w:rPr>
          <w:rFonts w:hint="eastAsia" w:ascii="宋体" w:hAnsi="宋体"/>
          <w:bCs/>
          <w:sz w:val="24"/>
        </w:rPr>
        <w:t>(四)不同投标人的投标文件异常一致或者投标报价呈规律性差异；</w:t>
      </w:r>
    </w:p>
    <w:p>
      <w:pPr>
        <w:snapToGrid w:val="0"/>
        <w:spacing w:line="520" w:lineRule="exact"/>
        <w:ind w:firstLine="480" w:firstLineChars="200"/>
        <w:rPr>
          <w:rFonts w:ascii="宋体" w:hAnsi="宋体"/>
          <w:bCs/>
          <w:sz w:val="24"/>
        </w:rPr>
      </w:pPr>
      <w:r>
        <w:rPr>
          <w:rFonts w:hint="eastAsia" w:ascii="宋体" w:hAnsi="宋体"/>
          <w:bCs/>
          <w:sz w:val="24"/>
        </w:rPr>
        <w:t>(五)不同投标人的投标文件相互混装；</w:t>
      </w:r>
    </w:p>
    <w:p>
      <w:pPr>
        <w:snapToGrid w:val="0"/>
        <w:spacing w:line="520" w:lineRule="exact"/>
        <w:ind w:firstLine="480" w:firstLineChars="200"/>
        <w:rPr>
          <w:rFonts w:ascii="宋体" w:hAnsi="宋体"/>
          <w:bCs/>
          <w:sz w:val="24"/>
        </w:rPr>
      </w:pPr>
      <w:r>
        <w:rPr>
          <w:rFonts w:ascii="宋体" w:hAnsi="宋体"/>
          <w:bCs/>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限期内不补正或经补正后仍不符合招标文件要求的，应认定其投标无效。投标人修改、补正投标文件后，不影响评标委员会对其投标文件所作的评价和评分结果。</w:t>
      </w:r>
    </w:p>
    <w:p>
      <w:pPr>
        <w:snapToGrid w:val="0"/>
        <w:spacing w:line="520" w:lineRule="exact"/>
        <w:ind w:firstLine="482" w:firstLineChars="200"/>
        <w:rPr>
          <w:rFonts w:ascii="宋体" w:hAnsi="宋体"/>
          <w:b/>
          <w:sz w:val="24"/>
        </w:rPr>
      </w:pPr>
      <w:bookmarkStart w:id="43" w:name="_Toc366144037"/>
      <w:r>
        <w:rPr>
          <w:rFonts w:hint="eastAsia" w:ascii="宋体" w:hAnsi="宋体"/>
          <w:b/>
          <w:sz w:val="24"/>
        </w:rPr>
        <w:t>1.电子响应文件解密失败的，且未在规定时间内提交有效备份响应文件的。</w:t>
      </w:r>
    </w:p>
    <w:p>
      <w:pPr>
        <w:snapToGrid w:val="0"/>
        <w:spacing w:line="520" w:lineRule="exact"/>
        <w:ind w:firstLine="482" w:firstLineChars="200"/>
        <w:rPr>
          <w:rFonts w:ascii="宋体" w:hAnsi="宋体"/>
          <w:b/>
          <w:sz w:val="24"/>
        </w:rPr>
      </w:pPr>
      <w:r>
        <w:rPr>
          <w:rFonts w:hint="eastAsia" w:ascii="宋体" w:hAnsi="宋体"/>
          <w:b/>
          <w:sz w:val="24"/>
        </w:rPr>
        <w:t>2.仅提交备份响应文件，没有在电子交易平台传输递交响应文件的。</w:t>
      </w:r>
    </w:p>
    <w:p>
      <w:pPr>
        <w:snapToGrid w:val="0"/>
        <w:spacing w:line="520" w:lineRule="exact"/>
        <w:ind w:firstLine="482" w:firstLineChars="200"/>
        <w:rPr>
          <w:rFonts w:ascii="宋体" w:hAnsi="宋体"/>
          <w:b/>
          <w:sz w:val="24"/>
        </w:rPr>
      </w:pPr>
      <w:r>
        <w:rPr>
          <w:rFonts w:hint="eastAsia" w:ascii="宋体" w:hAnsi="宋体"/>
          <w:b/>
          <w:sz w:val="24"/>
        </w:rPr>
        <w:t>3.没有通过资格审查的，响应文件将被视为无效。</w:t>
      </w:r>
    </w:p>
    <w:p>
      <w:pPr>
        <w:snapToGrid w:val="0"/>
        <w:spacing w:line="520" w:lineRule="exact"/>
        <w:ind w:firstLine="482" w:firstLineChars="200"/>
        <w:rPr>
          <w:rFonts w:ascii="宋体" w:hAnsi="宋体"/>
          <w:b/>
          <w:sz w:val="24"/>
        </w:rPr>
      </w:pPr>
      <w:r>
        <w:rPr>
          <w:rFonts w:hint="eastAsia" w:ascii="宋体" w:hAnsi="宋体"/>
          <w:b/>
          <w:sz w:val="24"/>
        </w:rPr>
        <w:t>4.参与同一个标段的供应商存在下列情形之一且无法合理解释的，其投标文件无效：</w:t>
      </w:r>
    </w:p>
    <w:p>
      <w:pPr>
        <w:snapToGrid w:val="0"/>
        <w:spacing w:line="520" w:lineRule="exact"/>
        <w:ind w:firstLine="480" w:firstLineChars="200"/>
        <w:rPr>
          <w:rFonts w:ascii="宋体" w:hAnsi="宋体"/>
          <w:bCs/>
          <w:sz w:val="24"/>
        </w:rPr>
      </w:pPr>
      <w:r>
        <w:rPr>
          <w:rFonts w:hint="eastAsia" w:ascii="宋体" w:hAnsi="宋体"/>
          <w:bCs/>
          <w:sz w:val="24"/>
        </w:rPr>
        <w:t>（1）不同供应商的电子投标（响应）文件上传计算机的网卡MAC地址、CPU序列号和硬盘序列号等硬件信息相同的；</w:t>
      </w:r>
    </w:p>
    <w:p>
      <w:pPr>
        <w:snapToGrid w:val="0"/>
        <w:spacing w:line="520" w:lineRule="exact"/>
        <w:ind w:firstLine="480" w:firstLineChars="200"/>
        <w:rPr>
          <w:rFonts w:ascii="宋体" w:hAnsi="宋体"/>
          <w:bCs/>
          <w:sz w:val="24"/>
        </w:rPr>
      </w:pPr>
      <w:r>
        <w:rPr>
          <w:rFonts w:hint="eastAsia" w:ascii="宋体" w:hAnsi="宋体"/>
          <w:bCs/>
          <w:sz w:val="24"/>
        </w:rPr>
        <w:t>（2）上传的电子投标文件若出现使用本项目其他投标（响应）供应商的数字证书加密的，或者加盖本项目其他投标供应商的电子印章的；</w:t>
      </w:r>
    </w:p>
    <w:p>
      <w:pPr>
        <w:snapToGrid w:val="0"/>
        <w:spacing w:line="520" w:lineRule="exact"/>
        <w:ind w:firstLine="480" w:firstLineChars="200"/>
        <w:rPr>
          <w:rFonts w:ascii="宋体" w:hAnsi="宋体"/>
          <w:bCs/>
          <w:sz w:val="24"/>
        </w:rPr>
      </w:pPr>
      <w:r>
        <w:rPr>
          <w:rFonts w:hint="eastAsia" w:ascii="宋体" w:hAnsi="宋体"/>
          <w:bCs/>
          <w:sz w:val="24"/>
        </w:rPr>
        <w:t>（3）不同供应商的投标文件的内容存在三处（含）以上错误一致的；</w:t>
      </w:r>
    </w:p>
    <w:p>
      <w:pPr>
        <w:snapToGrid w:val="0"/>
        <w:spacing w:line="520" w:lineRule="exact"/>
        <w:ind w:firstLine="480" w:firstLineChars="200"/>
        <w:rPr>
          <w:rFonts w:ascii="宋体" w:hAnsi="宋体"/>
          <w:bCs/>
          <w:sz w:val="24"/>
        </w:rPr>
      </w:pPr>
      <w:r>
        <w:rPr>
          <w:rFonts w:hint="eastAsia" w:ascii="宋体" w:hAnsi="宋体"/>
          <w:bCs/>
          <w:sz w:val="24"/>
        </w:rPr>
        <w:t>（4）不同供应商联系人为同一人或不同联系人的联系电话一致的。</w:t>
      </w:r>
    </w:p>
    <w:p>
      <w:pPr>
        <w:snapToGrid w:val="0"/>
        <w:spacing w:line="520" w:lineRule="exact"/>
        <w:ind w:firstLine="482" w:firstLineChars="200"/>
        <w:rPr>
          <w:rFonts w:ascii="宋体" w:hAnsi="宋体"/>
          <w:bCs/>
          <w:sz w:val="24"/>
        </w:rPr>
      </w:pPr>
      <w:r>
        <w:rPr>
          <w:rFonts w:hint="eastAsia" w:ascii="宋体" w:hAnsi="宋体"/>
          <w:b/>
          <w:sz w:val="24"/>
        </w:rPr>
        <w:t>5.在符合性审查和商务评审时，如发现下列情形之一的，投标文件将被视为无效：</w:t>
      </w:r>
    </w:p>
    <w:p>
      <w:pPr>
        <w:snapToGrid w:val="0"/>
        <w:spacing w:line="520" w:lineRule="exact"/>
        <w:ind w:firstLine="480" w:firstLineChars="200"/>
        <w:rPr>
          <w:rFonts w:ascii="宋体" w:hAnsi="宋体"/>
          <w:bCs/>
          <w:sz w:val="24"/>
        </w:rPr>
      </w:pPr>
      <w:r>
        <w:rPr>
          <w:rFonts w:hint="eastAsia" w:ascii="宋体" w:hAnsi="宋体"/>
          <w:bCs/>
          <w:sz w:val="24"/>
        </w:rPr>
        <w:t>（1</w:t>
      </w:r>
      <w:r>
        <w:rPr>
          <w:rFonts w:ascii="宋体" w:hAnsi="宋体"/>
          <w:bCs/>
          <w:sz w:val="24"/>
        </w:rPr>
        <w:t>）</w:t>
      </w:r>
      <w:r>
        <w:rPr>
          <w:rFonts w:ascii="宋体" w:hAnsi="宋体"/>
          <w:sz w:val="24"/>
        </w:rPr>
        <w:t>电子投标文件未按规定要求提供电子签章的</w:t>
      </w:r>
      <w:r>
        <w:rPr>
          <w:rFonts w:hint="eastAsia" w:ascii="宋体" w:hAnsi="宋体"/>
          <w:sz w:val="24"/>
        </w:rPr>
        <w:t>；</w:t>
      </w:r>
    </w:p>
    <w:p>
      <w:pPr>
        <w:snapToGrid w:val="0"/>
        <w:spacing w:line="520" w:lineRule="exact"/>
        <w:ind w:firstLine="480" w:firstLineChars="200"/>
        <w:rPr>
          <w:rFonts w:ascii="宋体" w:hAnsi="宋体"/>
          <w:bCs/>
          <w:sz w:val="24"/>
        </w:rPr>
      </w:pPr>
      <w:r>
        <w:rPr>
          <w:rFonts w:hint="eastAsia" w:ascii="宋体" w:hAnsi="宋体"/>
          <w:bCs/>
          <w:sz w:val="24"/>
        </w:rPr>
        <w:t xml:space="preserve">（2）在资信商务技术文件中出现报价的； </w:t>
      </w:r>
    </w:p>
    <w:p>
      <w:pPr>
        <w:snapToGrid w:val="0"/>
        <w:spacing w:line="520" w:lineRule="exact"/>
        <w:ind w:firstLine="480" w:firstLineChars="200"/>
        <w:rPr>
          <w:rFonts w:ascii="宋体" w:hAnsi="宋体"/>
          <w:bCs/>
          <w:sz w:val="24"/>
        </w:rPr>
      </w:pPr>
      <w:r>
        <w:rPr>
          <w:rFonts w:hint="eastAsia" w:ascii="宋体" w:hAnsi="宋体"/>
          <w:bCs/>
          <w:sz w:val="24"/>
        </w:rPr>
        <w:t>（3）资格证明文件不全的，或者不符合招标文件标明的资格要求的；</w:t>
      </w:r>
    </w:p>
    <w:p>
      <w:pPr>
        <w:snapToGrid w:val="0"/>
        <w:spacing w:line="520" w:lineRule="exact"/>
        <w:ind w:firstLine="480" w:firstLineChars="200"/>
        <w:rPr>
          <w:rFonts w:ascii="宋体" w:hAnsi="宋体"/>
          <w:bCs/>
          <w:sz w:val="24"/>
        </w:rPr>
      </w:pPr>
      <w:r>
        <w:rPr>
          <w:rFonts w:hint="eastAsia" w:ascii="宋体" w:hAnsi="宋体"/>
          <w:bCs/>
          <w:sz w:val="24"/>
        </w:rPr>
        <w:t>（4）投标文件无法定代表人签字（或盖章）,或未提供法定代表人授权委托书、投标声明书或者填写项目不齐全的；</w:t>
      </w:r>
    </w:p>
    <w:p>
      <w:pPr>
        <w:snapToGrid w:val="0"/>
        <w:spacing w:line="520" w:lineRule="exact"/>
        <w:ind w:firstLine="480" w:firstLineChars="200"/>
        <w:rPr>
          <w:rFonts w:ascii="宋体" w:hAnsi="宋体"/>
          <w:bCs/>
          <w:sz w:val="24"/>
        </w:rPr>
      </w:pPr>
      <w:r>
        <w:rPr>
          <w:rFonts w:hint="eastAsia" w:ascii="宋体" w:hAnsi="宋体"/>
          <w:bCs/>
          <w:sz w:val="24"/>
        </w:rPr>
        <w:t xml:space="preserve">（5）投标代表人未能出具身份证明或与法定代表人授权委托人身份不符的； </w:t>
      </w:r>
    </w:p>
    <w:p>
      <w:pPr>
        <w:snapToGrid w:val="0"/>
        <w:spacing w:line="520" w:lineRule="exact"/>
        <w:ind w:firstLine="480" w:firstLineChars="200"/>
        <w:rPr>
          <w:rFonts w:ascii="宋体" w:hAnsi="宋体"/>
          <w:bCs/>
          <w:sz w:val="24"/>
        </w:rPr>
      </w:pPr>
      <w:r>
        <w:rPr>
          <w:rFonts w:hint="eastAsia" w:ascii="宋体" w:hAnsi="宋体"/>
          <w:bCs/>
          <w:sz w:val="24"/>
        </w:rPr>
        <w:t>（6）投标文件格式不规范、项目不齐全或者内容虚假的；</w:t>
      </w:r>
    </w:p>
    <w:p>
      <w:pPr>
        <w:snapToGrid w:val="0"/>
        <w:spacing w:line="520" w:lineRule="exact"/>
        <w:ind w:firstLine="480" w:firstLineChars="200"/>
        <w:rPr>
          <w:rFonts w:ascii="宋体" w:hAnsi="宋体"/>
          <w:bCs/>
          <w:sz w:val="24"/>
        </w:rPr>
      </w:pPr>
      <w:r>
        <w:rPr>
          <w:rFonts w:hint="eastAsia" w:ascii="宋体" w:hAnsi="宋体"/>
          <w:bCs/>
          <w:sz w:val="24"/>
        </w:rPr>
        <w:t>（7）投标文件的实质性内容未使用中文表述、意思表述不明确、前后矛盾或者使用计量单位不符合招标文件要求的（经评标委员会认定并允许其当场更正的笔误除外）；</w:t>
      </w:r>
    </w:p>
    <w:p>
      <w:pPr>
        <w:snapToGrid w:val="0"/>
        <w:spacing w:line="520" w:lineRule="exact"/>
        <w:ind w:firstLine="480" w:firstLineChars="200"/>
        <w:rPr>
          <w:rFonts w:ascii="宋体" w:hAnsi="宋体"/>
          <w:bCs/>
          <w:sz w:val="24"/>
        </w:rPr>
      </w:pPr>
      <w:r>
        <w:rPr>
          <w:rFonts w:hint="eastAsia" w:ascii="宋体" w:hAnsi="宋体"/>
          <w:bCs/>
          <w:sz w:val="24"/>
        </w:rPr>
        <w:t>（8）投标有效期、交货时间、质保期等商务条款不能满足招标文件要求的；</w:t>
      </w:r>
    </w:p>
    <w:p>
      <w:pPr>
        <w:snapToGrid w:val="0"/>
        <w:spacing w:line="520" w:lineRule="exact"/>
        <w:ind w:firstLine="480" w:firstLineChars="200"/>
        <w:rPr>
          <w:rFonts w:ascii="宋体" w:hAnsi="宋体"/>
          <w:bCs/>
          <w:sz w:val="24"/>
        </w:rPr>
      </w:pPr>
      <w:r>
        <w:rPr>
          <w:rFonts w:hint="eastAsia" w:ascii="宋体" w:hAnsi="宋体"/>
          <w:bCs/>
          <w:sz w:val="24"/>
        </w:rPr>
        <w:t>（9）未实质性响应招标文件要求或者投标文件有招标方不能接受的附加条件的；</w:t>
      </w:r>
    </w:p>
    <w:p>
      <w:pPr>
        <w:snapToGrid w:val="0"/>
        <w:spacing w:line="520" w:lineRule="exact"/>
        <w:ind w:firstLine="480" w:firstLineChars="200"/>
        <w:rPr>
          <w:rFonts w:ascii="宋体" w:hAnsi="宋体"/>
          <w:bCs/>
          <w:sz w:val="24"/>
        </w:rPr>
      </w:pPr>
      <w:r>
        <w:rPr>
          <w:rFonts w:hint="eastAsia" w:ascii="宋体" w:hAnsi="宋体"/>
          <w:bCs/>
          <w:sz w:val="24"/>
        </w:rPr>
        <w:t>（10）不符合本招标文件中的实质性要求条款。</w:t>
      </w:r>
    </w:p>
    <w:p>
      <w:pPr>
        <w:snapToGrid w:val="0"/>
        <w:spacing w:line="520" w:lineRule="exact"/>
        <w:rPr>
          <w:rFonts w:ascii="宋体" w:hAnsi="宋体"/>
          <w:b/>
          <w:sz w:val="24"/>
        </w:rPr>
      </w:pPr>
      <w:r>
        <w:rPr>
          <w:rFonts w:hint="eastAsia" w:ascii="宋体" w:hAnsi="宋体"/>
          <w:b/>
          <w:sz w:val="24"/>
        </w:rPr>
        <w:t>6.在技术评审时，如发现下列情形之一的，投标文件将被视为无效：</w:t>
      </w:r>
    </w:p>
    <w:p>
      <w:pPr>
        <w:snapToGrid w:val="0"/>
        <w:spacing w:line="520" w:lineRule="exact"/>
        <w:ind w:firstLine="480" w:firstLineChars="200"/>
        <w:rPr>
          <w:rFonts w:ascii="宋体" w:hAnsi="宋体"/>
          <w:bCs/>
          <w:sz w:val="24"/>
        </w:rPr>
      </w:pPr>
      <w:r>
        <w:rPr>
          <w:rFonts w:hint="eastAsia" w:ascii="宋体" w:hAnsi="宋体"/>
          <w:bCs/>
          <w:sz w:val="24"/>
        </w:rPr>
        <w:t>（1）未提供或未如实提供投标货物的技术参数，或者投标文件标明的响应或偏离与事实不符或虚假投标的；</w:t>
      </w:r>
    </w:p>
    <w:p>
      <w:pPr>
        <w:snapToGrid w:val="0"/>
        <w:spacing w:line="520" w:lineRule="exact"/>
        <w:ind w:firstLine="480" w:firstLineChars="200"/>
        <w:rPr>
          <w:rFonts w:ascii="宋体" w:hAnsi="宋体"/>
          <w:bCs/>
          <w:sz w:val="24"/>
        </w:rPr>
      </w:pPr>
      <w:r>
        <w:rPr>
          <w:rFonts w:hint="eastAsia" w:ascii="宋体" w:hAnsi="宋体"/>
          <w:bCs/>
          <w:sz w:val="24"/>
        </w:rPr>
        <w:t>（2）明显不符合招标文件要求的规格型号、质量标准，或者与招标文件中标“▲”的技术指标、主要功能项目发生实质性偏离的；</w:t>
      </w:r>
    </w:p>
    <w:p>
      <w:pPr>
        <w:snapToGrid w:val="0"/>
        <w:spacing w:line="520" w:lineRule="exact"/>
        <w:ind w:firstLine="480" w:firstLineChars="200"/>
        <w:rPr>
          <w:rFonts w:ascii="宋体" w:hAnsi="宋体"/>
          <w:bCs/>
          <w:sz w:val="24"/>
        </w:rPr>
      </w:pPr>
      <w:r>
        <w:rPr>
          <w:rFonts w:hint="eastAsia" w:ascii="宋体" w:hAnsi="宋体"/>
          <w:bCs/>
          <w:sz w:val="24"/>
        </w:rPr>
        <w:t>（3）招标需求中要求提供的产品属于节能清单中政府强制采购节能产品品目的，投标人未提供该清单内产品的；</w:t>
      </w:r>
    </w:p>
    <w:p>
      <w:pPr>
        <w:snapToGrid w:val="0"/>
        <w:spacing w:line="520" w:lineRule="exact"/>
        <w:ind w:firstLine="480" w:firstLineChars="200"/>
        <w:rPr>
          <w:rFonts w:ascii="宋体" w:hAnsi="宋体"/>
          <w:bCs/>
          <w:sz w:val="24"/>
        </w:rPr>
      </w:pPr>
      <w:r>
        <w:rPr>
          <w:rFonts w:hint="eastAsia" w:ascii="宋体" w:hAnsi="宋体"/>
          <w:bCs/>
          <w:sz w:val="24"/>
        </w:rPr>
        <w:t>（4）未在投标截止时间前提供齐全样品的；</w:t>
      </w:r>
    </w:p>
    <w:p>
      <w:pPr>
        <w:snapToGrid w:val="0"/>
        <w:spacing w:line="520" w:lineRule="exact"/>
        <w:ind w:firstLine="480" w:firstLineChars="200"/>
        <w:rPr>
          <w:rFonts w:ascii="宋体" w:hAnsi="宋体"/>
          <w:b/>
          <w:sz w:val="24"/>
        </w:rPr>
      </w:pPr>
      <w:r>
        <w:rPr>
          <w:rFonts w:hint="eastAsia" w:ascii="宋体" w:hAnsi="宋体"/>
          <w:bCs/>
          <w:sz w:val="24"/>
        </w:rPr>
        <w:t>（5）投标技术方案不明确，存在一个或一个以上备选（替代）投标方案的；</w:t>
      </w:r>
      <w:r>
        <w:rPr>
          <w:rFonts w:hint="eastAsia" w:ascii="宋体" w:hAnsi="宋体"/>
          <w:b/>
          <w:sz w:val="24"/>
        </w:rPr>
        <w:t>7.在报价评审时，如发现下列情形之一的，投标文件将被视为无效：</w:t>
      </w:r>
    </w:p>
    <w:p>
      <w:pPr>
        <w:snapToGrid w:val="0"/>
        <w:spacing w:line="520" w:lineRule="exact"/>
        <w:ind w:firstLine="480" w:firstLineChars="200"/>
        <w:rPr>
          <w:rFonts w:ascii="宋体" w:hAnsi="宋体"/>
          <w:bCs/>
          <w:sz w:val="24"/>
        </w:rPr>
      </w:pPr>
      <w:r>
        <w:rPr>
          <w:rFonts w:hint="eastAsia" w:ascii="宋体" w:hAnsi="宋体"/>
          <w:bCs/>
          <w:sz w:val="24"/>
        </w:rPr>
        <w:t>（1）未采用人民币报价或者未按照招标文件标明的币种报价的；</w:t>
      </w:r>
    </w:p>
    <w:p>
      <w:pPr>
        <w:snapToGrid w:val="0"/>
        <w:spacing w:line="520" w:lineRule="exact"/>
        <w:ind w:firstLine="480" w:firstLineChars="200"/>
        <w:rPr>
          <w:rFonts w:ascii="宋体" w:hAnsi="宋体"/>
          <w:bCs/>
          <w:sz w:val="24"/>
        </w:rPr>
      </w:pPr>
      <w:r>
        <w:rPr>
          <w:rFonts w:hint="eastAsia" w:ascii="宋体" w:hAnsi="宋体"/>
          <w:bCs/>
          <w:sz w:val="24"/>
        </w:rPr>
        <w:t>（2）报价超出最高限价；</w:t>
      </w:r>
    </w:p>
    <w:p>
      <w:pPr>
        <w:snapToGrid w:val="0"/>
        <w:spacing w:line="520" w:lineRule="exact"/>
        <w:ind w:firstLine="480" w:firstLineChars="200"/>
        <w:rPr>
          <w:rFonts w:ascii="宋体" w:hAnsi="宋体"/>
          <w:bCs/>
          <w:sz w:val="24"/>
        </w:rPr>
      </w:pPr>
      <w:r>
        <w:rPr>
          <w:rFonts w:hint="eastAsia" w:ascii="宋体" w:hAnsi="宋体"/>
          <w:bCs/>
          <w:sz w:val="24"/>
        </w:rPr>
        <w:t>（3）投标报价具有选择性，或者开标价格与投标文件承诺的优惠（折扣）价格不一致的。</w:t>
      </w:r>
    </w:p>
    <w:p>
      <w:pPr>
        <w:pStyle w:val="9"/>
        <w:snapToGrid w:val="0"/>
        <w:spacing w:line="520" w:lineRule="exact"/>
        <w:ind w:firstLine="0"/>
        <w:rPr>
          <w:rFonts w:hAnsi="宋体"/>
          <w:b/>
          <w:snapToGrid w:val="0"/>
          <w:sz w:val="24"/>
        </w:rPr>
      </w:pPr>
      <w:r>
        <w:rPr>
          <w:rFonts w:hint="eastAsia" w:hAnsi="宋体"/>
          <w:b/>
          <w:sz w:val="24"/>
        </w:rPr>
        <w:t>8.</w:t>
      </w:r>
      <w:r>
        <w:rPr>
          <w:rFonts w:hAnsi="宋体"/>
          <w:b/>
          <w:sz w:val="24"/>
        </w:rPr>
        <w:t>被拒绝的投标文件为无效。</w:t>
      </w:r>
    </w:p>
    <w:p>
      <w:pPr>
        <w:snapToGrid w:val="0"/>
        <w:spacing w:line="520" w:lineRule="exact"/>
        <w:ind w:firstLine="482" w:firstLineChars="200"/>
        <w:rPr>
          <w:rFonts w:ascii="宋体" w:hAnsi="宋体"/>
          <w:b/>
          <w:sz w:val="24"/>
        </w:rPr>
      </w:pPr>
      <w:r>
        <w:rPr>
          <w:rFonts w:hint="eastAsia" w:ascii="宋体" w:hAnsi="宋体"/>
          <w:b/>
          <w:sz w:val="24"/>
        </w:rPr>
        <w:t>（七）</w:t>
      </w:r>
      <w:r>
        <w:rPr>
          <w:rFonts w:ascii="宋体" w:hAnsi="宋体"/>
          <w:b/>
          <w:sz w:val="24"/>
        </w:rPr>
        <w:t>废标的情形</w:t>
      </w:r>
      <w:bookmarkEnd w:id="43"/>
    </w:p>
    <w:p>
      <w:pPr>
        <w:snapToGrid w:val="0"/>
        <w:spacing w:line="520" w:lineRule="exact"/>
        <w:ind w:firstLine="480" w:firstLineChars="200"/>
        <w:rPr>
          <w:rFonts w:ascii="宋体" w:hAnsi="宋体"/>
          <w:bCs/>
          <w:sz w:val="24"/>
        </w:rPr>
      </w:pPr>
      <w:r>
        <w:rPr>
          <w:rFonts w:hint="eastAsia" w:ascii="宋体" w:hAnsi="宋体"/>
          <w:bCs/>
          <w:sz w:val="24"/>
        </w:rPr>
        <w:t>采购中出现下列情形之一的，应予废标（废标后，采购代理机构应当将废标理由通知所有投标人）：</w:t>
      </w:r>
    </w:p>
    <w:p>
      <w:pPr>
        <w:snapToGrid w:val="0"/>
        <w:spacing w:line="520" w:lineRule="exact"/>
        <w:ind w:firstLine="480" w:firstLineChars="200"/>
        <w:rPr>
          <w:rFonts w:ascii="宋体" w:hAnsi="宋体"/>
          <w:bCs/>
          <w:sz w:val="24"/>
        </w:rPr>
      </w:pPr>
      <w:r>
        <w:rPr>
          <w:rFonts w:hint="eastAsia" w:ascii="宋体" w:hAnsi="宋体"/>
          <w:bCs/>
          <w:sz w:val="24"/>
        </w:rPr>
        <w:t>1.符合专业条件的投标人或对招标文件作实质性响应的投标人不足三家的；</w:t>
      </w:r>
    </w:p>
    <w:p>
      <w:pPr>
        <w:snapToGrid w:val="0"/>
        <w:spacing w:line="520" w:lineRule="exact"/>
        <w:ind w:firstLine="480" w:firstLineChars="200"/>
        <w:rPr>
          <w:rFonts w:ascii="宋体" w:hAnsi="宋体"/>
          <w:bCs/>
          <w:sz w:val="24"/>
        </w:rPr>
      </w:pPr>
      <w:r>
        <w:rPr>
          <w:rFonts w:hint="eastAsia" w:ascii="宋体" w:hAnsi="宋体"/>
          <w:bCs/>
          <w:sz w:val="24"/>
        </w:rPr>
        <w:t>2.出现影响采购公正的违法、违规行为的；</w:t>
      </w:r>
    </w:p>
    <w:p>
      <w:pPr>
        <w:snapToGrid w:val="0"/>
        <w:spacing w:line="520" w:lineRule="exact"/>
        <w:ind w:firstLine="480" w:firstLineChars="200"/>
        <w:rPr>
          <w:rFonts w:ascii="宋体" w:hAnsi="宋体"/>
          <w:bCs/>
          <w:sz w:val="24"/>
        </w:rPr>
      </w:pPr>
      <w:r>
        <w:rPr>
          <w:rFonts w:hint="eastAsia" w:ascii="宋体" w:hAnsi="宋体"/>
          <w:bCs/>
          <w:sz w:val="24"/>
        </w:rPr>
        <w:t>3.投标人的报价均超过了采购预算，采购人不能支付的；</w:t>
      </w:r>
    </w:p>
    <w:p>
      <w:pPr>
        <w:snapToGrid w:val="0"/>
        <w:spacing w:line="520" w:lineRule="exact"/>
        <w:ind w:firstLine="480" w:firstLineChars="200"/>
        <w:rPr>
          <w:rFonts w:ascii="宋体" w:hAnsi="宋体"/>
          <w:bCs/>
          <w:sz w:val="24"/>
        </w:rPr>
      </w:pPr>
      <w:r>
        <w:rPr>
          <w:rFonts w:hint="eastAsia" w:ascii="宋体" w:hAnsi="宋体"/>
          <w:bCs/>
          <w:sz w:val="24"/>
        </w:rPr>
        <w:t>4.因重大变故，采购任务取消的。</w:t>
      </w:r>
    </w:p>
    <w:p>
      <w:pPr>
        <w:pStyle w:val="11"/>
        <w:snapToGrid w:val="0"/>
        <w:spacing w:beforeLines="0" w:afterLines="0" w:line="520" w:lineRule="exact"/>
        <w:ind w:firstLine="482" w:firstLineChars="200"/>
        <w:outlineLvl w:val="1"/>
        <w:rPr>
          <w:rFonts w:hAnsi="宋体"/>
          <w:b/>
        </w:rPr>
      </w:pPr>
      <w:r>
        <w:rPr>
          <w:rFonts w:hAnsi="宋体"/>
          <w:b/>
        </w:rPr>
        <w:t>四、开标</w:t>
      </w:r>
    </w:p>
    <w:p>
      <w:pPr>
        <w:pStyle w:val="9"/>
        <w:snapToGrid w:val="0"/>
        <w:spacing w:line="520" w:lineRule="exact"/>
        <w:ind w:firstLine="464" w:firstLineChars="200"/>
        <w:rPr>
          <w:rFonts w:hAnsi="宋体"/>
          <w:sz w:val="24"/>
        </w:rPr>
      </w:pPr>
      <w:r>
        <w:rPr>
          <w:rFonts w:hint="eastAsia" w:hAnsi="宋体"/>
          <w:sz w:val="24"/>
        </w:rPr>
        <w:t>1、本项目实行电子开评标，投标人无需前往开评标现场，只需在规定时间内在“政采云”平台上上传电子投标文件和准时在线上参加开标。</w:t>
      </w:r>
    </w:p>
    <w:p>
      <w:pPr>
        <w:pStyle w:val="9"/>
        <w:snapToGrid w:val="0"/>
        <w:spacing w:line="520" w:lineRule="exact"/>
        <w:ind w:firstLine="464" w:firstLineChars="200"/>
        <w:rPr>
          <w:rFonts w:hAnsi="宋体"/>
          <w:sz w:val="24"/>
        </w:rPr>
      </w:pPr>
      <w:r>
        <w:rPr>
          <w:rFonts w:hAnsi="宋体"/>
          <w:sz w:val="24"/>
        </w:rPr>
        <w:t>2</w:t>
      </w:r>
      <w:r>
        <w:rPr>
          <w:rFonts w:hint="eastAsia" w:hAnsi="宋体"/>
          <w:sz w:val="24"/>
        </w:rPr>
        <w:t>、电子开评标及评审程序</w:t>
      </w:r>
    </w:p>
    <w:p>
      <w:pPr>
        <w:pStyle w:val="9"/>
        <w:snapToGrid w:val="0"/>
        <w:spacing w:line="520" w:lineRule="exact"/>
        <w:ind w:firstLine="464" w:firstLineChars="200"/>
        <w:rPr>
          <w:rFonts w:hAnsi="宋体"/>
          <w:sz w:val="24"/>
        </w:rPr>
      </w:pPr>
      <w:r>
        <w:rPr>
          <w:rFonts w:hint="eastAsia" w:hAnsi="宋体"/>
          <w:sz w:val="24"/>
        </w:rPr>
        <w:t>（1）</w:t>
      </w:r>
      <w:r>
        <w:rPr>
          <w:rFonts w:hAnsi="宋体"/>
          <w:sz w:val="24"/>
        </w:rPr>
        <w:t>投标截止时间后</w:t>
      </w:r>
      <w:r>
        <w:rPr>
          <w:rFonts w:hint="eastAsia" w:hAnsi="宋体"/>
          <w:sz w:val="24"/>
        </w:rPr>
        <w:t>的半小时内</w:t>
      </w:r>
      <w:r>
        <w:rPr>
          <w:rFonts w:hAnsi="宋体"/>
          <w:sz w:val="24"/>
        </w:rPr>
        <w:t>，</w:t>
      </w:r>
      <w:r>
        <w:rPr>
          <w:rFonts w:hint="eastAsia" w:hAnsi="宋体"/>
          <w:sz w:val="24"/>
        </w:rPr>
        <w:t>由各投标人自行</w:t>
      </w:r>
      <w:r>
        <w:rPr>
          <w:rFonts w:hAnsi="宋体"/>
          <w:sz w:val="24"/>
        </w:rPr>
        <w:t>对</w:t>
      </w:r>
      <w:r>
        <w:rPr>
          <w:rFonts w:hint="eastAsia" w:hAnsi="宋体"/>
          <w:sz w:val="24"/>
        </w:rPr>
        <w:t>电子</w:t>
      </w:r>
      <w:r>
        <w:rPr>
          <w:rFonts w:hAnsi="宋体"/>
          <w:sz w:val="24"/>
        </w:rPr>
        <w:t>投标文件进行解密</w:t>
      </w:r>
      <w:r>
        <w:rPr>
          <w:rFonts w:hint="eastAsia" w:hAnsi="宋体"/>
          <w:sz w:val="24"/>
        </w:rPr>
        <w:t xml:space="preserve">（请各投标人务必在规定时间内完成电子投标文件的解密工作，在电子开评标期间，投标人（授权代表）需确保在各自所在的区域具备上网的技术条件并保持网络及联系方式畅通）； </w:t>
      </w:r>
    </w:p>
    <w:p>
      <w:pPr>
        <w:pStyle w:val="9"/>
        <w:snapToGrid w:val="0"/>
        <w:spacing w:line="520" w:lineRule="exact"/>
        <w:ind w:firstLine="464" w:firstLineChars="200"/>
        <w:rPr>
          <w:rFonts w:hAnsi="宋体"/>
          <w:sz w:val="24"/>
        </w:rPr>
      </w:pPr>
      <w:r>
        <w:rPr>
          <w:rFonts w:hint="eastAsia" w:hAnsi="宋体"/>
          <w:sz w:val="24"/>
        </w:rPr>
        <w:t>（2）采购人或代理机构对投标人的资格审查文件和评标委员会对投标人的资信商务及技术响应文件进行评审；</w:t>
      </w:r>
    </w:p>
    <w:p>
      <w:pPr>
        <w:pStyle w:val="9"/>
        <w:snapToGrid w:val="0"/>
        <w:spacing w:line="520" w:lineRule="exact"/>
        <w:ind w:firstLine="464" w:firstLineChars="200"/>
        <w:rPr>
          <w:rFonts w:hAnsi="宋体"/>
          <w:sz w:val="24"/>
        </w:rPr>
      </w:pPr>
      <w:r>
        <w:rPr>
          <w:rFonts w:hint="eastAsia" w:hAnsi="宋体"/>
          <w:sz w:val="24"/>
        </w:rPr>
        <w:t>（3）评标委员会对报价文件进行评审；</w:t>
      </w:r>
    </w:p>
    <w:p>
      <w:pPr>
        <w:pStyle w:val="9"/>
        <w:snapToGrid w:val="0"/>
        <w:spacing w:line="520" w:lineRule="exact"/>
        <w:ind w:firstLine="464" w:firstLineChars="200"/>
        <w:rPr>
          <w:rFonts w:hAnsi="宋体"/>
          <w:sz w:val="24"/>
        </w:rPr>
      </w:pPr>
      <w:r>
        <w:rPr>
          <w:rFonts w:hint="eastAsia" w:hAnsi="宋体"/>
          <w:sz w:val="24"/>
        </w:rPr>
        <w:t>（4）在系统上公布评审结果。</w:t>
      </w:r>
    </w:p>
    <w:p>
      <w:pPr>
        <w:pStyle w:val="11"/>
        <w:snapToGrid w:val="0"/>
        <w:spacing w:beforeLines="0" w:afterLines="0" w:line="520" w:lineRule="exact"/>
        <w:ind w:firstLine="482" w:firstLineChars="200"/>
        <w:outlineLvl w:val="1"/>
        <w:rPr>
          <w:rFonts w:hAnsi="宋体"/>
          <w:b/>
        </w:rPr>
      </w:pPr>
      <w:r>
        <w:rPr>
          <w:rFonts w:hAnsi="宋体"/>
          <w:b/>
        </w:rPr>
        <w:t>五、评标</w:t>
      </w:r>
    </w:p>
    <w:p>
      <w:pPr>
        <w:pStyle w:val="11"/>
        <w:snapToGrid w:val="0"/>
        <w:spacing w:beforeLines="0" w:afterLines="0" w:line="500" w:lineRule="exact"/>
        <w:ind w:firstLine="482" w:firstLineChars="200"/>
        <w:rPr>
          <w:rFonts w:hAnsi="宋体"/>
          <w:b/>
        </w:rPr>
      </w:pPr>
      <w:r>
        <w:rPr>
          <w:rFonts w:hAnsi="宋体"/>
          <w:b/>
        </w:rPr>
        <w:t>（一）组建评标委员会</w:t>
      </w:r>
    </w:p>
    <w:p>
      <w:pPr>
        <w:pStyle w:val="11"/>
        <w:snapToGrid w:val="0"/>
        <w:spacing w:beforeLines="0" w:afterLines="0" w:line="500" w:lineRule="exact"/>
        <w:ind w:firstLine="480" w:firstLineChars="200"/>
        <w:rPr>
          <w:rFonts w:hAnsi="宋体" w:cs="宋体"/>
        </w:rPr>
      </w:pPr>
      <w:r>
        <w:rPr>
          <w:rFonts w:hint="eastAsia" w:hAnsi="宋体" w:cs="宋体"/>
        </w:rPr>
        <w:t>评标委员会由采购人代表和评审专家组成，共5人。</w:t>
      </w:r>
    </w:p>
    <w:p>
      <w:pPr>
        <w:pStyle w:val="11"/>
        <w:snapToGrid w:val="0"/>
        <w:spacing w:beforeLines="0" w:afterLines="0" w:line="500" w:lineRule="exact"/>
        <w:ind w:firstLine="482" w:firstLineChars="200"/>
        <w:rPr>
          <w:rFonts w:hAnsi="宋体"/>
          <w:b/>
        </w:rPr>
      </w:pPr>
      <w:r>
        <w:rPr>
          <w:rFonts w:hAnsi="宋体"/>
          <w:b/>
        </w:rPr>
        <w:t>（二）评标的方式</w:t>
      </w:r>
    </w:p>
    <w:p>
      <w:pPr>
        <w:pStyle w:val="11"/>
        <w:snapToGrid w:val="0"/>
        <w:spacing w:beforeLines="0" w:afterLines="0" w:line="500" w:lineRule="exact"/>
        <w:ind w:firstLine="480" w:firstLineChars="200"/>
        <w:rPr>
          <w:rFonts w:hAnsi="宋体"/>
        </w:rPr>
      </w:pPr>
      <w:r>
        <w:rPr>
          <w:rFonts w:hAnsi="宋体"/>
        </w:rPr>
        <w:t>本项目采用不公开方式评标，评标的依据为招标文件和投标文件。</w:t>
      </w:r>
    </w:p>
    <w:p>
      <w:pPr>
        <w:pStyle w:val="11"/>
        <w:snapToGrid w:val="0"/>
        <w:spacing w:beforeLines="0" w:afterLines="0" w:line="500" w:lineRule="exact"/>
        <w:ind w:firstLine="482" w:firstLineChars="200"/>
        <w:rPr>
          <w:rFonts w:hAnsi="宋体"/>
          <w:b/>
          <w:bCs/>
        </w:rPr>
      </w:pPr>
      <w:r>
        <w:rPr>
          <w:rFonts w:hAnsi="宋体"/>
          <w:b/>
        </w:rPr>
        <w:t>（三）</w:t>
      </w:r>
      <w:r>
        <w:rPr>
          <w:rFonts w:hAnsi="宋体"/>
          <w:b/>
          <w:bCs/>
        </w:rPr>
        <w:t>评标程序</w:t>
      </w:r>
    </w:p>
    <w:p>
      <w:pPr>
        <w:pStyle w:val="11"/>
        <w:snapToGrid w:val="0"/>
        <w:spacing w:beforeLines="0" w:afterLines="0" w:line="500" w:lineRule="exact"/>
        <w:ind w:firstLine="480" w:firstLineChars="200"/>
        <w:rPr>
          <w:rFonts w:hAnsi="宋体"/>
          <w:bCs/>
        </w:rPr>
      </w:pPr>
      <w:r>
        <w:rPr>
          <w:rFonts w:hint="eastAsia" w:hAnsi="宋体"/>
          <w:bCs/>
        </w:rPr>
        <w:t>采购人可以在评标前说明项目背景和采购需求，说明内容不得含有歧视性、倾向性意见，不得超出招标文件所述范围。说明应当提交书面材料，并随招标文件一并存档。</w:t>
      </w:r>
    </w:p>
    <w:p>
      <w:pPr>
        <w:snapToGrid w:val="0"/>
        <w:spacing w:line="500" w:lineRule="exact"/>
        <w:ind w:firstLine="482" w:firstLineChars="200"/>
        <w:rPr>
          <w:rFonts w:ascii="宋体" w:hAnsi="宋体"/>
          <w:b/>
          <w:bCs/>
          <w:sz w:val="24"/>
        </w:rPr>
      </w:pPr>
      <w:r>
        <w:rPr>
          <w:rFonts w:ascii="宋体" w:hAnsi="宋体"/>
          <w:b/>
          <w:bCs/>
          <w:sz w:val="24"/>
        </w:rPr>
        <w:t>1</w:t>
      </w:r>
      <w:r>
        <w:rPr>
          <w:rFonts w:hint="eastAsia" w:ascii="宋体" w:hAnsi="宋体"/>
          <w:b/>
          <w:bCs/>
          <w:sz w:val="24"/>
        </w:rPr>
        <w:t>.</w:t>
      </w:r>
      <w:r>
        <w:rPr>
          <w:rFonts w:ascii="宋体" w:hAnsi="宋体"/>
          <w:b/>
          <w:bCs/>
          <w:sz w:val="24"/>
        </w:rPr>
        <w:t>形式审查</w:t>
      </w:r>
    </w:p>
    <w:p>
      <w:pPr>
        <w:snapToGrid w:val="0"/>
        <w:spacing w:line="500" w:lineRule="exact"/>
        <w:ind w:firstLine="480" w:firstLineChars="200"/>
        <w:rPr>
          <w:rFonts w:ascii="宋体" w:hAnsi="宋体"/>
          <w:bCs/>
          <w:sz w:val="24"/>
        </w:rPr>
      </w:pPr>
      <w:r>
        <w:rPr>
          <w:rFonts w:ascii="宋体" w:hAnsi="宋体"/>
          <w:bCs/>
          <w:sz w:val="24"/>
        </w:rPr>
        <w:t>形式审查</w:t>
      </w:r>
      <w:r>
        <w:rPr>
          <w:rFonts w:hint="eastAsia" w:ascii="宋体" w:hAnsi="宋体"/>
          <w:bCs/>
          <w:sz w:val="24"/>
        </w:rPr>
        <w:t>包括资格审查（除符合性审查以外的关于供应商资格条件等内容）和符合性审查，即对供应商的资格</w:t>
      </w:r>
      <w:r>
        <w:rPr>
          <w:rFonts w:ascii="宋体" w:hAnsi="宋体"/>
          <w:bCs/>
          <w:sz w:val="24"/>
        </w:rPr>
        <w:t>和投标文件的完整性、合法性等进行审查。</w:t>
      </w:r>
      <w:r>
        <w:rPr>
          <w:rFonts w:hint="eastAsia" w:ascii="宋体" w:hAnsi="宋体"/>
          <w:bCs/>
          <w:sz w:val="24"/>
        </w:rPr>
        <w:t>投标文件形式审查未通过的供应商，其投标文件将不再评审。</w:t>
      </w:r>
    </w:p>
    <w:p>
      <w:pPr>
        <w:snapToGrid w:val="0"/>
        <w:spacing w:line="500" w:lineRule="exact"/>
        <w:ind w:firstLine="482" w:firstLineChars="200"/>
        <w:rPr>
          <w:rFonts w:ascii="宋体" w:hAnsi="宋体"/>
          <w:b/>
          <w:bCs/>
          <w:sz w:val="24"/>
        </w:rPr>
      </w:pPr>
      <w:r>
        <w:rPr>
          <w:rFonts w:ascii="宋体" w:hAnsi="宋体"/>
          <w:b/>
          <w:bCs/>
          <w:sz w:val="24"/>
        </w:rPr>
        <w:t>2</w:t>
      </w:r>
      <w:r>
        <w:rPr>
          <w:rFonts w:hint="eastAsia" w:ascii="宋体" w:hAnsi="宋体"/>
          <w:b/>
          <w:bCs/>
          <w:sz w:val="24"/>
        </w:rPr>
        <w:t>.</w:t>
      </w:r>
      <w:r>
        <w:rPr>
          <w:rFonts w:ascii="宋体" w:hAnsi="宋体"/>
          <w:b/>
          <w:bCs/>
          <w:sz w:val="24"/>
        </w:rPr>
        <w:t>实质审查与比较</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1）评标委员会审查投标文件的实质性内容是否符合招标文件的实质性要求。</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2）评标委员会将根据</w:t>
      </w:r>
      <w:r>
        <w:rPr>
          <w:rFonts w:hint="eastAsia" w:ascii="宋体" w:hAnsi="宋体"/>
          <w:sz w:val="24"/>
        </w:rPr>
        <w:t>供应商</w:t>
      </w:r>
      <w:r>
        <w:rPr>
          <w:rFonts w:ascii="宋体" w:hAnsi="宋体"/>
          <w:sz w:val="24"/>
        </w:rPr>
        <w:t>的投标文件进行审查、核对,如有疑问,将对</w:t>
      </w:r>
      <w:r>
        <w:rPr>
          <w:rFonts w:hint="eastAsia" w:ascii="宋体" w:hAnsi="宋体"/>
          <w:sz w:val="24"/>
        </w:rPr>
        <w:t>供应商</w:t>
      </w:r>
      <w:r>
        <w:rPr>
          <w:rFonts w:ascii="宋体" w:hAnsi="宋体"/>
          <w:sz w:val="24"/>
        </w:rPr>
        <w:t>进行询标,</w:t>
      </w:r>
      <w:r>
        <w:rPr>
          <w:rFonts w:hint="eastAsia" w:ascii="宋体" w:hAnsi="宋体"/>
          <w:sz w:val="24"/>
        </w:rPr>
        <w:t>供应商</w:t>
      </w:r>
      <w:r>
        <w:rPr>
          <w:rFonts w:ascii="宋体" w:hAnsi="宋体"/>
          <w:sz w:val="24"/>
        </w:rPr>
        <w:t>要向评标委员会澄清有关问题,并最终以书面形式进行答复。</w:t>
      </w:r>
    </w:p>
    <w:p>
      <w:pPr>
        <w:snapToGrid w:val="0"/>
        <w:spacing w:line="500" w:lineRule="exact"/>
        <w:ind w:firstLine="480" w:firstLineChars="200"/>
        <w:rPr>
          <w:rFonts w:ascii="宋体" w:hAnsi="宋体"/>
          <w:sz w:val="24"/>
        </w:rPr>
      </w:pPr>
      <w:r>
        <w:rPr>
          <w:rFonts w:ascii="宋体" w:hAnsi="宋体"/>
          <w:sz w:val="24"/>
        </w:rPr>
        <w:t>询标</w:t>
      </w:r>
      <w:r>
        <w:rPr>
          <w:rFonts w:hint="eastAsia" w:ascii="宋体" w:hAnsi="宋体"/>
          <w:sz w:val="24"/>
        </w:rPr>
        <w:t>时，供应商代表未到场或者拒绝澄清或者澄清的内容改变了投标文件的实质性内容的，评标委员会有权对该投标文件作出不利于供应商的评判。</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3）各</w:t>
      </w:r>
      <w:r>
        <w:rPr>
          <w:rFonts w:hint="eastAsia" w:ascii="宋体" w:hAnsi="宋体"/>
          <w:sz w:val="24"/>
        </w:rPr>
        <w:t>供应商</w:t>
      </w:r>
      <w:r>
        <w:rPr>
          <w:rFonts w:ascii="宋体" w:hAnsi="宋体"/>
          <w:sz w:val="24"/>
        </w:rPr>
        <w:t>的</w:t>
      </w:r>
      <w:r>
        <w:rPr>
          <w:rFonts w:hint="eastAsia" w:ascii="宋体" w:hAnsi="宋体"/>
          <w:sz w:val="24"/>
        </w:rPr>
        <w:t>资信商务及技术分按照评标委员会成员的独立评分结果汇后的算术平均分计算</w:t>
      </w:r>
      <w:r>
        <w:rPr>
          <w:rFonts w:ascii="宋体" w:hAnsi="宋体"/>
          <w:sz w:val="24"/>
        </w:rPr>
        <w:t>。</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平湖市公共资源交易中心工作人员协助</w:t>
      </w:r>
      <w:r>
        <w:rPr>
          <w:rFonts w:ascii="宋体" w:hAnsi="宋体"/>
          <w:sz w:val="24"/>
        </w:rPr>
        <w:t>评标委员会根据</w:t>
      </w:r>
      <w:r>
        <w:rPr>
          <w:rFonts w:hint="eastAsia" w:ascii="宋体" w:hAnsi="宋体"/>
          <w:sz w:val="24"/>
        </w:rPr>
        <w:t>本项目的评分标准操作政府采购业务系统，由系统</w:t>
      </w:r>
      <w:r>
        <w:rPr>
          <w:rFonts w:ascii="宋体" w:hAnsi="宋体"/>
          <w:sz w:val="24"/>
        </w:rPr>
        <w:t>计算各</w:t>
      </w:r>
      <w:r>
        <w:rPr>
          <w:rFonts w:hint="eastAsia" w:ascii="宋体" w:hAnsi="宋体"/>
          <w:sz w:val="24"/>
        </w:rPr>
        <w:t>供应商</w:t>
      </w:r>
      <w:r>
        <w:rPr>
          <w:rFonts w:ascii="宋体" w:hAnsi="宋体"/>
          <w:sz w:val="24"/>
        </w:rPr>
        <w:t>的商务报价得分</w:t>
      </w:r>
      <w:r>
        <w:rPr>
          <w:rFonts w:hint="eastAsia" w:ascii="宋体" w:hAnsi="宋体"/>
          <w:sz w:val="24"/>
        </w:rPr>
        <w:t>。</w:t>
      </w:r>
    </w:p>
    <w:p>
      <w:pPr>
        <w:snapToGrid w:val="0"/>
        <w:spacing w:line="500" w:lineRule="exact"/>
        <w:ind w:firstLine="480" w:firstLineChars="200"/>
        <w:rPr>
          <w:rFonts w:ascii="宋体" w:hAnsi="宋体"/>
          <w:sz w:val="24"/>
        </w:rPr>
      </w:pPr>
      <w:r>
        <w:rPr>
          <w:rFonts w:hint="eastAsia" w:ascii="宋体" w:hAnsi="宋体"/>
          <w:sz w:val="24"/>
        </w:rPr>
        <w:t>（</w:t>
      </w:r>
      <w:r>
        <w:rPr>
          <w:rFonts w:ascii="宋体" w:hAnsi="宋体"/>
          <w:sz w:val="24"/>
        </w:rPr>
        <w:t>5）评标委员会完成评标后,评委对各部分得分汇总,</w:t>
      </w:r>
      <w:r>
        <w:rPr>
          <w:rFonts w:hint="eastAsia" w:ascii="宋体" w:hAnsi="宋体"/>
          <w:sz w:val="24"/>
        </w:rPr>
        <w:t>计算</w:t>
      </w:r>
      <w:r>
        <w:rPr>
          <w:rFonts w:ascii="宋体" w:hAnsi="宋体"/>
          <w:sz w:val="24"/>
        </w:rPr>
        <w:t>出本项目</w:t>
      </w:r>
      <w:r>
        <w:rPr>
          <w:rFonts w:hint="eastAsia" w:ascii="宋体" w:hAnsi="宋体"/>
          <w:sz w:val="24"/>
        </w:rPr>
        <w:t>最终得分、性价比、评标价等</w:t>
      </w:r>
      <w:r>
        <w:rPr>
          <w:rFonts w:ascii="宋体" w:hAnsi="宋体"/>
          <w:sz w:val="24"/>
        </w:rPr>
        <w:t>。评标委员会按评标原则推荐</w:t>
      </w:r>
      <w:r>
        <w:rPr>
          <w:rFonts w:hint="eastAsia" w:ascii="宋体" w:hAnsi="宋体"/>
          <w:sz w:val="24"/>
        </w:rPr>
        <w:t>入围</w:t>
      </w:r>
      <w:r>
        <w:rPr>
          <w:rFonts w:ascii="宋体" w:hAnsi="宋体"/>
          <w:sz w:val="24"/>
        </w:rPr>
        <w:t>候选人同时起草评标报告。</w:t>
      </w:r>
    </w:p>
    <w:p>
      <w:pPr>
        <w:snapToGrid w:val="0"/>
        <w:spacing w:line="500" w:lineRule="exact"/>
        <w:ind w:firstLine="482" w:firstLineChars="200"/>
        <w:rPr>
          <w:rFonts w:ascii="宋体" w:hAnsi="宋体"/>
          <w:b/>
          <w:sz w:val="24"/>
        </w:rPr>
      </w:pPr>
      <w:r>
        <w:rPr>
          <w:rFonts w:hint="eastAsia" w:ascii="宋体" w:hAnsi="宋体"/>
          <w:b/>
          <w:sz w:val="24"/>
        </w:rPr>
        <w:t>（四）澄清问题的形式</w:t>
      </w:r>
    </w:p>
    <w:p>
      <w:pPr>
        <w:spacing w:line="500" w:lineRule="exact"/>
        <w:ind w:firstLine="480" w:firstLineChars="200"/>
        <w:rPr>
          <w:rFonts w:ascii="宋体" w:hAnsi="宋体"/>
          <w:sz w:val="24"/>
        </w:rPr>
      </w:pPr>
      <w:r>
        <w:rPr>
          <w:rFonts w:hint="eastAsia" w:ascii="宋体" w:hAnsi="宋体"/>
          <w:sz w:val="24"/>
        </w:rPr>
        <w:t>对投标文件中含义不明确、同类问题表述不一致或者有明显文字和计算错误的内容，评标委员会可要求供应商作出必要的澄清、说明或者纠正。</w:t>
      </w:r>
    </w:p>
    <w:p>
      <w:pPr>
        <w:spacing w:line="500" w:lineRule="exact"/>
        <w:ind w:firstLine="480" w:firstLineChars="200"/>
        <w:rPr>
          <w:rFonts w:ascii="宋体" w:hAnsi="宋体"/>
          <w:sz w:val="24"/>
        </w:rPr>
      </w:pPr>
      <w:r>
        <w:rPr>
          <w:rFonts w:hint="eastAsia" w:ascii="宋体" w:hAnsi="宋体"/>
          <w:sz w:val="24"/>
        </w:rPr>
        <w:t>1、评标委员会可以在“政采云”平台在线询标或其他有效形式要求供应商对同一份投标文件含义不明确或同类问题表述不一致的内容（招标文件其它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pPr>
        <w:tabs>
          <w:tab w:val="left" w:pos="0"/>
        </w:tabs>
        <w:spacing w:line="500" w:lineRule="exact"/>
        <w:ind w:firstLine="480" w:firstLineChars="200"/>
        <w:rPr>
          <w:rFonts w:ascii="宋体" w:hAnsi="宋体"/>
          <w:sz w:val="24"/>
        </w:rPr>
      </w:pPr>
      <w:r>
        <w:rPr>
          <w:rFonts w:hint="eastAsia" w:ascii="宋体" w:hAnsi="宋体"/>
          <w:sz w:val="24"/>
        </w:rPr>
        <w:t>2、如果供应商代表拒绝或</w:t>
      </w:r>
      <w:r>
        <w:rPr>
          <w:rFonts w:ascii="宋体" w:hAnsi="宋体"/>
          <w:sz w:val="24"/>
        </w:rPr>
        <w:t>未</w:t>
      </w:r>
      <w:r>
        <w:rPr>
          <w:rFonts w:hint="eastAsia" w:ascii="宋体" w:hAnsi="宋体"/>
          <w:sz w:val="24"/>
        </w:rPr>
        <w:t>按评标委员会要求在“政采云”平台作出在线回复且无其他有效回复方式的，评标委员会可以对其作出无效标处理。</w:t>
      </w:r>
    </w:p>
    <w:p>
      <w:pPr>
        <w:pStyle w:val="11"/>
        <w:snapToGrid w:val="0"/>
        <w:spacing w:beforeLines="0" w:afterLines="0" w:line="500" w:lineRule="exact"/>
        <w:ind w:firstLine="482" w:firstLineChars="200"/>
        <w:rPr>
          <w:rFonts w:hAnsi="宋体"/>
          <w:b/>
        </w:rPr>
      </w:pPr>
      <w:r>
        <w:rPr>
          <w:rFonts w:hAnsi="宋体"/>
          <w:b/>
        </w:rPr>
        <w:t>（五）错误修正</w:t>
      </w:r>
    </w:p>
    <w:p>
      <w:pPr>
        <w:pStyle w:val="11"/>
        <w:snapToGrid w:val="0"/>
        <w:spacing w:before="120" w:beforeLines="0" w:after="120" w:afterLines="0" w:line="360" w:lineRule="auto"/>
        <w:ind w:firstLine="480" w:firstLineChars="200"/>
        <w:rPr>
          <w:rFonts w:hAnsi="宋体"/>
          <w:bCs/>
        </w:rPr>
      </w:pPr>
      <w:r>
        <w:rPr>
          <w:rFonts w:hAnsi="宋体"/>
          <w:bCs/>
        </w:rPr>
        <w:t>投标文件如果出现计算或表达上的错误，修正错误的原则如下：</w:t>
      </w:r>
    </w:p>
    <w:p>
      <w:pPr>
        <w:pStyle w:val="11"/>
        <w:snapToGrid w:val="0"/>
        <w:spacing w:before="120" w:beforeLines="0" w:after="120" w:afterLines="0" w:line="360" w:lineRule="auto"/>
        <w:ind w:firstLine="480" w:firstLineChars="200"/>
        <w:rPr>
          <w:rFonts w:hAnsi="宋体"/>
          <w:bCs/>
        </w:rPr>
      </w:pPr>
      <w:r>
        <w:rPr>
          <w:rFonts w:hAnsi="宋体"/>
          <w:bCs/>
        </w:rPr>
        <w:t>1.开标一览表总价与投标报价明细表汇总数不一致的，以开标一览表为准；</w:t>
      </w:r>
    </w:p>
    <w:p>
      <w:pPr>
        <w:pStyle w:val="11"/>
        <w:snapToGrid w:val="0"/>
        <w:spacing w:before="120" w:beforeLines="0" w:after="120" w:afterLines="0" w:line="360" w:lineRule="auto"/>
        <w:ind w:firstLine="480" w:firstLineChars="200"/>
        <w:rPr>
          <w:rFonts w:hAnsi="宋体"/>
          <w:bCs/>
        </w:rPr>
      </w:pPr>
      <w:r>
        <w:rPr>
          <w:rFonts w:hAnsi="宋体"/>
          <w:bCs/>
        </w:rPr>
        <w:t>2.投标文件的大写金额和小写金额不一致的，以大写金额为准；</w:t>
      </w:r>
    </w:p>
    <w:p>
      <w:pPr>
        <w:pStyle w:val="11"/>
        <w:snapToGrid w:val="0"/>
        <w:spacing w:before="120" w:beforeLines="0" w:after="120" w:afterLines="0" w:line="360" w:lineRule="auto"/>
        <w:ind w:firstLine="480" w:firstLineChars="200"/>
        <w:rPr>
          <w:rFonts w:hAnsi="宋体"/>
          <w:bCs/>
        </w:rPr>
      </w:pPr>
      <w:r>
        <w:rPr>
          <w:rFonts w:hAnsi="宋体"/>
          <w:bCs/>
        </w:rPr>
        <w:t>3.总价金额与按单价汇总金额不一致的，以单价金额计算结果为准；</w:t>
      </w:r>
    </w:p>
    <w:p>
      <w:pPr>
        <w:pStyle w:val="11"/>
        <w:snapToGrid w:val="0"/>
        <w:spacing w:before="120" w:beforeLines="0" w:after="120" w:afterLines="0" w:line="360" w:lineRule="auto"/>
        <w:ind w:firstLine="480" w:firstLineChars="200"/>
        <w:rPr>
          <w:rFonts w:hAnsi="宋体"/>
          <w:bCs/>
        </w:rPr>
      </w:pPr>
      <w:r>
        <w:rPr>
          <w:rFonts w:hAnsi="宋体"/>
          <w:bCs/>
        </w:rPr>
        <w:t>4.对不同文字文本投标文件的解释发生异议的，以中文文本为准。</w:t>
      </w:r>
    </w:p>
    <w:p>
      <w:pPr>
        <w:pStyle w:val="11"/>
        <w:spacing w:before="120" w:after="120" w:line="360" w:lineRule="exact"/>
        <w:ind w:firstLine="482"/>
        <w:rPr>
          <w:rFonts w:hAnsi="宋体"/>
          <w:b/>
        </w:rPr>
      </w:pPr>
      <w:r>
        <w:rPr>
          <w:rFonts w:hint="eastAsia" w:hAnsi="宋体"/>
          <w:b/>
        </w:rPr>
        <w:t>5.客户端填写的报价与以pdf格式上传文件中的报价不一致的，应以pdf格式上传文件中的报价为准。</w:t>
      </w:r>
    </w:p>
    <w:p>
      <w:pPr>
        <w:pStyle w:val="11"/>
        <w:snapToGrid w:val="0"/>
        <w:spacing w:before="120" w:beforeLines="0" w:after="120" w:afterLines="0" w:line="360" w:lineRule="auto"/>
        <w:ind w:firstLine="480" w:firstLineChars="200"/>
        <w:rPr>
          <w:rFonts w:hAnsi="宋体"/>
          <w:b/>
          <w:bCs/>
        </w:rPr>
      </w:pPr>
      <w:r>
        <w:rPr>
          <w:rFonts w:hAnsi="宋体"/>
          <w:bCs/>
        </w:rPr>
        <w:t>按上述修正错误的原则及方法调整或修正投标文件的投标报价，投标人同意后，调整后的投标报价对投标人具有约束作用。如果投标人不接受修正后的报价，则其投标将作为无效投标处理。</w:t>
      </w:r>
    </w:p>
    <w:p>
      <w:pPr>
        <w:pStyle w:val="11"/>
        <w:tabs>
          <w:tab w:val="left" w:pos="630"/>
        </w:tabs>
        <w:snapToGrid w:val="0"/>
        <w:spacing w:beforeLines="0" w:afterLines="0" w:line="500" w:lineRule="exact"/>
        <w:ind w:firstLine="482" w:firstLineChars="200"/>
        <w:rPr>
          <w:rFonts w:hAnsi="宋体"/>
          <w:b/>
        </w:rPr>
      </w:pPr>
      <w:r>
        <w:rPr>
          <w:rFonts w:hAnsi="宋体"/>
          <w:b/>
        </w:rPr>
        <w:t>（六）评标原则和评标办法</w:t>
      </w:r>
    </w:p>
    <w:p>
      <w:pPr>
        <w:pStyle w:val="11"/>
        <w:snapToGrid w:val="0"/>
        <w:spacing w:beforeLines="0" w:afterLines="0" w:line="500" w:lineRule="exact"/>
        <w:ind w:firstLine="480" w:firstLineChars="200"/>
        <w:rPr>
          <w:rFonts w:hAnsi="宋体"/>
        </w:rPr>
      </w:pPr>
      <w:r>
        <w:rPr>
          <w:rFonts w:hAnsi="宋体"/>
        </w:rPr>
        <w:t>1</w:t>
      </w:r>
      <w:r>
        <w:rPr>
          <w:rFonts w:hint="eastAsia" w:hAnsi="宋体"/>
        </w:rPr>
        <w:t>.</w:t>
      </w:r>
      <w:r>
        <w:rPr>
          <w:rFonts w:hAnsi="宋体"/>
        </w:rPr>
        <w:t>评标原则。评标委员会必须公平、公正、客观，不带任何倾向性和启发性；不得向外界透露任何与评标有关的内容；任何单位和个人不得干扰、影响评标的正常进行；评标委员会及有关工作人员不得私下与</w:t>
      </w:r>
      <w:r>
        <w:rPr>
          <w:rFonts w:hint="eastAsia" w:hAnsi="宋体"/>
        </w:rPr>
        <w:t>供应商</w:t>
      </w:r>
      <w:r>
        <w:rPr>
          <w:rFonts w:hAnsi="宋体"/>
        </w:rPr>
        <w:t>接触。</w:t>
      </w:r>
    </w:p>
    <w:p>
      <w:pPr>
        <w:pStyle w:val="11"/>
        <w:snapToGrid w:val="0"/>
        <w:spacing w:beforeLines="0" w:afterLines="0" w:line="500" w:lineRule="exact"/>
        <w:ind w:firstLine="480" w:firstLineChars="200"/>
        <w:rPr>
          <w:rFonts w:hAnsi="宋体"/>
        </w:rPr>
      </w:pPr>
      <w:r>
        <w:rPr>
          <w:rFonts w:hAnsi="宋体"/>
        </w:rPr>
        <w:t>2</w:t>
      </w:r>
      <w:r>
        <w:rPr>
          <w:rFonts w:hint="eastAsia" w:hAnsi="宋体"/>
        </w:rPr>
        <w:t>.</w:t>
      </w:r>
      <w:r>
        <w:rPr>
          <w:rFonts w:hAnsi="宋体"/>
        </w:rPr>
        <w:t>评标办法。本项目评标办法是</w:t>
      </w:r>
      <w:r>
        <w:rPr>
          <w:rFonts w:hint="eastAsia" w:hAnsi="宋体"/>
        </w:rPr>
        <w:t>综合评标法</w:t>
      </w:r>
      <w:r>
        <w:rPr>
          <w:rFonts w:hAnsi="宋体"/>
        </w:rPr>
        <w:t xml:space="preserve"> ，具体评标内容及评分标准等详见《第四章：评标办法及评分标准》。</w:t>
      </w:r>
    </w:p>
    <w:p>
      <w:pPr>
        <w:pStyle w:val="11"/>
        <w:snapToGrid w:val="0"/>
        <w:spacing w:beforeLines="0" w:afterLines="0" w:line="500" w:lineRule="exact"/>
        <w:ind w:firstLine="482" w:firstLineChars="200"/>
        <w:rPr>
          <w:rFonts w:hAnsi="宋体"/>
          <w:b/>
        </w:rPr>
      </w:pPr>
      <w:r>
        <w:rPr>
          <w:rFonts w:hAnsi="宋体"/>
          <w:b/>
        </w:rPr>
        <w:t>（七）评标过程的监控</w:t>
      </w:r>
    </w:p>
    <w:p>
      <w:pPr>
        <w:pStyle w:val="11"/>
        <w:snapToGrid w:val="0"/>
        <w:spacing w:before="120" w:beforeLines="0" w:after="120" w:afterLines="0" w:line="360" w:lineRule="auto"/>
        <w:ind w:firstLine="480" w:firstLineChars="200"/>
        <w:rPr>
          <w:rFonts w:hAnsi="宋体"/>
        </w:rPr>
      </w:pPr>
      <w:r>
        <w:rPr>
          <w:rFonts w:hAnsi="宋体"/>
        </w:rPr>
        <w:t>本项目评标过程实行全程录音、录像监控</w:t>
      </w:r>
      <w:r>
        <w:rPr>
          <w:rFonts w:hint="eastAsia" w:hAnsi="宋体"/>
        </w:rPr>
        <w:t>，且有（</w:t>
      </w:r>
      <w:r>
        <w:rPr>
          <w:rFonts w:hint="eastAsia" w:hAnsi="宋体"/>
          <w:u w:val="single"/>
        </w:rPr>
        <w:t>平湖市政务服务管理办公室交易管理科/平湖市财政局政府采购监管科</w:t>
      </w:r>
      <w:r>
        <w:rPr>
          <w:rFonts w:hAnsi="宋体"/>
          <w:u w:val="single"/>
        </w:rPr>
        <w:t>）</w:t>
      </w:r>
      <w:r>
        <w:rPr>
          <w:rFonts w:hAnsi="宋体"/>
        </w:rPr>
        <w:t>进行监督</w:t>
      </w:r>
      <w:r>
        <w:rPr>
          <w:rFonts w:hint="eastAsia" w:hAnsi="宋体"/>
        </w:rPr>
        <w:t>，</w:t>
      </w:r>
      <w:r>
        <w:rPr>
          <w:rFonts w:hAnsi="宋体"/>
        </w:rPr>
        <w:t>投标人在评标过程中所进行的</w:t>
      </w:r>
      <w:r>
        <w:rPr>
          <w:rFonts w:hint="eastAsia" w:hAnsi="宋体"/>
        </w:rPr>
        <w:t>试</w:t>
      </w:r>
      <w:r>
        <w:rPr>
          <w:rFonts w:hAnsi="宋体"/>
        </w:rPr>
        <w:t>图影响评标结果的不公正活动，</w:t>
      </w:r>
      <w:r>
        <w:rPr>
          <w:rFonts w:hint="eastAsia" w:hAnsi="宋体"/>
        </w:rPr>
        <w:t>将按有关法律法规处理</w:t>
      </w:r>
      <w:r>
        <w:rPr>
          <w:rFonts w:hAnsi="宋体"/>
        </w:rPr>
        <w:t>。</w:t>
      </w:r>
    </w:p>
    <w:p>
      <w:pPr>
        <w:pStyle w:val="11"/>
        <w:snapToGrid w:val="0"/>
        <w:spacing w:beforeLines="0" w:afterLines="0" w:line="500" w:lineRule="exact"/>
        <w:ind w:firstLine="482" w:firstLineChars="200"/>
        <w:outlineLvl w:val="1"/>
        <w:rPr>
          <w:rFonts w:hAnsi="宋体"/>
          <w:b/>
        </w:rPr>
      </w:pPr>
      <w:r>
        <w:rPr>
          <w:rFonts w:hAnsi="宋体"/>
          <w:b/>
        </w:rPr>
        <w:t>六、定标</w:t>
      </w:r>
      <w:r>
        <w:rPr>
          <w:rFonts w:hint="eastAsia" w:hAnsi="宋体"/>
          <w:b/>
        </w:rPr>
        <w:t>、确定中标人</w:t>
      </w:r>
    </w:p>
    <w:p>
      <w:pPr>
        <w:snapToGrid w:val="0"/>
        <w:spacing w:line="500" w:lineRule="exact"/>
        <w:ind w:firstLine="480" w:firstLineChars="200"/>
        <w:rPr>
          <w:rFonts w:ascii="宋体" w:hAnsi="宋体"/>
          <w:sz w:val="24"/>
        </w:rPr>
      </w:pPr>
      <w:r>
        <w:rPr>
          <w:rFonts w:ascii="宋体" w:hAnsi="宋体"/>
          <w:sz w:val="24"/>
        </w:rPr>
        <w:t>1.</w:t>
      </w:r>
      <w:r>
        <w:rPr>
          <w:rFonts w:hint="eastAsia" w:ascii="宋体" w:hAnsi="宋体"/>
          <w:sz w:val="24"/>
        </w:rPr>
        <w:t>评标委员会根据招标文件和有关规定，履行评标工作职责，以评标原则和评标办法为标准，全面衡量各投标人对招标文件的响应情况。评标委员会按照各投标单位的综合得分情况，确定中标候选人。评标委员会根据评标结果向采购人提交评标报告。</w:t>
      </w:r>
    </w:p>
    <w:p>
      <w:pPr>
        <w:snapToGrid w:val="0"/>
        <w:spacing w:line="500" w:lineRule="exact"/>
        <w:ind w:firstLine="480" w:firstLineChars="200"/>
        <w:rPr>
          <w:rFonts w:ascii="宋体" w:hAnsi="宋体"/>
          <w:sz w:val="24"/>
        </w:rPr>
      </w:pPr>
      <w:r>
        <w:rPr>
          <w:rFonts w:hint="eastAsia" w:ascii="宋体" w:hAnsi="宋体"/>
          <w:sz w:val="24"/>
        </w:rPr>
        <w:t>2</w:t>
      </w:r>
      <w:r>
        <w:rPr>
          <w:rFonts w:ascii="宋体" w:hAnsi="宋体"/>
          <w:sz w:val="24"/>
        </w:rPr>
        <w:t>.采购代理机构在评标结束后</w:t>
      </w:r>
      <w:r>
        <w:rPr>
          <w:rFonts w:hint="eastAsia" w:ascii="宋体" w:hAnsi="宋体"/>
          <w:sz w:val="24"/>
        </w:rPr>
        <w:t>2</w:t>
      </w:r>
      <w:r>
        <w:rPr>
          <w:rFonts w:ascii="宋体" w:hAnsi="宋体"/>
          <w:sz w:val="24"/>
        </w:rPr>
        <w:t>个工作日内</w:t>
      </w:r>
      <w:r>
        <w:rPr>
          <w:rFonts w:hint="eastAsia" w:ascii="宋体" w:hAnsi="宋体"/>
          <w:sz w:val="24"/>
        </w:rPr>
        <w:t>，</w:t>
      </w:r>
      <w:r>
        <w:rPr>
          <w:rFonts w:ascii="宋体" w:hAnsi="宋体"/>
          <w:sz w:val="24"/>
        </w:rPr>
        <w:t>将评标报告交采购人确认</w:t>
      </w:r>
      <w:r>
        <w:rPr>
          <w:rFonts w:hint="eastAsia" w:ascii="宋体" w:hAnsi="宋体"/>
          <w:sz w:val="24"/>
        </w:rPr>
        <w:t>。投标人对评标结果无异议的，采购人应在收到评标报告后5个工作日内，按照评标报告中推荐的中标候选供应商顺序确定中标供应商，对评标结果进行确认；在采购人对结果确认后，采购代理机构将在</w:t>
      </w:r>
      <w:r>
        <w:rPr>
          <w:rFonts w:ascii="宋体" w:hAnsi="宋体"/>
          <w:sz w:val="24"/>
        </w:rPr>
        <w:t>发布招标公告的网站上</w:t>
      </w:r>
      <w:r>
        <w:rPr>
          <w:rFonts w:hint="eastAsia" w:ascii="宋体" w:hAnsi="宋体"/>
          <w:sz w:val="24"/>
        </w:rPr>
        <w:t>公布中</w:t>
      </w:r>
      <w:r>
        <w:rPr>
          <w:rFonts w:ascii="宋体" w:hAnsi="宋体"/>
          <w:sz w:val="24"/>
        </w:rPr>
        <w:t>标结果</w:t>
      </w:r>
      <w:r>
        <w:rPr>
          <w:rFonts w:hint="eastAsia" w:ascii="宋体" w:hAnsi="宋体"/>
          <w:sz w:val="24"/>
        </w:rPr>
        <w:t>公告</w:t>
      </w:r>
      <w:r>
        <w:rPr>
          <w:rFonts w:ascii="宋体" w:hAnsi="宋体"/>
          <w:sz w:val="24"/>
        </w:rPr>
        <w:t>。</w:t>
      </w:r>
    </w:p>
    <w:p>
      <w:pPr>
        <w:snapToGrid w:val="0"/>
        <w:spacing w:line="520" w:lineRule="exact"/>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在公告期内查实中标人有违反有关法律法规和本项目招标文件规定和要求的，则取消该投标人的中标资格。</w:t>
      </w:r>
    </w:p>
    <w:p>
      <w:pPr>
        <w:snapToGrid w:val="0"/>
        <w:spacing w:line="520" w:lineRule="exact"/>
        <w:ind w:firstLine="480" w:firstLineChars="200"/>
        <w:rPr>
          <w:rFonts w:ascii="宋体" w:hAnsi="宋体"/>
          <w:sz w:val="24"/>
        </w:rPr>
      </w:pPr>
      <w:r>
        <w:rPr>
          <w:rFonts w:hint="eastAsia" w:ascii="宋体" w:hAnsi="宋体"/>
          <w:sz w:val="24"/>
        </w:rPr>
        <w:t>4. 在公告中标结果的同时，</w:t>
      </w:r>
      <w:r>
        <w:rPr>
          <w:rFonts w:ascii="宋体" w:hAnsi="宋体"/>
          <w:sz w:val="24"/>
        </w:rPr>
        <w:t>采购代理机构</w:t>
      </w:r>
      <w:r>
        <w:rPr>
          <w:rFonts w:hint="eastAsia" w:ascii="宋体" w:hAnsi="宋体"/>
          <w:sz w:val="24"/>
        </w:rPr>
        <w:t>向中标人</w:t>
      </w:r>
      <w:r>
        <w:rPr>
          <w:rFonts w:ascii="宋体" w:hAnsi="宋体"/>
          <w:sz w:val="24"/>
        </w:rPr>
        <w:t>发出《中标通知书》</w:t>
      </w:r>
      <w:r>
        <w:rPr>
          <w:rFonts w:hint="eastAsia" w:ascii="宋体" w:hAnsi="宋体"/>
          <w:sz w:val="24"/>
        </w:rPr>
        <w:t>。</w:t>
      </w:r>
    </w:p>
    <w:p>
      <w:pPr>
        <w:pStyle w:val="11"/>
        <w:snapToGrid w:val="0"/>
        <w:spacing w:beforeLines="0" w:afterLines="0" w:line="520" w:lineRule="exact"/>
        <w:ind w:firstLine="482" w:firstLineChars="200"/>
        <w:outlineLvl w:val="1"/>
        <w:rPr>
          <w:rFonts w:hAnsi="宋体"/>
          <w:b/>
        </w:rPr>
      </w:pPr>
      <w:r>
        <w:rPr>
          <w:rFonts w:hAnsi="宋体"/>
          <w:b/>
        </w:rPr>
        <w:t>七、合同授予</w:t>
      </w:r>
    </w:p>
    <w:p>
      <w:pPr>
        <w:snapToGrid w:val="0"/>
        <w:spacing w:line="520" w:lineRule="exact"/>
        <w:ind w:firstLine="480" w:firstLineChars="200"/>
        <w:rPr>
          <w:rFonts w:ascii="宋体" w:hAnsi="宋体"/>
          <w:sz w:val="24"/>
        </w:rPr>
      </w:pPr>
      <w:r>
        <w:rPr>
          <w:rFonts w:ascii="宋体" w:hAnsi="宋体"/>
          <w:sz w:val="24"/>
        </w:rPr>
        <w:t>1.采购人与中标人应当在《中标通知书》发出之日起30日内签订政府采购合同。同时，采购代理机构对合同内容进行审查，如发现与采购结果和投标承诺内容不一致的，应予以纠正。</w:t>
      </w:r>
    </w:p>
    <w:p>
      <w:pPr>
        <w:snapToGrid w:val="0"/>
        <w:spacing w:line="520" w:lineRule="exact"/>
        <w:ind w:firstLine="480" w:firstLineChars="200"/>
        <w:rPr>
          <w:rFonts w:ascii="宋体" w:hAnsi="宋体"/>
          <w:sz w:val="24"/>
        </w:rPr>
      </w:pPr>
      <w:r>
        <w:rPr>
          <w:rFonts w:ascii="宋体" w:hAnsi="宋体"/>
          <w:sz w:val="24"/>
        </w:rPr>
        <w:t>2.中标人拖延、拒签合同的，将取消中标资格。</w:t>
      </w:r>
      <w:r>
        <w:rPr>
          <w:rFonts w:hint="eastAsia" w:ascii="宋体" w:hAnsi="宋体"/>
          <w:sz w:val="24"/>
        </w:rPr>
        <w:t>中标供应商在接到《中标通知书》后，违反采购文件有关规定和要求，不履行投标承诺，在规定时间内拒签合同或放弃中标的，则取消该投标人的中标资格。</w:t>
      </w:r>
    </w:p>
    <w:p>
      <w:pPr>
        <w:pStyle w:val="2"/>
        <w:rPr>
          <w:rFonts w:ascii="宋体" w:hAnsi="宋体"/>
          <w:sz w:val="24"/>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0" w:firstLineChars="0"/>
        <w:rPr>
          <w:rFonts w:ascii="宋体" w:hAnsi="宋体"/>
        </w:rPr>
      </w:pPr>
    </w:p>
    <w:p>
      <w:pPr>
        <w:pStyle w:val="2"/>
        <w:numPr>
          <w:ilvl w:val="0"/>
          <w:numId w:val="6"/>
        </w:numPr>
        <w:jc w:val="center"/>
      </w:pPr>
      <w:r>
        <w:t>评标办法及评分标准</w:t>
      </w:r>
    </w:p>
    <w:p>
      <w:pPr>
        <w:spacing w:line="360" w:lineRule="auto"/>
        <w:ind w:firstLine="480" w:firstLineChars="200"/>
        <w:rPr>
          <w:rFonts w:ascii="宋体" w:hAnsi="宋体"/>
          <w:sz w:val="24"/>
        </w:rPr>
      </w:pPr>
      <w:r>
        <w:rPr>
          <w:rFonts w:ascii="宋体" w:hAnsi="宋体"/>
          <w:sz w:val="24"/>
        </w:rPr>
        <w:t>为公正、公平、科学地选择中标人，根据《中华人民共和国政府采购法》等有关法律法规的规定，并结合本项目的实际，制定本办法。</w:t>
      </w:r>
    </w:p>
    <w:p>
      <w:pPr>
        <w:spacing w:line="360" w:lineRule="auto"/>
        <w:ind w:firstLine="480" w:firstLineChars="200"/>
        <w:rPr>
          <w:rFonts w:ascii="宋体" w:hAnsi="宋体"/>
          <w:bCs/>
          <w:sz w:val="24"/>
        </w:rPr>
      </w:pPr>
      <w:r>
        <w:rPr>
          <w:rFonts w:ascii="宋体" w:hAnsi="宋体"/>
          <w:sz w:val="24"/>
        </w:rPr>
        <w:t>本办法适用于</w:t>
      </w:r>
      <w:r>
        <w:rPr>
          <w:rFonts w:hint="eastAsia" w:ascii="宋体" w:hAnsi="宋体"/>
          <w:bCs/>
          <w:sz w:val="24"/>
          <w:u w:val="single"/>
        </w:rPr>
        <w:t xml:space="preserve">（平政采招2025-01） </w:t>
      </w:r>
      <w:r>
        <w:rPr>
          <w:rFonts w:ascii="宋体" w:hAnsi="宋体"/>
          <w:bCs/>
          <w:sz w:val="24"/>
        </w:rPr>
        <w:t>采购项目的评标。</w:t>
      </w:r>
    </w:p>
    <w:p>
      <w:pPr>
        <w:spacing w:line="500" w:lineRule="exact"/>
        <w:ind w:firstLine="551" w:firstLineChars="196"/>
        <w:rPr>
          <w:rFonts w:ascii="宋体" w:hAnsi="宋体" w:cs="宋体"/>
          <w:b/>
          <w:sz w:val="28"/>
          <w:szCs w:val="28"/>
        </w:rPr>
      </w:pPr>
      <w:r>
        <w:rPr>
          <w:rFonts w:hint="eastAsia" w:ascii="宋体" w:hAnsi="宋体" w:cs="宋体"/>
          <w:b/>
          <w:sz w:val="28"/>
          <w:szCs w:val="28"/>
        </w:rPr>
        <w:t>一、总则</w:t>
      </w:r>
    </w:p>
    <w:p>
      <w:pPr>
        <w:spacing w:line="500" w:lineRule="exact"/>
        <w:ind w:firstLine="480"/>
        <w:jc w:val="left"/>
        <w:rPr>
          <w:rFonts w:ascii="宋体" w:hAnsi="宋体" w:cs="宋体"/>
          <w:sz w:val="24"/>
        </w:rPr>
      </w:pPr>
      <w:r>
        <w:rPr>
          <w:rFonts w:hint="eastAsia" w:ascii="宋体" w:hAnsi="宋体" w:cs="宋体"/>
          <w:sz w:val="24"/>
        </w:rPr>
        <w:t>1、本次评标采用综合评分法，总分为100分，其中报价分30分、技术商务资信分70分。合格投标人的评标得分为各部分汇总得分，中标候选资格按评标得分由高到低顺序排列，得分相同的，按投标报价由低到高顺序排列；得分且投标报价相同的，按技术得分由高到低顺序排列,仍不能分出前后的，抽签确定中标人。排名第一的投标人为第一中标候选人，排名第二的投标人为第二候补中标候选人，排名第三的投标人为第三候补中标候选人。中标人拒绝与采购人签订合同的，采购人可以按照评审报告推荐的中标候选人名单顺序，确定下一候选人为中标人，也可以重新开展政府采购活动。评分过程中采用四舍五入法，并保留小数2位。</w:t>
      </w:r>
    </w:p>
    <w:p>
      <w:pPr>
        <w:spacing w:line="500" w:lineRule="exact"/>
        <w:ind w:firstLine="480"/>
        <w:jc w:val="left"/>
        <w:rPr>
          <w:rFonts w:ascii="宋体" w:hAnsi="宋体" w:cs="宋体"/>
          <w:sz w:val="24"/>
        </w:rPr>
      </w:pPr>
      <w:r>
        <w:rPr>
          <w:rFonts w:hint="eastAsia" w:ascii="宋体" w:hAnsi="宋体" w:cs="宋体"/>
          <w:sz w:val="24"/>
        </w:rPr>
        <w:t xml:space="preserve">2、投标人的投标报价不得超过采购人设定的上限价。价格是评标的重要因素之一，但最低报价不是中标的唯一依据。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pPr>
        <w:spacing w:line="500" w:lineRule="exact"/>
        <w:ind w:firstLine="480"/>
        <w:jc w:val="left"/>
        <w:rPr>
          <w:rFonts w:ascii="宋体" w:hAnsi="宋体" w:cs="宋体"/>
          <w:sz w:val="24"/>
        </w:rPr>
      </w:pPr>
      <w:r>
        <w:rPr>
          <w:rFonts w:hint="eastAsia" w:ascii="宋体" w:hAnsi="宋体" w:cs="宋体"/>
          <w:sz w:val="24"/>
        </w:rPr>
        <w:t>3、投标人评标综合得分=报价分+技术商务资信分。</w:t>
      </w:r>
    </w:p>
    <w:p>
      <w:pPr>
        <w:spacing w:line="500" w:lineRule="exact"/>
        <w:ind w:firstLine="281" w:firstLineChars="100"/>
        <w:jc w:val="left"/>
        <w:rPr>
          <w:rFonts w:ascii="宋体" w:hAnsi="宋体" w:cs="宋体"/>
          <w:b/>
          <w:sz w:val="28"/>
          <w:szCs w:val="28"/>
        </w:rPr>
      </w:pPr>
      <w:r>
        <w:rPr>
          <w:rFonts w:hint="eastAsia" w:ascii="宋体" w:hAnsi="宋体" w:cs="宋体"/>
          <w:b/>
          <w:sz w:val="28"/>
          <w:szCs w:val="28"/>
        </w:rPr>
        <w:t>二、评标内容及标准</w:t>
      </w:r>
    </w:p>
    <w:tbl>
      <w:tblPr>
        <w:tblStyle w:val="22"/>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619"/>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242" w:type="dxa"/>
            <w:shd w:val="clear" w:color="auto" w:fill="EEECE1"/>
            <w:noWrap w:val="0"/>
            <w:vAlign w:val="center"/>
          </w:tcPr>
          <w:p>
            <w:pPr>
              <w:spacing w:line="360" w:lineRule="auto"/>
              <w:jc w:val="center"/>
              <w:rPr>
                <w:rFonts w:hint="eastAsia" w:ascii="宋体" w:hAnsi="宋体" w:cs="宋体"/>
                <w:b/>
                <w:sz w:val="24"/>
              </w:rPr>
            </w:pPr>
            <w:r>
              <w:rPr>
                <w:rFonts w:hint="eastAsia" w:ascii="宋体" w:hAnsi="宋体" w:cs="宋体"/>
                <w:b/>
                <w:sz w:val="24"/>
              </w:rPr>
              <w:t>项目</w:t>
            </w:r>
          </w:p>
        </w:tc>
        <w:tc>
          <w:tcPr>
            <w:tcW w:w="6619" w:type="dxa"/>
            <w:shd w:val="clear" w:color="auto" w:fill="EEECE1"/>
            <w:noWrap w:val="0"/>
            <w:vAlign w:val="center"/>
          </w:tcPr>
          <w:p>
            <w:pPr>
              <w:spacing w:line="360" w:lineRule="auto"/>
              <w:jc w:val="center"/>
              <w:rPr>
                <w:rFonts w:hint="eastAsia" w:ascii="宋体" w:hAnsi="宋体" w:cs="宋体"/>
                <w:b/>
                <w:sz w:val="24"/>
              </w:rPr>
            </w:pPr>
            <w:r>
              <w:rPr>
                <w:rFonts w:hint="eastAsia" w:ascii="宋体" w:hAnsi="宋体" w:cs="宋体"/>
                <w:b/>
                <w:sz w:val="24"/>
              </w:rPr>
              <w:t>评分标准</w:t>
            </w:r>
          </w:p>
        </w:tc>
        <w:tc>
          <w:tcPr>
            <w:tcW w:w="1771" w:type="dxa"/>
            <w:shd w:val="clear" w:color="auto" w:fill="EEECE1"/>
            <w:noWrap w:val="0"/>
            <w:vAlign w:val="center"/>
          </w:tcPr>
          <w:p>
            <w:pPr>
              <w:spacing w:line="360" w:lineRule="auto"/>
              <w:jc w:val="center"/>
              <w:rPr>
                <w:rFonts w:hint="eastAsia" w:ascii="宋体" w:hAnsi="宋体" w:cs="宋体"/>
                <w:b/>
                <w:sz w:val="24"/>
              </w:rPr>
            </w:pPr>
            <w:r>
              <w:rPr>
                <w:rFonts w:hint="eastAsia" w:ascii="宋体" w:hAnsi="宋体" w:cs="宋体"/>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242" w:type="dxa"/>
            <w:noWrap w:val="0"/>
            <w:vAlign w:val="center"/>
          </w:tcPr>
          <w:p>
            <w:pPr>
              <w:spacing w:line="360" w:lineRule="auto"/>
              <w:jc w:val="center"/>
              <w:rPr>
                <w:rFonts w:hint="eastAsia" w:ascii="宋体" w:hAnsi="宋体" w:cs="宋体"/>
                <w:sz w:val="24"/>
              </w:rPr>
            </w:pPr>
            <w:r>
              <w:rPr>
                <w:rFonts w:hint="eastAsia" w:ascii="宋体" w:hAnsi="宋体" w:cs="宋体"/>
                <w:sz w:val="24"/>
              </w:rPr>
              <w:t>价格分   （30分）</w:t>
            </w:r>
          </w:p>
        </w:tc>
        <w:tc>
          <w:tcPr>
            <w:tcW w:w="6619" w:type="dxa"/>
            <w:noWrap w:val="0"/>
            <w:vAlign w:val="center"/>
          </w:tcPr>
          <w:p>
            <w:pPr>
              <w:spacing w:line="360" w:lineRule="auto"/>
              <w:rPr>
                <w:rFonts w:hint="eastAsia" w:ascii="宋体" w:hAnsi="宋体" w:cs="宋体"/>
                <w:sz w:val="24"/>
              </w:rPr>
            </w:pPr>
            <w:r>
              <w:rPr>
                <w:rFonts w:hint="eastAsia" w:ascii="宋体" w:hAnsi="宋体" w:cs="宋体"/>
                <w:sz w:val="24"/>
              </w:rPr>
              <w:t>采用低价优先法计算，即以满足招标文件要求且价格最低的投标报价为评标基准价，其价格分为满分。其他投标人的价格分统一按照下列公式计算：投标报价得分=（评标基准价/投标报价）×30×100%（四舍五入，保留两位小数）</w:t>
            </w:r>
          </w:p>
        </w:tc>
        <w:tc>
          <w:tcPr>
            <w:tcW w:w="1771" w:type="dxa"/>
            <w:noWrap w:val="0"/>
            <w:vAlign w:val="center"/>
          </w:tcPr>
          <w:p>
            <w:pPr>
              <w:spacing w:line="360" w:lineRule="auto"/>
              <w:jc w:val="center"/>
              <w:rPr>
                <w:rFonts w:hint="eastAsia" w:ascii="宋体" w:hAnsi="宋体" w:cs="宋体"/>
                <w:sz w:val="24"/>
              </w:rPr>
            </w:pPr>
            <w:r>
              <w:rPr>
                <w:rFonts w:hint="eastAsia" w:ascii="宋体" w:hAnsi="宋体" w:cs="宋体"/>
                <w:sz w:val="24"/>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632" w:type="dxa"/>
            <w:gridSpan w:val="3"/>
            <w:noWrap w:val="0"/>
            <w:vAlign w:val="center"/>
          </w:tcPr>
          <w:p>
            <w:pPr>
              <w:spacing w:line="360" w:lineRule="auto"/>
              <w:jc w:val="center"/>
              <w:rPr>
                <w:rFonts w:hint="eastAsia" w:ascii="宋体" w:hAnsi="宋体" w:cs="宋体"/>
                <w:sz w:val="24"/>
              </w:rPr>
            </w:pPr>
            <w:r>
              <w:rPr>
                <w:rFonts w:hint="eastAsia" w:ascii="宋体" w:hAnsi="宋体" w:cs="宋体"/>
                <w:b/>
                <w:bCs/>
                <w:sz w:val="24"/>
              </w:rPr>
              <w:t>技术分（</w:t>
            </w:r>
            <w:r>
              <w:rPr>
                <w:rFonts w:hint="eastAsia" w:ascii="宋体" w:hAnsi="宋体" w:cs="宋体"/>
                <w:b/>
                <w:bCs/>
                <w:sz w:val="24"/>
                <w:lang w:val="en-US" w:eastAsia="zh-CN"/>
              </w:rPr>
              <w:t>0-</w:t>
            </w:r>
            <w:r>
              <w:rPr>
                <w:rFonts w:hint="eastAsia" w:ascii="宋体" w:hAnsi="宋体" w:cs="宋体"/>
                <w:b/>
                <w:bCs/>
                <w:sz w:val="24"/>
              </w:rPr>
              <w:t>6</w:t>
            </w:r>
            <w:r>
              <w:rPr>
                <w:rFonts w:hint="eastAsia" w:ascii="宋体" w:hAnsi="宋体" w:cs="宋体"/>
                <w:b/>
                <w:bCs/>
                <w:sz w:val="24"/>
                <w:lang w:val="en-US" w:eastAsia="zh-CN"/>
              </w:rPr>
              <w:t>5</w:t>
            </w:r>
            <w:r>
              <w:rPr>
                <w:rFonts w:hint="eastAsia" w:ascii="宋体" w:hAnsi="宋体" w:cs="宋体"/>
                <w:b/>
                <w:b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投标货物技术参数响应情况</w:t>
            </w:r>
          </w:p>
        </w:tc>
        <w:tc>
          <w:tcPr>
            <w:tcW w:w="6619" w:type="dxa"/>
            <w:noWrap w:val="0"/>
            <w:vAlign w:val="center"/>
          </w:tcPr>
          <w:p>
            <w:pPr>
              <w:widowControl/>
              <w:spacing w:line="360" w:lineRule="auto"/>
              <w:jc w:val="left"/>
              <w:rPr>
                <w:rFonts w:hint="eastAsia" w:ascii="宋体" w:hAnsi="宋体" w:cs="宋体"/>
                <w:kern w:val="0"/>
                <w:sz w:val="24"/>
              </w:rPr>
            </w:pPr>
            <w:r>
              <w:rPr>
                <w:rFonts w:hint="eastAsia" w:ascii="宋体" w:hAnsi="宋体" w:cs="宋体"/>
                <w:spacing w:val="-6"/>
                <w:kern w:val="0"/>
                <w:sz w:val="24"/>
              </w:rPr>
              <w:t>所投产品具体配置表、技术参数及偏离情况：完全满足招标文件中技术参数指标项目要求的，得10分；每有一项负偏离的扣0.5分，扣完为止。</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9"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设计方案</w:t>
            </w:r>
          </w:p>
        </w:tc>
        <w:tc>
          <w:tcPr>
            <w:tcW w:w="6619" w:type="dxa"/>
            <w:noWrap w:val="0"/>
            <w:vAlign w:val="center"/>
          </w:tcPr>
          <w:p>
            <w:pPr>
              <w:snapToGrid w:val="0"/>
              <w:spacing w:line="360" w:lineRule="auto"/>
              <w:rPr>
                <w:rFonts w:hint="eastAsia" w:ascii="宋体" w:hAnsi="宋体" w:cs="宋体"/>
                <w:bCs/>
                <w:sz w:val="24"/>
              </w:rPr>
            </w:pPr>
            <w:r>
              <w:rPr>
                <w:rFonts w:hint="eastAsia" w:ascii="宋体" w:hAnsi="宋体" w:cs="宋体"/>
                <w:kern w:val="0"/>
                <w:sz w:val="24"/>
              </w:rPr>
              <w:t>供应商</w:t>
            </w:r>
            <w:r>
              <w:rPr>
                <w:rFonts w:hint="eastAsia" w:ascii="宋体" w:hAnsi="宋体" w:cs="宋体"/>
                <w:bCs/>
                <w:sz w:val="24"/>
              </w:rPr>
              <w:t>根据实际场地情况及方案要求、功能要求、材质要求、参考尺寸等对招标文件内要求的园区拟定的设计区域场地进行深化设计。根据投标人的设计方案是否充分体现以下设计内容进行打分。</w:t>
            </w:r>
          </w:p>
          <w:p>
            <w:pPr>
              <w:snapToGrid w:val="0"/>
              <w:spacing w:line="360" w:lineRule="auto"/>
              <w:rPr>
                <w:rFonts w:hint="eastAsia" w:ascii="宋体" w:hAnsi="宋体" w:cs="宋体"/>
                <w:bCs/>
                <w:sz w:val="24"/>
                <w:highlight w:val="none"/>
              </w:rPr>
            </w:pPr>
            <w:r>
              <w:rPr>
                <w:rFonts w:hint="eastAsia" w:ascii="宋体" w:hAnsi="宋体" w:cs="宋体"/>
                <w:bCs/>
                <w:sz w:val="24"/>
              </w:rPr>
              <w:t>1、设计理念：要求充分说明产品设备与景观环境、园所建筑的有机结合，阐述设计理念与园所教育理念的高度融合，体现设计的整体性、合理性。</w:t>
            </w:r>
            <w:r>
              <w:rPr>
                <w:rFonts w:hint="eastAsia" w:ascii="宋体" w:hAnsi="宋体" w:cs="宋体"/>
                <w:bCs/>
                <w:sz w:val="24"/>
                <w:highlight w:val="none"/>
                <w:lang w:eastAsia="zh-CN"/>
              </w:rPr>
              <w:t>（评分范围：</w:t>
            </w:r>
            <w:r>
              <w:rPr>
                <w:rFonts w:hint="eastAsia" w:ascii="宋体" w:hAnsi="宋体" w:cs="宋体"/>
                <w:bCs/>
                <w:sz w:val="24"/>
                <w:highlight w:val="none"/>
                <w:lang w:val="en-US" w:eastAsia="zh-CN"/>
              </w:rPr>
              <w:t>2、1.5、1、0.5、0</w:t>
            </w:r>
            <w:r>
              <w:rPr>
                <w:rFonts w:hint="eastAsia" w:ascii="宋体" w:hAnsi="宋体" w:cs="宋体"/>
                <w:bCs/>
                <w:sz w:val="24"/>
                <w:highlight w:val="none"/>
                <w:lang w:eastAsia="zh-CN"/>
              </w:rPr>
              <w:t>）</w:t>
            </w:r>
            <w:r>
              <w:rPr>
                <w:rFonts w:hint="eastAsia" w:ascii="宋体" w:hAnsi="宋体" w:cs="宋体"/>
                <w:bCs/>
                <w:sz w:val="24"/>
                <w:highlight w:val="none"/>
              </w:rPr>
              <w:t>。</w:t>
            </w:r>
          </w:p>
          <w:p>
            <w:pPr>
              <w:snapToGrid w:val="0"/>
              <w:spacing w:line="360" w:lineRule="auto"/>
              <w:rPr>
                <w:rFonts w:hint="eastAsia" w:ascii="宋体" w:hAnsi="宋体" w:cs="宋体"/>
                <w:bCs/>
                <w:color w:val="auto"/>
                <w:sz w:val="24"/>
                <w:highlight w:val="none"/>
              </w:rPr>
            </w:pPr>
            <w:r>
              <w:rPr>
                <w:rFonts w:hint="eastAsia" w:ascii="宋体" w:hAnsi="宋体" w:cs="宋体"/>
                <w:bCs/>
                <w:sz w:val="24"/>
              </w:rPr>
              <w:t>2、</w:t>
            </w:r>
            <w:r>
              <w:rPr>
                <w:rFonts w:hint="eastAsia" w:ascii="宋体" w:hAnsi="宋体" w:cs="宋体"/>
                <w:bCs/>
                <w:color w:val="auto"/>
                <w:sz w:val="24"/>
              </w:rPr>
              <w:t>序号3</w:t>
            </w:r>
            <w:r>
              <w:rPr>
                <w:rFonts w:hint="eastAsia" w:ascii="宋体" w:hAnsi="宋体" w:cs="宋体"/>
                <w:bCs/>
                <w:color w:val="auto"/>
                <w:sz w:val="24"/>
                <w:lang w:eastAsia="zh-CN"/>
              </w:rPr>
              <w:t>户外大型玩具</w:t>
            </w:r>
            <w:r>
              <w:rPr>
                <w:rFonts w:hint="eastAsia" w:ascii="宋体" w:hAnsi="宋体" w:cs="宋体"/>
                <w:bCs/>
                <w:color w:val="auto"/>
                <w:sz w:val="24"/>
              </w:rPr>
              <w:t>、序号4</w:t>
            </w:r>
            <w:r>
              <w:rPr>
                <w:rFonts w:hint="eastAsia" w:ascii="宋体" w:hAnsi="宋体" w:cs="宋体"/>
                <w:bCs/>
                <w:color w:val="auto"/>
                <w:sz w:val="24"/>
                <w:lang w:eastAsia="zh-CN"/>
              </w:rPr>
              <w:t>中型玩具这两</w:t>
            </w:r>
            <w:r>
              <w:rPr>
                <w:rFonts w:hint="eastAsia" w:ascii="宋体" w:hAnsi="宋体" w:cs="宋体"/>
                <w:bCs/>
                <w:color w:val="auto"/>
                <w:sz w:val="24"/>
                <w:highlight w:val="none"/>
                <w:lang w:eastAsia="zh-CN"/>
              </w:rPr>
              <w:t>项</w:t>
            </w:r>
            <w:r>
              <w:rPr>
                <w:rFonts w:hint="eastAsia" w:ascii="宋体" w:hAnsi="宋体" w:cs="宋体"/>
                <w:bCs/>
                <w:color w:val="auto"/>
                <w:sz w:val="24"/>
                <w:highlight w:val="none"/>
              </w:rPr>
              <w:t>设备图纸</w:t>
            </w:r>
            <w:r>
              <w:rPr>
                <w:rFonts w:hint="eastAsia" w:ascii="宋体" w:hAnsi="宋体" w:cs="宋体"/>
                <w:bCs/>
                <w:color w:val="auto"/>
                <w:sz w:val="24"/>
                <w:highlight w:val="none"/>
                <w:lang w:eastAsia="zh-CN"/>
              </w:rPr>
              <w:t>的</w:t>
            </w:r>
            <w:r>
              <w:rPr>
                <w:rFonts w:hint="eastAsia" w:ascii="宋体" w:hAnsi="宋体" w:cs="宋体"/>
                <w:bCs/>
                <w:color w:val="auto"/>
                <w:sz w:val="24"/>
                <w:highlight w:val="none"/>
              </w:rPr>
              <w:t>完备性：效果图多方位、多角度的展现产品设备的整体造型（包含主视图、俯视图、侧视图）以及关键细节图，</w:t>
            </w:r>
            <w:r>
              <w:rPr>
                <w:rFonts w:hint="eastAsia" w:ascii="宋体" w:hAnsi="宋体" w:cs="宋体"/>
                <w:bCs/>
                <w:sz w:val="24"/>
                <w:highlight w:val="none"/>
                <w:lang w:eastAsia="zh-CN"/>
              </w:rPr>
              <w:t>（评分范围：</w:t>
            </w:r>
            <w:r>
              <w:rPr>
                <w:rFonts w:hint="eastAsia" w:ascii="宋体" w:hAnsi="宋体" w:cs="宋体"/>
                <w:bCs/>
                <w:sz w:val="24"/>
                <w:highlight w:val="none"/>
                <w:lang w:val="en-US" w:eastAsia="zh-CN"/>
              </w:rPr>
              <w:t>2、1.5、1、0.5、0</w:t>
            </w:r>
            <w:r>
              <w:rPr>
                <w:rFonts w:hint="eastAsia" w:ascii="宋体" w:hAnsi="宋体" w:cs="宋体"/>
                <w:bCs/>
                <w:sz w:val="24"/>
                <w:highlight w:val="none"/>
                <w:lang w:eastAsia="zh-CN"/>
              </w:rPr>
              <w:t>）</w:t>
            </w:r>
            <w:r>
              <w:rPr>
                <w:rFonts w:hint="eastAsia" w:ascii="宋体" w:hAnsi="宋体" w:cs="宋体"/>
                <w:bCs/>
                <w:color w:val="auto"/>
                <w:sz w:val="24"/>
                <w:highlight w:val="none"/>
              </w:rPr>
              <w:t>。</w:t>
            </w:r>
          </w:p>
          <w:p>
            <w:pPr>
              <w:snapToGrid w:val="0"/>
              <w:spacing w:line="360" w:lineRule="auto"/>
              <w:rPr>
                <w:rFonts w:hint="eastAsia" w:ascii="宋体" w:hAnsi="宋体" w:cs="宋体"/>
                <w:bCs/>
                <w:sz w:val="24"/>
                <w:highlight w:val="none"/>
              </w:rPr>
            </w:pPr>
            <w:r>
              <w:rPr>
                <w:rFonts w:hint="eastAsia" w:ascii="宋体" w:hAnsi="宋体" w:cs="宋体"/>
                <w:bCs/>
                <w:sz w:val="24"/>
              </w:rPr>
              <w:t>3、设备美观性：对投标人提供的设备设计美感表现度进行打分，</w:t>
            </w:r>
            <w:r>
              <w:rPr>
                <w:rFonts w:hint="eastAsia" w:ascii="宋体" w:hAnsi="宋体" w:cs="宋体"/>
                <w:bCs/>
                <w:sz w:val="24"/>
                <w:highlight w:val="none"/>
                <w:lang w:eastAsia="zh-CN"/>
              </w:rPr>
              <w:t>（评分范围：</w:t>
            </w:r>
            <w:r>
              <w:rPr>
                <w:rFonts w:hint="eastAsia" w:ascii="宋体" w:hAnsi="宋体" w:cs="宋体"/>
                <w:bCs/>
                <w:sz w:val="24"/>
                <w:highlight w:val="none"/>
                <w:lang w:val="en-US" w:eastAsia="zh-CN"/>
              </w:rPr>
              <w:t>2、1.5、1、0.5、0</w:t>
            </w:r>
            <w:r>
              <w:rPr>
                <w:rFonts w:hint="eastAsia" w:ascii="宋体" w:hAnsi="宋体" w:cs="宋体"/>
                <w:bCs/>
                <w:sz w:val="24"/>
                <w:highlight w:val="none"/>
                <w:lang w:eastAsia="zh-CN"/>
              </w:rPr>
              <w:t>）</w:t>
            </w:r>
            <w:r>
              <w:rPr>
                <w:rFonts w:hint="eastAsia" w:ascii="宋体" w:hAnsi="宋体" w:cs="宋体"/>
                <w:bCs/>
                <w:sz w:val="24"/>
                <w:highlight w:val="none"/>
              </w:rPr>
              <w:t>。</w:t>
            </w:r>
          </w:p>
          <w:p>
            <w:pPr>
              <w:snapToGrid w:val="0"/>
              <w:spacing w:line="360" w:lineRule="auto"/>
              <w:rPr>
                <w:rFonts w:hint="eastAsia" w:ascii="宋体" w:hAnsi="宋体" w:cs="宋体"/>
                <w:bCs/>
                <w:sz w:val="24"/>
                <w:highlight w:val="none"/>
              </w:rPr>
            </w:pPr>
            <w:r>
              <w:rPr>
                <w:rFonts w:hint="eastAsia" w:ascii="宋体" w:hAnsi="宋体" w:cs="宋体"/>
                <w:bCs/>
                <w:sz w:val="24"/>
              </w:rPr>
              <w:t>4、产品功能完整性：要求功能设置丰富多样，能够满足儿童多种游乐需求。功能布局合理，适龄性分析合理，</w:t>
            </w:r>
            <w:r>
              <w:rPr>
                <w:rFonts w:hint="eastAsia" w:ascii="宋体" w:hAnsi="宋体" w:cs="宋体"/>
                <w:bCs/>
                <w:sz w:val="24"/>
                <w:highlight w:val="none"/>
              </w:rPr>
              <w:t>（</w:t>
            </w:r>
            <w:r>
              <w:rPr>
                <w:rFonts w:hint="eastAsia" w:ascii="宋体" w:hAnsi="宋体" w:cs="宋体"/>
                <w:bCs/>
                <w:sz w:val="24"/>
                <w:highlight w:val="none"/>
                <w:lang w:eastAsia="zh-CN"/>
              </w:rPr>
              <w:t>评分</w:t>
            </w:r>
            <w:r>
              <w:rPr>
                <w:rFonts w:hint="eastAsia" w:ascii="宋体" w:hAnsi="宋体" w:cs="宋体"/>
                <w:bCs/>
                <w:sz w:val="24"/>
                <w:highlight w:val="none"/>
              </w:rPr>
              <w:t>范围：</w:t>
            </w:r>
            <w:r>
              <w:rPr>
                <w:rFonts w:hint="eastAsia" w:ascii="宋体" w:hAnsi="宋体" w:cs="宋体"/>
                <w:bCs/>
                <w:sz w:val="24"/>
                <w:highlight w:val="none"/>
                <w:lang w:val="en-US" w:eastAsia="zh-CN"/>
              </w:rPr>
              <w:t>2、1.5、1、0.5、0</w:t>
            </w:r>
            <w:r>
              <w:rPr>
                <w:rFonts w:hint="eastAsia" w:ascii="宋体" w:hAnsi="宋体" w:cs="宋体"/>
                <w:bCs/>
                <w:sz w:val="24"/>
                <w:highlight w:val="none"/>
              </w:rPr>
              <w:t>）。</w:t>
            </w:r>
          </w:p>
          <w:p>
            <w:pPr>
              <w:snapToGrid w:val="0"/>
              <w:spacing w:line="360" w:lineRule="auto"/>
              <w:rPr>
                <w:rFonts w:hint="eastAsia" w:ascii="宋体" w:hAnsi="宋体" w:cs="宋体"/>
                <w:bCs/>
                <w:sz w:val="24"/>
                <w:highlight w:val="none"/>
              </w:rPr>
            </w:pPr>
            <w:r>
              <w:rPr>
                <w:rFonts w:hint="eastAsia" w:ascii="宋体" w:hAnsi="宋体" w:cs="宋体"/>
                <w:bCs/>
                <w:sz w:val="24"/>
              </w:rPr>
              <w:t>5、产品安全性：介绍并体现产品设备各部分的主要构成材质及其安全环保性，符合儿童使用标准。各防护措施及边角细节设计安全到位，</w:t>
            </w:r>
            <w:r>
              <w:rPr>
                <w:rFonts w:hint="eastAsia" w:ascii="宋体" w:hAnsi="宋体" w:cs="宋体"/>
                <w:bCs/>
                <w:sz w:val="24"/>
                <w:highlight w:val="none"/>
              </w:rPr>
              <w:t>（</w:t>
            </w:r>
            <w:r>
              <w:rPr>
                <w:rFonts w:hint="eastAsia" w:ascii="宋体" w:hAnsi="宋体" w:cs="宋体"/>
                <w:bCs/>
                <w:sz w:val="24"/>
                <w:highlight w:val="none"/>
                <w:lang w:eastAsia="zh-CN"/>
              </w:rPr>
              <w:t>评分</w:t>
            </w:r>
            <w:r>
              <w:rPr>
                <w:rFonts w:hint="eastAsia" w:ascii="宋体" w:hAnsi="宋体" w:cs="宋体"/>
                <w:bCs/>
                <w:sz w:val="24"/>
                <w:highlight w:val="none"/>
              </w:rPr>
              <w:t>范围：</w:t>
            </w:r>
            <w:r>
              <w:rPr>
                <w:rFonts w:hint="eastAsia" w:ascii="宋体" w:hAnsi="宋体" w:cs="宋体"/>
                <w:bCs/>
                <w:sz w:val="24"/>
                <w:highlight w:val="none"/>
                <w:lang w:val="en-US" w:eastAsia="zh-CN"/>
              </w:rPr>
              <w:t>2、1.5、1、0.5、0</w:t>
            </w:r>
            <w:r>
              <w:rPr>
                <w:rFonts w:hint="eastAsia" w:ascii="宋体" w:hAnsi="宋体" w:cs="宋体"/>
                <w:bCs/>
                <w:sz w:val="24"/>
                <w:highlight w:val="none"/>
              </w:rPr>
              <w:t>）。</w:t>
            </w:r>
          </w:p>
          <w:p>
            <w:pPr>
              <w:snapToGrid w:val="0"/>
              <w:spacing w:line="360" w:lineRule="auto"/>
              <w:rPr>
                <w:rFonts w:hint="eastAsia" w:ascii="宋体" w:hAnsi="宋体" w:cs="宋体"/>
                <w:bCs/>
                <w:sz w:val="24"/>
              </w:rPr>
            </w:pPr>
          </w:p>
        </w:tc>
        <w:tc>
          <w:tcPr>
            <w:tcW w:w="1771" w:type="dxa"/>
            <w:noWrap w:val="0"/>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项目整体实施规划方案</w:t>
            </w:r>
          </w:p>
        </w:tc>
        <w:tc>
          <w:tcPr>
            <w:tcW w:w="6619" w:type="dxa"/>
            <w:noWrap w:val="0"/>
            <w:vAlign w:val="center"/>
          </w:tcPr>
          <w:p>
            <w:pPr>
              <w:widowControl/>
              <w:spacing w:line="360" w:lineRule="auto"/>
              <w:jc w:val="left"/>
              <w:rPr>
                <w:rFonts w:hint="eastAsia" w:ascii="宋体" w:hAnsi="宋体" w:eastAsia="宋体" w:cs="宋体"/>
                <w:spacing w:val="-6"/>
                <w:kern w:val="0"/>
                <w:sz w:val="24"/>
                <w:lang w:eastAsia="zh-CN"/>
              </w:rPr>
            </w:pPr>
            <w:r>
              <w:rPr>
                <w:rFonts w:hint="eastAsia" w:ascii="宋体" w:hAnsi="宋体" w:cs="宋体"/>
                <w:spacing w:val="-6"/>
                <w:kern w:val="0"/>
                <w:sz w:val="24"/>
              </w:rPr>
              <w:t>提出合理的项目整体实施规划方案，能按照项目工期实施计划分解、安装实施等，并可跟踪实施。根据投标供应商提供的方案能否满足采购需求，进行综合打分</w:t>
            </w:r>
            <w:r>
              <w:rPr>
                <w:rFonts w:hint="eastAsia" w:ascii="宋体" w:hAnsi="宋体" w:cs="宋体"/>
                <w:spacing w:val="-6"/>
                <w:kern w:val="0"/>
                <w:sz w:val="24"/>
                <w:highlight w:val="none"/>
                <w:lang w:eastAsia="zh-CN"/>
              </w:rPr>
              <w:t>（评分范围：</w:t>
            </w:r>
            <w:r>
              <w:rPr>
                <w:rFonts w:hint="eastAsia" w:ascii="宋体" w:hAnsi="宋体" w:cs="宋体"/>
                <w:spacing w:val="-6"/>
                <w:kern w:val="0"/>
                <w:sz w:val="24"/>
                <w:highlight w:val="none"/>
                <w:lang w:val="en-US" w:eastAsia="zh-CN"/>
              </w:rPr>
              <w:t>5、4、3、2、1、0</w:t>
            </w:r>
            <w:r>
              <w:rPr>
                <w:rFonts w:hint="eastAsia" w:ascii="宋体" w:hAnsi="宋体" w:cs="宋体"/>
                <w:spacing w:val="-6"/>
                <w:kern w:val="0"/>
                <w:sz w:val="24"/>
                <w:highlight w:val="none"/>
                <w:lang w:eastAsia="zh-CN"/>
              </w:rPr>
              <w:t>）。</w:t>
            </w:r>
          </w:p>
        </w:tc>
        <w:tc>
          <w:tcPr>
            <w:tcW w:w="1771" w:type="dxa"/>
            <w:noWrap w:val="0"/>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42" w:type="dxa"/>
            <w:noWrap w:val="0"/>
            <w:vAlign w:val="center"/>
          </w:tcPr>
          <w:p>
            <w:pPr>
              <w:widowControl/>
              <w:spacing w:line="360" w:lineRule="auto"/>
              <w:jc w:val="center"/>
              <w:rPr>
                <w:rFonts w:hint="eastAsia" w:ascii="宋体" w:hAnsi="宋体" w:cs="宋体"/>
                <w:sz w:val="24"/>
              </w:rPr>
            </w:pPr>
            <w:r>
              <w:rPr>
                <w:rFonts w:hint="eastAsia" w:ascii="宋体" w:hAnsi="宋体" w:cs="宋体"/>
                <w:kern w:val="0"/>
                <w:sz w:val="24"/>
              </w:rPr>
              <w:t>主要原材料检测报告</w:t>
            </w:r>
          </w:p>
        </w:tc>
        <w:tc>
          <w:tcPr>
            <w:tcW w:w="6619" w:type="dxa"/>
            <w:noWrap w:val="0"/>
            <w:vAlign w:val="center"/>
          </w:tcPr>
          <w:p>
            <w:pPr>
              <w:widowControl/>
              <w:spacing w:line="360" w:lineRule="auto"/>
              <w:jc w:val="left"/>
              <w:rPr>
                <w:rFonts w:hint="eastAsia" w:ascii="宋体" w:hAnsi="宋体" w:cs="宋体"/>
                <w:strike/>
                <w:spacing w:val="-6"/>
                <w:kern w:val="0"/>
                <w:sz w:val="24"/>
                <w:highlight w:val="yellow"/>
              </w:rPr>
            </w:pPr>
            <w:r>
              <w:rPr>
                <w:rFonts w:hint="eastAsia" w:ascii="宋体" w:hAnsi="宋体" w:cs="宋体"/>
                <w:spacing w:val="-6"/>
                <w:kern w:val="0"/>
                <w:sz w:val="24"/>
              </w:rPr>
              <w:t>供应商投标时提供2022年1月1日至今具备CMA资质的第三方检测机构出具的与本项目参数技术要求相对应的原材料检测报告复印件：</w:t>
            </w:r>
          </w:p>
          <w:p>
            <w:pPr>
              <w:widowControl/>
              <w:numPr>
                <w:ilvl w:val="0"/>
                <w:numId w:val="7"/>
              </w:numPr>
              <w:spacing w:line="360" w:lineRule="auto"/>
              <w:rPr>
                <w:rFonts w:hint="eastAsia" w:ascii="宋体" w:hAnsi="宋体" w:cs="宋体"/>
                <w:kern w:val="0"/>
                <w:sz w:val="24"/>
                <w:lang w:bidi="ar"/>
              </w:rPr>
            </w:pPr>
            <w:r>
              <w:rPr>
                <w:rFonts w:hint="eastAsia" w:ascii="宋体" w:hAnsi="宋体" w:cs="宋体"/>
                <w:kern w:val="0"/>
                <w:sz w:val="24"/>
                <w:lang w:bidi="ar"/>
              </w:rPr>
              <w:t>木质玩具中</w:t>
            </w:r>
            <w:r>
              <w:rPr>
                <w:rFonts w:hint="eastAsia" w:ascii="宋体" w:hAnsi="宋体" w:cs="宋体"/>
                <w:b/>
                <w:bCs/>
                <w:kern w:val="0"/>
                <w:sz w:val="24"/>
                <w:lang w:bidi="ar"/>
              </w:rPr>
              <w:t>油漆、PE板、沥青瓦片、篷布</w:t>
            </w:r>
            <w:r>
              <w:rPr>
                <w:rFonts w:hint="eastAsia" w:ascii="宋体" w:hAnsi="宋体" w:cs="宋体"/>
                <w:kern w:val="0"/>
                <w:sz w:val="24"/>
                <w:lang w:bidi="ar"/>
              </w:rPr>
              <w:t>原材料</w:t>
            </w:r>
            <w:r>
              <w:rPr>
                <w:rFonts w:hint="eastAsia" w:ascii="宋体" w:hAnsi="宋体" w:cs="宋体"/>
                <w:spacing w:val="-6"/>
                <w:kern w:val="0"/>
                <w:sz w:val="24"/>
              </w:rPr>
              <w:t>符合GB 6675.4-2014标准，其中可迁移元素八大重金属钡、铅、镉、锑、硒、铬、汞、砷含量单项判定为合格</w:t>
            </w:r>
            <w:r>
              <w:rPr>
                <w:rFonts w:hint="eastAsia" w:ascii="宋体" w:hAnsi="宋体" w:cs="宋体"/>
                <w:kern w:val="0"/>
                <w:sz w:val="24"/>
                <w:lang w:bidi="ar"/>
              </w:rPr>
              <w:t>；</w:t>
            </w:r>
          </w:p>
          <w:p>
            <w:pPr>
              <w:widowControl/>
              <w:numPr>
                <w:ilvl w:val="0"/>
                <w:numId w:val="7"/>
              </w:numPr>
              <w:spacing w:line="360" w:lineRule="auto"/>
              <w:rPr>
                <w:rFonts w:hint="eastAsia" w:ascii="宋体" w:hAnsi="宋体" w:cs="宋体"/>
                <w:kern w:val="0"/>
                <w:sz w:val="24"/>
              </w:rPr>
            </w:pPr>
            <w:r>
              <w:rPr>
                <w:rFonts w:hint="eastAsia" w:ascii="宋体" w:hAnsi="宋体" w:cs="宋体"/>
                <w:kern w:val="0"/>
                <w:sz w:val="24"/>
                <w:lang w:bidi="ar"/>
              </w:rPr>
              <w:t>塑料玩具使用的原材料</w:t>
            </w:r>
            <w:r>
              <w:rPr>
                <w:rFonts w:hint="eastAsia" w:ascii="宋体" w:hAnsi="宋体" w:cs="宋体"/>
                <w:b/>
                <w:bCs/>
                <w:kern w:val="0"/>
                <w:sz w:val="24"/>
                <w:lang w:bidi="ar"/>
              </w:rPr>
              <w:t>塑胶粒子、色母、色粉</w:t>
            </w:r>
            <w:r>
              <w:rPr>
                <w:rFonts w:hint="eastAsia" w:ascii="宋体" w:hAnsi="宋体" w:cs="宋体"/>
                <w:spacing w:val="-6"/>
                <w:kern w:val="0"/>
                <w:sz w:val="24"/>
              </w:rPr>
              <w:t>符合GB6675.1-2014 、GB 6675.4-2014标准，其中增塑剂（DBP、BBP、DEHP、DNOP、DINP、DIDP）含量均未超过规定的限量要求，可迁移元素八大重金属钡、铅、镉、锑、硒、铬、汞、砷含量单项判定为合格</w:t>
            </w:r>
            <w:r>
              <w:rPr>
                <w:rFonts w:hint="eastAsia" w:ascii="宋体" w:hAnsi="宋体" w:cs="宋体"/>
                <w:kern w:val="0"/>
                <w:sz w:val="24"/>
                <w:lang w:bidi="ar"/>
              </w:rPr>
              <w:t>；</w:t>
            </w:r>
          </w:p>
          <w:p>
            <w:pPr>
              <w:widowControl/>
              <w:numPr>
                <w:ilvl w:val="0"/>
                <w:numId w:val="7"/>
              </w:numPr>
              <w:spacing w:line="360" w:lineRule="auto"/>
              <w:rPr>
                <w:rFonts w:hint="eastAsia" w:ascii="宋体" w:hAnsi="宋体" w:cs="宋体"/>
                <w:kern w:val="0"/>
                <w:sz w:val="24"/>
              </w:rPr>
            </w:pPr>
            <w:r>
              <w:rPr>
                <w:rFonts w:hint="eastAsia" w:ascii="宋体" w:hAnsi="宋体" w:cs="宋体"/>
                <w:b/>
                <w:bCs/>
                <w:kern w:val="0"/>
                <w:sz w:val="24"/>
                <w:lang w:bidi="ar"/>
              </w:rPr>
              <w:t>螺丝、绳网扣</w:t>
            </w:r>
            <w:r>
              <w:rPr>
                <w:rFonts w:hint="eastAsia" w:ascii="宋体" w:hAnsi="宋体" w:cs="宋体"/>
                <w:spacing w:val="-6"/>
                <w:kern w:val="0"/>
                <w:sz w:val="24"/>
              </w:rPr>
              <w:t>符合GB/T 4340.1-2009、GB/T 230.1-2018、GB/T 10125-2021、GB/T 6461-2002、GB/T 228.2-2015、GB/T 229-2020、GB/T 1423-1996</w:t>
            </w:r>
            <w:r>
              <w:rPr>
                <w:rFonts w:hint="eastAsia" w:ascii="宋体" w:hAnsi="宋体" w:cs="宋体"/>
                <w:kern w:val="0"/>
                <w:sz w:val="24"/>
                <w:lang w:bidi="ar"/>
              </w:rPr>
              <w:t>（维氏硬度、洛氏硬度、中性盐雾实验及试验评级</w:t>
            </w:r>
            <w:r>
              <w:rPr>
                <w:rFonts w:hint="eastAsia" w:ascii="微软雅黑" w:hAnsi="微软雅黑" w:eastAsia="微软雅黑" w:cs="微软雅黑"/>
                <w:kern w:val="0"/>
                <w:sz w:val="24"/>
                <w:lang w:bidi="ar"/>
              </w:rPr>
              <w:t>≧</w:t>
            </w:r>
            <w:r>
              <w:rPr>
                <w:rFonts w:hint="eastAsia" w:ascii="宋体" w:hAnsi="宋体" w:cs="宋体"/>
                <w:kern w:val="0"/>
                <w:sz w:val="24"/>
                <w:lang w:bidi="ar"/>
              </w:rPr>
              <w:t>9级、抗拉强度、规定塑性延伸强度、断后伸长率、冲击测试、密度测试）有效检测报告，并且符合采购文件参数环保要求；</w:t>
            </w:r>
          </w:p>
          <w:p>
            <w:pPr>
              <w:widowControl/>
              <w:spacing w:line="360" w:lineRule="auto"/>
              <w:rPr>
                <w:rFonts w:hint="eastAsia" w:ascii="宋体" w:hAnsi="宋体" w:cs="宋体"/>
                <w:kern w:val="0"/>
                <w:sz w:val="24"/>
              </w:rPr>
            </w:pPr>
            <w:r>
              <w:rPr>
                <w:rFonts w:hint="eastAsia" w:ascii="宋体" w:hAnsi="宋体" w:cs="宋体"/>
                <w:kern w:val="0"/>
                <w:sz w:val="24"/>
                <w:lang w:bidi="ar"/>
              </w:rPr>
              <w:t>备注：每提供1种原材料的检测报告得1分，最高得9分。</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成品检测报告</w:t>
            </w:r>
          </w:p>
        </w:tc>
        <w:tc>
          <w:tcPr>
            <w:tcW w:w="6619" w:type="dxa"/>
            <w:noWrap w:val="0"/>
            <w:vAlign w:val="center"/>
          </w:tcPr>
          <w:p>
            <w:pPr>
              <w:widowControl/>
              <w:spacing w:line="360" w:lineRule="auto"/>
              <w:rPr>
                <w:rFonts w:hint="eastAsia" w:ascii="宋体" w:hAnsi="宋体" w:cs="宋体"/>
                <w:kern w:val="0"/>
                <w:sz w:val="24"/>
              </w:rPr>
            </w:pPr>
            <w:r>
              <w:rPr>
                <w:rFonts w:hint="eastAsia" w:ascii="宋体" w:hAnsi="宋体" w:cs="宋体"/>
                <w:kern w:val="0"/>
                <w:sz w:val="24"/>
              </w:rPr>
              <w:t>供应商投标时提供2022年1月1日至今具备CMA资质的第三方检测机构出具的与本项目技术参数要求相对应的成品检测报告复印件：</w:t>
            </w:r>
          </w:p>
          <w:p>
            <w:pPr>
              <w:widowControl/>
              <w:spacing w:line="360" w:lineRule="auto"/>
              <w:rPr>
                <w:rFonts w:hint="eastAsia"/>
              </w:rPr>
            </w:pPr>
            <w:r>
              <w:rPr>
                <w:rFonts w:hint="eastAsia" w:ascii="宋体" w:hAnsi="宋体" w:cs="宋体"/>
                <w:bCs/>
                <w:sz w:val="24"/>
              </w:rPr>
              <w:t>户外大型玩具：依据 GB/T27689-2011、GB/T34272-2017标准要求，其中</w:t>
            </w:r>
            <w:r>
              <w:rPr>
                <w:rFonts w:hint="eastAsia" w:ascii="宋体" w:hAnsi="宋体" w:cs="宋体"/>
                <w:bCs/>
                <w:sz w:val="24"/>
                <w:highlight w:val="none"/>
              </w:rPr>
              <w:t>扶手、立柱拉力试验、围栏拉力试验、挤夹保护、表面突出物、斜坡、站台、滑道一般要求</w:t>
            </w:r>
            <w:r>
              <w:rPr>
                <w:rFonts w:hint="eastAsia" w:ascii="宋体" w:hAnsi="宋体" w:cs="宋体"/>
                <w:kern w:val="0"/>
                <w:sz w:val="24"/>
                <w:highlight w:val="none"/>
                <w:lang w:bidi="ar"/>
              </w:rPr>
              <w:t>符合标准，</w:t>
            </w:r>
            <w:r>
              <w:rPr>
                <w:rFonts w:hint="eastAsia" w:ascii="宋体" w:hAnsi="宋体" w:cs="宋体"/>
                <w:kern w:val="0"/>
                <w:sz w:val="24"/>
                <w:lang w:bidi="ar"/>
              </w:rPr>
              <w:t>提供</w:t>
            </w:r>
            <w:r>
              <w:rPr>
                <w:rFonts w:hint="eastAsia" w:ascii="宋体" w:hAnsi="宋体" w:cs="宋体"/>
                <w:kern w:val="0"/>
                <w:sz w:val="24"/>
              </w:rPr>
              <w:t>成品检测报告，得5分。</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产品保障</w:t>
            </w:r>
          </w:p>
        </w:tc>
        <w:tc>
          <w:tcPr>
            <w:tcW w:w="6619" w:type="dxa"/>
            <w:noWrap w:val="0"/>
            <w:vAlign w:val="center"/>
          </w:tcPr>
          <w:p>
            <w:pPr>
              <w:widowControl/>
              <w:spacing w:line="360" w:lineRule="auto"/>
              <w:jc w:val="left"/>
              <w:rPr>
                <w:rFonts w:hint="eastAsia"/>
              </w:rPr>
            </w:pPr>
            <w:r>
              <w:rPr>
                <w:rFonts w:hint="eastAsia" w:ascii="宋体" w:hAnsi="宋体" w:cs="宋体"/>
                <w:bCs/>
                <w:sz w:val="24"/>
              </w:rPr>
              <w:t>投标人或所投产品制造商为产品及服务同时承保产品责任险、产品质量保证保险、公众责任保险，每提供1个得1分，最多得3分。</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质保期</w:t>
            </w:r>
          </w:p>
        </w:tc>
        <w:tc>
          <w:tcPr>
            <w:tcW w:w="6619" w:type="dxa"/>
            <w:noWrap w:val="0"/>
            <w:vAlign w:val="center"/>
          </w:tcPr>
          <w:p>
            <w:pPr>
              <w:widowControl/>
              <w:spacing w:line="360" w:lineRule="auto"/>
              <w:jc w:val="left"/>
              <w:rPr>
                <w:rFonts w:hint="eastAsia" w:ascii="宋体" w:hAnsi="宋体" w:cs="宋体"/>
                <w:kern w:val="0"/>
                <w:sz w:val="24"/>
              </w:rPr>
            </w:pPr>
            <w:r>
              <w:rPr>
                <w:rFonts w:hint="eastAsia" w:ascii="宋体" w:hAnsi="宋体" w:cs="宋体"/>
                <w:bCs/>
                <w:sz w:val="24"/>
              </w:rPr>
              <w:t>在满足产品3年质量保证期的基础上，每增加一年（承诺所有设备均延长，缺任何一个的不加分，承诺格式自拟）得1分，最高得2分。</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2" w:type="dxa"/>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售后服务</w:t>
            </w:r>
          </w:p>
        </w:tc>
        <w:tc>
          <w:tcPr>
            <w:tcW w:w="6619" w:type="dxa"/>
            <w:noWrap w:val="0"/>
            <w:vAlign w:val="center"/>
          </w:tcPr>
          <w:p>
            <w:pPr>
              <w:widowControl/>
              <w:spacing w:line="360" w:lineRule="auto"/>
              <w:rPr>
                <w:rFonts w:hint="eastAsia" w:ascii="宋体" w:hAnsi="宋体" w:cs="宋体"/>
                <w:kern w:val="0"/>
                <w:sz w:val="24"/>
              </w:rPr>
            </w:pPr>
            <w:r>
              <w:rPr>
                <w:rFonts w:hint="eastAsia" w:ascii="宋体" w:hAnsi="宋体" w:cs="宋体"/>
                <w:bCs/>
                <w:sz w:val="24"/>
              </w:rPr>
              <w:t>根据售后服务方案内容的完整性、可行性、到达故障现场时间、故障出现解决方案、定期维护（注明时间）、保修期外维修方案，由评委进行综合打分（如售后服务体系是否全面完善，可行性是否高，是否能够全面保障学校教学活动等）</w:t>
            </w:r>
            <w:r>
              <w:rPr>
                <w:rFonts w:hint="eastAsia" w:ascii="宋体" w:hAnsi="宋体" w:cs="宋体"/>
                <w:bCs/>
                <w:sz w:val="24"/>
                <w:lang w:eastAsia="zh-CN"/>
              </w:rPr>
              <w:t>，</w:t>
            </w:r>
            <w:r>
              <w:rPr>
                <w:rFonts w:hint="eastAsia" w:ascii="宋体" w:hAnsi="宋体" w:cs="宋体"/>
                <w:bCs/>
                <w:sz w:val="24"/>
                <w:highlight w:val="none"/>
                <w:lang w:eastAsia="zh-CN"/>
              </w:rPr>
              <w:t>（评分范围：</w:t>
            </w:r>
            <w:r>
              <w:rPr>
                <w:rFonts w:hint="eastAsia" w:ascii="宋体" w:hAnsi="宋体" w:cs="宋体"/>
                <w:bCs/>
                <w:sz w:val="24"/>
                <w:highlight w:val="none"/>
                <w:lang w:val="en-US" w:eastAsia="zh-CN"/>
              </w:rPr>
              <w:t>6、5、4、3、2、1、0</w:t>
            </w:r>
            <w:r>
              <w:rPr>
                <w:rFonts w:hint="eastAsia" w:ascii="宋体" w:hAnsi="宋体" w:cs="宋体"/>
                <w:bCs/>
                <w:sz w:val="24"/>
                <w:highlight w:val="none"/>
                <w:lang w:eastAsia="zh-CN"/>
              </w:rPr>
              <w:t>）</w:t>
            </w:r>
            <w:r>
              <w:rPr>
                <w:rFonts w:hint="eastAsia" w:ascii="宋体" w:hAnsi="宋体" w:cs="宋体"/>
                <w:bCs/>
                <w:sz w:val="24"/>
                <w:highlight w:val="none"/>
              </w:rPr>
              <w:t>。</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2" w:type="dxa"/>
            <w:noWrap w:val="0"/>
            <w:vAlign w:val="center"/>
          </w:tcPr>
          <w:p>
            <w:pPr>
              <w:widowControl/>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样品</w:t>
            </w:r>
          </w:p>
        </w:tc>
        <w:tc>
          <w:tcPr>
            <w:tcW w:w="6619" w:type="dxa"/>
            <w:noWrap w:val="0"/>
            <w:vAlign w:val="center"/>
          </w:tcPr>
          <w:p>
            <w:pPr>
              <w:widowControl/>
              <w:spacing w:line="360" w:lineRule="auto"/>
              <w:jc w:val="left"/>
              <w:textAlignment w:val="center"/>
              <w:rPr>
                <w:rFonts w:hint="eastAsia" w:ascii="宋体" w:hAnsi="宋体" w:cs="宋体"/>
                <w:b/>
                <w:bCs/>
                <w:kern w:val="0"/>
                <w:sz w:val="24"/>
                <w:highlight w:val="none"/>
              </w:rPr>
            </w:pPr>
            <w:r>
              <w:rPr>
                <w:rFonts w:hint="eastAsia" w:ascii="宋体" w:hAnsi="宋体" w:cs="宋体"/>
                <w:b/>
                <w:bCs/>
                <w:kern w:val="0"/>
                <w:sz w:val="24"/>
                <w:highlight w:val="none"/>
              </w:rPr>
              <w:t>提供①序号3号：荡桥板小样一块；②序号4号：投掷架一个。未递交样品或样品数量不全的，其投标文件将被视为无效。</w:t>
            </w:r>
          </w:p>
          <w:p>
            <w:pPr>
              <w:widowControl/>
              <w:spacing w:line="360" w:lineRule="auto"/>
              <w:jc w:val="left"/>
              <w:textAlignment w:val="center"/>
              <w:rPr>
                <w:rFonts w:hint="eastAsia" w:ascii="宋体" w:hAnsi="宋体" w:cs="宋体"/>
                <w:kern w:val="0"/>
                <w:sz w:val="24"/>
                <w:highlight w:val="none"/>
              </w:rPr>
            </w:pPr>
            <w:r>
              <w:rPr>
                <w:rFonts w:hint="eastAsia" w:ascii="宋体" w:hAnsi="宋体" w:cs="宋体"/>
                <w:kern w:val="0"/>
                <w:sz w:val="24"/>
                <w:highlight w:val="none"/>
              </w:rPr>
              <w:t>具体评分如下：</w:t>
            </w:r>
          </w:p>
          <w:p>
            <w:pPr>
              <w:widowControl/>
              <w:spacing w:line="360" w:lineRule="auto"/>
              <w:jc w:val="left"/>
              <w:textAlignment w:val="center"/>
              <w:rPr>
                <w:rFonts w:hint="eastAsia" w:ascii="宋体" w:hAnsi="宋体" w:cs="宋体"/>
                <w:kern w:val="0"/>
                <w:sz w:val="24"/>
                <w:highlight w:val="none"/>
              </w:rPr>
            </w:pPr>
            <w:r>
              <w:rPr>
                <w:rFonts w:hint="eastAsia" w:ascii="宋体" w:hAnsi="宋体" w:cs="宋体"/>
                <w:kern w:val="0"/>
                <w:sz w:val="24"/>
                <w:highlight w:val="none"/>
              </w:rPr>
              <w:t>1.根据样品的规格尺寸与采购需求的契合程度进行综合打分（0-5分）；</w:t>
            </w:r>
          </w:p>
          <w:p>
            <w:pPr>
              <w:widowControl/>
              <w:spacing w:line="360" w:lineRule="auto"/>
              <w:jc w:val="left"/>
              <w:textAlignment w:val="center"/>
              <w:rPr>
                <w:rFonts w:hint="eastAsia" w:ascii="宋体" w:hAnsi="宋体" w:cs="宋体"/>
                <w:kern w:val="0"/>
                <w:sz w:val="24"/>
                <w:highlight w:val="none"/>
              </w:rPr>
            </w:pPr>
            <w:r>
              <w:rPr>
                <w:rFonts w:hint="eastAsia" w:ascii="宋体" w:hAnsi="宋体" w:cs="宋体"/>
                <w:kern w:val="0"/>
                <w:sz w:val="24"/>
                <w:highlight w:val="none"/>
              </w:rPr>
              <w:t>2.根据样品的制作工艺、组合结构、油漆工艺、样品安装精密度、节点细部处理等进行综合打分（0-5分）；</w:t>
            </w:r>
          </w:p>
          <w:p>
            <w:pPr>
              <w:widowControl/>
              <w:spacing w:line="360" w:lineRule="auto"/>
              <w:jc w:val="left"/>
              <w:textAlignment w:val="center"/>
              <w:rPr>
                <w:rFonts w:hint="eastAsia" w:ascii="宋体" w:hAnsi="宋体" w:cs="宋体"/>
                <w:kern w:val="0"/>
                <w:sz w:val="24"/>
                <w:highlight w:val="none"/>
              </w:rPr>
            </w:pPr>
            <w:r>
              <w:rPr>
                <w:rFonts w:hint="eastAsia" w:ascii="宋体" w:hAnsi="宋体" w:cs="宋体"/>
                <w:kern w:val="0"/>
                <w:sz w:val="24"/>
                <w:highlight w:val="none"/>
              </w:rPr>
              <w:t>3.根据样品的外观式样、美观度、色调搭配合理性及统一性进行综合打分（0-5分）。</w:t>
            </w:r>
          </w:p>
        </w:tc>
        <w:tc>
          <w:tcPr>
            <w:tcW w:w="1771" w:type="dxa"/>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sz w:val="24"/>
              </w:rPr>
              <w:t>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32" w:type="dxa"/>
            <w:gridSpan w:val="3"/>
            <w:noWrap w:val="0"/>
            <w:vAlign w:val="center"/>
          </w:tcPr>
          <w:p>
            <w:pPr>
              <w:autoSpaceDE w:val="0"/>
              <w:autoSpaceDN w:val="0"/>
              <w:adjustRightInd w:val="0"/>
              <w:spacing w:line="360" w:lineRule="auto"/>
              <w:jc w:val="center"/>
              <w:rPr>
                <w:rFonts w:hint="eastAsia" w:ascii="宋体" w:hAnsi="宋体" w:cs="宋体"/>
                <w:sz w:val="24"/>
              </w:rPr>
            </w:pPr>
            <w:r>
              <w:rPr>
                <w:rFonts w:hint="eastAsia" w:ascii="宋体" w:hAnsi="宋体" w:cs="宋体"/>
                <w:b/>
                <w:sz w:val="24"/>
              </w:rPr>
              <w:t>商务、</w:t>
            </w:r>
            <w:r>
              <w:rPr>
                <w:rFonts w:hint="eastAsia" w:ascii="宋体" w:hAnsi="宋体" w:cs="宋体"/>
                <w:b/>
                <w:bCs/>
                <w:sz w:val="24"/>
              </w:rPr>
              <w:t>资信及其他分（5分）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2" w:type="dxa"/>
            <w:noWrap w:val="0"/>
            <w:vAlign w:val="center"/>
          </w:tcPr>
          <w:p>
            <w:pPr>
              <w:widowControl/>
              <w:spacing w:line="360" w:lineRule="auto"/>
              <w:jc w:val="center"/>
              <w:textAlignment w:val="center"/>
              <w:rPr>
                <w:rFonts w:hint="eastAsia" w:ascii="宋体" w:hAnsi="宋体" w:cs="宋体"/>
                <w:kern w:val="0"/>
                <w:sz w:val="24"/>
              </w:rPr>
            </w:pPr>
            <w:r>
              <w:rPr>
                <w:rFonts w:hint="eastAsia" w:ascii="宋体" w:hAnsi="宋体"/>
                <w:kern w:val="0"/>
                <w:sz w:val="24"/>
              </w:rPr>
              <w:t>环境标志产品</w:t>
            </w:r>
          </w:p>
        </w:tc>
        <w:tc>
          <w:tcPr>
            <w:tcW w:w="6619" w:type="dxa"/>
            <w:noWrap w:val="0"/>
            <w:vAlign w:val="center"/>
          </w:tcPr>
          <w:p>
            <w:pPr>
              <w:widowControl/>
              <w:spacing w:line="360" w:lineRule="auto"/>
              <w:jc w:val="left"/>
              <w:textAlignment w:val="center"/>
              <w:rPr>
                <w:rFonts w:hint="eastAsia" w:ascii="宋体" w:hAnsi="宋体" w:cs="宋体"/>
                <w:kern w:val="0"/>
                <w:sz w:val="24"/>
              </w:rPr>
            </w:pPr>
            <w:r>
              <w:rPr>
                <w:rFonts w:hint="eastAsia" w:ascii="宋体" w:hAnsi="宋体"/>
                <w:kern w:val="0"/>
                <w:sz w:val="24"/>
              </w:rPr>
              <w:t>核心产品具有中国环境标志（Ⅱ型）产品认证证书-无动力类游乐设施认证，得2分。</w:t>
            </w:r>
          </w:p>
        </w:tc>
        <w:tc>
          <w:tcPr>
            <w:tcW w:w="1771" w:type="dxa"/>
            <w:noWrap w:val="0"/>
            <w:vAlign w:val="center"/>
          </w:tcPr>
          <w:p>
            <w:pPr>
              <w:widowControl/>
              <w:spacing w:line="360" w:lineRule="auto"/>
              <w:jc w:val="center"/>
              <w:textAlignment w:val="center"/>
              <w:rPr>
                <w:rFonts w:hint="eastAsia" w:ascii="宋体" w:hAnsi="宋体" w:cs="宋体"/>
                <w:sz w:val="24"/>
              </w:rPr>
            </w:pPr>
            <w:r>
              <w:rPr>
                <w:rFonts w:hint="eastAsia" w:ascii="宋体" w:hAnsi="宋体"/>
                <w:kern w:val="0"/>
                <w:sz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42" w:type="dxa"/>
            <w:noWrap w:val="0"/>
            <w:vAlign w:val="center"/>
          </w:tcPr>
          <w:p>
            <w:pPr>
              <w:widowControl/>
              <w:spacing w:line="360" w:lineRule="auto"/>
              <w:jc w:val="center"/>
              <w:textAlignment w:val="center"/>
              <w:rPr>
                <w:rFonts w:hint="eastAsia" w:ascii="宋体" w:hAnsi="宋体"/>
                <w:kern w:val="0"/>
                <w:sz w:val="24"/>
              </w:rPr>
            </w:pPr>
            <w:r>
              <w:rPr>
                <w:rFonts w:hint="eastAsia" w:ascii="宋体" w:hAnsi="宋体"/>
                <w:kern w:val="0"/>
                <w:sz w:val="24"/>
              </w:rPr>
              <w:t>同类项目业绩</w:t>
            </w:r>
          </w:p>
        </w:tc>
        <w:tc>
          <w:tcPr>
            <w:tcW w:w="6619" w:type="dxa"/>
            <w:noWrap w:val="0"/>
            <w:vAlign w:val="center"/>
          </w:tcPr>
          <w:p>
            <w:pPr>
              <w:widowControl/>
              <w:spacing w:line="360" w:lineRule="auto"/>
              <w:jc w:val="left"/>
              <w:textAlignment w:val="center"/>
              <w:rPr>
                <w:rFonts w:hint="eastAsia" w:ascii="宋体" w:hAnsi="宋体"/>
                <w:kern w:val="0"/>
                <w:sz w:val="24"/>
              </w:rPr>
            </w:pPr>
            <w:r>
              <w:rPr>
                <w:rFonts w:hint="eastAsia" w:ascii="宋体" w:hAnsi="宋体"/>
                <w:kern w:val="0"/>
                <w:sz w:val="24"/>
              </w:rPr>
              <w:t>投标人提供自2022年1月1日（以合同签订时间为准）以来承担过同类项目采购业绩，每个得1分，最高得3分。（提供合同</w:t>
            </w:r>
            <w:r>
              <w:rPr>
                <w:rFonts w:hint="eastAsia" w:ascii="宋体" w:hAnsi="宋体"/>
                <w:kern w:val="0"/>
                <w:sz w:val="24"/>
                <w:lang w:eastAsia="zh-CN"/>
              </w:rPr>
              <w:t>及</w:t>
            </w:r>
            <w:r>
              <w:rPr>
                <w:rFonts w:hint="eastAsia" w:ascii="宋体" w:hAnsi="宋体"/>
                <w:kern w:val="0"/>
                <w:sz w:val="24"/>
              </w:rPr>
              <w:t>验收报告复印件）</w:t>
            </w:r>
            <w:bookmarkStart w:id="142" w:name="_GoBack"/>
            <w:bookmarkEnd w:id="142"/>
          </w:p>
          <w:p>
            <w:pPr>
              <w:widowControl/>
              <w:spacing w:line="360" w:lineRule="auto"/>
              <w:jc w:val="left"/>
              <w:textAlignment w:val="center"/>
              <w:rPr>
                <w:rFonts w:hint="eastAsia" w:ascii="宋体" w:hAnsi="宋体"/>
                <w:kern w:val="0"/>
                <w:sz w:val="24"/>
              </w:rPr>
            </w:pPr>
          </w:p>
          <w:p>
            <w:pPr>
              <w:widowControl/>
              <w:spacing w:line="360" w:lineRule="auto"/>
              <w:jc w:val="left"/>
              <w:textAlignment w:val="center"/>
              <w:rPr>
                <w:rFonts w:hint="eastAsia" w:ascii="宋体" w:hAnsi="宋体"/>
                <w:kern w:val="0"/>
                <w:sz w:val="24"/>
              </w:rPr>
            </w:pPr>
            <w:r>
              <w:rPr>
                <w:rFonts w:hint="eastAsia" w:ascii="宋体" w:hAnsi="宋体"/>
                <w:kern w:val="0"/>
                <w:sz w:val="24"/>
                <w:highlight w:val="none"/>
              </w:rPr>
              <w:t>注：根据浙财采监〔2022〕8号文规定，对省级以上主管部门认定的首台套产品，自纳入《省推广应用指导目录》起三年内参加政府采购活动，视同已具备相应销售业绩，业绩分为满分。投标时提供相关证明材料。</w:t>
            </w:r>
          </w:p>
        </w:tc>
        <w:tc>
          <w:tcPr>
            <w:tcW w:w="1771" w:type="dxa"/>
            <w:noWrap w:val="0"/>
            <w:vAlign w:val="center"/>
          </w:tcPr>
          <w:p>
            <w:pPr>
              <w:widowControl/>
              <w:spacing w:line="360" w:lineRule="auto"/>
              <w:jc w:val="center"/>
              <w:textAlignment w:val="center"/>
              <w:rPr>
                <w:rFonts w:hint="eastAsia" w:ascii="宋体" w:hAnsi="宋体" w:cs="宋体"/>
                <w:sz w:val="24"/>
              </w:rPr>
            </w:pPr>
            <w:r>
              <w:rPr>
                <w:rFonts w:hint="eastAsia" w:ascii="宋体" w:hAnsi="宋体"/>
                <w:kern w:val="0"/>
                <w:sz w:val="24"/>
              </w:rPr>
              <w:t>0-3分</w:t>
            </w:r>
          </w:p>
        </w:tc>
      </w:tr>
    </w:tbl>
    <w:p/>
    <w:p/>
    <w:p>
      <w:pPr>
        <w:pStyle w:val="3"/>
        <w:ind w:firstLine="480"/>
      </w:pPr>
    </w:p>
    <w:p>
      <w:pPr>
        <w:pStyle w:val="3"/>
        <w:ind w:firstLine="480"/>
      </w:pPr>
    </w:p>
    <w:p>
      <w:pPr>
        <w:pStyle w:val="2"/>
        <w:spacing w:line="360" w:lineRule="auto"/>
        <w:jc w:val="center"/>
      </w:pPr>
      <w:r>
        <w:rPr>
          <w:rFonts w:hint="eastAsia"/>
        </w:rPr>
        <w:t>第五章  平湖市政府采购合同（指引）</w:t>
      </w:r>
    </w:p>
    <w:p>
      <w:pPr>
        <w:spacing w:line="360" w:lineRule="auto"/>
        <w:rPr>
          <w:rFonts w:ascii="宋体" w:hAnsi="宋体"/>
          <w:sz w:val="24"/>
        </w:rPr>
      </w:pPr>
      <w:r>
        <w:rPr>
          <w:rFonts w:hint="eastAsia" w:ascii="宋体" w:hAnsi="宋体"/>
          <w:sz w:val="24"/>
        </w:rPr>
        <w:t>甲方（采购人）：</w:t>
      </w:r>
    </w:p>
    <w:p>
      <w:pPr>
        <w:autoSpaceDE w:val="0"/>
        <w:autoSpaceDN w:val="0"/>
        <w:adjustRightInd w:val="0"/>
        <w:spacing w:line="360" w:lineRule="auto"/>
        <w:rPr>
          <w:rFonts w:ascii="宋体" w:hAnsi="宋体"/>
          <w:sz w:val="24"/>
        </w:rPr>
      </w:pPr>
      <w:r>
        <w:rPr>
          <w:rFonts w:hint="eastAsia" w:ascii="宋体" w:hAnsi="宋体"/>
          <w:sz w:val="24"/>
        </w:rPr>
        <w:t>乙方（供应商）：</w:t>
      </w:r>
    </w:p>
    <w:p>
      <w:pPr>
        <w:pStyle w:val="11"/>
        <w:snapToGrid w:val="0"/>
        <w:spacing w:beforeLines="0" w:afterLines="0" w:line="360" w:lineRule="auto"/>
        <w:rPr>
          <w:rFonts w:hAnsi="宋体"/>
        </w:rPr>
      </w:pPr>
      <w:r>
        <w:rPr>
          <w:rFonts w:hint="eastAsia" w:hAnsi="宋体"/>
        </w:rPr>
        <w:t>丙方（鉴证方）：平湖市公共资源交易中心</w:t>
      </w:r>
    </w:p>
    <w:p>
      <w:pPr>
        <w:pStyle w:val="11"/>
        <w:snapToGrid w:val="0"/>
        <w:spacing w:before="240" w:beforeLines="100" w:afterLines="0" w:line="384" w:lineRule="auto"/>
        <w:ind w:firstLine="480" w:firstLineChars="200"/>
        <w:rPr>
          <w:rFonts w:hAnsi="宋体"/>
        </w:rPr>
      </w:pPr>
      <w:r>
        <w:rPr>
          <w:rFonts w:hint="eastAsia" w:hAnsi="宋体"/>
          <w:u w:val="single"/>
        </w:rPr>
        <w:t>平湖市新仓镇人民政府关于新仓镇幼儿园新建项目户外玩具采购项目</w:t>
      </w:r>
      <w:r>
        <w:rPr>
          <w:rFonts w:hint="eastAsia" w:hAnsi="宋体"/>
        </w:rPr>
        <w:t>（项目编号：</w:t>
      </w:r>
      <w:r>
        <w:rPr>
          <w:rFonts w:hint="eastAsia" w:hAnsi="宋体"/>
          <w:u w:val="single"/>
        </w:rPr>
        <w:t>平政采招2025-01</w:t>
      </w:r>
      <w:r>
        <w:rPr>
          <w:rFonts w:hint="eastAsia" w:hAnsi="宋体"/>
        </w:rPr>
        <w:t>）已按照委托（确认书号：临</w:t>
      </w:r>
      <w:r>
        <w:rPr>
          <w:rFonts w:hint="eastAsia" w:hAnsi="宋体"/>
          <w:u w:val="single"/>
        </w:rPr>
        <w:t>[2024]6311号</w:t>
      </w:r>
      <w:r>
        <w:rPr>
          <w:rFonts w:hint="eastAsia" w:hAnsi="宋体"/>
        </w:rPr>
        <w:t>）需求，以公开招标采购方式实施了采购活动。</w:t>
      </w:r>
      <w:r>
        <w:rPr>
          <w:rFonts w:hAnsi="宋体"/>
        </w:rPr>
        <w:t>根据《中华人民共和国政府采购法》、《中华人民共和国</w:t>
      </w:r>
      <w:r>
        <w:rPr>
          <w:rFonts w:hint="eastAsia" w:hAnsi="宋体"/>
        </w:rPr>
        <w:t>民法典</w:t>
      </w:r>
      <w:r>
        <w:rPr>
          <w:rFonts w:hAnsi="宋体"/>
        </w:rPr>
        <w:t>》</w:t>
      </w:r>
      <w:r>
        <w:rPr>
          <w:rFonts w:hint="eastAsia" w:hAnsi="宋体"/>
        </w:rPr>
        <w:t>等法律法规的规定，甲、乙双方同意签署本合同，并共同遵守。该项目相应的公开招标文件、投标文件和中标通知书为本合同组成部分。</w:t>
      </w:r>
    </w:p>
    <w:p>
      <w:pPr>
        <w:pStyle w:val="11"/>
        <w:snapToGrid w:val="0"/>
        <w:spacing w:before="120" w:beforeLines="0" w:after="120" w:afterLines="0" w:line="360" w:lineRule="auto"/>
        <w:rPr>
          <w:rFonts w:hAnsi="宋体"/>
          <w:b/>
        </w:rPr>
      </w:pPr>
      <w:r>
        <w:rPr>
          <w:rFonts w:hAnsi="宋体"/>
          <w:b/>
        </w:rPr>
        <w:t>一、</w:t>
      </w:r>
      <w:r>
        <w:rPr>
          <w:rFonts w:hint="eastAsia" w:hAnsi="宋体"/>
          <w:b/>
        </w:rPr>
        <w:t>货物内容清单</w:t>
      </w:r>
      <w:r>
        <w:rPr>
          <w:rFonts w:hint="eastAsia" w:hAnsi="宋体"/>
        </w:rPr>
        <w:t>（详见附件）</w:t>
      </w:r>
    </w:p>
    <w:p>
      <w:pPr>
        <w:pStyle w:val="11"/>
        <w:spacing w:before="120" w:after="120" w:line="360" w:lineRule="auto"/>
        <w:rPr>
          <w:rFonts w:hAnsi="宋体"/>
          <w:b/>
        </w:rPr>
      </w:pPr>
      <w:r>
        <w:rPr>
          <w:rFonts w:hAnsi="宋体"/>
          <w:b/>
        </w:rPr>
        <w:t>二、合同金额</w:t>
      </w:r>
    </w:p>
    <w:p>
      <w:pPr>
        <w:pStyle w:val="11"/>
        <w:spacing w:before="120" w:after="120" w:line="360" w:lineRule="auto"/>
        <w:ind w:left="410" w:hanging="410" w:hangingChars="171"/>
        <w:rPr>
          <w:rFonts w:hAnsi="宋体"/>
        </w:rPr>
      </w:pPr>
      <w:r>
        <w:rPr>
          <w:rFonts w:hAnsi="宋体"/>
        </w:rPr>
        <w:t>本合同金额为（大写）：</w:t>
      </w:r>
      <w:r>
        <w:rPr>
          <w:rFonts w:hint="eastAsia" w:hAnsi="宋体"/>
          <w:u w:val="single"/>
        </w:rPr>
        <w:t xml:space="preserve">                     </w:t>
      </w:r>
      <w:r>
        <w:rPr>
          <w:rFonts w:hAnsi="宋体"/>
        </w:rPr>
        <w:t>元（￥</w:t>
      </w:r>
      <w:r>
        <w:rPr>
          <w:rFonts w:hint="eastAsia" w:hAnsi="宋体"/>
          <w:u w:val="single"/>
        </w:rPr>
        <w:t xml:space="preserve">           </w:t>
      </w:r>
      <w:r>
        <w:rPr>
          <w:rFonts w:hAnsi="宋体"/>
        </w:rPr>
        <w:t>元）人民币。</w:t>
      </w:r>
    </w:p>
    <w:p>
      <w:pPr>
        <w:spacing w:line="360" w:lineRule="auto"/>
        <w:rPr>
          <w:rFonts w:ascii="宋体" w:hAnsi="宋体"/>
          <w:b/>
          <w:sz w:val="24"/>
        </w:rPr>
      </w:pPr>
      <w:r>
        <w:rPr>
          <w:rFonts w:hint="eastAsia" w:ascii="宋体" w:hAnsi="宋体"/>
          <w:b/>
          <w:sz w:val="24"/>
        </w:rPr>
        <w:t>三</w:t>
      </w:r>
      <w:r>
        <w:rPr>
          <w:rFonts w:ascii="宋体" w:hAnsi="宋体"/>
          <w:b/>
          <w:sz w:val="24"/>
        </w:rPr>
        <w:t>、</w:t>
      </w:r>
      <w:r>
        <w:rPr>
          <w:rFonts w:hint="eastAsia" w:ascii="宋体" w:hAnsi="宋体"/>
          <w:b/>
          <w:sz w:val="24"/>
        </w:rPr>
        <w:t>项目相关属性</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68" w:type="dxa"/>
          </w:tcPr>
          <w:p>
            <w:pPr>
              <w:spacing w:before="156" w:after="156" w:line="360" w:lineRule="auto"/>
              <w:jc w:val="center"/>
              <w:rPr>
                <w:rFonts w:ascii="宋体" w:hAnsi="宋体"/>
                <w:sz w:val="24"/>
              </w:rPr>
            </w:pPr>
            <w:r>
              <w:rPr>
                <w:rFonts w:hint="eastAsia" w:ascii="宋体" w:hAnsi="宋体"/>
                <w:sz w:val="24"/>
              </w:rPr>
              <w:t>采购资金来源</w:t>
            </w:r>
          </w:p>
        </w:tc>
        <w:tc>
          <w:tcPr>
            <w:tcW w:w="7020" w:type="dxa"/>
          </w:tcPr>
          <w:p>
            <w:pPr>
              <w:spacing w:before="156" w:after="156" w:line="360" w:lineRule="auto"/>
              <w:rPr>
                <w:rFonts w:ascii="宋体" w:hAnsi="宋体"/>
                <w:sz w:val="24"/>
              </w:rPr>
            </w:pPr>
            <w:r>
              <w:rPr>
                <w:rFonts w:hint="eastAsia" w:ascii="宋体" w:hAnsi="宋体"/>
                <w:sz w:val="24"/>
              </w:rPr>
              <w:t>预算内</w:t>
            </w:r>
            <w:r>
              <w:rPr>
                <w:rFonts w:hint="eastAsia" w:ascii="宋体" w:hAnsi="宋体"/>
                <w:sz w:val="24"/>
                <w:u w:val="single"/>
              </w:rPr>
              <w:t xml:space="preserve">        </w:t>
            </w:r>
            <w:r>
              <w:rPr>
                <w:rFonts w:hint="eastAsia" w:ascii="宋体" w:hAnsi="宋体"/>
                <w:sz w:val="24"/>
              </w:rPr>
              <w:t>元；预算外</w:t>
            </w:r>
            <w:r>
              <w:rPr>
                <w:rFonts w:hint="eastAsia" w:ascii="宋体" w:hAnsi="宋体"/>
                <w:sz w:val="24"/>
                <w:u w:val="single"/>
              </w:rPr>
              <w:t xml:space="preserve">        </w:t>
            </w:r>
            <w:r>
              <w:rPr>
                <w:rFonts w:hint="eastAsia" w:ascii="宋体" w:hAnsi="宋体"/>
                <w:sz w:val="24"/>
              </w:rPr>
              <w:t>元；单位自筹</w:t>
            </w:r>
            <w:r>
              <w:rPr>
                <w:rFonts w:hint="eastAsia" w:ascii="宋体" w:hAnsi="宋体"/>
                <w:sz w:val="24"/>
                <w:u w:val="single"/>
              </w:rPr>
              <w:t xml:space="preserve">        </w:t>
            </w:r>
            <w:r>
              <w:rPr>
                <w:rFonts w:hint="eastAsia" w:ascii="宋体" w:hAnsi="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68" w:type="dxa"/>
          </w:tcPr>
          <w:p>
            <w:pPr>
              <w:spacing w:before="156" w:after="156" w:line="360" w:lineRule="auto"/>
              <w:jc w:val="center"/>
              <w:rPr>
                <w:rFonts w:ascii="宋体" w:hAnsi="宋体"/>
                <w:sz w:val="24"/>
              </w:rPr>
            </w:pPr>
            <w:r>
              <w:rPr>
                <w:rFonts w:hint="eastAsia" w:ascii="宋体" w:hAnsi="宋体"/>
                <w:sz w:val="24"/>
              </w:rPr>
              <w:t>采购资金支付方式</w:t>
            </w:r>
          </w:p>
        </w:tc>
        <w:tc>
          <w:tcPr>
            <w:tcW w:w="7020" w:type="dxa"/>
          </w:tcPr>
          <w:p>
            <w:pPr>
              <w:spacing w:before="156" w:after="156" w:line="360" w:lineRule="auto"/>
              <w:rPr>
                <w:rFonts w:ascii="宋体" w:hAnsi="宋体"/>
                <w:sz w:val="24"/>
              </w:rPr>
            </w:pPr>
            <w:r>
              <w:rPr>
                <w:rFonts w:hint="eastAsia" w:ascii="宋体" w:hAnsi="宋体"/>
                <w:sz w:val="24"/>
              </w:rPr>
              <w:t>□财政直接支付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68" w:type="dxa"/>
          </w:tcPr>
          <w:p>
            <w:pPr>
              <w:spacing w:before="156" w:after="156" w:line="360" w:lineRule="auto"/>
              <w:jc w:val="center"/>
              <w:rPr>
                <w:rFonts w:ascii="宋体" w:hAnsi="宋体"/>
                <w:sz w:val="24"/>
              </w:rPr>
            </w:pPr>
            <w:r>
              <w:rPr>
                <w:rFonts w:hint="eastAsia" w:ascii="宋体" w:hAnsi="宋体"/>
                <w:sz w:val="24"/>
              </w:rPr>
              <w:t>产品产地</w:t>
            </w:r>
          </w:p>
        </w:tc>
        <w:tc>
          <w:tcPr>
            <w:tcW w:w="7020" w:type="dxa"/>
          </w:tcPr>
          <w:p>
            <w:pPr>
              <w:spacing w:before="156" w:after="156" w:line="360" w:lineRule="auto"/>
              <w:rPr>
                <w:rFonts w:ascii="宋体" w:hAnsi="宋体"/>
                <w:sz w:val="24"/>
              </w:rPr>
            </w:pPr>
            <w:r>
              <w:rPr>
                <w:rFonts w:hint="eastAsia" w:ascii="宋体" w:hAnsi="宋体"/>
                <w:sz w:val="24"/>
              </w:rPr>
              <w:t>□浙江省内           □浙江省外         □进口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68" w:type="dxa"/>
          </w:tcPr>
          <w:p>
            <w:pPr>
              <w:spacing w:before="156" w:after="156" w:line="360" w:lineRule="auto"/>
              <w:jc w:val="center"/>
              <w:rPr>
                <w:rFonts w:ascii="宋体" w:hAnsi="宋体"/>
                <w:sz w:val="24"/>
              </w:rPr>
            </w:pPr>
            <w:r>
              <w:rPr>
                <w:rFonts w:hint="eastAsia" w:ascii="宋体" w:hAnsi="宋体"/>
                <w:sz w:val="24"/>
              </w:rPr>
              <w:t>产品性质（如有）</w:t>
            </w:r>
          </w:p>
        </w:tc>
        <w:tc>
          <w:tcPr>
            <w:tcW w:w="7020" w:type="dxa"/>
          </w:tcPr>
          <w:p>
            <w:pPr>
              <w:spacing w:before="156" w:after="156" w:line="360" w:lineRule="auto"/>
              <w:rPr>
                <w:rFonts w:ascii="宋体" w:hAnsi="宋体"/>
                <w:sz w:val="24"/>
              </w:rPr>
            </w:pPr>
            <w:r>
              <w:rPr>
                <w:rFonts w:hint="eastAsia" w:ascii="宋体" w:hAnsi="宋体"/>
                <w:sz w:val="24"/>
              </w:rPr>
              <w:t>□节能             □环保</w:t>
            </w:r>
          </w:p>
        </w:tc>
      </w:tr>
    </w:tbl>
    <w:p>
      <w:pPr>
        <w:autoSpaceDE w:val="0"/>
        <w:autoSpaceDN w:val="0"/>
        <w:adjustRightInd w:val="0"/>
        <w:spacing w:line="360" w:lineRule="auto"/>
        <w:ind w:firstLine="482" w:firstLineChars="200"/>
        <w:rPr>
          <w:rFonts w:ascii="宋体" w:hAnsi="宋体"/>
          <w:b/>
          <w:sz w:val="24"/>
        </w:rPr>
      </w:pPr>
      <w:r>
        <w:rPr>
          <w:rFonts w:hint="eastAsia" w:ascii="宋体" w:hAnsi="宋体"/>
          <w:b/>
          <w:kern w:val="0"/>
          <w:sz w:val="24"/>
        </w:rPr>
        <w:t>四</w:t>
      </w:r>
      <w:r>
        <w:rPr>
          <w:rFonts w:ascii="宋体" w:hAnsi="宋体"/>
          <w:b/>
          <w:kern w:val="0"/>
          <w:sz w:val="24"/>
        </w:rPr>
        <w:t>、</w:t>
      </w:r>
      <w:r>
        <w:rPr>
          <w:rFonts w:ascii="宋体" w:hAnsi="宋体"/>
          <w:b/>
          <w:sz w:val="24"/>
        </w:rPr>
        <w:t>质量保证及售后服务</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1、</w:t>
      </w:r>
      <w:r>
        <w:rPr>
          <w:rFonts w:ascii="宋体" w:hAnsi="宋体"/>
          <w:sz w:val="24"/>
        </w:rPr>
        <w:t>乙方应按</w:t>
      </w:r>
      <w:r>
        <w:rPr>
          <w:rFonts w:hint="eastAsia" w:ascii="宋体" w:hAnsi="宋体"/>
          <w:kern w:val="0"/>
          <w:sz w:val="24"/>
        </w:rPr>
        <w:t>招标</w:t>
      </w:r>
      <w:r>
        <w:rPr>
          <w:rFonts w:ascii="宋体" w:hAnsi="宋体"/>
          <w:sz w:val="24"/>
        </w:rPr>
        <w:t>文件规定的货物性能、技术要求、质量标准向甲方提供未经使用的全新</w:t>
      </w:r>
      <w:r>
        <w:rPr>
          <w:rFonts w:hint="eastAsia" w:ascii="宋体" w:hAnsi="宋体"/>
          <w:sz w:val="24"/>
        </w:rPr>
        <w:t>合格</w:t>
      </w:r>
      <w:r>
        <w:rPr>
          <w:rFonts w:ascii="宋体" w:hAnsi="宋体"/>
          <w:sz w:val="24"/>
        </w:rPr>
        <w:t>产品</w:t>
      </w:r>
      <w:r>
        <w:rPr>
          <w:rFonts w:hint="eastAsia" w:ascii="宋体" w:hAnsi="宋体"/>
          <w:sz w:val="24"/>
        </w:rPr>
        <w:t>。</w:t>
      </w:r>
      <w:r>
        <w:rPr>
          <w:rFonts w:ascii="宋体" w:hAnsi="宋体"/>
          <w:sz w:val="24"/>
        </w:rPr>
        <w:t>乙方保证所交付的货物的所有权完全属于乙方</w:t>
      </w:r>
      <w:r>
        <w:rPr>
          <w:rFonts w:hint="eastAsia" w:ascii="宋体" w:hAnsi="宋体"/>
          <w:sz w:val="24"/>
        </w:rPr>
        <w:t>而</w:t>
      </w:r>
      <w:r>
        <w:rPr>
          <w:rFonts w:ascii="宋体" w:hAnsi="宋体"/>
          <w:sz w:val="24"/>
        </w:rPr>
        <w:t>无任何抵押、查封等产权瑕疵</w:t>
      </w:r>
      <w:r>
        <w:rPr>
          <w:rFonts w:hint="eastAsia" w:ascii="宋体" w:hAnsi="宋体"/>
          <w:sz w:val="24"/>
        </w:rPr>
        <w:t>，且</w:t>
      </w:r>
      <w:r>
        <w:rPr>
          <w:rFonts w:ascii="宋体" w:hAnsi="宋体"/>
          <w:sz w:val="24"/>
        </w:rPr>
        <w:t>所提供的货物或其任何一部分均不会侵犯任何第三方的知识产权。</w:t>
      </w:r>
    </w:p>
    <w:p>
      <w:pPr>
        <w:autoSpaceDE w:val="0"/>
        <w:autoSpaceDN w:val="0"/>
        <w:adjustRightInd w:val="0"/>
        <w:spacing w:line="360" w:lineRule="auto"/>
        <w:ind w:firstLine="480" w:firstLineChars="200"/>
        <w:rPr>
          <w:rFonts w:ascii="宋体" w:hAnsi="宋体" w:cs="宋体"/>
          <w:sz w:val="24"/>
        </w:rPr>
      </w:pPr>
      <w:r>
        <w:rPr>
          <w:rFonts w:hint="eastAsia" w:ascii="宋体" w:hAnsi="宋体"/>
          <w:sz w:val="24"/>
        </w:rPr>
        <w:t>2、</w:t>
      </w:r>
      <w:r>
        <w:rPr>
          <w:rFonts w:hint="eastAsia" w:ascii="宋体" w:hAnsi="宋体" w:cs="宋体"/>
          <w:sz w:val="24"/>
        </w:rPr>
        <w:t>上述的货物免费保修期为</w:t>
      </w:r>
      <w:r>
        <w:rPr>
          <w:rFonts w:hint="eastAsia" w:ascii="宋体" w:hAnsi="宋体" w:cs="宋体"/>
          <w:kern w:val="0"/>
          <w:sz w:val="24"/>
          <w:u w:val="single"/>
        </w:rPr>
        <w:t xml:space="preserve">   </w:t>
      </w:r>
      <w:r>
        <w:rPr>
          <w:rFonts w:hint="eastAsia" w:ascii="宋体" w:hAnsi="宋体" w:cs="宋体"/>
          <w:sz w:val="24"/>
        </w:rPr>
        <w:t>年，人为因素出现的故障不在免费保修范围内。超过保修期的机器设备实行终生维修，维修时只收部件成本费。</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3、</w:t>
      </w:r>
      <w:r>
        <w:rPr>
          <w:rFonts w:ascii="宋体" w:hAnsi="宋体"/>
          <w:sz w:val="24"/>
        </w:rPr>
        <w:t>乙方提供的货物在质量期内因货物本身的质量问题发生故障，乙方应负责免费更换。对达不到技术要求者，根据实际情况，经双方协商，可按以下办法处理：</w:t>
      </w:r>
    </w:p>
    <w:p>
      <w:pPr>
        <w:autoSpaceDE w:val="0"/>
        <w:autoSpaceDN w:val="0"/>
        <w:adjustRightInd w:val="0"/>
        <w:spacing w:line="360" w:lineRule="auto"/>
        <w:ind w:firstLine="480" w:firstLineChars="200"/>
        <w:rPr>
          <w:rFonts w:ascii="宋体" w:hAnsi="宋体"/>
          <w:sz w:val="24"/>
        </w:rPr>
      </w:pPr>
      <w:r>
        <w:rPr>
          <w:rFonts w:ascii="宋体" w:hAnsi="宋体"/>
          <w:sz w:val="24"/>
        </w:rPr>
        <w:t>⑴更换：由乙方承担所发生的全部费用。</w:t>
      </w:r>
    </w:p>
    <w:p>
      <w:pPr>
        <w:autoSpaceDE w:val="0"/>
        <w:autoSpaceDN w:val="0"/>
        <w:adjustRightInd w:val="0"/>
        <w:spacing w:line="360" w:lineRule="auto"/>
        <w:ind w:firstLine="480" w:firstLineChars="200"/>
        <w:rPr>
          <w:rFonts w:ascii="宋体" w:hAnsi="宋体"/>
          <w:sz w:val="24"/>
        </w:rPr>
      </w:pPr>
      <w:r>
        <w:rPr>
          <w:rFonts w:ascii="宋体" w:hAnsi="宋体"/>
          <w:sz w:val="24"/>
        </w:rPr>
        <w:t>⑵贬值处理：由甲乙双方合议定价。</w:t>
      </w:r>
    </w:p>
    <w:p>
      <w:pPr>
        <w:autoSpaceDE w:val="0"/>
        <w:autoSpaceDN w:val="0"/>
        <w:adjustRightInd w:val="0"/>
        <w:spacing w:line="360" w:lineRule="auto"/>
        <w:ind w:firstLine="480" w:firstLineChars="200"/>
        <w:rPr>
          <w:rFonts w:ascii="宋体" w:hAnsi="宋体"/>
          <w:sz w:val="24"/>
        </w:rPr>
      </w:pPr>
      <w:r>
        <w:rPr>
          <w:rFonts w:ascii="宋体" w:hAnsi="宋体"/>
          <w:sz w:val="24"/>
        </w:rPr>
        <w:t>⑶退货处理：乙方应退还甲方支付的合同款，同时应承担该货物的直接费用（运输、保险、检验、货款利息及银行手续费等）。</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4、</w:t>
      </w:r>
      <w:r>
        <w:rPr>
          <w:rFonts w:ascii="宋体" w:hAnsi="宋体"/>
          <w:sz w:val="24"/>
        </w:rPr>
        <w:t>使用过程中发生质量问题，乙方在接到甲方通知后</w:t>
      </w:r>
      <w:r>
        <w:rPr>
          <w:rFonts w:ascii="宋体" w:hAnsi="宋体"/>
          <w:sz w:val="24"/>
          <w:u w:val="single"/>
        </w:rPr>
        <w:t xml:space="preserve">    </w:t>
      </w:r>
      <w:r>
        <w:rPr>
          <w:rFonts w:ascii="宋体" w:hAnsi="宋体"/>
          <w:sz w:val="24"/>
        </w:rPr>
        <w:t>小时内到达甲方现场。</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5、</w:t>
      </w:r>
      <w:r>
        <w:rPr>
          <w:rFonts w:ascii="宋体" w:hAnsi="宋体"/>
          <w:sz w:val="24"/>
        </w:rPr>
        <w:t>质保期</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年</w:t>
      </w:r>
      <w:r>
        <w:rPr>
          <w:rFonts w:hint="eastAsia" w:ascii="宋体" w:hAnsi="宋体"/>
          <w:sz w:val="24"/>
        </w:rPr>
        <w:t>。</w:t>
      </w:r>
      <w:r>
        <w:rPr>
          <w:rFonts w:ascii="宋体" w:hAnsi="宋体"/>
          <w:sz w:val="24"/>
        </w:rPr>
        <w:t>质保期内，乙方对货物出现的质量及安全问题负责处理解决并承担一切费用。</w:t>
      </w:r>
    </w:p>
    <w:p>
      <w:pPr>
        <w:autoSpaceDE w:val="0"/>
        <w:autoSpaceDN w:val="0"/>
        <w:adjustRightInd w:val="0"/>
        <w:spacing w:line="360" w:lineRule="auto"/>
        <w:ind w:firstLine="482" w:firstLineChars="200"/>
        <w:rPr>
          <w:rFonts w:ascii="宋体" w:hAnsi="宋体"/>
          <w:b/>
          <w:sz w:val="24"/>
        </w:rPr>
      </w:pPr>
      <w:r>
        <w:rPr>
          <w:rFonts w:hint="eastAsia" w:ascii="宋体" w:hAnsi="宋体"/>
          <w:b/>
          <w:sz w:val="24"/>
        </w:rPr>
        <w:t>五、交货</w:t>
      </w:r>
    </w:p>
    <w:p>
      <w:pPr>
        <w:autoSpaceDE w:val="0"/>
        <w:autoSpaceDN w:val="0"/>
        <w:adjustRightInd w:val="0"/>
        <w:spacing w:line="360" w:lineRule="auto"/>
        <w:ind w:firstLine="480" w:firstLineChars="200"/>
        <w:rPr>
          <w:rFonts w:ascii="宋体" w:hAnsi="宋体"/>
          <w:sz w:val="24"/>
          <w:u w:val="single"/>
        </w:rPr>
      </w:pPr>
      <w:r>
        <w:rPr>
          <w:rFonts w:hint="eastAsia" w:ascii="宋体" w:hAnsi="宋体"/>
          <w:sz w:val="24"/>
        </w:rPr>
        <w:t>1、交货安装调试时间:</w:t>
      </w:r>
      <w:r>
        <w:rPr>
          <w:rFonts w:hint="eastAsia" w:ascii="宋体" w:hAnsi="宋体"/>
          <w:sz w:val="24"/>
          <w:u w:val="single"/>
        </w:rPr>
        <w:t xml:space="preserve">                        </w:t>
      </w:r>
      <w:r>
        <w:rPr>
          <w:rFonts w:hint="eastAsia" w:ascii="宋体" w:hAnsi="宋体"/>
          <w:sz w:val="24"/>
        </w:rPr>
        <w:t>；</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2、</w:t>
      </w:r>
      <w:r>
        <w:rPr>
          <w:rFonts w:ascii="宋体" w:hAnsi="宋体"/>
          <w:sz w:val="24"/>
        </w:rPr>
        <w:t>交货地点：</w:t>
      </w:r>
      <w:r>
        <w:rPr>
          <w:rFonts w:hint="eastAsia" w:ascii="宋体" w:hAnsi="宋体"/>
          <w:sz w:val="24"/>
          <w:u w:val="single"/>
        </w:rPr>
        <w:t xml:space="preserve">                               </w:t>
      </w:r>
      <w:r>
        <w:rPr>
          <w:rFonts w:hint="eastAsia" w:ascii="宋体" w:hAnsi="宋体"/>
          <w:sz w:val="24"/>
        </w:rPr>
        <w:t>；</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3、</w:t>
      </w:r>
      <w:r>
        <w:rPr>
          <w:rFonts w:ascii="宋体" w:hAnsi="宋体"/>
          <w:sz w:val="24"/>
        </w:rPr>
        <w:t>乙方</w:t>
      </w:r>
      <w:r>
        <w:rPr>
          <w:rFonts w:hint="eastAsia" w:ascii="宋体" w:hAnsi="宋体"/>
          <w:sz w:val="24"/>
        </w:rPr>
        <w:t>在交货同时，</w:t>
      </w:r>
      <w:r>
        <w:rPr>
          <w:rFonts w:ascii="宋体" w:hAnsi="宋体"/>
          <w:sz w:val="24"/>
        </w:rPr>
        <w:t>应向甲方提供使用货物的有关技术资料。</w:t>
      </w:r>
    </w:p>
    <w:p>
      <w:pPr>
        <w:autoSpaceDE w:val="0"/>
        <w:autoSpaceDN w:val="0"/>
        <w:adjustRightInd w:val="0"/>
        <w:spacing w:line="360" w:lineRule="auto"/>
        <w:ind w:firstLine="482" w:firstLineChars="200"/>
        <w:rPr>
          <w:rFonts w:ascii="宋体" w:hAnsi="宋体"/>
          <w:b/>
          <w:sz w:val="24"/>
        </w:rPr>
      </w:pPr>
      <w:r>
        <w:rPr>
          <w:rFonts w:hint="eastAsia" w:ascii="宋体" w:hAnsi="宋体"/>
          <w:b/>
          <w:sz w:val="24"/>
        </w:rPr>
        <w:t>六、</w:t>
      </w:r>
      <w:r>
        <w:rPr>
          <w:rFonts w:ascii="宋体" w:hAnsi="宋体"/>
          <w:b/>
          <w:sz w:val="24"/>
        </w:rPr>
        <w:t>调试和验收</w:t>
      </w:r>
    </w:p>
    <w:p>
      <w:pPr>
        <w:autoSpaceDE w:val="0"/>
        <w:autoSpaceDN w:val="0"/>
        <w:adjustRightIn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乙方交货前应对产品</w:t>
      </w:r>
      <w:r>
        <w:rPr>
          <w:rFonts w:hint="eastAsia" w:ascii="宋体" w:hAnsi="宋体"/>
          <w:sz w:val="24"/>
        </w:rPr>
        <w:t>做出</w:t>
      </w:r>
      <w:r>
        <w:rPr>
          <w:rFonts w:ascii="宋体" w:hAnsi="宋体"/>
          <w:sz w:val="24"/>
        </w:rPr>
        <w:t>全面检查</w:t>
      </w:r>
      <w:r>
        <w:rPr>
          <w:rFonts w:hint="eastAsia" w:ascii="宋体" w:hAnsi="宋体"/>
          <w:sz w:val="24"/>
        </w:rPr>
        <w:t>，</w:t>
      </w:r>
      <w:r>
        <w:rPr>
          <w:rFonts w:ascii="宋体" w:hAnsi="宋体"/>
          <w:sz w:val="24"/>
        </w:rPr>
        <w:t>对验收文件进行整理，并列出清单，作为甲方收货验收和使用的技术条件依据，检验的结果应随货物交甲方。</w:t>
      </w:r>
    </w:p>
    <w:p>
      <w:pPr>
        <w:autoSpaceDE w:val="0"/>
        <w:autoSpaceDN w:val="0"/>
        <w:adjustRightInd w:val="0"/>
        <w:spacing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提供的货物在使用前</w:t>
      </w:r>
      <w:r>
        <w:rPr>
          <w:rFonts w:hint="eastAsia" w:ascii="宋体" w:hAnsi="宋体"/>
          <w:sz w:val="24"/>
        </w:rPr>
        <w:t>需</w:t>
      </w:r>
      <w:r>
        <w:rPr>
          <w:rFonts w:ascii="宋体" w:hAnsi="宋体"/>
          <w:sz w:val="24"/>
        </w:rPr>
        <w:t>进行调试</w:t>
      </w:r>
      <w:r>
        <w:rPr>
          <w:rFonts w:hint="eastAsia" w:ascii="宋体" w:hAnsi="宋体"/>
          <w:sz w:val="24"/>
        </w:rPr>
        <w:t>的</w:t>
      </w:r>
      <w:r>
        <w:rPr>
          <w:rFonts w:ascii="宋体" w:hAnsi="宋体"/>
          <w:sz w:val="24"/>
        </w:rPr>
        <w:t>，乙方需负责安装并培训甲方的使用操作人员，并协助甲方一起调试，直到符合技术要求，甲方才做最终验收。</w:t>
      </w:r>
    </w:p>
    <w:p>
      <w:pPr>
        <w:autoSpaceDE w:val="0"/>
        <w:autoSpaceDN w:val="0"/>
        <w:adjustRightIn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甲方对乙方提交的货物需在五个工作日内</w:t>
      </w:r>
      <w:r>
        <w:rPr>
          <w:rFonts w:hint="eastAsia" w:ascii="宋体" w:hAnsi="宋体"/>
          <w:sz w:val="24"/>
        </w:rPr>
        <w:t>，</w:t>
      </w:r>
      <w:r>
        <w:rPr>
          <w:rFonts w:ascii="宋体" w:hAnsi="宋体"/>
          <w:sz w:val="24"/>
        </w:rPr>
        <w:t>依据招标文件上的技术规格要求和国家有关质量标准进行现场验收</w:t>
      </w:r>
      <w:r>
        <w:rPr>
          <w:rFonts w:hint="eastAsia" w:ascii="宋体" w:hAnsi="宋体"/>
          <w:sz w:val="24"/>
        </w:rPr>
        <w:t>。</w:t>
      </w:r>
      <w:r>
        <w:rPr>
          <w:rFonts w:ascii="宋体" w:hAnsi="宋体"/>
          <w:sz w:val="24"/>
        </w:rPr>
        <w:t>对技术复杂的货物，甲方应请国家认可的专业检测机构参与初步验收及最终验收，并由其出具质量检测报告</w:t>
      </w:r>
      <w:r>
        <w:rPr>
          <w:rFonts w:hint="eastAsia" w:ascii="宋体" w:hAnsi="宋体"/>
          <w:sz w:val="24"/>
        </w:rPr>
        <w:t>，</w:t>
      </w:r>
      <w:r>
        <w:rPr>
          <w:rFonts w:ascii="宋体" w:hAnsi="宋体"/>
          <w:sz w:val="24"/>
        </w:rPr>
        <w:t>验收费用由乙方负责。</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4、验收完毕</w:t>
      </w:r>
      <w:r>
        <w:rPr>
          <w:rFonts w:ascii="宋体" w:hAnsi="宋体"/>
          <w:sz w:val="24"/>
        </w:rPr>
        <w:t>乙方</w:t>
      </w:r>
      <w:r>
        <w:rPr>
          <w:rFonts w:hint="eastAsia" w:ascii="宋体" w:hAnsi="宋体"/>
          <w:sz w:val="24"/>
        </w:rPr>
        <w:t>应出具验收</w:t>
      </w:r>
      <w:r>
        <w:rPr>
          <w:rFonts w:ascii="宋体" w:hAnsi="宋体"/>
          <w:sz w:val="24"/>
        </w:rPr>
        <w:t>结果</w:t>
      </w:r>
      <w:r>
        <w:rPr>
          <w:rFonts w:hint="eastAsia" w:ascii="宋体" w:hAnsi="宋体"/>
          <w:sz w:val="24"/>
        </w:rPr>
        <w:t>报告，</w:t>
      </w:r>
      <w:r>
        <w:rPr>
          <w:rFonts w:ascii="宋体" w:hAnsi="宋体"/>
          <w:sz w:val="24"/>
        </w:rPr>
        <w:t>符合要求的给予签收，验收不合格的不予签收。</w:t>
      </w:r>
    </w:p>
    <w:p>
      <w:pPr>
        <w:spacing w:line="360" w:lineRule="auto"/>
        <w:ind w:firstLine="482" w:firstLineChars="200"/>
        <w:rPr>
          <w:rFonts w:ascii="宋体" w:hAnsi="宋体"/>
          <w:sz w:val="24"/>
        </w:rPr>
      </w:pPr>
      <w:r>
        <w:rPr>
          <w:rFonts w:hint="eastAsia" w:ascii="宋体" w:hAnsi="宋体"/>
          <w:b/>
          <w:sz w:val="24"/>
        </w:rPr>
        <w:t>七</w:t>
      </w:r>
      <w:r>
        <w:rPr>
          <w:rFonts w:ascii="宋体" w:hAnsi="宋体"/>
          <w:b/>
          <w:sz w:val="24"/>
        </w:rPr>
        <w:t>、</w:t>
      </w:r>
      <w:r>
        <w:rPr>
          <w:rFonts w:hint="eastAsia" w:ascii="宋体" w:hAnsi="宋体"/>
          <w:b/>
          <w:sz w:val="24"/>
        </w:rPr>
        <w:t>付款方式：</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1.合同签订并具备实施条件后七个工作日内，中标供应商开具发票，采购人向中标供应商支付合同金额50%预付款；</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2.全部安装完毕、验收合格且收到发票后，支付至合同价的100%。</w:t>
      </w:r>
    </w:p>
    <w:p>
      <w:pPr>
        <w:autoSpaceDE w:val="0"/>
        <w:autoSpaceDN w:val="0"/>
        <w:adjustRightInd w:val="0"/>
        <w:spacing w:line="360" w:lineRule="auto"/>
        <w:ind w:firstLine="482" w:firstLineChars="200"/>
        <w:rPr>
          <w:rFonts w:ascii="宋体" w:hAnsi="宋体"/>
          <w:b/>
          <w:sz w:val="24"/>
        </w:rPr>
      </w:pPr>
      <w:r>
        <w:rPr>
          <w:rFonts w:hint="eastAsia" w:ascii="宋体" w:hAnsi="宋体"/>
          <w:b/>
          <w:sz w:val="24"/>
        </w:rPr>
        <w:t>八</w:t>
      </w:r>
      <w:r>
        <w:rPr>
          <w:rFonts w:ascii="宋体" w:hAnsi="宋体"/>
          <w:b/>
          <w:sz w:val="24"/>
        </w:rPr>
        <w:t>、违约责任</w:t>
      </w:r>
    </w:p>
    <w:p>
      <w:pPr>
        <w:autoSpaceDE w:val="0"/>
        <w:autoSpaceDN w:val="0"/>
        <w:adjustRightIn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甲方无正当理由拒收货物的，甲方应向乙方偿付拒收货款总值的百分之五违约金。</w:t>
      </w:r>
    </w:p>
    <w:p>
      <w:pPr>
        <w:autoSpaceDE w:val="0"/>
        <w:autoSpaceDN w:val="0"/>
        <w:adjustRightInd w:val="0"/>
        <w:spacing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甲方无故逾期验收和办理货款支付手续的</w:t>
      </w:r>
      <w:r>
        <w:rPr>
          <w:rFonts w:hint="eastAsia" w:ascii="宋体" w:hAnsi="宋体"/>
          <w:sz w:val="24"/>
        </w:rPr>
        <w:t>，</w:t>
      </w:r>
      <w:r>
        <w:rPr>
          <w:rFonts w:ascii="宋体" w:hAnsi="宋体"/>
          <w:sz w:val="24"/>
        </w:rPr>
        <w:t>甲方应按逾期付款总额每日万分之五向乙方支付违约金。</w:t>
      </w:r>
    </w:p>
    <w:p>
      <w:pPr>
        <w:autoSpaceDE w:val="0"/>
        <w:autoSpaceDN w:val="0"/>
        <w:adjustRightIn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w:t>
      </w:r>
      <w:r>
        <w:rPr>
          <w:rFonts w:hint="eastAsia" w:ascii="宋体" w:hAnsi="宋体"/>
          <w:sz w:val="24"/>
        </w:rPr>
        <w:t>若</w:t>
      </w:r>
      <w:r>
        <w:rPr>
          <w:rFonts w:ascii="宋体" w:hAnsi="宋体"/>
          <w:sz w:val="24"/>
        </w:rPr>
        <w:t xml:space="preserve">造成甲方损失超过违约金的，超出部分由乙方继续承担赔偿责任。 </w:t>
      </w:r>
    </w:p>
    <w:p>
      <w:pPr>
        <w:autoSpaceDE w:val="0"/>
        <w:autoSpaceDN w:val="0"/>
        <w:adjustRightInd w:val="0"/>
        <w:spacing w:line="360" w:lineRule="auto"/>
        <w:ind w:firstLine="480" w:firstLineChars="200"/>
        <w:rPr>
          <w:rFonts w:ascii="宋体" w:hAnsi="宋体"/>
          <w:sz w:val="24"/>
        </w:rPr>
      </w:pPr>
      <w:r>
        <w:rPr>
          <w:rFonts w:ascii="宋体" w:hAnsi="宋体"/>
          <w:sz w:val="24"/>
        </w:rPr>
        <w:t>4</w:t>
      </w:r>
      <w:r>
        <w:rPr>
          <w:rFonts w:hint="eastAsia" w:ascii="宋体" w:hAnsi="宋体"/>
          <w:sz w:val="24"/>
        </w:rPr>
        <w:t>、</w:t>
      </w:r>
      <w:r>
        <w:rPr>
          <w:rFonts w:ascii="宋体" w:hAnsi="宋体"/>
          <w:sz w:val="24"/>
        </w:rPr>
        <w:t>乙方所交的货物品种、型号、规格、技术参数、质量不符合合同规定及招标</w:t>
      </w:r>
      <w:r>
        <w:rPr>
          <w:rFonts w:hint="eastAsia" w:ascii="宋体" w:hAnsi="宋体"/>
          <w:kern w:val="0"/>
          <w:sz w:val="24"/>
        </w:rPr>
        <w:t>（或竞争性谈判、询价）</w:t>
      </w:r>
      <w:r>
        <w:rPr>
          <w:rFonts w:ascii="宋体" w:hAnsi="宋体"/>
          <w:sz w:val="24"/>
        </w:rPr>
        <w:t>文件规定标准的，甲方有权拒收该货物，乙方愿意更换货物但逾期交货的，按乙方逾期交货处理。乙方拒绝更换货物的，甲方可单方面解除合同。</w:t>
      </w:r>
    </w:p>
    <w:p>
      <w:pPr>
        <w:autoSpaceDE w:val="0"/>
        <w:autoSpaceDN w:val="0"/>
        <w:adjustRightInd w:val="0"/>
        <w:spacing w:line="360" w:lineRule="auto"/>
        <w:ind w:firstLine="482" w:firstLineChars="200"/>
        <w:rPr>
          <w:rFonts w:ascii="宋体" w:hAnsi="宋体"/>
          <w:b/>
          <w:sz w:val="24"/>
        </w:rPr>
      </w:pPr>
      <w:r>
        <w:rPr>
          <w:rFonts w:hint="eastAsia" w:ascii="宋体" w:hAnsi="宋体"/>
          <w:b/>
          <w:sz w:val="24"/>
        </w:rPr>
        <w:t>九</w:t>
      </w:r>
      <w:r>
        <w:rPr>
          <w:rFonts w:ascii="宋体" w:hAnsi="宋体"/>
          <w:b/>
          <w:sz w:val="24"/>
        </w:rPr>
        <w:t>、不可抗力事件处理</w:t>
      </w:r>
    </w:p>
    <w:p>
      <w:pPr>
        <w:autoSpaceDE w:val="0"/>
        <w:autoSpaceDN w:val="0"/>
        <w:adjustRightIn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在合同有效期内，任何一方因不可抗力事件导致不能履行合同</w:t>
      </w:r>
      <w:r>
        <w:rPr>
          <w:rFonts w:hint="eastAsia" w:ascii="宋体" w:hAnsi="宋体"/>
          <w:sz w:val="24"/>
        </w:rPr>
        <w:t>的</w:t>
      </w:r>
      <w:r>
        <w:rPr>
          <w:rFonts w:ascii="宋体" w:hAnsi="宋体"/>
          <w:sz w:val="24"/>
        </w:rPr>
        <w:t>，合同履行期可延长，其延长期与不可抗力影响期相同。</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2、</w:t>
      </w:r>
      <w:r>
        <w:rPr>
          <w:rFonts w:ascii="宋体" w:hAnsi="宋体"/>
          <w:sz w:val="24"/>
        </w:rPr>
        <w:t>不可抗力事件发生后，应立即通知对方，并寄送有关权威机构出具的证明。</w:t>
      </w:r>
    </w:p>
    <w:p>
      <w:pPr>
        <w:autoSpaceDE w:val="0"/>
        <w:autoSpaceDN w:val="0"/>
        <w:adjustRightIn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不可抗力事件延续120天以上，双方应通过友好协商，确定是否继续履行合同。</w:t>
      </w:r>
    </w:p>
    <w:p>
      <w:pPr>
        <w:autoSpaceDE w:val="0"/>
        <w:autoSpaceDN w:val="0"/>
        <w:adjustRightInd w:val="0"/>
        <w:spacing w:line="360" w:lineRule="auto"/>
        <w:ind w:firstLine="482" w:firstLineChars="200"/>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争议解决办法</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1、因货物质量发生争议，由</w:t>
      </w:r>
      <w:r>
        <w:rPr>
          <w:rFonts w:hint="eastAsia" w:ascii="宋体" w:hAnsi="宋体"/>
          <w:sz w:val="24"/>
          <w:u w:val="single"/>
        </w:rPr>
        <w:t xml:space="preserve"> 嘉兴市 </w:t>
      </w:r>
      <w:r>
        <w:rPr>
          <w:rFonts w:hint="eastAsia" w:ascii="宋体" w:hAnsi="宋体"/>
          <w:sz w:val="24"/>
        </w:rPr>
        <w:t>质量技术监督局或其指定的质量鉴定单位进行鉴定。货物符合标准的，鉴定费由甲方承担；货物不符合标准的，鉴定费由乙方承担。</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执行合同中所发生的</w:t>
      </w:r>
      <w:r>
        <w:rPr>
          <w:rFonts w:hint="eastAsia" w:ascii="宋体" w:hAnsi="宋体"/>
          <w:sz w:val="24"/>
        </w:rPr>
        <w:t>其他</w:t>
      </w:r>
      <w:r>
        <w:rPr>
          <w:rFonts w:ascii="宋体" w:hAnsi="宋体"/>
          <w:sz w:val="24"/>
        </w:rPr>
        <w:t>争议，应通过协商解决。如协商不成，可向合同签订地法院起诉</w:t>
      </w:r>
      <w:r>
        <w:rPr>
          <w:rFonts w:hint="eastAsia" w:ascii="宋体" w:hAnsi="宋体"/>
          <w:sz w:val="24"/>
        </w:rPr>
        <w:t>。</w:t>
      </w:r>
      <w:r>
        <w:rPr>
          <w:rFonts w:ascii="宋体" w:hAnsi="宋体"/>
          <w:sz w:val="24"/>
        </w:rPr>
        <w:t>合同签订地在此约定为</w:t>
      </w:r>
      <w:r>
        <w:rPr>
          <w:rFonts w:hint="eastAsia" w:ascii="宋体" w:hAnsi="宋体"/>
          <w:sz w:val="24"/>
        </w:rPr>
        <w:t xml:space="preserve"> </w:t>
      </w:r>
      <w:r>
        <w:rPr>
          <w:rFonts w:hint="eastAsia" w:ascii="宋体" w:hAnsi="宋体"/>
          <w:sz w:val="24"/>
          <w:u w:val="single"/>
        </w:rPr>
        <w:t xml:space="preserve">浙江平湖 </w:t>
      </w:r>
      <w:r>
        <w:rPr>
          <w:rFonts w:hint="eastAsia" w:ascii="宋体" w:hAnsi="宋体"/>
          <w:sz w:val="24"/>
        </w:rPr>
        <w:t>。</w:t>
      </w:r>
    </w:p>
    <w:p>
      <w:pPr>
        <w:autoSpaceDE w:val="0"/>
        <w:autoSpaceDN w:val="0"/>
        <w:adjustRightInd w:val="0"/>
        <w:spacing w:line="360" w:lineRule="auto"/>
        <w:ind w:firstLine="482" w:firstLineChars="200"/>
        <w:rPr>
          <w:rFonts w:ascii="宋体" w:hAnsi="宋体"/>
          <w:b/>
          <w:sz w:val="24"/>
        </w:rPr>
      </w:pPr>
      <w:r>
        <w:rPr>
          <w:rFonts w:ascii="宋体" w:hAnsi="宋体"/>
          <w:b/>
          <w:sz w:val="24"/>
        </w:rPr>
        <w:t>十</w:t>
      </w:r>
      <w:r>
        <w:rPr>
          <w:rFonts w:hint="eastAsia" w:ascii="宋体" w:hAnsi="宋体"/>
          <w:b/>
          <w:sz w:val="24"/>
        </w:rPr>
        <w:t>一</w:t>
      </w:r>
      <w:r>
        <w:rPr>
          <w:rFonts w:ascii="宋体" w:hAnsi="宋体"/>
          <w:b/>
          <w:sz w:val="24"/>
        </w:rPr>
        <w:t>、合同生效及其它</w:t>
      </w:r>
    </w:p>
    <w:p>
      <w:pPr>
        <w:autoSpaceDE w:val="0"/>
        <w:autoSpaceDN w:val="0"/>
        <w:adjustRightInd w:val="0"/>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合同经</w:t>
      </w:r>
      <w:r>
        <w:rPr>
          <w:rFonts w:hint="eastAsia" w:ascii="宋体" w:hAnsi="宋体"/>
          <w:sz w:val="24"/>
        </w:rPr>
        <w:t>甲、乙、丙三</w:t>
      </w:r>
      <w:r>
        <w:rPr>
          <w:rFonts w:ascii="宋体" w:hAnsi="宋体"/>
          <w:sz w:val="24"/>
        </w:rPr>
        <w:t>方法定代表人或授权委托代理人签字并加盖单位公章后生效。</w:t>
      </w:r>
    </w:p>
    <w:p>
      <w:pPr>
        <w:autoSpaceDE w:val="0"/>
        <w:autoSpaceDN w:val="0"/>
        <w:adjustRightInd w:val="0"/>
        <w:spacing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合同执行中涉及采购资金和采购内容修改或补充的，须经市财政部门审批，并签书面补充协议报市政府采购监督管理部门备案，方可作为主合同不可分割的一部分。</w:t>
      </w:r>
    </w:p>
    <w:p>
      <w:pPr>
        <w:autoSpaceDE w:val="0"/>
        <w:autoSpaceDN w:val="0"/>
        <w:adjustRightInd w:val="0"/>
        <w:spacing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本合同未尽事宜，遵照</w:t>
      </w:r>
      <w:r>
        <w:rPr>
          <w:rFonts w:hint="eastAsia" w:ascii="宋体" w:hAnsi="宋体"/>
          <w:sz w:val="24"/>
        </w:rPr>
        <w:t>《中华人民共和国民法典》</w:t>
      </w:r>
      <w:r>
        <w:rPr>
          <w:rFonts w:ascii="宋体" w:hAnsi="宋体"/>
          <w:sz w:val="24"/>
        </w:rPr>
        <w:t>有关条文执行。</w:t>
      </w:r>
    </w:p>
    <w:p>
      <w:pPr>
        <w:autoSpaceDE w:val="0"/>
        <w:autoSpaceDN w:val="0"/>
        <w:adjustRightInd w:val="0"/>
        <w:spacing w:line="360" w:lineRule="auto"/>
        <w:ind w:firstLine="480" w:firstLineChars="200"/>
        <w:rPr>
          <w:rFonts w:ascii="宋体" w:hAnsi="宋体"/>
          <w:sz w:val="24"/>
        </w:rPr>
      </w:pPr>
      <w:r>
        <w:rPr>
          <w:rFonts w:ascii="宋体" w:hAnsi="宋体"/>
          <w:sz w:val="24"/>
        </w:rPr>
        <w:t>4</w:t>
      </w:r>
      <w:r>
        <w:rPr>
          <w:rFonts w:hint="eastAsia" w:ascii="宋体" w:hAnsi="宋体"/>
          <w:sz w:val="24"/>
        </w:rPr>
        <w:t>、本合同一式五份，甲、乙、丙三方、财政局核算中心各执一份，一份交财政局备案</w:t>
      </w:r>
      <w:r>
        <w:rPr>
          <w:rFonts w:ascii="宋体" w:hAnsi="宋体"/>
          <w:sz w:val="24"/>
        </w:rPr>
        <w:t>。</w:t>
      </w:r>
    </w:p>
    <w:p>
      <w:pPr>
        <w:pStyle w:val="11"/>
        <w:snapToGrid w:val="0"/>
        <w:spacing w:beforeLines="0" w:afterLines="0" w:line="360" w:lineRule="auto"/>
        <w:ind w:left="480" w:hanging="480" w:hangingChars="200"/>
        <w:rPr>
          <w:rFonts w:hAnsi="宋体"/>
        </w:rPr>
      </w:pPr>
      <w:r>
        <w:rPr>
          <w:rFonts w:hAnsi="宋体"/>
        </w:rPr>
        <w:t xml:space="preserve">  甲方：                                   乙方： </w:t>
      </w:r>
    </w:p>
    <w:p>
      <w:pPr>
        <w:pStyle w:val="11"/>
        <w:snapToGrid w:val="0"/>
        <w:spacing w:beforeLines="0" w:afterLines="0" w:line="360" w:lineRule="auto"/>
        <w:rPr>
          <w:rFonts w:hAnsi="宋体"/>
        </w:rPr>
      </w:pPr>
      <w:r>
        <w:rPr>
          <w:rFonts w:hAnsi="宋体"/>
        </w:rPr>
        <w:t xml:space="preserve">  地址：                                   地址： </w:t>
      </w:r>
    </w:p>
    <w:p>
      <w:pPr>
        <w:pStyle w:val="11"/>
        <w:snapToGrid w:val="0"/>
        <w:spacing w:beforeLines="0" w:afterLines="0" w:line="360" w:lineRule="auto"/>
        <w:rPr>
          <w:rFonts w:hAnsi="宋体"/>
        </w:rPr>
      </w:pPr>
      <w:r>
        <w:rPr>
          <w:rFonts w:hAnsi="宋体"/>
        </w:rPr>
        <w:t xml:space="preserve">  法定（授权）代表人：                     法定（授权）代表人：</w:t>
      </w:r>
    </w:p>
    <w:p>
      <w:pPr>
        <w:pStyle w:val="11"/>
        <w:snapToGrid w:val="0"/>
        <w:spacing w:beforeLines="0" w:afterLines="0" w:line="360" w:lineRule="auto"/>
        <w:rPr>
          <w:rFonts w:hAnsi="宋体"/>
        </w:rPr>
      </w:pPr>
      <w:r>
        <w:rPr>
          <w:rFonts w:hAnsi="宋体"/>
        </w:rPr>
        <w:t xml:space="preserve">  签字日期：      年  月  日       </w:t>
      </w:r>
      <w:r>
        <w:rPr>
          <w:rFonts w:hint="eastAsia" w:hAnsi="宋体"/>
        </w:rPr>
        <w:t xml:space="preserve">    </w:t>
      </w:r>
      <w:r>
        <w:rPr>
          <w:rFonts w:hAnsi="宋体"/>
        </w:rPr>
        <w:t xml:space="preserve">    签字日期：      年  月  日</w:t>
      </w:r>
    </w:p>
    <w:p>
      <w:pPr>
        <w:pStyle w:val="11"/>
        <w:snapToGrid w:val="0"/>
        <w:spacing w:beforeLines="0" w:afterLines="0" w:line="360" w:lineRule="auto"/>
        <w:rPr>
          <w:rFonts w:hAnsi="宋体"/>
        </w:rPr>
      </w:pPr>
    </w:p>
    <w:p>
      <w:pPr>
        <w:pStyle w:val="11"/>
        <w:snapToGrid w:val="0"/>
        <w:spacing w:beforeLines="0" w:afterLines="0" w:line="360" w:lineRule="auto"/>
        <w:rPr>
          <w:rFonts w:hAnsi="宋体"/>
        </w:rPr>
      </w:pPr>
      <w:r>
        <w:rPr>
          <w:rFonts w:hAnsi="宋体"/>
        </w:rPr>
        <w:t xml:space="preserve"> </w:t>
      </w:r>
      <w:r>
        <w:rPr>
          <w:rFonts w:hint="eastAsia" w:hAnsi="宋体"/>
        </w:rPr>
        <w:t xml:space="preserve"> 丙</w:t>
      </w:r>
      <w:r>
        <w:rPr>
          <w:rFonts w:hAnsi="宋体"/>
        </w:rPr>
        <w:t>方:</w:t>
      </w:r>
      <w:r>
        <w:rPr>
          <w:rFonts w:hint="eastAsia" w:hAnsi="宋体"/>
        </w:rPr>
        <w:t>平湖市公共资源交易中心</w:t>
      </w:r>
    </w:p>
    <w:p>
      <w:pPr>
        <w:pStyle w:val="11"/>
        <w:snapToGrid w:val="0"/>
        <w:spacing w:beforeLines="0" w:afterLines="0" w:line="360" w:lineRule="auto"/>
        <w:ind w:firstLine="240" w:firstLineChars="100"/>
        <w:rPr>
          <w:rFonts w:hAnsi="宋体"/>
        </w:rPr>
      </w:pPr>
      <w:r>
        <w:rPr>
          <w:rFonts w:hAnsi="宋体"/>
        </w:rPr>
        <w:t>法定代表人或主要负责人:</w:t>
      </w:r>
    </w:p>
    <w:p>
      <w:pPr>
        <w:pStyle w:val="11"/>
        <w:snapToGrid w:val="0"/>
        <w:spacing w:beforeLines="0" w:afterLines="0" w:line="360" w:lineRule="auto"/>
        <w:ind w:firstLine="240" w:firstLineChars="100"/>
        <w:rPr>
          <w:rFonts w:hAnsi="宋体"/>
        </w:rPr>
      </w:pPr>
      <w:r>
        <w:rPr>
          <w:rFonts w:hAnsi="宋体"/>
        </w:rPr>
        <w:t>鉴证日期:      年  月  日</w:t>
      </w: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
      <w:pPr>
        <w:pStyle w:val="11"/>
        <w:snapToGrid w:val="0"/>
        <w:spacing w:beforeLines="0" w:afterLines="0" w:line="360" w:lineRule="auto"/>
        <w:ind w:firstLine="120" w:firstLineChars="50"/>
        <w:rPr>
          <w:rFonts w:hAnsi="宋体"/>
        </w:rPr>
      </w:pPr>
    </w:p>
    <w:p>
      <w:pPr>
        <w:pStyle w:val="11"/>
        <w:snapToGrid w:val="0"/>
        <w:spacing w:beforeLines="0" w:afterLines="0" w:line="360" w:lineRule="auto"/>
        <w:ind w:firstLine="120" w:firstLineChars="50"/>
        <w:rPr>
          <w:rFonts w:hAnsi="宋体"/>
        </w:rPr>
      </w:pPr>
    </w:p>
    <w:p/>
    <w:p>
      <w:pPr>
        <w:pStyle w:val="11"/>
        <w:snapToGrid w:val="0"/>
        <w:spacing w:beforeLines="0" w:afterLines="0" w:line="360" w:lineRule="auto"/>
        <w:ind w:firstLine="120" w:firstLineChars="50"/>
        <w:rPr>
          <w:rFonts w:hAnsi="宋体"/>
        </w:rPr>
      </w:pPr>
    </w:p>
    <w:p>
      <w:pPr>
        <w:rPr>
          <w:rFonts w:hAnsi="宋体"/>
        </w:rPr>
      </w:pPr>
    </w:p>
    <w:p>
      <w:pPr>
        <w:pStyle w:val="3"/>
        <w:ind w:firstLine="480"/>
        <w:rPr>
          <w:rFonts w:hAnsi="宋体"/>
        </w:rPr>
      </w:pPr>
    </w:p>
    <w:p>
      <w:pPr>
        <w:pStyle w:val="3"/>
        <w:ind w:firstLine="480"/>
        <w:rPr>
          <w:rFonts w:hAnsi="宋体"/>
        </w:rPr>
      </w:pPr>
    </w:p>
    <w:p>
      <w:pPr>
        <w:pStyle w:val="3"/>
        <w:ind w:firstLine="480"/>
        <w:rPr>
          <w:rFonts w:hAnsi="宋体"/>
        </w:rPr>
      </w:pPr>
    </w:p>
    <w:p>
      <w:pPr>
        <w:pStyle w:val="11"/>
        <w:snapToGrid w:val="0"/>
        <w:spacing w:beforeLines="0" w:afterLines="0" w:line="360" w:lineRule="auto"/>
        <w:ind w:firstLine="161" w:firstLineChars="50"/>
        <w:jc w:val="center"/>
        <w:rPr>
          <w:rFonts w:ascii="黑体" w:hAnsi="黑体" w:eastAsia="黑体"/>
          <w:b/>
          <w:sz w:val="32"/>
          <w:szCs w:val="32"/>
        </w:rPr>
      </w:pPr>
      <w:r>
        <w:rPr>
          <w:rFonts w:hint="eastAsia" w:ascii="黑体" w:hAnsi="黑体" w:eastAsia="黑体"/>
          <w:b/>
          <w:sz w:val="32"/>
          <w:szCs w:val="32"/>
        </w:rPr>
        <w:t>平湖市政府采购项目验收结算单</w:t>
      </w:r>
    </w:p>
    <w:p>
      <w:pPr>
        <w:pStyle w:val="11"/>
        <w:snapToGrid w:val="0"/>
        <w:spacing w:beforeLines="0" w:afterLines="0" w:line="360" w:lineRule="auto"/>
        <w:jc w:val="left"/>
        <w:rPr>
          <w:rFonts w:hAnsi="宋体"/>
        </w:rPr>
      </w:pPr>
      <w:r>
        <w:rPr>
          <w:rFonts w:hint="eastAsia" w:hAnsi="宋体"/>
        </w:rPr>
        <w:t>采购单位(盖章)：</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496"/>
        <w:gridCol w:w="4308"/>
        <w:gridCol w:w="1260"/>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80" w:type="dxa"/>
            <w:gridSpan w:val="2"/>
            <w:tcBorders>
              <w:bottom w:val="single" w:color="auto" w:sz="4" w:space="0"/>
            </w:tcBorders>
            <w:vAlign w:val="center"/>
          </w:tcPr>
          <w:p>
            <w:pPr>
              <w:spacing w:line="320" w:lineRule="exact"/>
              <w:jc w:val="center"/>
              <w:rPr>
                <w:rFonts w:ascii="宋体" w:hAnsi="宋体"/>
                <w:sz w:val="24"/>
              </w:rPr>
            </w:pPr>
            <w:r>
              <w:rPr>
                <w:rFonts w:hint="eastAsia" w:ascii="宋体" w:hAnsi="宋体"/>
                <w:sz w:val="24"/>
              </w:rPr>
              <w:t>供应商</w:t>
            </w:r>
          </w:p>
        </w:tc>
        <w:tc>
          <w:tcPr>
            <w:tcW w:w="4308" w:type="dxa"/>
            <w:tcBorders>
              <w:bottom w:val="single" w:color="auto" w:sz="4" w:space="0"/>
            </w:tcBorders>
            <w:vAlign w:val="center"/>
          </w:tcPr>
          <w:p>
            <w:pPr>
              <w:spacing w:line="320" w:lineRule="exact"/>
              <w:rPr>
                <w:rFonts w:ascii="宋体" w:hAnsi="宋体"/>
                <w:sz w:val="24"/>
              </w:rPr>
            </w:pPr>
          </w:p>
        </w:tc>
        <w:tc>
          <w:tcPr>
            <w:tcW w:w="1260" w:type="dxa"/>
            <w:tcBorders>
              <w:bottom w:val="single" w:color="auto" w:sz="4" w:space="0"/>
            </w:tcBorders>
            <w:vAlign w:val="center"/>
          </w:tcPr>
          <w:p>
            <w:pPr>
              <w:spacing w:line="320" w:lineRule="exact"/>
              <w:jc w:val="center"/>
              <w:rPr>
                <w:rFonts w:ascii="宋体" w:hAnsi="宋体"/>
                <w:sz w:val="24"/>
              </w:rPr>
            </w:pPr>
            <w:r>
              <w:rPr>
                <w:rFonts w:hint="eastAsia" w:ascii="宋体" w:hAnsi="宋体"/>
                <w:sz w:val="24"/>
              </w:rPr>
              <w:t>发票号码</w:t>
            </w:r>
          </w:p>
        </w:tc>
        <w:tc>
          <w:tcPr>
            <w:tcW w:w="2680" w:type="dxa"/>
            <w:tcBorders>
              <w:bottom w:val="single" w:color="auto" w:sz="4" w:space="0"/>
            </w:tcBorders>
            <w:vAlign w:val="center"/>
          </w:tcPr>
          <w:p>
            <w:pPr>
              <w:spacing w:line="32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80" w:type="dxa"/>
            <w:gridSpan w:val="2"/>
            <w:tcBorders>
              <w:bottom w:val="single" w:color="auto" w:sz="4" w:space="0"/>
            </w:tcBorders>
            <w:vAlign w:val="center"/>
          </w:tcPr>
          <w:p>
            <w:pPr>
              <w:spacing w:line="320" w:lineRule="exact"/>
              <w:jc w:val="center"/>
              <w:rPr>
                <w:rFonts w:ascii="宋体" w:hAnsi="宋体"/>
                <w:sz w:val="24"/>
              </w:rPr>
            </w:pPr>
            <w:r>
              <w:rPr>
                <w:rFonts w:hint="eastAsia" w:ascii="宋体" w:hAnsi="宋体"/>
                <w:sz w:val="24"/>
              </w:rPr>
              <w:t>代理机构</w:t>
            </w:r>
          </w:p>
        </w:tc>
        <w:tc>
          <w:tcPr>
            <w:tcW w:w="4308" w:type="dxa"/>
            <w:tcBorders>
              <w:bottom w:val="single" w:color="auto" w:sz="4" w:space="0"/>
            </w:tcBorders>
            <w:vAlign w:val="center"/>
          </w:tcPr>
          <w:p>
            <w:pPr>
              <w:spacing w:line="320" w:lineRule="exact"/>
              <w:rPr>
                <w:rFonts w:ascii="宋体" w:hAnsi="宋体"/>
                <w:sz w:val="24"/>
              </w:rPr>
            </w:pPr>
            <w:r>
              <w:rPr>
                <w:rFonts w:hint="eastAsia" w:ascii="宋体" w:hAnsi="宋体"/>
                <w:sz w:val="24"/>
              </w:rPr>
              <w:t>平湖市公共资源交易中心</w:t>
            </w:r>
          </w:p>
        </w:tc>
        <w:tc>
          <w:tcPr>
            <w:tcW w:w="1260" w:type="dxa"/>
            <w:tcBorders>
              <w:bottom w:val="single" w:color="auto" w:sz="4" w:space="0"/>
            </w:tcBorders>
            <w:vAlign w:val="center"/>
          </w:tcPr>
          <w:p>
            <w:pPr>
              <w:spacing w:line="320" w:lineRule="exact"/>
              <w:jc w:val="center"/>
              <w:rPr>
                <w:rFonts w:ascii="宋体" w:hAnsi="宋体"/>
                <w:sz w:val="24"/>
              </w:rPr>
            </w:pPr>
            <w:r>
              <w:rPr>
                <w:rFonts w:hint="eastAsia" w:ascii="宋体" w:hAnsi="宋体"/>
                <w:sz w:val="24"/>
              </w:rPr>
              <w:t>合同编号</w:t>
            </w:r>
          </w:p>
        </w:tc>
        <w:tc>
          <w:tcPr>
            <w:tcW w:w="2680" w:type="dxa"/>
            <w:tcBorders>
              <w:bottom w:val="single" w:color="auto" w:sz="4" w:space="0"/>
            </w:tcBorders>
            <w:vAlign w:val="center"/>
          </w:tcPr>
          <w:p>
            <w:pPr>
              <w:spacing w:line="320" w:lineRule="exact"/>
              <w:rPr>
                <w:rFonts w:ascii="宋体" w:hAnsi="宋体"/>
                <w:sz w:val="24"/>
              </w:rPr>
            </w:pPr>
            <w:r>
              <w:rPr>
                <w:rFonts w:hint="eastAsia" w:ascii="宋体" w:hAnsi="宋体"/>
                <w:sz w:val="24"/>
              </w:rPr>
              <w:t>平政采招2025-01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1" w:hRule="atLeast"/>
          <w:jc w:val="center"/>
        </w:trPr>
        <w:tc>
          <w:tcPr>
            <w:tcW w:w="9628" w:type="dxa"/>
            <w:gridSpan w:val="5"/>
            <w:tcBorders>
              <w:bottom w:val="single" w:color="auto" w:sz="4" w:space="0"/>
            </w:tcBorders>
          </w:tcPr>
          <w:p>
            <w:pPr>
              <w:spacing w:line="360" w:lineRule="exact"/>
              <w:rPr>
                <w:rFonts w:ascii="宋体" w:hAnsi="宋体"/>
                <w:sz w:val="24"/>
              </w:rPr>
            </w:pPr>
            <w:r>
              <w:rPr>
                <w:rFonts w:hint="eastAsia" w:ascii="宋体" w:hAnsi="宋体"/>
                <w:sz w:val="24"/>
              </w:rPr>
              <w:t>发票复印件粘贴处，附详细的货物清单(包括名称、规格型号、配置、数量、单价、总价)：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atLeast"/>
          <w:jc w:val="center"/>
        </w:trPr>
        <w:tc>
          <w:tcPr>
            <w:tcW w:w="884" w:type="dxa"/>
            <w:vAlign w:val="center"/>
          </w:tcPr>
          <w:p>
            <w:pPr>
              <w:spacing w:line="360" w:lineRule="exact"/>
              <w:jc w:val="center"/>
              <w:rPr>
                <w:rFonts w:ascii="宋体" w:hAnsi="宋体"/>
                <w:sz w:val="24"/>
              </w:rPr>
            </w:pPr>
            <w:r>
              <w:rPr>
                <w:rFonts w:hint="eastAsia" w:ascii="宋体" w:hAnsi="宋体"/>
                <w:sz w:val="24"/>
              </w:rPr>
              <w:t>接收</w:t>
            </w:r>
          </w:p>
          <w:p>
            <w:pPr>
              <w:spacing w:line="360" w:lineRule="exact"/>
              <w:jc w:val="center"/>
              <w:rPr>
                <w:rFonts w:ascii="宋体" w:hAnsi="宋体"/>
                <w:sz w:val="24"/>
              </w:rPr>
            </w:pPr>
            <w:r>
              <w:rPr>
                <w:rFonts w:hint="eastAsia" w:ascii="宋体" w:hAnsi="宋体"/>
                <w:sz w:val="24"/>
              </w:rPr>
              <w:t>情况</w:t>
            </w:r>
          </w:p>
        </w:tc>
        <w:tc>
          <w:tcPr>
            <w:tcW w:w="8744" w:type="dxa"/>
            <w:gridSpan w:val="4"/>
            <w:vAlign w:val="center"/>
          </w:tcPr>
          <w:p>
            <w:pPr>
              <w:spacing w:line="360" w:lineRule="exact"/>
              <w:rPr>
                <w:rFonts w:ascii="宋体" w:hAnsi="宋体"/>
                <w:sz w:val="24"/>
              </w:rPr>
            </w:pPr>
            <w:r>
              <w:rPr>
                <w:rFonts w:hint="eastAsia" w:ascii="宋体" w:hAnsi="宋体"/>
                <w:sz w:val="24"/>
              </w:rPr>
              <w:t>货物(或服务、工程)已全部采购到位，并已办理接收手续。</w:t>
            </w:r>
          </w:p>
          <w:p>
            <w:pPr>
              <w:spacing w:line="600" w:lineRule="exact"/>
              <w:rPr>
                <w:rFonts w:ascii="宋体" w:hAnsi="宋体"/>
                <w:sz w:val="24"/>
              </w:rPr>
            </w:pPr>
          </w:p>
          <w:p>
            <w:pPr>
              <w:spacing w:line="600" w:lineRule="exact"/>
              <w:rPr>
                <w:rFonts w:ascii="宋体" w:hAnsi="宋体"/>
                <w:sz w:val="24"/>
              </w:rPr>
            </w:pPr>
            <w:r>
              <w:rPr>
                <w:rFonts w:hint="eastAsia" w:ascii="宋体" w:hAnsi="宋体"/>
                <w:sz w:val="24"/>
              </w:rPr>
              <w:t>供应商代表(签名)：            采购单位接收人</w:t>
            </w:r>
            <w:r>
              <w:rPr>
                <w:rFonts w:ascii="宋体" w:hAnsi="宋体"/>
                <w:sz w:val="24"/>
              </w:rPr>
              <w:t>(</w:t>
            </w:r>
            <w:r>
              <w:rPr>
                <w:rFonts w:hint="eastAsia" w:ascii="宋体" w:hAnsi="宋体"/>
                <w:sz w:val="24"/>
              </w:rPr>
              <w:t>签名</w:t>
            </w:r>
            <w:r>
              <w:rPr>
                <w:rFonts w:ascii="宋体" w:hAnsi="宋体"/>
                <w:sz w:val="24"/>
              </w:rPr>
              <w:t>)</w:t>
            </w:r>
            <w:r>
              <w:rPr>
                <w:rFonts w:hint="eastAsia" w:ascii="宋体" w:hAnsi="宋体"/>
                <w:sz w:val="24"/>
              </w:rPr>
              <w:t>：       年</w:t>
            </w:r>
            <w:r>
              <w:rPr>
                <w:rFonts w:ascii="宋体" w:hAnsi="宋体"/>
                <w:sz w:val="24"/>
              </w:rPr>
              <w:t xml:space="preserve">  </w:t>
            </w:r>
            <w:r>
              <w:rPr>
                <w:rFonts w:hint="eastAsia" w:ascii="宋体" w:hAnsi="宋体"/>
                <w:sz w:val="24"/>
              </w:rPr>
              <w:t xml:space="preserve">  月  </w:t>
            </w:r>
            <w:r>
              <w:rPr>
                <w:rFonts w:ascii="宋体" w:hAnsi="宋体"/>
                <w:sz w:val="24"/>
              </w:rPr>
              <w:t xml:space="preserve">  </w:t>
            </w:r>
            <w:r>
              <w:rPr>
                <w:rFonts w:hint="eastAsia" w:ascii="宋体" w:hAnsi="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884" w:type="dxa"/>
            <w:vAlign w:val="center"/>
          </w:tcPr>
          <w:p>
            <w:pPr>
              <w:spacing w:line="360" w:lineRule="exact"/>
              <w:jc w:val="center"/>
              <w:rPr>
                <w:rFonts w:ascii="宋体" w:hAnsi="宋体"/>
                <w:sz w:val="24"/>
              </w:rPr>
            </w:pPr>
            <w:r>
              <w:rPr>
                <w:rFonts w:hint="eastAsia" w:ascii="宋体" w:hAnsi="宋体"/>
                <w:sz w:val="24"/>
              </w:rPr>
              <w:t>验收</w:t>
            </w:r>
          </w:p>
          <w:p>
            <w:pPr>
              <w:spacing w:line="360" w:lineRule="exact"/>
              <w:jc w:val="center"/>
              <w:rPr>
                <w:rFonts w:ascii="宋体" w:hAnsi="宋体"/>
                <w:sz w:val="24"/>
              </w:rPr>
            </w:pPr>
            <w:r>
              <w:rPr>
                <w:rFonts w:hint="eastAsia" w:ascii="宋体" w:hAnsi="宋体"/>
                <w:sz w:val="24"/>
              </w:rPr>
              <w:t>意见</w:t>
            </w:r>
          </w:p>
        </w:tc>
        <w:tc>
          <w:tcPr>
            <w:tcW w:w="8744" w:type="dxa"/>
            <w:gridSpan w:val="4"/>
            <w:vAlign w:val="center"/>
          </w:tcPr>
          <w:p>
            <w:pPr>
              <w:spacing w:line="360" w:lineRule="exact"/>
              <w:ind w:firstLine="4320" w:firstLineChars="1800"/>
              <w:rPr>
                <w:rFonts w:ascii="宋体" w:hAnsi="宋体"/>
                <w:sz w:val="24"/>
              </w:rPr>
            </w:pPr>
          </w:p>
          <w:p>
            <w:pPr>
              <w:spacing w:line="360" w:lineRule="exact"/>
              <w:ind w:firstLine="4320" w:firstLineChars="1800"/>
              <w:rPr>
                <w:rFonts w:ascii="宋体" w:hAnsi="宋体"/>
                <w:sz w:val="24"/>
              </w:rPr>
            </w:pPr>
          </w:p>
          <w:p>
            <w:pPr>
              <w:spacing w:line="360" w:lineRule="exact"/>
              <w:rPr>
                <w:rFonts w:ascii="宋体" w:hAnsi="宋体"/>
                <w:sz w:val="24"/>
              </w:rPr>
            </w:pPr>
            <w:r>
              <w:rPr>
                <w:rFonts w:hint="eastAsia" w:ascii="宋体" w:hAnsi="宋体"/>
                <w:sz w:val="24"/>
              </w:rPr>
              <w:t>验收人</w:t>
            </w:r>
            <w:r>
              <w:rPr>
                <w:rFonts w:ascii="宋体" w:hAnsi="宋体"/>
                <w:sz w:val="24"/>
              </w:rPr>
              <w:t>(</w:t>
            </w:r>
            <w:r>
              <w:rPr>
                <w:rFonts w:hint="eastAsia" w:ascii="宋体" w:hAnsi="宋体"/>
                <w:sz w:val="24"/>
              </w:rPr>
              <w:t>签名</w:t>
            </w:r>
            <w:r>
              <w:rPr>
                <w:rFonts w:ascii="宋体" w:hAnsi="宋体"/>
                <w:sz w:val="24"/>
              </w:rPr>
              <w:t>)</w:t>
            </w:r>
            <w:r>
              <w:rPr>
                <w:rFonts w:hint="eastAsia" w:ascii="宋体" w:hAnsi="宋体"/>
                <w:sz w:val="24"/>
              </w:rPr>
              <w:t>：                                            年</w:t>
            </w:r>
            <w:r>
              <w:rPr>
                <w:rFonts w:ascii="宋体" w:hAnsi="宋体"/>
                <w:sz w:val="24"/>
              </w:rPr>
              <w:t xml:space="preserve">  </w:t>
            </w:r>
            <w:r>
              <w:rPr>
                <w:rFonts w:hint="eastAsia" w:ascii="宋体" w:hAnsi="宋体"/>
                <w:sz w:val="24"/>
              </w:rPr>
              <w:t xml:space="preserve">  月</w:t>
            </w:r>
            <w:r>
              <w:rPr>
                <w:rFonts w:ascii="宋体" w:hAnsi="宋体"/>
                <w:sz w:val="24"/>
              </w:rPr>
              <w:t xml:space="preserve">  </w:t>
            </w:r>
            <w:r>
              <w:rPr>
                <w:rFonts w:hint="eastAsia" w:ascii="宋体" w:hAnsi="宋体"/>
                <w:sz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2" w:hRule="atLeast"/>
          <w:jc w:val="center"/>
        </w:trPr>
        <w:tc>
          <w:tcPr>
            <w:tcW w:w="884" w:type="dxa"/>
            <w:vAlign w:val="center"/>
          </w:tcPr>
          <w:p>
            <w:pPr>
              <w:spacing w:line="360" w:lineRule="exact"/>
              <w:jc w:val="center"/>
              <w:rPr>
                <w:rFonts w:ascii="宋体" w:hAnsi="宋体"/>
                <w:sz w:val="24"/>
              </w:rPr>
            </w:pPr>
            <w:r>
              <w:rPr>
                <w:rFonts w:hint="eastAsia" w:ascii="宋体" w:hAnsi="宋体"/>
                <w:sz w:val="24"/>
              </w:rPr>
              <w:t>结算</w:t>
            </w:r>
          </w:p>
          <w:p>
            <w:pPr>
              <w:spacing w:line="360" w:lineRule="exact"/>
              <w:jc w:val="center"/>
              <w:rPr>
                <w:rFonts w:ascii="宋体" w:hAnsi="宋体"/>
                <w:sz w:val="24"/>
              </w:rPr>
            </w:pPr>
            <w:r>
              <w:rPr>
                <w:rFonts w:hint="eastAsia" w:ascii="宋体" w:hAnsi="宋体"/>
                <w:sz w:val="24"/>
              </w:rPr>
              <w:t>意见</w:t>
            </w:r>
          </w:p>
        </w:tc>
        <w:tc>
          <w:tcPr>
            <w:tcW w:w="8744" w:type="dxa"/>
            <w:gridSpan w:val="4"/>
            <w:vAlign w:val="center"/>
          </w:tcPr>
          <w:p>
            <w:pPr>
              <w:spacing w:line="360" w:lineRule="exact"/>
              <w:ind w:left="8" w:leftChars="4" w:right="9"/>
              <w:rPr>
                <w:rFonts w:ascii="宋体" w:hAnsi="宋体"/>
                <w:sz w:val="24"/>
              </w:rPr>
            </w:pPr>
            <w:r>
              <w:rPr>
                <w:rFonts w:hint="eastAsia" w:ascii="宋体" w:hAnsi="宋体"/>
                <w:sz w:val="24"/>
              </w:rPr>
              <w:t>该项目采购预算总额      万元，实际采购合同金额           元，分  次拨付。经审查，同意按合同约定支付。</w:t>
            </w:r>
          </w:p>
          <w:p>
            <w:pPr>
              <w:spacing w:line="360" w:lineRule="exact"/>
              <w:rPr>
                <w:rFonts w:ascii="宋体" w:hAnsi="宋体"/>
                <w:sz w:val="24"/>
              </w:rPr>
            </w:pPr>
            <w:r>
              <w:rPr>
                <w:rFonts w:ascii="宋体" w:hAnsi="宋体"/>
                <w:sz w:val="24"/>
              </w:rPr>
              <w:t xml:space="preserve">    </w:t>
            </w:r>
          </w:p>
          <w:p>
            <w:pPr>
              <w:spacing w:line="360" w:lineRule="exact"/>
              <w:rPr>
                <w:rFonts w:ascii="宋体" w:hAnsi="宋体"/>
                <w:sz w:val="24"/>
              </w:rPr>
            </w:pPr>
            <w:r>
              <w:rPr>
                <w:rFonts w:hint="eastAsia" w:ascii="宋体" w:hAnsi="宋体"/>
                <w:sz w:val="24"/>
              </w:rPr>
              <w:t>财务负责人</w:t>
            </w:r>
            <w:r>
              <w:rPr>
                <w:rFonts w:ascii="宋体" w:hAnsi="宋体"/>
                <w:sz w:val="24"/>
              </w:rPr>
              <w:t>(</w:t>
            </w:r>
            <w:r>
              <w:rPr>
                <w:rFonts w:hint="eastAsia" w:ascii="宋体" w:hAnsi="宋体"/>
                <w:sz w:val="24"/>
              </w:rPr>
              <w:t>签名</w:t>
            </w:r>
            <w:r>
              <w:rPr>
                <w:rFonts w:ascii="宋体" w:hAnsi="宋体"/>
                <w:sz w:val="24"/>
              </w:rPr>
              <w:t>)</w:t>
            </w:r>
            <w:r>
              <w:rPr>
                <w:rFonts w:hint="eastAsia" w:ascii="宋体" w:hAnsi="宋体"/>
                <w:sz w:val="24"/>
              </w:rPr>
              <w:t>：</w:t>
            </w:r>
            <w:r>
              <w:rPr>
                <w:rFonts w:ascii="宋体" w:hAnsi="宋体"/>
                <w:sz w:val="24"/>
              </w:rPr>
              <w:t xml:space="preserve"> </w:t>
            </w:r>
            <w:r>
              <w:rPr>
                <w:rFonts w:hint="eastAsia" w:ascii="宋体" w:hAnsi="宋体"/>
                <w:sz w:val="24"/>
              </w:rPr>
              <w:t xml:space="preserve">                                       年</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 xml:space="preserve">  日</w:t>
            </w:r>
          </w:p>
        </w:tc>
      </w:tr>
    </w:tbl>
    <w:p>
      <w:pPr>
        <w:rPr>
          <w:rFonts w:ascii="宋体" w:hAnsi="宋体"/>
          <w:sz w:val="24"/>
        </w:rPr>
      </w:pPr>
      <w:r>
        <w:rPr>
          <w:rFonts w:hint="eastAsia" w:ascii="宋体" w:hAnsi="宋体"/>
          <w:spacing w:val="-10"/>
          <w:sz w:val="24"/>
        </w:rPr>
        <w:t>第一联:财政资金科留存。第二联:采购办留存。第三联:采购代理机构留存。第四联:采购单位留存。</w:t>
      </w:r>
    </w:p>
    <w:p>
      <w:pPr>
        <w:pStyle w:val="11"/>
        <w:snapToGrid w:val="0"/>
        <w:spacing w:beforeLines="0" w:afterLines="0" w:line="360" w:lineRule="exact"/>
        <w:ind w:firstLine="120" w:firstLineChars="50"/>
        <w:rPr>
          <w:rFonts w:hAnsi="宋体"/>
        </w:rPr>
      </w:pPr>
    </w:p>
    <w:p>
      <w:pPr>
        <w:pStyle w:val="11"/>
        <w:snapToGrid w:val="0"/>
        <w:spacing w:beforeLines="0" w:afterLines="0" w:line="360" w:lineRule="exact"/>
        <w:ind w:firstLine="161" w:firstLineChars="50"/>
        <w:jc w:val="center"/>
        <w:rPr>
          <w:rFonts w:ascii="Arial" w:hAnsi="Arial" w:eastAsia="黑体"/>
          <w:b/>
          <w:bCs/>
          <w:sz w:val="32"/>
          <w:szCs w:val="32"/>
        </w:rPr>
      </w:pPr>
    </w:p>
    <w:p>
      <w:pPr>
        <w:pStyle w:val="11"/>
        <w:snapToGrid w:val="0"/>
        <w:spacing w:beforeLines="0" w:afterLines="0" w:line="360" w:lineRule="exact"/>
        <w:ind w:firstLine="161" w:firstLineChars="50"/>
        <w:jc w:val="center"/>
        <w:rPr>
          <w:rFonts w:ascii="Arial" w:hAnsi="Arial" w:eastAsia="黑体"/>
          <w:b/>
          <w:bCs/>
          <w:sz w:val="32"/>
          <w:szCs w:val="32"/>
        </w:rPr>
      </w:pPr>
      <w:r>
        <w:rPr>
          <w:rFonts w:ascii="Arial" w:hAnsi="Arial" w:eastAsia="黑体"/>
          <w:b/>
          <w:bCs/>
          <w:sz w:val="32"/>
          <w:szCs w:val="32"/>
        </w:rPr>
        <w:t>第六章　投标文件格式</w:t>
      </w:r>
    </w:p>
    <w:p/>
    <w:p>
      <w:pPr>
        <w:pStyle w:val="11"/>
        <w:snapToGrid w:val="0"/>
        <w:spacing w:beforeLines="0" w:afterLines="0" w:line="440" w:lineRule="exact"/>
        <w:outlineLvl w:val="1"/>
        <w:rPr>
          <w:rFonts w:hAnsi="宋体"/>
          <w:b/>
        </w:rPr>
      </w:pPr>
      <w:r>
        <w:rPr>
          <w:rFonts w:hint="eastAsia" w:hAnsi="宋体"/>
          <w:b/>
        </w:rPr>
        <w:t>一、资格文件格式</w:t>
      </w:r>
    </w:p>
    <w:p>
      <w:pPr>
        <w:snapToGrid w:val="0"/>
        <w:spacing w:line="440" w:lineRule="exact"/>
        <w:rPr>
          <w:rFonts w:ascii="宋体" w:hAnsi="宋体"/>
          <w:sz w:val="24"/>
        </w:rPr>
      </w:pPr>
      <w:r>
        <w:rPr>
          <w:rFonts w:hint="eastAsia" w:ascii="宋体" w:hAnsi="宋体"/>
          <w:bCs/>
          <w:sz w:val="24"/>
        </w:rPr>
        <w:t>1</w:t>
      </w:r>
      <w:r>
        <w:rPr>
          <w:rFonts w:ascii="宋体" w:hAnsi="宋体"/>
          <w:sz w:val="24"/>
        </w:rPr>
        <w:t>.</w:t>
      </w:r>
      <w:r>
        <w:rPr>
          <w:rFonts w:hint="eastAsia" w:ascii="宋体" w:hAnsi="宋体"/>
          <w:sz w:val="24"/>
        </w:rPr>
        <w:t>资格文件封面格式</w:t>
      </w:r>
    </w:p>
    <w:p>
      <w:pPr>
        <w:snapToGrid w:val="0"/>
        <w:spacing w:line="440" w:lineRule="exact"/>
        <w:rPr>
          <w:rFonts w:ascii="宋体" w:hAnsi="宋体"/>
          <w:b/>
          <w:bCs/>
          <w:sz w:val="24"/>
        </w:rPr>
      </w:pPr>
      <w:r>
        <w:rPr>
          <w:rFonts w:ascii="宋体" w:hAnsi="宋体"/>
          <w:sz w:val="24"/>
        </w:rPr>
        <w:t xml:space="preserve">                                            </w:t>
      </w:r>
      <w:r>
        <w:rPr>
          <w:rFonts w:hint="eastAsia" w:ascii="宋体" w:hAnsi="宋体"/>
          <w:sz w:val="24"/>
        </w:rPr>
        <w:t xml:space="preserve">   </w:t>
      </w:r>
      <w:r>
        <w:rPr>
          <w:rFonts w:ascii="宋体" w:hAnsi="宋体"/>
          <w:sz w:val="24"/>
        </w:rPr>
        <w:t xml:space="preserve">   </w:t>
      </w:r>
    </w:p>
    <w:p>
      <w:pPr>
        <w:snapToGrid w:val="0"/>
        <w:spacing w:line="440" w:lineRule="exact"/>
        <w:jc w:val="center"/>
        <w:rPr>
          <w:rFonts w:ascii="宋体" w:hAnsi="宋体"/>
          <w:b/>
          <w:bCs/>
          <w:sz w:val="24"/>
        </w:rPr>
      </w:pPr>
      <w:r>
        <w:rPr>
          <w:rFonts w:hint="eastAsia" w:ascii="宋体" w:hAnsi="宋体"/>
          <w:b/>
          <w:bCs/>
          <w:sz w:val="24"/>
        </w:rPr>
        <w:t>资格文件</w:t>
      </w:r>
    </w:p>
    <w:p>
      <w:pPr>
        <w:snapToGrid w:val="0"/>
        <w:spacing w:line="440" w:lineRule="exact"/>
        <w:ind w:firstLine="900" w:firstLineChars="375"/>
        <w:rPr>
          <w:rFonts w:ascii="宋体" w:hAnsi="宋体"/>
          <w:sz w:val="24"/>
        </w:rPr>
      </w:pPr>
      <w:r>
        <w:rPr>
          <w:rFonts w:hint="eastAsia" w:ascii="宋体" w:hAnsi="宋体"/>
          <w:bCs/>
          <w:sz w:val="24"/>
        </w:rPr>
        <w:t>项目名称：</w:t>
      </w:r>
      <w:r>
        <w:rPr>
          <w:rFonts w:hint="eastAsia" w:ascii="宋体" w:hAnsi="宋体"/>
          <w:bCs/>
          <w:sz w:val="24"/>
          <w:u w:val="single"/>
        </w:rPr>
        <w:t xml:space="preserve">                    </w:t>
      </w:r>
      <w:r>
        <w:rPr>
          <w:rFonts w:hint="eastAsia" w:ascii="宋体" w:hAnsi="宋体"/>
          <w:sz w:val="24"/>
        </w:rPr>
        <w:t>采购项目</w:t>
      </w:r>
    </w:p>
    <w:p>
      <w:pPr>
        <w:pStyle w:val="6"/>
        <w:snapToGrid w:val="0"/>
        <w:spacing w:line="440" w:lineRule="exact"/>
        <w:ind w:firstLine="900" w:firstLineChars="375"/>
        <w:rPr>
          <w:rFonts w:ascii="宋体" w:hAnsi="宋体"/>
          <w:bCs/>
          <w:sz w:val="24"/>
        </w:rPr>
      </w:pPr>
      <w:r>
        <w:rPr>
          <w:rFonts w:hint="eastAsia" w:ascii="宋体" w:hAnsi="宋体"/>
          <w:bCs/>
          <w:sz w:val="24"/>
        </w:rPr>
        <w:t>项目编号：</w:t>
      </w:r>
    </w:p>
    <w:p>
      <w:pPr>
        <w:pStyle w:val="6"/>
        <w:snapToGrid w:val="0"/>
        <w:spacing w:line="440" w:lineRule="exact"/>
        <w:ind w:firstLine="900" w:firstLineChars="375"/>
        <w:rPr>
          <w:rFonts w:ascii="宋体" w:hAnsi="宋体"/>
          <w:bCs/>
          <w:sz w:val="24"/>
        </w:rPr>
      </w:pPr>
      <w:r>
        <w:rPr>
          <w:rFonts w:hint="eastAsia" w:ascii="宋体" w:hAnsi="宋体"/>
          <w:bCs/>
          <w:sz w:val="24"/>
        </w:rPr>
        <w:t>投标人名称（盖章）：</w:t>
      </w:r>
    </w:p>
    <w:p>
      <w:pPr>
        <w:pStyle w:val="6"/>
        <w:snapToGrid w:val="0"/>
        <w:spacing w:line="440" w:lineRule="exact"/>
        <w:ind w:firstLine="900" w:firstLineChars="375"/>
        <w:rPr>
          <w:rFonts w:ascii="宋体" w:hAnsi="宋体"/>
          <w:bCs/>
          <w:sz w:val="24"/>
        </w:rPr>
      </w:pPr>
      <w:r>
        <w:rPr>
          <w:rFonts w:hint="eastAsia" w:ascii="宋体" w:hAnsi="宋体"/>
          <w:bCs/>
          <w:sz w:val="24"/>
        </w:rPr>
        <w:t>投标人地址：</w:t>
      </w:r>
    </w:p>
    <w:p>
      <w:pPr>
        <w:snapToGrid w:val="0"/>
        <w:spacing w:line="440" w:lineRule="exact"/>
        <w:ind w:firstLine="3280" w:firstLineChars="1367"/>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440" w:lineRule="exact"/>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资格文件目录（请按照“第三章投标人须知，</w:t>
      </w:r>
      <w:r>
        <w:rPr>
          <w:rFonts w:ascii="宋体" w:hAnsi="宋体"/>
          <w:bCs/>
          <w:sz w:val="24"/>
        </w:rPr>
        <w:t>三、投标文件的编制</w:t>
      </w:r>
      <w:r>
        <w:rPr>
          <w:rFonts w:hint="eastAsia" w:ascii="宋体" w:hAnsi="宋体"/>
          <w:bCs/>
          <w:sz w:val="24"/>
        </w:rPr>
        <w:t>”的顺序，结合评标办法自行编制目录）</w:t>
      </w:r>
    </w:p>
    <w:p>
      <w:pPr>
        <w:snapToGrid w:val="0"/>
        <w:spacing w:line="440" w:lineRule="exact"/>
        <w:rPr>
          <w:rFonts w:ascii="宋体" w:hAnsi="宋体"/>
          <w:bCs/>
          <w:sz w:val="24"/>
        </w:rPr>
      </w:pPr>
      <w:r>
        <w:rPr>
          <w:rFonts w:hint="eastAsia" w:ascii="宋体" w:hAnsi="宋体"/>
          <w:bCs/>
          <w:sz w:val="24"/>
        </w:rPr>
        <w:t>例如：</w:t>
      </w:r>
    </w:p>
    <w:p>
      <w:pPr>
        <w:snapToGrid w:val="0"/>
        <w:spacing w:line="440" w:lineRule="exact"/>
        <w:rPr>
          <w:rFonts w:ascii="宋体" w:hAnsi="宋体"/>
          <w:bCs/>
          <w:sz w:val="24"/>
        </w:rPr>
      </w:pPr>
      <w:r>
        <w:rPr>
          <w:rFonts w:hint="eastAsia" w:ascii="宋体" w:hAnsi="宋体"/>
          <w:bCs/>
          <w:sz w:val="24"/>
        </w:rPr>
        <w:t>资格文件：</w:t>
      </w:r>
    </w:p>
    <w:p>
      <w:pPr>
        <w:snapToGrid w:val="0"/>
        <w:spacing w:line="440" w:lineRule="exact"/>
        <w:jc w:val="left"/>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投标声明书</w:t>
      </w:r>
      <w:r>
        <w:rPr>
          <w:rFonts w:ascii="宋体" w:hAnsi="宋体"/>
          <w:sz w:val="24"/>
        </w:rPr>
        <w:t xml:space="preserve"> (格式见附</w:t>
      </w:r>
      <w:r>
        <w:rPr>
          <w:rFonts w:hint="eastAsia" w:ascii="宋体" w:hAnsi="宋体"/>
          <w:sz w:val="24"/>
        </w:rPr>
        <w:t>件）</w:t>
      </w:r>
      <w:r>
        <w:rPr>
          <w:rFonts w:hint="eastAsia" w:ascii="宋体" w:hAnsi="宋体" w:cs="宋体"/>
          <w:kern w:val="0"/>
          <w:sz w:val="24"/>
        </w:rPr>
        <w:t>……………………………………………（页码）</w:t>
      </w:r>
    </w:p>
    <w:p>
      <w:pPr>
        <w:snapToGrid w:val="0"/>
        <w:spacing w:line="440" w:lineRule="exact"/>
        <w:jc w:val="left"/>
        <w:rPr>
          <w:rFonts w:ascii="宋体" w:hAnsi="宋体"/>
        </w:rPr>
      </w:pPr>
      <w:r>
        <w:rPr>
          <w:rFonts w:hint="eastAsia" w:ascii="宋体" w:hAnsi="宋体"/>
          <w:sz w:val="24"/>
        </w:rPr>
        <w:t>（2</w:t>
      </w:r>
      <w:r>
        <w:rPr>
          <w:rFonts w:ascii="宋体" w:hAnsi="宋体"/>
          <w:sz w:val="24"/>
        </w:rPr>
        <w:t>）</w:t>
      </w:r>
      <w:r>
        <w:rPr>
          <w:rFonts w:hint="eastAsia" w:ascii="宋体" w:hAnsi="宋体"/>
          <w:sz w:val="24"/>
        </w:rPr>
        <w:t>法定代表人有效身份证件复印件或者法定代表人授权委托书.......</w:t>
      </w:r>
      <w:r>
        <w:rPr>
          <w:rFonts w:hint="eastAsia" w:ascii="宋体" w:hAnsi="宋体" w:cs="宋体"/>
          <w:kern w:val="0"/>
          <w:sz w:val="24"/>
        </w:rPr>
        <w:t>（页码）</w:t>
      </w:r>
    </w:p>
    <w:p>
      <w:pPr>
        <w:snapToGrid w:val="0"/>
        <w:spacing w:line="440" w:lineRule="exact"/>
        <w:jc w:val="left"/>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企业（法人）营业执照复印件</w:t>
      </w:r>
      <w:r>
        <w:rPr>
          <w:rFonts w:hint="eastAsia" w:ascii="宋体" w:hAnsi="宋体" w:cs="宋体"/>
          <w:kern w:val="0"/>
          <w:sz w:val="24"/>
        </w:rPr>
        <w:t>…………………………………………（页码）</w:t>
      </w:r>
    </w:p>
    <w:p>
      <w:pPr>
        <w:snapToGrid w:val="0"/>
        <w:spacing w:before="120" w:beforeLines="50" w:after="50"/>
        <w:rPr>
          <w:rFonts w:ascii="宋体" w:hAnsi="宋体"/>
          <w:sz w:val="24"/>
          <w:szCs w:val="20"/>
        </w:rPr>
      </w:pPr>
    </w:p>
    <w:p>
      <w:pPr>
        <w:pStyle w:val="20"/>
        <w:ind w:firstLine="464"/>
        <w:rPr>
          <w:rFonts w:hAnsi="宋体"/>
          <w:sz w:val="24"/>
          <w:szCs w:val="20"/>
        </w:rPr>
      </w:pPr>
    </w:p>
    <w:p>
      <w:pPr>
        <w:pStyle w:val="20"/>
        <w:ind w:firstLine="464"/>
        <w:rPr>
          <w:rFonts w:hAnsi="宋体"/>
          <w:sz w:val="24"/>
          <w:szCs w:val="20"/>
        </w:rPr>
      </w:pPr>
    </w:p>
    <w:p>
      <w:pPr>
        <w:pStyle w:val="21"/>
      </w:pPr>
    </w:p>
    <w:p>
      <w:pPr>
        <w:pStyle w:val="20"/>
        <w:ind w:firstLine="464"/>
        <w:rPr>
          <w:rFonts w:hAnsi="宋体"/>
          <w:sz w:val="24"/>
          <w:szCs w:val="20"/>
        </w:rPr>
      </w:pPr>
    </w:p>
    <w:p>
      <w:pPr>
        <w:snapToGrid w:val="0"/>
        <w:spacing w:before="120" w:beforeLines="50" w:after="50"/>
        <w:rPr>
          <w:rFonts w:ascii="宋体" w:hAnsi="宋体"/>
          <w:sz w:val="24"/>
          <w:szCs w:val="20"/>
        </w:rPr>
      </w:pPr>
    </w:p>
    <w:p>
      <w:pPr>
        <w:pStyle w:val="11"/>
        <w:snapToGrid w:val="0"/>
        <w:spacing w:beforeLines="0" w:afterLines="0" w:line="440" w:lineRule="exact"/>
        <w:outlineLvl w:val="1"/>
        <w:rPr>
          <w:rFonts w:hAnsi="宋体"/>
          <w:b/>
        </w:rPr>
      </w:pPr>
    </w:p>
    <w:p>
      <w:pPr>
        <w:pStyle w:val="11"/>
        <w:snapToGrid w:val="0"/>
        <w:spacing w:beforeLines="0" w:afterLines="0" w:line="440" w:lineRule="exact"/>
        <w:outlineLvl w:val="1"/>
        <w:rPr>
          <w:rFonts w:hAnsi="宋体"/>
          <w:b/>
        </w:rPr>
      </w:pPr>
    </w:p>
    <w:p>
      <w:pPr>
        <w:pStyle w:val="11"/>
        <w:snapToGrid w:val="0"/>
        <w:spacing w:beforeLines="0" w:afterLines="0" w:line="440" w:lineRule="exact"/>
        <w:outlineLvl w:val="1"/>
        <w:rPr>
          <w:rFonts w:hAnsi="宋体"/>
          <w:b/>
        </w:rPr>
      </w:pPr>
    </w:p>
    <w:p>
      <w:pPr>
        <w:snapToGrid w:val="0"/>
        <w:spacing w:line="360" w:lineRule="auto"/>
        <w:rPr>
          <w:rFonts w:ascii="宋体" w:hAnsi="宋体"/>
          <w:sz w:val="24"/>
        </w:rPr>
      </w:pPr>
      <w:r>
        <w:rPr>
          <w:rFonts w:hint="eastAsia" w:ascii="宋体" w:hAnsi="宋体"/>
          <w:sz w:val="24"/>
        </w:rPr>
        <w:t xml:space="preserve">3. </w:t>
      </w:r>
      <w:r>
        <w:rPr>
          <w:rFonts w:ascii="宋体" w:hAnsi="宋体"/>
          <w:sz w:val="24"/>
        </w:rPr>
        <w:t>投标声明书格式：</w:t>
      </w:r>
    </w:p>
    <w:p>
      <w:pPr>
        <w:pStyle w:val="2"/>
        <w:spacing w:line="360" w:lineRule="auto"/>
        <w:jc w:val="center"/>
        <w:rPr>
          <w:rFonts w:ascii="宋体" w:hAnsi="宋体" w:eastAsia="宋体"/>
          <w:sz w:val="24"/>
          <w:szCs w:val="24"/>
        </w:rPr>
      </w:pPr>
      <w:r>
        <w:rPr>
          <w:rFonts w:ascii="宋体" w:hAnsi="宋体" w:eastAsia="宋体"/>
          <w:sz w:val="24"/>
          <w:szCs w:val="24"/>
        </w:rPr>
        <w:t>投标声明书</w:t>
      </w:r>
    </w:p>
    <w:p>
      <w:pPr>
        <w:spacing w:line="360" w:lineRule="auto"/>
        <w:rPr>
          <w:rFonts w:ascii="宋体" w:hAnsi="宋体"/>
          <w:sz w:val="24"/>
        </w:rPr>
      </w:pPr>
      <w:r>
        <w:rPr>
          <w:rFonts w:ascii="宋体" w:hAnsi="宋体"/>
          <w:sz w:val="24"/>
        </w:rPr>
        <w:t>致：</w:t>
      </w:r>
      <w:r>
        <w:rPr>
          <w:rFonts w:hint="eastAsia" w:ascii="宋体" w:hAnsi="宋体"/>
          <w:sz w:val="24"/>
          <w:u w:val="single"/>
        </w:rPr>
        <w:t xml:space="preserve"> 平湖市新仓镇人民政府</w:t>
      </w:r>
      <w:r>
        <w:rPr>
          <w:rFonts w:hint="eastAsia" w:ascii="宋体" w:hAnsi="宋体"/>
          <w:sz w:val="24"/>
        </w:rPr>
        <w:t>（招标采购单位名称）：</w:t>
      </w:r>
    </w:p>
    <w:p>
      <w:pPr>
        <w:snapToGrid w:val="0"/>
        <w:spacing w:line="360" w:lineRule="auto"/>
        <w:ind w:firstLine="480" w:firstLineChars="200"/>
        <w:rPr>
          <w:rFonts w:ascii="宋体" w:hAnsi="宋体"/>
          <w:sz w:val="24"/>
        </w:rPr>
      </w:pPr>
      <w:r>
        <w:rPr>
          <w:rFonts w:hint="eastAsia" w:ascii="宋体" w:hAnsi="宋体"/>
          <w:sz w:val="24"/>
          <w:u w:val="single"/>
        </w:rPr>
        <w:t xml:space="preserve">              </w:t>
      </w:r>
      <w:r>
        <w:rPr>
          <w:rFonts w:ascii="宋体" w:hAnsi="宋体"/>
          <w:sz w:val="24"/>
        </w:rPr>
        <w:t>（投标人名称）系中华人民共和国合法企业，经营地址</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p>
    <w:p>
      <w:pPr>
        <w:snapToGrid w:val="0"/>
        <w:spacing w:line="360" w:lineRule="auto"/>
        <w:ind w:firstLine="480" w:firstLineChars="200"/>
        <w:rPr>
          <w:rFonts w:ascii="宋体" w:hAnsi="宋体"/>
          <w:sz w:val="24"/>
        </w:rPr>
      </w:pPr>
      <w:r>
        <w:rPr>
          <w:rFonts w:ascii="宋体" w:hAnsi="宋体"/>
          <w:sz w:val="24"/>
        </w:rPr>
        <w:t>我</w:t>
      </w:r>
      <w:r>
        <w:rPr>
          <w:rFonts w:hint="eastAsia" w:ascii="宋体" w:hAnsi="宋体"/>
          <w:sz w:val="24"/>
          <w:u w:val="single"/>
        </w:rPr>
        <w:t xml:space="preserve">           </w:t>
      </w:r>
      <w:r>
        <w:rPr>
          <w:rFonts w:ascii="宋体" w:hAnsi="宋体"/>
          <w:sz w:val="24"/>
        </w:rPr>
        <w:t>（姓名）系</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 xml:space="preserve"> </w:t>
      </w:r>
      <w:r>
        <w:rPr>
          <w:rFonts w:ascii="宋体" w:hAnsi="宋体"/>
          <w:sz w:val="24"/>
        </w:rPr>
        <w:t>（投标人名称）的法定代表人，我方</w:t>
      </w:r>
      <w:r>
        <w:rPr>
          <w:rFonts w:hint="eastAsia" w:ascii="宋体" w:hAnsi="宋体"/>
          <w:sz w:val="24"/>
        </w:rPr>
        <w:t>自</w:t>
      </w:r>
      <w:r>
        <w:rPr>
          <w:rFonts w:ascii="宋体" w:hAnsi="宋体"/>
          <w:sz w:val="24"/>
        </w:rPr>
        <w:t>愿参加贵方组织的</w:t>
      </w:r>
      <w:r>
        <w:rPr>
          <w:rFonts w:hint="eastAsia" w:ascii="宋体" w:hAnsi="宋体"/>
          <w:sz w:val="24"/>
          <w:u w:val="single"/>
        </w:rPr>
        <w:t xml:space="preserve">              </w:t>
      </w:r>
      <w:r>
        <w:rPr>
          <w:rFonts w:ascii="宋体" w:hAnsi="宋体"/>
          <w:sz w:val="24"/>
        </w:rPr>
        <w:t>项目的投标，为便于贵方公正、择优地确定中标人及其投标产品和服务，我方就本次投标有关事项郑重声明如下：</w:t>
      </w:r>
    </w:p>
    <w:p>
      <w:pPr>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.我方向贵方提交的所有投标文件</w:t>
      </w:r>
      <w:r>
        <w:rPr>
          <w:rFonts w:hint="eastAsia" w:ascii="宋体" w:hAnsi="宋体"/>
          <w:sz w:val="24"/>
        </w:rPr>
        <w:t>及相关</w:t>
      </w:r>
      <w:r>
        <w:rPr>
          <w:rFonts w:ascii="宋体" w:hAnsi="宋体"/>
          <w:sz w:val="24"/>
        </w:rPr>
        <w:t>资料都是真实的</w:t>
      </w:r>
      <w:r>
        <w:rPr>
          <w:rFonts w:hint="eastAsia" w:ascii="宋体" w:hAnsi="宋体"/>
          <w:sz w:val="24"/>
        </w:rPr>
        <w:t>、合法的</w:t>
      </w:r>
      <w:r>
        <w:rPr>
          <w:rFonts w:ascii="宋体" w:hAnsi="宋体"/>
          <w:sz w:val="24"/>
        </w:rPr>
        <w:t>。</w:t>
      </w:r>
    </w:p>
    <w:p>
      <w:pPr>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.我方不是采购人的附属机构；在获知本项目采购信息后，与采购人聘请的为此项目提供咨询服务的公司及其附属机构没有任何联系。</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我公司已详细阅读全部“招标文件”，包括修改文件（如果有）以及全部招标资料和相关附件，并已了解我公司在招投标过程中的权利和义务。</w:t>
      </w:r>
    </w:p>
    <w:p>
      <w:pPr>
        <w:adjustRightInd w:val="0"/>
        <w:snapToGrid w:val="0"/>
        <w:spacing w:line="360" w:lineRule="auto"/>
        <w:ind w:firstLine="480" w:firstLineChars="200"/>
        <w:rPr>
          <w:rFonts w:ascii="宋体" w:hAnsi="宋体"/>
          <w:sz w:val="24"/>
        </w:rPr>
      </w:pPr>
      <w:r>
        <w:rPr>
          <w:rFonts w:hint="eastAsia" w:ascii="宋体" w:hAnsi="宋体"/>
          <w:sz w:val="24"/>
        </w:rPr>
        <w:t>4.投标文件自开标日起有效期为90天。</w:t>
      </w:r>
    </w:p>
    <w:p>
      <w:pPr>
        <w:adjustRightInd w:val="0"/>
        <w:snapToGrid w:val="0"/>
        <w:spacing w:line="360" w:lineRule="auto"/>
        <w:ind w:firstLine="480" w:firstLineChars="200"/>
        <w:rPr>
          <w:rFonts w:ascii="宋体" w:hAnsi="宋体"/>
          <w:sz w:val="24"/>
        </w:rPr>
      </w:pPr>
      <w:r>
        <w:rPr>
          <w:rFonts w:hint="eastAsia" w:ascii="宋体" w:hAnsi="宋体"/>
          <w:sz w:val="24"/>
        </w:rPr>
        <w:t>5.我公司声明参与本项目前3年内的经营活动中没有重大违法记录；</w:t>
      </w:r>
    </w:p>
    <w:p>
      <w:pPr>
        <w:adjustRightInd w:val="0"/>
        <w:snapToGrid w:val="0"/>
        <w:spacing w:line="360" w:lineRule="auto"/>
        <w:ind w:firstLine="480" w:firstLineChars="200"/>
        <w:rPr>
          <w:rFonts w:ascii="宋体" w:hAnsi="宋体"/>
          <w:sz w:val="24"/>
        </w:rPr>
      </w:pPr>
      <w:r>
        <w:rPr>
          <w:rFonts w:hint="eastAsia" w:ascii="宋体" w:hAnsi="宋体"/>
          <w:sz w:val="24"/>
        </w:rPr>
        <w:t>6.我方通过“信用中国”网站（www.creditchina.gov.cn）、中国政府采购网（www.ccgp.gov.cn）查询，未被列入失信被执行人、重大税收违法案件当事人名单、政府采购严重违法失信行为记录名单。</w:t>
      </w:r>
    </w:p>
    <w:p>
      <w:pPr>
        <w:adjustRightInd w:val="0"/>
        <w:snapToGrid w:val="0"/>
        <w:spacing w:line="360" w:lineRule="auto"/>
        <w:ind w:firstLine="480" w:firstLineChars="200"/>
        <w:rPr>
          <w:rFonts w:ascii="宋体" w:hAnsi="宋体"/>
          <w:sz w:val="24"/>
        </w:rPr>
      </w:pPr>
      <w:r>
        <w:rPr>
          <w:rFonts w:hint="eastAsia" w:ascii="宋体" w:hAnsi="宋体"/>
          <w:sz w:val="24"/>
        </w:rPr>
        <w:t>7</w:t>
      </w:r>
      <w:r>
        <w:rPr>
          <w:rFonts w:ascii="宋体" w:hAnsi="宋体"/>
          <w:sz w:val="24"/>
        </w:rPr>
        <w:t>.</w:t>
      </w:r>
      <w:r>
        <w:rPr>
          <w:rFonts w:hint="eastAsia" w:ascii="宋体" w:hAnsi="宋体"/>
          <w:sz w:val="24"/>
        </w:rPr>
        <w:t>我公司理解并接受招标文件的各项规定和要求，同意此次招标文件中的各项内容，并同意提供按照贵方可能要求的与投标有关的一切数据或资料等。</w:t>
      </w:r>
    </w:p>
    <w:p>
      <w:pPr>
        <w:snapToGrid w:val="0"/>
        <w:spacing w:line="360" w:lineRule="auto"/>
        <w:ind w:firstLine="480" w:firstLineChars="200"/>
        <w:rPr>
          <w:rFonts w:ascii="宋体" w:hAnsi="宋体"/>
          <w:sz w:val="24"/>
          <w:u w:val="single"/>
        </w:rPr>
      </w:pPr>
      <w:r>
        <w:rPr>
          <w:rFonts w:hint="eastAsia" w:ascii="宋体" w:hAnsi="宋体"/>
          <w:sz w:val="24"/>
        </w:rPr>
        <w:t>8</w:t>
      </w:r>
      <w:r>
        <w:rPr>
          <w:rFonts w:ascii="宋体" w:hAnsi="宋体"/>
          <w:sz w:val="24"/>
        </w:rPr>
        <w:t>.</w:t>
      </w:r>
      <w:r>
        <w:rPr>
          <w:rFonts w:hint="eastAsia" w:ascii="宋体" w:hAnsi="宋体"/>
          <w:sz w:val="24"/>
        </w:rPr>
        <w:t>本公司如中标，保证按照投标文件的承诺与贵方签订合同，保证履行合同条款。</w:t>
      </w:r>
    </w:p>
    <w:p>
      <w:pPr>
        <w:snapToGrid w:val="0"/>
        <w:spacing w:line="360" w:lineRule="auto"/>
        <w:ind w:firstLine="480" w:firstLineChars="200"/>
        <w:rPr>
          <w:rFonts w:ascii="宋体" w:hAnsi="宋体"/>
          <w:sz w:val="24"/>
        </w:rPr>
      </w:pPr>
      <w:r>
        <w:rPr>
          <w:rFonts w:hint="eastAsia" w:ascii="宋体" w:hAnsi="宋体"/>
          <w:sz w:val="24"/>
        </w:rPr>
        <w:t>9</w:t>
      </w:r>
      <w:r>
        <w:rPr>
          <w:rFonts w:ascii="宋体" w:hAnsi="宋体"/>
          <w:sz w:val="24"/>
        </w:rPr>
        <w:t>.以上事项如有虚假或隐瞒，我方愿意承担一切后果，并不再寻求任何旨在减轻或免除法律责任的辩解。</w:t>
      </w:r>
    </w:p>
    <w:p>
      <w:pPr>
        <w:pStyle w:val="30"/>
        <w:snapToGrid w:val="0"/>
        <w:spacing w:line="360" w:lineRule="auto"/>
        <w:ind w:firstLine="480" w:firstLineChars="200"/>
        <w:rPr>
          <w:rFonts w:ascii="宋体" w:hAnsi="宋体"/>
          <w:szCs w:val="24"/>
        </w:rPr>
      </w:pPr>
    </w:p>
    <w:p>
      <w:pPr>
        <w:tabs>
          <w:tab w:val="left" w:pos="1418"/>
        </w:tabs>
        <w:spacing w:line="360" w:lineRule="auto"/>
        <w:ind w:firstLine="240" w:firstLineChars="100"/>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ind w:firstLine="240" w:firstLineChars="100"/>
        <w:rPr>
          <w:rFonts w:ascii="宋体" w:hAnsi="宋体"/>
          <w:b/>
          <w:bCs/>
          <w:sz w:val="24"/>
        </w:rPr>
      </w:pPr>
      <w:r>
        <w:rPr>
          <w:rFonts w:hint="eastAsia" w:ascii="宋体" w:hAnsi="宋体"/>
          <w:bCs/>
          <w:sz w:val="24"/>
        </w:rPr>
        <w:t>投 标 人（盖章）：                              年  月  日</w:t>
      </w: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 xml:space="preserve">4. </w:t>
      </w:r>
      <w:r>
        <w:rPr>
          <w:rFonts w:ascii="宋体" w:hAnsi="宋体"/>
          <w:sz w:val="24"/>
        </w:rPr>
        <w:t>法定代表人授权委托书格式：</w:t>
      </w:r>
    </w:p>
    <w:p>
      <w:pPr>
        <w:pStyle w:val="2"/>
        <w:spacing w:line="360" w:lineRule="auto"/>
        <w:jc w:val="center"/>
        <w:rPr>
          <w:rFonts w:ascii="宋体" w:hAnsi="宋体" w:eastAsia="宋体"/>
          <w:sz w:val="24"/>
          <w:szCs w:val="24"/>
        </w:rPr>
      </w:pPr>
      <w:r>
        <w:rPr>
          <w:rFonts w:ascii="宋体" w:hAnsi="宋体" w:eastAsia="宋体"/>
          <w:sz w:val="24"/>
          <w:szCs w:val="24"/>
        </w:rPr>
        <w:t>法定代表人授权委托书</w:t>
      </w:r>
    </w:p>
    <w:p>
      <w:pPr>
        <w:snapToGrid w:val="0"/>
        <w:spacing w:before="240" w:beforeLines="100" w:line="360" w:lineRule="auto"/>
        <w:rPr>
          <w:rFonts w:ascii="宋体" w:hAnsi="宋体"/>
          <w:b/>
          <w:bCs/>
          <w:sz w:val="24"/>
        </w:rPr>
      </w:pPr>
      <w:r>
        <w:rPr>
          <w:rFonts w:ascii="宋体" w:hAnsi="宋体"/>
          <w:bCs/>
          <w:sz w:val="24"/>
        </w:rPr>
        <w:t>致：</w:t>
      </w:r>
      <w:r>
        <w:rPr>
          <w:rFonts w:hint="eastAsia" w:ascii="宋体" w:hAnsi="宋体"/>
          <w:sz w:val="24"/>
          <w:u w:val="single"/>
        </w:rPr>
        <w:t>平湖市新仓镇人民政府</w:t>
      </w:r>
      <w:r>
        <w:rPr>
          <w:rFonts w:ascii="宋体" w:hAnsi="宋体"/>
          <w:sz w:val="24"/>
        </w:rPr>
        <w:t>（招标采购单位名称）：</w:t>
      </w:r>
    </w:p>
    <w:p>
      <w:pPr>
        <w:snapToGrid w:val="0"/>
        <w:spacing w:line="360" w:lineRule="auto"/>
        <w:ind w:firstLine="720" w:firstLineChars="300"/>
        <w:rPr>
          <w:rFonts w:ascii="宋体" w:hAnsi="宋体"/>
          <w:sz w:val="24"/>
        </w:rPr>
      </w:pPr>
      <w:r>
        <w:rPr>
          <w:rFonts w:ascii="宋体" w:hAnsi="宋体"/>
          <w:sz w:val="24"/>
        </w:rPr>
        <w:t>我</w:t>
      </w:r>
      <w:r>
        <w:rPr>
          <w:rFonts w:hint="eastAsia" w:ascii="宋体" w:hAnsi="宋体"/>
          <w:sz w:val="24"/>
        </w:rPr>
        <w:t xml:space="preserve"> </w:t>
      </w:r>
      <w:r>
        <w:rPr>
          <w:rFonts w:hint="eastAsia" w:ascii="宋体" w:hAnsi="宋体"/>
          <w:sz w:val="24"/>
          <w:u w:val="single"/>
        </w:rPr>
        <w:t xml:space="preserve">         </w:t>
      </w:r>
      <w:r>
        <w:rPr>
          <w:rFonts w:ascii="宋体" w:hAnsi="宋体"/>
          <w:sz w:val="24"/>
        </w:rPr>
        <w:t>（姓名）系</w:t>
      </w:r>
      <w:r>
        <w:rPr>
          <w:rFonts w:hint="eastAsia" w:ascii="宋体" w:hAnsi="宋体"/>
          <w:sz w:val="24"/>
          <w:u w:val="single"/>
        </w:rPr>
        <w:t xml:space="preserve">                    </w:t>
      </w:r>
      <w:r>
        <w:rPr>
          <w:rFonts w:ascii="宋体" w:hAnsi="宋体"/>
          <w:sz w:val="24"/>
        </w:rPr>
        <w:t>（投标人名称）的法定代表人，现授权委托本单位在职职工</w:t>
      </w:r>
      <w:r>
        <w:rPr>
          <w:rFonts w:ascii="宋体" w:hAnsi="宋体"/>
          <w:sz w:val="24"/>
          <w:u w:val="single"/>
        </w:rPr>
        <w:t xml:space="preserve">         </w:t>
      </w:r>
      <w:r>
        <w:rPr>
          <w:rFonts w:ascii="宋体" w:hAnsi="宋体"/>
          <w:sz w:val="24"/>
        </w:rPr>
        <w:t>（姓名）以我方的名义参加</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rPr>
        <w:t>政府采购项目的投标活动，并代表我方全权办理针对上述项目的投标、开标、评标、签约等具体事务和签署相关文件。</w:t>
      </w:r>
    </w:p>
    <w:p>
      <w:pPr>
        <w:snapToGrid w:val="0"/>
        <w:spacing w:line="360" w:lineRule="auto"/>
        <w:rPr>
          <w:rFonts w:ascii="宋体" w:hAnsi="宋体"/>
          <w:sz w:val="24"/>
        </w:rPr>
      </w:pPr>
      <w:r>
        <w:rPr>
          <w:rFonts w:ascii="宋体" w:hAnsi="宋体"/>
          <w:sz w:val="24"/>
        </w:rPr>
        <w:t xml:space="preserve">    我方对被授权人的签名事项负全部责任。</w:t>
      </w:r>
    </w:p>
    <w:p>
      <w:pPr>
        <w:snapToGrid w:val="0"/>
        <w:spacing w:line="360" w:lineRule="auto"/>
        <w:ind w:firstLine="480"/>
        <w:rPr>
          <w:rFonts w:ascii="宋体" w:hAnsi="宋体"/>
          <w:sz w:val="24"/>
        </w:rPr>
      </w:pPr>
      <w:r>
        <w:rPr>
          <w:rFonts w:ascii="宋体" w:hAnsi="宋体"/>
          <w:sz w:val="24"/>
        </w:rPr>
        <w:t>在撤销授权的书面通知以前，本授权书一直有效。被授权人在授权书有效期内签署的所有文件不因授权的撤销而失效。</w:t>
      </w:r>
    </w:p>
    <w:p>
      <w:pPr>
        <w:snapToGrid w:val="0"/>
        <w:spacing w:line="360" w:lineRule="auto"/>
        <w:ind w:firstLine="480"/>
        <w:rPr>
          <w:rFonts w:ascii="宋体" w:hAnsi="宋体"/>
          <w:sz w:val="24"/>
        </w:rPr>
      </w:pPr>
      <w:r>
        <w:rPr>
          <w:rFonts w:ascii="宋体" w:hAnsi="宋体"/>
          <w:sz w:val="24"/>
        </w:rPr>
        <w:t>被授权人无转委托权，特此委托。</w:t>
      </w:r>
    </w:p>
    <w:p>
      <w:pPr>
        <w:snapToGrid w:val="0"/>
        <w:spacing w:line="360" w:lineRule="auto"/>
        <w:rPr>
          <w:rFonts w:ascii="宋体" w:hAnsi="宋体"/>
          <w:sz w:val="24"/>
        </w:rPr>
      </w:pPr>
    </w:p>
    <w:p>
      <w:pPr>
        <w:snapToGrid w:val="0"/>
        <w:spacing w:line="360" w:lineRule="auto"/>
        <w:rPr>
          <w:rFonts w:ascii="宋体" w:hAnsi="宋体"/>
          <w:sz w:val="24"/>
          <w:u w:val="single"/>
        </w:rPr>
      </w:pPr>
      <w:r>
        <w:rPr>
          <w:rFonts w:ascii="宋体" w:hAnsi="宋体"/>
          <w:sz w:val="24"/>
        </w:rPr>
        <w:t>被授权人签名：</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法定代表人签名：</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napToGrid w:val="0"/>
        <w:spacing w:line="360" w:lineRule="auto"/>
        <w:ind w:firstLine="960" w:firstLineChars="40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职务：</w:t>
      </w:r>
      <w:r>
        <w:rPr>
          <w:rFonts w:ascii="宋体" w:hAnsi="宋体"/>
          <w:sz w:val="24"/>
          <w:u w:val="single"/>
        </w:rPr>
        <w:t xml:space="preserve">           </w:t>
      </w:r>
    </w:p>
    <w:p>
      <w:pPr>
        <w:spacing w:line="360" w:lineRule="auto"/>
        <w:rPr>
          <w:rFonts w:ascii="宋体" w:hAnsi="宋体"/>
          <w:sz w:val="24"/>
        </w:rPr>
      </w:pPr>
      <w:r>
        <w:rPr>
          <w:rFonts w:ascii="宋体" w:hAnsi="宋体"/>
          <w:sz w:val="24"/>
        </w:rPr>
        <w:t>被授权人身份证号码：</w:t>
      </w:r>
      <w:r>
        <w:rPr>
          <w:rFonts w:hint="eastAsia" w:ascii="宋体" w:hAnsi="宋体"/>
          <w:sz w:val="24"/>
          <w:u w:val="single"/>
        </w:rPr>
        <w:t xml:space="preserve">                                       </w:t>
      </w:r>
      <w:r>
        <w:rPr>
          <w:rFonts w:hint="eastAsia" w:ascii="宋体" w:hAnsi="宋体"/>
          <w:sz w:val="24"/>
        </w:rPr>
        <w:t xml:space="preserve">      </w:t>
      </w:r>
      <w:r>
        <w:rPr>
          <w:rFonts w:ascii="宋体" w:hAnsi="宋体"/>
          <w:sz w:val="24"/>
        </w:rPr>
        <w:t xml:space="preserve"> </w:t>
      </w:r>
    </w:p>
    <w:p>
      <w:pPr>
        <w:spacing w:line="360" w:lineRule="auto"/>
        <w:rPr>
          <w:rFonts w:ascii="宋体" w:hAnsi="宋体"/>
          <w:sz w:val="24"/>
        </w:rPr>
      </w:pPr>
    </w:p>
    <w:p>
      <w:pPr>
        <w:spacing w:line="360" w:lineRule="auto"/>
        <w:jc w:val="center"/>
        <w:rPr>
          <w:rFonts w:ascii="宋体" w:hAnsi="宋体"/>
          <w:sz w:val="24"/>
        </w:rPr>
      </w:pPr>
      <w:r>
        <w:rPr>
          <w:rFonts w:ascii="宋体" w:hAnsi="宋体"/>
          <w:sz w:val="24"/>
        </w:rPr>
        <w:t>投标人公章：</w:t>
      </w:r>
      <w:r>
        <w:rPr>
          <w:rFonts w:ascii="宋体" w:hAnsi="宋体"/>
          <w:sz w:val="24"/>
          <w:u w:val="single"/>
        </w:rPr>
        <w:t xml:space="preserve">               </w:t>
      </w:r>
      <w:r>
        <w:rPr>
          <w:rFonts w:ascii="宋体" w:hAnsi="宋体"/>
          <w:sz w:val="24"/>
        </w:rPr>
        <w:t xml:space="preserve">                      年    月    日</w:t>
      </w:r>
    </w:p>
    <w:p>
      <w:pPr>
        <w:spacing w:line="360" w:lineRule="auto"/>
        <w:ind w:firstLine="3600" w:firstLineChars="1500"/>
        <w:rPr>
          <w:rFonts w:ascii="宋体" w:hAnsi="宋体"/>
          <w:sz w:val="24"/>
        </w:rPr>
      </w:pPr>
    </w:p>
    <w:p>
      <w:pPr>
        <w:spacing w:line="360" w:lineRule="auto"/>
        <w:rPr>
          <w:rFonts w:ascii="宋体" w:hAnsi="宋体"/>
          <w:sz w:val="24"/>
        </w:rPr>
      </w:pPr>
      <w:r>
        <w:rPr>
          <w:rFonts w:hint="eastAsia" w:ascii="宋体" w:hAnsi="宋体"/>
          <w:sz w:val="24"/>
        </w:rPr>
        <w:t xml:space="preserve">法定代表人身份证复印件粘贴处：             </w:t>
      </w:r>
      <w:r>
        <w:rPr>
          <w:rFonts w:ascii="宋体" w:hAnsi="宋体"/>
          <w:sz w:val="24"/>
        </w:rPr>
        <w:t>被授权人</w:t>
      </w:r>
      <w:r>
        <w:rPr>
          <w:rFonts w:hint="eastAsia" w:ascii="宋体" w:hAnsi="宋体"/>
          <w:sz w:val="24"/>
        </w:rPr>
        <w:t>身份证复印件粘贴处：</w:t>
      </w:r>
    </w:p>
    <w:p>
      <w:pPr>
        <w:snapToGrid w:val="0"/>
        <w:spacing w:before="120" w:beforeLines="50" w:after="50" w:line="360" w:lineRule="auto"/>
        <w:rPr>
          <w:rFonts w:ascii="宋体" w:hAnsi="宋体"/>
          <w:sz w:val="24"/>
        </w:rPr>
      </w:pPr>
    </w:p>
    <w:p>
      <w:pPr>
        <w:snapToGrid w:val="0"/>
        <w:spacing w:before="120" w:beforeLines="50" w:after="50" w:line="360" w:lineRule="auto"/>
        <w:rPr>
          <w:rFonts w:ascii="宋体" w:hAnsi="宋体"/>
          <w:sz w:val="24"/>
        </w:rPr>
      </w:pPr>
    </w:p>
    <w:p>
      <w:pPr>
        <w:pStyle w:val="2"/>
      </w:pPr>
    </w:p>
    <w:p>
      <w:pPr>
        <w:snapToGrid w:val="0"/>
        <w:spacing w:before="120" w:beforeLines="50" w:after="50" w:line="360" w:lineRule="auto"/>
        <w:rPr>
          <w:rFonts w:ascii="宋体" w:hAnsi="宋体"/>
          <w:sz w:val="24"/>
        </w:rPr>
      </w:pPr>
    </w:p>
    <w:p>
      <w:pPr>
        <w:spacing w:line="588" w:lineRule="exact"/>
        <w:jc w:val="center"/>
        <w:rPr>
          <w:rFonts w:ascii="宋体" w:hAnsi="宋体" w:cs="宋体"/>
          <w:b/>
          <w:spacing w:val="6"/>
          <w:sz w:val="24"/>
        </w:rPr>
      </w:pPr>
    </w:p>
    <w:p>
      <w:pPr>
        <w:pStyle w:val="2"/>
        <w:spacing w:line="360" w:lineRule="auto"/>
        <w:jc w:val="left"/>
        <w:rPr>
          <w:rFonts w:ascii="宋体" w:hAnsi="宋体" w:eastAsia="宋体"/>
          <w:b w:val="0"/>
          <w:bCs w:val="0"/>
          <w:sz w:val="24"/>
          <w:szCs w:val="24"/>
        </w:rPr>
      </w:pPr>
      <w:r>
        <w:rPr>
          <w:rFonts w:hint="eastAsia" w:ascii="宋体" w:hAnsi="宋体"/>
          <w:b w:val="0"/>
          <w:bCs w:val="0"/>
          <w:sz w:val="24"/>
        </w:rPr>
        <w:t xml:space="preserve">5. </w:t>
      </w:r>
      <w:r>
        <w:rPr>
          <w:rFonts w:hint="eastAsia" w:ascii="宋体" w:hAnsi="宋体" w:eastAsia="宋体"/>
          <w:b w:val="0"/>
          <w:bCs w:val="0"/>
          <w:sz w:val="24"/>
          <w:szCs w:val="24"/>
        </w:rPr>
        <w:t>符合参加政府采购活动应当具备的一般条件的承诺函格式：</w:t>
      </w:r>
    </w:p>
    <w:p>
      <w:pPr>
        <w:pStyle w:val="2"/>
        <w:spacing w:line="360" w:lineRule="auto"/>
        <w:jc w:val="center"/>
        <w:rPr>
          <w:rFonts w:ascii="宋体" w:hAnsi="宋体" w:eastAsia="宋体"/>
          <w:sz w:val="24"/>
          <w:szCs w:val="24"/>
        </w:rPr>
      </w:pPr>
      <w:r>
        <w:rPr>
          <w:rFonts w:hint="eastAsia" w:ascii="宋体" w:hAnsi="宋体" w:eastAsia="宋体"/>
          <w:sz w:val="24"/>
          <w:szCs w:val="24"/>
        </w:rPr>
        <w:t>符合参加政府采购活动应当具备的一般条件的承诺函</w:t>
      </w:r>
    </w:p>
    <w:p>
      <w:pPr>
        <w:spacing w:line="360" w:lineRule="auto"/>
        <w:rPr>
          <w:rFonts w:ascii="宋体" w:hAnsi="宋体"/>
          <w:sz w:val="24"/>
        </w:rPr>
      </w:pPr>
      <w:r>
        <w:rPr>
          <w:rFonts w:ascii="宋体" w:hAnsi="宋体"/>
          <w:sz w:val="24"/>
        </w:rPr>
        <w:t>致：</w:t>
      </w:r>
      <w:r>
        <w:rPr>
          <w:rFonts w:hint="eastAsia" w:ascii="宋体" w:hAnsi="宋体"/>
          <w:sz w:val="24"/>
          <w:u w:val="single"/>
        </w:rPr>
        <w:t>平湖市新仓镇人民政府</w:t>
      </w:r>
      <w:r>
        <w:rPr>
          <w:rFonts w:hint="eastAsia" w:ascii="宋体" w:hAnsi="宋体"/>
          <w:sz w:val="24"/>
        </w:rPr>
        <w:t>（采购单位名称）：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我方参与</w:t>
      </w:r>
      <w:r>
        <w:rPr>
          <w:rFonts w:hint="eastAsia" w:ascii="宋体" w:hAnsi="宋体" w:cs="宋体"/>
          <w:kern w:val="0"/>
          <w:sz w:val="24"/>
          <w:u w:val="single"/>
        </w:rPr>
        <w:t xml:space="preserve">        </w:t>
      </w:r>
      <w:r>
        <w:rPr>
          <w:rFonts w:hint="eastAsia" w:ascii="宋体" w:hAnsi="宋体" w:cs="宋体"/>
          <w:kern w:val="0"/>
          <w:sz w:val="24"/>
        </w:rPr>
        <w:t>（项目名称）【采购编号：</w:t>
      </w:r>
      <w:r>
        <w:rPr>
          <w:rFonts w:hint="eastAsia" w:ascii="宋体" w:hAnsi="宋体" w:cs="宋体"/>
          <w:kern w:val="0"/>
          <w:sz w:val="24"/>
          <w:u w:val="single"/>
        </w:rPr>
        <w:t xml:space="preserve">         </w:t>
      </w:r>
      <w:r>
        <w:rPr>
          <w:rFonts w:hint="eastAsia" w:ascii="宋体" w:hAnsi="宋体" w:cs="宋体"/>
          <w:kern w:val="0"/>
          <w:sz w:val="24"/>
        </w:rPr>
        <w:t>】政府采购活动，郑重承诺：</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（一）具备《中华人民共和国政府采购法》第二十二条第一款规定的条件：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1.具有独立承担民事责任的能力；</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2.具有良好的商业信誉和健全的财务会计制度；</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3.具有履行合同所必需的设备和专业技术能力；</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4.有依法缴纳税收和社会保障资金的良好记录；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5.参加政府采购活动前三年内，在经营活动中没有重大违法记录；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6.具有法律、行政法规规定的其他条件。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（二）未被信用中国（www.creditchina.gov.cn)、中国政府采购网（www.ccgp.gov.cn）列入失信被执行人、重大税收违法案件当事人名单、政府采购严重违法失信行为记录名单。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（三）不存在以下情况：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1.单位负责人为同一人或者存在直接控股、管理关系的不同供应商参加同一合同项下的政府采购活动的；</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kern w:val="0"/>
          <w:sz w:val="24"/>
        </w:rPr>
      </w:pPr>
      <w:r>
        <w:rPr>
          <w:rFonts w:hint="eastAsia" w:ascii="宋体" w:hAnsi="宋体" w:cs="宋体"/>
          <w:kern w:val="0"/>
          <w:sz w:val="24"/>
        </w:rPr>
        <w:t>2.为采购项目提供整体设计、规范编制或者项目管理、监理、检测等服务后再参加该采购项目的其他采购活动的。</w:t>
      </w:r>
    </w:p>
    <w:p>
      <w:pPr>
        <w:tabs>
          <w:tab w:val="left" w:pos="1418"/>
        </w:tabs>
        <w:spacing w:line="360" w:lineRule="auto"/>
        <w:ind w:firstLine="240" w:firstLineChars="100"/>
        <w:rPr>
          <w:rFonts w:ascii="宋体" w:hAnsi="宋体"/>
          <w:sz w:val="24"/>
        </w:rPr>
      </w:pPr>
    </w:p>
    <w:p>
      <w:pPr>
        <w:tabs>
          <w:tab w:val="left" w:pos="1418"/>
        </w:tabs>
        <w:spacing w:line="360" w:lineRule="auto"/>
        <w:ind w:firstLine="240" w:firstLineChars="100"/>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ind w:firstLine="240" w:firstLineChars="100"/>
        <w:rPr>
          <w:rFonts w:ascii="宋体" w:hAnsi="宋体"/>
          <w:bCs/>
          <w:sz w:val="24"/>
        </w:rPr>
      </w:pPr>
      <w:r>
        <w:rPr>
          <w:rFonts w:hint="eastAsia" w:ascii="宋体" w:hAnsi="宋体"/>
          <w:bCs/>
          <w:sz w:val="24"/>
        </w:rPr>
        <w:t xml:space="preserve">采购响应方（盖章）：                              </w:t>
      </w:r>
    </w:p>
    <w:p>
      <w:pPr>
        <w:tabs>
          <w:tab w:val="left" w:pos="1418"/>
        </w:tabs>
        <w:spacing w:line="360" w:lineRule="auto"/>
        <w:ind w:firstLine="240" w:firstLineChars="100"/>
        <w:jc w:val="right"/>
        <w:rPr>
          <w:rFonts w:ascii="宋体" w:hAnsi="宋体"/>
          <w:b/>
          <w:bCs/>
          <w:sz w:val="24"/>
        </w:rPr>
      </w:pPr>
      <w:r>
        <w:rPr>
          <w:rFonts w:hint="eastAsia" w:ascii="宋体" w:hAnsi="宋体"/>
          <w:bCs/>
          <w:sz w:val="24"/>
        </w:rPr>
        <w:t>年  月  日</w:t>
      </w:r>
    </w:p>
    <w:p>
      <w:pPr>
        <w:snapToGrid w:val="0"/>
        <w:spacing w:line="360" w:lineRule="auto"/>
        <w:rPr>
          <w:rFonts w:ascii="宋体" w:hAnsi="宋体"/>
          <w:sz w:val="24"/>
        </w:rPr>
      </w:pPr>
    </w:p>
    <w:p>
      <w:pPr>
        <w:pStyle w:val="20"/>
        <w:ind w:firstLine="464"/>
        <w:rPr>
          <w:rFonts w:hAnsi="宋体"/>
          <w:sz w:val="24"/>
        </w:rPr>
      </w:pPr>
    </w:p>
    <w:p>
      <w:pPr>
        <w:pStyle w:val="20"/>
        <w:ind w:firstLine="464"/>
        <w:rPr>
          <w:rFonts w:hAnsi="宋体"/>
          <w:sz w:val="24"/>
        </w:rPr>
      </w:pPr>
    </w:p>
    <w:p>
      <w:pPr>
        <w:pStyle w:val="20"/>
        <w:ind w:firstLine="464"/>
        <w:rPr>
          <w:rFonts w:hAnsi="宋体"/>
          <w:sz w:val="24"/>
        </w:rPr>
      </w:pPr>
    </w:p>
    <w:p>
      <w:pPr>
        <w:snapToGrid w:val="0"/>
        <w:spacing w:line="360" w:lineRule="auto"/>
        <w:rPr>
          <w:rFonts w:ascii="宋体" w:hAnsi="宋体"/>
          <w:sz w:val="24"/>
        </w:rPr>
      </w:pPr>
      <w:r>
        <w:rPr>
          <w:rFonts w:hint="eastAsia" w:ascii="宋体" w:hAnsi="宋体"/>
          <w:sz w:val="24"/>
        </w:rPr>
        <w:t>6. 中小企业声明函等承诺函</w:t>
      </w:r>
    </w:p>
    <w:p>
      <w:pPr>
        <w:snapToGrid w:val="0"/>
        <w:spacing w:line="360" w:lineRule="auto"/>
        <w:jc w:val="center"/>
        <w:rPr>
          <w:rFonts w:ascii="宋体" w:hAnsi="宋体"/>
          <w:sz w:val="24"/>
        </w:rPr>
      </w:pPr>
      <w:r>
        <w:rPr>
          <w:rFonts w:hint="eastAsia" w:ascii="Arial" w:hAnsi="Arial" w:eastAsia="黑体"/>
          <w:b/>
          <w:bCs/>
          <w:sz w:val="32"/>
          <w:szCs w:val="32"/>
        </w:rPr>
        <w:t>中小企业声明函（货物）</w:t>
      </w:r>
    </w:p>
    <w:p>
      <w:pPr>
        <w:snapToGrid w:val="0"/>
        <w:spacing w:line="360" w:lineRule="auto"/>
        <w:ind w:firstLine="720" w:firstLineChars="300"/>
        <w:jc w:val="left"/>
        <w:rPr>
          <w:rFonts w:ascii="宋体" w:hAnsi="宋体"/>
          <w:sz w:val="24"/>
        </w:rPr>
      </w:pPr>
      <w:r>
        <w:rPr>
          <w:rFonts w:hint="eastAsia" w:ascii="宋体" w:hAnsi="宋体"/>
          <w:sz w:val="24"/>
        </w:rPr>
        <w:t>本公司（联合体）郑重声明，根据《政府采购促进中小企业发展管理办法》（财库﹝2020﹞46 号）的规定，本公司参加</w:t>
      </w:r>
      <w:r>
        <w:rPr>
          <w:rFonts w:hint="eastAsia" w:ascii="宋体" w:hAnsi="宋体"/>
          <w:sz w:val="24"/>
          <w:u w:val="single"/>
        </w:rPr>
        <w:t>（单位名称）</w:t>
      </w:r>
      <w:r>
        <w:rPr>
          <w:rFonts w:hint="eastAsia" w:ascii="宋体" w:hAnsi="宋体"/>
          <w:sz w:val="24"/>
        </w:rPr>
        <w:t>的</w:t>
      </w:r>
      <w:r>
        <w:rPr>
          <w:rFonts w:hint="eastAsia" w:ascii="宋体" w:hAnsi="宋体"/>
          <w:sz w:val="24"/>
          <w:u w:val="single"/>
        </w:rPr>
        <w:t>（项目名称）</w:t>
      </w:r>
      <w:r>
        <w:rPr>
          <w:rFonts w:hint="eastAsia" w:ascii="宋体" w:hAnsi="宋体"/>
          <w:sz w:val="24"/>
        </w:rPr>
        <w:t>采购活动，提供的货物</w:t>
      </w:r>
      <w:r>
        <w:rPr>
          <w:rFonts w:hint="eastAsia" w:ascii="宋体" w:hAnsi="宋体"/>
          <w:b/>
          <w:bCs/>
          <w:sz w:val="24"/>
        </w:rPr>
        <w:t>全部</w:t>
      </w:r>
      <w:r>
        <w:rPr>
          <w:rFonts w:hint="eastAsia" w:ascii="宋体" w:hAnsi="宋体"/>
          <w:sz w:val="24"/>
        </w:rPr>
        <w:t xml:space="preserve">由符合政策要求的中小企业制造。相关企业的具体情况如下： </w:t>
      </w:r>
    </w:p>
    <w:p>
      <w:pPr>
        <w:snapToGrid w:val="0"/>
        <w:spacing w:line="360" w:lineRule="auto"/>
        <w:ind w:firstLine="720" w:firstLineChars="300"/>
        <w:jc w:val="left"/>
        <w:rPr>
          <w:rFonts w:ascii="宋体" w:hAnsi="宋体"/>
          <w:sz w:val="24"/>
        </w:rPr>
      </w:pPr>
      <w:r>
        <w:rPr>
          <w:rFonts w:hint="eastAsia" w:ascii="宋体" w:hAnsi="宋体"/>
          <w:sz w:val="24"/>
        </w:rPr>
        <w:t xml:space="preserve">1. </w:t>
      </w:r>
      <w:r>
        <w:rPr>
          <w:rFonts w:hint="eastAsia" w:ascii="宋体" w:hAnsi="宋体"/>
          <w:sz w:val="24"/>
          <w:u w:val="single"/>
        </w:rPr>
        <w:t>（标的名称）</w:t>
      </w:r>
      <w:r>
        <w:rPr>
          <w:rFonts w:hint="eastAsia" w:ascii="宋体" w:hAnsi="宋体"/>
          <w:sz w:val="24"/>
        </w:rPr>
        <w:t xml:space="preserve"> ，属于</w:t>
      </w:r>
      <w:r>
        <w:rPr>
          <w:rFonts w:hint="eastAsia" w:ascii="宋体" w:hAnsi="宋体"/>
          <w:sz w:val="24"/>
          <w:u w:val="single"/>
        </w:rPr>
        <w:t>（采购文件中明确的所属行业）</w:t>
      </w:r>
      <w:r>
        <w:rPr>
          <w:rFonts w:hint="eastAsia" w:ascii="宋体" w:hAnsi="宋体"/>
          <w:sz w:val="24"/>
        </w:rPr>
        <w:t xml:space="preserve"> 行业；制造商为</w:t>
      </w:r>
      <w:r>
        <w:rPr>
          <w:rFonts w:hint="eastAsia" w:ascii="宋体" w:hAnsi="宋体"/>
          <w:sz w:val="24"/>
          <w:u w:val="single"/>
        </w:rPr>
        <w:t>（企业名称）</w:t>
      </w:r>
      <w:r>
        <w:rPr>
          <w:rFonts w:hint="eastAsia" w:ascii="宋体" w:hAnsi="宋体"/>
          <w:sz w:val="24"/>
        </w:rPr>
        <w:t xml:space="preserve">，从业人员人，营业收入为万元，资产总额为万元，属于（中型企业、小型企业、微型企业）； </w:t>
      </w:r>
    </w:p>
    <w:p>
      <w:pPr>
        <w:snapToGrid w:val="0"/>
        <w:spacing w:line="360" w:lineRule="auto"/>
        <w:ind w:firstLine="720" w:firstLineChars="300"/>
        <w:rPr>
          <w:rFonts w:ascii="宋体" w:hAnsi="宋体"/>
          <w:sz w:val="24"/>
        </w:rPr>
      </w:pPr>
      <w:r>
        <w:rPr>
          <w:rFonts w:hint="eastAsia" w:ascii="宋体" w:hAnsi="宋体"/>
          <w:sz w:val="24"/>
        </w:rPr>
        <w:t xml:space="preserve">2. </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，从业人员人，营业收入为万元，资产总额为万元，属于</w:t>
      </w:r>
      <w:r>
        <w:rPr>
          <w:rFonts w:hint="eastAsia" w:ascii="宋体" w:hAnsi="宋体"/>
          <w:sz w:val="24"/>
          <w:u w:val="single"/>
        </w:rPr>
        <w:t>（中型企业、小型企业、微型企业）</w:t>
      </w:r>
      <w:r>
        <w:rPr>
          <w:rFonts w:hint="eastAsia" w:ascii="宋体" w:hAnsi="宋体"/>
          <w:sz w:val="24"/>
        </w:rPr>
        <w:t xml:space="preserve">； </w:t>
      </w:r>
    </w:p>
    <w:p>
      <w:pPr>
        <w:snapToGrid w:val="0"/>
        <w:spacing w:line="360" w:lineRule="auto"/>
        <w:rPr>
          <w:rFonts w:ascii="宋体" w:hAnsi="宋体"/>
          <w:sz w:val="24"/>
        </w:rPr>
      </w:pPr>
      <w:r>
        <w:rPr>
          <w:rFonts w:hint="eastAsia" w:ascii="宋体" w:hAnsi="宋体"/>
          <w:sz w:val="24"/>
        </w:rPr>
        <w:t>……</w:t>
      </w:r>
    </w:p>
    <w:p>
      <w:pPr>
        <w:snapToGrid w:val="0"/>
        <w:spacing w:line="360" w:lineRule="auto"/>
        <w:ind w:firstLine="720" w:firstLineChars="300"/>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napToGrid w:val="0"/>
        <w:spacing w:line="360" w:lineRule="auto"/>
        <w:ind w:firstLine="720" w:firstLineChars="300"/>
        <w:rPr>
          <w:rFonts w:ascii="宋体" w:hAnsi="宋体"/>
          <w:sz w:val="24"/>
        </w:rPr>
      </w:pPr>
      <w:r>
        <w:rPr>
          <w:rFonts w:hint="eastAsia" w:ascii="宋体" w:hAnsi="宋体"/>
          <w:sz w:val="24"/>
        </w:rPr>
        <w:t xml:space="preserve">本企业对上述声明内容的真实性负责。如有虚假，将依法承担相应责任。 </w:t>
      </w:r>
    </w:p>
    <w:p>
      <w:pPr>
        <w:pStyle w:val="3"/>
        <w:ind w:firstLine="0" w:firstLineChars="0"/>
      </w:pPr>
    </w:p>
    <w:p>
      <w:pPr>
        <w:snapToGrid w:val="0"/>
        <w:spacing w:line="360" w:lineRule="auto"/>
        <w:ind w:firstLine="4560" w:firstLineChars="1900"/>
        <w:rPr>
          <w:rFonts w:ascii="宋体" w:hAnsi="宋体"/>
          <w:sz w:val="24"/>
        </w:rPr>
      </w:pPr>
      <w:r>
        <w:rPr>
          <w:rFonts w:hint="eastAsia" w:ascii="宋体" w:hAnsi="宋体"/>
          <w:sz w:val="24"/>
        </w:rPr>
        <w:t xml:space="preserve">企业名称（盖章）： </w:t>
      </w:r>
    </w:p>
    <w:p>
      <w:pPr>
        <w:snapToGrid w:val="0"/>
        <w:spacing w:line="360" w:lineRule="auto"/>
        <w:ind w:firstLine="4560" w:firstLineChars="1900"/>
        <w:rPr>
          <w:rFonts w:ascii="宋体" w:hAnsi="宋体"/>
          <w:sz w:val="24"/>
        </w:rPr>
      </w:pPr>
      <w:r>
        <w:rPr>
          <w:rFonts w:hint="eastAsia" w:ascii="宋体" w:hAnsi="宋体"/>
          <w:sz w:val="24"/>
        </w:rPr>
        <w:t xml:space="preserve">日 期： </w:t>
      </w:r>
    </w:p>
    <w:p>
      <w:pPr>
        <w:snapToGrid w:val="0"/>
        <w:spacing w:line="360" w:lineRule="auto"/>
        <w:rPr>
          <w:rFonts w:ascii="宋体" w:hAnsi="宋体"/>
          <w:b/>
          <w:bCs/>
          <w:sz w:val="24"/>
          <w:szCs w:val="20"/>
        </w:rPr>
      </w:pPr>
      <w:r>
        <w:rPr>
          <w:rFonts w:hint="eastAsia" w:ascii="宋体" w:hAnsi="宋体"/>
          <w:b/>
          <w:bCs/>
          <w:sz w:val="24"/>
          <w:szCs w:val="20"/>
        </w:rPr>
        <w:t>注：</w:t>
      </w:r>
    </w:p>
    <w:p>
      <w:pPr>
        <w:snapToGrid w:val="0"/>
        <w:spacing w:line="360" w:lineRule="auto"/>
        <w:ind w:firstLine="480" w:firstLineChars="200"/>
        <w:rPr>
          <w:rFonts w:ascii="宋体" w:hAnsi="宋体"/>
          <w:sz w:val="24"/>
          <w:szCs w:val="20"/>
        </w:rPr>
      </w:pPr>
      <w:r>
        <w:rPr>
          <w:rFonts w:hint="eastAsia" w:ascii="宋体" w:hAnsi="宋体"/>
          <w:sz w:val="24"/>
          <w:szCs w:val="20"/>
        </w:rPr>
        <w:t>1、从业人员、营业收入、资产总额填报上一年度数据，无上一年度数据的新成立企业可不填报。</w:t>
      </w:r>
    </w:p>
    <w:p>
      <w:pPr>
        <w:wordWrap w:val="0"/>
        <w:topLinePunct/>
        <w:snapToGrid w:val="0"/>
        <w:spacing w:line="360" w:lineRule="auto"/>
        <w:ind w:firstLine="480" w:firstLineChars="200"/>
        <w:rPr>
          <w:rFonts w:ascii="宋体" w:hAnsi="宋体" w:cs="宋体"/>
          <w:bCs/>
          <w:sz w:val="24"/>
        </w:rPr>
      </w:pPr>
      <w:r>
        <w:rPr>
          <w:rFonts w:hint="eastAsia" w:ascii="宋体" w:hAnsi="宋体" w:cs="宋体"/>
          <w:bCs/>
          <w:sz w:val="24"/>
        </w:rPr>
        <w:t>2、采购标的：其他娱乐设备；所属行业：工业。</w:t>
      </w:r>
    </w:p>
    <w:p>
      <w:pPr>
        <w:wordWrap w:val="0"/>
        <w:topLinePunct/>
        <w:snapToGrid w:val="0"/>
        <w:spacing w:line="360" w:lineRule="auto"/>
        <w:ind w:firstLine="480" w:firstLineChars="200"/>
        <w:rPr>
          <w:bCs/>
        </w:rPr>
      </w:pPr>
      <w:r>
        <w:rPr>
          <w:rFonts w:hint="eastAsia" w:ascii="宋体" w:hAnsi="宋体" w:cs="宋体"/>
          <w:bCs/>
          <w:sz w:val="24"/>
        </w:rPr>
        <w:t>3、根据财库〔2020〕46号、财库〔2022〕19号、浙财采监〔2022〕8号文件的相关规定：中标、成交供应商享受本办法规定的中小企业扶持政策的，采购人、采购代理机构应当随中标、成交结果公开中标、成交供应商的《中小企业声明函》。供应商按照本办法规定提供声明函内容不实的，属于提供虚假材料谋取中标、成交，依照《中华人民共和国政府采购法》等国家有关规定追究相应责任。</w:t>
      </w:r>
    </w:p>
    <w:p>
      <w:pPr>
        <w:pStyle w:val="2"/>
        <w:keepNext w:val="0"/>
        <w:keepLines w:val="0"/>
        <w:wordWrap w:val="0"/>
        <w:topLinePunct/>
        <w:spacing w:before="0" w:after="0" w:line="400" w:lineRule="exact"/>
        <w:ind w:firstLine="480" w:firstLineChars="200"/>
        <w:rPr>
          <w:rFonts w:ascii="宋体" w:hAnsi="宋体"/>
          <w:sz w:val="24"/>
          <w:szCs w:val="20"/>
        </w:rPr>
      </w:pPr>
      <w:r>
        <w:rPr>
          <w:rFonts w:hint="eastAsia" w:ascii="宋体" w:hAnsi="宋体" w:eastAsia="宋体" w:cs="宋体"/>
          <w:b w:val="0"/>
          <w:sz w:val="24"/>
        </w:rPr>
        <w:t>4、</w:t>
      </w:r>
      <w:r>
        <w:rPr>
          <w:rFonts w:ascii="宋体" w:hAnsi="宋体" w:eastAsia="宋体" w:cs="宋体"/>
          <w:b w:val="0"/>
          <w:sz w:val="24"/>
          <w:szCs w:val="24"/>
        </w:rPr>
        <w:t>中小企业划型标准</w:t>
      </w:r>
      <w:r>
        <w:rPr>
          <w:rFonts w:hint="eastAsia" w:ascii="宋体" w:hAnsi="宋体" w:eastAsia="宋体" w:cs="宋体"/>
          <w:b w:val="0"/>
          <w:sz w:val="24"/>
          <w:szCs w:val="24"/>
        </w:rPr>
        <w:t>请按照《</w:t>
      </w:r>
      <w:r>
        <w:rPr>
          <w:rFonts w:ascii="宋体" w:hAnsi="宋体" w:eastAsia="宋体" w:cs="宋体"/>
          <w:b w:val="0"/>
          <w:sz w:val="24"/>
          <w:szCs w:val="24"/>
        </w:rPr>
        <w:t xml:space="preserve">工信部联企业〔2011〕300号 </w:t>
      </w:r>
      <w:r>
        <w:rPr>
          <w:rFonts w:hint="eastAsia" w:ascii="宋体" w:hAnsi="宋体" w:eastAsia="宋体" w:cs="宋体"/>
          <w:b w:val="0"/>
          <w:sz w:val="24"/>
          <w:szCs w:val="24"/>
        </w:rPr>
        <w:t>》之</w:t>
      </w:r>
      <w:r>
        <w:rPr>
          <w:rFonts w:ascii="宋体" w:hAnsi="宋体" w:eastAsia="宋体" w:cs="宋体"/>
          <w:b w:val="0"/>
          <w:sz w:val="24"/>
          <w:szCs w:val="24"/>
        </w:rPr>
        <w:t>规定</w:t>
      </w:r>
    </w:p>
    <w:tbl>
      <w:tblPr>
        <w:tblStyle w:val="2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912"/>
        <w:gridCol w:w="1365"/>
        <w:gridCol w:w="1201"/>
        <w:gridCol w:w="1843"/>
        <w:gridCol w:w="1586"/>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行业名称</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指标名称</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计量单位</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中型</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小型</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Style w:val="24"/>
                <w:rFonts w:hint="eastAsia"/>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农、林、牧、渔业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500≤Y&lt;20000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50≤Y&lt;500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工业</w:t>
            </w:r>
          </w:p>
        </w:tc>
        <w:tc>
          <w:tcPr>
            <w:tcW w:w="1365"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300≤X&lt;1000</w:t>
            </w:r>
          </w:p>
        </w:tc>
        <w:tc>
          <w:tcPr>
            <w:tcW w:w="1586"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20≤X&lt;300</w:t>
            </w:r>
          </w:p>
        </w:tc>
        <w:tc>
          <w:tcPr>
            <w:tcW w:w="1447"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4B083" w:themeFill="accent2" w:themeFillTint="99"/>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2000≤Y&lt;40000</w:t>
            </w:r>
          </w:p>
        </w:tc>
        <w:tc>
          <w:tcPr>
            <w:tcW w:w="1586"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300≤Y&lt;2000</w:t>
            </w:r>
          </w:p>
        </w:tc>
        <w:tc>
          <w:tcPr>
            <w:tcW w:w="1447" w:type="dxa"/>
            <w:shd w:val="clear" w:color="auto" w:fill="F4B083" w:themeFill="accent2" w:themeFillTint="99"/>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建筑业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6000≤Y&lt;80000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300≤Y&lt;6000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资产总额(Z)</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5000≤Z&lt;80000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300≤Z&lt;5000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Z&lt;300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批发业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20≤X&lt;200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5≤X&lt;20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5000≤Y&lt;40000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1000≤Y&lt;5000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零售业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10≤X&lt;50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500≤Y&lt;20000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100≤Y&lt;500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交通运输业</w:t>
            </w:r>
          </w:p>
        </w:tc>
        <w:tc>
          <w:tcPr>
            <w:tcW w:w="1365"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300≤X&lt;1000</w:t>
            </w:r>
          </w:p>
        </w:tc>
        <w:tc>
          <w:tcPr>
            <w:tcW w:w="1586"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20≤X&lt;300</w:t>
            </w:r>
          </w:p>
        </w:tc>
        <w:tc>
          <w:tcPr>
            <w:tcW w:w="1447"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auto"/>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3000≤Y&lt;30000</w:t>
            </w:r>
          </w:p>
        </w:tc>
        <w:tc>
          <w:tcPr>
            <w:tcW w:w="1586"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200≤Y&lt;3000</w:t>
            </w:r>
          </w:p>
        </w:tc>
        <w:tc>
          <w:tcPr>
            <w:tcW w:w="1447" w:type="dxa"/>
            <w:shd w:val="clear" w:color="auto" w:fill="auto"/>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仓储业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100≤X&lt;200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1000≤Y&lt;30000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100≤Y&lt;1000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邮政业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300≤X&lt;1000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20≤X&lt;300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2000≤Y&lt;30000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100≤Y&lt;2000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住宿业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2000≤Y&lt;10000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100≤Y&lt;2000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餐饮业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2000≤Y&lt;10000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100≤Y&lt;2000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信息传输业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100≤X&lt;2000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1000≤Y&lt;100000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100≤Y&lt;1000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软件和信息技术服务业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1000≤Y&lt;10000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50≤Y&lt;1000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房地产开发经营</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1000≤Y&lt;200000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100≤Y&lt;1000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资产总额(Z)</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5000≤Z&lt;10000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2000≤Z&lt;5000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Z&lt;2000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restart"/>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物业管理</w:t>
            </w:r>
          </w:p>
        </w:tc>
        <w:tc>
          <w:tcPr>
            <w:tcW w:w="1365"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300≤X&lt;1000</w:t>
            </w:r>
          </w:p>
        </w:tc>
        <w:tc>
          <w:tcPr>
            <w:tcW w:w="1586"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100≤X&lt;300</w:t>
            </w:r>
          </w:p>
        </w:tc>
        <w:tc>
          <w:tcPr>
            <w:tcW w:w="1447"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X&lt;100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912" w:type="dxa"/>
            <w:vMerge w:val="continue"/>
            <w:shd w:val="clear" w:color="auto" w:fill="FFFFFF" w:themeFill="background1"/>
            <w:tcMar>
              <w:top w:w="30" w:type="dxa"/>
              <w:left w:w="90" w:type="dxa"/>
              <w:bottom w:w="30" w:type="dxa"/>
              <w:right w:w="90" w:type="dxa"/>
            </w:tcMar>
          </w:tcPr>
          <w:p>
            <w:pPr>
              <w:wordWrap w:val="0"/>
              <w:topLinePunct/>
              <w:jc w:val="left"/>
              <w:rPr>
                <w:rFonts w:ascii="宋体" w:hAnsi="宋体" w:cs="宋体"/>
                <w:szCs w:val="21"/>
              </w:rPr>
            </w:pPr>
          </w:p>
        </w:tc>
        <w:tc>
          <w:tcPr>
            <w:tcW w:w="1365"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营业收入(Y)</w:t>
            </w:r>
          </w:p>
        </w:tc>
        <w:tc>
          <w:tcPr>
            <w:tcW w:w="1201"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1000≤Y&lt;5000</w:t>
            </w:r>
          </w:p>
        </w:tc>
        <w:tc>
          <w:tcPr>
            <w:tcW w:w="1586"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500≤Y&lt;1000</w:t>
            </w:r>
          </w:p>
        </w:tc>
        <w:tc>
          <w:tcPr>
            <w:tcW w:w="1447" w:type="dxa"/>
            <w:shd w:val="clear" w:color="auto" w:fill="FFFFFF" w:themeFill="background1"/>
            <w:tcMar>
              <w:top w:w="30" w:type="dxa"/>
              <w:left w:w="90" w:type="dxa"/>
              <w:bottom w:w="30" w:type="dxa"/>
              <w:right w:w="90" w:type="dxa"/>
            </w:tcMar>
          </w:tcPr>
          <w:p>
            <w:pPr>
              <w:pStyle w:val="19"/>
              <w:widowControl w:val="0"/>
              <w:wordWrap w:val="0"/>
              <w:topLinePunct/>
              <w:spacing w:before="0" w:beforeAutospacing="0" w:after="0" w:afterAutospacing="0" w:line="360" w:lineRule="atLeast"/>
            </w:pPr>
            <w:r>
              <w:rPr>
                <w:rFonts w:hint="eastAsia"/>
              </w:rPr>
              <w:t>Y&lt;500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912" w:type="dxa"/>
            <w:vMerge w:val="restart"/>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租赁和商务服务业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912" w:type="dxa"/>
            <w:vMerge w:val="continue"/>
            <w:shd w:val="clear" w:color="auto" w:fill="FFFFFF"/>
            <w:tcMar>
              <w:top w:w="30" w:type="dxa"/>
              <w:left w:w="90" w:type="dxa"/>
              <w:bottom w:w="30" w:type="dxa"/>
              <w:right w:w="90" w:type="dxa"/>
            </w:tcMar>
            <w:vAlign w:val="center"/>
          </w:tcPr>
          <w:p>
            <w:pPr>
              <w:wordWrap w:val="0"/>
              <w:topLinePunct/>
              <w:jc w:val="left"/>
              <w:rPr>
                <w:rFonts w:ascii="宋体" w:hAnsi="宋体" w:cs="宋体"/>
                <w:szCs w:val="21"/>
              </w:rPr>
            </w:pP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资产总额(Z)</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万元</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8000≤Z&lt;120000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100≤Z&lt;8000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Z&lt;100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912"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其他未列明行业</w:t>
            </w:r>
          </w:p>
        </w:tc>
        <w:tc>
          <w:tcPr>
            <w:tcW w:w="1365"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从业人员(X)</w:t>
            </w:r>
          </w:p>
        </w:tc>
        <w:tc>
          <w:tcPr>
            <w:tcW w:w="1201"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人</w:t>
            </w:r>
          </w:p>
        </w:tc>
        <w:tc>
          <w:tcPr>
            <w:tcW w:w="1843"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100≤X&lt;300</w:t>
            </w:r>
          </w:p>
        </w:tc>
        <w:tc>
          <w:tcPr>
            <w:tcW w:w="1586"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10≤X&lt;100</w:t>
            </w:r>
          </w:p>
        </w:tc>
        <w:tc>
          <w:tcPr>
            <w:tcW w:w="1447" w:type="dxa"/>
            <w:shd w:val="clear" w:color="auto" w:fill="FFFFFF"/>
            <w:tcMar>
              <w:top w:w="30" w:type="dxa"/>
              <w:left w:w="90" w:type="dxa"/>
              <w:bottom w:w="30" w:type="dxa"/>
              <w:right w:w="90" w:type="dxa"/>
            </w:tcMar>
            <w:vAlign w:val="center"/>
          </w:tcPr>
          <w:p>
            <w:pPr>
              <w:pStyle w:val="19"/>
              <w:widowControl w:val="0"/>
              <w:wordWrap w:val="0"/>
              <w:topLinePunct/>
              <w:spacing w:before="0" w:beforeAutospacing="0" w:after="0" w:afterAutospacing="0" w:line="360" w:lineRule="atLeast"/>
            </w:pPr>
            <w:r>
              <w:rPr>
                <w:rFonts w:hint="eastAsia"/>
              </w:rPr>
              <w:t>X&lt;10</w:t>
            </w:r>
          </w:p>
        </w:tc>
      </w:tr>
    </w:tbl>
    <w:p>
      <w:pPr>
        <w:pStyle w:val="2"/>
        <w:spacing w:line="360" w:lineRule="auto"/>
        <w:jc w:val="center"/>
      </w:pPr>
    </w:p>
    <w:p>
      <w:pPr>
        <w:pStyle w:val="2"/>
        <w:spacing w:line="360" w:lineRule="auto"/>
        <w:jc w:val="center"/>
      </w:pPr>
      <w:r>
        <w:rPr>
          <w:rFonts w:hint="eastAsia"/>
        </w:rPr>
        <w:t>残疾人福利性单位声明函</w:t>
      </w:r>
    </w:p>
    <w:p>
      <w:pPr>
        <w:spacing w:line="588" w:lineRule="exact"/>
        <w:rPr>
          <w:rFonts w:ascii="宋体" w:hAnsi="宋体" w:cs="宋体"/>
          <w:b/>
          <w:spacing w:val="6"/>
          <w:sz w:val="24"/>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588" w:lineRule="exact"/>
        <w:ind w:firstLine="504" w:firstLineChars="200"/>
        <w:rPr>
          <w:rFonts w:ascii="宋体" w:hAnsi="宋体" w:cs="宋体"/>
          <w:spacing w:val="6"/>
          <w:sz w:val="24"/>
        </w:rPr>
      </w:pPr>
    </w:p>
    <w:p>
      <w:pPr>
        <w:spacing w:line="360" w:lineRule="auto"/>
        <w:ind w:firstLine="480" w:firstLineChars="200"/>
        <w:jc w:val="right"/>
        <w:rPr>
          <w:rFonts w:ascii="宋体" w:hAnsi="宋体" w:cs="宋体"/>
          <w:sz w:val="24"/>
        </w:rPr>
      </w:pPr>
      <w:r>
        <w:rPr>
          <w:rFonts w:hint="eastAsia" w:ascii="宋体" w:hAnsi="宋体" w:cs="宋体"/>
          <w:sz w:val="24"/>
        </w:rPr>
        <w:t xml:space="preserve">      单位名称（盖章）：</w:t>
      </w:r>
    </w:p>
    <w:p>
      <w:pPr>
        <w:spacing w:line="360" w:lineRule="auto"/>
        <w:ind w:firstLine="480" w:firstLineChars="200"/>
        <w:jc w:val="right"/>
        <w:rPr>
          <w:rFonts w:ascii="宋体" w:hAnsi="宋体" w:cs="宋体"/>
          <w:sz w:val="24"/>
        </w:rPr>
      </w:pPr>
      <w:r>
        <w:rPr>
          <w:rFonts w:hint="eastAsia" w:ascii="宋体" w:hAnsi="宋体" w:cs="宋体"/>
          <w:sz w:val="24"/>
        </w:rPr>
        <w:t xml:space="preserve">       日  期：</w:t>
      </w:r>
    </w:p>
    <w:p/>
    <w:p>
      <w:pPr>
        <w:spacing w:line="588" w:lineRule="exact"/>
        <w:ind w:firstLine="504" w:firstLineChars="200"/>
        <w:rPr>
          <w:rFonts w:ascii="宋体" w:hAnsi="宋体" w:cs="宋体"/>
          <w:spacing w:val="6"/>
          <w:sz w:val="24"/>
        </w:rPr>
      </w:pPr>
    </w:p>
    <w:p>
      <w:pPr>
        <w:snapToGrid w:val="0"/>
        <w:spacing w:before="120" w:beforeLines="50" w:after="50" w:line="360" w:lineRule="auto"/>
        <w:rPr>
          <w:rFonts w:ascii="宋体" w:hAnsi="宋体"/>
          <w:sz w:val="24"/>
        </w:rPr>
      </w:pPr>
      <w:r>
        <w:rPr>
          <w:rFonts w:hint="eastAsia" w:ascii="宋体" w:hAnsi="宋体" w:cs="宋体"/>
          <w:spacing w:val="6"/>
          <w:sz w:val="24"/>
        </w:rPr>
        <w:t xml:space="preserve">         </w:t>
      </w:r>
      <w:r>
        <w:rPr>
          <w:rFonts w:hint="eastAsia" w:ascii="宋体" w:hAnsi="宋体" w:cs="宋体"/>
          <w:sz w:val="24"/>
        </w:rPr>
        <w:t xml:space="preserve"> </w:t>
      </w:r>
    </w:p>
    <w:p>
      <w:pPr>
        <w:snapToGrid w:val="0"/>
        <w:spacing w:before="120" w:beforeLines="50" w:after="50" w:line="360" w:lineRule="auto"/>
        <w:rPr>
          <w:rFonts w:ascii="宋体" w:hAnsi="宋体"/>
          <w:sz w:val="24"/>
        </w:rPr>
      </w:pPr>
    </w:p>
    <w:p>
      <w:pPr>
        <w:pStyle w:val="2"/>
      </w:pPr>
    </w:p>
    <w:p>
      <w:pPr>
        <w:snapToGrid w:val="0"/>
        <w:spacing w:before="120" w:beforeLines="50" w:after="50" w:line="360" w:lineRule="auto"/>
        <w:rPr>
          <w:rFonts w:ascii="宋体" w:hAnsi="宋体"/>
          <w:sz w:val="24"/>
        </w:rPr>
      </w:pPr>
    </w:p>
    <w:p>
      <w:pPr>
        <w:spacing w:line="588" w:lineRule="exact"/>
        <w:jc w:val="center"/>
        <w:rPr>
          <w:rFonts w:ascii="宋体" w:hAnsi="宋体" w:cs="宋体"/>
          <w:b/>
          <w:spacing w:val="6"/>
          <w:sz w:val="24"/>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3"/>
        <w:ind w:firstLine="480"/>
        <w:rPr>
          <w:rFonts w:ascii="宋体" w:hAnsi="宋体"/>
        </w:rPr>
      </w:pPr>
    </w:p>
    <w:p>
      <w:pPr>
        <w:pStyle w:val="2"/>
        <w:spacing w:line="360" w:lineRule="auto"/>
        <w:jc w:val="left"/>
        <w:rPr>
          <w:rFonts w:ascii="宋体" w:hAnsi="宋体" w:eastAsia="宋体" w:cs="宋体"/>
          <w:b w:val="0"/>
          <w:sz w:val="24"/>
          <w:szCs w:val="24"/>
        </w:rPr>
      </w:pPr>
      <w:r>
        <w:rPr>
          <w:rFonts w:hint="eastAsia" w:ascii="宋体" w:hAnsi="宋体"/>
          <w:b w:val="0"/>
          <w:bCs w:val="0"/>
          <w:sz w:val="24"/>
        </w:rPr>
        <w:t>7.</w:t>
      </w:r>
      <w:r>
        <w:rPr>
          <w:rFonts w:hint="eastAsia" w:ascii="宋体" w:hAnsi="宋体" w:eastAsia="宋体"/>
          <w:b w:val="0"/>
          <w:bCs w:val="0"/>
          <w:sz w:val="24"/>
          <w:szCs w:val="24"/>
        </w:rPr>
        <w:t>落实政府采购政策需满足的资格要求格式：</w:t>
      </w:r>
    </w:p>
    <w:p>
      <w:pPr>
        <w:snapToGrid w:val="0"/>
        <w:spacing w:line="360" w:lineRule="auto"/>
        <w:ind w:right="480"/>
        <w:jc w:val="center"/>
        <w:rPr>
          <w:rFonts w:ascii="宋体" w:hAnsi="宋体" w:cs="宋体"/>
          <w:b/>
          <w:kern w:val="0"/>
          <w:sz w:val="24"/>
        </w:rPr>
      </w:pPr>
      <w:r>
        <w:rPr>
          <w:rFonts w:hint="eastAsia" w:ascii="宋体" w:hAnsi="宋体" w:cs="宋体"/>
          <w:b/>
          <w:kern w:val="0"/>
          <w:sz w:val="24"/>
        </w:rPr>
        <w:t>落实政府采购政策需满足的资格要求</w:t>
      </w:r>
    </w:p>
    <w:p>
      <w:pPr>
        <w:snapToGrid w:val="0"/>
        <w:spacing w:before="120" w:beforeLines="50" w:after="50" w:line="360" w:lineRule="auto"/>
        <w:rPr>
          <w:rFonts w:ascii="宋体" w:hAnsi="宋体"/>
          <w:sz w:val="24"/>
        </w:rPr>
      </w:pPr>
      <w:r>
        <w:rPr>
          <w:rFonts w:hint="eastAsia" w:ascii="宋体" w:hAnsi="宋体" w:cs="宋体"/>
          <w:kern w:val="0"/>
          <w:sz w:val="24"/>
        </w:rPr>
        <w:t>（根据招标公告落实政府采购政策需满足的资格要求选择提供相应的材料；未要求的，无需提供）</w:t>
      </w: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pStyle w:val="20"/>
        <w:ind w:firstLine="404"/>
      </w:pPr>
    </w:p>
    <w:p>
      <w:pPr>
        <w:snapToGrid w:val="0"/>
        <w:spacing w:line="360" w:lineRule="auto"/>
        <w:rPr>
          <w:rFonts w:ascii="宋体" w:hAnsi="宋体"/>
          <w:sz w:val="24"/>
        </w:rPr>
      </w:pPr>
    </w:p>
    <w:p>
      <w:pPr>
        <w:pStyle w:val="11"/>
        <w:snapToGrid w:val="0"/>
        <w:spacing w:beforeLines="0" w:afterLines="0" w:line="440" w:lineRule="exact"/>
        <w:outlineLvl w:val="1"/>
        <w:rPr>
          <w:rFonts w:hAnsi="宋体"/>
          <w:b/>
        </w:rPr>
      </w:pPr>
    </w:p>
    <w:p>
      <w:pPr>
        <w:pStyle w:val="11"/>
        <w:snapToGrid w:val="0"/>
        <w:spacing w:beforeLines="0" w:afterLines="0" w:line="440" w:lineRule="exact"/>
        <w:outlineLvl w:val="1"/>
        <w:rPr>
          <w:rFonts w:hAnsi="宋体"/>
          <w:b/>
        </w:rPr>
      </w:pPr>
      <w:r>
        <w:rPr>
          <w:rFonts w:hint="eastAsia" w:hAnsi="宋体"/>
          <w:b/>
        </w:rPr>
        <w:t>二、商务技术文件格式</w:t>
      </w:r>
    </w:p>
    <w:p>
      <w:pPr>
        <w:snapToGrid w:val="0"/>
        <w:spacing w:line="440" w:lineRule="exact"/>
        <w:rPr>
          <w:rFonts w:ascii="宋体" w:hAnsi="宋体"/>
          <w:sz w:val="24"/>
        </w:rPr>
      </w:pPr>
      <w:r>
        <w:rPr>
          <w:rFonts w:hint="eastAsia" w:ascii="宋体" w:hAnsi="宋体"/>
          <w:bCs/>
          <w:sz w:val="24"/>
        </w:rPr>
        <w:t>1</w:t>
      </w:r>
      <w:r>
        <w:rPr>
          <w:rFonts w:ascii="宋体" w:hAnsi="宋体"/>
          <w:sz w:val="24"/>
        </w:rPr>
        <w:t>.</w:t>
      </w:r>
      <w:r>
        <w:rPr>
          <w:rFonts w:hint="eastAsia" w:ascii="宋体" w:hAnsi="宋体"/>
          <w:sz w:val="24"/>
        </w:rPr>
        <w:t>商务技术文件封面格式</w:t>
      </w:r>
    </w:p>
    <w:p>
      <w:pPr>
        <w:snapToGrid w:val="0"/>
        <w:spacing w:line="440" w:lineRule="exact"/>
        <w:rPr>
          <w:rFonts w:ascii="宋体" w:hAnsi="宋体"/>
          <w:b/>
          <w:bCs/>
          <w:sz w:val="24"/>
        </w:rPr>
      </w:pPr>
      <w:r>
        <w:rPr>
          <w:rFonts w:ascii="宋体" w:hAnsi="宋体"/>
          <w:sz w:val="24"/>
        </w:rPr>
        <w:t xml:space="preserve">                                            </w:t>
      </w:r>
      <w:r>
        <w:rPr>
          <w:rFonts w:hint="eastAsia" w:ascii="宋体" w:hAnsi="宋体"/>
          <w:sz w:val="24"/>
        </w:rPr>
        <w:t xml:space="preserve">   </w:t>
      </w:r>
      <w:r>
        <w:rPr>
          <w:rFonts w:ascii="宋体" w:hAnsi="宋体"/>
          <w:sz w:val="24"/>
        </w:rPr>
        <w:t xml:space="preserve">   </w:t>
      </w:r>
    </w:p>
    <w:p>
      <w:pPr>
        <w:snapToGrid w:val="0"/>
        <w:spacing w:line="440" w:lineRule="exact"/>
        <w:jc w:val="center"/>
        <w:rPr>
          <w:rFonts w:ascii="宋体" w:hAnsi="宋体"/>
          <w:b/>
          <w:bCs/>
          <w:sz w:val="24"/>
        </w:rPr>
      </w:pPr>
      <w:r>
        <w:rPr>
          <w:rFonts w:hint="eastAsia" w:ascii="宋体" w:hAnsi="宋体"/>
          <w:b/>
          <w:bCs/>
          <w:sz w:val="24"/>
        </w:rPr>
        <w:t>商务技术文件</w:t>
      </w:r>
    </w:p>
    <w:p>
      <w:pPr>
        <w:snapToGrid w:val="0"/>
        <w:spacing w:line="440" w:lineRule="exact"/>
        <w:ind w:firstLine="900" w:firstLineChars="375"/>
        <w:rPr>
          <w:rFonts w:ascii="宋体" w:hAnsi="宋体"/>
          <w:sz w:val="24"/>
        </w:rPr>
      </w:pPr>
      <w:r>
        <w:rPr>
          <w:rFonts w:hint="eastAsia" w:ascii="宋体" w:hAnsi="宋体"/>
          <w:bCs/>
          <w:sz w:val="24"/>
        </w:rPr>
        <w:t>项目名称：</w:t>
      </w:r>
      <w:r>
        <w:rPr>
          <w:rFonts w:hint="eastAsia" w:ascii="宋体" w:hAnsi="宋体"/>
          <w:bCs/>
          <w:sz w:val="24"/>
          <w:u w:val="single"/>
        </w:rPr>
        <w:t xml:space="preserve">                    </w:t>
      </w:r>
      <w:r>
        <w:rPr>
          <w:rFonts w:hint="eastAsia" w:ascii="宋体" w:hAnsi="宋体"/>
          <w:sz w:val="24"/>
        </w:rPr>
        <w:t>采购项目</w:t>
      </w:r>
    </w:p>
    <w:p>
      <w:pPr>
        <w:pStyle w:val="6"/>
        <w:snapToGrid w:val="0"/>
        <w:spacing w:line="440" w:lineRule="exact"/>
        <w:ind w:firstLine="900" w:firstLineChars="375"/>
        <w:rPr>
          <w:rFonts w:ascii="宋体" w:hAnsi="宋体"/>
          <w:bCs/>
          <w:sz w:val="24"/>
        </w:rPr>
      </w:pPr>
      <w:r>
        <w:rPr>
          <w:rFonts w:hint="eastAsia" w:ascii="宋体" w:hAnsi="宋体"/>
          <w:bCs/>
          <w:sz w:val="24"/>
        </w:rPr>
        <w:t>项目编号：</w:t>
      </w:r>
    </w:p>
    <w:p>
      <w:pPr>
        <w:pStyle w:val="6"/>
        <w:snapToGrid w:val="0"/>
        <w:spacing w:line="440" w:lineRule="exact"/>
        <w:ind w:firstLine="900" w:firstLineChars="375"/>
        <w:rPr>
          <w:rFonts w:ascii="宋体" w:hAnsi="宋体"/>
          <w:bCs/>
          <w:sz w:val="24"/>
        </w:rPr>
      </w:pPr>
      <w:r>
        <w:rPr>
          <w:rFonts w:hint="eastAsia" w:ascii="宋体" w:hAnsi="宋体"/>
          <w:bCs/>
          <w:sz w:val="24"/>
        </w:rPr>
        <w:t>投标人名称（盖章）：</w:t>
      </w:r>
    </w:p>
    <w:p>
      <w:pPr>
        <w:pStyle w:val="6"/>
        <w:snapToGrid w:val="0"/>
        <w:spacing w:line="440" w:lineRule="exact"/>
        <w:ind w:firstLine="900" w:firstLineChars="375"/>
        <w:rPr>
          <w:rFonts w:ascii="宋体" w:hAnsi="宋体"/>
          <w:bCs/>
          <w:sz w:val="24"/>
        </w:rPr>
      </w:pPr>
      <w:r>
        <w:rPr>
          <w:rFonts w:hint="eastAsia" w:ascii="宋体" w:hAnsi="宋体"/>
          <w:bCs/>
          <w:sz w:val="24"/>
        </w:rPr>
        <w:t>投标人地址：</w:t>
      </w:r>
    </w:p>
    <w:p>
      <w:pPr>
        <w:snapToGrid w:val="0"/>
        <w:spacing w:line="440" w:lineRule="exact"/>
        <w:ind w:firstLine="3280" w:firstLineChars="1367"/>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360" w:lineRule="auto"/>
        <w:ind w:firstLine="3280" w:firstLineChars="1367"/>
        <w:rPr>
          <w:rFonts w:ascii="宋体" w:hAnsi="宋体"/>
          <w:sz w:val="24"/>
        </w:rPr>
      </w:pPr>
    </w:p>
    <w:p>
      <w:pPr>
        <w:snapToGrid w:val="0"/>
        <w:spacing w:line="440" w:lineRule="exact"/>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商务技术文件目录（请按照“第三章投标人须知，</w:t>
      </w:r>
      <w:r>
        <w:rPr>
          <w:rFonts w:ascii="宋体" w:hAnsi="宋体"/>
          <w:bCs/>
          <w:sz w:val="24"/>
        </w:rPr>
        <w:t>三、投标文件的编制</w:t>
      </w:r>
      <w:r>
        <w:rPr>
          <w:rFonts w:hint="eastAsia" w:ascii="宋体" w:hAnsi="宋体"/>
          <w:bCs/>
          <w:sz w:val="24"/>
        </w:rPr>
        <w:t>”的顺序，结合评标办法自行编制目录）</w:t>
      </w:r>
    </w:p>
    <w:p>
      <w:pPr>
        <w:snapToGrid w:val="0"/>
        <w:spacing w:line="440" w:lineRule="exact"/>
        <w:rPr>
          <w:rFonts w:ascii="宋体" w:hAnsi="宋体"/>
          <w:bCs/>
          <w:sz w:val="24"/>
        </w:rPr>
      </w:pPr>
      <w:r>
        <w:rPr>
          <w:rFonts w:hint="eastAsia" w:ascii="宋体" w:hAnsi="宋体"/>
          <w:bCs/>
          <w:sz w:val="24"/>
        </w:rPr>
        <w:t>例如：</w:t>
      </w:r>
    </w:p>
    <w:p>
      <w:pPr>
        <w:snapToGrid w:val="0"/>
        <w:spacing w:line="440" w:lineRule="exact"/>
        <w:rPr>
          <w:rFonts w:ascii="宋体" w:hAnsi="宋体"/>
          <w:bCs/>
          <w:sz w:val="24"/>
        </w:rPr>
      </w:pPr>
      <w:r>
        <w:rPr>
          <w:rFonts w:hint="eastAsia" w:ascii="宋体" w:hAnsi="宋体"/>
          <w:bCs/>
          <w:sz w:val="24"/>
        </w:rPr>
        <w:t>资信商务文件：</w:t>
      </w:r>
    </w:p>
    <w:p>
      <w:pPr>
        <w:snapToGrid w:val="0"/>
        <w:spacing w:line="440" w:lineRule="exact"/>
        <w:rPr>
          <w:rFonts w:ascii="宋体" w:hAnsi="宋体"/>
          <w:sz w:val="24"/>
          <w:szCs w:val="20"/>
        </w:rPr>
      </w:pPr>
      <w:r>
        <w:rPr>
          <w:rFonts w:hint="eastAsia" w:ascii="宋体" w:hAnsi="宋体"/>
          <w:sz w:val="24"/>
        </w:rPr>
        <w:t>（1</w:t>
      </w:r>
      <w:r>
        <w:rPr>
          <w:rFonts w:ascii="宋体" w:hAnsi="宋体"/>
          <w:sz w:val="24"/>
        </w:rPr>
        <w:t>）</w:t>
      </w:r>
      <w:r>
        <w:rPr>
          <w:rFonts w:hint="eastAsia" w:ascii="宋体" w:hAnsi="宋体"/>
          <w:sz w:val="24"/>
        </w:rPr>
        <w:t>投标人基本情况要求</w:t>
      </w:r>
      <w:r>
        <w:rPr>
          <w:rFonts w:ascii="宋体" w:hAnsi="宋体"/>
          <w:sz w:val="24"/>
        </w:rPr>
        <w:t xml:space="preserve"> (格式见附</w:t>
      </w:r>
      <w:r>
        <w:rPr>
          <w:rFonts w:hint="eastAsia" w:ascii="宋体" w:hAnsi="宋体"/>
          <w:sz w:val="24"/>
        </w:rPr>
        <w:t>件）</w:t>
      </w:r>
      <w:r>
        <w:rPr>
          <w:rFonts w:hint="eastAsia" w:ascii="宋体" w:hAnsi="宋体" w:cs="宋体"/>
          <w:kern w:val="0"/>
          <w:sz w:val="24"/>
        </w:rPr>
        <w:t>…………………………………（页码）</w:t>
      </w:r>
    </w:p>
    <w:p>
      <w:pPr>
        <w:snapToGrid w:val="0"/>
        <w:spacing w:line="440" w:lineRule="exact"/>
        <w:jc w:val="left"/>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诚信承诺书（格式见附件）</w:t>
      </w:r>
      <w:r>
        <w:rPr>
          <w:rFonts w:hint="eastAsia" w:ascii="宋体" w:hAnsi="宋体" w:cs="宋体"/>
          <w:kern w:val="0"/>
          <w:sz w:val="24"/>
        </w:rPr>
        <w:t>……………………………………………（页码）</w:t>
      </w:r>
    </w:p>
    <w:p>
      <w:pPr>
        <w:snapToGrid w:val="0"/>
        <w:spacing w:line="440" w:lineRule="exact"/>
        <w:jc w:val="left"/>
        <w:rPr>
          <w:rFonts w:ascii="宋体" w:hAnsi="宋体"/>
        </w:rPr>
      </w:pPr>
      <w:r>
        <w:rPr>
          <w:rFonts w:hint="eastAsia" w:ascii="宋体" w:hAnsi="宋体"/>
          <w:sz w:val="24"/>
        </w:rPr>
        <w:t>（3</w:t>
      </w:r>
      <w:r>
        <w:rPr>
          <w:rFonts w:ascii="宋体" w:hAnsi="宋体"/>
          <w:sz w:val="24"/>
        </w:rPr>
        <w:t>）</w:t>
      </w:r>
      <w:r>
        <w:rPr>
          <w:rFonts w:hint="eastAsia" w:ascii="宋体" w:hAnsi="宋体"/>
          <w:sz w:val="24"/>
        </w:rPr>
        <w:t>所有荣誉证书、资质文件等（复印件）</w:t>
      </w:r>
      <w:r>
        <w:rPr>
          <w:rFonts w:hint="eastAsia" w:ascii="宋体" w:hAnsi="宋体" w:cs="宋体"/>
          <w:kern w:val="0"/>
          <w:sz w:val="24"/>
        </w:rPr>
        <w:t>………………………………（页码）</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line="360" w:lineRule="auto"/>
        <w:rPr>
          <w:rFonts w:ascii="宋体" w:hAnsi="宋体"/>
          <w:sz w:val="24"/>
        </w:rPr>
      </w:pPr>
    </w:p>
    <w:p>
      <w:pPr>
        <w:snapToGrid w:val="0"/>
        <w:spacing w:before="120" w:beforeLines="50" w:after="50" w:line="360" w:lineRule="auto"/>
        <w:rPr>
          <w:rFonts w:ascii="宋体" w:hAnsi="宋体"/>
          <w:sz w:val="24"/>
        </w:rPr>
      </w:pPr>
    </w:p>
    <w:p>
      <w:pPr>
        <w:snapToGrid w:val="0"/>
        <w:spacing w:before="120" w:beforeLines="50" w:after="50" w:line="360" w:lineRule="auto"/>
        <w:rPr>
          <w:rFonts w:ascii="宋体" w:hAnsi="宋体"/>
          <w:sz w:val="24"/>
        </w:rPr>
      </w:pPr>
      <w:r>
        <w:rPr>
          <w:rFonts w:hint="eastAsia" w:ascii="宋体" w:hAnsi="宋体"/>
          <w:sz w:val="24"/>
        </w:rPr>
        <w:t>3.</w:t>
      </w:r>
      <w:r>
        <w:rPr>
          <w:rFonts w:hint="eastAsia" w:ascii="宋体" w:hAnsi="宋体"/>
          <w:bCs/>
          <w:sz w:val="24"/>
        </w:rPr>
        <w:t>投标人基本情况要求</w:t>
      </w:r>
      <w:r>
        <w:rPr>
          <w:rFonts w:ascii="宋体" w:hAnsi="宋体"/>
          <w:sz w:val="24"/>
        </w:rPr>
        <w:t>格式：</w:t>
      </w:r>
    </w:p>
    <w:p>
      <w:pPr>
        <w:pStyle w:val="11"/>
        <w:spacing w:before="120" w:after="120" w:line="360" w:lineRule="auto"/>
        <w:jc w:val="center"/>
        <w:rPr>
          <w:rFonts w:hAnsi="宋体"/>
          <w:b/>
        </w:rPr>
      </w:pPr>
      <w:r>
        <w:rPr>
          <w:rFonts w:hint="eastAsia" w:hAnsi="宋体"/>
          <w:b/>
        </w:rPr>
        <w:t>投标人经营情况要求</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371"/>
        <w:gridCol w:w="1260"/>
        <w:gridCol w:w="1260"/>
        <w:gridCol w:w="162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477"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名  称</w:t>
            </w:r>
          </w:p>
        </w:tc>
        <w:tc>
          <w:tcPr>
            <w:tcW w:w="7983" w:type="dxa"/>
            <w:gridSpan w:val="6"/>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77"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地  址</w:t>
            </w:r>
          </w:p>
        </w:tc>
        <w:tc>
          <w:tcPr>
            <w:tcW w:w="7983" w:type="dxa"/>
            <w:gridSpan w:val="6"/>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概  况</w:t>
            </w: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成立和注册时间</w:t>
            </w:r>
          </w:p>
        </w:tc>
        <w:tc>
          <w:tcPr>
            <w:tcW w:w="2520"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62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注册资金</w:t>
            </w:r>
          </w:p>
        </w:tc>
        <w:tc>
          <w:tcPr>
            <w:tcW w:w="2472"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法人代表</w:t>
            </w:r>
          </w:p>
        </w:tc>
        <w:tc>
          <w:tcPr>
            <w:tcW w:w="2520"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62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电   话</w:t>
            </w:r>
          </w:p>
        </w:tc>
        <w:tc>
          <w:tcPr>
            <w:tcW w:w="2472"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技术负责人</w:t>
            </w:r>
          </w:p>
        </w:tc>
        <w:tc>
          <w:tcPr>
            <w:tcW w:w="2520"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62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电   话</w:t>
            </w:r>
          </w:p>
        </w:tc>
        <w:tc>
          <w:tcPr>
            <w:tcW w:w="2472"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职工总数</w:t>
            </w:r>
          </w:p>
        </w:tc>
        <w:tc>
          <w:tcPr>
            <w:tcW w:w="2520"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62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技术人员数</w:t>
            </w:r>
          </w:p>
        </w:tc>
        <w:tc>
          <w:tcPr>
            <w:tcW w:w="2472" w:type="dxa"/>
            <w:gridSpan w:val="2"/>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资产情况</w:t>
            </w:r>
          </w:p>
        </w:tc>
        <w:tc>
          <w:tcPr>
            <w:tcW w:w="2520" w:type="dxa"/>
            <w:gridSpan w:val="2"/>
            <w:vAlign w:val="center"/>
          </w:tcPr>
          <w:p>
            <w:pPr>
              <w:widowControl/>
              <w:spacing w:line="360" w:lineRule="auto"/>
              <w:jc w:val="left"/>
              <w:rPr>
                <w:rFonts w:ascii="宋体" w:hAnsi="宋体" w:cs="宋体"/>
                <w:kern w:val="0"/>
                <w:sz w:val="24"/>
              </w:rPr>
            </w:pPr>
            <w:r>
              <w:rPr>
                <w:rFonts w:hint="eastAsia" w:ascii="宋体" w:hAnsi="宋体" w:cs="宋体"/>
                <w:kern w:val="0"/>
                <w:sz w:val="24"/>
              </w:rPr>
              <w:t xml:space="preserve">净资产：            </w:t>
            </w:r>
          </w:p>
        </w:tc>
        <w:tc>
          <w:tcPr>
            <w:tcW w:w="4092" w:type="dxa"/>
            <w:gridSpan w:val="3"/>
            <w:vAlign w:val="center"/>
          </w:tcPr>
          <w:p>
            <w:pPr>
              <w:widowControl/>
              <w:spacing w:line="360" w:lineRule="auto"/>
              <w:jc w:val="left"/>
              <w:rPr>
                <w:rFonts w:ascii="宋体" w:hAnsi="宋体" w:cs="宋体"/>
                <w:kern w:val="0"/>
                <w:sz w:val="24"/>
              </w:rPr>
            </w:pPr>
            <w:r>
              <w:rPr>
                <w:rFonts w:hint="eastAsia" w:ascii="宋体" w:hAnsi="宋体" w:cs="宋体"/>
                <w:kern w:val="0"/>
                <w:sz w:val="24"/>
              </w:rPr>
              <w:t>固定资产原值：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Merge w:val="continue"/>
            <w:vAlign w:val="center"/>
          </w:tcPr>
          <w:p>
            <w:pPr>
              <w:widowControl/>
              <w:spacing w:line="360" w:lineRule="auto"/>
              <w:jc w:val="left"/>
              <w:rPr>
                <w:rFonts w:ascii="宋体" w:hAnsi="宋体" w:cs="宋体"/>
                <w:kern w:val="0"/>
                <w:sz w:val="24"/>
              </w:rPr>
            </w:pPr>
          </w:p>
        </w:tc>
        <w:tc>
          <w:tcPr>
            <w:tcW w:w="2520" w:type="dxa"/>
            <w:gridSpan w:val="2"/>
            <w:vAlign w:val="center"/>
          </w:tcPr>
          <w:p>
            <w:pPr>
              <w:widowControl/>
              <w:spacing w:line="360" w:lineRule="auto"/>
              <w:jc w:val="left"/>
              <w:rPr>
                <w:rFonts w:ascii="宋体" w:hAnsi="宋体" w:cs="宋体"/>
                <w:kern w:val="0"/>
                <w:sz w:val="24"/>
              </w:rPr>
            </w:pPr>
            <w:r>
              <w:rPr>
                <w:rFonts w:hint="eastAsia" w:ascii="宋体" w:hAnsi="宋体" w:cs="宋体"/>
                <w:kern w:val="0"/>
                <w:sz w:val="24"/>
              </w:rPr>
              <w:t xml:space="preserve">负  债：            </w:t>
            </w:r>
          </w:p>
        </w:tc>
        <w:tc>
          <w:tcPr>
            <w:tcW w:w="4092" w:type="dxa"/>
            <w:gridSpan w:val="3"/>
            <w:vAlign w:val="center"/>
          </w:tcPr>
          <w:p>
            <w:pPr>
              <w:widowControl/>
              <w:spacing w:line="360" w:lineRule="auto"/>
              <w:jc w:val="left"/>
              <w:rPr>
                <w:rFonts w:ascii="宋体" w:hAnsi="宋体" w:cs="宋体"/>
                <w:kern w:val="0"/>
                <w:sz w:val="24"/>
              </w:rPr>
            </w:pPr>
            <w:r>
              <w:rPr>
                <w:rFonts w:hint="eastAsia" w:ascii="宋体" w:hAnsi="宋体" w:cs="宋体"/>
                <w:kern w:val="0"/>
                <w:sz w:val="24"/>
              </w:rPr>
              <w:t>固定资产净值：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2024年 度</w:t>
            </w:r>
          </w:p>
        </w:tc>
        <w:tc>
          <w:tcPr>
            <w:tcW w:w="126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主营收入(万元)</w:t>
            </w:r>
          </w:p>
        </w:tc>
        <w:tc>
          <w:tcPr>
            <w:tcW w:w="126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收入总额(万元)</w:t>
            </w:r>
          </w:p>
        </w:tc>
        <w:tc>
          <w:tcPr>
            <w:tcW w:w="162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利润收入(万元)</w:t>
            </w:r>
          </w:p>
        </w:tc>
        <w:tc>
          <w:tcPr>
            <w:tcW w:w="126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净利润收入(万元)</w:t>
            </w:r>
          </w:p>
        </w:tc>
        <w:tc>
          <w:tcPr>
            <w:tcW w:w="1212"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p>
        </w:tc>
        <w:tc>
          <w:tcPr>
            <w:tcW w:w="1260" w:type="dxa"/>
            <w:vAlign w:val="center"/>
          </w:tcPr>
          <w:p>
            <w:pPr>
              <w:widowControl/>
              <w:spacing w:line="360" w:lineRule="auto"/>
              <w:jc w:val="center"/>
              <w:rPr>
                <w:rFonts w:ascii="宋体" w:hAnsi="宋体" w:cs="宋体"/>
                <w:kern w:val="0"/>
                <w:sz w:val="24"/>
              </w:rPr>
            </w:pPr>
          </w:p>
        </w:tc>
        <w:tc>
          <w:tcPr>
            <w:tcW w:w="1260" w:type="dxa"/>
            <w:vAlign w:val="center"/>
          </w:tcPr>
          <w:p>
            <w:pPr>
              <w:widowControl/>
              <w:spacing w:line="360" w:lineRule="auto"/>
              <w:jc w:val="center"/>
              <w:rPr>
                <w:rFonts w:ascii="宋体" w:hAnsi="宋体" w:cs="宋体"/>
                <w:kern w:val="0"/>
                <w:sz w:val="24"/>
              </w:rPr>
            </w:pPr>
          </w:p>
        </w:tc>
        <w:tc>
          <w:tcPr>
            <w:tcW w:w="1620" w:type="dxa"/>
            <w:vAlign w:val="center"/>
          </w:tcPr>
          <w:p>
            <w:pPr>
              <w:widowControl/>
              <w:spacing w:line="360" w:lineRule="auto"/>
              <w:jc w:val="center"/>
              <w:rPr>
                <w:rFonts w:ascii="宋体" w:hAnsi="宋体" w:cs="宋体"/>
                <w:kern w:val="0"/>
                <w:sz w:val="24"/>
              </w:rPr>
            </w:pPr>
          </w:p>
        </w:tc>
        <w:tc>
          <w:tcPr>
            <w:tcW w:w="1260" w:type="dxa"/>
            <w:vAlign w:val="center"/>
          </w:tcPr>
          <w:p>
            <w:pPr>
              <w:widowControl/>
              <w:spacing w:line="360" w:lineRule="auto"/>
              <w:jc w:val="center"/>
              <w:rPr>
                <w:rFonts w:ascii="宋体" w:hAnsi="宋体" w:cs="宋体"/>
                <w:kern w:val="0"/>
                <w:sz w:val="24"/>
              </w:rPr>
            </w:pPr>
          </w:p>
        </w:tc>
        <w:tc>
          <w:tcPr>
            <w:tcW w:w="1212" w:type="dxa"/>
            <w:vAlign w:val="center"/>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477"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售后服务网点</w:t>
            </w: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服务机构</w:t>
            </w:r>
          </w:p>
          <w:p>
            <w:pPr>
              <w:widowControl/>
              <w:spacing w:line="360" w:lineRule="auto"/>
              <w:jc w:val="center"/>
              <w:rPr>
                <w:rFonts w:ascii="宋体" w:hAnsi="宋体" w:cs="宋体"/>
                <w:kern w:val="0"/>
                <w:sz w:val="24"/>
              </w:rPr>
            </w:pPr>
            <w:r>
              <w:rPr>
                <w:rFonts w:hint="eastAsia" w:ascii="宋体" w:hAnsi="宋体" w:cs="宋体"/>
                <w:kern w:val="0"/>
                <w:sz w:val="24"/>
              </w:rPr>
              <w:t>名称</w:t>
            </w:r>
          </w:p>
        </w:tc>
        <w:tc>
          <w:tcPr>
            <w:tcW w:w="4140" w:type="dxa"/>
            <w:gridSpan w:val="3"/>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26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负 责 人</w:t>
            </w:r>
          </w:p>
        </w:tc>
        <w:tc>
          <w:tcPr>
            <w:tcW w:w="1212"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77" w:type="dxa"/>
            <w:vMerge w:val="continue"/>
            <w:vAlign w:val="center"/>
          </w:tcPr>
          <w:p>
            <w:pPr>
              <w:widowControl/>
              <w:spacing w:line="360" w:lineRule="auto"/>
              <w:jc w:val="left"/>
              <w:rPr>
                <w:rFonts w:ascii="宋体" w:hAnsi="宋体" w:cs="宋体"/>
                <w:kern w:val="0"/>
                <w:sz w:val="24"/>
              </w:rPr>
            </w:pPr>
          </w:p>
        </w:tc>
        <w:tc>
          <w:tcPr>
            <w:tcW w:w="1371"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机构地点</w:t>
            </w:r>
          </w:p>
        </w:tc>
        <w:tc>
          <w:tcPr>
            <w:tcW w:w="4140" w:type="dxa"/>
            <w:gridSpan w:val="3"/>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c>
          <w:tcPr>
            <w:tcW w:w="1260"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联系电话</w:t>
            </w:r>
          </w:p>
        </w:tc>
        <w:tc>
          <w:tcPr>
            <w:tcW w:w="1212"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477"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投标人简介及机构设置</w:t>
            </w:r>
          </w:p>
        </w:tc>
        <w:tc>
          <w:tcPr>
            <w:tcW w:w="7983" w:type="dxa"/>
            <w:gridSpan w:val="6"/>
            <w:vAlign w:val="center"/>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477" w:type="dxa"/>
            <w:vAlign w:val="center"/>
          </w:tcPr>
          <w:p>
            <w:pPr>
              <w:widowControl/>
              <w:spacing w:line="360" w:lineRule="auto"/>
              <w:jc w:val="center"/>
              <w:rPr>
                <w:rFonts w:ascii="宋体" w:hAnsi="宋体" w:cs="宋体"/>
                <w:kern w:val="0"/>
                <w:sz w:val="24"/>
              </w:rPr>
            </w:pPr>
            <w:r>
              <w:rPr>
                <w:rFonts w:hint="eastAsia" w:ascii="宋体" w:hAnsi="宋体" w:cs="宋体"/>
                <w:kern w:val="0"/>
                <w:sz w:val="24"/>
              </w:rPr>
              <w:t>投标人优势及特长</w:t>
            </w:r>
          </w:p>
        </w:tc>
        <w:tc>
          <w:tcPr>
            <w:tcW w:w="7983" w:type="dxa"/>
            <w:gridSpan w:val="6"/>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tc>
      </w:tr>
    </w:tbl>
    <w:p>
      <w:pPr>
        <w:spacing w:line="360" w:lineRule="auto"/>
        <w:rPr>
          <w:rFonts w:ascii="宋体" w:hAnsi="宋体"/>
          <w:bCs/>
          <w:sz w:val="24"/>
        </w:rPr>
      </w:pPr>
      <w:r>
        <w:rPr>
          <w:rFonts w:hint="eastAsia" w:ascii="宋体" w:hAnsi="宋体"/>
          <w:bCs/>
          <w:sz w:val="24"/>
        </w:rPr>
        <w:t>说明：</w:t>
      </w:r>
      <w:r>
        <w:rPr>
          <w:rFonts w:ascii="宋体" w:hAnsi="宋体"/>
          <w:bCs/>
          <w:sz w:val="24"/>
        </w:rPr>
        <w:t>在填写时，如本表格不适合投标人的实际情况，可根据本表格格式自行划表填写。</w:t>
      </w:r>
    </w:p>
    <w:p>
      <w:pPr>
        <w:tabs>
          <w:tab w:val="left" w:pos="1418"/>
        </w:tabs>
        <w:spacing w:line="360" w:lineRule="auto"/>
        <w:ind w:firstLine="240" w:firstLineChars="100"/>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ind w:firstLine="240" w:firstLineChars="100"/>
        <w:rPr>
          <w:rFonts w:ascii="宋体" w:hAnsi="宋体"/>
          <w:b/>
          <w:bCs/>
          <w:sz w:val="24"/>
        </w:rPr>
      </w:pPr>
      <w:r>
        <w:rPr>
          <w:rFonts w:hint="eastAsia" w:ascii="宋体" w:hAnsi="宋体"/>
          <w:bCs/>
          <w:sz w:val="24"/>
        </w:rPr>
        <w:t>投 标 人（盖章）：                              年  月  日</w:t>
      </w:r>
    </w:p>
    <w:p>
      <w:pPr>
        <w:snapToGrid w:val="0"/>
        <w:spacing w:line="360" w:lineRule="auto"/>
        <w:rPr>
          <w:rFonts w:ascii="宋体" w:hAnsi="宋体"/>
          <w:sz w:val="24"/>
        </w:rPr>
      </w:pPr>
      <w:r>
        <w:rPr>
          <w:rFonts w:hint="eastAsia" w:ascii="宋体" w:hAnsi="宋体"/>
          <w:sz w:val="24"/>
        </w:rPr>
        <w:t>4.诚信承诺书格式：</w:t>
      </w:r>
    </w:p>
    <w:p>
      <w:pPr>
        <w:pStyle w:val="2"/>
        <w:spacing w:line="360" w:lineRule="auto"/>
        <w:jc w:val="center"/>
        <w:rPr>
          <w:rFonts w:ascii="宋体" w:hAnsi="宋体" w:eastAsia="宋体"/>
          <w:sz w:val="24"/>
          <w:szCs w:val="24"/>
        </w:rPr>
      </w:pPr>
      <w:r>
        <w:rPr>
          <w:rFonts w:hint="eastAsia" w:ascii="宋体" w:hAnsi="宋体" w:eastAsia="宋体"/>
          <w:sz w:val="24"/>
          <w:szCs w:val="24"/>
        </w:rPr>
        <w:t>诚信承诺书</w:t>
      </w:r>
    </w:p>
    <w:p>
      <w:pPr>
        <w:spacing w:line="360" w:lineRule="auto"/>
        <w:rPr>
          <w:rFonts w:ascii="宋体" w:hAnsi="宋体"/>
          <w:sz w:val="24"/>
        </w:rPr>
      </w:pPr>
      <w:r>
        <w:rPr>
          <w:rFonts w:ascii="宋体" w:hAnsi="宋体"/>
          <w:sz w:val="24"/>
        </w:rPr>
        <w:t>致：</w:t>
      </w:r>
      <w:r>
        <w:rPr>
          <w:rFonts w:hint="eastAsia" w:ascii="宋体" w:hAnsi="宋体"/>
          <w:sz w:val="24"/>
          <w:u w:val="single"/>
        </w:rPr>
        <w:t xml:space="preserve"> 平湖市新仓镇人民政府</w:t>
      </w:r>
      <w:r>
        <w:rPr>
          <w:rFonts w:hint="eastAsia" w:ascii="宋体" w:hAnsi="宋体"/>
          <w:sz w:val="24"/>
        </w:rPr>
        <w:t>（招标采购单位名称）：</w:t>
      </w:r>
    </w:p>
    <w:p>
      <w:pPr>
        <w:spacing w:line="360" w:lineRule="auto"/>
        <w:ind w:firstLine="480" w:firstLineChars="200"/>
        <w:rPr>
          <w:rFonts w:ascii="宋体" w:hAnsi="宋体"/>
          <w:sz w:val="24"/>
        </w:rPr>
      </w:pPr>
      <w:r>
        <w:rPr>
          <w:rFonts w:hint="eastAsia" w:ascii="宋体" w:hAnsi="宋体"/>
          <w:sz w:val="24"/>
        </w:rPr>
        <w:t>我方在参加贵单位的</w:t>
      </w:r>
      <w:r>
        <w:rPr>
          <w:rFonts w:hint="eastAsia" w:ascii="宋体" w:hAnsi="宋体"/>
          <w:sz w:val="24"/>
          <w:u w:val="single"/>
        </w:rPr>
        <w:t xml:space="preserve">                  </w:t>
      </w:r>
      <w:r>
        <w:rPr>
          <w:rFonts w:hint="eastAsia" w:ascii="宋体" w:hAnsi="宋体"/>
          <w:sz w:val="24"/>
        </w:rPr>
        <w:t>政府采购项目的招投标活动中，郑重承诺如下：</w:t>
      </w:r>
    </w:p>
    <w:p>
      <w:pPr>
        <w:spacing w:line="360" w:lineRule="auto"/>
        <w:ind w:firstLine="480" w:firstLineChars="200"/>
        <w:rPr>
          <w:rFonts w:ascii="宋体" w:hAnsi="宋体"/>
          <w:sz w:val="24"/>
        </w:rPr>
      </w:pPr>
      <w:r>
        <w:rPr>
          <w:rFonts w:hint="eastAsia" w:ascii="宋体" w:hAnsi="宋体"/>
          <w:sz w:val="24"/>
        </w:rPr>
        <w:t>1.我方申报的所有资料都是真实、准确、完整的；</w:t>
      </w:r>
    </w:p>
    <w:p>
      <w:pPr>
        <w:spacing w:line="360" w:lineRule="auto"/>
        <w:ind w:firstLine="480" w:firstLineChars="200"/>
        <w:rPr>
          <w:rFonts w:ascii="宋体" w:hAnsi="宋体"/>
          <w:sz w:val="24"/>
        </w:rPr>
      </w:pPr>
      <w:r>
        <w:rPr>
          <w:rFonts w:hint="eastAsia" w:ascii="宋体" w:hAnsi="宋体"/>
          <w:sz w:val="24"/>
        </w:rPr>
        <w:t>2.我方无资质挂靠情形，保证不参与串标、围标及抬标；</w:t>
      </w:r>
    </w:p>
    <w:p>
      <w:pPr>
        <w:spacing w:line="360" w:lineRule="auto"/>
        <w:ind w:firstLine="480" w:firstLineChars="200"/>
        <w:rPr>
          <w:rFonts w:ascii="宋体" w:hAnsi="宋体"/>
          <w:sz w:val="24"/>
        </w:rPr>
      </w:pPr>
      <w:r>
        <w:rPr>
          <w:rFonts w:hint="eastAsia" w:ascii="宋体" w:hAnsi="宋体"/>
          <w:sz w:val="24"/>
        </w:rPr>
        <w:t>3.我方未处于被各级行政主管部门做出停止市场行为处罚的期限内；</w:t>
      </w:r>
    </w:p>
    <w:p>
      <w:pPr>
        <w:spacing w:line="360" w:lineRule="auto"/>
        <w:ind w:firstLine="480" w:firstLineChars="200"/>
        <w:rPr>
          <w:rFonts w:ascii="宋体" w:hAnsi="宋体"/>
          <w:sz w:val="24"/>
        </w:rPr>
      </w:pPr>
      <w:r>
        <w:rPr>
          <w:rFonts w:hint="eastAsia" w:ascii="宋体" w:hAnsi="宋体"/>
          <w:sz w:val="24"/>
        </w:rPr>
        <w:t>4.我方参加本项目政府采购活动前3年内在经营活动中没有重大违法记录；</w:t>
      </w:r>
    </w:p>
    <w:p>
      <w:pPr>
        <w:spacing w:line="360" w:lineRule="auto"/>
        <w:ind w:firstLine="480" w:firstLineChars="200"/>
        <w:rPr>
          <w:rFonts w:ascii="宋体" w:hAnsi="宋体"/>
          <w:sz w:val="24"/>
        </w:rPr>
      </w:pPr>
      <w:r>
        <w:rPr>
          <w:rFonts w:hint="eastAsia" w:ascii="宋体" w:hAnsi="宋体"/>
          <w:sz w:val="24"/>
        </w:rPr>
        <w:t>5.若我方中标，将严格按照规定及时与采购人签订合同；</w:t>
      </w:r>
    </w:p>
    <w:p>
      <w:pPr>
        <w:spacing w:line="360" w:lineRule="auto"/>
        <w:ind w:firstLine="480" w:firstLineChars="200"/>
        <w:rPr>
          <w:rFonts w:ascii="宋体" w:hAnsi="宋体"/>
          <w:sz w:val="24"/>
        </w:rPr>
      </w:pPr>
      <w:r>
        <w:rPr>
          <w:rFonts w:hint="eastAsia" w:ascii="宋体" w:hAnsi="宋体"/>
          <w:sz w:val="24"/>
        </w:rPr>
        <w:t>6.若我方中标，将严格按照招标文件要求及投标文件承诺的报价、质量、工期、供应商案、项目负责人等内容组织实施；</w:t>
      </w:r>
    </w:p>
    <w:p>
      <w:pPr>
        <w:spacing w:line="360" w:lineRule="auto"/>
        <w:ind w:firstLine="480" w:firstLineChars="200"/>
        <w:rPr>
          <w:rFonts w:ascii="宋体" w:hAnsi="宋体"/>
          <w:sz w:val="24"/>
        </w:rPr>
      </w:pPr>
      <w:r>
        <w:rPr>
          <w:rFonts w:hint="eastAsia" w:ascii="宋体" w:hAnsi="宋体"/>
          <w:sz w:val="24"/>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spacing w:line="360" w:lineRule="auto"/>
        <w:ind w:firstLine="480" w:firstLineChars="200"/>
        <w:rPr>
          <w:rFonts w:ascii="宋体" w:hAnsi="宋体"/>
          <w:sz w:val="24"/>
        </w:rPr>
      </w:pPr>
      <w:r>
        <w:rPr>
          <w:rFonts w:hint="eastAsia" w:ascii="宋体" w:hAnsi="宋体"/>
          <w:sz w:val="24"/>
        </w:rPr>
        <w:t>特此承诺。</w:t>
      </w:r>
    </w:p>
    <w:p>
      <w:pPr>
        <w:tabs>
          <w:tab w:val="left" w:pos="1418"/>
        </w:tabs>
        <w:spacing w:line="360" w:lineRule="auto"/>
        <w:rPr>
          <w:rFonts w:ascii="宋体" w:hAnsi="宋体"/>
          <w:bCs/>
          <w:sz w:val="24"/>
        </w:rPr>
      </w:pPr>
      <w:r>
        <w:rPr>
          <w:rFonts w:hint="eastAsia" w:ascii="宋体" w:hAnsi="宋体"/>
          <w:sz w:val="24"/>
        </w:rPr>
        <w:t xml:space="preserve">    </w:t>
      </w: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Cs/>
          <w:sz w:val="24"/>
        </w:rPr>
      </w:pPr>
      <w:r>
        <w:rPr>
          <w:rFonts w:hint="eastAsia" w:ascii="宋体" w:hAnsi="宋体"/>
          <w:bCs/>
          <w:sz w:val="24"/>
        </w:rPr>
        <w:t xml:space="preserve">    投 标 人（盖章）：                              年  月  日</w:t>
      </w: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tabs>
          <w:tab w:val="left" w:pos="1418"/>
        </w:tabs>
        <w:spacing w:line="360" w:lineRule="auto"/>
        <w:rPr>
          <w:rFonts w:ascii="宋体" w:hAnsi="宋体"/>
          <w:bCs/>
          <w:sz w:val="24"/>
        </w:rPr>
      </w:pPr>
    </w:p>
    <w:p>
      <w:pPr>
        <w:snapToGrid w:val="0"/>
        <w:spacing w:line="360" w:lineRule="auto"/>
        <w:rPr>
          <w:rFonts w:ascii="宋体" w:hAnsi="宋体" w:cs="仿宋_GB2312"/>
          <w:kern w:val="0"/>
          <w:sz w:val="24"/>
          <w:lang w:val="zh-CN"/>
        </w:rPr>
      </w:pPr>
      <w:r>
        <w:rPr>
          <w:rFonts w:hint="eastAsia" w:ascii="宋体" w:hAnsi="宋体"/>
          <w:sz w:val="24"/>
        </w:rPr>
        <w:t>5.同类项目业绩</w:t>
      </w:r>
      <w:r>
        <w:rPr>
          <w:rFonts w:ascii="宋体" w:hAnsi="宋体"/>
          <w:sz w:val="24"/>
        </w:rPr>
        <w:t>格式</w:t>
      </w:r>
      <w:r>
        <w:rPr>
          <w:rFonts w:hint="eastAsia" w:ascii="宋体" w:hAnsi="宋体"/>
          <w:sz w:val="24"/>
        </w:rPr>
        <w:t>：</w:t>
      </w:r>
    </w:p>
    <w:p>
      <w:pPr>
        <w:pStyle w:val="11"/>
        <w:spacing w:before="120" w:after="120" w:line="360" w:lineRule="auto"/>
        <w:jc w:val="center"/>
        <w:rPr>
          <w:rFonts w:hAnsi="宋体"/>
          <w:b/>
        </w:rPr>
      </w:pPr>
      <w:r>
        <w:rPr>
          <w:rFonts w:hAnsi="宋体"/>
          <w:b/>
        </w:rPr>
        <w:t>投标人同类项目实施情况一览表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4"/>
        <w:gridCol w:w="1314"/>
        <w:gridCol w:w="1415"/>
        <w:gridCol w:w="900"/>
        <w:gridCol w:w="1335"/>
        <w:gridCol w:w="1245"/>
        <w:gridCol w:w="22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30"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序号</w:t>
            </w:r>
          </w:p>
        </w:tc>
        <w:tc>
          <w:tcPr>
            <w:tcW w:w="13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采购单位名称</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项目名称</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采购数量</w:t>
            </w:r>
          </w:p>
        </w:tc>
        <w:tc>
          <w:tcPr>
            <w:tcW w:w="133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合同</w:t>
            </w:r>
          </w:p>
          <w:p>
            <w:pPr>
              <w:snapToGrid w:val="0"/>
              <w:spacing w:line="360" w:lineRule="auto"/>
              <w:jc w:val="center"/>
              <w:rPr>
                <w:rFonts w:ascii="宋体" w:hAnsi="宋体"/>
                <w:sz w:val="24"/>
              </w:rPr>
            </w:pPr>
            <w:r>
              <w:rPr>
                <w:rFonts w:ascii="宋体" w:hAnsi="宋体"/>
                <w:sz w:val="24"/>
              </w:rPr>
              <w:t>金额</w:t>
            </w:r>
            <w:r>
              <w:rPr>
                <w:rFonts w:hint="eastAsia" w:ascii="宋体" w:hAnsi="宋体"/>
                <w:sz w:val="24"/>
              </w:rPr>
              <w:t>(</w:t>
            </w:r>
            <w:r>
              <w:rPr>
                <w:rFonts w:ascii="宋体" w:hAnsi="宋体"/>
                <w:sz w:val="24"/>
              </w:rPr>
              <w:t>万元</w:t>
            </w:r>
            <w:r>
              <w:rPr>
                <w:rFonts w:hint="eastAsia" w:ascii="宋体" w:hAnsi="宋体"/>
                <w:sz w:val="24"/>
              </w:rPr>
              <w:t>)</w:t>
            </w:r>
          </w:p>
        </w:tc>
        <w:tc>
          <w:tcPr>
            <w:tcW w:w="124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hint="eastAsia" w:ascii="宋体" w:hAnsi="宋体"/>
                <w:sz w:val="24"/>
              </w:rPr>
              <w:t>合同复印件</w:t>
            </w:r>
            <w:r>
              <w:rPr>
                <w:rFonts w:ascii="宋体" w:hAnsi="宋体"/>
                <w:sz w:val="24"/>
              </w:rPr>
              <w:t>页码</w:t>
            </w:r>
          </w:p>
        </w:tc>
        <w:tc>
          <w:tcPr>
            <w:tcW w:w="227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r>
              <w:rPr>
                <w:rFonts w:ascii="宋体" w:hAnsi="宋体"/>
                <w:sz w:val="24"/>
              </w:rPr>
              <w:t>采购单位联系人及</w:t>
            </w:r>
          </w:p>
          <w:p>
            <w:pPr>
              <w:snapToGrid w:val="0"/>
              <w:spacing w:line="360" w:lineRule="auto"/>
              <w:jc w:val="center"/>
              <w:rPr>
                <w:rFonts w:ascii="宋体" w:hAnsi="宋体"/>
                <w:sz w:val="24"/>
              </w:rPr>
            </w:pPr>
            <w:r>
              <w:rPr>
                <w:rFonts w:ascii="宋体" w:hAnsi="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5"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3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24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p>
        </w:tc>
        <w:tc>
          <w:tcPr>
            <w:tcW w:w="22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5"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3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c>
          <w:tcPr>
            <w:tcW w:w="124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 w:val="24"/>
              </w:rPr>
            </w:pPr>
          </w:p>
        </w:tc>
        <w:tc>
          <w:tcPr>
            <w:tcW w:w="22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r>
    </w:tbl>
    <w:p>
      <w:pPr>
        <w:pStyle w:val="7"/>
        <w:snapToGrid w:val="0"/>
        <w:spacing w:line="360" w:lineRule="auto"/>
        <w:rPr>
          <w:rFonts w:ascii="宋体" w:hAnsi="宋体" w:eastAsia="宋体" w:cs="Times New Roman"/>
          <w:sz w:val="24"/>
          <w:szCs w:val="24"/>
        </w:rPr>
      </w:pPr>
      <w:r>
        <w:rPr>
          <w:rFonts w:hint="eastAsia" w:ascii="宋体" w:hAnsi="宋体" w:eastAsia="宋体"/>
          <w:sz w:val="24"/>
          <w:szCs w:val="24"/>
        </w:rPr>
        <w:t>说明：须提供投标人202</w:t>
      </w:r>
      <w:r>
        <w:rPr>
          <w:rFonts w:hint="eastAsia" w:ascii="宋体" w:hAnsi="宋体" w:eastAsia="宋体"/>
          <w:sz w:val="24"/>
          <w:szCs w:val="24"/>
          <w:lang w:val="en-US" w:eastAsia="zh-CN"/>
        </w:rPr>
        <w:t>2</w:t>
      </w:r>
      <w:r>
        <w:rPr>
          <w:rFonts w:hint="eastAsia" w:ascii="宋体" w:hAnsi="宋体" w:eastAsia="宋体"/>
          <w:sz w:val="24"/>
          <w:szCs w:val="24"/>
        </w:rPr>
        <w:t>年1月1日以来同类项目业绩（提供合同、验收报告等证明材料复印件，以签订时间为准)。</w:t>
      </w: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Cs/>
          <w:sz w:val="24"/>
        </w:rPr>
      </w:pPr>
      <w:r>
        <w:rPr>
          <w:rFonts w:hint="eastAsia" w:ascii="宋体" w:hAnsi="宋体"/>
          <w:bCs/>
          <w:sz w:val="24"/>
        </w:rPr>
        <w:t>投 标 人（盖章）：                              年  月  日</w:t>
      </w:r>
    </w:p>
    <w:p>
      <w:pPr>
        <w:tabs>
          <w:tab w:val="left" w:pos="1418"/>
        </w:tabs>
        <w:spacing w:line="360" w:lineRule="auto"/>
        <w:rPr>
          <w:rFonts w:ascii="宋体" w:hAnsi="宋体"/>
          <w:bCs/>
          <w:sz w:val="24"/>
        </w:rPr>
      </w:pPr>
    </w:p>
    <w:p>
      <w:pPr>
        <w:snapToGrid w:val="0"/>
        <w:spacing w:before="50" w:line="360" w:lineRule="auto"/>
        <w:jc w:val="left"/>
        <w:rPr>
          <w:rFonts w:ascii="宋体" w:hAnsi="宋体"/>
          <w:sz w:val="24"/>
        </w:rPr>
      </w:pPr>
      <w:r>
        <w:rPr>
          <w:rFonts w:hint="eastAsia" w:ascii="宋体" w:hAnsi="宋体"/>
          <w:bCs/>
          <w:sz w:val="24"/>
        </w:rPr>
        <w:t>6.</w:t>
      </w:r>
      <w:r>
        <w:rPr>
          <w:rFonts w:ascii="宋体" w:hAnsi="宋体"/>
          <w:sz w:val="24"/>
        </w:rPr>
        <w:t>商务响应表格式：</w:t>
      </w:r>
    </w:p>
    <w:p>
      <w:pPr>
        <w:pStyle w:val="11"/>
        <w:spacing w:before="120" w:after="120" w:line="360" w:lineRule="auto"/>
        <w:jc w:val="center"/>
        <w:rPr>
          <w:rFonts w:hAnsi="宋体"/>
          <w:b/>
        </w:rPr>
      </w:pPr>
      <w:r>
        <w:rPr>
          <w:rFonts w:hint="eastAsia" w:hAnsi="宋体"/>
          <w:b/>
        </w:rPr>
        <w:t>商务响应表</w:t>
      </w:r>
    </w:p>
    <w:p>
      <w:pPr>
        <w:spacing w:line="360" w:lineRule="auto"/>
        <w:ind w:firstLine="240" w:firstLineChars="100"/>
        <w:rPr>
          <w:rFonts w:ascii="宋体" w:hAnsi="宋体"/>
          <w:sz w:val="24"/>
        </w:rPr>
      </w:pPr>
      <w:r>
        <w:rPr>
          <w:rFonts w:hint="eastAsia" w:ascii="宋体" w:hAnsi="宋体"/>
          <w:sz w:val="24"/>
        </w:rPr>
        <w:t>单位名称（盖章）：</w:t>
      </w:r>
    </w:p>
    <w:tbl>
      <w:tblPr>
        <w:tblStyle w:val="22"/>
        <w:tblW w:w="0" w:type="auto"/>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086"/>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pPr>
              <w:spacing w:before="240" w:after="240" w:line="360" w:lineRule="auto"/>
              <w:jc w:val="center"/>
              <w:rPr>
                <w:rFonts w:ascii="宋体" w:hAnsi="宋体"/>
                <w:sz w:val="24"/>
              </w:rPr>
            </w:pPr>
            <w:r>
              <w:rPr>
                <w:rFonts w:hint="eastAsia" w:ascii="宋体" w:hAnsi="宋体"/>
                <w:sz w:val="24"/>
              </w:rPr>
              <w:t>序号</w:t>
            </w:r>
          </w:p>
        </w:tc>
        <w:tc>
          <w:tcPr>
            <w:tcW w:w="3086" w:type="dxa"/>
          </w:tcPr>
          <w:p>
            <w:pPr>
              <w:spacing w:before="240" w:after="240" w:line="360" w:lineRule="auto"/>
              <w:jc w:val="center"/>
              <w:rPr>
                <w:rFonts w:ascii="宋体" w:hAnsi="宋体"/>
                <w:sz w:val="24"/>
              </w:rPr>
            </w:pPr>
            <w:r>
              <w:rPr>
                <w:rFonts w:hint="eastAsia" w:ascii="宋体" w:hAnsi="宋体"/>
                <w:sz w:val="24"/>
              </w:rPr>
              <w:t>招标文件的规定</w:t>
            </w:r>
          </w:p>
        </w:tc>
        <w:tc>
          <w:tcPr>
            <w:tcW w:w="3086" w:type="dxa"/>
          </w:tcPr>
          <w:p>
            <w:pPr>
              <w:spacing w:before="240" w:after="240" w:line="360" w:lineRule="auto"/>
              <w:jc w:val="center"/>
              <w:rPr>
                <w:rFonts w:ascii="宋体" w:hAnsi="宋体"/>
                <w:sz w:val="24"/>
              </w:rPr>
            </w:pPr>
            <w:r>
              <w:rPr>
                <w:rFonts w:hint="eastAsia" w:ascii="宋体" w:hAnsi="宋体"/>
                <w:sz w:val="24"/>
              </w:rPr>
              <w:t>投标文件的响应</w:t>
            </w:r>
          </w:p>
        </w:tc>
        <w:tc>
          <w:tcPr>
            <w:tcW w:w="1411" w:type="dxa"/>
          </w:tcPr>
          <w:p>
            <w:pPr>
              <w:spacing w:before="240" w:after="240" w:line="360" w:lineRule="auto"/>
              <w:jc w:val="center"/>
              <w:rPr>
                <w:rFonts w:ascii="宋体" w:hAnsi="宋体"/>
                <w:sz w:val="24"/>
              </w:rPr>
            </w:pPr>
            <w:r>
              <w:rPr>
                <w:rFonts w:hint="eastAsia" w:ascii="宋体" w:hAnsi="宋体"/>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pPr>
              <w:spacing w:before="240" w:after="240" w:line="360" w:lineRule="auto"/>
              <w:rPr>
                <w:rFonts w:ascii="宋体" w:hAnsi="宋体"/>
                <w:sz w:val="24"/>
              </w:rPr>
            </w:pPr>
          </w:p>
        </w:tc>
        <w:tc>
          <w:tcPr>
            <w:tcW w:w="3086" w:type="dxa"/>
          </w:tcPr>
          <w:p>
            <w:pPr>
              <w:spacing w:before="240" w:after="240" w:line="360" w:lineRule="auto"/>
              <w:rPr>
                <w:rFonts w:ascii="宋体" w:hAnsi="宋体"/>
                <w:sz w:val="24"/>
              </w:rPr>
            </w:pPr>
          </w:p>
        </w:tc>
        <w:tc>
          <w:tcPr>
            <w:tcW w:w="3086" w:type="dxa"/>
          </w:tcPr>
          <w:p>
            <w:pPr>
              <w:spacing w:before="240" w:after="240" w:line="360" w:lineRule="auto"/>
              <w:rPr>
                <w:rFonts w:ascii="宋体" w:hAnsi="宋体"/>
                <w:sz w:val="24"/>
              </w:rPr>
            </w:pPr>
          </w:p>
        </w:tc>
        <w:tc>
          <w:tcPr>
            <w:tcW w:w="1411" w:type="dxa"/>
          </w:tcPr>
          <w:p>
            <w:pPr>
              <w:spacing w:before="240" w:after="240"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pPr>
              <w:spacing w:before="240" w:after="240" w:line="360" w:lineRule="auto"/>
              <w:rPr>
                <w:rFonts w:ascii="宋体" w:hAnsi="宋体"/>
                <w:sz w:val="24"/>
              </w:rPr>
            </w:pPr>
          </w:p>
        </w:tc>
        <w:tc>
          <w:tcPr>
            <w:tcW w:w="3086" w:type="dxa"/>
          </w:tcPr>
          <w:p>
            <w:pPr>
              <w:spacing w:before="240" w:after="240" w:line="360" w:lineRule="auto"/>
              <w:rPr>
                <w:rFonts w:ascii="宋体" w:hAnsi="宋体"/>
                <w:sz w:val="24"/>
              </w:rPr>
            </w:pPr>
          </w:p>
        </w:tc>
        <w:tc>
          <w:tcPr>
            <w:tcW w:w="3086" w:type="dxa"/>
          </w:tcPr>
          <w:p>
            <w:pPr>
              <w:spacing w:before="240" w:after="240" w:line="360" w:lineRule="auto"/>
              <w:rPr>
                <w:rFonts w:ascii="宋体" w:hAnsi="宋体"/>
                <w:sz w:val="24"/>
              </w:rPr>
            </w:pPr>
          </w:p>
        </w:tc>
        <w:tc>
          <w:tcPr>
            <w:tcW w:w="1411" w:type="dxa"/>
          </w:tcPr>
          <w:p>
            <w:pPr>
              <w:spacing w:before="240" w:after="240" w:line="360" w:lineRule="auto"/>
              <w:rPr>
                <w:rFonts w:ascii="宋体" w:hAnsi="宋体"/>
                <w:sz w:val="24"/>
              </w:rPr>
            </w:pPr>
          </w:p>
        </w:tc>
      </w:tr>
    </w:tbl>
    <w:p>
      <w:pPr>
        <w:spacing w:line="360" w:lineRule="auto"/>
        <w:rPr>
          <w:rFonts w:ascii="宋体" w:hAnsi="宋体"/>
          <w:sz w:val="24"/>
        </w:rPr>
      </w:pPr>
      <w:r>
        <w:rPr>
          <w:rFonts w:hint="eastAsia" w:ascii="宋体" w:hAnsi="宋体"/>
          <w:sz w:val="24"/>
        </w:rPr>
        <w:t>注：投标人的投标文件（除技术规格部分）与招标文件之规定存在偏离的，应在此表中如实说明。未在上表中说明的，将被认为完全响应招标文件的规定。</w:t>
      </w:r>
    </w:p>
    <w:p>
      <w:pPr>
        <w:spacing w:line="360" w:lineRule="auto"/>
        <w:rPr>
          <w:rFonts w:ascii="宋体" w:hAnsi="宋体"/>
          <w:sz w:val="24"/>
        </w:rPr>
      </w:pP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Cs/>
          <w:sz w:val="24"/>
        </w:rPr>
      </w:pPr>
      <w:r>
        <w:rPr>
          <w:rFonts w:hint="eastAsia" w:ascii="宋体" w:hAnsi="宋体"/>
          <w:bCs/>
          <w:sz w:val="24"/>
        </w:rPr>
        <w:t>投 标 人（盖章）：                              年  月  日</w:t>
      </w:r>
    </w:p>
    <w:p>
      <w:pPr>
        <w:snapToGrid w:val="0"/>
        <w:spacing w:before="50" w:after="120" w:afterLines="50" w:line="360" w:lineRule="auto"/>
        <w:jc w:val="left"/>
        <w:rPr>
          <w:rFonts w:ascii="宋体" w:hAnsi="宋体"/>
          <w:sz w:val="24"/>
        </w:rPr>
      </w:pPr>
      <w:r>
        <w:rPr>
          <w:rFonts w:hint="eastAsia" w:ascii="宋体" w:hAnsi="宋体"/>
          <w:bCs/>
          <w:sz w:val="24"/>
        </w:rPr>
        <w:t>7.</w:t>
      </w:r>
      <w:r>
        <w:rPr>
          <w:rFonts w:hint="eastAsia" w:ascii="宋体" w:hAnsi="宋体"/>
          <w:sz w:val="24"/>
        </w:rPr>
        <w:t>技术响应表</w:t>
      </w:r>
    </w:p>
    <w:p>
      <w:pPr>
        <w:pStyle w:val="11"/>
        <w:spacing w:before="120" w:after="120" w:line="360" w:lineRule="auto"/>
        <w:jc w:val="center"/>
        <w:rPr>
          <w:rFonts w:hAnsi="宋体"/>
          <w:b/>
        </w:rPr>
      </w:pPr>
      <w:r>
        <w:rPr>
          <w:rFonts w:hint="eastAsia" w:hAnsi="宋体"/>
          <w:b/>
        </w:rPr>
        <w:t>技术响应表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6"/>
        <w:gridCol w:w="1626"/>
        <w:gridCol w:w="2318"/>
        <w:gridCol w:w="2784"/>
        <w:gridCol w:w="13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exact"/>
          <w:jc w:val="center"/>
        </w:trPr>
        <w:tc>
          <w:tcPr>
            <w:tcW w:w="3252" w:type="dxa"/>
            <w:gridSpan w:val="2"/>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44" w:name="_Toc385854110"/>
            <w:bookmarkStart w:id="45" w:name="_Toc406402957"/>
            <w:bookmarkStart w:id="46" w:name="_Toc381081903"/>
            <w:bookmarkStart w:id="47" w:name="_Toc402963095"/>
            <w:bookmarkStart w:id="48" w:name="_Toc401570290"/>
            <w:bookmarkStart w:id="49" w:name="_Toc377028057"/>
            <w:bookmarkStart w:id="50" w:name="_Toc377653976"/>
            <w:bookmarkStart w:id="51" w:name="_Toc382928118"/>
            <w:bookmarkStart w:id="52" w:name="_Toc385854156"/>
            <w:bookmarkStart w:id="53" w:name="_Toc377028119"/>
            <w:bookmarkStart w:id="54" w:name="_Toc402963128"/>
            <w:bookmarkStart w:id="55" w:name="_Toc382928236"/>
            <w:bookmarkStart w:id="56" w:name="_Toc401570314"/>
            <w:bookmarkStart w:id="57" w:name="_Toc406403001"/>
            <w:r>
              <w:rPr>
                <w:rFonts w:hint="eastAsia" w:hAnsi="宋体"/>
              </w:rPr>
              <w:t>招标文件要求</w:t>
            </w:r>
            <w:bookmarkEnd w:id="44"/>
            <w:bookmarkEnd w:id="45"/>
            <w:bookmarkEnd w:id="46"/>
            <w:bookmarkEnd w:id="47"/>
            <w:bookmarkEnd w:id="48"/>
            <w:bookmarkEnd w:id="49"/>
            <w:bookmarkEnd w:id="50"/>
            <w:bookmarkEnd w:id="51"/>
            <w:bookmarkEnd w:id="52"/>
            <w:bookmarkEnd w:id="53"/>
            <w:bookmarkEnd w:id="54"/>
            <w:bookmarkEnd w:id="55"/>
            <w:bookmarkEnd w:id="56"/>
            <w:bookmarkEnd w:id="57"/>
          </w:p>
        </w:tc>
        <w:tc>
          <w:tcPr>
            <w:tcW w:w="5102" w:type="dxa"/>
            <w:gridSpan w:val="2"/>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58" w:name="_Toc377028120"/>
            <w:bookmarkStart w:id="59" w:name="_Toc382928237"/>
            <w:bookmarkStart w:id="60" w:name="_Toc382928119"/>
            <w:bookmarkStart w:id="61" w:name="_Toc385854157"/>
            <w:bookmarkStart w:id="62" w:name="_Toc402963096"/>
            <w:bookmarkStart w:id="63" w:name="_Toc402963129"/>
            <w:bookmarkStart w:id="64" w:name="_Toc377028058"/>
            <w:bookmarkStart w:id="65" w:name="_Toc401570291"/>
            <w:bookmarkStart w:id="66" w:name="_Toc385854111"/>
            <w:bookmarkStart w:id="67" w:name="_Toc377653977"/>
            <w:bookmarkStart w:id="68" w:name="_Toc406402958"/>
            <w:bookmarkStart w:id="69" w:name="_Toc406403002"/>
            <w:bookmarkStart w:id="70" w:name="_Toc381081904"/>
            <w:bookmarkStart w:id="71" w:name="_Toc401570315"/>
            <w:r>
              <w:rPr>
                <w:rFonts w:hint="eastAsia" w:hAnsi="宋体"/>
              </w:rPr>
              <w:t>投标文件响应</w:t>
            </w:r>
            <w:bookmarkEnd w:id="58"/>
            <w:bookmarkEnd w:id="59"/>
            <w:bookmarkEnd w:id="60"/>
            <w:bookmarkEnd w:id="61"/>
            <w:bookmarkEnd w:id="62"/>
            <w:bookmarkEnd w:id="63"/>
            <w:bookmarkEnd w:id="64"/>
            <w:bookmarkEnd w:id="65"/>
            <w:bookmarkEnd w:id="66"/>
            <w:bookmarkEnd w:id="67"/>
            <w:bookmarkEnd w:id="68"/>
            <w:bookmarkEnd w:id="69"/>
            <w:bookmarkEnd w:id="70"/>
            <w:bookmarkEnd w:id="71"/>
          </w:p>
        </w:tc>
        <w:tc>
          <w:tcPr>
            <w:tcW w:w="1387" w:type="dxa"/>
            <w:vMerge w:val="restart"/>
            <w:tcBorders>
              <w:top w:val="single" w:color="auto" w:sz="4" w:space="0"/>
              <w:left w:val="single" w:color="auto" w:sz="4" w:space="0"/>
              <w:bottom w:val="single" w:color="auto" w:sz="4" w:space="0"/>
              <w:right w:val="single" w:color="auto" w:sz="4" w:space="0"/>
            </w:tcBorders>
            <w:vAlign w:val="center"/>
          </w:tcPr>
          <w:p>
            <w:pPr>
              <w:pStyle w:val="11"/>
              <w:snapToGrid w:val="0"/>
              <w:spacing w:before="295" w:beforeLines="0" w:after="295" w:afterLines="0" w:line="360" w:lineRule="auto"/>
              <w:jc w:val="center"/>
              <w:outlineLvl w:val="0"/>
              <w:rPr>
                <w:rFonts w:hAnsi="宋体"/>
              </w:rPr>
            </w:pPr>
            <w:bookmarkStart w:id="72" w:name="_Toc401570316"/>
            <w:bookmarkStart w:id="73" w:name="_Toc401570292"/>
            <w:bookmarkStart w:id="74" w:name="_Toc382928238"/>
            <w:bookmarkStart w:id="75" w:name="_Toc406402959"/>
            <w:bookmarkStart w:id="76" w:name="_Toc377028121"/>
            <w:bookmarkStart w:id="77" w:name="_Toc377653978"/>
            <w:bookmarkStart w:id="78" w:name="_Toc381081905"/>
            <w:bookmarkStart w:id="79" w:name="_Toc385854158"/>
            <w:bookmarkStart w:id="80" w:name="_Toc406403003"/>
            <w:bookmarkStart w:id="81" w:name="_Toc385854112"/>
            <w:bookmarkStart w:id="82" w:name="_Toc402963130"/>
            <w:bookmarkStart w:id="83" w:name="_Toc402963097"/>
            <w:bookmarkStart w:id="84" w:name="_Toc382928120"/>
            <w:bookmarkStart w:id="85" w:name="_Toc377028059"/>
            <w:r>
              <w:rPr>
                <w:rFonts w:hint="eastAsia" w:hAnsi="宋体"/>
              </w:rPr>
              <w:t>偏离</w:t>
            </w:r>
          </w:p>
          <w:p>
            <w:pPr>
              <w:pStyle w:val="11"/>
              <w:snapToGrid w:val="0"/>
              <w:spacing w:before="295" w:beforeLines="0" w:after="295" w:afterLines="0" w:line="360" w:lineRule="auto"/>
              <w:jc w:val="center"/>
              <w:outlineLvl w:val="0"/>
              <w:rPr>
                <w:rFonts w:hAnsi="宋体"/>
              </w:rPr>
            </w:pPr>
            <w:r>
              <w:rPr>
                <w:rFonts w:hint="eastAsia" w:hAnsi="宋体"/>
              </w:rPr>
              <w:t>情况</w:t>
            </w:r>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exact"/>
          <w:jc w:val="center"/>
        </w:trPr>
        <w:tc>
          <w:tcPr>
            <w:tcW w:w="1626"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86" w:name="_Toc377028060"/>
            <w:bookmarkStart w:id="87" w:name="_Toc402963098"/>
            <w:bookmarkStart w:id="88" w:name="_Toc385854159"/>
            <w:bookmarkStart w:id="89" w:name="_Toc382928121"/>
            <w:bookmarkStart w:id="90" w:name="_Toc401570317"/>
            <w:bookmarkStart w:id="91" w:name="_Toc401570293"/>
            <w:bookmarkStart w:id="92" w:name="_Toc381081906"/>
            <w:bookmarkStart w:id="93" w:name="_Toc402963131"/>
            <w:bookmarkStart w:id="94" w:name="_Toc406403004"/>
            <w:bookmarkStart w:id="95" w:name="_Toc406402960"/>
            <w:bookmarkStart w:id="96" w:name="_Toc385854113"/>
            <w:bookmarkStart w:id="97" w:name="_Toc377028122"/>
            <w:bookmarkStart w:id="98" w:name="_Toc382928239"/>
            <w:bookmarkStart w:id="99" w:name="_Toc377653979"/>
            <w:r>
              <w:rPr>
                <w:rFonts w:hint="eastAsia" w:hAnsi="宋体"/>
              </w:rPr>
              <w:t>项目</w:t>
            </w:r>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626"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100" w:name="_Toc402963132"/>
            <w:bookmarkStart w:id="101" w:name="_Toc377653980"/>
            <w:bookmarkStart w:id="102" w:name="_Toc406402961"/>
            <w:bookmarkStart w:id="103" w:name="_Toc382928240"/>
            <w:bookmarkStart w:id="104" w:name="_Toc381081907"/>
            <w:bookmarkStart w:id="105" w:name="_Toc385854160"/>
            <w:bookmarkStart w:id="106" w:name="_Toc382928122"/>
            <w:bookmarkStart w:id="107" w:name="_Toc406403005"/>
            <w:bookmarkStart w:id="108" w:name="_Toc377028061"/>
            <w:bookmarkStart w:id="109" w:name="_Toc401570294"/>
            <w:bookmarkStart w:id="110" w:name="_Toc402963099"/>
            <w:bookmarkStart w:id="111" w:name="_Toc377028123"/>
            <w:bookmarkStart w:id="112" w:name="_Toc401570318"/>
            <w:bookmarkStart w:id="113" w:name="_Toc385854114"/>
            <w:r>
              <w:rPr>
                <w:rFonts w:hint="eastAsia" w:hAnsi="宋体"/>
              </w:rPr>
              <w:t>要求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c>
        <w:tc>
          <w:tcPr>
            <w:tcW w:w="2318"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114" w:name="_Toc377653981"/>
            <w:bookmarkStart w:id="115" w:name="_Toc385854161"/>
            <w:bookmarkStart w:id="116" w:name="_Toc402963100"/>
            <w:bookmarkStart w:id="117" w:name="_Toc406402962"/>
            <w:bookmarkStart w:id="118" w:name="_Toc401570295"/>
            <w:bookmarkStart w:id="119" w:name="_Toc385854115"/>
            <w:bookmarkStart w:id="120" w:name="_Toc401570319"/>
            <w:bookmarkStart w:id="121" w:name="_Toc377028124"/>
            <w:bookmarkStart w:id="122" w:name="_Toc382928123"/>
            <w:bookmarkStart w:id="123" w:name="_Toc406403006"/>
            <w:bookmarkStart w:id="124" w:name="_Toc377028062"/>
            <w:bookmarkStart w:id="125" w:name="_Toc381081908"/>
            <w:bookmarkStart w:id="126" w:name="_Toc402963133"/>
            <w:bookmarkStart w:id="127" w:name="_Toc382928241"/>
            <w:r>
              <w:rPr>
                <w:rFonts w:hint="eastAsia" w:hAnsi="宋体"/>
              </w:rPr>
              <w:t>设备名称</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2784"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jc w:val="center"/>
              <w:outlineLvl w:val="0"/>
              <w:rPr>
                <w:rFonts w:hAnsi="宋体"/>
              </w:rPr>
            </w:pPr>
            <w:bookmarkStart w:id="128" w:name="_Toc385854162"/>
            <w:bookmarkStart w:id="129" w:name="_Toc381081909"/>
            <w:bookmarkStart w:id="130" w:name="_Toc385854116"/>
            <w:bookmarkStart w:id="131" w:name="_Toc401570320"/>
            <w:bookmarkStart w:id="132" w:name="_Toc377028125"/>
            <w:bookmarkStart w:id="133" w:name="_Toc406403007"/>
            <w:bookmarkStart w:id="134" w:name="_Toc377653982"/>
            <w:bookmarkStart w:id="135" w:name="_Toc402963134"/>
            <w:bookmarkStart w:id="136" w:name="_Toc401570296"/>
            <w:bookmarkStart w:id="137" w:name="_Toc382928242"/>
            <w:bookmarkStart w:id="138" w:name="_Toc382928124"/>
            <w:bookmarkStart w:id="139" w:name="_Toc402963101"/>
            <w:bookmarkStart w:id="140" w:name="_Toc377028063"/>
            <w:bookmarkStart w:id="141" w:name="_Toc406402963"/>
            <w:r>
              <w:rPr>
                <w:rFonts w:hint="eastAsia" w:hAnsi="宋体"/>
              </w:rPr>
              <w:t>性能及指标</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tc>
        <w:tc>
          <w:tcPr>
            <w:tcW w:w="13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exact"/>
          <w:jc w:val="center"/>
        </w:trPr>
        <w:tc>
          <w:tcPr>
            <w:tcW w:w="1626"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120" w:after="120" w:line="360" w:lineRule="auto"/>
              <w:outlineLvl w:val="0"/>
              <w:rPr>
                <w:rFonts w:hAnsi="宋体"/>
              </w:rPr>
            </w:pPr>
          </w:p>
        </w:tc>
        <w:tc>
          <w:tcPr>
            <w:tcW w:w="1626"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beforeLines="0" w:after="295" w:afterLines="0" w:line="360" w:lineRule="auto"/>
              <w:outlineLvl w:val="0"/>
              <w:rPr>
                <w:rFonts w:hAnsi="宋体"/>
              </w:rPr>
            </w:pPr>
          </w:p>
        </w:tc>
        <w:tc>
          <w:tcPr>
            <w:tcW w:w="2318"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c>
          <w:tcPr>
            <w:tcW w:w="2784"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c>
          <w:tcPr>
            <w:tcW w:w="1387"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exact"/>
          <w:jc w:val="center"/>
        </w:trPr>
        <w:tc>
          <w:tcPr>
            <w:tcW w:w="1626"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120" w:after="120" w:line="360" w:lineRule="auto"/>
              <w:outlineLvl w:val="0"/>
              <w:rPr>
                <w:rFonts w:hAnsi="宋体"/>
              </w:rPr>
            </w:pPr>
          </w:p>
        </w:tc>
        <w:tc>
          <w:tcPr>
            <w:tcW w:w="1626" w:type="dxa"/>
            <w:tcBorders>
              <w:top w:val="single" w:color="auto" w:sz="4" w:space="0"/>
              <w:left w:val="single" w:color="auto" w:sz="4" w:space="0"/>
              <w:bottom w:val="single" w:color="auto" w:sz="4" w:space="0"/>
              <w:right w:val="single" w:color="auto" w:sz="4" w:space="0"/>
            </w:tcBorders>
            <w:vAlign w:val="center"/>
          </w:tcPr>
          <w:p>
            <w:pPr>
              <w:pStyle w:val="11"/>
              <w:snapToGrid w:val="0"/>
              <w:spacing w:before="295" w:beforeLines="0" w:after="295" w:afterLines="0" w:line="360" w:lineRule="auto"/>
              <w:outlineLvl w:val="0"/>
              <w:rPr>
                <w:rFonts w:hAnsi="宋体"/>
              </w:rPr>
            </w:pPr>
          </w:p>
        </w:tc>
        <w:tc>
          <w:tcPr>
            <w:tcW w:w="2318"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c>
          <w:tcPr>
            <w:tcW w:w="2784"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c>
          <w:tcPr>
            <w:tcW w:w="1387" w:type="dxa"/>
            <w:tcBorders>
              <w:top w:val="single" w:color="auto" w:sz="4" w:space="0"/>
              <w:left w:val="single" w:color="auto" w:sz="4" w:space="0"/>
              <w:bottom w:val="single" w:color="auto" w:sz="4" w:space="0"/>
              <w:right w:val="single" w:color="auto" w:sz="4" w:space="0"/>
            </w:tcBorders>
          </w:tcPr>
          <w:p>
            <w:pPr>
              <w:pStyle w:val="11"/>
              <w:snapToGrid w:val="0"/>
              <w:spacing w:before="295" w:beforeLines="0" w:after="295" w:afterLines="0" w:line="360" w:lineRule="auto"/>
              <w:outlineLvl w:val="0"/>
              <w:rPr>
                <w:rFonts w:hAnsi="宋体"/>
              </w:rPr>
            </w:pPr>
          </w:p>
        </w:tc>
      </w:tr>
    </w:tbl>
    <w:p>
      <w:pPr>
        <w:pStyle w:val="8"/>
        <w:spacing w:line="360" w:lineRule="auto"/>
        <w:rPr>
          <w:rFonts w:ascii="宋体" w:hAnsi="宋体"/>
          <w:sz w:val="24"/>
        </w:rPr>
      </w:pPr>
      <w:r>
        <w:rPr>
          <w:rFonts w:ascii="宋体" w:hAnsi="宋体"/>
          <w:sz w:val="24"/>
        </w:rPr>
        <w:t>注：投标人应根据投标设备的性能指标、对照招标文件要求在“偏离情况”栏注明“正偏离”、“负偏离”或“无偏离”。</w:t>
      </w:r>
    </w:p>
    <w:p>
      <w:pPr>
        <w:pStyle w:val="8"/>
        <w:spacing w:line="360" w:lineRule="auto"/>
        <w:rPr>
          <w:rFonts w:ascii="宋体" w:hAnsi="宋体"/>
          <w:sz w:val="24"/>
        </w:rPr>
      </w:pP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
          <w:bCs/>
          <w:sz w:val="24"/>
        </w:rPr>
      </w:pPr>
      <w:r>
        <w:rPr>
          <w:rFonts w:hint="eastAsia" w:ascii="宋体" w:hAnsi="宋体"/>
          <w:bCs/>
          <w:sz w:val="24"/>
        </w:rPr>
        <w:t>投 标 人（盖章）：                              年  月  日</w:t>
      </w: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p>
    <w:p>
      <w:pPr>
        <w:snapToGrid w:val="0"/>
        <w:spacing w:before="50" w:after="120" w:afterLines="50" w:line="360" w:lineRule="auto"/>
        <w:jc w:val="left"/>
        <w:rPr>
          <w:rFonts w:ascii="宋体" w:hAnsi="宋体"/>
          <w:sz w:val="24"/>
        </w:rPr>
      </w:pPr>
      <w:r>
        <w:rPr>
          <w:rFonts w:hint="eastAsia" w:ascii="宋体" w:hAnsi="宋体"/>
          <w:sz w:val="24"/>
        </w:rPr>
        <w:t>8.设备配置清单</w:t>
      </w:r>
    </w:p>
    <w:p>
      <w:pPr>
        <w:pStyle w:val="11"/>
        <w:spacing w:before="120" w:after="120" w:line="360" w:lineRule="auto"/>
        <w:jc w:val="center"/>
        <w:rPr>
          <w:rFonts w:hAnsi="宋体"/>
        </w:rPr>
      </w:pPr>
      <w:r>
        <w:rPr>
          <w:rFonts w:hint="eastAsia" w:hAnsi="宋体"/>
          <w:b/>
        </w:rPr>
        <w:t>设备配置清单</w:t>
      </w:r>
      <w:r>
        <w:rPr>
          <w:rFonts w:hint="eastAsia" w:hAnsi="宋体"/>
        </w:rPr>
        <w:t xml:space="preserve">                   </w:t>
      </w:r>
    </w:p>
    <w:tbl>
      <w:tblPr>
        <w:tblStyle w:val="22"/>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851"/>
        <w:gridCol w:w="1795"/>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设备名称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产地</w:t>
            </w:r>
          </w:p>
        </w:tc>
        <w:tc>
          <w:tcPr>
            <w:tcW w:w="1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规格型号</w:t>
            </w:r>
          </w:p>
          <w:p>
            <w:pPr>
              <w:snapToGrid w:val="0"/>
              <w:spacing w:before="50" w:after="50" w:line="360" w:lineRule="auto"/>
              <w:jc w:val="center"/>
              <w:rPr>
                <w:rFonts w:ascii="宋体" w:hAnsi="宋体"/>
                <w:sz w:val="24"/>
              </w:rPr>
            </w:pPr>
            <w:r>
              <w:rPr>
                <w:rFonts w:hint="eastAsia" w:ascii="宋体" w:hAnsi="宋体"/>
                <w:sz w:val="24"/>
              </w:rPr>
              <w:t>性能及指标</w:t>
            </w:r>
          </w:p>
        </w:tc>
        <w:tc>
          <w:tcPr>
            <w:tcW w:w="179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数量及单位</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hanging="480"/>
              <w:jc w:val="center"/>
              <w:rPr>
                <w:rFonts w:ascii="宋体" w:hAnsi="宋体"/>
                <w:sz w:val="24"/>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79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hanging="480"/>
              <w:jc w:val="center"/>
              <w:rPr>
                <w:rFonts w:ascii="宋体" w:hAnsi="宋体"/>
                <w:sz w:val="24"/>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795"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sz w:val="24"/>
              </w:rPr>
            </w:pPr>
          </w:p>
        </w:tc>
      </w:tr>
    </w:tbl>
    <w:p>
      <w:pPr>
        <w:tabs>
          <w:tab w:val="left" w:pos="1418"/>
        </w:tabs>
        <w:spacing w:line="360" w:lineRule="auto"/>
        <w:ind w:firstLine="240" w:firstLineChars="100"/>
        <w:rPr>
          <w:rFonts w:ascii="宋体" w:hAnsi="宋体" w:cs="宋体"/>
          <w:sz w:val="24"/>
        </w:rPr>
      </w:pPr>
      <w:r>
        <w:rPr>
          <w:rFonts w:hint="eastAsia" w:ascii="宋体" w:hAnsi="宋体" w:cs="宋体"/>
          <w:sz w:val="24"/>
        </w:rPr>
        <w:t>注：请对照采购内容清单序列编制上表，表格行数不够可自行添加。表述需细化的可附具体的要求图文资料。▲以上内容不得含有报价。</w:t>
      </w:r>
    </w:p>
    <w:p>
      <w:pPr>
        <w:tabs>
          <w:tab w:val="left" w:pos="1418"/>
        </w:tabs>
        <w:spacing w:line="360" w:lineRule="auto"/>
        <w:ind w:firstLine="240" w:firstLineChars="100"/>
        <w:rPr>
          <w:rFonts w:ascii="宋体" w:hAnsi="宋体"/>
          <w:sz w:val="24"/>
        </w:rPr>
      </w:pPr>
    </w:p>
    <w:p>
      <w:pPr>
        <w:tabs>
          <w:tab w:val="left" w:pos="1418"/>
        </w:tabs>
        <w:spacing w:line="360" w:lineRule="auto"/>
        <w:ind w:firstLine="240" w:firstLineChars="100"/>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ind w:firstLine="240" w:firstLineChars="100"/>
        <w:rPr>
          <w:rFonts w:ascii="宋体" w:hAnsi="宋体"/>
          <w:b/>
          <w:bCs/>
          <w:sz w:val="24"/>
        </w:rPr>
      </w:pPr>
      <w:r>
        <w:rPr>
          <w:rFonts w:hint="eastAsia" w:ascii="宋体" w:hAnsi="宋体"/>
          <w:bCs/>
          <w:sz w:val="24"/>
        </w:rPr>
        <w:t>投 标 人（盖章）：                              年  月  日</w:t>
      </w:r>
    </w:p>
    <w:p>
      <w:pPr>
        <w:tabs>
          <w:tab w:val="left" w:pos="1418"/>
        </w:tabs>
        <w:spacing w:line="360" w:lineRule="auto"/>
        <w:rPr>
          <w:rFonts w:ascii="宋体" w:hAnsi="宋体"/>
          <w:bCs/>
          <w:sz w:val="24"/>
        </w:rPr>
      </w:pPr>
    </w:p>
    <w:p>
      <w:pPr>
        <w:snapToGrid w:val="0"/>
        <w:spacing w:before="50" w:after="120" w:afterLines="50" w:line="360" w:lineRule="auto"/>
        <w:jc w:val="left"/>
        <w:rPr>
          <w:rFonts w:ascii="宋体" w:hAnsi="宋体"/>
          <w:sz w:val="24"/>
        </w:rPr>
      </w:pPr>
      <w:r>
        <w:rPr>
          <w:rFonts w:hint="eastAsia" w:ascii="宋体" w:hAnsi="宋体"/>
          <w:sz w:val="24"/>
        </w:rPr>
        <w:t>9.项目实施人员一览表</w:t>
      </w:r>
    </w:p>
    <w:p>
      <w:pPr>
        <w:pStyle w:val="11"/>
        <w:spacing w:before="120" w:after="120" w:line="360" w:lineRule="auto"/>
        <w:jc w:val="center"/>
        <w:rPr>
          <w:rFonts w:hAnsi="宋体"/>
          <w:b/>
        </w:rPr>
      </w:pPr>
      <w:r>
        <w:rPr>
          <w:rFonts w:hint="eastAsia" w:hAnsi="宋体"/>
          <w:b/>
        </w:rPr>
        <w:t>项目实施人员一览表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8"/>
        <w:gridCol w:w="1227"/>
        <w:gridCol w:w="1109"/>
        <w:gridCol w:w="810"/>
        <w:gridCol w:w="1432"/>
        <w:gridCol w:w="1660"/>
        <w:gridCol w:w="1296"/>
        <w:gridCol w:w="15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序号</w:t>
            </w:r>
          </w:p>
        </w:tc>
        <w:tc>
          <w:tcPr>
            <w:tcW w:w="122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项目组所任职务</w:t>
            </w:r>
          </w:p>
        </w:tc>
        <w:tc>
          <w:tcPr>
            <w:tcW w:w="110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姓名</w:t>
            </w:r>
          </w:p>
        </w:tc>
        <w:tc>
          <w:tcPr>
            <w:tcW w:w="810"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职称</w:t>
            </w:r>
          </w:p>
        </w:tc>
        <w:tc>
          <w:tcPr>
            <w:tcW w:w="143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专业技术资格</w:t>
            </w:r>
          </w:p>
        </w:tc>
        <w:tc>
          <w:tcPr>
            <w:tcW w:w="1660"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专业技术资格证书编号</w:t>
            </w:r>
          </w:p>
        </w:tc>
        <w:tc>
          <w:tcPr>
            <w:tcW w:w="1296"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从事本工作时间</w:t>
            </w:r>
          </w:p>
        </w:tc>
        <w:tc>
          <w:tcPr>
            <w:tcW w:w="15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r>
              <w:rPr>
                <w:rFonts w:hint="eastAsia" w:ascii="宋体" w:hAnsi="宋体"/>
                <w:sz w:val="24"/>
                <w:szCs w:val="24"/>
              </w:rPr>
              <w:t>典型业务</w:t>
            </w:r>
          </w:p>
          <w:p>
            <w:pPr>
              <w:pStyle w:val="13"/>
              <w:spacing w:line="360" w:lineRule="auto"/>
              <w:jc w:val="center"/>
              <w:rPr>
                <w:rFonts w:ascii="宋体" w:hAnsi="宋体"/>
                <w:sz w:val="24"/>
                <w:szCs w:val="24"/>
              </w:rPr>
            </w:pPr>
            <w:r>
              <w:rPr>
                <w:rFonts w:hint="eastAsia" w:ascii="宋体" w:hAnsi="宋体"/>
                <w:sz w:val="24"/>
                <w:szCs w:val="24"/>
              </w:rPr>
              <w:t>与技术专长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810"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660" w:type="dxa"/>
            <w:tcBorders>
              <w:top w:val="single" w:color="auto" w:sz="4" w:space="0"/>
              <w:left w:val="single" w:color="auto" w:sz="4" w:space="0"/>
              <w:bottom w:val="single" w:color="auto" w:sz="4" w:space="0"/>
              <w:right w:val="single" w:color="auto" w:sz="4" w:space="0"/>
            </w:tcBorders>
          </w:tcPr>
          <w:p>
            <w:pPr>
              <w:pStyle w:val="13"/>
              <w:spacing w:line="360" w:lineRule="auto"/>
              <w:jc w:val="center"/>
              <w:rPr>
                <w:rFonts w:ascii="宋体" w:hAnsi="宋体"/>
                <w:sz w:val="24"/>
                <w:szCs w:val="24"/>
              </w:rPr>
            </w:pPr>
          </w:p>
        </w:tc>
        <w:tc>
          <w:tcPr>
            <w:tcW w:w="1296"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5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810"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43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660" w:type="dxa"/>
            <w:tcBorders>
              <w:top w:val="single" w:color="auto" w:sz="4" w:space="0"/>
              <w:left w:val="single" w:color="auto" w:sz="4" w:space="0"/>
              <w:bottom w:val="single" w:color="auto" w:sz="4" w:space="0"/>
              <w:right w:val="single" w:color="auto" w:sz="4" w:space="0"/>
            </w:tcBorders>
          </w:tcPr>
          <w:p>
            <w:pPr>
              <w:pStyle w:val="13"/>
              <w:spacing w:line="360" w:lineRule="auto"/>
              <w:jc w:val="center"/>
              <w:rPr>
                <w:rFonts w:ascii="宋体" w:hAnsi="宋体"/>
                <w:sz w:val="24"/>
                <w:szCs w:val="24"/>
              </w:rPr>
            </w:pPr>
          </w:p>
        </w:tc>
        <w:tc>
          <w:tcPr>
            <w:tcW w:w="1296"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c>
          <w:tcPr>
            <w:tcW w:w="15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ascii="宋体" w:hAnsi="宋体"/>
                <w:sz w:val="24"/>
                <w:szCs w:val="24"/>
              </w:rPr>
            </w:pPr>
          </w:p>
        </w:tc>
      </w:tr>
    </w:tbl>
    <w:p>
      <w:pPr>
        <w:spacing w:line="360" w:lineRule="auto"/>
        <w:rPr>
          <w:rFonts w:ascii="宋体" w:hAnsi="宋体"/>
          <w:sz w:val="24"/>
        </w:rPr>
      </w:pPr>
      <w:r>
        <w:rPr>
          <w:rFonts w:hint="eastAsia" w:ascii="宋体" w:hAnsi="宋体"/>
          <w:sz w:val="24"/>
        </w:rPr>
        <w:t>注：1.“项目实施人员”指投标人针对该项目的销售、培训、售后服务等完成本项目所配备的人员。</w:t>
      </w:r>
    </w:p>
    <w:p>
      <w:pPr>
        <w:spacing w:line="360" w:lineRule="auto"/>
        <w:ind w:firstLine="480" w:firstLineChars="200"/>
        <w:rPr>
          <w:rFonts w:ascii="宋体" w:hAnsi="宋体"/>
          <w:sz w:val="24"/>
        </w:rPr>
      </w:pPr>
      <w:r>
        <w:rPr>
          <w:rFonts w:hint="eastAsia" w:ascii="宋体" w:hAnsi="宋体"/>
          <w:sz w:val="24"/>
        </w:rPr>
        <w:t>2.附各专业人员简历及相关证明材料复印件；</w:t>
      </w:r>
    </w:p>
    <w:p>
      <w:pPr>
        <w:spacing w:line="360" w:lineRule="auto"/>
        <w:ind w:firstLine="480" w:firstLineChars="200"/>
        <w:rPr>
          <w:rFonts w:ascii="宋体" w:hAnsi="宋体"/>
          <w:sz w:val="24"/>
        </w:rPr>
      </w:pPr>
      <w:r>
        <w:rPr>
          <w:rFonts w:hint="eastAsia" w:ascii="宋体" w:hAnsi="宋体"/>
          <w:sz w:val="24"/>
        </w:rPr>
        <w:t>3.表格不够填写可添加。</w:t>
      </w:r>
    </w:p>
    <w:p>
      <w:pPr>
        <w:tabs>
          <w:tab w:val="left" w:pos="1418"/>
        </w:tabs>
        <w:spacing w:line="360" w:lineRule="auto"/>
        <w:rPr>
          <w:rFonts w:ascii="宋体" w:hAnsi="宋体"/>
          <w:sz w:val="24"/>
        </w:rPr>
      </w:pP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Cs/>
          <w:sz w:val="24"/>
        </w:rPr>
      </w:pPr>
      <w:r>
        <w:rPr>
          <w:rFonts w:hint="eastAsia" w:ascii="宋体" w:hAnsi="宋体"/>
          <w:bCs/>
          <w:sz w:val="24"/>
        </w:rPr>
        <w:t>投 标 人（盖章）：                              年  月  日</w:t>
      </w:r>
    </w:p>
    <w:p>
      <w:pPr>
        <w:tabs>
          <w:tab w:val="left" w:pos="1418"/>
        </w:tabs>
        <w:spacing w:line="360" w:lineRule="auto"/>
        <w:rPr>
          <w:rFonts w:ascii="宋体" w:hAnsi="宋体"/>
          <w:bCs/>
          <w:sz w:val="24"/>
        </w:rPr>
      </w:pPr>
    </w:p>
    <w:p>
      <w:pPr>
        <w:pStyle w:val="11"/>
        <w:snapToGrid w:val="0"/>
        <w:spacing w:before="120" w:beforeLines="0" w:after="120" w:afterLines="0" w:line="360" w:lineRule="auto"/>
        <w:outlineLvl w:val="1"/>
        <w:rPr>
          <w:rFonts w:hAnsi="宋体"/>
          <w:b/>
        </w:rPr>
      </w:pPr>
    </w:p>
    <w:p>
      <w:pPr>
        <w:pStyle w:val="11"/>
        <w:snapToGrid w:val="0"/>
        <w:spacing w:before="120" w:beforeLines="0" w:after="120" w:afterLines="0" w:line="360" w:lineRule="auto"/>
        <w:outlineLvl w:val="1"/>
        <w:rPr>
          <w:rFonts w:hAnsi="宋体"/>
          <w:b/>
        </w:rPr>
      </w:pPr>
      <w:r>
        <w:rPr>
          <w:rFonts w:hint="eastAsia" w:hAnsi="宋体"/>
          <w:b/>
        </w:rPr>
        <w:t>三、报价文件格式</w:t>
      </w:r>
    </w:p>
    <w:p>
      <w:pPr>
        <w:snapToGrid w:val="0"/>
        <w:spacing w:line="360" w:lineRule="auto"/>
        <w:rPr>
          <w:rFonts w:ascii="宋体" w:hAnsi="宋体"/>
          <w:sz w:val="24"/>
        </w:rPr>
      </w:pPr>
      <w:r>
        <w:rPr>
          <w:rFonts w:hint="eastAsia" w:ascii="宋体" w:hAnsi="宋体"/>
          <w:bCs/>
          <w:sz w:val="24"/>
        </w:rPr>
        <w:t>1</w:t>
      </w:r>
      <w:r>
        <w:rPr>
          <w:rFonts w:ascii="宋体" w:hAnsi="宋体"/>
          <w:sz w:val="24"/>
        </w:rPr>
        <w:t>.</w:t>
      </w:r>
      <w:r>
        <w:rPr>
          <w:rFonts w:hint="eastAsia" w:ascii="宋体" w:hAnsi="宋体"/>
          <w:sz w:val="24"/>
        </w:rPr>
        <w:t>投标报价文件封面格式</w:t>
      </w:r>
    </w:p>
    <w:p>
      <w:pPr>
        <w:snapToGrid w:val="0"/>
        <w:spacing w:line="360" w:lineRule="auto"/>
        <w:rPr>
          <w:rFonts w:ascii="宋体" w:hAnsi="宋体"/>
          <w:b/>
          <w:bCs/>
          <w:sz w:val="24"/>
        </w:rPr>
      </w:pPr>
      <w:r>
        <w:rPr>
          <w:rFonts w:ascii="宋体" w:hAnsi="宋体"/>
          <w:sz w:val="24"/>
        </w:rPr>
        <w:t xml:space="preserve">                                            </w:t>
      </w:r>
      <w:r>
        <w:rPr>
          <w:rFonts w:hint="eastAsia" w:ascii="宋体" w:hAnsi="宋体"/>
          <w:sz w:val="24"/>
        </w:rPr>
        <w:t xml:space="preserve">   </w:t>
      </w:r>
      <w:r>
        <w:rPr>
          <w:rFonts w:ascii="宋体" w:hAnsi="宋体"/>
          <w:sz w:val="24"/>
        </w:rPr>
        <w:t xml:space="preserve"> </w:t>
      </w:r>
    </w:p>
    <w:p>
      <w:pPr>
        <w:snapToGrid w:val="0"/>
        <w:spacing w:before="120" w:beforeLines="50" w:line="360" w:lineRule="auto"/>
        <w:jc w:val="center"/>
        <w:rPr>
          <w:rFonts w:ascii="宋体" w:hAnsi="宋体"/>
          <w:b/>
          <w:bCs/>
          <w:sz w:val="24"/>
        </w:rPr>
      </w:pPr>
      <w:r>
        <w:rPr>
          <w:rFonts w:hint="eastAsia" w:ascii="宋体" w:hAnsi="宋体"/>
          <w:b/>
          <w:bCs/>
          <w:sz w:val="24"/>
        </w:rPr>
        <w:t>投标报价文件</w:t>
      </w:r>
    </w:p>
    <w:p>
      <w:pPr>
        <w:snapToGrid w:val="0"/>
        <w:spacing w:line="360" w:lineRule="auto"/>
        <w:ind w:firstLine="900" w:firstLineChars="375"/>
        <w:rPr>
          <w:rFonts w:ascii="宋体" w:hAnsi="宋体"/>
          <w:sz w:val="24"/>
        </w:rPr>
      </w:pPr>
      <w:r>
        <w:rPr>
          <w:rFonts w:hint="eastAsia" w:ascii="宋体" w:hAnsi="宋体"/>
          <w:bCs/>
          <w:sz w:val="24"/>
        </w:rPr>
        <w:t>项目名称：</w:t>
      </w:r>
      <w:r>
        <w:rPr>
          <w:rFonts w:hint="eastAsia" w:ascii="宋体" w:hAnsi="宋体"/>
          <w:bCs/>
          <w:sz w:val="24"/>
          <w:u w:val="single"/>
        </w:rPr>
        <w:t xml:space="preserve">                          </w:t>
      </w:r>
      <w:r>
        <w:rPr>
          <w:rFonts w:hint="eastAsia" w:ascii="宋体" w:hAnsi="宋体"/>
          <w:sz w:val="24"/>
        </w:rPr>
        <w:t>采购项目</w:t>
      </w:r>
    </w:p>
    <w:p>
      <w:pPr>
        <w:pStyle w:val="6"/>
        <w:snapToGrid w:val="0"/>
        <w:spacing w:line="360" w:lineRule="auto"/>
        <w:ind w:firstLine="900" w:firstLineChars="375"/>
        <w:rPr>
          <w:rFonts w:ascii="宋体" w:hAnsi="宋体"/>
          <w:bCs/>
          <w:sz w:val="24"/>
        </w:rPr>
      </w:pPr>
      <w:r>
        <w:rPr>
          <w:rFonts w:hint="eastAsia" w:ascii="宋体" w:hAnsi="宋体"/>
          <w:bCs/>
          <w:sz w:val="24"/>
        </w:rPr>
        <w:t>项目编号及标段号：</w:t>
      </w:r>
    </w:p>
    <w:p>
      <w:pPr>
        <w:pStyle w:val="6"/>
        <w:snapToGrid w:val="0"/>
        <w:spacing w:line="360" w:lineRule="auto"/>
        <w:ind w:firstLine="900" w:firstLineChars="375"/>
        <w:rPr>
          <w:rFonts w:ascii="宋体" w:hAnsi="宋体"/>
          <w:bCs/>
          <w:sz w:val="24"/>
        </w:rPr>
      </w:pPr>
      <w:r>
        <w:rPr>
          <w:rFonts w:hint="eastAsia" w:ascii="宋体" w:hAnsi="宋体"/>
          <w:bCs/>
          <w:sz w:val="24"/>
        </w:rPr>
        <w:t>投标人名称（盖章）：</w:t>
      </w:r>
    </w:p>
    <w:p>
      <w:pPr>
        <w:pStyle w:val="6"/>
        <w:snapToGrid w:val="0"/>
        <w:spacing w:line="360" w:lineRule="auto"/>
        <w:ind w:firstLine="900" w:firstLineChars="375"/>
        <w:rPr>
          <w:rFonts w:ascii="宋体" w:hAnsi="宋体"/>
          <w:bCs/>
          <w:sz w:val="24"/>
        </w:rPr>
      </w:pPr>
      <w:r>
        <w:rPr>
          <w:rFonts w:hint="eastAsia" w:ascii="宋体" w:hAnsi="宋体"/>
          <w:bCs/>
          <w:sz w:val="24"/>
        </w:rPr>
        <w:t>投标人地址：</w:t>
      </w:r>
    </w:p>
    <w:p>
      <w:pPr>
        <w:snapToGrid w:val="0"/>
        <w:spacing w:line="360" w:lineRule="auto"/>
        <w:ind w:firstLine="3280" w:firstLineChars="1367"/>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snapToGrid w:val="0"/>
        <w:spacing w:line="360" w:lineRule="auto"/>
        <w:rPr>
          <w:rFonts w:ascii="宋体" w:hAnsi="宋体"/>
          <w:bCs/>
          <w:sz w:val="24"/>
        </w:rPr>
      </w:pPr>
    </w:p>
    <w:p>
      <w:pPr>
        <w:snapToGrid w:val="0"/>
        <w:spacing w:before="120" w:beforeLines="50" w:after="50"/>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投标报价文件目录（请按照“第三章投标人须知，</w:t>
      </w:r>
      <w:r>
        <w:rPr>
          <w:rFonts w:ascii="宋体" w:hAnsi="宋体"/>
          <w:bCs/>
          <w:sz w:val="24"/>
        </w:rPr>
        <w:t>三、投标文件的编制</w:t>
      </w:r>
      <w:r>
        <w:rPr>
          <w:rFonts w:hint="eastAsia" w:ascii="宋体" w:hAnsi="宋体"/>
          <w:bCs/>
          <w:sz w:val="24"/>
        </w:rPr>
        <w:t>”的顺序，结合评标办法自行编制目录）</w:t>
      </w:r>
    </w:p>
    <w:p>
      <w:pPr>
        <w:snapToGrid w:val="0"/>
        <w:spacing w:before="50" w:after="50"/>
        <w:rPr>
          <w:rFonts w:ascii="宋体" w:hAnsi="宋体"/>
          <w:bCs/>
          <w:sz w:val="24"/>
        </w:rPr>
      </w:pPr>
      <w:r>
        <w:rPr>
          <w:rFonts w:hint="eastAsia" w:ascii="宋体" w:hAnsi="宋体"/>
          <w:bCs/>
          <w:sz w:val="24"/>
        </w:rPr>
        <w:t>例如：</w:t>
      </w:r>
    </w:p>
    <w:p>
      <w:pPr>
        <w:snapToGrid w:val="0"/>
        <w:spacing w:line="480" w:lineRule="exact"/>
        <w:rPr>
          <w:rFonts w:ascii="宋体" w:hAnsi="宋体"/>
          <w:sz w:val="24"/>
        </w:rPr>
      </w:pPr>
      <w:r>
        <w:rPr>
          <w:rFonts w:hint="eastAsia" w:ascii="宋体" w:hAnsi="宋体"/>
          <w:bCs/>
          <w:sz w:val="24"/>
        </w:rPr>
        <w:t>报价文件：</w:t>
      </w:r>
    </w:p>
    <w:p>
      <w:pPr>
        <w:snapToGrid w:val="0"/>
        <w:spacing w:line="360" w:lineRule="auto"/>
        <w:jc w:val="center"/>
        <w:rPr>
          <w:rFonts w:ascii="宋体" w:hAnsi="宋体"/>
          <w:b/>
          <w:sz w:val="24"/>
        </w:rPr>
      </w:pPr>
      <w:r>
        <w:rPr>
          <w:rFonts w:hint="eastAsia" w:ascii="宋体" w:hAnsi="宋体"/>
          <w:b/>
          <w:sz w:val="24"/>
        </w:rPr>
        <w:t>目 录</w:t>
      </w:r>
    </w:p>
    <w:p>
      <w:pPr>
        <w:spacing w:line="360" w:lineRule="auto"/>
        <w:outlineLvl w:val="0"/>
        <w:rPr>
          <w:rFonts w:ascii="宋体" w:hAnsi="宋体" w:cs="宋体"/>
          <w:kern w:val="0"/>
          <w:sz w:val="24"/>
        </w:rPr>
      </w:pPr>
      <w:r>
        <w:rPr>
          <w:rFonts w:hint="eastAsia" w:ascii="宋体" w:hAnsi="宋体" w:cs="宋体"/>
          <w:kern w:val="0"/>
          <w:sz w:val="24"/>
        </w:rPr>
        <w:t>（1）投标函……………………………………………………………………（页码）</w:t>
      </w:r>
    </w:p>
    <w:p>
      <w:pPr>
        <w:spacing w:line="360" w:lineRule="auto"/>
        <w:outlineLvl w:val="0"/>
        <w:rPr>
          <w:rFonts w:ascii="宋体" w:hAnsi="宋体" w:cs="宋体"/>
          <w:kern w:val="0"/>
          <w:sz w:val="24"/>
        </w:rPr>
      </w:pPr>
      <w:r>
        <w:rPr>
          <w:rFonts w:hint="eastAsia" w:ascii="宋体" w:hAnsi="宋体" w:cs="宋体"/>
          <w:kern w:val="0"/>
          <w:sz w:val="24"/>
        </w:rPr>
        <w:t>（2）投标（开标）一览表……………………………………………………（页码）</w:t>
      </w:r>
    </w:p>
    <w:p>
      <w:pPr>
        <w:spacing w:line="360" w:lineRule="auto"/>
        <w:outlineLvl w:val="0"/>
        <w:rPr>
          <w:rFonts w:ascii="宋体" w:hAnsi="宋体" w:cs="宋体"/>
          <w:kern w:val="0"/>
          <w:sz w:val="24"/>
        </w:rPr>
      </w:pPr>
      <w:r>
        <w:rPr>
          <w:rFonts w:hint="eastAsia" w:ascii="宋体" w:hAnsi="宋体" w:cs="宋体"/>
          <w:kern w:val="0"/>
          <w:sz w:val="24"/>
        </w:rPr>
        <w:t>（3）报价明细清单……………………………………………………………（页码）</w:t>
      </w:r>
    </w:p>
    <w:p>
      <w:pPr>
        <w:spacing w:line="360" w:lineRule="auto"/>
        <w:outlineLvl w:val="0"/>
        <w:rPr>
          <w:rFonts w:ascii="宋体" w:hAnsi="宋体" w:cs="宋体"/>
          <w:kern w:val="0"/>
          <w:sz w:val="24"/>
        </w:rPr>
      </w:pPr>
      <w:r>
        <w:rPr>
          <w:rFonts w:hint="eastAsia" w:ascii="宋体" w:hAnsi="宋体" w:cs="宋体"/>
          <w:kern w:val="0"/>
          <w:sz w:val="24"/>
        </w:rPr>
        <w:t>（4）投标人认为需要的其他报价文件或说明………………………………（页码）</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3.投标函格式：</w:t>
      </w:r>
    </w:p>
    <w:p>
      <w:pPr>
        <w:pStyle w:val="2"/>
        <w:spacing w:line="360" w:lineRule="auto"/>
        <w:jc w:val="center"/>
        <w:rPr>
          <w:rFonts w:ascii="宋体" w:hAnsi="宋体" w:eastAsia="宋体"/>
          <w:sz w:val="24"/>
          <w:szCs w:val="24"/>
        </w:rPr>
      </w:pPr>
      <w:r>
        <w:rPr>
          <w:rFonts w:hint="eastAsia" w:ascii="宋体" w:hAnsi="宋体" w:eastAsia="宋体"/>
          <w:sz w:val="24"/>
          <w:szCs w:val="24"/>
        </w:rPr>
        <w:t>投标函</w:t>
      </w:r>
    </w:p>
    <w:p>
      <w:pPr>
        <w:spacing w:line="360" w:lineRule="auto"/>
        <w:rPr>
          <w:rFonts w:ascii="宋体" w:hAnsi="宋体"/>
          <w:sz w:val="24"/>
        </w:rPr>
      </w:pPr>
      <w:r>
        <w:rPr>
          <w:rFonts w:ascii="宋体" w:hAnsi="宋体"/>
          <w:sz w:val="24"/>
        </w:rPr>
        <w:t>致：</w:t>
      </w:r>
      <w:r>
        <w:rPr>
          <w:rFonts w:hint="eastAsia" w:ascii="宋体" w:hAnsi="宋体"/>
          <w:sz w:val="24"/>
          <w:u w:val="single"/>
        </w:rPr>
        <w:t xml:space="preserve"> 平湖市新仓镇人民政府</w:t>
      </w:r>
      <w:r>
        <w:rPr>
          <w:rFonts w:hint="eastAsia" w:ascii="宋体" w:hAnsi="宋体"/>
          <w:sz w:val="24"/>
        </w:rPr>
        <w:t>（招标采购单位名称）：</w:t>
      </w:r>
    </w:p>
    <w:p>
      <w:pPr>
        <w:snapToGrid w:val="0"/>
        <w:spacing w:line="360" w:lineRule="auto"/>
        <w:ind w:firstLine="480"/>
        <w:rPr>
          <w:rFonts w:ascii="宋体" w:hAnsi="宋体"/>
          <w:sz w:val="24"/>
        </w:rPr>
      </w:pPr>
      <w:r>
        <w:rPr>
          <w:rFonts w:hint="eastAsia" w:ascii="宋体" w:hAnsi="宋体"/>
          <w:sz w:val="24"/>
        </w:rPr>
        <w:t>根据贵方为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采购项目的公开招标公告（项目编号及标段号：</w:t>
      </w:r>
      <w:r>
        <w:rPr>
          <w:rFonts w:hint="eastAsia" w:ascii="宋体" w:hAnsi="宋体"/>
          <w:sz w:val="24"/>
          <w:u w:val="single"/>
        </w:rPr>
        <w:t xml:space="preserve">                </w:t>
      </w:r>
      <w:r>
        <w:rPr>
          <w:rFonts w:hint="eastAsia" w:ascii="宋体" w:hAnsi="宋体"/>
          <w:sz w:val="24"/>
        </w:rPr>
        <w:t>），签字代表</w:t>
      </w:r>
      <w:r>
        <w:rPr>
          <w:rFonts w:hint="eastAsia" w:ascii="宋体" w:hAnsi="宋体"/>
          <w:sz w:val="24"/>
          <w:u w:val="single"/>
        </w:rPr>
        <w:t xml:space="preserve">        </w:t>
      </w:r>
      <w:r>
        <w:rPr>
          <w:rFonts w:hint="eastAsia" w:ascii="宋体" w:hAnsi="宋体"/>
          <w:sz w:val="24"/>
        </w:rPr>
        <w:t>（全名）经正式授权并代表投标人</w:t>
      </w:r>
      <w:r>
        <w:rPr>
          <w:rFonts w:hint="eastAsia" w:ascii="宋体" w:hAnsi="宋体"/>
          <w:sz w:val="24"/>
          <w:u w:val="single"/>
        </w:rPr>
        <w:t xml:space="preserve">                     </w:t>
      </w:r>
      <w:r>
        <w:rPr>
          <w:rFonts w:hint="eastAsia" w:ascii="宋体" w:hAnsi="宋体"/>
          <w:sz w:val="24"/>
        </w:rPr>
        <w:t>（投标人名称）提交资信</w:t>
      </w:r>
      <w:r>
        <w:rPr>
          <w:rFonts w:ascii="宋体" w:hAnsi="宋体"/>
          <w:sz w:val="24"/>
        </w:rPr>
        <w:t>/</w:t>
      </w:r>
      <w:r>
        <w:rPr>
          <w:rFonts w:hint="eastAsia" w:ascii="宋体" w:hAnsi="宋体"/>
          <w:sz w:val="24"/>
        </w:rPr>
        <w:t>商务及技术文件、投标报价文件。</w:t>
      </w:r>
    </w:p>
    <w:p>
      <w:pPr>
        <w:snapToGrid w:val="0"/>
        <w:spacing w:line="360" w:lineRule="auto"/>
        <w:ind w:firstLine="480" w:firstLineChars="200"/>
        <w:rPr>
          <w:rFonts w:ascii="宋体" w:hAnsi="宋体"/>
          <w:sz w:val="24"/>
        </w:rPr>
      </w:pPr>
      <w:r>
        <w:rPr>
          <w:rFonts w:hint="eastAsia" w:ascii="宋体" w:hAnsi="宋体"/>
          <w:sz w:val="24"/>
        </w:rPr>
        <w:t>据此函，签字代表宣布同意如下：</w:t>
      </w:r>
    </w:p>
    <w:p>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.我方在投标之前已经与贵方进行了充分的沟通，完全理解并接受“招标文件”的各项规定和要求，对“招标文件”的合理性、合法性不再有异议。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sz w:val="24"/>
        </w:rPr>
      </w:pPr>
      <w:r>
        <w:rPr>
          <w:rFonts w:hint="eastAsia" w:ascii="宋体" w:hAnsi="宋体"/>
          <w:sz w:val="24"/>
        </w:rPr>
        <w:t>3.我方同意按照贵方要求提供与投标有关的一切数据或资料。</w:t>
      </w:r>
    </w:p>
    <w:p>
      <w:pPr>
        <w:spacing w:line="360" w:lineRule="auto"/>
        <w:ind w:firstLine="480" w:firstLineChars="200"/>
        <w:rPr>
          <w:rFonts w:ascii="宋体" w:hAnsi="宋体"/>
          <w:sz w:val="24"/>
        </w:rPr>
      </w:pPr>
      <w:r>
        <w:rPr>
          <w:rFonts w:hint="eastAsia" w:ascii="宋体" w:hAnsi="宋体"/>
          <w:sz w:val="24"/>
        </w:rPr>
        <w:t>4.我方完全理解贵方不一定要接受最低价的投标。</w:t>
      </w:r>
    </w:p>
    <w:p>
      <w:pPr>
        <w:snapToGrid w:val="0"/>
        <w:spacing w:line="360" w:lineRule="auto"/>
        <w:ind w:firstLine="480" w:firstLineChars="200"/>
        <w:rPr>
          <w:rFonts w:ascii="宋体" w:hAnsi="宋体"/>
          <w:sz w:val="24"/>
        </w:rPr>
      </w:pPr>
      <w:r>
        <w:rPr>
          <w:rFonts w:hint="eastAsia" w:ascii="宋体" w:hAnsi="宋体"/>
          <w:sz w:val="24"/>
        </w:rPr>
        <w:t>5.本投标有效期自开标日起</w:t>
      </w:r>
      <w:r>
        <w:rPr>
          <w:rFonts w:ascii="宋体" w:hAnsi="宋体"/>
          <w:sz w:val="24"/>
          <w:u w:val="single"/>
        </w:rPr>
        <w:t xml:space="preserve"> </w:t>
      </w:r>
      <w:r>
        <w:rPr>
          <w:rFonts w:hint="eastAsia" w:ascii="宋体" w:hAnsi="宋体"/>
          <w:sz w:val="24"/>
          <w:u w:val="single"/>
        </w:rPr>
        <w:t xml:space="preserve">90 </w:t>
      </w:r>
      <w:r>
        <w:rPr>
          <w:rFonts w:hint="eastAsia" w:ascii="宋体" w:hAnsi="宋体"/>
          <w:sz w:val="24"/>
        </w:rPr>
        <w:t>个日历天。</w:t>
      </w:r>
    </w:p>
    <w:p>
      <w:pPr>
        <w:snapToGrid w:val="0"/>
        <w:spacing w:line="360" w:lineRule="auto"/>
        <w:ind w:firstLine="480" w:firstLineChars="200"/>
        <w:rPr>
          <w:rFonts w:ascii="宋体" w:hAnsi="宋体"/>
          <w:sz w:val="24"/>
        </w:rPr>
      </w:pPr>
      <w:r>
        <w:rPr>
          <w:rFonts w:hint="eastAsia" w:ascii="宋体" w:hAnsi="宋体"/>
          <w:sz w:val="24"/>
        </w:rPr>
        <w:t>6.如中标，本投标文件至本项目合同履行完毕均保持有效，本投标人将保证忠实地执行双方所签订的合同，并承担合同规定的责任和义务。</w:t>
      </w:r>
    </w:p>
    <w:p>
      <w:pPr>
        <w:snapToGrid w:val="0"/>
        <w:spacing w:line="360" w:lineRule="auto"/>
        <w:ind w:firstLine="480" w:firstLineChars="200"/>
        <w:rPr>
          <w:rFonts w:ascii="宋体" w:hAnsi="宋体"/>
          <w:sz w:val="24"/>
        </w:rPr>
      </w:pPr>
      <w:r>
        <w:rPr>
          <w:rFonts w:hint="eastAsia" w:ascii="宋体" w:hAnsi="宋体"/>
          <w:sz w:val="24"/>
        </w:rPr>
        <w:t>7.我方将严格遵守《中华人民共和国政府采购法》第七十七条、《</w:t>
      </w:r>
      <w:r>
        <w:rPr>
          <w:rFonts w:ascii="宋体" w:hAnsi="宋体" w:cs="Arial"/>
          <w:bCs/>
          <w:kern w:val="0"/>
          <w:sz w:val="24"/>
        </w:rPr>
        <w:t>浙江省政府采购供应商注册及诚信管理暂行办法</w:t>
      </w:r>
      <w:r>
        <w:rPr>
          <w:rFonts w:hint="eastAsia" w:ascii="宋体" w:hAnsi="宋体" w:cs="Arial"/>
          <w:bCs/>
          <w:kern w:val="0"/>
          <w:sz w:val="24"/>
        </w:rPr>
        <w:t>》</w:t>
      </w:r>
      <w:r>
        <w:rPr>
          <w:rFonts w:ascii="宋体" w:hAnsi="宋体" w:cs="Arial"/>
          <w:kern w:val="0"/>
          <w:sz w:val="24"/>
        </w:rPr>
        <w:t>第三十八条</w:t>
      </w:r>
      <w:r>
        <w:rPr>
          <w:rFonts w:hint="eastAsia" w:ascii="宋体" w:hAnsi="宋体" w:cs="Arial"/>
          <w:kern w:val="0"/>
          <w:sz w:val="24"/>
        </w:rPr>
        <w:t>、</w:t>
      </w:r>
      <w:r>
        <w:rPr>
          <w:rFonts w:ascii="宋体" w:hAnsi="宋体" w:cs="Arial"/>
          <w:kern w:val="0"/>
          <w:sz w:val="24"/>
        </w:rPr>
        <w:t>第三十九条</w:t>
      </w:r>
      <w:r>
        <w:rPr>
          <w:rFonts w:hint="eastAsia" w:ascii="宋体" w:hAnsi="宋体" w:cs="Arial"/>
          <w:kern w:val="0"/>
          <w:sz w:val="24"/>
        </w:rPr>
        <w:t>、</w:t>
      </w:r>
      <w:r>
        <w:rPr>
          <w:rFonts w:ascii="宋体" w:hAnsi="宋体" w:cs="Arial"/>
          <w:kern w:val="0"/>
          <w:sz w:val="24"/>
        </w:rPr>
        <w:t>第四十条</w:t>
      </w:r>
      <w:r>
        <w:rPr>
          <w:rFonts w:hint="eastAsia" w:ascii="宋体" w:hAnsi="宋体"/>
          <w:sz w:val="24"/>
        </w:rPr>
        <w:t>规定。</w:t>
      </w:r>
    </w:p>
    <w:p>
      <w:pPr>
        <w:snapToGrid w:val="0"/>
        <w:spacing w:line="360" w:lineRule="auto"/>
        <w:ind w:firstLine="480" w:firstLineChars="200"/>
        <w:rPr>
          <w:rFonts w:ascii="宋体" w:hAnsi="宋体"/>
          <w:sz w:val="24"/>
        </w:rPr>
      </w:pPr>
      <w:r>
        <w:rPr>
          <w:rFonts w:hint="eastAsia" w:ascii="宋体" w:hAnsi="宋体"/>
          <w:sz w:val="24"/>
        </w:rPr>
        <w:t>8.与本投标有关的一切正式往来信函请寄：</w:t>
      </w:r>
    </w:p>
    <w:p>
      <w:pPr>
        <w:snapToGrid w:val="0"/>
        <w:spacing w:line="360" w:lineRule="auto"/>
        <w:rPr>
          <w:rFonts w:ascii="宋体" w:hAnsi="宋体"/>
          <w:sz w:val="24"/>
          <w:u w:val="single"/>
        </w:rPr>
      </w:pPr>
      <w:r>
        <w:rPr>
          <w:rFonts w:ascii="宋体" w:hAnsi="宋体"/>
          <w:sz w:val="24"/>
        </w:rPr>
        <w:t>地址：</w:t>
      </w:r>
      <w:r>
        <w:rPr>
          <w:rFonts w:hint="eastAsia" w:ascii="宋体" w:hAnsi="宋体"/>
          <w:sz w:val="24"/>
          <w:u w:val="single"/>
        </w:rPr>
        <w:t xml:space="preserve">                          </w:t>
      </w:r>
      <w:r>
        <w:rPr>
          <w:rFonts w:ascii="宋体" w:hAnsi="宋体"/>
          <w:sz w:val="24"/>
        </w:rPr>
        <w:t>邮编：</w:t>
      </w:r>
      <w:r>
        <w:rPr>
          <w:rFonts w:hint="eastAsia" w:ascii="宋体" w:hAnsi="宋体"/>
          <w:sz w:val="24"/>
          <w:u w:val="single"/>
        </w:rPr>
        <w:t xml:space="preserve">             </w:t>
      </w:r>
      <w:r>
        <w:rPr>
          <w:rFonts w:ascii="宋体" w:hAnsi="宋体"/>
          <w:sz w:val="24"/>
        </w:rPr>
        <w:t>电话：</w:t>
      </w:r>
      <w:r>
        <w:rPr>
          <w:rFonts w:hint="eastAsia" w:ascii="宋体" w:hAnsi="宋体"/>
          <w:sz w:val="24"/>
          <w:u w:val="single"/>
        </w:rPr>
        <w:t xml:space="preserve">              </w:t>
      </w:r>
    </w:p>
    <w:p>
      <w:pPr>
        <w:snapToGrid w:val="0"/>
        <w:spacing w:line="360" w:lineRule="auto"/>
        <w:rPr>
          <w:rFonts w:ascii="宋体" w:hAnsi="宋体"/>
          <w:sz w:val="24"/>
          <w:u w:val="single"/>
        </w:rPr>
      </w:pPr>
      <w:r>
        <w:rPr>
          <w:rFonts w:ascii="宋体" w:hAnsi="宋体"/>
          <w:sz w:val="24"/>
        </w:rPr>
        <w:t>传真：</w:t>
      </w:r>
      <w:r>
        <w:rPr>
          <w:rFonts w:hint="eastAsia" w:ascii="宋体" w:hAnsi="宋体"/>
          <w:sz w:val="24"/>
          <w:u w:val="single"/>
        </w:rPr>
        <w:t xml:space="preserve">                </w:t>
      </w:r>
      <w:r>
        <w:rPr>
          <w:rFonts w:ascii="宋体" w:hAnsi="宋体"/>
          <w:sz w:val="24"/>
        </w:rPr>
        <w:t>投标人代表姓名</w:t>
      </w:r>
      <w:r>
        <w:rPr>
          <w:rFonts w:hint="eastAsia" w:ascii="宋体" w:hAnsi="宋体"/>
          <w:sz w:val="24"/>
        </w:rPr>
        <w:t>：</w:t>
      </w:r>
      <w:r>
        <w:rPr>
          <w:rFonts w:hint="eastAsia" w:ascii="宋体" w:hAnsi="宋体"/>
          <w:sz w:val="24"/>
          <w:u w:val="single"/>
        </w:rPr>
        <w:t xml:space="preserve">             </w:t>
      </w:r>
      <w:r>
        <w:rPr>
          <w:rFonts w:ascii="宋体" w:hAnsi="宋体"/>
          <w:sz w:val="24"/>
        </w:rPr>
        <w:t>职务：</w:t>
      </w:r>
      <w:r>
        <w:rPr>
          <w:rFonts w:hint="eastAsia" w:ascii="宋体" w:hAnsi="宋体"/>
          <w:sz w:val="24"/>
          <w:u w:val="single"/>
        </w:rPr>
        <w:t xml:space="preserve">              </w:t>
      </w:r>
    </w:p>
    <w:p>
      <w:pPr>
        <w:snapToGrid w:val="0"/>
        <w:spacing w:line="360" w:lineRule="auto"/>
        <w:rPr>
          <w:rFonts w:ascii="宋体" w:hAnsi="宋体"/>
          <w:sz w:val="24"/>
        </w:rPr>
      </w:pPr>
      <w:r>
        <w:rPr>
          <w:rFonts w:ascii="宋体" w:hAnsi="宋体"/>
          <w:sz w:val="24"/>
        </w:rPr>
        <w:t>开户银行：</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银行帐号：</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
          <w:bCs/>
          <w:sz w:val="24"/>
        </w:rPr>
      </w:pPr>
      <w:r>
        <w:rPr>
          <w:rFonts w:hint="eastAsia" w:ascii="宋体" w:hAnsi="宋体"/>
          <w:bCs/>
          <w:sz w:val="24"/>
        </w:rPr>
        <w:t>投 标 人（盖章）：                              年  月  日</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outlineLvl w:val="4"/>
        <w:rPr>
          <w:rFonts w:ascii="宋体" w:hAnsi="宋体"/>
          <w:sz w:val="24"/>
        </w:rPr>
      </w:pPr>
      <w:r>
        <w:rPr>
          <w:rFonts w:hint="eastAsia" w:ascii="宋体" w:hAnsi="宋体"/>
          <w:sz w:val="24"/>
        </w:rPr>
        <w:t xml:space="preserve"> 4.</w:t>
      </w:r>
      <w:r>
        <w:rPr>
          <w:rFonts w:hint="eastAsia" w:ascii="宋体" w:hAnsi="宋体" w:cs="宋体"/>
          <w:kern w:val="0"/>
          <w:sz w:val="24"/>
        </w:rPr>
        <w:t>开标一览表格式：</w:t>
      </w:r>
    </w:p>
    <w:p>
      <w:pPr>
        <w:pStyle w:val="2"/>
        <w:spacing w:line="360" w:lineRule="auto"/>
        <w:jc w:val="center"/>
        <w:rPr>
          <w:rFonts w:ascii="宋体" w:hAnsi="宋体" w:eastAsia="宋体"/>
          <w:sz w:val="24"/>
          <w:szCs w:val="24"/>
        </w:rPr>
      </w:pPr>
      <w:r>
        <w:rPr>
          <w:rFonts w:hint="eastAsia"/>
        </w:rPr>
        <w:t>开标一览表</w:t>
      </w:r>
    </w:p>
    <w:p>
      <w:pPr>
        <w:snapToGrid w:val="0"/>
        <w:spacing w:line="360" w:lineRule="auto"/>
        <w:rPr>
          <w:rFonts w:ascii="宋体" w:hAnsi="宋体"/>
          <w:sz w:val="24"/>
        </w:rPr>
      </w:pPr>
      <w:r>
        <w:rPr>
          <w:rFonts w:hint="eastAsia" w:ascii="宋体" w:hAnsi="宋体"/>
          <w:sz w:val="24"/>
        </w:rPr>
        <w:t>项目</w:t>
      </w:r>
      <w:r>
        <w:rPr>
          <w:rFonts w:ascii="宋体" w:hAnsi="宋体"/>
          <w:sz w:val="24"/>
        </w:rPr>
        <w:t>编号</w:t>
      </w:r>
      <w:r>
        <w:rPr>
          <w:rFonts w:hint="eastAsia" w:ascii="宋体" w:hAnsi="宋体"/>
          <w:sz w:val="24"/>
        </w:rPr>
        <w:t>及标段号</w:t>
      </w:r>
      <w:r>
        <w:rPr>
          <w:rFonts w:ascii="宋体" w:hAnsi="宋体"/>
          <w:sz w:val="24"/>
        </w:rPr>
        <w:t>：</w:t>
      </w:r>
      <w:r>
        <w:rPr>
          <w:rFonts w:ascii="宋体" w:hAnsi="宋体"/>
          <w:sz w:val="24"/>
          <w:u w:val="single"/>
        </w:rPr>
        <w:t xml:space="preserve"> </w:t>
      </w:r>
      <w:r>
        <w:rPr>
          <w:rFonts w:hint="eastAsia" w:ascii="宋体" w:hAnsi="宋体"/>
          <w:sz w:val="24"/>
          <w:u w:val="single"/>
        </w:rPr>
        <w:t xml:space="preserve">平政采招2025-01  </w:t>
      </w:r>
      <w:r>
        <w:rPr>
          <w:rFonts w:hint="eastAsia" w:ascii="宋体" w:hAnsi="宋体"/>
          <w:sz w:val="24"/>
        </w:rPr>
        <w:t xml:space="preserve">              </w:t>
      </w:r>
      <w:r>
        <w:rPr>
          <w:rFonts w:ascii="宋体" w:hAnsi="宋体"/>
          <w:sz w:val="24"/>
        </w:rPr>
        <w:t>单位：元</w:t>
      </w:r>
    </w:p>
    <w:tbl>
      <w:tblPr>
        <w:tblStyle w:val="22"/>
        <w:tblW w:w="0" w:type="auto"/>
        <w:jc w:val="center"/>
        <w:tblLayout w:type="fixed"/>
        <w:tblCellMar>
          <w:top w:w="0" w:type="dxa"/>
          <w:left w:w="108" w:type="dxa"/>
          <w:bottom w:w="0" w:type="dxa"/>
          <w:right w:w="108" w:type="dxa"/>
        </w:tblCellMar>
      </w:tblPr>
      <w:tblGrid>
        <w:gridCol w:w="2436"/>
        <w:gridCol w:w="1012"/>
        <w:gridCol w:w="1620"/>
        <w:gridCol w:w="3240"/>
        <w:gridCol w:w="1632"/>
      </w:tblGrid>
      <w:tr>
        <w:tblPrEx>
          <w:tblCellMar>
            <w:top w:w="0" w:type="dxa"/>
            <w:left w:w="108" w:type="dxa"/>
            <w:bottom w:w="0" w:type="dxa"/>
            <w:right w:w="108" w:type="dxa"/>
          </w:tblCellMar>
        </w:tblPrEx>
        <w:trPr>
          <w:trHeight w:val="855" w:hRule="atLeast"/>
          <w:jc w:val="center"/>
        </w:trPr>
        <w:tc>
          <w:tcPr>
            <w:tcW w:w="243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宋体" w:hAnsi="宋体" w:cs="宋体"/>
                <w:b/>
                <w:kern w:val="0"/>
                <w:sz w:val="24"/>
              </w:rPr>
              <w:t>采购内容</w:t>
            </w:r>
          </w:p>
        </w:tc>
        <w:tc>
          <w:tcPr>
            <w:tcW w:w="101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宋体" w:hAnsi="宋体" w:cs="宋体"/>
                <w:b/>
                <w:kern w:val="0"/>
                <w:sz w:val="24"/>
              </w:rPr>
              <w:t>数量</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宋体" w:hAnsi="宋体" w:cs="宋体"/>
                <w:b/>
                <w:kern w:val="0"/>
                <w:sz w:val="24"/>
              </w:rPr>
              <w:t>交货期</w:t>
            </w:r>
          </w:p>
        </w:tc>
        <w:tc>
          <w:tcPr>
            <w:tcW w:w="32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宋体" w:hAnsi="宋体" w:cs="宋体"/>
                <w:b/>
                <w:kern w:val="0"/>
                <w:sz w:val="24"/>
              </w:rPr>
              <w:t>投标总价</w:t>
            </w:r>
          </w:p>
        </w:tc>
        <w:tc>
          <w:tcPr>
            <w:tcW w:w="16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宋体" w:hAnsi="宋体" w:cs="宋体"/>
                <w:b/>
                <w:kern w:val="0"/>
                <w:sz w:val="24"/>
              </w:rPr>
              <w:t>备注</w:t>
            </w:r>
          </w:p>
        </w:tc>
      </w:tr>
      <w:tr>
        <w:tblPrEx>
          <w:tblCellMar>
            <w:top w:w="0" w:type="dxa"/>
            <w:left w:w="108" w:type="dxa"/>
            <w:bottom w:w="0" w:type="dxa"/>
            <w:right w:w="108" w:type="dxa"/>
          </w:tblCellMar>
        </w:tblPrEx>
        <w:trPr>
          <w:trHeight w:val="1540" w:hRule="atLeast"/>
          <w:jc w:val="center"/>
        </w:trPr>
        <w:tc>
          <w:tcPr>
            <w:tcW w:w="243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p>
        </w:tc>
        <w:tc>
          <w:tcPr>
            <w:tcW w:w="32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cs="宋体"/>
                <w:b/>
                <w:kern w:val="0"/>
                <w:sz w:val="24"/>
              </w:rPr>
            </w:pPr>
            <w:r>
              <w:rPr>
                <w:rFonts w:hint="eastAsia" w:ascii="宋体" w:hAnsi="宋体" w:cs="宋体"/>
                <w:b/>
                <w:kern w:val="0"/>
                <w:sz w:val="24"/>
              </w:rPr>
              <w:t>￥</w:t>
            </w:r>
          </w:p>
        </w:tc>
        <w:tc>
          <w:tcPr>
            <w:tcW w:w="16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kern w:val="0"/>
                <w:sz w:val="24"/>
              </w:rPr>
            </w:pPr>
          </w:p>
        </w:tc>
      </w:tr>
      <w:tr>
        <w:tblPrEx>
          <w:tblCellMar>
            <w:top w:w="0" w:type="dxa"/>
            <w:left w:w="108" w:type="dxa"/>
            <w:bottom w:w="0" w:type="dxa"/>
            <w:right w:w="108" w:type="dxa"/>
          </w:tblCellMar>
        </w:tblPrEx>
        <w:trPr>
          <w:trHeight w:val="856" w:hRule="atLeast"/>
          <w:jc w:val="center"/>
        </w:trPr>
        <w:tc>
          <w:tcPr>
            <w:tcW w:w="9940" w:type="dxa"/>
            <w:gridSpan w:val="5"/>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b/>
                <w:kern w:val="0"/>
                <w:sz w:val="24"/>
              </w:rPr>
            </w:pPr>
            <w:r>
              <w:rPr>
                <w:rFonts w:hint="eastAsia" w:ascii="宋体" w:hAnsi="宋体" w:cs="宋体"/>
                <w:b/>
                <w:kern w:val="0"/>
                <w:sz w:val="24"/>
              </w:rPr>
              <w:t>投标总价（人民币大写）：</w:t>
            </w:r>
          </w:p>
        </w:tc>
      </w:tr>
    </w:tbl>
    <w:p>
      <w:pPr>
        <w:snapToGrid w:val="0"/>
        <w:spacing w:line="360" w:lineRule="auto"/>
        <w:rPr>
          <w:rFonts w:ascii="宋体" w:hAnsi="宋体"/>
          <w:sz w:val="24"/>
        </w:rPr>
      </w:pPr>
      <w:r>
        <w:rPr>
          <w:rFonts w:ascii="宋体" w:hAnsi="宋体"/>
          <w:b/>
          <w:sz w:val="24"/>
        </w:rPr>
        <w:t xml:space="preserve">注: </w:t>
      </w:r>
      <w:r>
        <w:rPr>
          <w:rFonts w:ascii="宋体" w:hAnsi="宋体"/>
          <w:sz w:val="24"/>
        </w:rPr>
        <w:t>1</w:t>
      </w:r>
      <w:r>
        <w:rPr>
          <w:rFonts w:hint="eastAsia" w:ascii="宋体" w:hAnsi="宋体"/>
          <w:sz w:val="24"/>
        </w:rPr>
        <w:t>.</w:t>
      </w:r>
      <w:r>
        <w:rPr>
          <w:rFonts w:ascii="宋体" w:hAnsi="宋体"/>
          <w:sz w:val="24"/>
        </w:rPr>
        <w:t>报价一经涂改，应在涂改处加盖单位公章或者由法定代表人或授权委托人签字或盖章，否则其投标作无效标处理。</w:t>
      </w:r>
    </w:p>
    <w:p>
      <w:pPr>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投标费用包括货款、标准附件、备品备件、专用工具、包装、运输、装卸、保险、税金、货到就位</w:t>
      </w:r>
      <w:r>
        <w:rPr>
          <w:rFonts w:hint="eastAsia" w:ascii="宋体" w:hAnsi="宋体"/>
          <w:sz w:val="24"/>
        </w:rPr>
        <w:t>、现场保管以及</w:t>
      </w:r>
      <w:r>
        <w:rPr>
          <w:rFonts w:ascii="宋体" w:hAnsi="宋体"/>
          <w:sz w:val="24"/>
        </w:rPr>
        <w:t>安装、调试、培训、保修等一切税金和费用。</w:t>
      </w:r>
    </w:p>
    <w:p>
      <w:pPr>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以上报价应与“投标设备报价明细表”中的“投标总价”相一致。</w:t>
      </w:r>
    </w:p>
    <w:p>
      <w:pPr>
        <w:tabs>
          <w:tab w:val="left" w:pos="1418"/>
        </w:tabs>
        <w:spacing w:line="360" w:lineRule="auto"/>
        <w:rPr>
          <w:rFonts w:ascii="宋体" w:hAnsi="宋体"/>
          <w:sz w:val="24"/>
        </w:rPr>
      </w:pP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
          <w:bCs/>
          <w:sz w:val="24"/>
        </w:rPr>
      </w:pPr>
      <w:r>
        <w:rPr>
          <w:rFonts w:hint="eastAsia" w:ascii="宋体" w:hAnsi="宋体"/>
          <w:bCs/>
          <w:sz w:val="24"/>
        </w:rPr>
        <w:t>投 标 人（盖章）：                              年  月  日</w:t>
      </w: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pStyle w:val="2"/>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r>
        <w:rPr>
          <w:rFonts w:hint="eastAsia" w:ascii="宋体" w:hAnsi="宋体"/>
          <w:sz w:val="24"/>
        </w:rPr>
        <w:t>5.报价明细清单格式：</w:t>
      </w:r>
    </w:p>
    <w:p>
      <w:pPr>
        <w:pStyle w:val="2"/>
        <w:spacing w:line="360" w:lineRule="auto"/>
        <w:jc w:val="center"/>
      </w:pPr>
      <w:r>
        <w:rPr>
          <w:rFonts w:hint="eastAsia"/>
        </w:rPr>
        <w:t>投 标 报 价 明 细 表</w:t>
      </w:r>
    </w:p>
    <w:p>
      <w:pPr>
        <w:rPr>
          <w:rFonts w:ascii="宋体" w:hAnsi="宋体"/>
          <w:sz w:val="24"/>
        </w:rPr>
      </w:pPr>
      <w:r>
        <w:rPr>
          <w:rFonts w:hint="eastAsia" w:ascii="宋体" w:hAnsi="宋体"/>
          <w:sz w:val="24"/>
        </w:rPr>
        <w:t>项目</w:t>
      </w:r>
      <w:r>
        <w:rPr>
          <w:rFonts w:ascii="宋体" w:hAnsi="宋体"/>
          <w:sz w:val="24"/>
        </w:rPr>
        <w:t>编号</w:t>
      </w:r>
      <w:r>
        <w:rPr>
          <w:rFonts w:hint="eastAsia" w:ascii="宋体" w:hAnsi="宋体"/>
          <w:sz w:val="24"/>
        </w:rPr>
        <w:t>及标段号</w:t>
      </w:r>
      <w:r>
        <w:rPr>
          <w:rFonts w:ascii="宋体" w:hAnsi="宋体"/>
          <w:sz w:val="24"/>
        </w:rPr>
        <w:t>：</w:t>
      </w:r>
      <w:r>
        <w:rPr>
          <w:rFonts w:ascii="宋体" w:hAnsi="宋体"/>
          <w:sz w:val="24"/>
          <w:u w:val="single"/>
        </w:rPr>
        <w:t xml:space="preserve"> </w:t>
      </w:r>
      <w:r>
        <w:rPr>
          <w:rFonts w:hint="eastAsia" w:ascii="宋体" w:hAnsi="宋体"/>
          <w:sz w:val="24"/>
          <w:u w:val="single"/>
        </w:rPr>
        <w:t xml:space="preserve">平政采招2025-01  </w:t>
      </w:r>
      <w:r>
        <w:rPr>
          <w:rFonts w:hint="eastAsia" w:ascii="宋体" w:hAnsi="宋体"/>
          <w:sz w:val="24"/>
        </w:rPr>
        <w:t xml:space="preserve">             </w:t>
      </w:r>
      <w:r>
        <w:rPr>
          <w:rFonts w:ascii="宋体" w:hAnsi="宋体"/>
          <w:sz w:val="24"/>
        </w:rPr>
        <w:t>单位：元</w:t>
      </w:r>
    </w:p>
    <w:p>
      <w:pPr>
        <w:rPr>
          <w:rFonts w:ascii="宋体" w:hAnsi="宋体"/>
          <w:sz w:val="24"/>
        </w:rPr>
      </w:pPr>
    </w:p>
    <w:tbl>
      <w:tblPr>
        <w:tblStyle w:val="22"/>
        <w:tblW w:w="904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672"/>
        <w:gridCol w:w="852"/>
        <w:gridCol w:w="1029"/>
        <w:gridCol w:w="957"/>
        <w:gridCol w:w="852"/>
        <w:gridCol w:w="891"/>
        <w:gridCol w:w="1277"/>
        <w:gridCol w:w="14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045" w:type="dxa"/>
            <w:gridSpan w:val="10"/>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
                <w:sz w:val="24"/>
              </w:rPr>
            </w:pPr>
            <w:r>
              <w:rPr>
                <w:rFonts w:hint="eastAsia" w:ascii="宋体" w:hAnsi="宋体" w:cs="宋体"/>
                <w:bCs/>
                <w:sz w:val="24"/>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r>
              <w:rPr>
                <w:rFonts w:hint="eastAsia" w:ascii="宋体" w:hAnsi="宋体" w:cs="宋体"/>
                <w:bCs/>
                <w:sz w:val="24"/>
              </w:rPr>
              <w:t>货物</w:t>
            </w:r>
          </w:p>
          <w:p>
            <w:pPr>
              <w:adjustRightInd w:val="0"/>
              <w:snapToGrid w:val="0"/>
              <w:spacing w:after="200" w:line="360" w:lineRule="auto"/>
              <w:jc w:val="center"/>
              <w:rPr>
                <w:rFonts w:ascii="宋体" w:hAnsi="宋体" w:cs="宋体"/>
                <w:bCs/>
                <w:sz w:val="24"/>
              </w:rPr>
            </w:pPr>
            <w:r>
              <w:rPr>
                <w:rFonts w:hint="eastAsia" w:ascii="宋体" w:hAnsi="宋体" w:cs="宋体"/>
                <w:bCs/>
                <w:sz w:val="24"/>
              </w:rPr>
              <w:t>名称</w:t>
            </w:r>
          </w:p>
        </w:tc>
        <w:tc>
          <w:tcPr>
            <w:tcW w:w="672" w:type="dxa"/>
            <w:vMerge w:val="restart"/>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品牌</w:t>
            </w:r>
          </w:p>
        </w:tc>
        <w:tc>
          <w:tcPr>
            <w:tcW w:w="852" w:type="dxa"/>
            <w:vMerge w:val="restart"/>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产地</w:t>
            </w:r>
          </w:p>
        </w:tc>
        <w:tc>
          <w:tcPr>
            <w:tcW w:w="1029" w:type="dxa"/>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r>
              <w:rPr>
                <w:rFonts w:hint="eastAsia" w:ascii="宋体" w:hAnsi="宋体" w:cs="宋体"/>
                <w:bCs/>
                <w:sz w:val="24"/>
              </w:rPr>
              <w:t>规格</w:t>
            </w:r>
          </w:p>
          <w:p>
            <w:pPr>
              <w:adjustRightInd w:val="0"/>
              <w:snapToGrid w:val="0"/>
              <w:spacing w:after="200" w:line="360" w:lineRule="auto"/>
              <w:jc w:val="center"/>
              <w:rPr>
                <w:rFonts w:ascii="宋体" w:hAnsi="宋体" w:cs="宋体"/>
                <w:bCs/>
                <w:sz w:val="24"/>
              </w:rPr>
            </w:pPr>
            <w:r>
              <w:rPr>
                <w:rFonts w:hint="eastAsia" w:ascii="宋体" w:hAnsi="宋体" w:cs="宋体"/>
                <w:bCs/>
                <w:sz w:val="24"/>
              </w:rPr>
              <w:t>型号</w:t>
            </w:r>
          </w:p>
        </w:tc>
        <w:tc>
          <w:tcPr>
            <w:tcW w:w="957" w:type="dxa"/>
            <w:vMerge w:val="restart"/>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数量</w:t>
            </w:r>
          </w:p>
        </w:tc>
        <w:tc>
          <w:tcPr>
            <w:tcW w:w="852" w:type="dxa"/>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r>
              <w:rPr>
                <w:rFonts w:hint="eastAsia" w:ascii="宋体" w:hAnsi="宋体" w:cs="宋体"/>
                <w:bCs/>
                <w:sz w:val="24"/>
              </w:rPr>
              <w:t>单价</w:t>
            </w:r>
          </w:p>
          <w:p>
            <w:pPr>
              <w:adjustRightInd w:val="0"/>
              <w:snapToGrid w:val="0"/>
              <w:spacing w:after="200" w:line="360" w:lineRule="auto"/>
              <w:jc w:val="center"/>
              <w:rPr>
                <w:rFonts w:ascii="宋体" w:hAnsi="宋体" w:cs="宋体"/>
                <w:bCs/>
                <w:sz w:val="24"/>
              </w:rPr>
            </w:pPr>
            <w:r>
              <w:rPr>
                <w:rFonts w:hint="eastAsia" w:ascii="宋体" w:hAnsi="宋体" w:cs="宋体"/>
                <w:bCs/>
                <w:sz w:val="24"/>
              </w:rPr>
              <w:t>（元）</w:t>
            </w:r>
          </w:p>
        </w:tc>
        <w:tc>
          <w:tcPr>
            <w:tcW w:w="891" w:type="dxa"/>
            <w:vMerge w:val="restart"/>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总价（元）</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制造商情况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67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85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1029"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957"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85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891"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p>
        </w:tc>
        <w:tc>
          <w:tcPr>
            <w:tcW w:w="1277" w:type="dxa"/>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是否中小微企业</w:t>
            </w:r>
          </w:p>
        </w:tc>
        <w:tc>
          <w:tcPr>
            <w:tcW w:w="1419" w:type="dxa"/>
            <w:tcBorders>
              <w:top w:val="single" w:color="auto" w:sz="4" w:space="0"/>
              <w:left w:val="single" w:color="auto" w:sz="4" w:space="0"/>
              <w:bottom w:val="nil"/>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企业全称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r>
              <w:rPr>
                <w:rFonts w:hint="eastAsia" w:ascii="宋体" w:hAnsi="宋体" w:cs="宋体"/>
                <w:bCs/>
                <w:sz w:val="24"/>
              </w:rPr>
              <w:t>…</w:t>
            </w:r>
          </w:p>
        </w:tc>
        <w:tc>
          <w:tcPr>
            <w:tcW w:w="6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10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89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045" w:type="dxa"/>
            <w:gridSpan w:val="10"/>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rPr>
                <w:rFonts w:ascii="宋体" w:hAnsi="宋体" w:cs="宋体"/>
                <w:bCs/>
                <w:sz w:val="24"/>
              </w:rPr>
            </w:pPr>
            <w:r>
              <w:rPr>
                <w:rFonts w:hint="eastAsia" w:ascii="宋体" w:hAnsi="宋体" w:cs="宋体"/>
                <w:bCs/>
                <w:sz w:val="24"/>
              </w:rPr>
              <w:t xml:space="preserve">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360" w:lineRule="auto"/>
              <w:rPr>
                <w:rFonts w:ascii="宋体" w:hAnsi="宋体" w:cs="宋体"/>
                <w:sz w:val="24"/>
              </w:rPr>
            </w:pPr>
            <w:r>
              <w:rPr>
                <w:rFonts w:hint="eastAsia" w:ascii="宋体" w:hAnsi="宋体" w:cs="宋体"/>
                <w:sz w:val="24"/>
              </w:rPr>
              <w:t>备注</w:t>
            </w:r>
          </w:p>
        </w:tc>
        <w:tc>
          <w:tcPr>
            <w:tcW w:w="8512"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1.此表应按项目的明细情况列项填报,在填写时，如上表不适合本项目的实际情况，可在确保投标明细内容完整的情况下，根据上表格式自行划表填写。</w:t>
            </w:r>
          </w:p>
          <w:p>
            <w:pPr>
              <w:spacing w:line="360" w:lineRule="auto"/>
              <w:rPr>
                <w:rFonts w:ascii="宋体" w:hAnsi="宋体" w:cs="宋体"/>
                <w:kern w:val="0"/>
                <w:sz w:val="24"/>
              </w:rPr>
            </w:pPr>
            <w:r>
              <w:rPr>
                <w:rFonts w:hint="eastAsia" w:ascii="宋体" w:hAnsi="宋体" w:cs="宋体"/>
                <w:sz w:val="24"/>
              </w:rPr>
              <w:t>2.报价要求：项目费用包括项目实施所需的工程费、工时费、服务费、运输费、安装调试费、税费及其他一切费用。</w:t>
            </w:r>
          </w:p>
          <w:p>
            <w:pPr>
              <w:spacing w:line="360" w:lineRule="auto"/>
              <w:rPr>
                <w:rFonts w:ascii="宋体" w:hAnsi="宋体" w:cs="宋体"/>
                <w:sz w:val="24"/>
              </w:rPr>
            </w:pPr>
            <w:r>
              <w:rPr>
                <w:rFonts w:hint="eastAsia" w:ascii="宋体" w:hAnsi="宋体" w:cs="宋体"/>
                <w:sz w:val="24"/>
              </w:rPr>
              <w:t>3.报价中不允许出现报价优惠等字样,投标总价合计金额应与明细报价汇总相等。</w:t>
            </w:r>
          </w:p>
        </w:tc>
      </w:tr>
    </w:tbl>
    <w:p>
      <w:pPr>
        <w:spacing w:line="400" w:lineRule="exact"/>
        <w:rPr>
          <w:rFonts w:ascii="仿宋" w:hAnsi="仿宋" w:eastAsia="仿宋"/>
          <w:sz w:val="24"/>
        </w:rPr>
      </w:pPr>
    </w:p>
    <w:p>
      <w:pPr>
        <w:tabs>
          <w:tab w:val="left" w:pos="1418"/>
        </w:tabs>
        <w:spacing w:line="360" w:lineRule="auto"/>
        <w:rPr>
          <w:rFonts w:ascii="宋体" w:hAnsi="宋体"/>
          <w:bCs/>
          <w:sz w:val="24"/>
        </w:rPr>
      </w:pPr>
      <w:r>
        <w:rPr>
          <w:rFonts w:ascii="宋体" w:hAnsi="宋体"/>
          <w:sz w:val="24"/>
        </w:rPr>
        <w:t>法定代表人或委托代理人签名：</w:t>
      </w:r>
      <w:r>
        <w:rPr>
          <w:rFonts w:hint="eastAsia" w:ascii="宋体" w:hAnsi="宋体"/>
          <w:bCs/>
          <w:sz w:val="24"/>
        </w:rPr>
        <w:t xml:space="preserve"> </w:t>
      </w:r>
    </w:p>
    <w:p>
      <w:pPr>
        <w:tabs>
          <w:tab w:val="left" w:pos="1418"/>
        </w:tabs>
        <w:spacing w:line="360" w:lineRule="auto"/>
        <w:rPr>
          <w:rFonts w:ascii="宋体" w:hAnsi="宋体"/>
          <w:bCs/>
          <w:sz w:val="24"/>
        </w:rPr>
      </w:pPr>
      <w:r>
        <w:rPr>
          <w:rFonts w:hint="eastAsia" w:ascii="宋体" w:hAnsi="宋体"/>
          <w:bCs/>
          <w:sz w:val="24"/>
        </w:rPr>
        <w:t>投 标 人（盖章）：                              年  月  日</w:t>
      </w: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sectPr>
      <w:pgSz w:w="11906" w:h="16838"/>
      <w:pgMar w:top="1440" w:right="1797" w:bottom="1440" w:left="1797"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创艺简标宋">
    <w:altName w:val="宋体"/>
    <w:panose1 w:val="020B0604020202020204"/>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27</w: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1D92F"/>
    <w:multiLevelType w:val="singleLevel"/>
    <w:tmpl w:val="91E1D92F"/>
    <w:lvl w:ilvl="0" w:tentative="0">
      <w:start w:val="2"/>
      <w:numFmt w:val="chineseCounting"/>
      <w:suff w:val="space"/>
      <w:lvlText w:val="第%1章"/>
      <w:lvlJc w:val="left"/>
      <w:rPr>
        <w:rFonts w:hint="eastAsia"/>
      </w:rPr>
    </w:lvl>
  </w:abstractNum>
  <w:abstractNum w:abstractNumId="1">
    <w:nsid w:val="A9BD7239"/>
    <w:multiLevelType w:val="singleLevel"/>
    <w:tmpl w:val="A9BD7239"/>
    <w:lvl w:ilvl="0" w:tentative="0">
      <w:start w:val="1"/>
      <w:numFmt w:val="decimal"/>
      <w:lvlText w:val="%1."/>
      <w:lvlJc w:val="left"/>
      <w:pPr>
        <w:tabs>
          <w:tab w:val="left" w:pos="312"/>
        </w:tabs>
      </w:pPr>
    </w:lvl>
  </w:abstractNum>
  <w:abstractNum w:abstractNumId="2">
    <w:nsid w:val="D8BDC5A5"/>
    <w:multiLevelType w:val="singleLevel"/>
    <w:tmpl w:val="D8BDC5A5"/>
    <w:lvl w:ilvl="0" w:tentative="0">
      <w:start w:val="9"/>
      <w:numFmt w:val="chineseCounting"/>
      <w:suff w:val="nothing"/>
      <w:lvlText w:val="（%1）"/>
      <w:lvlJc w:val="left"/>
      <w:rPr>
        <w:rFonts w:hint="eastAsia"/>
      </w:rPr>
    </w:lvl>
  </w:abstractNum>
  <w:abstractNum w:abstractNumId="3">
    <w:nsid w:val="090C41C3"/>
    <w:multiLevelType w:val="multilevel"/>
    <w:tmpl w:val="090C41C3"/>
    <w:lvl w:ilvl="0" w:tentative="0">
      <w:start w:val="4"/>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343D34B"/>
    <w:multiLevelType w:val="singleLevel"/>
    <w:tmpl w:val="2343D34B"/>
    <w:lvl w:ilvl="0" w:tentative="0">
      <w:start w:val="1"/>
      <w:numFmt w:val="chineseCounting"/>
      <w:suff w:val="nothing"/>
      <w:lvlText w:val="%1、"/>
      <w:lvlJc w:val="left"/>
      <w:rPr>
        <w:rFonts w:hint="eastAsia"/>
      </w:rPr>
    </w:lvl>
  </w:abstractNum>
  <w:abstractNum w:abstractNumId="5">
    <w:nsid w:val="49EF663F"/>
    <w:multiLevelType w:val="singleLevel"/>
    <w:tmpl w:val="49EF663F"/>
    <w:lvl w:ilvl="0" w:tentative="0">
      <w:start w:val="1"/>
      <w:numFmt w:val="decimal"/>
      <w:suff w:val="nothing"/>
      <w:lvlText w:val="%1、"/>
      <w:lvlJc w:val="left"/>
    </w:lvl>
  </w:abstractNum>
  <w:abstractNum w:abstractNumId="6">
    <w:nsid w:val="7B9BA12D"/>
    <w:multiLevelType w:val="singleLevel"/>
    <w:tmpl w:val="7B9BA12D"/>
    <w:lvl w:ilvl="0" w:tentative="0">
      <w:start w:val="1"/>
      <w:numFmt w:val="decimal"/>
      <w:pStyle w:val="5"/>
      <w:lvlText w:val="%1."/>
      <w:lvlJc w:val="left"/>
      <w:pPr>
        <w:tabs>
          <w:tab w:val="left" w:pos="360"/>
        </w:tabs>
        <w:ind w:left="360" w:hanging="360"/>
      </w:pPr>
    </w:lvl>
  </w:abstractNum>
  <w:num w:numId="1">
    <w:abstractNumId w:val="6"/>
  </w:num>
  <w:num w:numId="2">
    <w:abstractNumId w:val="0"/>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jMGFhOTc1YmFhNmE5OWQwMWE5ZjdiMGE0NDIwN2EifQ=="/>
  </w:docVars>
  <w:rsids>
    <w:rsidRoot w:val="24C921DA"/>
    <w:rsid w:val="00156CAA"/>
    <w:rsid w:val="004368FD"/>
    <w:rsid w:val="0061699D"/>
    <w:rsid w:val="00B824B1"/>
    <w:rsid w:val="00C44F1A"/>
    <w:rsid w:val="00C87E92"/>
    <w:rsid w:val="00CC4379"/>
    <w:rsid w:val="01E72F1C"/>
    <w:rsid w:val="031D1167"/>
    <w:rsid w:val="03CA0201"/>
    <w:rsid w:val="060312C1"/>
    <w:rsid w:val="08672FB3"/>
    <w:rsid w:val="090107BE"/>
    <w:rsid w:val="0955099D"/>
    <w:rsid w:val="09903C9B"/>
    <w:rsid w:val="0B8F3D84"/>
    <w:rsid w:val="0CB825A9"/>
    <w:rsid w:val="0D2804A9"/>
    <w:rsid w:val="0D706F9B"/>
    <w:rsid w:val="0E395B6A"/>
    <w:rsid w:val="0ED45416"/>
    <w:rsid w:val="0F645140"/>
    <w:rsid w:val="116549EC"/>
    <w:rsid w:val="121232FB"/>
    <w:rsid w:val="130C57C8"/>
    <w:rsid w:val="1347382D"/>
    <w:rsid w:val="14253593"/>
    <w:rsid w:val="142728D0"/>
    <w:rsid w:val="14880D01"/>
    <w:rsid w:val="163E6C8B"/>
    <w:rsid w:val="171B2DF6"/>
    <w:rsid w:val="176566F2"/>
    <w:rsid w:val="181527EC"/>
    <w:rsid w:val="182C23E2"/>
    <w:rsid w:val="194A13C2"/>
    <w:rsid w:val="19871D3E"/>
    <w:rsid w:val="1A1A624A"/>
    <w:rsid w:val="1A442A5F"/>
    <w:rsid w:val="1A451EB1"/>
    <w:rsid w:val="1A5C6C58"/>
    <w:rsid w:val="1A94409D"/>
    <w:rsid w:val="1AD77FD8"/>
    <w:rsid w:val="1BA20AAD"/>
    <w:rsid w:val="1CB5531C"/>
    <w:rsid w:val="1CCC597E"/>
    <w:rsid w:val="1D775EEB"/>
    <w:rsid w:val="1E3A57E6"/>
    <w:rsid w:val="22E17BB6"/>
    <w:rsid w:val="231A6ECF"/>
    <w:rsid w:val="23454E7B"/>
    <w:rsid w:val="23757CBE"/>
    <w:rsid w:val="23A247B7"/>
    <w:rsid w:val="23C14F14"/>
    <w:rsid w:val="24C921DA"/>
    <w:rsid w:val="259C05BC"/>
    <w:rsid w:val="26B50BA1"/>
    <w:rsid w:val="27021D88"/>
    <w:rsid w:val="27037402"/>
    <w:rsid w:val="271063FB"/>
    <w:rsid w:val="27111B1F"/>
    <w:rsid w:val="294869D0"/>
    <w:rsid w:val="29A273A6"/>
    <w:rsid w:val="2B070127"/>
    <w:rsid w:val="2B0B013E"/>
    <w:rsid w:val="2BD2415B"/>
    <w:rsid w:val="2C1929D3"/>
    <w:rsid w:val="2C37103F"/>
    <w:rsid w:val="2DB41F66"/>
    <w:rsid w:val="2E506C55"/>
    <w:rsid w:val="2FF25711"/>
    <w:rsid w:val="307E67EA"/>
    <w:rsid w:val="314B0324"/>
    <w:rsid w:val="33B44016"/>
    <w:rsid w:val="35B15D17"/>
    <w:rsid w:val="37C31EAB"/>
    <w:rsid w:val="38F142D1"/>
    <w:rsid w:val="395B6DEA"/>
    <w:rsid w:val="3AAA574E"/>
    <w:rsid w:val="3B043D9A"/>
    <w:rsid w:val="3B2A2118"/>
    <w:rsid w:val="3CC071DE"/>
    <w:rsid w:val="3CDB3296"/>
    <w:rsid w:val="3D3A7B6C"/>
    <w:rsid w:val="3F985AE2"/>
    <w:rsid w:val="4122770B"/>
    <w:rsid w:val="41937ECE"/>
    <w:rsid w:val="421870C5"/>
    <w:rsid w:val="422624CB"/>
    <w:rsid w:val="426C503E"/>
    <w:rsid w:val="440624CD"/>
    <w:rsid w:val="45F23B0D"/>
    <w:rsid w:val="47DB7839"/>
    <w:rsid w:val="4A6B0A68"/>
    <w:rsid w:val="4A6D510C"/>
    <w:rsid w:val="4A7C6668"/>
    <w:rsid w:val="4AD16A73"/>
    <w:rsid w:val="4CBE71F1"/>
    <w:rsid w:val="4DF53699"/>
    <w:rsid w:val="4E5807A3"/>
    <w:rsid w:val="50225359"/>
    <w:rsid w:val="50257E0B"/>
    <w:rsid w:val="50571655"/>
    <w:rsid w:val="508670EF"/>
    <w:rsid w:val="5169223B"/>
    <w:rsid w:val="51AD6F6B"/>
    <w:rsid w:val="526273B5"/>
    <w:rsid w:val="535813B6"/>
    <w:rsid w:val="5454418F"/>
    <w:rsid w:val="556F1BE4"/>
    <w:rsid w:val="585E3E4E"/>
    <w:rsid w:val="58903B05"/>
    <w:rsid w:val="58C46D93"/>
    <w:rsid w:val="5D181620"/>
    <w:rsid w:val="5E6E483C"/>
    <w:rsid w:val="5ECF5881"/>
    <w:rsid w:val="5EFA1F8A"/>
    <w:rsid w:val="5F852A89"/>
    <w:rsid w:val="5FE95707"/>
    <w:rsid w:val="60C76626"/>
    <w:rsid w:val="624F7B3C"/>
    <w:rsid w:val="62943565"/>
    <w:rsid w:val="62AE628F"/>
    <w:rsid w:val="637A51B8"/>
    <w:rsid w:val="63F42B5D"/>
    <w:rsid w:val="63FB4653"/>
    <w:rsid w:val="646854D1"/>
    <w:rsid w:val="64A533A9"/>
    <w:rsid w:val="64AA3487"/>
    <w:rsid w:val="65A2780B"/>
    <w:rsid w:val="66DC1405"/>
    <w:rsid w:val="670F0D0F"/>
    <w:rsid w:val="67682A09"/>
    <w:rsid w:val="67FA4405"/>
    <w:rsid w:val="69B21CFF"/>
    <w:rsid w:val="6AA42749"/>
    <w:rsid w:val="6AD83C99"/>
    <w:rsid w:val="6C5352E1"/>
    <w:rsid w:val="6D9B2815"/>
    <w:rsid w:val="6EAB002F"/>
    <w:rsid w:val="6F0F11EE"/>
    <w:rsid w:val="6F553587"/>
    <w:rsid w:val="6FD61AE7"/>
    <w:rsid w:val="703A0373"/>
    <w:rsid w:val="71CE7DDF"/>
    <w:rsid w:val="72BA3948"/>
    <w:rsid w:val="72F0391E"/>
    <w:rsid w:val="73536F6E"/>
    <w:rsid w:val="73C3315E"/>
    <w:rsid w:val="742B0327"/>
    <w:rsid w:val="75DD1D36"/>
    <w:rsid w:val="75EF2965"/>
    <w:rsid w:val="769E2F10"/>
    <w:rsid w:val="77092DAC"/>
    <w:rsid w:val="77977879"/>
    <w:rsid w:val="77A965B0"/>
    <w:rsid w:val="782E17BB"/>
    <w:rsid w:val="78760A45"/>
    <w:rsid w:val="7CF22F3B"/>
    <w:rsid w:val="7D0A452F"/>
    <w:rsid w:val="7D986EEF"/>
    <w:rsid w:val="7F6C00C7"/>
    <w:rsid w:val="7FBA2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tabs>
        <w:tab w:val="left" w:pos="720"/>
      </w:tabs>
      <w:spacing w:before="260" w:after="260" w:line="416" w:lineRule="auto"/>
      <w:ind w:left="720" w:hanging="720"/>
      <w:outlineLvl w:val="2"/>
    </w:pPr>
    <w:rPr>
      <w:b/>
      <w:bCs/>
      <w:sz w:val="32"/>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3">
    <w:name w:val="标准正文"/>
    <w:basedOn w:val="1"/>
    <w:qFormat/>
    <w:uiPriority w:val="0"/>
    <w:pPr>
      <w:spacing w:line="360" w:lineRule="auto"/>
      <w:ind w:firstLine="200" w:firstLineChars="200"/>
    </w:pPr>
    <w:rPr>
      <w:sz w:val="24"/>
      <w:szCs w:val="20"/>
    </w:r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rFonts w:ascii="Calibri" w:hAnsi="Calibri"/>
      <w:kern w:val="0"/>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Body Text 3"/>
    <w:basedOn w:val="1"/>
    <w:qFormat/>
    <w:uiPriority w:val="0"/>
    <w:pPr>
      <w:snapToGrid w:val="0"/>
      <w:spacing w:before="50" w:after="50"/>
    </w:pPr>
    <w:rPr>
      <w:rFonts w:ascii="Calibri" w:hAnsi="Calibri"/>
      <w:kern w:val="0"/>
      <w:sz w:val="20"/>
    </w:rPr>
  </w:style>
  <w:style w:type="paragraph" w:styleId="9">
    <w:name w:val="Body Text Indent"/>
    <w:basedOn w:val="1"/>
    <w:qFormat/>
    <w:uiPriority w:val="0"/>
    <w:pPr>
      <w:spacing w:line="200" w:lineRule="exact"/>
      <w:ind w:firstLine="301"/>
    </w:pPr>
    <w:rPr>
      <w:rFonts w:ascii="宋体" w:hAnsi="Courier New"/>
      <w:spacing w:val="-4"/>
      <w:kern w:val="0"/>
      <w:sz w:val="18"/>
    </w:rPr>
  </w:style>
  <w:style w:type="paragraph" w:styleId="10">
    <w:name w:val="index 4"/>
    <w:basedOn w:val="1"/>
    <w:next w:val="1"/>
    <w:qFormat/>
    <w:uiPriority w:val="0"/>
    <w:pPr>
      <w:ind w:left="600" w:leftChars="600"/>
    </w:pPr>
    <w:rPr>
      <w:rFonts w:ascii="Verdana" w:hAnsi="Verdana"/>
      <w:kern w:val="0"/>
      <w:sz w:val="20"/>
      <w:szCs w:val="20"/>
    </w:rPr>
  </w:style>
  <w:style w:type="paragraph" w:styleId="11">
    <w:name w:val="Plain Text"/>
    <w:basedOn w:val="1"/>
    <w:next w:val="1"/>
    <w:qFormat/>
    <w:uiPriority w:val="0"/>
    <w:pPr>
      <w:spacing w:beforeLines="50" w:afterLines="50" w:line="400" w:lineRule="exact"/>
    </w:pPr>
    <w:rPr>
      <w:rFonts w:ascii="宋体" w:hAnsi="Courier New"/>
      <w:kern w:val="0"/>
      <w:sz w:val="24"/>
    </w:rPr>
  </w:style>
  <w:style w:type="paragraph" w:styleId="12">
    <w:name w:val="Date"/>
    <w:basedOn w:val="1"/>
    <w:next w:val="1"/>
    <w:qFormat/>
    <w:uiPriority w:val="0"/>
    <w:pPr>
      <w:ind w:left="2500" w:leftChars="2500"/>
    </w:pPr>
    <w:rPr>
      <w:rFonts w:ascii="Calibri" w:hAnsi="Calibri" w:eastAsia="楷体_GB2312"/>
      <w:kern w:val="0"/>
      <w:sz w:val="32"/>
      <w:szCs w:val="20"/>
    </w:rPr>
  </w:style>
  <w:style w:type="paragraph" w:styleId="13">
    <w:name w:val="Balloon Text"/>
    <w:basedOn w:val="1"/>
    <w:semiHidden/>
    <w:qFormat/>
    <w:uiPriority w:val="99"/>
    <w:rPr>
      <w:rFonts w:ascii="Calibri" w:hAnsi="Calibri"/>
      <w:kern w:val="0"/>
      <w:sz w:val="18"/>
      <w:szCs w:val="18"/>
    </w:rPr>
  </w:style>
  <w:style w:type="paragraph" w:styleId="14">
    <w:name w:val="footer"/>
    <w:basedOn w:val="1"/>
    <w:qFormat/>
    <w:uiPriority w:val="99"/>
    <w:pPr>
      <w:tabs>
        <w:tab w:val="center" w:pos="4153"/>
        <w:tab w:val="right" w:pos="8306"/>
      </w:tabs>
      <w:snapToGrid w:val="0"/>
      <w:jc w:val="left"/>
    </w:pPr>
    <w:rPr>
      <w:rFonts w:ascii="Calibri" w:hAnsi="Calibri" w:eastAsia="黑体"/>
      <w:snapToGrid w:val="0"/>
      <w:kern w:val="0"/>
      <w:sz w:val="18"/>
      <w:szCs w:val="18"/>
    </w:rPr>
  </w:style>
  <w:style w:type="paragraph" w:styleId="15">
    <w:name w:val="envelope return"/>
    <w:basedOn w:val="1"/>
    <w:qFormat/>
    <w:uiPriority w:val="99"/>
    <w:pPr>
      <w:snapToGrid w:val="0"/>
    </w:pPr>
    <w:rPr>
      <w:rFonts w:ascii="Arial" w:hAnsi="Arial" w:cs="Arial"/>
    </w:rPr>
  </w:style>
  <w:style w:type="paragraph" w:styleId="16">
    <w:name w:val="header"/>
    <w:basedOn w:val="1"/>
    <w:qFormat/>
    <w:uiPriority w:val="99"/>
    <w:pPr>
      <w:pBdr>
        <w:bottom w:val="single" w:color="auto" w:sz="6" w:space="1"/>
      </w:pBdr>
      <w:tabs>
        <w:tab w:val="center" w:pos="4153"/>
        <w:tab w:val="right" w:pos="8306"/>
      </w:tabs>
      <w:snapToGrid w:val="0"/>
      <w:jc w:val="center"/>
    </w:pPr>
    <w:rPr>
      <w:rFonts w:ascii="Calibri" w:hAnsi="Calibri" w:eastAsia="仿宋_GB2312"/>
      <w:kern w:val="0"/>
      <w:sz w:val="18"/>
      <w:szCs w:val="20"/>
    </w:rPr>
  </w:style>
  <w:style w:type="paragraph" w:styleId="17">
    <w:name w:val="toc 1"/>
    <w:basedOn w:val="1"/>
    <w:next w:val="1"/>
    <w:qFormat/>
    <w:uiPriority w:val="0"/>
  </w:style>
  <w:style w:type="paragraph" w:styleId="18">
    <w:name w:val="Body Text Indent 3"/>
    <w:basedOn w:val="1"/>
    <w:qFormat/>
    <w:uiPriority w:val="0"/>
    <w:pPr>
      <w:snapToGrid w:val="0"/>
      <w:ind w:firstLine="480" w:firstLineChars="200"/>
      <w:jc w:val="left"/>
    </w:pPr>
    <w:rPr>
      <w:rFonts w:ascii="仿宋_GB2312" w:hAnsi="宋体" w:eastAsia="仿宋_GB2312"/>
      <w:color w:val="000000"/>
      <w:kern w:val="0"/>
      <w:sz w:val="24"/>
    </w:rPr>
  </w:style>
  <w:style w:type="paragraph" w:styleId="19">
    <w:name w:val="Normal (Web)"/>
    <w:basedOn w:val="1"/>
    <w:qFormat/>
    <w:uiPriority w:val="0"/>
    <w:pPr>
      <w:widowControl/>
      <w:spacing w:before="100" w:beforeAutospacing="1" w:after="100" w:afterAutospacing="1"/>
      <w:jc w:val="left"/>
    </w:pPr>
    <w:rPr>
      <w:rFonts w:ascii="宋体" w:hAnsi="宋体"/>
      <w:kern w:val="0"/>
    </w:rPr>
  </w:style>
  <w:style w:type="paragraph" w:styleId="20">
    <w:name w:val="Body Text First Indent 2"/>
    <w:basedOn w:val="9"/>
    <w:next w:val="21"/>
    <w:qFormat/>
    <w:uiPriority w:val="0"/>
    <w:pPr>
      <w:spacing w:after="120" w:line="240" w:lineRule="auto"/>
      <w:ind w:left="420" w:leftChars="200" w:firstLine="420" w:firstLineChars="200"/>
    </w:pPr>
    <w:rPr>
      <w:sz w:val="21"/>
    </w:rPr>
  </w:style>
  <w:style w:type="paragraph" w:customStyle="1" w:styleId="21">
    <w:name w:val="xl53"/>
    <w:basedOn w:val="1"/>
    <w:next w:val="1"/>
    <w:qFormat/>
    <w:uiPriority w:val="0"/>
    <w:pPr>
      <w:spacing w:before="280" w:after="280" w:line="100" w:lineRule="exact"/>
      <w:jc w:val="center"/>
    </w:pPr>
    <w:rPr>
      <w:b/>
      <w:sz w:val="20"/>
    </w:rPr>
  </w:style>
  <w:style w:type="character" w:styleId="24">
    <w:name w:val="Strong"/>
    <w:basedOn w:val="23"/>
    <w:qFormat/>
    <w:uiPriority w:val="0"/>
    <w:rPr>
      <w:b/>
    </w:rPr>
  </w:style>
  <w:style w:type="character" w:styleId="25">
    <w:name w:val="page number"/>
    <w:basedOn w:val="23"/>
    <w:qFormat/>
    <w:uiPriority w:val="0"/>
  </w:style>
  <w:style w:type="character" w:styleId="26">
    <w:name w:val="Hyperlink"/>
    <w:qFormat/>
    <w:uiPriority w:val="0"/>
    <w:rPr>
      <w:color w:val="FF6600"/>
      <w:u w:val="none"/>
    </w:rPr>
  </w:style>
  <w:style w:type="paragraph" w:customStyle="1" w:styleId="27">
    <w:name w:val="正文段"/>
    <w:basedOn w:val="1"/>
    <w:qFormat/>
    <w:uiPriority w:val="0"/>
    <w:pPr>
      <w:widowControl/>
      <w:snapToGrid w:val="0"/>
      <w:spacing w:afterLines="50"/>
      <w:ind w:firstLine="200" w:firstLineChars="200"/>
    </w:pPr>
    <w:rPr>
      <w:kern w:val="0"/>
      <w:sz w:val="24"/>
      <w:szCs w:val="20"/>
    </w:rPr>
  </w:style>
  <w:style w:type="paragraph" w:customStyle="1" w:styleId="28">
    <w:name w:val="正文21"/>
    <w:basedOn w:val="1"/>
    <w:qFormat/>
    <w:uiPriority w:val="0"/>
    <w:pPr>
      <w:spacing w:before="156" w:line="360" w:lineRule="auto"/>
      <w:ind w:firstLine="510" w:firstLineChars="200"/>
    </w:pPr>
    <w:rPr>
      <w:rFonts w:ascii="Calibri" w:hAnsi="Calibri"/>
      <w:kern w:val="0"/>
      <w:sz w:val="24"/>
      <w:szCs w:val="20"/>
    </w:rPr>
  </w:style>
  <w:style w:type="paragraph" w:customStyle="1" w:styleId="29">
    <w:name w:val="列表段落1"/>
    <w:basedOn w:val="1"/>
    <w:qFormat/>
    <w:uiPriority w:val="34"/>
    <w:pPr>
      <w:ind w:firstLine="420" w:firstLineChars="200"/>
    </w:pPr>
    <w:rPr>
      <w:rFonts w:ascii="Calibri" w:hAnsi="Calibri"/>
      <w:kern w:val="0"/>
      <w:sz w:val="20"/>
      <w:szCs w:val="20"/>
    </w:rPr>
  </w:style>
  <w:style w:type="paragraph" w:customStyle="1" w:styleId="30">
    <w:name w:val="默认段落字体 Para Char Char Char Char Char Char Char Char Char1 Char Char Char Char"/>
    <w:basedOn w:val="1"/>
    <w:qFormat/>
    <w:uiPriority w:val="0"/>
    <w:rPr>
      <w:rFonts w:ascii="Tahoma" w:hAnsi="Tahoma"/>
      <w:sz w:val="24"/>
      <w:szCs w:val="20"/>
    </w:rPr>
  </w:style>
  <w:style w:type="character" w:customStyle="1" w:styleId="31">
    <w:name w:val="font11"/>
    <w:basedOn w:val="23"/>
    <w:qFormat/>
    <w:uiPriority w:val="0"/>
    <w:rPr>
      <w:rFonts w:hint="eastAsia" w:ascii="宋体" w:hAnsi="宋体" w:eastAsia="宋体" w:cs="宋体"/>
      <w:color w:val="000000"/>
      <w:sz w:val="22"/>
      <w:szCs w:val="22"/>
      <w:u w:val="none"/>
    </w:rPr>
  </w:style>
  <w:style w:type="character" w:customStyle="1" w:styleId="32">
    <w:name w:val="font41"/>
    <w:basedOn w:val="23"/>
    <w:qFormat/>
    <w:uiPriority w:val="0"/>
    <w:rPr>
      <w:rFonts w:hint="eastAsia" w:ascii="宋体" w:hAnsi="宋体" w:eastAsia="宋体" w:cs="宋体"/>
      <w:color w:val="000000"/>
      <w:sz w:val="18"/>
      <w:szCs w:val="18"/>
      <w:u w:val="none"/>
    </w:rPr>
  </w:style>
  <w:style w:type="paragraph" w:customStyle="1" w:styleId="33">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34">
    <w:name w:val="font91"/>
    <w:basedOn w:val="23"/>
    <w:qFormat/>
    <w:uiPriority w:val="0"/>
    <w:rPr>
      <w:rFonts w:hint="eastAsia" w:ascii="宋体" w:hAnsi="宋体" w:eastAsia="宋体" w:cs="宋体"/>
      <w:color w:val="000000"/>
      <w:sz w:val="20"/>
      <w:szCs w:val="20"/>
      <w:u w:val="none"/>
    </w:rPr>
  </w:style>
  <w:style w:type="character" w:customStyle="1" w:styleId="35">
    <w:name w:val="font331"/>
    <w:basedOn w:val="23"/>
    <w:qFormat/>
    <w:uiPriority w:val="0"/>
    <w:rPr>
      <w:rFonts w:ascii="Arial" w:hAnsi="Arial" w:eastAsia="Arial" w:cs="Arial"/>
      <w:color w:val="000000"/>
      <w:sz w:val="20"/>
      <w:szCs w:val="20"/>
      <w:u w:val="none"/>
    </w:rPr>
  </w:style>
  <w:style w:type="character" w:customStyle="1" w:styleId="36">
    <w:name w:val="font101"/>
    <w:basedOn w:val="23"/>
    <w:qFormat/>
    <w:uiPriority w:val="0"/>
    <w:rPr>
      <w:rFonts w:hint="eastAsia" w:ascii="微软雅黑" w:hAnsi="微软雅黑" w:eastAsia="微软雅黑" w:cs="微软雅黑"/>
      <w:b/>
      <w:bCs/>
      <w:color w:val="FF0000"/>
      <w:sz w:val="20"/>
      <w:szCs w:val="20"/>
      <w:u w:val="none"/>
    </w:rPr>
  </w:style>
  <w:style w:type="character" w:customStyle="1" w:styleId="37">
    <w:name w:val="font21"/>
    <w:basedOn w:val="23"/>
    <w:qFormat/>
    <w:uiPriority w:val="0"/>
    <w:rPr>
      <w:rFonts w:hint="eastAsia" w:ascii="微软雅黑" w:hAnsi="微软雅黑" w:eastAsia="微软雅黑" w:cs="微软雅黑"/>
      <w:b/>
      <w:bCs/>
      <w:color w:val="000000"/>
      <w:sz w:val="20"/>
      <w:szCs w:val="20"/>
      <w:u w:val="none"/>
    </w:rPr>
  </w:style>
  <w:style w:type="character" w:customStyle="1" w:styleId="38">
    <w:name w:val="font01"/>
    <w:basedOn w:val="23"/>
    <w:qFormat/>
    <w:uiPriority w:val="0"/>
    <w:rPr>
      <w:rFonts w:hint="eastAsia" w:ascii="宋体" w:hAnsi="宋体" w:eastAsia="宋体" w:cs="宋体"/>
      <w:color w:val="FF0000"/>
      <w:sz w:val="20"/>
      <w:szCs w:val="20"/>
      <w:u w:val="none"/>
    </w:rPr>
  </w:style>
  <w:style w:type="character" w:customStyle="1" w:styleId="39">
    <w:name w:val="font161"/>
    <w:basedOn w:val="23"/>
    <w:qFormat/>
    <w:uiPriority w:val="0"/>
    <w:rPr>
      <w:rFonts w:hint="eastAsia" w:ascii="微软雅黑" w:hAnsi="微软雅黑" w:eastAsia="微软雅黑" w:cs="微软雅黑"/>
      <w:color w:val="FF0000"/>
      <w:sz w:val="20"/>
      <w:szCs w:val="20"/>
      <w:u w:val="none"/>
    </w:rPr>
  </w:style>
  <w:style w:type="character" w:customStyle="1" w:styleId="40">
    <w:name w:val="font31"/>
    <w:basedOn w:val="23"/>
    <w:qFormat/>
    <w:uiPriority w:val="0"/>
    <w:rPr>
      <w:rFonts w:hint="eastAsia" w:ascii="宋体" w:hAnsi="宋体" w:eastAsia="宋体" w:cs="宋体"/>
      <w:b/>
      <w:bCs/>
      <w:color w:val="FF0000"/>
      <w:sz w:val="20"/>
      <w:szCs w:val="20"/>
      <w:u w:val="none"/>
    </w:rPr>
  </w:style>
  <w:style w:type="character" w:customStyle="1" w:styleId="41">
    <w:name w:val="font61"/>
    <w:basedOn w:val="2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A0EC-DFB5-6349-BD42-006EB5C14C9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7305</Words>
  <Characters>41642</Characters>
  <Lines>347</Lines>
  <Paragraphs>97</Paragraphs>
  <TotalTime>48</TotalTime>
  <ScaleCrop>false</ScaleCrop>
  <LinksUpToDate>false</LinksUpToDate>
  <CharactersWithSpaces>48850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2022-01-19T06:29:00Z</dcterms:created>
  <dc:creator>欢乐向</dc:creator>
  <cp:lastModifiedBy>Administrator</cp:lastModifiedBy>
  <cp:lastPrinted>2025-01-15T07:11:29Z</cp:lastPrinted>
  <dcterms:modified xsi:type="dcterms:W3CDTF">2025-01-15T07:49:57Z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34BC00F032854A1E8181B8DEE1B30E16</vt:lpwstr>
  </property>
</Properties>
</file>