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color w:val="auto"/>
          <w:sz w:val="48"/>
          <w:szCs w:val="48"/>
          <w:highlight w:val="none"/>
        </w:rPr>
      </w:pPr>
    </w:p>
    <w:p>
      <w:pPr>
        <w:pStyle w:val="2"/>
        <w:jc w:val="center"/>
        <w:rPr>
          <w:rFonts w:hint="eastAsia" w:ascii="宋体" w:hAnsi="宋体" w:eastAsia="宋体" w:cs="宋体"/>
          <w:color w:val="auto"/>
          <w:highlight w:val="none"/>
        </w:rPr>
      </w:pPr>
      <w:r>
        <w:rPr>
          <w:rFonts w:hint="eastAsia" w:ascii="宋体" w:hAnsi="宋体" w:eastAsia="宋体" w:cs="宋体"/>
          <w:color w:val="auto"/>
          <w:sz w:val="48"/>
          <w:szCs w:val="48"/>
          <w:highlight w:val="none"/>
        </w:rPr>
        <w:t>上海世外教育附属平湖经开实验小学 智阅空间设备采购项目</w:t>
      </w:r>
    </w:p>
    <w:p>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snapToGrid w:val="0"/>
        <w:spacing w:before="120" w:beforeLines="50" w:line="360" w:lineRule="auto"/>
        <w:rPr>
          <w:rFonts w:hint="eastAsia" w:ascii="宋体" w:hAnsi="宋体"/>
          <w:color w:val="auto"/>
          <w:sz w:val="30"/>
          <w:szCs w:val="72"/>
          <w:highlight w:val="none"/>
        </w:rPr>
      </w:pPr>
    </w:p>
    <w:p>
      <w:pPr>
        <w:pStyle w:val="17"/>
        <w:snapToGrid w:val="0"/>
        <w:spacing w:beforeLines="0" w:afterLines="0" w:line="360" w:lineRule="auto"/>
        <w:rPr>
          <w:b/>
          <w:color w:val="auto"/>
          <w:sz w:val="30"/>
          <w:szCs w:val="30"/>
          <w:highlight w:val="none"/>
        </w:rPr>
      </w:pPr>
      <w:r>
        <w:rPr>
          <w:b/>
          <w:color w:val="auto"/>
          <w:sz w:val="30"/>
          <w:szCs w:val="30"/>
          <w:highlight w:val="none"/>
        </w:rPr>
        <w:t>项目编号：</w:t>
      </w:r>
      <w:r>
        <w:rPr>
          <w:rFonts w:hint="eastAsia"/>
          <w:b/>
          <w:color w:val="auto"/>
          <w:sz w:val="30"/>
          <w:szCs w:val="30"/>
          <w:highlight w:val="none"/>
        </w:rPr>
        <w:t>平政采招2024-32</w:t>
      </w:r>
    </w:p>
    <w:p>
      <w:pPr>
        <w:pStyle w:val="17"/>
        <w:snapToGrid w:val="0"/>
        <w:spacing w:beforeLines="0" w:afterLines="0" w:line="360" w:lineRule="auto"/>
        <w:rPr>
          <w:b/>
          <w:color w:val="auto"/>
          <w:spacing w:val="-6"/>
          <w:sz w:val="30"/>
          <w:szCs w:val="30"/>
          <w:highlight w:val="none"/>
        </w:rPr>
      </w:pPr>
      <w:r>
        <w:rPr>
          <w:rFonts w:hint="eastAsia"/>
          <w:b/>
          <w:color w:val="auto"/>
          <w:sz w:val="30"/>
          <w:szCs w:val="30"/>
          <w:highlight w:val="none"/>
        </w:rPr>
        <w:t>项目名称：</w:t>
      </w:r>
      <w:r>
        <w:rPr>
          <w:rFonts w:hint="eastAsia"/>
          <w:b/>
          <w:color w:val="auto"/>
          <w:spacing w:val="-6"/>
          <w:sz w:val="30"/>
          <w:szCs w:val="30"/>
          <w:highlight w:val="none"/>
        </w:rPr>
        <w:t>上海世外教育附属平湖经开实验小学智阅空间设备采购项目</w:t>
      </w:r>
    </w:p>
    <w:p>
      <w:pPr>
        <w:pStyle w:val="17"/>
        <w:snapToGrid w:val="0"/>
        <w:spacing w:beforeLines="0" w:afterLines="0" w:line="360" w:lineRule="auto"/>
        <w:rPr>
          <w:b/>
          <w:color w:val="auto"/>
          <w:sz w:val="30"/>
          <w:szCs w:val="30"/>
          <w:highlight w:val="none"/>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rPr>
        <w:t>上海世外教育附属平湖经开实验小学</w:t>
      </w:r>
    </w:p>
    <w:p>
      <w:pPr>
        <w:pStyle w:val="17"/>
        <w:snapToGrid w:val="0"/>
        <w:spacing w:beforeLines="0" w:afterLines="0" w:line="360" w:lineRule="auto"/>
        <w:rPr>
          <w:rFonts w:hint="eastAsia"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20" w:beforeLines="50" w:line="360" w:lineRule="auto"/>
        <w:ind w:right="572" w:firstLine="143" w:firstLineChars="50"/>
        <w:jc w:val="right"/>
        <w:rPr>
          <w:rFonts w:hint="eastAsia" w:ascii="宋体" w:hAnsi="宋体"/>
          <w:b/>
          <w:bCs/>
          <w:color w:val="auto"/>
          <w:w w:val="95"/>
          <w:sz w:val="30"/>
          <w:szCs w:val="30"/>
          <w:highlight w:val="none"/>
        </w:rPr>
      </w:pPr>
    </w:p>
    <w:p>
      <w:pPr>
        <w:snapToGrid w:val="0"/>
        <w:spacing w:before="120" w:beforeLines="50" w:line="360" w:lineRule="auto"/>
        <w:ind w:right="572" w:firstLine="143" w:firstLineChars="50"/>
        <w:jc w:val="right"/>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2024年</w:t>
      </w:r>
      <w:r>
        <w:rPr>
          <w:rFonts w:hint="eastAsia" w:ascii="宋体" w:hAnsi="宋体"/>
          <w:b/>
          <w:bCs/>
          <w:color w:val="auto"/>
          <w:w w:val="95"/>
          <w:sz w:val="30"/>
          <w:szCs w:val="30"/>
          <w:highlight w:val="none"/>
          <w:lang w:val="en-US" w:eastAsia="zh-CN"/>
        </w:rPr>
        <w:t>9</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20</w:t>
      </w:r>
      <w:r>
        <w:rPr>
          <w:rFonts w:hint="eastAsia" w:ascii="宋体" w:hAnsi="宋体"/>
          <w:b/>
          <w:bCs/>
          <w:color w:val="auto"/>
          <w:w w:val="95"/>
          <w:sz w:val="30"/>
          <w:szCs w:val="30"/>
          <w:highlight w:val="none"/>
        </w:rPr>
        <w:t>日</w:t>
      </w:r>
    </w:p>
    <w:p>
      <w:pPr>
        <w:snapToGrid w:val="0"/>
        <w:spacing w:before="120" w:beforeLines="50" w:line="360" w:lineRule="auto"/>
        <w:ind w:left="384" w:leftChars="183" w:firstLine="4579" w:firstLineChars="1607"/>
        <w:jc w:val="right"/>
        <w:rPr>
          <w:rFonts w:hint="eastAsia" w:ascii="宋体" w:hAnsi="宋体"/>
          <w:color w:val="auto"/>
          <w:w w:val="95"/>
          <w:sz w:val="30"/>
          <w:szCs w:val="30"/>
          <w:highlight w:val="none"/>
        </w:rPr>
      </w:pPr>
    </w:p>
    <w:p>
      <w:pPr>
        <w:snapToGrid w:val="0"/>
        <w:spacing w:before="120" w:beforeLines="50" w:line="360" w:lineRule="auto"/>
        <w:ind w:left="384" w:leftChars="183" w:firstLine="4599" w:firstLineChars="1607"/>
        <w:jc w:val="right"/>
        <w:rPr>
          <w:rFonts w:hint="eastAsia" w:ascii="宋体" w:hAnsi="宋体"/>
          <w:b/>
          <w:bCs/>
          <w:color w:val="auto"/>
          <w:w w:val="95"/>
          <w:sz w:val="30"/>
          <w:szCs w:val="30"/>
          <w:highlight w:val="none"/>
        </w:rPr>
      </w:pPr>
    </w:p>
    <w:p>
      <w:pPr>
        <w:pStyle w:val="17"/>
        <w:spacing w:beforeLines="0" w:afterLines="0" w:line="600" w:lineRule="exact"/>
        <w:jc w:val="center"/>
        <w:rPr>
          <w:rFonts w:ascii="黑体" w:hAnsi="Times New Roman" w:eastAsia="黑体"/>
          <w:color w:val="auto"/>
          <w:sz w:val="32"/>
          <w:szCs w:val="32"/>
          <w:highlight w:val="none"/>
        </w:rPr>
      </w:pPr>
    </w:p>
    <w:p>
      <w:pPr>
        <w:pStyle w:val="17"/>
        <w:spacing w:beforeLines="0" w:afterLines="0" w:line="600" w:lineRule="exact"/>
        <w:jc w:val="center"/>
        <w:rPr>
          <w:rFonts w:ascii="黑体" w:hAnsi="Times New Roman" w:eastAsia="黑体"/>
          <w:color w:val="auto"/>
          <w:sz w:val="32"/>
          <w:szCs w:val="32"/>
          <w:highlight w:val="none"/>
        </w:rPr>
      </w:pPr>
    </w:p>
    <w:p>
      <w:pPr>
        <w:pStyle w:val="17"/>
        <w:spacing w:beforeLines="0" w:afterLines="0" w:line="600" w:lineRule="exact"/>
        <w:jc w:val="center"/>
        <w:rPr>
          <w:rFonts w:hint="eastAsia" w:ascii="创艺简标宋" w:hAnsi="宋体" w:eastAsia="创艺简标宋"/>
          <w:b/>
          <w:color w:val="auto"/>
          <w:sz w:val="44"/>
          <w:szCs w:val="44"/>
          <w:highlight w:val="none"/>
        </w:rPr>
      </w:pPr>
    </w:p>
    <w:p>
      <w:pPr>
        <w:pStyle w:val="17"/>
        <w:spacing w:beforeLines="0" w:afterLines="0" w:line="600" w:lineRule="exact"/>
        <w:jc w:val="center"/>
        <w:rPr>
          <w:rFonts w:hint="eastAsia"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pPr>
        <w:pStyle w:val="17"/>
        <w:spacing w:beforeLines="0" w:afterLines="0" w:line="600" w:lineRule="exact"/>
        <w:jc w:val="center"/>
        <w:rPr>
          <w:rFonts w:hint="eastAsia" w:ascii="创艺简标宋" w:hAnsi="宋体" w:eastAsia="创艺简标宋"/>
          <w:b/>
          <w:color w:val="auto"/>
          <w:sz w:val="44"/>
          <w:szCs w:val="44"/>
          <w:highlight w:val="none"/>
        </w:rPr>
      </w:pPr>
    </w:p>
    <w:p>
      <w:pPr>
        <w:pStyle w:val="22"/>
        <w:tabs>
          <w:tab w:val="right" w:leader="dot" w:pos="8834"/>
        </w:tabs>
        <w:spacing w:line="480" w:lineRule="auto"/>
        <w:rPr>
          <w:b/>
          <w:color w:val="auto"/>
          <w:sz w:val="28"/>
          <w:szCs w:val="28"/>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31"/>
          <w:rFonts w:hint="eastAsia"/>
          <w:b/>
          <w:color w:val="auto"/>
          <w:sz w:val="28"/>
          <w:szCs w:val="28"/>
          <w:highlight w:val="none"/>
        </w:rPr>
        <w:t>第一章公开招标采购公告</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3</w:t>
      </w:r>
    </w:p>
    <w:p>
      <w:pPr>
        <w:pStyle w:val="22"/>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31"/>
          <w:rFonts w:hint="eastAsia"/>
          <w:b/>
          <w:color w:val="auto"/>
          <w:sz w:val="28"/>
          <w:szCs w:val="28"/>
          <w:highlight w:val="none"/>
        </w:rPr>
        <w:t>第二章采购需求</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8</w:t>
      </w:r>
    </w:p>
    <w:p>
      <w:pPr>
        <w:pStyle w:val="22"/>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31"/>
          <w:rFonts w:hint="eastAsia"/>
          <w:b/>
          <w:color w:val="auto"/>
          <w:sz w:val="28"/>
          <w:szCs w:val="28"/>
          <w:highlight w:val="none"/>
        </w:rPr>
        <w:t>第三章投标人须知</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54</w:t>
      </w:r>
    </w:p>
    <w:p>
      <w:pPr>
        <w:pStyle w:val="22"/>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31"/>
          <w:rFonts w:hint="eastAsia"/>
          <w:b/>
          <w:color w:val="auto"/>
          <w:sz w:val="28"/>
          <w:szCs w:val="28"/>
          <w:highlight w:val="none"/>
        </w:rPr>
        <w:t>第四章评标办法及评分标准</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71</w:t>
      </w:r>
    </w:p>
    <w:p>
      <w:pPr>
        <w:pStyle w:val="22"/>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31"/>
          <w:rFonts w:hint="eastAsia"/>
          <w:b/>
          <w:color w:val="auto"/>
          <w:sz w:val="28"/>
          <w:szCs w:val="28"/>
          <w:highlight w:val="none"/>
        </w:rPr>
        <w:t>第五章平湖市政府采购合同（</w:t>
      </w:r>
      <w:bookmarkStart w:id="0" w:name="_Hlt497308216"/>
      <w:r>
        <w:rPr>
          <w:rStyle w:val="31"/>
          <w:rFonts w:hint="eastAsia"/>
          <w:b/>
          <w:color w:val="auto"/>
          <w:sz w:val="28"/>
          <w:szCs w:val="28"/>
          <w:highlight w:val="none"/>
        </w:rPr>
        <w:t>指</w:t>
      </w:r>
      <w:bookmarkEnd w:id="0"/>
      <w:bookmarkStart w:id="1" w:name="_Hlt497308220"/>
      <w:r>
        <w:rPr>
          <w:rStyle w:val="31"/>
          <w:rFonts w:hint="eastAsia"/>
          <w:b/>
          <w:color w:val="auto"/>
          <w:sz w:val="28"/>
          <w:szCs w:val="28"/>
          <w:highlight w:val="none"/>
        </w:rPr>
        <w:t>引</w:t>
      </w:r>
      <w:bookmarkEnd w:id="1"/>
      <w:r>
        <w:rPr>
          <w:rStyle w:val="31"/>
          <w:rFonts w:hint="eastAsia"/>
          <w:b/>
          <w:color w:val="auto"/>
          <w:sz w:val="28"/>
          <w:szCs w:val="28"/>
          <w:highlight w:val="none"/>
        </w:rPr>
        <w:t>）</w:t>
      </w:r>
      <w:bookmarkStart w:id="2" w:name="_Hlt497308212"/>
      <w:bookmarkStart w:id="3" w:name="_Hlt497308213"/>
      <w:r>
        <w:rPr>
          <w:b/>
          <w:color w:val="auto"/>
          <w:sz w:val="28"/>
          <w:szCs w:val="28"/>
          <w:highlight w:val="none"/>
        </w:rPr>
        <w:tab/>
      </w:r>
      <w:bookmarkEnd w:id="2"/>
      <w:bookmarkEnd w:id="3"/>
      <w:r>
        <w:rPr>
          <w:b/>
          <w:color w:val="auto"/>
          <w:sz w:val="28"/>
          <w:szCs w:val="28"/>
          <w:highlight w:val="none"/>
        </w:rPr>
        <w:fldChar w:fldCharType="end"/>
      </w:r>
      <w:r>
        <w:rPr>
          <w:rFonts w:hint="eastAsia"/>
          <w:b/>
          <w:color w:val="auto"/>
          <w:sz w:val="28"/>
          <w:szCs w:val="28"/>
          <w:highlight w:val="none"/>
          <w:lang w:val="en-US" w:eastAsia="zh-CN"/>
        </w:rPr>
        <w:t>75</w:t>
      </w:r>
    </w:p>
    <w:p>
      <w:pPr>
        <w:pStyle w:val="22"/>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31"/>
          <w:rFonts w:hint="eastAsia"/>
          <w:b/>
          <w:color w:val="auto"/>
          <w:sz w:val="28"/>
          <w:szCs w:val="28"/>
          <w:highlight w:val="none"/>
        </w:rPr>
        <w:t>第六章投标文件格式</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80</w:t>
      </w:r>
    </w:p>
    <w:p>
      <w:pPr>
        <w:pStyle w:val="22"/>
        <w:tabs>
          <w:tab w:val="right" w:leader="dot" w:pos="8834"/>
        </w:tabs>
        <w:spacing w:line="480" w:lineRule="auto"/>
        <w:rPr>
          <w:b/>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jc w:val="center"/>
        <w:outlineLvl w:val="0"/>
        <w:rPr>
          <w:rFonts w:ascii="Times New Roman" w:hAnsi="Times New Roman" w:eastAsia="黑体"/>
          <w:color w:val="auto"/>
          <w:sz w:val="32"/>
          <w:szCs w:val="32"/>
          <w:highlight w:val="none"/>
        </w:rPr>
      </w:pPr>
    </w:p>
    <w:p>
      <w:pPr>
        <w:pStyle w:val="17"/>
        <w:snapToGrid w:val="0"/>
        <w:spacing w:beforeLines="0" w:afterLines="0" w:line="240" w:lineRule="auto"/>
        <w:outlineLvl w:val="0"/>
        <w:rPr>
          <w:rFonts w:ascii="Times New Roman" w:hAnsi="Times New Roman" w:eastAsia="黑体"/>
          <w:color w:val="auto"/>
          <w:sz w:val="32"/>
          <w:szCs w:val="32"/>
          <w:highlight w:val="none"/>
        </w:rPr>
      </w:pPr>
    </w:p>
    <w:p>
      <w:pPr>
        <w:pStyle w:val="2"/>
        <w:tabs>
          <w:tab w:val="center" w:pos="4649"/>
        </w:tabs>
        <w:jc w:val="center"/>
        <w:rPr>
          <w:color w:val="auto"/>
          <w:highlight w:val="none"/>
        </w:rPr>
      </w:pPr>
      <w:bookmarkStart w:id="4" w:name="_第一章__公开招标采购公告"/>
      <w:bookmarkEnd w:id="4"/>
      <w:r>
        <w:rPr>
          <w:color w:val="auto"/>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bookmarkStart w:id="5" w:name="_第二章__招标需求"/>
      <w:bookmarkEnd w:id="5"/>
      <w:bookmarkStart w:id="6" w:name="csmb"/>
      <w:bookmarkEnd w:id="6"/>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hint="eastAsia" w:ascii="宋体" w:hAnsi="宋体" w:cs="宋体"/>
          <w:color w:val="auto"/>
          <w:sz w:val="24"/>
          <w:highlight w:val="none"/>
        </w:rPr>
      </w:pPr>
      <w:r>
        <w:rPr>
          <w:rFonts w:hint="eastAsia" w:ascii="宋体" w:hAnsi="宋体" w:cs="宋体"/>
          <w:color w:val="auto"/>
          <w:sz w:val="24"/>
          <w:highlight w:val="none"/>
          <w:u w:val="single"/>
        </w:rPr>
        <w:t>(上海世外教育附属平湖经开实验小学智阅空间设备采购项目)</w:t>
      </w:r>
      <w:r>
        <w:rPr>
          <w:rFonts w:hint="eastAsia" w:ascii="宋体" w:hAnsi="宋体" w:cs="宋体"/>
          <w:color w:val="auto"/>
          <w:sz w:val="24"/>
          <w:highlight w:val="none"/>
        </w:rPr>
        <w:t xml:space="preserve"> 招标项目的潜在投标人应在</w:t>
      </w:r>
      <w:r>
        <w:rPr>
          <w:rFonts w:hint="eastAsia" w:ascii="宋体" w:hAnsi="宋体" w:cs="宋体"/>
          <w:color w:val="auto"/>
          <w:sz w:val="24"/>
          <w:highlight w:val="none"/>
          <w:u w:val="single"/>
        </w:rPr>
        <w:t>政采云系统在线</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2024年10月12日</w:t>
      </w:r>
      <w:r>
        <w:rPr>
          <w:rFonts w:hint="eastAsia" w:ascii="宋体" w:hAnsi="宋体" w:cs="宋体"/>
          <w:bCs/>
          <w:color w:val="auto"/>
          <w:sz w:val="24"/>
          <w:highlight w:val="none"/>
          <w:u w:val="single"/>
        </w:rPr>
        <w:t>9:00时</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2"/>
        <w:spacing w:line="360" w:lineRule="auto"/>
        <w:rPr>
          <w:rFonts w:hint="eastAsia" w:ascii="宋体" w:hAnsi="宋体" w:eastAsia="宋体" w:cs="宋体"/>
          <w:color w:val="auto"/>
          <w:sz w:val="24"/>
          <w:szCs w:val="24"/>
          <w:highlight w:val="none"/>
        </w:rPr>
      </w:pPr>
      <w:bookmarkStart w:id="7" w:name="_Toc35393790"/>
      <w:bookmarkStart w:id="8" w:name="_Toc35393621"/>
      <w:bookmarkStart w:id="9" w:name="_Toc28359002"/>
      <w:bookmarkStart w:id="10" w:name="_Toc28359079"/>
      <w:bookmarkStart w:id="11" w:name="_Hlk24379207"/>
      <w:r>
        <w:rPr>
          <w:rFonts w:hint="eastAsia" w:ascii="宋体" w:hAnsi="宋体" w:eastAsia="宋体" w:cs="宋体"/>
          <w:color w:val="auto"/>
          <w:sz w:val="24"/>
          <w:szCs w:val="24"/>
          <w:highlight w:val="none"/>
        </w:rPr>
        <w:t>一、项目基本情况</w:t>
      </w:r>
      <w:bookmarkEnd w:id="7"/>
      <w:bookmarkEnd w:id="8"/>
      <w:bookmarkEnd w:id="9"/>
      <w:bookmarkEnd w:id="10"/>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项目编号：平政采招2024-32</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项目名称：</w:t>
      </w:r>
      <w:bookmarkEnd w:id="11"/>
      <w:r>
        <w:rPr>
          <w:rFonts w:hint="eastAsia" w:ascii="宋体" w:hAnsi="宋体" w:cs="宋体"/>
          <w:color w:val="auto"/>
          <w:sz w:val="24"/>
          <w:highlight w:val="none"/>
        </w:rPr>
        <w:t>上海世外教育附属平湖经开实验小学智阅空间设备采购项目</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预算金额：</w:t>
      </w:r>
    </w:p>
    <w:p>
      <w:pPr>
        <w:spacing w:line="360" w:lineRule="auto"/>
        <w:ind w:left="420" w:leftChars="200"/>
        <w:jc w:val="left"/>
        <w:rPr>
          <w:color w:val="auto"/>
          <w:highlight w:val="none"/>
        </w:rPr>
      </w:pPr>
      <w:r>
        <w:rPr>
          <w:rFonts w:hint="eastAsia" w:ascii="宋体" w:hAnsi="宋体" w:cs="宋体"/>
          <w:color w:val="auto"/>
          <w:sz w:val="24"/>
          <w:highlight w:val="none"/>
        </w:rPr>
        <w:t>人民币59.8万元</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最高限价：</w:t>
      </w:r>
    </w:p>
    <w:p>
      <w:pPr>
        <w:spacing w:line="360" w:lineRule="auto"/>
        <w:ind w:left="420" w:leftChars="200"/>
        <w:jc w:val="left"/>
        <w:rPr>
          <w:color w:val="auto"/>
          <w:highlight w:val="none"/>
        </w:rPr>
      </w:pPr>
      <w:r>
        <w:rPr>
          <w:rFonts w:hint="eastAsia" w:ascii="宋体" w:hAnsi="宋体" w:cs="宋体"/>
          <w:color w:val="auto"/>
          <w:sz w:val="24"/>
          <w:highlight w:val="none"/>
        </w:rPr>
        <w:t>人民币59.8万元</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采购需求：（详见招标文件）</w:t>
      </w:r>
    </w:p>
    <w:p>
      <w:pPr>
        <w:spacing w:line="360" w:lineRule="auto"/>
        <w:ind w:left="420" w:leftChars="200"/>
        <w:jc w:val="left"/>
        <w:rPr>
          <w:rFonts w:hint="eastAsia" w:ascii="宋体" w:hAnsi="宋体" w:cs="宋体"/>
          <w:color w:val="auto"/>
          <w:sz w:val="24"/>
          <w:highlight w:val="none"/>
          <w:u w:val="single"/>
        </w:rPr>
      </w:pPr>
      <w:r>
        <w:rPr>
          <w:rFonts w:hint="eastAsia" w:ascii="宋体" w:hAnsi="宋体" w:cs="宋体"/>
          <w:color w:val="auto"/>
          <w:sz w:val="24"/>
          <w:highlight w:val="none"/>
        </w:rPr>
        <w:t>合同履行期限：自合同签订之日起至质保期结束</w:t>
      </w:r>
    </w:p>
    <w:p>
      <w:pPr>
        <w:spacing w:line="360" w:lineRule="auto"/>
        <w:ind w:left="420" w:leftChars="2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pPr>
        <w:pStyle w:val="2"/>
        <w:spacing w:line="360" w:lineRule="auto"/>
        <w:rPr>
          <w:rFonts w:hint="eastAsia" w:ascii="宋体" w:hAnsi="宋体" w:eastAsia="宋体" w:cs="宋体"/>
          <w:color w:val="auto"/>
          <w:sz w:val="24"/>
          <w:szCs w:val="24"/>
          <w:highlight w:val="none"/>
        </w:rPr>
      </w:pPr>
      <w:bookmarkStart w:id="12" w:name="_Toc35393622"/>
      <w:bookmarkStart w:id="13" w:name="_Toc28359080"/>
      <w:bookmarkStart w:id="14" w:name="_Toc28359003"/>
      <w:bookmarkStart w:id="15" w:name="_Toc35393791"/>
      <w:r>
        <w:rPr>
          <w:rFonts w:hint="eastAsia" w:ascii="宋体" w:hAnsi="宋体" w:eastAsia="宋体" w:cs="宋体"/>
          <w:color w:val="auto"/>
          <w:sz w:val="24"/>
          <w:szCs w:val="24"/>
          <w:highlight w:val="none"/>
        </w:rPr>
        <w:t>二、申请人的资格要求：</w:t>
      </w:r>
      <w:bookmarkEnd w:id="12"/>
      <w:bookmarkEnd w:id="13"/>
      <w:bookmarkEnd w:id="14"/>
      <w:bookmarkEnd w:id="15"/>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hint="eastAsia" w:ascii="宋体" w:hAnsi="宋体" w:cs="宋体"/>
          <w:color w:val="auto"/>
          <w:sz w:val="24"/>
          <w:highlight w:val="none"/>
        </w:rPr>
      </w:pPr>
      <w:bookmarkStart w:id="16" w:name="_Toc28359081"/>
      <w:bookmarkStart w:id="17" w:name="_Toc28359004"/>
      <w:r>
        <w:rPr>
          <w:rFonts w:hint="eastAsia" w:ascii="宋体" w:hAnsi="宋体" w:cs="宋体"/>
          <w:color w:val="auto"/>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color w:val="auto"/>
          <w:highlight w:val="none"/>
        </w:rPr>
      </w:pPr>
      <w:r>
        <w:rPr>
          <w:rFonts w:hint="eastAsia" w:ascii="宋体" w:hAnsi="宋体" w:cs="宋体"/>
          <w:color w:val="auto"/>
          <w:sz w:val="24"/>
          <w:highlight w:val="none"/>
        </w:rPr>
        <w:t>4.本项目的特定资格要求：无。</w:t>
      </w:r>
    </w:p>
    <w:p>
      <w:pPr>
        <w:pStyle w:val="2"/>
        <w:spacing w:line="360" w:lineRule="auto"/>
        <w:rPr>
          <w:rFonts w:hint="eastAsia" w:ascii="宋体" w:hAnsi="宋体" w:eastAsia="宋体" w:cs="宋体"/>
          <w:color w:val="auto"/>
          <w:sz w:val="24"/>
          <w:szCs w:val="24"/>
          <w:highlight w:val="none"/>
        </w:rPr>
      </w:pPr>
      <w:bookmarkStart w:id="18" w:name="_Toc35393792"/>
      <w:bookmarkStart w:id="19" w:name="_Toc35393623"/>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 公告发布之日起到投标截止时间；</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地点（网址）：政采云平台（</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宋体" w:hAnsi="宋体" w:cs="宋体"/>
          <w:color w:val="auto"/>
          <w:sz w:val="24"/>
          <w:highlight w:val="none"/>
        </w:rPr>
        <w:t>https://www.zcygov.cn/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售价：免费。</w:t>
      </w:r>
    </w:p>
    <w:p>
      <w:pPr>
        <w:pStyle w:val="2"/>
        <w:spacing w:line="360" w:lineRule="auto"/>
        <w:rPr>
          <w:rFonts w:hint="eastAsia" w:ascii="宋体" w:hAnsi="宋体" w:eastAsia="宋体" w:cs="宋体"/>
          <w:color w:val="auto"/>
          <w:sz w:val="24"/>
          <w:szCs w:val="24"/>
          <w:highlight w:val="none"/>
        </w:rPr>
      </w:pPr>
      <w:bookmarkStart w:id="20" w:name="_Toc28359005"/>
      <w:bookmarkStart w:id="21" w:name="_Toc28359082"/>
      <w:bookmarkStart w:id="22" w:name="_Toc35393793"/>
      <w:bookmarkStart w:id="23" w:name="_Toc35393624"/>
      <w:r>
        <w:rPr>
          <w:rFonts w:hint="eastAsia" w:ascii="宋体" w:hAnsi="宋体" w:eastAsia="宋体" w:cs="宋体"/>
          <w:color w:val="auto"/>
          <w:sz w:val="24"/>
          <w:szCs w:val="24"/>
          <w:highlight w:val="none"/>
        </w:rPr>
        <w:t>四、提交投标文件</w:t>
      </w:r>
      <w:bookmarkEnd w:id="20"/>
      <w:bookmarkEnd w:id="21"/>
      <w:r>
        <w:rPr>
          <w:rFonts w:hint="eastAsia" w:ascii="宋体" w:hAnsi="宋体" w:eastAsia="宋体" w:cs="宋体"/>
          <w:color w:val="auto"/>
          <w:sz w:val="24"/>
          <w:szCs w:val="24"/>
          <w:highlight w:val="none"/>
        </w:rPr>
        <w:t>截止时间、开标时间和地点</w:t>
      </w:r>
      <w:bookmarkEnd w:id="22"/>
      <w:bookmarkEnd w:id="23"/>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2024年10月12日</w:t>
      </w:r>
      <w:r>
        <w:rPr>
          <w:rFonts w:hint="eastAsia" w:ascii="宋体" w:hAnsi="宋体" w:cs="宋体"/>
          <w:color w:val="auto"/>
          <w:sz w:val="24"/>
          <w:highlight w:val="none"/>
        </w:rPr>
        <w:t>9点00分（北京时间）</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w:t>
      </w:r>
      <w:r>
        <w:rPr>
          <w:rFonts w:hint="eastAsia" w:ascii="宋体" w:hAnsi="宋体" w:cs="宋体"/>
          <w:bCs/>
          <w:color w:val="auto"/>
          <w:sz w:val="24"/>
          <w:highlight w:val="none"/>
        </w:rPr>
        <w:t>政采云平台</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2024年10月12日</w:t>
      </w:r>
      <w:r>
        <w:rPr>
          <w:rFonts w:hint="eastAsia" w:ascii="宋体" w:hAnsi="宋体" w:cs="宋体"/>
          <w:color w:val="auto"/>
          <w:sz w:val="24"/>
          <w:highlight w:val="none"/>
        </w:rPr>
        <w:t>9点00分</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rPr>
        <w:t xml:space="preserve"> 平湖市政务服务中心三楼 平湖市公共资源交易中心315室</w:t>
      </w:r>
    </w:p>
    <w:p>
      <w:pPr>
        <w:pStyle w:val="2"/>
        <w:spacing w:line="360" w:lineRule="auto"/>
        <w:rPr>
          <w:rFonts w:hint="eastAsia" w:ascii="宋体" w:hAnsi="宋体" w:eastAsia="宋体" w:cs="宋体"/>
          <w:color w:val="auto"/>
          <w:sz w:val="24"/>
          <w:szCs w:val="24"/>
          <w:highlight w:val="none"/>
        </w:rPr>
      </w:pPr>
      <w:bookmarkStart w:id="24" w:name="_Toc35393794"/>
      <w:bookmarkStart w:id="25" w:name="_Toc35393625"/>
      <w:bookmarkStart w:id="26" w:name="_Toc28359007"/>
      <w:bookmarkStart w:id="27" w:name="_Toc28359084"/>
      <w:r>
        <w:rPr>
          <w:rFonts w:hint="eastAsia" w:ascii="宋体" w:hAnsi="宋体" w:eastAsia="宋体" w:cs="宋体"/>
          <w:color w:val="auto"/>
          <w:sz w:val="24"/>
          <w:szCs w:val="24"/>
          <w:highlight w:val="none"/>
        </w:rPr>
        <w:t>五、公告期限</w:t>
      </w:r>
      <w:bookmarkEnd w:id="24"/>
      <w:bookmarkEnd w:id="25"/>
      <w:bookmarkEnd w:id="26"/>
      <w:bookmarkEnd w:id="27"/>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2"/>
        <w:spacing w:line="360" w:lineRule="auto"/>
        <w:rPr>
          <w:rFonts w:hint="eastAsia" w:ascii="宋体" w:hAnsi="宋体" w:eastAsia="宋体" w:cs="宋体"/>
          <w:color w:val="auto"/>
          <w:sz w:val="24"/>
          <w:szCs w:val="24"/>
          <w:highlight w:val="none"/>
        </w:rPr>
      </w:pPr>
      <w:bookmarkStart w:id="28" w:name="_Toc35393626"/>
      <w:bookmarkStart w:id="29" w:name="_Toc35393795"/>
      <w:r>
        <w:rPr>
          <w:rFonts w:hint="eastAsia" w:ascii="宋体" w:hAnsi="宋体" w:eastAsia="宋体" w:cs="宋体"/>
          <w:color w:val="auto"/>
          <w:sz w:val="24"/>
          <w:szCs w:val="24"/>
          <w:highlight w:val="none"/>
        </w:rPr>
        <w:t>六、其他补充事宜</w:t>
      </w:r>
      <w:bookmarkEnd w:id="28"/>
      <w:bookmarkEnd w:id="29"/>
    </w:p>
    <w:p>
      <w:pPr>
        <w:pStyle w:val="3"/>
        <w:ind w:firstLine="480"/>
        <w:rPr>
          <w:rFonts w:hint="eastAsia" w:asciiTheme="minorEastAsia" w:hAnsiTheme="minorEastAsia" w:eastAsiaTheme="minorEastAsia" w:cstheme="minorEastAsia"/>
          <w:color w:val="auto"/>
          <w:szCs w:val="24"/>
          <w:highlight w:val="none"/>
          <w:shd w:val="clear" w:color="auto" w:fill="FFFFFF"/>
        </w:rPr>
      </w:pPr>
      <w:bookmarkStart w:id="30" w:name="_Toc28359008"/>
      <w:bookmarkStart w:id="31" w:name="_Toc35393796"/>
      <w:bookmarkStart w:id="32" w:name="_Toc28359085"/>
      <w:bookmarkStart w:id="33" w:name="_Toc35393627"/>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31"/>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rFonts w:hint="eastAsia"/>
          <w:color w:val="auto"/>
          <w:highlight w:val="none"/>
        </w:rPr>
        <w:fldChar w:fldCharType="begin"/>
      </w:r>
      <w:r>
        <w:rPr>
          <w:color w:val="auto"/>
          <w:highlight w:val="none"/>
        </w:rPr>
        <w:instrText xml:space="preserve"> HYPERLINK "https://edu.zcygov.cn/luban/e-biding" \t "_blank" </w:instrText>
      </w:r>
      <w:r>
        <w:rPr>
          <w:rFonts w:hint="eastAsia"/>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https://edu.zcygov.cn/luban/e-biding</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ind w:firstLine="48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2024年10月12日</w:t>
      </w:r>
      <w:r>
        <w:rPr>
          <w:rFonts w:hint="eastAsia" w:asciiTheme="minorEastAsia" w:hAnsiTheme="minorEastAsia" w:eastAsiaTheme="minorEastAsia" w:cstheme="minorEastAsia"/>
          <w:color w:val="auto"/>
          <w:szCs w:val="24"/>
          <w:highlight w:val="none"/>
          <w:shd w:val="clear" w:color="auto" w:fill="FFFFFF"/>
        </w:rPr>
        <w:t>上午9点30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3"/>
        <w:ind w:left="479" w:leftChars="228" w:firstLine="0" w:firstLineChars="0"/>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3"/>
        <w:ind w:firstLine="480"/>
        <w:rPr>
          <w:rFonts w:hint="eastAsia"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30"/>
      <w:bookmarkEnd w:id="31"/>
      <w:bookmarkEnd w:id="32"/>
      <w:bookmarkEnd w:id="33"/>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jc w:val="left"/>
        <w:rPr>
          <w:rFonts w:hint="eastAsia" w:ascii="宋体" w:hAnsi="宋体" w:cs="宋体"/>
          <w:color w:val="auto"/>
          <w:sz w:val="24"/>
          <w:highlight w:val="none"/>
        </w:rPr>
      </w:pPr>
      <w:bookmarkStart w:id="34" w:name="_Toc28359009"/>
      <w:bookmarkStart w:id="35" w:name="_Toc28359086"/>
      <w:r>
        <w:rPr>
          <w:rFonts w:hint="eastAsia" w:ascii="宋体" w:hAnsi="宋体" w:cs="宋体"/>
          <w:color w:val="auto"/>
          <w:sz w:val="24"/>
          <w:highlight w:val="none"/>
        </w:rPr>
        <w:t>名称：上海世外教育附属平湖经开实验小学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地址：平湖经济技术开发区福善线福臻段518号</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项目联系人（询问）：陈亮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项目联系方式（询问）：0573-85633627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质疑联系人：陈亮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质疑联系方式：0573-85633627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2.集中采购机构信息</w:t>
      </w:r>
      <w:bookmarkEnd w:id="34"/>
      <w:bookmarkEnd w:id="35"/>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 称：平湖市公共资源交易中心</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传真：0573-85631737</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项目联系人（询问）：吴倩芸</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项目联系方式（询问）：0573-85631736</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质疑联系方式：0573-85631720</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名称：平湖市财政局政府采购监管科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地址：平湖市望湖路318号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联系人：陆先生             </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监督投诉电话：0573-85013033         </w:t>
      </w:r>
    </w:p>
    <w:p>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pStyle w:val="2"/>
        <w:tabs>
          <w:tab w:val="center" w:pos="4649"/>
        </w:tabs>
        <w:spacing w:before="0" w:after="0" w:line="460" w:lineRule="exact"/>
        <w:jc w:val="center"/>
        <w:rPr>
          <w:color w:val="auto"/>
          <w:highlight w:val="none"/>
        </w:rPr>
      </w:pPr>
      <w:r>
        <w:rPr>
          <w:rFonts w:hint="eastAsia"/>
          <w:color w:val="auto"/>
          <w:highlight w:val="none"/>
        </w:rPr>
        <w:t>第二章  采购</w:t>
      </w:r>
      <w:r>
        <w:rPr>
          <w:color w:val="auto"/>
          <w:highlight w:val="none"/>
        </w:rPr>
        <w:t>需求</w:t>
      </w:r>
      <w:bookmarkStart w:id="36" w:name="_第三章__投标人须知"/>
      <w:bookmarkEnd w:id="36"/>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一、采购清单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4083"/>
        <w:gridCol w:w="930"/>
        <w:gridCol w:w="123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9" w:type="pct"/>
            <w:shd w:val="clear" w:color="auto" w:fill="FFFFFF"/>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94" w:type="pct"/>
            <w:shd w:val="clear" w:color="auto" w:fill="FFFFFF"/>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545" w:type="pct"/>
            <w:shd w:val="clear" w:color="auto" w:fill="FFFFFF"/>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723" w:type="pct"/>
            <w:shd w:val="clear" w:color="auto" w:fill="FFFFFF"/>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707" w:type="pct"/>
            <w:shd w:val="clear" w:color="auto" w:fill="FFFFFF"/>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保修时间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color w:val="auto"/>
                <w:highlight w:val="none"/>
                <w:lang w:bidi="ar"/>
              </w:rPr>
              <w:t>★</w:t>
            </w:r>
            <w:r>
              <w:rPr>
                <w:rFonts w:hint="eastAsia" w:ascii="宋体" w:hAnsi="宋体" w:cs="宋体"/>
                <w:color w:val="auto"/>
                <w:kern w:val="0"/>
                <w:sz w:val="24"/>
                <w:highlight w:val="none"/>
                <w:lang w:bidi="ar"/>
              </w:rPr>
              <w:t>数字瀑布流</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墨水屏自助借还柜</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校园阅读系统</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图书管理系统</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大数据展示系统</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低年级自助借还机</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高年级自助借还机</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图书检索查询机</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图书还书箱</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数字导读机</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墨水屏阅读器</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45</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墨水屏支架</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45</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2394"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墨水屏充电柜</w:t>
            </w:r>
          </w:p>
        </w:tc>
        <w:tc>
          <w:tcPr>
            <w:tcW w:w="545"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723" w:type="pct"/>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bl>
    <w:p>
      <w:pPr>
        <w:pStyle w:val="2"/>
        <w:numPr>
          <w:ilvl w:val="0"/>
          <w:numId w:val="2"/>
        </w:numPr>
        <w:tabs>
          <w:tab w:val="left" w:pos="43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技术参数要求  </w:t>
      </w:r>
    </w:p>
    <w:tbl>
      <w:tblPr>
        <w:tblStyle w:val="27"/>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50"/>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tcPr>
          <w:p>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48" w:type="pct"/>
            <w:noWrap/>
          </w:tcPr>
          <w:p>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设备名称</w:t>
            </w:r>
          </w:p>
        </w:tc>
        <w:tc>
          <w:tcPr>
            <w:tcW w:w="3797" w:type="pct"/>
            <w:noWrap/>
          </w:tcPr>
          <w:p>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748" w:type="pct"/>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bidi="ar"/>
              </w:rPr>
              <w:t>数字瀑布流</w:t>
            </w:r>
          </w:p>
        </w:tc>
        <w:tc>
          <w:tcPr>
            <w:tcW w:w="3797" w:type="pct"/>
            <w:noWrap/>
            <w:vAlign w:val="center"/>
          </w:tcPr>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一、技术参数与要求</w:t>
            </w:r>
            <w:r>
              <w:rPr>
                <w:rFonts w:hint="eastAsia" w:ascii="宋体" w:hAnsi="宋体" w:cs="宋体"/>
                <w:b/>
                <w:bCs/>
                <w:color w:val="auto"/>
                <w:sz w:val="24"/>
                <w:highlight w:val="none"/>
                <w:lang w:bidi="ar"/>
              </w:rPr>
              <w:br w:type="textWrapping"/>
            </w:r>
            <w:r>
              <w:rPr>
                <w:rFonts w:hint="eastAsia" w:ascii="宋体" w:hAnsi="宋体" w:cs="宋体"/>
                <w:b/>
                <w:bCs/>
                <w:color w:val="auto"/>
                <w:sz w:val="24"/>
                <w:highlight w:val="none"/>
                <w:lang w:bidi="ar"/>
              </w:rPr>
              <w:t>系统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系统必须具备配套的手机客户端，系统内的资源可通过配套的手机客户端进行扫码，下载资源至手机，下载后的资源，无需网络，随时随地进行阅读；配套的手机端应具备夜间模式转换，文字大小调整等功能；手机客户端可保留相关阅读记录；手机客户端需同时支持ios、android系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、支持微信等第三方扫描工具进行扫码，扫码后获取在线阅读服务，无需下载客户端，并能将图书分享至朋友圈等社交网络。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、支持远程升级，支持一键更新，减少管理成本。</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、具备完善的后台管理系统，实现用户自主化管理。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、具备良好的开放性，可以支持二次开发。</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、提供完善的售后说明。</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资源配置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1、系统应至少支持图书、期刊、视频、专题、图片、动画、少儿音频等多种类型的资源配置到机器上进行展示。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2、系统支持资源单独、组合展示，可按资源类型分类展示。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图书资源：系统提供不少于3000册正版授权的epub格式电子图书且与原版图书保持原貌一致，如相关图片、目录等，每月定时更新不少于150种热门电子图书。图书可以直接在线阅读，也可通过第三方扫描工具获取在线阅读服务或通过配套的手机客户端扫描图书二维码，下载至智能终端进行离线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4、视频资源：系统提供不少于400集名师讲坛视频；视频支持单集、系列选集播放，同时支持在线观看或扫码带走观看。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专题资源：提供不少于500种专题资源，同时支持客户自建专题，为用户提供专题创建工具，可以将文本内容、图片、视频、音频、图书、超连接等资源进行混合编排，形成富媒体专题资源，专题至少支持创建三级目录。支持将创建好的富媒体专题资源，配置到设备呈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6、期刊资源：提供不少于300种优质期刊，期刊支持在线阅读及扫码带走，同时支持往期查看等。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7、图片资源：支持图片资源展示，支持单张或者多张展示、支持查看图片简介内容、支持手动放大缩小查看图片。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8、少儿音频资源：提供不少于600集国学系列有声音频，内容涵盖贴合小学、中学、高中的音频资源，如《声律启蒙》、《诗经》、《笠翁对韵》等系列。音频均支持在线播放及扫码带走。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9、少儿动画有声绘本资源：提供不少于400种少儿动画有声绘本资源，可以直接在设备上进行在线观看、互动。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10、瀑布流系统提供不少于8种特色主题皮肤包，可供用户选择，根据不同的节日热点，可切换展示贴合时下的主题瀑布流。</w:t>
            </w:r>
            <w:r>
              <w:rPr>
                <w:rFonts w:hint="eastAsia" w:ascii="宋体" w:hAnsi="宋体" w:cs="宋体"/>
                <w:b/>
                <w:bCs/>
                <w:color w:val="auto"/>
                <w:sz w:val="24"/>
                <w:highlight w:val="none"/>
                <w:lang w:bidi="ar"/>
              </w:rPr>
              <w:t>系统管理后台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1、支持管理瀑布流设备，支持对设备信息进行查看、在线/离线状态监控等，亦支持屏保修改、主题换肤、背景图修改等操作。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2、支持图书、期刊、视频、专题、图片、动画、少儿音频等多种资源的管理配置，用户勾选对应的资源分类后，可一键推送至设备进行展示；支持将单位自有版权的图书资源配置到设备进行展示。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3、支持视频管理，用户可通过后台创建视频分类及视频信息，可对上传的视频信息进行增删改查等操作。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4、支持图片管理，用户可通过后台创建图片分类及图片信息，可对上传的图片信息进行增删改查等管理操作。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5、支持专题管理，用户可通过后台创建专题分类及专题信息，可对上传的专题信息进行增删改查等管理操作。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6、支持资源导航功能，用户可自主选择开启或关闭导航功能，开启该功能后，在设备界面可以按照资源名称首字母对资源信息进行快速查找。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7、对于配置多种资源的瀑布流，支持自定义设置各资源瀑布流间的自动切换，同时支持资源瀑布流与应用之间的切换展示，可自定义设置切换间隔时间。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8、提供即时插播功能，可设置插播文字、图片、视频等多种类型的内容，插播的内容可以一键发布到指定的一台或多台设备，同时也可以一键关闭插播。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9、提供手机端管理模块，可对设备信息查看、在线/离线状态监控、远程开关机管理、主题切换、屏保配置、背景图更换、即时插播发布等常用操作。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10、支持远程对硬件设备进行开关机、重启等操作，包括远程设置定时开关机时间，便于用户管理。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11、提供数据统计功能，可以查看本单位下当前设备总数以及资源使用情况。支持top5/top10排行统计，支持按年、按单台设备每月使用情况、按设备排行统计等方式进行多维度的数据呈现。</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其他功能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1、支持配置多种资源到瀑布流设备，各资源内容可通过资源切换按钮进行快速切换展示。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2、支持固定流速模式，此模式下用户无法改变资源流动速度。也支持手动滑动模式，此模式下用户可通过手指上下滑动，改变资源的流动速度，快速浏览。用户可根据需要，在以上两种模式间切换使用。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3、除常规的资源内容展示外，系统还支持配置应用至瀑布流设备，已配置的应用以图标的形式悬浮于瀑布流右侧区域，不影响设备的资源展示，用户通过点击应用图标，打开该应用进行浏览。</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4、系统应支持同时配置多个应用至设备。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5、系统支持添加待机屏保，支持单张、多张轮播展示。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6、支持资源背景图进行自定义更换展示。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7、图书、期刊、视频、专题资源支持断网离线扫码带走，无网络时亦可正常展示流动。</w:t>
            </w:r>
          </w:p>
          <w:p>
            <w:pPr>
              <w:pStyle w:val="39"/>
              <w:spacing w:line="360" w:lineRule="auto"/>
              <w:ind w:firstLine="0" w:firstLineChars="0"/>
              <w:rPr>
                <w:rFonts w:hint="eastAsia" w:ascii="宋体" w:hAnsi="宋体" w:cs="宋体"/>
                <w:color w:val="auto"/>
                <w:kern w:val="0"/>
                <w:sz w:val="24"/>
                <w:highlight w:val="none"/>
              </w:rPr>
            </w:pPr>
            <w:r>
              <w:rPr>
                <w:rFonts w:hint="eastAsia" w:ascii="宋体" w:hAnsi="宋体" w:cs="宋体"/>
                <w:b/>
                <w:bCs/>
                <w:color w:val="auto"/>
                <w:sz w:val="24"/>
                <w:highlight w:val="none"/>
                <w:lang w:bidi="ar"/>
              </w:rPr>
              <w:t>硬件参数</w:t>
            </w: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1、液晶拼接屏 屏幕尺寸≥49寸*3，分辨率：1920*1080; 物理拼缝≤3.5mm（标准）；触摸框 十点触摸；壁挂支架 铝型材支架，材质坚固、不易变形；配件辅料 包含6孔插排工业级电源线音响、定时开关；运行内存 不低于16G；存储：SSD固态硬盘 512G显卡：不低于T600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748" w:type="pc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lang w:bidi="ar"/>
              </w:rPr>
              <w:t>墨水屏自助借还柜</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借还柜参数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1、显示触控屏参数：屏幕尺寸：10寸；亮度：300cd/㎡；触摸屏：电容屏，响应速度：16ms；多点触摸：支持10点触控；触摸方式：电容触控。</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2、控制主机参数：WiFi：支持2.4G，802.11n/g/b ；蓝牙：BLE4.0；以太网：100M/100M自适应;频段制式：支持4G全网通</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控制板参数</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1、电子锁监控：支持10路12V电子锁支持锁状态反馈。；充电功能：支持10路USB同时充电，单路最大支持1.5A，支持输入反接保护，充电接口输出过流保护，充电接口输出电路保护。</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2、加密功能：支持识别阅读本加密认证功能。可对USB接口对接的阅读本电量进行实时读取，可识别阅读本序列号，可对已识别的阅读本进行软件重置。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3、柜门参数：10门，框柜体用1.2mm镀锌板，柜门内竖隔板为1.0mm镀锌板，每个柜门大小一致，柜门带亚克力透明窗口；</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4、其它：喇叭3W；带二维码扫描头；供电：AC 220V。</w:t>
            </w:r>
          </w:p>
          <w:p>
            <w:pPr>
              <w:widowControl/>
              <w:spacing w:line="360" w:lineRule="auto"/>
              <w:jc w:val="left"/>
              <w:rPr>
                <w:rFonts w:ascii="宋体" w:hAnsi="宋体" w:cs="宋体"/>
                <w:color w:val="auto"/>
                <w:sz w:val="24"/>
                <w:highlight w:val="none"/>
                <w:lang w:bidi="ar"/>
              </w:rPr>
            </w:pPr>
            <w:r>
              <w:rPr>
                <w:rFonts w:hint="eastAsia" w:ascii="宋体" w:hAnsi="宋体" w:cs="宋体"/>
                <w:b/>
                <w:bCs/>
                <w:color w:val="auto"/>
                <w:sz w:val="24"/>
                <w:highlight w:val="none"/>
                <w:lang w:bidi="ar"/>
              </w:rPr>
              <w:t>自助借还管理系统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1、读者可以在智能柜上完成阅读本设备的自助借还，无需人工介入，操作流程简便并全程伴随语音提示。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2、阅读本微型自助借还柜支持读者使用支付宝预授权自助缴纳押金和退押金，芝麻信用高的还可免押金借阅，无需人工介入，不必担心押金丢失，更便捷安全。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3、具备智能监测功能，能够检测归还的阅读本序列号，自动检测阅读本是否损坏，防止非阅读本设备（比如移动电源）被还入柜内，切实保障自助借还过程中设备不丢失。</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4、能够在阅读本设备上展示借阅信息，设备归属图书馆，借阅时间，借期，应还时间，设备到期前系统会进行到期提醒，提醒读者归还，备借阅到期后，可以远程关闭设备使用，锁定设备。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5、支持设备充电，设备充满后自动断电，支持设备是否在柜检测，并随时读取设备电量状态。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6、支持归还的设备自动进行设备初始化重置，还原到初始出厂状态，并保留图书馆定制内置图书，保障上一个读者阅读内容不会流转到下一个读者。</w:t>
            </w:r>
          </w:p>
          <w:p>
            <w:pPr>
              <w:widowControl/>
              <w:spacing w:line="360" w:lineRule="auto"/>
              <w:jc w:val="left"/>
              <w:rPr>
                <w:rFonts w:ascii="宋体" w:hAnsi="宋体" w:cs="宋体"/>
                <w:color w:val="auto"/>
                <w:sz w:val="24"/>
                <w:highlight w:val="none"/>
                <w:lang w:bidi="ar"/>
              </w:rPr>
            </w:pPr>
            <w:r>
              <w:rPr>
                <w:rFonts w:hint="eastAsia" w:ascii="宋体" w:hAnsi="宋体" w:cs="宋体"/>
                <w:b/>
                <w:bCs/>
                <w:color w:val="auto"/>
                <w:sz w:val="24"/>
                <w:highlight w:val="none"/>
                <w:lang w:bidi="ar"/>
              </w:rPr>
              <w:t>墨水屏阅读本参数</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资源要求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1、提供不少于50000本高清电子图书。</w:t>
            </w:r>
            <w:r>
              <w:rPr>
                <w:rFonts w:hint="eastAsia" w:ascii="宋体" w:hAnsi="宋体" w:cs="宋体"/>
                <w:b/>
                <w:bCs/>
                <w:color w:val="auto"/>
                <w:sz w:val="24"/>
                <w:highlight w:val="none"/>
                <w:lang w:bidi="ar"/>
              </w:rPr>
              <w:t>投标人须提供相应的承诺函。</w:t>
            </w:r>
            <w:r>
              <w:rPr>
                <w:rFonts w:hint="eastAsia" w:ascii="宋体" w:hAnsi="宋体" w:cs="宋体"/>
                <w:color w:val="auto"/>
                <w:sz w:val="24"/>
                <w:highlight w:val="none"/>
                <w:lang w:bidi="ar"/>
              </w:rPr>
              <w:t>图书资源针对各类年龄人群提供不同的书籍，并按照主题阅读、经典阅读、作家专栏、文学、小说、传记、艺术、等进行分类；图书内容定期更新，每月更新不少于150本最新电子图书。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2、支持在线阅读期刊，提供1000种中文期刊，支持在线阅读阅览，整本下载阅读，支持自适应排版，支持左右翻页、字体更换、间距调整阅读。</w:t>
            </w:r>
            <w:r>
              <w:rPr>
                <w:rFonts w:hint="eastAsia" w:ascii="宋体" w:hAnsi="宋体" w:cs="宋体"/>
                <w:b/>
                <w:bCs/>
                <w:color w:val="auto"/>
                <w:sz w:val="24"/>
                <w:highlight w:val="none"/>
                <w:lang w:bidi="ar"/>
              </w:rPr>
              <w:t>投标人须提供相应的承诺函并提供不少于100种（含）电子期刊资源目录</w:t>
            </w:r>
            <w:r>
              <w:rPr>
                <w:rFonts w:hint="eastAsia" w:ascii="宋体" w:hAnsi="宋体" w:cs="宋体"/>
                <w:color w:val="auto"/>
                <w:sz w:val="24"/>
                <w:highlight w:val="none"/>
                <w:lang w:bidi="ar"/>
              </w:rPr>
              <w:t>。</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3、所有电子图书书资源读者无需二次付费购买。支持图书资源下载，提供书架功能，可将书城资源下载在本地书架，并且能完成离线阅读，节省用户使用流量，提供检索历史、收藏等服务。</w:t>
            </w:r>
          </w:p>
          <w:p>
            <w:pPr>
              <w:widowControl/>
              <w:spacing w:line="360" w:lineRule="auto"/>
              <w:jc w:val="left"/>
              <w:rPr>
                <w:rFonts w:hint="eastAsia" w:ascii="宋体" w:hAnsi="宋体" w:cs="宋体"/>
                <w:color w:val="auto"/>
                <w:kern w:val="0"/>
                <w:sz w:val="24"/>
                <w:highlight w:val="none"/>
              </w:rPr>
            </w:pPr>
            <w:r>
              <w:rPr>
                <w:rFonts w:hint="eastAsia" w:ascii="宋体" w:hAnsi="宋体" w:cs="宋体"/>
                <w:b/>
                <w:bCs/>
                <w:color w:val="auto"/>
                <w:sz w:val="24"/>
                <w:highlight w:val="none"/>
                <w:lang w:bidi="ar"/>
              </w:rPr>
              <w:t>系统要求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1、提供目录功能，可以查看目录并快速跳转到目录所在章节。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2、提供书签功能，将感兴趣内容添加到书签，可以快速定位到关键位置。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3、支持书名云端联动搜素，快速查找所需图书，支持使用关键字快速定位关键字在图书的位置。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4、支持上下翻页，支持点击、滑动翻页；支持字体切换，字体大小调整，行间距调整，调整后将自动重排版显示。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5、可使用手机端扫描阅读器上二维码登录个人账号，历史阅读记录加入书架，读者可对图书进行整理，建立分类文件夹、移动删除图书，书架图书与阅读进度保存在云端，更换阅读器再次扫码即可自动同步。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6、手机客户端提供个人阅读报告，统计累计阅读时长、已读图书、最近阅读时长与图书，并可对阅读分类、阅读时长、阅读时段进行分析统计。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7、支持连接电脑，将PDF、EPUB、TXT、MOBI等格式本地图书导入阅读，支持文件夹与单个文件形式的导入。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8、支持后台对图书进行分类定制，支持上传自有图书，支持创建分类并将上传的图书放入不同分类管理，并将图书发布到在线书城，供读者下载阅读。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9、支持后台批量推送图书，将选定的图书或文件夹实时推送到阅读器上供读者阅读。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10、支持在阅读器屏幕上定制显示图书馆标志。</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11、支持pdf图书或pdf期刊在阅读本阅读。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748" w:type="pc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lang w:bidi="ar"/>
              </w:rPr>
              <w:t>校园阅读系统</w:t>
            </w:r>
          </w:p>
        </w:tc>
        <w:tc>
          <w:tcPr>
            <w:tcW w:w="3797" w:type="pct"/>
            <w:noWrap/>
            <w:vAlign w:val="center"/>
          </w:tcPr>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web端门户网站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1、支持各单位创建自定义网站，网站域名、网站展示内容等支持自定义配置。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2、支持可视化页面设计后台，拖拽式页面布局。</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3、支持自定义门户登录方式，包含账号密码登录、手机号验证码登录。</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移动终端配置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1、支持对首页显示的banner、功能模块、通讯录进行配置和管理。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2、可根据角色的不同配置不同的角色首页界面。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3、移动端同一个APP支持多账号切换，一个移动端支持不少于3个账户切换使用。</w:t>
            </w:r>
          </w:p>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个人工作台配置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1、个人工作台支持配置，包括导航菜单、功能模块展示等。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2、可根据不同角色配置不同的界面。</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架构管理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1、支持学校管理员对学校组织架构进行管理，支持学校、分校、年级、班级、学生等多级管理。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2、支持学生自动升学。</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用户管理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支持建立全方位的用户体系 ，对学生、教师、管理员各个角色进行管理，对用户信息进行增删改查，批量导入导出。</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图书资源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1、精选不少于1200册的中学生精品电子图书资源，支持按年级、学科查看。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2、涵盖不低于38本统编教材推荐的课外阅读书目、80本教育部中小学阅读指导目录的相关图书。</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富媒体资源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1、有声书屋：平台提供不低于3000集经典图书的匹配标准阅读、配音的有声资源。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2、导读视频：平台提供不低于45集的导读资源，以视频的形式呈现资源。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3、期刊资源：平台与大量优质期刊出版机构合作，内置期刊达450种以上基础教育适读期刊。</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课程资源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1、为学生和教师提供不少于50门中学必读书目课程，涵盖图文、音频、视频等多种内容形式，支持学生在线学习，辅助教师课堂教学。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为教师提供不少于700门拓展阅读课程，其中精品课程涵盖图文、音频、视频等多种内容形式，支持学生在线学习，辅助教师课堂教学。课程内容涵盖统编教材推荐书目，教育部中小学阅读指导目录，经典主题书单及其他拓展阅读书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3、为教师提供不少于135门阅读教学研修课程，课程不少于700课时量（每课时时长45分钟以上）。课程的研修主题不低于15个。</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阅读能力评估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1、支持分年级、分学期对校内学生阅读能力情况进行在线评估，包括学生在线答题及师生在线查看评估报告。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2、系统提供7-11年级评估题库，每年级不少于2套试题。阅读材料以篇章阅读为主，段落、短文阅读为辅，综合连续性文本与非连续性文本，包含多种文体。</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3、限定每个人每学期只能评估一次，考试过程中不可切屏、多终端考试，防止作弊与刷题现象。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4、支持为个人/学校生成评估报告，对学生阅读水平、阅读速度、答题正确率和阅读能力维度进行全面分析，并提供全国平均对比数据，直观呈现学生、学校阅读能力发展状况。</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分级测评</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阅读计划</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1、计划自主：教师根据班级阅读数据分析为依据，可以为班级学生发布阅读计划，并快捷规划阅读时间。</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2、计划多样化：教师可发布多种类型的计划，包含阅读测评、阅读记录、写作等。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3、计划监控：教师可以监控计划任务总体完成进度，也可以查看每个学生的完成情况以及答卷。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4、自我阅读规划：学生可以按照自己的喜好进行阅读，并完成相应阅读测评。</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5、阅读能力等级：建立至少6个阅读等级划分，以满足不同年级学生的阅读需求；可按对字词、逻辑思维、批判思维和想象能力等方面进行6个维度的检测。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6、批量发布：支持学校管理员批量给多个班级同时发布多本图书的阅读计划。</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阅读测评</w:t>
            </w:r>
            <w:r>
              <w:rPr>
                <w:rFonts w:hint="eastAsia" w:ascii="宋体" w:hAnsi="宋体" w:cs="宋体"/>
                <w:b/>
                <w:bCs/>
                <w:color w:val="auto"/>
                <w:sz w:val="24"/>
                <w:highlight w:val="none"/>
                <w:lang w:bidi="ar"/>
              </w:rPr>
              <w:br w:type="textWrapping"/>
            </w:r>
            <w:r>
              <w:rPr>
                <w:rFonts w:hint="eastAsia" w:ascii="宋体" w:hAnsi="宋体" w:cs="宋体"/>
                <w:color w:val="auto"/>
                <w:sz w:val="24"/>
                <w:highlight w:val="none"/>
                <w:lang w:bidi="ar"/>
              </w:rPr>
              <w:t>1、题库支持：校园阅读系统提供不少于15000道题库，覆盖不低于1000本图书。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2、题型丰富：支持单选题、判断题题型，并且题目支持纯文本、图片格式。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3、智能组卷：系统提供科学的默认组卷方式，支持教师直接发布计划无需组卷。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4、自主组卷：老师可根据不同班级选择不同题目进行组卷，实现班级间差异化测评；老师可根据图书和教学情况，组卷发布单本书单套题或单本书多套题阅读计划。</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5、自建题库：教师可自建题目并组卷发布，题目可以自主选择是否共享到本校。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6、防作弊机制：组卷后题目可以自动实现题目顺序随机，题目选项随机，限定每本书每日只能测评一次，防止作弊与刷题现象。</w:t>
            </w:r>
          </w:p>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阅读记录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1、教师发起阅读记录任务，可设置记录天数。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2、支持记录数据统计：可查看每个学生参与记录的天数以及全班记录的人数。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3、学生可参与教师发布的记录任务，查看记录规则、记录过程与排行榜。</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写作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1、教师可以发布写作计划，设置学生作品是否公开。</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2、作品评分。教师可查看作品内容，完成作品评分，支持评语撰写与优秀作品标记。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3、写作统计。教师可查看写作任务的作品数量统计。</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阅读数据报告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1、支持为个人、班级、学校生成阅读数据报告，包括测评数据、阅读记录数据、写作数据，可按照学期进行筛选查看，对学生的阅读量、阅读等级、阅读能力维度、阅读喜好进行全面分析。</w:t>
            </w:r>
            <w:r>
              <w:rPr>
                <w:rFonts w:hint="eastAsia" w:ascii="宋体" w:hAnsi="宋体" w:cs="宋体"/>
                <w:b/>
                <w:bCs/>
                <w:color w:val="auto"/>
                <w:sz w:val="24"/>
                <w:highlight w:val="none"/>
                <w:lang w:bidi="ar"/>
              </w:rPr>
              <w:t>阅读活动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1、寒暑假活动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每年学生可参加2次星阅读寒暑假活动、教师可参加2次教师共读寒暑假活动。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2、常态化阅读活动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每年6次学生常态化阅读活动，包括知识挑战、经典诵读、地图闯关等。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3、读书月主题活动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每年教师和学生分别可参与1次读书月主题活动。</w:t>
            </w:r>
          </w:p>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教学互动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1、阅读教学开展与管理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平台支持课堂教学情景的移动端和pc端投屏到大屏幕演示互动，支持抢答、投票、问卷、主题讨论、计时等课堂互动环节，对于远程教学，教师可以利用手机端、电脑端发起视频直播。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2、学情数据监测与管理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支持学生按章节学习，课后有思考问题，学生可以进行交流讨论，学习后有数据统计，学生个人和学校均有相关学习报告。教师可以通过学生的课堂表现情况以积分形式进行评价，可转换为平时成绩；学生如果按要求完成作业成绩、考试成绩，则可以按照老师设计的成绩权重给出阅读课程的综合评价。</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阅读统计数据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1、支持管理员按学期或自定义时间范围，查看单位下学生、教师用户的阅读行为数据，包括但不限于，有效阅读量，阅读字数，阅读喜好，各年班级的阅读排行等。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2、支持管理员查看年级榜、班级榜、学生榜、教师榜、图书喜好榜等榜单。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3、支持管理员查看单位下用户对阅读系统的访问量趋势图、学生测评次数、记录数、写作篇数，教师计划发布等趋势图。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4、支持管理员查看单位用户阅读等级分布，综合能力维度分析，阅读喜好分布等数据。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5、支持导出数据报告。</w:t>
            </w:r>
          </w:p>
          <w:p>
            <w:pPr>
              <w:pStyle w:val="39"/>
              <w:spacing w:line="360" w:lineRule="auto"/>
              <w:ind w:firstLine="0" w:firstLineChars="0"/>
              <w:rPr>
                <w:rFonts w:ascii="宋体" w:hAnsi="宋体" w:cs="宋体"/>
                <w:color w:val="auto"/>
                <w:sz w:val="24"/>
                <w:highlight w:val="none"/>
                <w:lang w:bidi="ar"/>
              </w:rPr>
            </w:pPr>
            <w:r>
              <w:rPr>
                <w:rFonts w:hint="eastAsia" w:ascii="宋体" w:hAnsi="宋体" w:cs="宋体"/>
                <w:b/>
                <w:bCs/>
                <w:color w:val="auto"/>
                <w:sz w:val="24"/>
                <w:highlight w:val="none"/>
                <w:lang w:bidi="ar"/>
              </w:rPr>
              <w:t>对接图书管理系统</w:t>
            </w: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校园阅读系统手机端对接图书管理系统，具备馆图书馆公告浏览、热门图书预览、热门检索词展示、馆藏书目查询、馆藏复本情况、在架信息、在线预约、个人借阅信息查看、在线续借、预约取书提醒、催还信息告知、电子读者证等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2、校园阅读系统手机端扫描图书馆纸质图书条形码，可实时查看对应该图书所在的馆藏架位信息和可预约、可借阅情况，并且要求直接可查看本书对应的电子版，并实现手机下载，文献传递等全文获取方式。</w:t>
            </w:r>
          </w:p>
          <w:p>
            <w:pPr>
              <w:pStyle w:val="39"/>
              <w:spacing w:line="360" w:lineRule="auto"/>
              <w:ind w:firstLine="0" w:firstLineChars="0"/>
              <w:rPr>
                <w:rFonts w:hint="eastAsia" w:ascii="宋体" w:hAnsi="宋体" w:cs="宋体"/>
                <w:color w:val="auto"/>
                <w:kern w:val="0"/>
                <w:sz w:val="24"/>
                <w:highlight w:val="none"/>
              </w:rPr>
            </w:pPr>
            <w:r>
              <w:rPr>
                <w:rFonts w:hint="eastAsia" w:ascii="宋体" w:hAnsi="宋体" w:cs="宋体"/>
                <w:b/>
                <w:bCs/>
                <w:color w:val="auto"/>
                <w:sz w:val="24"/>
                <w:highlight w:val="none"/>
                <w:lang w:bidi="ar"/>
              </w:rPr>
              <w:t>拓展数字资源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1、提供适合手机使用的且具有完全自主知识产权的视频，支持有声读物播放，为满足读者视听需求，移动图书馆视频内嵌资源量要求不少于2万集。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2、平台移动端提供搜索框一站式全文检索关键词相关电子资源。包含但不限于视频、期刊、图书、报纸、论文等资源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3、提供适合不同手机阅读的EPUB格式热门图书，不少于2万种。提供100万种以上原貌图书，所有图书支持全文下载，并保存在手机中。并提供相关搜索服务43、 提供300种以上适合移动阅读的报纸资源，并且实现报纸的当日更新。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 提供不少于2万集适合手机使用的学术视频。</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5、提供文献传递服务，并且接入全国图书馆参考咨询联盟建立的云传递共享平台。中文文献传递满足率达到95%以上，外文文献传递满足率达到91%以上。传递的文献必须能够随时随地打开阅读。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平台移动端提供文章查重服务，每万字的检测需在数秒内完成，并在10分钟内提供检测报告，比对基础库中的数据包含图书、报纸、期刊、网络文档等多种文献类型，网页报告中支持显示论文的基本信息、正文字数、检测范围、相似度、重复字数等指标</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对接省阅读平台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可对接省阅读平台（之江阅），深度打通示范教学包模块，使用移动端便捷开展校本阅读课，课程、ppt、笔记、图片、视频、音频、等内容一键投屏到一体机上，投屏的图片支持远程缩放控制、支持聚光灯和激光笔演示功能，方便教师进行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748" w:type="pc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lang w:bidi="ar"/>
              </w:rPr>
              <w:t>图书管理系统</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1、系统配置：系统配置 登录</w:t>
            </w:r>
          </w:p>
          <w:p>
            <w:pPr>
              <w:widowControl/>
              <w:tabs>
                <w:tab w:val="left" w:pos="312"/>
              </w:tabs>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2、支持绑定微信，扫码登录；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3、支持学习通扫码登录；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4、支持密码强度校验，强制修改用户初始密码；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个性化</w:t>
            </w:r>
          </w:p>
          <w:p>
            <w:pPr>
              <w:widowControl/>
              <w:tabs>
                <w:tab w:val="left" w:pos="312"/>
              </w:tabs>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5、支持自定义个性化配置：系统欢迎页、logo；</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参数配置</w:t>
            </w:r>
          </w:p>
          <w:p>
            <w:pPr>
              <w:widowControl/>
              <w:tabs>
                <w:tab w:val="left" w:pos="312"/>
              </w:tabs>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6、完善的多级参数管理：机构参数-单馆参数-工作台参数-个人参数，灵活配置共性设置和个性化设置；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7、完善的用户角色权限管理。权限明确到菜单权限和功能权限，一个用户可拥有多个角色；</w:t>
            </w:r>
          </w:p>
          <w:p>
            <w:pPr>
              <w:widowControl/>
              <w:tabs>
                <w:tab w:val="left" w:pos="312"/>
              </w:tabs>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支持区域分馆管理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系统消息</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1.支持即时的消息提醒，在线即可接受消息推送；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2.支持消息中心，查看任务进度、系统公告；标记已读、未读；系统表格 1.可自字段资源显示信息，包括显示项，显示顺序； </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资源采访</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1、数据导入：支持导入征订目录、导入订购记录、导入验收记录、更新订购待编记录、导入批量退订；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2、支持添加、编辑导入数据模板，按模板导入文件；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3、支持导入任务管理；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4、数据导入支持MARC文件和Excel文件，文件格式智能识别；</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5、导入MARC文件支持GBK、UNICODE、UTF-8编码格式。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6、支持同一批次征订目录、订购记录，多币种、多国别、多语种数据导入。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7、导入Excel文件时，支持Excel表单-Sheet的切换。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8、实现xls和xlxs文件的自动互识互转；</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9、自动识别导入Excel文件的表头，提供匹配库，自动匹配映射字段。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10、导入征订目录，支持导入预购套数。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11、批查重 1.支持批查重：供应商查重、订前查重、订后查重；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12、支持多种条件自由组合查重：题名、标准号、责任者、出版社、主题词等。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13、支持多条件间与、或关系查重。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14、馆藏重复范围可选全机构、指定分馆、指定校区、指定馆藏地。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15、针对查重结果可查看重复元数据MARC详情及重复元数据下纸质馆藏、电子馆藏、数字馆藏、订购记录；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16、支持数据筛选，元数据重复、馆藏重复、不重复；其中馆藏重复可以筛选纸质馆藏、电子馆藏、数字馆藏、订购记录重复；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17、查重后可关联重复数据MARC进行订购，减少本馆元数据冗余；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18、支持在查重结果内二次检索；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19、增加查重策略的配置，支持一次利用多组条件查重，一次输出全部查重结果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征订管理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1、支持征订目录的独有或共享；</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2、支持经费的独有或共享；</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3、支持总馆与院系分馆之间以工作台协作采购，自由组配经费。并且各馆经费的使用额度能得到有效控制；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4、支持订购批次与订购批次同号，自动生成订购批次号。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5、同一批次，支持按照经费、订购工作小组分别输出订单；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6、预订数据生成唯一的采购流水号，保证完整的、可追溯的采购流程；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7、每一条采购流水的订购方式可追溯，包含征订目录订购、直接订购、读者推荐订购、中央知识库订购、PDA订购等；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8、支持自定义资料采购类型，并进行相关统计；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9、支持直接编辑数据的征订信息和MARC；</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10、灵活的黑名单管理，支持编辑及移除黑名单；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11、支持批次查重及关联订购、批量删除、批量订购、批量加入黑名单等处理工作；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12、MARC子字段支持多题名、多主题词的检索；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13、支持按订购号、采购流水号、题名、责任者、出版社、出版年、分类号、价格等多种条件排序；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14、支持多条件高级检索；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15、业务操作进行筛选书目时，可快速选用已经设置好的个人采选策略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16、支持根据出版年、价格、出版社、责任者、分类、币种等条件的复合筛选；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17、提供标记已阅功能；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18、支持跳转站外链接，豆瓣、京东、当当、亚马逊海外；</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19、可通过中央知识库获取作者简介、图书简介、目录、封面等信息；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荐购处理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1、支持对采购单荐购和读者自由荐购记录的管理；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2、支持对图书和电子资源库做采购申请处理和回复；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3、支持跳转站外链接，豆瓣、京东、当当、亚马逊海外；</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4、支持批量查重，针对查重结果可查看重复元数据及重复元数据下纸质馆藏、电子馆藏、数字馆藏、订购记录；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5、支持关联MRAC订购；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6、支持关联在订记录；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7、支持自定义维护荐购回复常用语；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8、荐购记录被订购及入藏时，系统可自动通过EMAIL或短信自动反馈读者；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资源订购</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1、支持按订购包、按全部订购记录查看本馆订单，可在全部订单中检索订购记录；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2、支持检索本馆元数据、中央知识库及其他联机站点元数据，直接订购的方式；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3、支持提供MARC或Excel文件，设置订购工作台、经费、套数，直接导入订购记录；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4、支持邮件发订、导出订单、打印订单；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5、支持直接编辑数据的订购信息和MARC；</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6、支持单条、批量调整订购信息、规则分配馆藏地；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7、支持批量更新参数、调整订购、更改订购包、删除订购记录、退订；支持批量导出、打印订购记录；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8、支持批量查重；弹窗展示重复结果；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9、支持查看订购元数据的MARC详情、往年订购记录、荐购记录等；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10、MARC子字段支持多题名、多主题词的检索；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11、支持按订购号、采购流水号、题名、责任者、出版社、出版年、分类号、价格等多种条件排序；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12、支持根据出版年、价格、出版社、责任者、分类、币种等条件的复合筛选；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13、批次内支持按订购工作台筛选、导出订单；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14、实时获取中国银行远期汇率，订购、验收时，人民币和外币价格可换算。</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15、支持催缺退改订；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16、支持订单行发订审核；</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供应商预警</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1、支持设置供应商预期交付时间，在机构参数设置预计交付周期后，按周期推算供应商单个批次的供全率、供准率、及时率；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2、达到预计交付日期当日，若供应商存在未到记录则输出预警文件，并向订购包创建人发送通知； 一次性接收 1.图书一次性接收支持订购验收、自采验收、受赠验收。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3、验收时支持检索查重。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4、支持总签、分签、不签多种验收方式。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5、订购验收支持直接追加订购记录；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6、订购验收、自采验收、受赠验收均支持新增元数据、使用已有元数据验收、检索中央元数据验收；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7、支持多卷册图书的验收处理；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8、支持一个订购记录分多批次验收；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9、支持多验、少验情况的处理；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10、支持批量取消验收；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11、支持批量更改数据的验收包；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12、支持快速验收；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13、财产号、条码号支持按工作台财产账参数自动分配。支持不自动分配财产账。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14、支持自动生成索书号；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15、支持设置馆藏地分配规则，验收时自动根据规则分配馆藏地。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16、支持编目验收，同时处理验收和编目；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17、支持对查重结果合并元数据、移除验收等操作；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财产帐管理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1、可根据工作台设置不同资源类型下的不同的财产账号段；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2、可为工作人员分配不同的财产号区间，区间可独有可连续；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3、支持财产号废号及缺号查询、管理；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4、财产号可配置保存时空号校验提醒；导入批量验收 1.支持批量导入验收，导入时支持设置书刊状态及元数据状态；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5、索书号重复支持导入；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6、导入验收时支持预览MARC文件；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7、支持导入文件完成订购数据MARC和订购价格的更新；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8、批量导入验收支持查重设置；导入更新订购待编记录 1.支持导入外部文件批量匹配、覆盖验收包、订购包原有订购状态及待编状态的MARC；</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9、.支持更新订购MARC的价格；</w:t>
            </w:r>
          </w:p>
          <w:p>
            <w:pPr>
              <w:widowControl/>
              <w:spacing w:line="360" w:lineRule="auto"/>
              <w:jc w:val="left"/>
              <w:rPr>
                <w:rFonts w:ascii="宋体" w:hAnsi="宋体" w:cs="宋体"/>
                <w:color w:val="auto"/>
                <w:sz w:val="24"/>
                <w:highlight w:val="none"/>
                <w:lang w:bidi="ar"/>
              </w:rPr>
            </w:pPr>
            <w:r>
              <w:rPr>
                <w:rFonts w:hint="eastAsia" w:ascii="宋体" w:hAnsi="宋体" w:cs="宋体"/>
                <w:b/>
                <w:bCs/>
                <w:color w:val="auto"/>
                <w:sz w:val="24"/>
                <w:highlight w:val="none"/>
                <w:lang w:bidi="ar"/>
              </w:rPr>
              <w:t>连续出版物</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导入及订购</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1、支持期刊征订数据的导入；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2、支持规范征订数据的价格和出版频率。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3、支持批量发订、退订、续订；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4、支持直接编辑订购分配信息及MARC信息；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5、支持批查重，显示重复情况，支持关联订购，并自动继承往年的订购、签收和分配参数。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6、订购时支持期刊总签分签；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续订：支持复制订购批次续订，续订时，可选择复制的期刊类型以及是否保留原订购分配信息；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签收：支持直接编辑MARC信息以及签收信息；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1、支持继承去年签收参数生成签到卡片；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2、支持期刊卷期批量签收以及退签功能；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3、支持进入签收页面时自动定位到未签收单刊上；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4、可针对固定频率期刊，非固定频率期刊，特殊卷期期刊分别通过参数生成准确的卷期信息；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5、支持现刊分配条码自动单刊典藏；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6、支持预到日期和催缺日期的设置；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7、支持合订本装订参数的设定；</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现刊催缺</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1.可按照缺刊、所有缺刊、未签刊、断刊类型进行邮件催缺；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2.提供按照供应商、订购年度筛选检索功能；排架号管理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3.可根据订购年度，分配地以及不同选项检索期刊；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4.可根据分类号，往年排架号，文件导入方式生成新一年排架号；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单刊典藏</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b/>
                <w:bCs/>
                <w:color w:val="auto"/>
                <w:sz w:val="24"/>
                <w:highlight w:val="none"/>
                <w:lang w:bidi="ar"/>
              </w:rPr>
            </w:pPr>
            <w:r>
              <w:rPr>
                <w:rFonts w:hint="eastAsia" w:ascii="宋体" w:hAnsi="宋体" w:cs="宋体"/>
                <w:color w:val="auto"/>
                <w:sz w:val="24"/>
                <w:highlight w:val="none"/>
                <w:lang w:bidi="ar"/>
              </w:rPr>
              <w:t>1.可针对期刊卷期进行批量单刊典藏操作，已单刊典藏期刊可流通借还；</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2.可批量修改单刊卷期信息；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3.支持自动生成单刊条码号，财产号；资源管理：</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 xml:space="preserve">资源管理元数据支持范围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1.国际国内编目标准：支持CNMARC、USMARC、RDA、DC、DCTERMS等规范；</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2.支持GBK、UNICODE、UTF-8字符集，实现多语种编目；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3.MARC模式和行列模式切换；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4.USMARC的关联数据展现，并且根据系统生成的链接可以跳转id.loc.gov网站查看对应的LinkedData；</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5.BIBFRAME数据展示；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元数据基本编辑功能</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1.提供字段基本的增加，修改和删除功能；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2.支持简单编目模式编辑，可以配置简单编目模板；</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3.支持MARC审校功能，根据MARC规则自动提示错误；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4.支持元数据规范检测，支持查看帮助提示；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5.元数据规范检测不仅支持字段、子字段是否重复是否必备的校验，同时支持校验指示符和嵌套字段规则；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元数据扩展编辑功能</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1.支持字段排序，字段复制、粘贴功能；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2.支持快捷键一键复制子字段并粘贴；</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3.提供系统模板，同时支持自定义元数据模板功能，自定义模板可在机构内、机构间共享；</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4.支持用元数据模板覆盖、补缺、添加全部字段到marc中；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5.支持多种自动生成字段的规则，用户可自由选择配置规则；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6.基于中央知识库，可实现规则共享区下载、本地应用；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7.实现cnmarc字段中简繁体互换，生成指定字段拼音；</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8.支持MARC编辑常用快捷键，提高工作效率；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9.支持锁定元数据，锁定状态下无法编辑，防止老师误操作；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10.增加中图法分类名称提示，直接根据分类号展示对应的分类名称；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 xml:space="preserve">元数据上载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1.支持元数据上载，包括上载原编、上载馆藏和覆盖已有marc；元数据获取 1.提供本地检索和联机检索，支持多索引组检索。其中联机检索支持多题名、多主题词的检索，同时可通过Z39.50广播查询下载，包括国图、CALIS等多数据来源检索；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2.支持转入套录数据，在套录库中按批次查看转入的套录元数据，并在编目页面可以检索套录数据；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3.支持直接打开外部文件，查看或编辑外部文件中的元数据；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4.支持复制网页上marc数据，包括美国国会图书馆、中国国家图书馆等多个中外文网站。获取MARC的过程可以设置原MARC保留字段，可以设定来源MARC过滤字段。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元数据检索与查重</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1.支持查重、关联检索，支持元数据分屏查看、复制字段、合并、覆盖操作；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2.支持Z39和数据中心的元数据查询，进入下一条数据编辑的同时可自动检索Z39.50的数据；针对外部marc可以直接覆盖本馆marc数据；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3.支持按CALIS号、国会号等条件检索馆内和联机数据；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4.支持元数据的查重合并功能，进行元数据统一，形成纸电一体化管理；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5.支持对元数据进行批量查重、批量合并功能，且批量合并时可自定义保留字段；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6.支持设置默认查重条件；支持多种条件的查重，包括正题名、题名组、标准号等，并支持多种查重条件的自由组合。更支持多题名、多主题词的检索。查重范围可仅限本馆或全部成员馆；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7.支持高级检索，可多条件组合（与、或）检索；</w:t>
            </w:r>
          </w:p>
          <w:p>
            <w:pPr>
              <w:widowControl/>
              <w:spacing w:line="360" w:lineRule="auto"/>
              <w:jc w:val="left"/>
              <w:rPr>
                <w:rFonts w:ascii="宋体" w:hAnsi="宋体" w:cs="宋体"/>
                <w:color w:val="auto"/>
                <w:sz w:val="24"/>
                <w:highlight w:val="none"/>
                <w:lang w:bidi="ar"/>
              </w:rPr>
            </w:pPr>
            <w:r>
              <w:rPr>
                <w:rFonts w:hint="eastAsia" w:ascii="宋体" w:hAnsi="宋体" w:cs="宋体"/>
                <w:b/>
                <w:bCs/>
                <w:color w:val="auto"/>
                <w:sz w:val="24"/>
                <w:highlight w:val="none"/>
                <w:lang w:bidi="ar"/>
              </w:rPr>
              <w:t>索书号处理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1.通过著者号、卡特号、种次号、四角号码四种方式自动生成索书号，支持复分号的自动生成；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2.支持种次号、著者号的查询，可使用索书号缺号；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3.实现种次号库的维护。同时支持已生成种次号的重组；</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4.支持西文卡特号表维护；</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5.支持自定义四角号码生成规则；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6.支持索书号管理常用快捷键，提供工作效率；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7.支持用户自定义复分号初始值；</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8.自动生成种次号时，根据用户需求，既支持优先使用缺号，又支持优先使用最大号。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复本处理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1.同时支持纸质、电子、数字多资源的馆藏管理；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2.完善的馆藏信息，包括物理馆藏、验收记录、附件、现刊记录等模块的展示；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3.支持图片、文档、音频、视频等多种数字资源管理，支持资源本地或远程存储（数字馆藏）、收割数字资源元数据（OAI-PM）；</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4.数字资源支持资源的预览；</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5.电子复本根据资源类型分数据库的资源清单和独立访问；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6.支持在编目页面直接将现刊装订成合订本；</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7.支持复本变更marc链接功能；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8.支持附件的管理，附件与纸本馆藏一一关联，附件馆藏地、年代等信息随纸本馆藏变化而变化；</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参数配置</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1.支持独立分馆和直属分馆，财产账、种次号表可以独立也可以继承；</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2.可根据工作台的分配规则或个人继承参数等规则生成复本，支持直接回溯添加复本；</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3.支持数值比对和定长比对的条码号或财产号的缺号查询；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4.支持主题词库的维护。</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本机构资源</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1.纸质、电子、数字三种资源元数据进行统一管理，同时支持纸质、电子、数字多资源的馆藏管理；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2.平台拥有中央知识库做支撑，能够实现本馆元数据与中央知识库的挂接；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3.支持查看期刊对应的篇级数据信息，同时显示该目录下的文章信息，包含篇名、责任者、页码和对应的URL等信息；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4.支持手动上传目录文件。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MARC批处理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1.支持对本机构资源全部资源进行检索、筛选后，加入个人工作区，或直接进行MARC批处理操作；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2.支持MARC批量新增字段、修改子字段、删除字段、删除子字段等；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个人工作区</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1.支持设置个人工作区，支持多种方式添加工作区数据：上传MARC文件创建个人工作区、按检索检索数据加入工作区、按检索规则加入个人工作区；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2.支持批量查找本馆无财产订购记录相关的元数据加入工作区，进行本馆冗余元数据处理。资源典藏：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资源典藏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书标打印</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1.提供小程序、网页版两种书标打印功能，可补打书标。根据规则限定、单种/册扫描添加及批量添加方式获取提取书标列表。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2.支持网页版书标打印在线调整书标打印格式、预览打印效果。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馆藏清单</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1.支持统计馆藏记录清单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2.支持按复本数查询具体馆藏信息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3.支持打印和导出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馆藏调拨</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1.支持按馆藏地、当前地方式批量调拨；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2.支持导入外部文件批量调拨；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3.支持扫码单册加入调拨包；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4.支持调拨时变更财产归属地，变更流通政策及借阅属性；</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馆藏清查</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1.支持导入外部清查文件；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2.通过清查后对比，得到重复馆藏列表；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3.支持导出清单；</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单册处理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1.对单册图书扫码，进行报废、赠送、交换、丢失、送修、回验、上架处理；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2.可更改单册图书的馆藏地、当前地、借阅属性、流通政策等信息。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3.可通过移动端处理；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批量处理当前地</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1.支持按照馆藏地、当前地、经手人、还书日期检索查询；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2.支持按照馆藏地恢复当前地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3.支持批量处理馆藏地和当前地；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4.支持历史处理记录的查询；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馆藏管理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1.支持图书的排架管理。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2.支持批量分配排架号、修改排架号。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3.支持对排架号进行统计。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4.可用导入文件方式批量生成排架号；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5.可查看排架号处理详情；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6.可在处理过程中修改馆藏地和借阅属性；</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7.可按照条码顺序号方式管理排架号；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8.可筛选排架号浏览图书；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达标考核报表</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1.支持统计本馆馆情考核信息，包含文献总量、有效读者数量、有效读者平均册数、馆藏增册数、生均增册数、总借阅量、借阅册次、人均借阅量、文献流通率、文献利用率；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更换条码</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1.支持条码号更换；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2.支持更换条码同时更换馆藏地和书刊状态；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3.更换时，支持新条码号自动顺次增加；</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4.支持更换记录的打印导出；读者服务：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读者服务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读者管理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1.提供读者新增、修改、删除功能；读者具备多种有效证件模式：借阅证、辅助证；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2.提供读者批量注销，注销恢复，停借，停借恢复，挂失，解挂，冻结，冻结恢复功能；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3.支持读者属性规范化，批量规范单位、部门、职位等信息；提供读者批量密码重置功能；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4.可根据多种条件检索导出读者；可导出读者的借阅、违章、罚款信息；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5.统一的行为和费用管理，可对超期、遗失等行为进行处理，可选择停借、罚款等组合处理方式；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6.提供参数化的读者数据导入配置，导入项目可以从文件内取也可以统一设置；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7.提供读者照片批量导入功能，支持多种匹配方式；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8.提供读者批量导入功能，可通过字段映射的方式进行导入；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9.可根据多种条件检索导出读者；可导出读者的借阅、违章、罚款信息；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10.支持批量打印读者证，可设置读者证大小、正反面内容等；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11.支持每学年，年级自动升级；毕业后读者证件自动冻结等；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流通管理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1.提供借书，还书功能，借还图书后显示图书所在地；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2.提供遗失赔偿功能，遗失赔偿页面显示书目详细信息，可进行赔书，赔款，并支持遗失预处理功能；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3.提供违章处理，可自定义违章内容；</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4.提供超期罚款以及超期免罚功能；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5.提供费用管理功能，支持收取读者手续费、押金，预付款费用；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6.可使用积分对超期罚款及其他自定义行为进行抵扣；</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7.所有账目类型均支持打印收款单据；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8.支持智能借还、人脸识别借还；</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9.提供读者签到、图书登记、读者图书登记、现刊登记功能；支持整班登记；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请求管理</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1.提供图书预约功能，支持本地和跨馆预约；</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2.提供图书委托功能，支持本地和跨馆委托；</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3.提供跨校区预约，委托的物流管理，图书的状态会随着物流变化而变化，保证读者的精确获取图书物流信息；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4.提供新书和还书上架的物流管理，图书所在地以及状态会随物流变化而变化，保证读者在统一检索系统查询到的图书状态的准确；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5.图书到书后，管理员可通过系统向读者发送到书提醒短信/邮件/学习通；</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6.读者多次到书未取，可进行违约处罚；</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高级工具</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1.支持读者积分管理，可自定义读者积分类型。读者可通过不同累计积分途径，使用积分抵扣罚款；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2.系统可自动增删积分，也可以手动增删积分；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3.支持发布积分公告功能；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4.支持离线流通、临时延期；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5.支持对即将到期/已过期的图书进行催还；</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6.可根据多种条件检索要延期的读者；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7.可多选要延期的馆藏地；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8.可自定义临时延期起始、截止、目标日期；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流通业务参数</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1.可自定义多种读者属性，学院，系别，专业，年级，班级，类型；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2.可灵活自定义借阅规则，规则组合；</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3.可自定义积分类型，积分项目，积分兑换；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4.可自定义违章，罚款，赔偿，费用参数；统计报表：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统计分析 区域统计 1.提供各学校的图书馆藏统计、流通借还统计、读者数量统计等；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5.提供各学校包含各馆藏地书刊状态统计、生均借阅册数统计、图书流通率统计、馆藏增长量统计等；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资源保障</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1.提供馆藏数据统计（纸质、电子），包含：纸质馆藏（分布、分类、增长）统计，列表页面支持打印预览及导出；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资源利用</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综合借还、文献分类借还、人均借阅量、文献分类阅览、读者请求分类、文献借还周转率、文献借还利用率、文献借阅率、文献外借周期、文献热门排行、总分馆借阅、OPAC热门检索词、OPAC导航使用等统计，列表页面支持打印预览及导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读者服务</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1.提供读者服务相关统计，包含读者借还、读者借阅量、读者借阅次数、读者借还趋势、超期罚款、遗失赔偿、借阅出版社等统计；列表页面支持打印预览及导出；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运行日志</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1.提供流通日志、账目收支、工作人员日志、工作量（工作台、工作人员、工作类型）相关统计；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参数配置</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1.提供个人统计中心，支持将统计及条件保存为模板至个人统计中心；</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2.提供分类模板配置，支持设置每个分类的馆藏标准比例；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统一检索配置</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1.资源发布：支持自定义统一检索栏目菜单、首页展示内容、背景、logo、主题色等，支持配置展示的资料类型、资源状态、展示字段等；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2.支持外部资源接入，支持发布问卷调查等信息；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检索</w:t>
            </w:r>
            <w:r>
              <w:rPr>
                <w:rFonts w:hint="eastAsia" w:ascii="宋体" w:hAnsi="宋体" w:cs="宋体"/>
                <w:color w:val="auto"/>
                <w:sz w:val="24"/>
                <w:highlight w:val="none"/>
                <w:lang w:bidi="ar"/>
              </w:rPr>
              <w:t xml:space="preserve"> </w:t>
            </w:r>
          </w:p>
          <w:p>
            <w:pPr>
              <w:widowControl/>
              <w:spacing w:line="360"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1.提供关键词检索，检索首页展示近X天内的热门资源库、最新资源库、热门借阅、上架新书等。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2.具备基本检索功能的同时，支持高级检索，同时检索结果页可二次检索。</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3.对图书、期刊、论文均提供评分、评论、收藏、分享、引用功能，对检索条件提供订阅功能，即将检索条件进行记录保留。</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4.关键词检索所有整合的文献资源，包括并不限于本馆纸本资源、电子资源、数字资产等，将所有检索结果按资源的相关度显示出来。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5.提供纸质资源，电子资源，数字资源的整合检索，同一个元数据能同时展示元数据下对应的纸质馆藏和电子馆藏以及数字资源。纸本可直接查看详细信息，电子可链接到全文或者数据库。</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6.多种检索来源，包括馆藏资源、超星发现、百度学术、维普、CNKI和万方期刊。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7.结果根据匹配度，相关度，出版年，图书热度多个维度综合排序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8.资源检索详情页可通过扫二维码查看书目详细信息，提供当当、豆瓣等快捷链接。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9.可通过中央知识库展示图书封面，读者和图书简介，摘要和目次；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10.图形化展示借阅趋势、借阅关系，将每种书刊的借阅量自动转化为曲线图。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11.支持在线填写问卷调查（电子资源库试用调查问卷及一般调查问卷）。</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检索结果相关信息推荐 1.可对资源进行评分；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12.可对资源发表书评；</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13.可生成多种引文格式，可导出；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14.可收藏资源；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15.可分享资源；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16.可进行文献传递</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17.提供基于智能化的相关书的推荐；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 </w:t>
            </w:r>
            <w:r>
              <w:rPr>
                <w:rFonts w:hint="eastAsia" w:ascii="宋体" w:hAnsi="宋体" w:cs="宋体"/>
                <w:b/>
                <w:bCs/>
                <w:color w:val="auto"/>
                <w:sz w:val="24"/>
                <w:highlight w:val="none"/>
                <w:lang w:bidi="ar"/>
              </w:rPr>
              <w:t>热门推荐</w:t>
            </w:r>
            <w:r>
              <w:rPr>
                <w:rFonts w:hint="eastAsia" w:ascii="宋体" w:hAnsi="宋体" w:cs="宋体"/>
                <w:color w:val="auto"/>
                <w:sz w:val="24"/>
                <w:highlight w:val="none"/>
                <w:lang w:bidi="ar"/>
              </w:rPr>
              <w:t xml:space="preserve"> </w:t>
            </w:r>
          </w:p>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lang w:bidi="ar"/>
              </w:rPr>
              <w:t>1.可查看馆内热门借阅、热门收藏、热门浏览、高分图书等列表</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系统对接</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1.对接公共图书馆系统，读者可关键词检一键检索显示校内该图书馆藏信息、公共图书馆该图书馆藏信息，以及该图书对应数字资源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大数据展示系统</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 xml:space="preserve">、显示模式：系统要求具有全屏/窗口一键切换模式功能；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、系统设置：系统要求允许设置、变更服务器地址；具有同时显示单个、多个馆的数据以及数据统计、排序、对比的功能；</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单组织数据可视化图表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1、模块化科技感UI样式设计、动态图表展示、实时数据刷新；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2、提供组织名称展示、读者总数、藏书量、本月借阅人次/历史借阅人次、今日到馆人次/历史到馆人次、人均藏书数；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3、馆藏分类统计图表：依据中图法分类规范，展示馆藏图书的分类构成占比；</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4、馆藏分布：图书在借、预借状态分布情况；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5、馆藏利用率：借阅图书与图书总数比值；</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6、借阅排行：书刊借阅排行、个人借阅排行、部门借阅排行，滚动展示；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7、图书推荐：基于借阅大数据分析算法的热门推荐、新书推荐；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8、系统显示：当地时间、日期；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9、多组织/区域数据可视化图表：辖区的综合数据、各个馆之间的数据对比与排序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10、统计辖区内多个组织的数据总和，模块化科技感UI样式设计、动态图表展示、实时数据刷新；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11、馆藏数、读者数、本月借阅人数/本年借阅人数、本年上新数/馆藏总数；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12、展示基于辖区内组织大数据的借阅排行榜、馆藏排行榜、各组织读者人数、各组织智慧设备部署数；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13、读者排行：辖区内各组织的活跃读者排行榜；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14、图书利用率：借阅图书与图书总数比值；</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15、借阅分类：依据中图法分类规范，展示用户借阅图书的分类构成占比；</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16、活跃榜单：可展示近6个月组织阅读借阅人次活跃榜；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17、自定义模块：支持自定义区域智慧图书馆建设进展简述等信息；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18、硬件终端：32寸显示屏以上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低年级自助借还机</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技术参数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1、自助借还书机通过对粘贴有RFID标签的资料、书籍进行扫描、识别，将人工借还改为自助借还，提高了借阅服务质量。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整机外观尺寸：长≥560mm，宽≥573，高≥1397mm；</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2、主机配置：21.5英寸屏幕及以上，操作系统：Android 5.1 及以上，支持多点触摸；CPU处理器：Cortex-A17四核处理器主频 1.6GH，2G内存；须具有 LAN有线网口， RJ45八芯标准接口，WiFi 2.4GHz，USB*3，HDMI(out)*1接口配置；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3、材料结构：整机采用冷轧钢板材质，铝型材包边设计，表面钢化玻璃圆角处理，符合人体工程学设计；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4、刷卡器：具备RF读者证阅读模块，支持ISO14443A标准( 例如Mifare S50卡 )、ISO15693标准、ID卡（例如EM4100卡）；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 读写器：具有快速防碰撞处理算法，读写距离：16~40cm；（本特性与卡片有关）；工作时自动开启射频，空闲时自动关闭射频；</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6、工作频率：13.56MHz；</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7、摄像头：设备内置高清网络摄像头，系统具有人脸识别认证，方便读者借阅；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8、扫码器：设备内置扫码器，支持二维码扫描；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9、打印机：设备内置打印机，支持80mm热敏纸行点式打印，打印分辨率≥203dpi；</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10、系统安全性：支持 TCP/IP 联网协议、SIPⅡ国际标准协议、NCIP 协议等接口与图书馆端数据库进行数据交换，确保系统安全。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11、设备外观：色彩明快，线条流畅，圆角设计更安全，专为少儿设计使用。</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功能参数</w:t>
            </w: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人脸识别：不依托第三方平台，自建人脸数据库，可在局域网环境下实现人脸识别功能。支持管理员后台上传读者人脸照片或批量导入读者人脸特征数据；支持读者通过个人中心或小程序自主上传人脸头像；图书馆设备进行人脸注册系统自动提取人脸数据等多种获取人脸数据途径；</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2、登录方式多样化：支持账号登录、人脸识别、刷卡登录、，可选择登录方式；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3、自助借阅：具有对图书标签防盗位进行复位或置位，可以一次借还多本书刊；</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4、读者隐私保护：具有选择保护读者隐私功能，可隐藏读者部分信息；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登录管理：允许查看读者个人信息，包括：借阅量、在借量、超期量、借阅期限和人脸注册信息；在借详情，包括：在借书刊借阅时间以及到期时间，是否允许续借；预约管理，包括：预借到期时间和取消预借；密码管理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6、图书查询：读者可查询设备中的文献情况，提示文献在设备中的相应位置信息，方便读者借阅；</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7、智能语音：具有图形化、语音化的人机交互友好操作界面，提供简体中文语言的视觉交互提示、搜索和查询功能；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8、个性化设置：支持远程更换显示界面LOGO；允许对返回设备首页或进入读者登录界面的语音进行自定义设定；首页长时间无操作自动进入屏保，支持后台推送自定义屏保或使用历史今日图片；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9、固件升级：具有通过后台远程批量控制设备和固件的统一升级；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10、多语言支持：支持中文、英文等多种语言的交互提示；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高年级自助借还机</w:t>
            </w:r>
          </w:p>
        </w:tc>
        <w:tc>
          <w:tcPr>
            <w:tcW w:w="3797" w:type="pct"/>
            <w:noWrap/>
            <w:vAlign w:val="center"/>
          </w:tcPr>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一、自助借还系统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1.多种登录方式：支持账号密码、刷读者证、扫码、人脸识别等方式，后台可选择登录方式，支持设置是否免密；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人脸识别：支持读者绑定人脸信息，可以实现读者无卡登录、借书；支持读者删除已绑定的人脸信息；登录、注册时提供活体检测，验证用户是否为本人真实活体操作；支持管理员在设备后台批量上传读者的人脸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3.自助借还：具备对图书标签防盗位进行复位或置位的功能，可以一次借还多本书刊；</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4.读者办证：支持读者输入个人信息后注册电子证，后台可以选择是否开启办证以及读者证类型；并支持后台自定义选择要录入的读者信息，比如手机号、邮箱、学历等；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5.个人中心/续借：支持读者查询个人信息、当前在借，也可续借图书；支持读者自行绑定人脸、身份证，绑定后即可使用相应的登录方式。</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6.信息展示：支持显示单位logo、轮播图，并能够显示时间日期和设备的今日借还数量；</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7.图书查询：支持配置单位的图书查询页面，方便读者查询图书；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8.电子书：支持配置电子书模块，点击后能够进入电子资源借阅系统，实现在线阅读、扫码下载等功能。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9.图书借阅排行：支持显示自助借还设备上的图书借阅排行榜，包括排名、书名和借阅次数；</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10.首页配置：支持后台配置首页的全部内容，包括logo、轮播图、通知公告、应用模块等；模块顺序可自定义，并能够配置系统应用、网页以及第三方APP等类型。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11.待机图：支持配置待机图和等待时长，在设备长时间无操作后显示待机图；</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12.设备设置：支持后台设置图书标签、读者证解析等内容。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13.凭条打印：支持打印借书、还书、办证凭条，并支持后台设置凭条要显示的字段，比如设备位置、读者姓名、读者账号等；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14.查看设备信息：支持后台查看设备的机器码、Mac地址、版本号、在线状态等信息；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15.读者隐私保护：具有保护读者隐私功能，启用后可隐藏读者部分信息。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16.退出密码：支持后台设置退出APP密码，设置后可在设备端退出至系统桌面。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 断网重连：设备断网时会主动重连，连上后恢复正常状态；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 设备具备定时开关机、上电自启等功能。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 设备后台支持批量导入、导出图书加工信息、读者证加工信息，并可批量导入读者人脸信息。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20. 离线还书：设备具备离线还书的功能，能够在断网情况下支持还书操作，联网后可及时上传还书记录。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21.运行日志：设备自动记录当天的运行日志，支持通过后台下载设备日志。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22.语音提示：设备具备语音提示，可通过语音引导读者的借还书操作。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23.设备信息：可在设备上查看机器码、Mac地址、本机IP、外网IP、客户端版本号等信息。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24.图书推荐：首页提供图书推荐模块，每天更新一本书，支持扫码阅读。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25.自助办证记录：通过设备办理的读者证，支持通过后台查询办证记录。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26.设备可无缝对接馆内管理系统的电子证，支持扫码登录。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27.设备具备登录抓拍功能，可将登录时抓拍的图片将上传到平台。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二、电子资源借阅系统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借还机内置3000种正版授权的epub格式电子图书且与原版图书保持原貌一致，如相关图片、目录等，每月定时更新不少于150种热门电子图书。支持新书、热门图书标记功能，供读者参考。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2.内置期刊资源，期刊种类不少于200种，每月定期更新。期刊支持扫描下载至手机客户端中离线阅读。</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借还机名师讲坛</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1、视频全部自主拍摄制作，来源可靠：具备专业的编导、摄像、后期制作、技术服务团队。节目内容合法授权，自主拍摄，自主制作；拥有完备的数据保障体系和源文件备份、拷贝、应急恢复等流程。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2、版权清晰，著作权人直接授权：视频与主讲人直接授权；授权文件可进行示范或者抽查。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具备资源特色，与其他平台及网络公开资源无大量重复（小于百分之一）：未有购买第三方视频内容；所有节目均为自主录制及自身平台发布；未有盗用、转链网络公开资源；与网络第三方资源无有大量重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4、来源优质、精选讲座：主讲老师或为来自全国重点高校或机构的知名教授、学者；或为著名艺术家、作家、主持人、医生等。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5、每日更新：产品数据进行每日更新；精选名师，深度编辑，每日更新一场30分钟讲座。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6、在线或扫码观看：名师讲坛视频可在线播放也可扫码带走，不用识别证件，无需输入密码，可使用微信、超星学习通、超星移动图书馆等app，直接扫码观看。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7、图书分类支持定制：可根据用户的需求定制一个图书分类，推荐相关的电子图书到自助借还机中展示。定制的图书也可以通过扫描二维码的方式下载至手机客户端中离线阅读。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 配套新书推荐栏目，每周更新，每周推送不低于25本。（每周新书推送，结合实事、节假日等针对不同主题，精选图书。）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9、电子资源借阅系统支持定制显示单位名称、logo、待机画面、二维码，可将单位的名称和logo配置到页面中。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10、提供不少于5种不同风格的模版，供用户自行选择，随时更换模版以适应不同场合的需求。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11、配套的手机端应具备横屏阅读，夜间模式转换，文字大小调整等功能。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12、手机客户端可保留相关阅读记录。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13、手机客户端提供适合智能手机阅读的EPUB格式热门图书。图书支持全文下载，并保存在手机中。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14、手机客户端提供适合智能手机使用的学术视频。</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15、手机客户端提供有声读物资源，支持在线听书。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16、整机外观尺寸（mm）：1610*650*500；设备质量：≤65KG；</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工作频率：13.56MHz；供电要求：AC220V，50Hz；屏幕尺寸：31.5寸，分辨率1920*1080，十点电容触摸。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17、设备材质：整机采用冷轧钢板材质，表面钢化玻璃圆角处理，符合人体工程学设计；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18、读者证读卡器：支持 ISO14443A、ISO14443B、IOS15693、ISO18092、Felica标准；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19、图书读写器：内置中功率读写器一体机，支持ISO/IEC 15693 和18000-3M1 标准；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20、摄像头：设备内置高清摄像头，可以实现人脸识别认证，方便读者刷脸登录、借阅；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21、扫码器：设备内置扫码器，支持二维码、条形码扫描；</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22、打印机：80mm热敏打印机；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23、联网方式：有线、wifi；</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24、设备外观：外观新颖，支撑牢固，简洁时尚；前置炫彩Led灯带，有效提示设备运行状态，科技感十足；</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三、其他要求</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 xml:space="preserve">1. </w:t>
            </w:r>
            <w:r>
              <w:rPr>
                <w:rFonts w:hint="eastAsia" w:ascii="宋体" w:hAnsi="宋体" w:cs="宋体"/>
                <w:b/>
                <w:bCs/>
                <w:color w:val="auto"/>
                <w:sz w:val="24"/>
                <w:highlight w:val="none"/>
              </w:rPr>
              <w:t>整机通过中国质量认证中心的强制性产品3C认证，提供所投设备型号对应证书复印件。【3C证书】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为了保证设备的稳定性和电磁环境适应性，要求整机设备需通过电磁兼容相关试验。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为保证所投产品安全、环境适应及使用性能,要求整机需通过安全、电磁兼容相关试验。</w:t>
            </w:r>
          </w:p>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rPr>
              <w:t>4. 产品通过合格评定，保证产品的基本安全性、功能及各项性能参数。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图书检索查询机</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技术参数：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1、液晶屏：32寸LED 液晶屏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2、背光类型：LED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3、屏幕比例：16:9</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4、分辨率：1920*1080</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5、亮度：≥250cd/m2</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6、对比度：3000:1</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7、显示色彩：16.7M</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8、寿命：不少于50000小时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9、视角：全视角</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10、触摸技术：多点触摸、免驱</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11、触摸类型：红外触摸</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12、支持操作系统：Android，Windows，Linux，Mac OS</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13、定位精度：≤±2mm</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硬件配置：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1、运行内存：4GDDR3</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2、系统存储：128GSSD</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3、音频输出：立体声L/R，10W*2，8Ω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4、功放：立体功效，2*10W音箱，内磁式；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5、散热：内置工控级散热风片；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6、接口配置：LAN有线网口 RJ45八芯标准接口，WiFi     2.4GHz，USB*1，TF卡，HDMI(out)*1</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7、扩展功能（选配）：3G/4G(选配)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8、材质：铝型材，冷轧钢板、不易变形、机柜与固定背板部件结合紧密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9、安装方式：卧式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10、功率：≤200W</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功能参数：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检索查询机，能通过OPAC系统迅速的查找到读者想要借阅的书籍；借阅客户的时间。</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1.通过此系统可进行图书信息、借阅情况等的查询，该系统还具有预约、催还、续借等功能；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2.读者可以查询所有馆藏书刊的馆藏地信息、书刊信息状态。该查询系统提供了题名、著者、索取号、出版社等多个检索入口；</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 xml:space="preserve">3.读者可以输入证件号和密码，登陆该查询系统，查看本人的适用规则、借阅书刊信息、借阅历史等； </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4.可以显示所有馆藏地近期到馆的新图书，用户可以设置查询的指定馆藏地或时间；</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服务器根据读者适用规则自动检测读者借阅图书是否超期，并将超期读者的姓名等信息显示在相关页面中，提醒读者到图书馆办理还书手续；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5.深度对接公共图书馆查询系统，搜索栏输入书名，显示本校图书馆藏信息、公共图书馆馆藏信息、以及该图书电子资源预览。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图书还书箱</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技术参数：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1.材质：电泳铝型材，铝塑纤维板，毛毯，超静音耐磨脚轮，不锈钢无缝拉手；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2.平台升降高度：≤450mm；</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3.藏书量：≥150L（可放80-200册)；</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4.材质工艺：型材+板材+丝印+纤维；</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5.最大承重：≤200KG，升降托架有效最大承重：≤100KG，抗变形数：≥100000次；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设备尺寸：665*610*710（长*宽*高，不含手柄和轮子尺寸）；</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功能参数：</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与室内自助借还机配合使用，中转存放归还图书，是一种在图书重力作用下自行适度升降的还书箱。</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1.外观美观，结构稳定，后两轮固定方向，方便载重推向，前两轮自由转向带刹车可锁死，防止无意推动，整体设计不易攀爬，防止倾倒；</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2.移动轻便，可方便移动，适用不同环境；</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3.装书容量要求可达150L（可放80～200册)；</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4.内部要求采用升降结构，根据负载自动升降，有效降低书籍滑落的撞击力，减少功能书籍破损。承载板可在图书重力作用下自行适度升降；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5.书箱内部隔板铺有毛毯保护书本，还书时，静音效果好；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6.采用线性压簧结构，使得托架能随图书重量成线性比例升降；</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7.承载板自由升降，无负载时托板升降高度约740 mm，负载行程约450 mm。侧面封板采用高强度PVC材板，耐瞬时冲击强度高，有抗变形能力；最大承重220KG,升降托架有效最大承重100KG, 抗变形数次10w；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数字导读机</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一、硬件要求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1、触摸屏：43寸LED，红外识别≥2点触摸，1920*1080高清分辨率，显示屏颜色16.7M；采用手指、笔或非透明物体触摸方式，反应时间&lt;12毫秒，有效识别范围&gt;5毫米，全速免驱USB通讯方。</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2、双核，≥3G主机内存，80G固态硬盘+1T大容量机械硬盘，板载集成声卡、显卡、网卡，配备高速USB接口≥2个。</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整机采用落地式设计，安全、稳定。外观无明显棱角，采用圆滑设计方式。电源、USB接口等设有暗盒，以保护设备正常运转。整机高度适合小学生阅读需要，显示屏与地面有一定倾斜角度，设备自带滚轮，方便移动设备；同时滚轮带锁死功能。</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二、系统要求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1、系统采用触摸系统，教师可与移动客户端配合使用。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2、具备移动客户端应用便于教师使用，移动客户端是校园阅读设备配套的程序，且可与学校图书馆正在使用的移动客户端联机使用。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3、教师使用移动客户端软件可以直接扫描校园阅读设备上的图书二维码下载图书到pad等移动终端中阅读。移动客户端软件需同时支持iOS、android系统。</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4、基于1920*1080大屏触摸一体机研发。客户端支持不同浏览器分辨率的自动识别和支持功能，可根据不同分辨率自动调整显示效果，适应高清分辨率（1920*1080）和常用分辨率（1366*768）等多种不同分辨率。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5、支持远程定时更新，支持一键更新，减少管理成本。</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6、提供校园文化展示功能，可通过文字、图片、视频等多媒体方式，全访问展示校园风采；用户可根据需要展示相关信息；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7、可提供用于触屏应用的模块扩展功能，内置模块不少于5个。</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8、支持音量调节功能，无需返回操作系统，在平台客户端里面即可直接调整音量大小、设置静音等操作。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9、借阅机系统软件支持自动升级功能，设备联网后，可自动下载升级包，实现无人值守的自动升级功能。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10、支持浏览器模式打开任意网址功能，方便系统扩展应用；支持第三方应用程序的扩展，如：可直接调用已经安装好的.EXE应用程序。</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11、需提供多种显示模式，其中必须包括“护眼模式”，用户可自由选择是否开启。</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三、资源要求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1、系统内置不少于2000种正版授权的epub、pdf等格式电子图书且与原版图书保持原貌一致，如相关图片、目录等，每月定时更新不少于100种热门电子图书。支持新书、热门图书标记功能，供读者参考。</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图书模块资源针对小学不同年龄阶段的学生，以及学生、家长、老师三个角色身份，设定了不同的图书分类方式，能更精准的引导阅读，并且图书模块的数字图书提供二维码，便于教师扫码后可直接在线阅读原版文本全文，下载的图书可永久保存在移动终端。</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提供统编版教材要求常用汉字动画资源，数量不少与2000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5、提供不少于150集的原版国外引进的Discovery Education科普视频。</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6、提供听书资源，内置经典有声图书不少于50本，配套音频资源1000多个，满足学生多样化的阅读需求。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提供不少于120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小学生阅读。包括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8、提供不少于200种期刊资源，并实现期刊在线阅读，扫描二维码下载阅读等，提供教师、学生多种角色适用的期刊资源。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提供与小学相适应的国学经典文本诵读，精选图书10余种，包含600多个篇章，共1000多分钟，并与教材紧密结合。国学诵读经典文本包含有《三字经》《千字文》《百家姓》《声律启蒙》《笠翁对韵》《幼学琼林》《论语》《诗经》等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10、提供新教育专栏模块，其中包含新教育的专家、名师作品的展示，还囊括了新教育推荐给中小学学生阅读的图书等，含有近300本权威书目。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11、电子图书、古诗、汉字动画、Discovery Education科普视频绘本动画书等资源都内置设备中，支持设备断网使用。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12、需支持大数据展示，支持不同层级、不同类型数据的展示。通过对基础数据的横向对比和纵向分析，实现数据的高效管理和精准呈现，帮助学校管理者了解阅读行为轨迹，为阅读推广的决策提供可靠的参照。</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13、需具备智慧投屏功能，支持移动端与一体机的无线投屏，教师可轻松调取移动端的资源投射在一体机上，方便教师利用阅读机制造的共读场域进行发散性的阅读引导和教学。</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四、后台及配套终端服务要求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1、教师配套的移动客户端软件可提供适合智能终端阅读的EPUB、PDF等多种格式图书。所有图书支持在线全文阅读，也支持全文下载并保存在移动设备中，下载的资源可离线观看。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强大的后台管理系统能与所有借阅终端大屏机进行信息传递，后台可查看每台机器的每个月资源更新状态。后台可实现数据分析和统计，统计图书下载量和阅读量，分析平均每台机器的下载量和阅读量，图表查看数据变化。管理者可以查看学校下载量和阅读量排行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3、系统对联网的终端设备支持远程关机、重启、音量调节等操作，便于用户维护设备。</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4、后台支持模块扩展功能，可根据用户需要随时增加阅读终端上的模块；支持为用户个性化定制功能模块服务。</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5、教师配套的移动客户端提供流媒体阅读模式和本地文件阅读模式，提供夜间模式转换，文字大小调整等功能，并可图书阅读片段、章节通过主流的社交软件进行分享。</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6、教师移动客户端可扫描数字图书借阅机系统终端设备中图书借阅模块图书资源的二维码，能实现数字图书下载到移动客户端，并实现离线阅读功能。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教师移动客户端要求包含分类阅读、书单推荐、群文阅读、导读测评、专题阅读、英文阅读等栏目，为教师提供更丰富的阅读应用。可根据用户需求，添加相关模块满足不同需求，并提供不少于8000集的适合智能移动端使用的教育相关的学术视频资源。</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8、阅读机配备的移动客户端支持多种互动社交功能，如：小组、群聊、笔记、自建专题和课程、分享等功能，支持家校互动、师生互动、亲子互动、生生互动等功能。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墨水屏阅读器</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1、屏幕：10.3" E ink；屏体分辨率：1200*1600（200PPI）；</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材质：电子墨水屏，纯平盖板；屏幕强度：4H；屏幕颜色；黑，白，16度灰显示屏；多点触摸：支持2点触控；背光：冷暖双色温背光；触摸方式：电容触控。</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2、硬件配置参数：运行内存：2G；内置存储：64G；操作系统：Android 8.1；电池类型：4000mAh Polymer Li-on；网络：2.4G&amp;5G双频 WIFI  802.11. a/b/g/n；蓝牙：BT5.0</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数据传输：USB Type-C。</w:t>
            </w:r>
            <w:r>
              <w:rPr>
                <w:rFonts w:hint="eastAsia" w:ascii="宋体" w:hAnsi="宋体" w:cs="宋体"/>
                <w:color w:val="auto"/>
                <w:sz w:val="24"/>
                <w:highlight w:val="none"/>
                <w:lang w:bidi="ar"/>
              </w:rPr>
              <w:br w:type="textWrapping"/>
            </w:r>
            <w:r>
              <w:rPr>
                <w:rFonts w:hint="eastAsia" w:ascii="宋体" w:hAnsi="宋体" w:cs="宋体"/>
                <w:b/>
                <w:bCs/>
                <w:color w:val="auto"/>
                <w:sz w:val="24"/>
                <w:highlight w:val="none"/>
                <w:lang w:bidi="ar"/>
              </w:rPr>
              <w:t>资源要求</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1、可提供学生用户个人阅读能力雷达图、阅读图书数量、阅读图书类别、测评通过正确率等数据。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2、支持成人用户、学生用户账号切换，学生用户支持图书下载、图书阅读、图书测评、读后感写作、数据统计等功能；成人用户支持学习通账号关联、图书推送、图书下载、图书阅读、数据统计等功能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3、支持PDF, EPUB , TXT,  DOC, MOBI,等格式本地图书导入阅读；支持PNG, JPG ,BMP等格式图片导入显示；支持MP3等音频格式文件导入播放</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4、支持图书字体切换、文字批注、字典、复制粘贴、书签等阅读功能</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5、支持机构定制资源库配置</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6、提供不少于500套适合中小学学生的图书测评题库，根据图书内容进行测评，可在线答题，在线获得测评结果。</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7、支持在线阅读期刊，提供1000种中小学学生阅读、家长引导、教师教学相关中文期刊，支持在线阅读阅览，整本下载阅读，支持自适应排版，支持左右翻页、字体更换、间距调整阅读。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8、支持后台对图书进行分类定制，支持上传自有图书，支持创建分类并将上传的图书放入不同分类管理，并将图书发布到在线书城，供读者下载阅读。</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9、支持后台批量推送图书，将选定的图书或文件夹实时推送到阅读器上供读者阅读。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墨水屏支架</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适用6寸至10.3寸墨水屏阅读器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标准尺寸:160mm*160mm*280mm</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夹角可150度角度调节，设备夹可360度自由旋转"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5" w:type="pct"/>
            <w:noWrap/>
            <w:vAlign w:val="center"/>
          </w:tcPr>
          <w:p>
            <w:pPr>
              <w:widowControl/>
              <w:spacing w:line="360" w:lineRule="auto"/>
              <w:ind w:firstLine="198"/>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748" w:type="pct"/>
            <w:noWrap/>
            <w:vAlign w:val="center"/>
          </w:tcPr>
          <w:p>
            <w:pPr>
              <w:widowControl/>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墨水屏充电柜</w:t>
            </w:r>
          </w:p>
        </w:tc>
        <w:tc>
          <w:tcPr>
            <w:tcW w:w="3797" w:type="pct"/>
            <w:noWrap/>
            <w:vAlign w:val="center"/>
          </w:tcPr>
          <w:p>
            <w:pPr>
              <w:widowControl/>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 整机支持40台以上设备同时充电；</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 主体材质SPCC冷轧碳素钢与环保ABS工程塑料相结合;采用全封闭防盗结构、工艺上耐酸碱腐蚀、耐磨、防静电等。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 外型三方整体大圆弧过度，圆弧D80MM，外观颜色采用黑白相间的经典配置，美观大气，安全稳固。</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4. 采用分舱设计，前部为老师、学生使用区域，后部为设备调试维护区域。前后使用不同防盗锁（其中前门为双重防盗天地锁），注重前仓设备的安全保护。内部分舱，强弱电分离，学生无法接触强电部分。（前舱为设备放置充电区域，学生接触区域，无强电；后舱为电源管理控制区域，由专业管理人员控制）。</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5. 高品质超静音脚轮（四轮万向，两轮带刹车）和内嵌式左右人体工学把手。</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6. 柜体侧面带有隐藏式置物槽，可存放电源线，无线AP等。</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7. 独创专利智能互循环散热结构，辅以温控感应控制风扇强制散热。</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8. 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9. 供电安全方面采用独有的USB接口后置供电模式，5V/0.5-2A之间智能输出，电源管理芯片式集成电路设计，自动检测平板允许输入电流，优先供应低电位设备。根据电池电量自动以普通，快速，涓流三种模式供电，满电自动断电。USB接口出现故障和短路情况（比如USB线短路，平板的短路等情况）电源管理芯片具备智能化自适应、自检测、自恢复功能，保障设备的及时供电和用电安全。</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10. 外置LED数字指示灯对应柜内相应位置的设备，集中显示，实时反映每台平板充电状态，无需开门即可轻松观测设备状态。</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11. 配有一体化电源管理系统，集防漏电，防短路，防过载，多模式显示数码智能开关机功能为一体。可随心设置时间，节约能源，具有优先供电功能。使用（自动）时，系统默认为全天充电。</w:t>
            </w:r>
          </w:p>
        </w:tc>
      </w:tr>
    </w:tbl>
    <w:p>
      <w:pPr>
        <w:pStyle w:val="16"/>
        <w:rPr>
          <w:rFonts w:hint="eastAsia" w:ascii="宋体" w:hAnsi="宋体" w:cs="宋体"/>
          <w:color w:val="auto"/>
          <w:szCs w:val="24"/>
          <w:highlight w:val="none"/>
        </w:rPr>
      </w:pPr>
    </w:p>
    <w:p>
      <w:pPr>
        <w:pStyle w:val="16"/>
        <w:rPr>
          <w:rFonts w:hint="eastAsia" w:ascii="宋体" w:hAnsi="宋体" w:cs="宋体"/>
          <w:b/>
          <w:bCs/>
          <w:color w:val="auto"/>
          <w:szCs w:val="24"/>
          <w:highlight w:val="none"/>
        </w:rPr>
      </w:pPr>
    </w:p>
    <w:p>
      <w:pPr>
        <w:numPr>
          <w:ilvl w:val="0"/>
          <w:numId w:val="3"/>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其他要求</w:t>
      </w:r>
    </w:p>
    <w:tbl>
      <w:tblPr>
        <w:tblStyle w:val="26"/>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交货及安装调试时间</w:t>
            </w:r>
          </w:p>
        </w:tc>
        <w:tc>
          <w:tcPr>
            <w:tcW w:w="6971"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交货及安装调试时间：合同签订后30个工作日内完成设备交付与安装调试；2.交货地点：采购人指定地点。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rPr>
            </w:pPr>
            <w:r>
              <w:rPr>
                <w:rFonts w:hint="eastAsia" w:ascii="宋体" w:hAnsi="宋体" w:cs="宋体"/>
                <w:bCs/>
                <w:color w:val="auto"/>
                <w:sz w:val="24"/>
                <w:highlight w:val="none"/>
              </w:rPr>
              <w:t>1.合同签订并具备实施条件后七个工作日内，中标供应商开具发票，采购人向中标供应商支付合同金额</w:t>
            </w:r>
            <w:r>
              <w:rPr>
                <w:rFonts w:hint="eastAsia" w:ascii="宋体" w:hAnsi="宋体" w:cs="宋体"/>
                <w:bCs/>
                <w:color w:val="auto"/>
                <w:sz w:val="24"/>
                <w:highlight w:val="none"/>
                <w:lang w:val="en-US" w:eastAsia="zh-CN"/>
              </w:rPr>
              <w:t>50</w:t>
            </w:r>
            <w:r>
              <w:rPr>
                <w:rFonts w:hint="eastAsia" w:ascii="宋体" w:hAnsi="宋体" w:cs="宋体"/>
                <w:bCs/>
                <w:color w:val="auto"/>
                <w:sz w:val="24"/>
                <w:highlight w:val="none"/>
              </w:rPr>
              <w:t>%预付款；2.全部安装完毕、验收合格且收到发票后，支付至合同价的100%。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质保期</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b/>
                <w:bCs/>
                <w:color w:val="auto"/>
                <w:sz w:val="24"/>
                <w:highlight w:val="none"/>
              </w:rPr>
              <w:t>本项目原厂三年免费质保，自验收合格之日起开始计算保修期。签订合同时提供原厂质保函、产品合格证和出厂检测报告原件</w:t>
            </w:r>
            <w:r>
              <w:rPr>
                <w:rFonts w:hint="eastAsia" w:ascii="宋体" w:hAnsi="宋体" w:cs="宋体"/>
                <w:color w:val="auto"/>
                <w:sz w:val="24"/>
                <w:highlight w:val="none"/>
              </w:rPr>
              <w:t>。质保期内非人为因素出现的质量问题，须按国家有关规定和要求（如无国家规定和要求的，按承诺和厂方“三包”规定）立即进行免费维修、免费更换有缺陷的零部件、直至免费更换新产品。因产品本身问题在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售后（技术）服务要求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lang w:bidi="ar"/>
              </w:rPr>
            </w:pPr>
            <w:r>
              <w:rPr>
                <w:rFonts w:hint="eastAsia" w:ascii="宋体" w:hAnsi="宋体" w:cs="宋体"/>
                <w:color w:val="auto"/>
                <w:sz w:val="24"/>
                <w:highlight w:val="none"/>
              </w:rPr>
              <w:t>中标人有义务对产品的正常使用和维护提供必要的培训。培训的内容包括主要产品的安装、使用、配置管理、性能优化以及硬件基本维护知识。</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bidi="ar"/>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验收</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1.验收以采购文件和技术文件、投标文件、合同及安装技术要求为依据。</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2. 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10个工作日内组织验收。</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3.验收必须符合国家、地方有关规范、标准及设计要求。</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4. 符合验收条件的，由采购人组织有关部门按照国家、地方有关规范、标准及设计要求进行验收。验收后中标人应按照验收中提出的意见整改。</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5. 整改完毕且复验合格后将本项目货物交给采购人使用，完成日期以通过复验日期为准。</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7.设备安装调试完毕后须进行现场清理干净。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备品备件及耗材等要求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lang w:bidi="ar"/>
              </w:rPr>
              <w:t>其他</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投标人可根据以上所列</w:t>
            </w:r>
            <w:r>
              <w:rPr>
                <w:rFonts w:hint="eastAsia" w:ascii="宋体" w:hAnsi="宋体" w:cs="宋体"/>
                <w:color w:val="auto"/>
                <w:sz w:val="24"/>
                <w:highlight w:val="none"/>
              </w:rPr>
              <w:t>产品</w:t>
            </w:r>
            <w:r>
              <w:rPr>
                <w:rFonts w:hint="eastAsia" w:ascii="宋体" w:hAnsi="宋体" w:cs="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宋体"/>
                <w:bCs/>
                <w:color w:val="auto"/>
                <w:sz w:val="24"/>
                <w:highlight w:val="none"/>
              </w:rPr>
              <w:t>投标人提供的产品需标明所执行的质量标准，若同一标准已颁发新标准，则按最新标准执行。</w:t>
            </w:r>
          </w:p>
        </w:tc>
      </w:tr>
    </w:tbl>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3"/>
        <w:rPr>
          <w:rFonts w:hint="eastAsia" w:ascii="宋体" w:hAnsi="宋体" w:cs="宋体"/>
          <w:color w:val="auto"/>
          <w:sz w:val="24"/>
          <w:highlight w:val="none"/>
        </w:rPr>
      </w:pPr>
    </w:p>
    <w:p>
      <w:pPr>
        <w:pStyle w:val="2"/>
        <w:spacing w:line="240" w:lineRule="auto"/>
        <w:jc w:val="center"/>
        <w:rPr>
          <w:color w:val="auto"/>
          <w:highlight w:val="none"/>
        </w:rPr>
      </w:pPr>
      <w:r>
        <w:rPr>
          <w:color w:val="auto"/>
          <w:highlight w:val="none"/>
        </w:rPr>
        <w:t>第三章  投标人须知</w:t>
      </w:r>
    </w:p>
    <w:p>
      <w:pPr>
        <w:snapToGrid w:val="0"/>
        <w:spacing w:before="240" w:beforeLines="100"/>
        <w:jc w:val="center"/>
        <w:rPr>
          <w:rFonts w:hint="eastAsia" w:ascii="宋体" w:hAnsi="宋体"/>
          <w:b/>
          <w:color w:val="auto"/>
          <w:sz w:val="24"/>
          <w:highlight w:val="none"/>
        </w:rPr>
      </w:pPr>
      <w:r>
        <w:rPr>
          <w:rFonts w:ascii="宋体" w:hAnsi="宋体"/>
          <w:b/>
          <w:color w:val="auto"/>
          <w:sz w:val="24"/>
          <w:highlight w:val="none"/>
        </w:rPr>
        <w:t>前附表</w:t>
      </w:r>
    </w:p>
    <w:tbl>
      <w:tblPr>
        <w:tblStyle w:val="26"/>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b/>
                <w:bCs/>
                <w:color w:val="auto"/>
                <w:sz w:val="24"/>
                <w:highlight w:val="none"/>
              </w:rPr>
            </w:pPr>
            <w:r>
              <w:rPr>
                <w:rFonts w:ascii="宋体" w:hAnsi="宋体"/>
                <w:b/>
                <w:bCs/>
                <w:color w:val="auto"/>
                <w:sz w:val="24"/>
                <w:highlight w:val="none"/>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b/>
                <w:bCs/>
                <w:color w:val="auto"/>
                <w:sz w:val="24"/>
                <w:highlight w:val="none"/>
              </w:rPr>
            </w:pPr>
            <w:r>
              <w:rPr>
                <w:rFonts w:ascii="宋体" w:hAnsi="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项目名称：</w:t>
            </w:r>
            <w:r>
              <w:rPr>
                <w:rFonts w:hint="eastAsia" w:ascii="宋体" w:hAnsi="宋体"/>
                <w:color w:val="auto"/>
                <w:kern w:val="0"/>
                <w:sz w:val="24"/>
                <w:highlight w:val="none"/>
              </w:rPr>
              <w:t>上海世外教育附属平湖经开实验小学智阅空间设备采购项目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bCs/>
                <w:color w:val="auto"/>
                <w:sz w:val="24"/>
                <w:highlight w:val="none"/>
              </w:rPr>
              <w:t>采购内容</w:t>
            </w:r>
            <w:r>
              <w:rPr>
                <w:rFonts w:hint="eastAsia" w:ascii="宋体" w:hAnsi="宋体"/>
                <w:b/>
                <w:bCs/>
                <w:color w:val="auto"/>
                <w:sz w:val="24"/>
                <w:highlight w:val="none"/>
              </w:rPr>
              <w:t>：</w:t>
            </w:r>
            <w:r>
              <w:rPr>
                <w:rFonts w:hint="eastAsia" w:ascii="宋体" w:hAnsi="宋体"/>
                <w:color w:val="auto"/>
                <w:kern w:val="0"/>
                <w:sz w:val="24"/>
                <w:highlight w:val="none"/>
              </w:rPr>
              <w:t>智阅空间设备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hint="eastAsia" w:ascii="宋体" w:hAnsi="宋体"/>
                <w:b/>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投标保证金：</w:t>
            </w:r>
            <w:r>
              <w:rPr>
                <w:rFonts w:hint="eastAsia" w:ascii="宋体" w:hAnsi="宋体"/>
                <w:color w:val="auto"/>
                <w:sz w:val="24"/>
                <w:highlight w:val="none"/>
              </w:rPr>
              <w:t>0元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color w:val="auto"/>
                <w:highlight w:val="none"/>
              </w:rPr>
            </w:pPr>
            <w:r>
              <w:rPr>
                <w:rFonts w:hint="eastAsia" w:ascii="宋体" w:hAnsi="宋体"/>
                <w:b/>
                <w:color w:val="auto"/>
                <w:sz w:val="24"/>
                <w:highlight w:val="none"/>
              </w:rPr>
              <w:t>答疑与澄清：</w:t>
            </w:r>
            <w:r>
              <w:rPr>
                <w:rFonts w:hint="eastAsia" w:ascii="宋体" w:hAnsi="宋体"/>
                <w:color w:val="auto"/>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color w:val="auto"/>
                <w:sz w:val="24"/>
                <w:highlight w:val="none"/>
              </w:rPr>
              <w:t>(https://zfcg.czt.zj.gov.cn/)和平湖市公共资源交易中心网（</w:t>
            </w:r>
            <w:r>
              <w:rPr>
                <w:rFonts w:hint="eastAsia" w:ascii="宋体" w:hAnsi="宋体"/>
                <w:color w:val="auto"/>
                <w:sz w:val="24"/>
                <w:highlight w:val="none"/>
              </w:rPr>
              <w:t>http://jxszwsjb.jiaxing.gov.cn/col/col1229743843/index.html</w:t>
            </w:r>
            <w:r>
              <w:rPr>
                <w:rFonts w:hint="eastAsia" w:ascii="宋体" w:hAnsi="宋体" w:cs="宋体"/>
                <w:color w:val="auto"/>
                <w:sz w:val="24"/>
                <w:highlight w:val="none"/>
              </w:rPr>
              <w:t>）</w:t>
            </w:r>
            <w:r>
              <w:rPr>
                <w:rFonts w:hint="eastAsia" w:ascii="宋体" w:hAnsi="宋体"/>
                <w:color w:val="auto"/>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b/>
                <w:color w:val="auto"/>
                <w:sz w:val="24"/>
                <w:highlight w:val="none"/>
              </w:rPr>
            </w:pPr>
            <w:r>
              <w:rPr>
                <w:rFonts w:hint="eastAsia" w:ascii="宋体" w:hAnsi="宋体" w:cs="宋体"/>
                <w:b/>
                <w:bCs/>
                <w:color w:val="auto"/>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b/>
                <w:color w:val="auto"/>
                <w:sz w:val="24"/>
                <w:highlight w:val="none"/>
              </w:rPr>
            </w:pPr>
            <w:r>
              <w:rPr>
                <w:rFonts w:hint="eastAsia" w:ascii="宋体" w:hAnsi="宋体" w:cs="宋体"/>
                <w:b/>
                <w:bCs/>
                <w:color w:val="auto"/>
                <w:sz w:val="24"/>
                <w:highlight w:val="none"/>
              </w:rPr>
              <w:t>上传电子投标文件时间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2024年10月12日</w:t>
            </w:r>
            <w:r>
              <w:rPr>
                <w:rFonts w:hint="eastAsia" w:ascii="宋体" w:hAnsi="宋体" w:cs="宋体"/>
                <w:color w:val="auto"/>
                <w:sz w:val="24"/>
                <w:highlight w:val="none"/>
              </w:rPr>
              <w:t>9时00分前在“政采云”上自行加密上传电子投标文件，逾期上传或未按要求上传的投标文件将予以拒收。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cs="宋体"/>
                <w:b/>
                <w:bCs/>
                <w:color w:val="auto"/>
                <w:sz w:val="24"/>
                <w:highlight w:val="none"/>
              </w:rPr>
            </w:pPr>
            <w:r>
              <w:rPr>
                <w:rFonts w:hint="eastAsia" w:ascii="宋体" w:hAnsi="宋体"/>
                <w:b/>
                <w:color w:val="auto"/>
                <w:sz w:val="24"/>
                <w:highlight w:val="none"/>
              </w:rPr>
              <w:t>现场踏勘：</w:t>
            </w:r>
            <w:r>
              <w:rPr>
                <w:rFonts w:hint="eastAsia" w:ascii="宋体" w:hAnsi="宋体" w:cs="宋体"/>
                <w:color w:val="auto"/>
                <w:sz w:val="24"/>
                <w:highlight w:val="none"/>
              </w:rPr>
              <w:t>本项目由各供应商自行决定是否到现场踏勘（供应商自行承担现场踏勘所发生的费用以及责任和风险）。现场踏勘起止时间：采购公告发布后至开标前一天止。联系人：陈亮 ；联系电话：13757317798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评标办法及评分标准：</w:t>
            </w:r>
            <w:r>
              <w:rPr>
                <w:rFonts w:ascii="宋体" w:hAnsi="宋体"/>
                <w:color w:val="auto"/>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视频演示：本项目需进行视频演示（政采云平台在线发起，投标人无须到达现场）。</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演示时间：不超过20分钟（不包含评委提问时间）。</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演示内容：具体详见“第四章评标办法及评分标准”。</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演示次序：以政采云平台中“项目采购”应用模块获取采购文件时间顺序为准。</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详见附件《投标商政采云视频讲标操作手册》。</w:t>
            </w:r>
          </w:p>
          <w:p>
            <w:pPr>
              <w:snapToGrid w:val="0"/>
              <w:spacing w:line="360" w:lineRule="auto"/>
              <w:rPr>
                <w:rFonts w:hint="eastAsia" w:ascii="宋体" w:hAnsi="宋体"/>
                <w:b/>
                <w:color w:val="auto"/>
                <w:sz w:val="24"/>
                <w:highlight w:val="none"/>
              </w:rPr>
            </w:pPr>
            <w:r>
              <w:rPr>
                <w:rFonts w:hint="eastAsia" w:ascii="宋体" w:hAnsi="宋体"/>
                <w:color w:val="auto"/>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cs="宋体"/>
                <w:b/>
                <w:bCs/>
                <w:color w:val="auto"/>
                <w:sz w:val="24"/>
                <w:highlight w:val="none"/>
              </w:rPr>
              <w:t>评标结果公告：</w:t>
            </w:r>
            <w:r>
              <w:rPr>
                <w:rFonts w:hint="eastAsia" w:ascii="宋体" w:hAnsi="宋体" w:cs="宋体"/>
                <w:color w:val="auto"/>
                <w:sz w:val="24"/>
                <w:highlight w:val="none"/>
              </w:rPr>
              <w:t>评标结束后2个工作日内，评标结果公告于浙江省政府采购网(http://zfcg.czt.zj.gov.cn)和</w:t>
            </w:r>
            <w:r>
              <w:rPr>
                <w:rFonts w:hint="eastAsia" w:ascii="宋体" w:hAnsi="宋体"/>
                <w:color w:val="auto"/>
                <w:sz w:val="24"/>
                <w:highlight w:val="none"/>
              </w:rPr>
              <w:t>平湖市</w:t>
            </w:r>
            <w:r>
              <w:rPr>
                <w:rFonts w:ascii="宋体" w:hAnsi="宋体"/>
                <w:color w:val="auto"/>
                <w:sz w:val="24"/>
                <w:highlight w:val="none"/>
              </w:rPr>
              <w:t>公共资源交易中心网（</w:t>
            </w:r>
            <w:r>
              <w:rPr>
                <w:rFonts w:hint="eastAsia" w:ascii="宋体" w:hAnsi="宋体"/>
                <w:color w:val="auto"/>
                <w:sz w:val="24"/>
                <w:highlight w:val="none"/>
              </w:rPr>
              <w:t>http://jxszwsjb.jiaxing.gov.cn/col/col1229743843/index.html</w:t>
            </w:r>
            <w:r>
              <w:rPr>
                <w:rFonts w:ascii="宋体" w:hAnsi="宋体"/>
                <w:color w:val="auto"/>
                <w:sz w:val="24"/>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s="宋体"/>
                <w:color w:val="auto"/>
                <w:sz w:val="24"/>
                <w:highlight w:val="none"/>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hint="eastAsia" w:ascii="宋体" w:hAnsi="宋体" w:cs="宋体"/>
                <w:b/>
                <w:bCs/>
                <w:color w:val="auto"/>
                <w:sz w:val="24"/>
                <w:highlight w:val="none"/>
              </w:rPr>
              <w:t>中标公告及中标通知书：</w:t>
            </w:r>
            <w:r>
              <w:rPr>
                <w:rFonts w:hint="eastAsia" w:ascii="宋体" w:hAnsi="宋体" w:cs="宋体"/>
                <w:color w:val="auto"/>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left"/>
              <w:textAlignment w:val="bottom"/>
              <w:rPr>
                <w:rFonts w:hint="eastAsia" w:ascii="宋体" w:hAnsi="宋体" w:cs="宋体"/>
                <w:color w:val="auto"/>
                <w:sz w:val="24"/>
                <w:highlight w:val="none"/>
              </w:rPr>
            </w:pPr>
            <w:r>
              <w:rPr>
                <w:rFonts w:hint="eastAsia" w:ascii="宋体" w:hAnsi="宋体"/>
                <w:b/>
                <w:color w:val="auto"/>
                <w:sz w:val="24"/>
                <w:highlight w:val="none"/>
              </w:rPr>
              <w:t>信用记录：</w:t>
            </w:r>
            <w:r>
              <w:rPr>
                <w:rFonts w:hint="eastAsia" w:ascii="宋体" w:hAnsi="宋体"/>
                <w:color w:val="auto"/>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政府采购节能环保产品：</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中小企业划分标准所属行业（具体根据《中小企业划型标准规定》执行）：</w:t>
            </w:r>
          </w:p>
          <w:p>
            <w:pPr>
              <w:snapToGrid w:val="0"/>
              <w:spacing w:line="360" w:lineRule="auto"/>
              <w:rPr>
                <w:color w:val="auto"/>
                <w:highlight w:val="none"/>
              </w:rPr>
            </w:pPr>
            <w:r>
              <w:rPr>
                <w:rFonts w:hint="eastAsia" w:ascii="宋体" w:hAnsi="宋体"/>
                <w:color w:val="auto"/>
                <w:sz w:val="24"/>
                <w:highlight w:val="none"/>
              </w:rPr>
              <w:t>采购标的：触控一体机等设备；所属行业：工业。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中小企业预留份额情况：</w:t>
            </w:r>
            <w:r>
              <w:rPr>
                <w:rFonts w:hint="eastAsia" w:ascii="宋体" w:hAnsi="宋体"/>
                <w:color w:val="auto"/>
                <w:sz w:val="24"/>
                <w:highlight w:val="none"/>
              </w:rPr>
              <w:t>根据《政府采购促进中小企业发展管理办法》财库〔2020〕46号文件的规定，本项目</w:t>
            </w:r>
            <w:r>
              <w:rPr>
                <w:rFonts w:hint="eastAsia" w:ascii="宋体" w:hAnsi="宋体"/>
                <w:color w:val="auto"/>
                <w:sz w:val="24"/>
                <w:highlight w:val="none"/>
                <w:u w:val="single"/>
              </w:rPr>
              <w:t xml:space="preserve"> 是 </w:t>
            </w:r>
            <w:r>
              <w:rPr>
                <w:rFonts w:hint="eastAsia" w:ascii="宋体" w:hAnsi="宋体"/>
                <w:color w:val="auto"/>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小微企业有关政策：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hint="eastAsia" w:ascii="宋体" w:hAnsi="宋体"/>
                <w:b/>
                <w:color w:val="auto"/>
                <w:sz w:val="24"/>
                <w:highlight w:val="none"/>
              </w:rPr>
            </w:pPr>
            <w:r>
              <w:rPr>
                <w:rFonts w:hint="eastAsia" w:ascii="宋体" w:hAnsi="宋体" w:cs="宋体"/>
                <w:color w:val="auto"/>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color w:val="auto"/>
                <w:sz w:val="24"/>
                <w:highlight w:val="none"/>
              </w:rPr>
            </w:pPr>
            <w:r>
              <w:rPr>
                <w:rFonts w:hint="eastAsia" w:ascii="宋体" w:hAnsi="宋体" w:cs="宋体"/>
                <w:b/>
                <w:bCs/>
                <w:color w:val="auto"/>
                <w:sz w:val="24"/>
                <w:highlight w:val="none"/>
              </w:rPr>
              <w:t>首台套政策：</w:t>
            </w:r>
            <w:r>
              <w:rPr>
                <w:rFonts w:hint="eastAsia" w:ascii="宋体" w:hAnsi="宋体" w:cs="宋体"/>
                <w:color w:val="auto"/>
                <w:sz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b/>
                <w:bCs/>
                <w:color w:val="auto"/>
                <w:sz w:val="24"/>
                <w:highlight w:val="none"/>
              </w:rPr>
            </w:pPr>
            <w:r>
              <w:rPr>
                <w:rFonts w:ascii="宋体" w:hAnsi="宋体"/>
                <w:b/>
                <w:color w:val="auto"/>
                <w:sz w:val="24"/>
                <w:highlight w:val="none"/>
              </w:rPr>
              <w:t>签订合同时间：</w:t>
            </w:r>
            <w:r>
              <w:rPr>
                <w:rFonts w:hint="eastAsia" w:ascii="宋体" w:hAnsi="宋体" w:cs="宋体"/>
                <w:color w:val="auto"/>
                <w:sz w:val="24"/>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color w:val="auto"/>
                <w:highlight w:val="none"/>
              </w:rPr>
            </w:pPr>
            <w:r>
              <w:rPr>
                <w:rFonts w:hint="eastAsia" w:ascii="宋体" w:hAnsi="宋体" w:cs="宋体"/>
                <w:b/>
                <w:bCs/>
                <w:color w:val="auto"/>
                <w:sz w:val="24"/>
                <w:highlight w:val="none"/>
              </w:rPr>
              <w:t>合同公告：</w:t>
            </w:r>
            <w:r>
              <w:rPr>
                <w:rFonts w:hint="eastAsia" w:ascii="宋体" w:hAnsi="宋体" w:cs="宋体"/>
                <w:color w:val="auto"/>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outlineLvl w:val="0"/>
              <w:rPr>
                <w:rFonts w:hint="eastAsia" w:ascii="宋体" w:hAnsi="宋体" w:cs="宋体"/>
                <w:bCs/>
                <w:color w:val="auto"/>
                <w:sz w:val="24"/>
                <w:highlight w:val="none"/>
              </w:rPr>
            </w:pPr>
            <w:r>
              <w:rPr>
                <w:rFonts w:hint="eastAsia" w:ascii="宋体" w:hAnsi="宋体" w:cs="宋体"/>
                <w:b/>
                <w:bCs/>
                <w:color w:val="auto"/>
                <w:sz w:val="24"/>
                <w:highlight w:val="none"/>
              </w:rPr>
              <w:t>付款方式：</w:t>
            </w:r>
            <w:r>
              <w:rPr>
                <w:rFonts w:hint="eastAsia" w:ascii="宋体" w:hAnsi="宋体" w:cs="宋体"/>
                <w:bCs/>
                <w:color w:val="auto"/>
                <w:sz w:val="24"/>
                <w:highlight w:val="none"/>
              </w:rPr>
              <w:t>1.合同签订并具备实施条件后七个工作日内，中标供应商开具发票，采购人向中标供应商支付合同金额50%预付款；2.全部安装完毕、验收合格且收到发票后，支付至合同价的100%。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b/>
                <w:color w:val="auto"/>
                <w:sz w:val="24"/>
                <w:highlight w:val="none"/>
              </w:rPr>
            </w:pPr>
            <w:r>
              <w:rPr>
                <w:rFonts w:hint="eastAsia" w:ascii="宋体" w:hAnsi="宋体"/>
                <w:b/>
                <w:color w:val="auto"/>
                <w:sz w:val="24"/>
                <w:highlight w:val="none"/>
              </w:rPr>
              <w:t>供货及安装时间：</w:t>
            </w:r>
            <w:r>
              <w:rPr>
                <w:rFonts w:hint="eastAsia" w:ascii="宋体" w:hAnsi="宋体" w:cs="宋体"/>
                <w:color w:val="auto"/>
                <w:sz w:val="24"/>
                <w:highlight w:val="none"/>
              </w:rPr>
              <w:t>1.交货及安装调试时间：合同签订后30个工作日内完成设备交付与安装调试；2.交货地点：采购人指定地点。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color w:val="auto"/>
                <w:sz w:val="24"/>
                <w:highlight w:val="none"/>
              </w:rPr>
            </w:pPr>
            <w:r>
              <w:rPr>
                <w:rFonts w:ascii="宋体" w:hAnsi="宋体"/>
                <w:b/>
                <w:color w:val="auto"/>
                <w:sz w:val="24"/>
                <w:highlight w:val="none"/>
              </w:rPr>
              <w:t>投标文件有效期：</w:t>
            </w:r>
            <w:r>
              <w:rPr>
                <w:rFonts w:hint="eastAsia" w:ascii="宋体" w:hAnsi="宋体"/>
                <w:color w:val="auto"/>
                <w:sz w:val="24"/>
                <w:highlight w:val="none"/>
                <w:u w:val="single"/>
              </w:rPr>
              <w:t xml:space="preserve"> 90 </w:t>
            </w:r>
            <w:r>
              <w:rPr>
                <w:rFonts w:ascii="宋体" w:hAnsi="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hint="eastAsia" w:ascii="宋体" w:hAnsi="宋体"/>
                <w:b/>
                <w:bCs/>
                <w:color w:val="auto"/>
                <w:kern w:val="0"/>
                <w:sz w:val="24"/>
                <w:highlight w:val="none"/>
              </w:rPr>
              <w:t>履约保证金：</w:t>
            </w:r>
            <w:r>
              <w:rPr>
                <w:rFonts w:hint="eastAsia" w:ascii="宋体" w:hAnsi="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color w:val="auto"/>
                <w:sz w:val="24"/>
                <w:highlight w:val="none"/>
              </w:rPr>
            </w:pPr>
            <w:r>
              <w:rPr>
                <w:rFonts w:ascii="宋体" w:hAnsi="宋体"/>
                <w:b/>
                <w:color w:val="auto"/>
                <w:sz w:val="24"/>
                <w:highlight w:val="none"/>
              </w:rPr>
              <w:t>解释：</w:t>
            </w:r>
            <w:r>
              <w:rPr>
                <w:rFonts w:ascii="宋体" w:hAnsi="宋体"/>
                <w:color w:val="auto"/>
                <w:sz w:val="24"/>
                <w:highlight w:val="none"/>
              </w:rPr>
              <w:t>本招标文件的解释权属于</w:t>
            </w:r>
            <w:r>
              <w:rPr>
                <w:rFonts w:hint="eastAsia" w:ascii="宋体" w:hAnsi="宋体"/>
                <w:color w:val="auto"/>
                <w:sz w:val="24"/>
                <w:highlight w:val="none"/>
              </w:rPr>
              <w:t>采购人和平湖市公共资源交易中心</w:t>
            </w:r>
            <w:r>
              <w:rPr>
                <w:rFonts w:ascii="宋体" w:hAnsi="宋体"/>
                <w:color w:val="auto"/>
                <w:sz w:val="24"/>
                <w:highlight w:val="none"/>
              </w:rPr>
              <w:t>。</w:t>
            </w:r>
          </w:p>
        </w:tc>
      </w:tr>
    </w:tbl>
    <w:p>
      <w:pPr>
        <w:pStyle w:val="17"/>
        <w:snapToGrid w:val="0"/>
        <w:spacing w:beforeLines="0" w:afterLines="0" w:line="360" w:lineRule="auto"/>
        <w:ind w:left="802" w:leftChars="267" w:hanging="241" w:hangingChars="100"/>
        <w:outlineLvl w:val="1"/>
        <w:rPr>
          <w:rFonts w:hint="eastAsia" w:hAnsi="宋体"/>
          <w:b/>
          <w:color w:val="auto"/>
          <w:highlight w:val="none"/>
        </w:rPr>
      </w:pPr>
    </w:p>
    <w:p>
      <w:pPr>
        <w:pStyle w:val="17"/>
        <w:snapToGrid w:val="0"/>
        <w:spacing w:beforeLines="0" w:afterLines="0" w:line="360" w:lineRule="auto"/>
        <w:ind w:left="802" w:leftChars="267" w:hanging="241" w:hangingChars="100"/>
        <w:outlineLvl w:val="1"/>
        <w:rPr>
          <w:rFonts w:hint="eastAsia" w:hAnsi="宋体"/>
          <w:b/>
          <w:color w:val="auto"/>
          <w:highlight w:val="none"/>
        </w:rPr>
      </w:pPr>
      <w:r>
        <w:rPr>
          <w:rFonts w:hAnsi="宋体"/>
          <w:b/>
          <w:color w:val="auto"/>
          <w:highlight w:val="none"/>
        </w:rPr>
        <w:t>一</w:t>
      </w:r>
      <w:r>
        <w:rPr>
          <w:rFonts w:hint="eastAsia" w:hAnsi="宋体"/>
          <w:b/>
          <w:color w:val="auto"/>
          <w:highlight w:val="none"/>
        </w:rPr>
        <w:t>、</w:t>
      </w:r>
      <w:r>
        <w:rPr>
          <w:rFonts w:hAnsi="宋体"/>
          <w:b/>
          <w:color w:val="auto"/>
          <w:highlight w:val="none"/>
        </w:rPr>
        <w:t>总  则</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（一） 适用范围</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本招标文件适用于本次所述项目的招标、评标、定标、验收、合同履约、付款等</w:t>
      </w:r>
      <w:r>
        <w:rPr>
          <w:rFonts w:ascii="宋体" w:hAnsi="宋体"/>
          <w:color w:val="auto"/>
          <w:sz w:val="24"/>
          <w:highlight w:val="none"/>
        </w:rPr>
        <w:t>（法律、法规另有规定的，从其规定）。</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（二）定义</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“招标采购人”系指组织本次招标的平湖市公共资源交易中心（“招标人”）和采购人。</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2.“投标人”系指向招标</w:t>
      </w:r>
      <w:r>
        <w:rPr>
          <w:rFonts w:hint="eastAsia" w:ascii="宋体" w:hAnsi="宋体"/>
          <w:color w:val="auto"/>
          <w:sz w:val="24"/>
          <w:highlight w:val="none"/>
        </w:rPr>
        <w:t>人</w:t>
      </w:r>
      <w:r>
        <w:rPr>
          <w:rFonts w:ascii="宋体" w:hAnsi="宋体"/>
          <w:color w:val="auto"/>
          <w:sz w:val="24"/>
          <w:highlight w:val="none"/>
        </w:rPr>
        <w:t>提交投标文件的单位或个人。</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3.“产品”</w:t>
      </w:r>
      <w:r>
        <w:rPr>
          <w:rFonts w:hint="eastAsia" w:ascii="宋体" w:hAnsi="宋体"/>
          <w:color w:val="auto"/>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5.“项目”系指投标人按招标文件规定向采购人提供的产品和服务。</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6.“书面形式”包括信函、传真、电报等。</w:t>
      </w:r>
    </w:p>
    <w:p>
      <w:pPr>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r>
        <w:rPr>
          <w:rFonts w:hint="eastAsia" w:ascii="宋体" w:hAnsi="宋体"/>
          <w:color w:val="auto"/>
          <w:sz w:val="24"/>
          <w:highlight w:val="none"/>
        </w:rPr>
        <w:t xml:space="preserve">不满足实质性要求条款的投标文件无效。 </w:t>
      </w:r>
    </w:p>
    <w:p>
      <w:pPr>
        <w:snapToGrid w:val="0"/>
        <w:spacing w:line="52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“★”系指核心产品。</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（三）招标方式</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本次招标采用公开招标方式进行。</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（四）投标委托</w:t>
      </w:r>
    </w:p>
    <w:p>
      <w:pPr>
        <w:pStyle w:val="14"/>
        <w:snapToGrid w:val="0"/>
        <w:spacing w:line="520" w:lineRule="exact"/>
        <w:ind w:firstLine="464" w:firstLineChars="200"/>
        <w:rPr>
          <w:rFonts w:hint="eastAsia" w:hAnsi="宋体"/>
          <w:color w:val="auto"/>
          <w:sz w:val="24"/>
          <w:highlight w:val="none"/>
        </w:rPr>
      </w:pPr>
      <w:r>
        <w:rPr>
          <w:rFonts w:hAnsi="宋体"/>
          <w:color w:val="auto"/>
          <w:sz w:val="24"/>
          <w:highlight w:val="none"/>
        </w:rPr>
        <w:t>如投标人代表不是法定代表人，须有法定代表人出具的授权委托书（格式见第</w:t>
      </w:r>
      <w:r>
        <w:rPr>
          <w:rFonts w:hint="eastAsia" w:hAnsi="宋体"/>
          <w:color w:val="auto"/>
          <w:sz w:val="24"/>
          <w:highlight w:val="none"/>
        </w:rPr>
        <w:t>六章</w:t>
      </w:r>
      <w:r>
        <w:rPr>
          <w:rFonts w:hAnsi="宋体"/>
          <w:color w:val="auto"/>
          <w:sz w:val="24"/>
          <w:highlight w:val="none"/>
        </w:rPr>
        <w:t>）。</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（五）投标费用</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不论投标结果如何，投标人均应自行承担所有与投标有关的全部费用（招标文件有相</w:t>
      </w:r>
      <w:r>
        <w:rPr>
          <w:rFonts w:hint="eastAsia" w:ascii="宋体" w:hAnsi="宋体"/>
          <w:color w:val="auto"/>
          <w:sz w:val="24"/>
          <w:highlight w:val="none"/>
        </w:rPr>
        <w:t>关</w:t>
      </w:r>
      <w:r>
        <w:rPr>
          <w:rFonts w:ascii="宋体" w:hAnsi="宋体"/>
          <w:color w:val="auto"/>
          <w:sz w:val="24"/>
          <w:highlight w:val="none"/>
        </w:rPr>
        <w:t>规定除外）。</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（六）联合体投标</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不接受</w:t>
      </w:r>
      <w:r>
        <w:rPr>
          <w:rFonts w:ascii="宋体" w:hAnsi="宋体"/>
          <w:color w:val="auto"/>
          <w:sz w:val="24"/>
          <w:highlight w:val="none"/>
        </w:rPr>
        <w:t>联合体投标。</w:t>
      </w:r>
    </w:p>
    <w:p>
      <w:pPr>
        <w:snapToGrid w:val="0"/>
        <w:spacing w:line="520" w:lineRule="exact"/>
        <w:ind w:firstLine="482" w:firstLineChars="200"/>
        <w:rPr>
          <w:rFonts w:hint="eastAsia" w:ascii="宋体" w:hAnsi="宋体"/>
          <w:b/>
          <w:color w:val="auto"/>
          <w:kern w:val="0"/>
          <w:sz w:val="24"/>
          <w:highlight w:val="none"/>
        </w:rPr>
      </w:pPr>
      <w:r>
        <w:rPr>
          <w:rFonts w:ascii="宋体" w:hAnsi="宋体"/>
          <w:b/>
          <w:color w:val="auto"/>
          <w:sz w:val="24"/>
          <w:highlight w:val="none"/>
        </w:rPr>
        <w:t>（七）</w:t>
      </w:r>
      <w:r>
        <w:rPr>
          <w:rFonts w:ascii="宋体" w:hAnsi="宋体"/>
          <w:b/>
          <w:color w:val="auto"/>
          <w:kern w:val="0"/>
          <w:sz w:val="24"/>
          <w:highlight w:val="none"/>
        </w:rPr>
        <w:t>转包与分包</w:t>
      </w:r>
    </w:p>
    <w:p>
      <w:pPr>
        <w:snapToGrid w:val="0"/>
        <w:spacing w:line="52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snapToGrid w:val="0"/>
        <w:spacing w:line="52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s="宋体"/>
          <w:color w:val="auto"/>
          <w:kern w:val="0"/>
          <w:sz w:val="24"/>
          <w:highlight w:val="none"/>
        </w:rPr>
        <w:t>。</w:t>
      </w:r>
    </w:p>
    <w:p>
      <w:pPr>
        <w:snapToGrid w:val="0"/>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（八）是否允许采购进口产品</w:t>
      </w:r>
    </w:p>
    <w:p>
      <w:pPr>
        <w:snapToGrid w:val="0"/>
        <w:spacing w:line="520" w:lineRule="exact"/>
        <w:ind w:firstLine="480" w:firstLineChars="200"/>
        <w:rPr>
          <w:rFonts w:hint="eastAsia" w:ascii="宋体" w:hAnsi="宋体"/>
          <w:color w:val="auto"/>
          <w:sz w:val="24"/>
          <w:highlight w:val="none"/>
        </w:rPr>
      </w:pPr>
      <w:r>
        <w:rPr>
          <w:rFonts w:ascii="宋体" w:hAnsi="宋体" w:cs="宋体"/>
          <w:color w:val="auto"/>
          <w:kern w:val="0"/>
          <w:sz w:val="24"/>
          <w:highlight w:val="none"/>
        </w:rPr>
        <w:t>本项目不允</w:t>
      </w:r>
      <w:r>
        <w:rPr>
          <w:rFonts w:hint="eastAsia" w:ascii="宋体" w:hAnsi="宋体" w:cs="宋体"/>
          <w:color w:val="auto"/>
          <w:kern w:val="0"/>
          <w:sz w:val="24"/>
          <w:highlight w:val="none"/>
        </w:rPr>
        <w:t>许采购进口产品</w:t>
      </w:r>
      <w:r>
        <w:rPr>
          <w:rFonts w:ascii="宋体" w:hAnsi="宋体" w:cs="宋体"/>
          <w:color w:val="auto"/>
          <w:kern w:val="0"/>
          <w:sz w:val="24"/>
          <w:highlight w:val="none"/>
        </w:rPr>
        <w:t>。</w:t>
      </w:r>
    </w:p>
    <w:p>
      <w:pPr>
        <w:numPr>
          <w:ilvl w:val="0"/>
          <w:numId w:val="5"/>
        </w:num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特别说明：</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1.除采购文件明确的品牌外，欢迎其他能满足本项目技术需求且性能与所明确品牌相当的产品参加。</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2.需求中不允许偏离的实质性要求和条件，以“▲”号标明，如投标人未响应的，将被视为无效。</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6.供应商承诺提供赠品、回扣、采购预算中本身不包含的其他商品或服务，视作无效承诺。</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7.投标人投标所使用的资格、信誉、荣誉、业绩与企业认证必须为本法人所拥有。投标人投标所使用的采购项目实施人员必须为本法人员工（或必须为本法人或控股公司正式员工）。</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8.投标人应仔细阅读招标文件的所有内容，按照招标文件的要求提交投标文件，并对所提供的全部资料的真实性承担法律责任。</w:t>
      </w:r>
    </w:p>
    <w:p>
      <w:pPr>
        <w:pStyle w:val="17"/>
        <w:snapToGrid w:val="0"/>
        <w:spacing w:beforeLines="0" w:afterLines="0" w:line="520" w:lineRule="exact"/>
        <w:ind w:firstLine="480" w:firstLineChars="200"/>
        <w:rPr>
          <w:rFonts w:hint="eastAsia" w:hAnsi="宋体"/>
          <w:b/>
          <w:color w:val="auto"/>
          <w:highlight w:val="none"/>
        </w:rPr>
      </w:pPr>
      <w:r>
        <w:rPr>
          <w:rFonts w:hint="eastAsia" w:hAnsi="宋体"/>
          <w:color w:val="auto"/>
          <w:highlight w:val="none"/>
        </w:rPr>
        <w:t>9</w:t>
      </w:r>
      <w:r>
        <w:rPr>
          <w:rFonts w:hAnsi="宋体"/>
          <w:color w:val="auto"/>
          <w:highlight w:val="none"/>
        </w:rPr>
        <w:t>.投标人在投标活动中提供任何虚假材料，其投标无效，并报监管部门查处；中标后发现的，</w:t>
      </w:r>
      <w:r>
        <w:rPr>
          <w:rFonts w:hint="eastAsia" w:hAnsi="宋体"/>
          <w:color w:val="auto"/>
          <w:highlight w:val="none"/>
        </w:rPr>
        <w:t>中标人须</w:t>
      </w:r>
      <w:r>
        <w:rPr>
          <w:rFonts w:hAnsi="宋体"/>
          <w:color w:val="auto"/>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十</w:t>
      </w:r>
      <w:r>
        <w:rPr>
          <w:rFonts w:ascii="宋体" w:hAnsi="宋体"/>
          <w:b/>
          <w:color w:val="auto"/>
          <w:sz w:val="24"/>
          <w:highlight w:val="none"/>
        </w:rPr>
        <w:t>）质疑和投诉</w:t>
      </w:r>
    </w:p>
    <w:p>
      <w:pPr>
        <w:pStyle w:val="36"/>
        <w:adjustRightInd w:val="0"/>
        <w:snapToGrid w:val="0"/>
        <w:spacing w:before="0" w:line="520" w:lineRule="exact"/>
        <w:ind w:firstLine="48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6"/>
        <w:spacing w:before="0" w:line="520" w:lineRule="exact"/>
        <w:ind w:firstLine="48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供应商询问</w:t>
      </w:r>
    </w:p>
    <w:p>
      <w:pPr>
        <w:pStyle w:val="36"/>
        <w:adjustRightInd w:val="0"/>
        <w:snapToGrid w:val="0"/>
        <w:spacing w:before="0" w:line="520" w:lineRule="exact"/>
        <w:ind w:firstLine="480"/>
        <w:rPr>
          <w:rFonts w:hint="eastAsia" w:ascii="宋体" w:hAnsi="宋体"/>
          <w:color w:val="auto"/>
          <w:highlight w:val="none"/>
        </w:rPr>
      </w:pPr>
      <w:r>
        <w:rPr>
          <w:rFonts w:hint="eastAsia" w:ascii="宋体" w:hAnsi="宋体"/>
          <w:color w:val="auto"/>
          <w:highlight w:val="none"/>
        </w:rPr>
        <w:t>供应商对政府采购活动事项有疑问的，可以向</w:t>
      </w:r>
      <w:r>
        <w:rPr>
          <w:rFonts w:ascii="宋体" w:hAnsi="宋体"/>
          <w:color w:val="auto"/>
          <w:highlight w:val="none"/>
        </w:rPr>
        <w:t>招标采购单位</w:t>
      </w:r>
      <w:r>
        <w:rPr>
          <w:rFonts w:hint="eastAsia" w:ascii="宋体" w:hAnsi="宋体"/>
          <w:color w:val="auto"/>
          <w:highlight w:val="none"/>
        </w:rPr>
        <w:t>提出询问，</w:t>
      </w:r>
      <w:r>
        <w:rPr>
          <w:rFonts w:ascii="宋体" w:hAnsi="宋体"/>
          <w:color w:val="auto"/>
          <w:highlight w:val="none"/>
        </w:rPr>
        <w:t>招标采购单位</w:t>
      </w:r>
      <w:r>
        <w:rPr>
          <w:rFonts w:hint="eastAsia" w:ascii="宋体" w:hAnsi="宋体"/>
          <w:color w:val="auto"/>
          <w:highlight w:val="none"/>
        </w:rPr>
        <w:t>应当及时做出答复，但答复的内容不得涉及商业秘密。</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2.供应商质疑</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2.2质疑应当以书面形式提出，格式见《政府采购质疑和投诉办法》（财政部令第94号）附件范本，下载网址：浙江政府采购网(</w:t>
      </w:r>
      <w:r>
        <w:rPr>
          <w:rFonts w:hint="eastAsia" w:hAnsi="宋体" w:cs="宋体"/>
          <w:bCs/>
          <w:color w:val="auto"/>
          <w:highlight w:val="none"/>
        </w:rPr>
        <w:t>网https://login.zcygov.cn/login</w:t>
      </w:r>
      <w:r>
        <w:rPr>
          <w:rFonts w:hint="eastAsia" w:hAnsi="宋体"/>
          <w:color w:val="auto"/>
          <w:highlight w:val="none"/>
        </w:rPr>
        <w:t>)，位置：“首页-下载专区-质疑投诉模板”。供应商提出质疑应当提交质疑函和必要的证明材料。供应商应当在法定质疑期内一次性提出针对同一采购程序环节的质疑。</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质疑函应当包括下列内容：</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a供应商的姓名或者名称、地址、邮编、联系人及联系电话；</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b质疑项目的名称、编号；</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c具体、明确的质疑事项和与质疑事项相关的请求；</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d事实依据；</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e必要的法律依据；</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f提出质疑的日期。</w:t>
      </w:r>
    </w:p>
    <w:p>
      <w:pPr>
        <w:pStyle w:val="36"/>
        <w:spacing w:before="0" w:line="520" w:lineRule="exact"/>
        <w:ind w:firstLine="480"/>
        <w:rPr>
          <w:rFonts w:hint="eastAsia" w:ascii="宋体" w:hAnsi="宋体"/>
          <w:color w:val="auto"/>
          <w:highlight w:val="none"/>
        </w:rPr>
      </w:pPr>
      <w:r>
        <w:rPr>
          <w:rFonts w:hint="eastAsia" w:ascii="宋体"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3.供应商投诉</w:t>
      </w:r>
    </w:p>
    <w:p>
      <w:pPr>
        <w:adjustRightInd w:val="0"/>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供应商对招标采购单位的质疑答复不满意或者招标采购单位未在规定时间内</w:t>
      </w:r>
      <w:r>
        <w:rPr>
          <w:rFonts w:hint="eastAsia" w:ascii="宋体" w:hAnsi="宋体"/>
          <w:color w:val="auto"/>
          <w:sz w:val="24"/>
          <w:highlight w:val="none"/>
        </w:rPr>
        <w:t>做出</w:t>
      </w:r>
      <w:r>
        <w:rPr>
          <w:rFonts w:ascii="宋体" w:hAnsi="宋体"/>
          <w:color w:val="auto"/>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4.供应商质疑、投诉应当有明确的请求和必要的证明材料。供应商投诉的事项不得超出已质疑事项的范围。</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质疑受理地点：</w:t>
      </w:r>
      <w:r>
        <w:rPr>
          <w:rFonts w:hint="eastAsia" w:ascii="宋体" w:hAnsi="宋体"/>
          <w:color w:val="auto"/>
          <w:sz w:val="24"/>
          <w:highlight w:val="none"/>
        </w:rPr>
        <w:t>平湖市</w:t>
      </w:r>
      <w:r>
        <w:rPr>
          <w:rFonts w:ascii="宋体" w:hAnsi="宋体"/>
          <w:color w:val="auto"/>
          <w:sz w:val="24"/>
          <w:highlight w:val="none"/>
        </w:rPr>
        <w:t>公共资源交易中心；联系人：</w:t>
      </w:r>
      <w:r>
        <w:rPr>
          <w:rFonts w:hint="eastAsia" w:ascii="宋体" w:hAnsi="宋体"/>
          <w:color w:val="auto"/>
          <w:sz w:val="24"/>
          <w:highlight w:val="none"/>
          <w:u w:val="single"/>
        </w:rPr>
        <w:t>于金成</w:t>
      </w:r>
      <w:r>
        <w:rPr>
          <w:rFonts w:ascii="宋体" w:hAnsi="宋体"/>
          <w:color w:val="auto"/>
          <w:sz w:val="24"/>
          <w:highlight w:val="none"/>
        </w:rPr>
        <w:t>；联系电话：</w:t>
      </w:r>
      <w:r>
        <w:rPr>
          <w:rFonts w:hint="eastAsia" w:ascii="宋体" w:hAnsi="宋体"/>
          <w:color w:val="auto"/>
          <w:sz w:val="24"/>
          <w:highlight w:val="none"/>
          <w:u w:val="single"/>
        </w:rPr>
        <w:t>0573-85631720</w:t>
      </w:r>
      <w:r>
        <w:rPr>
          <w:rFonts w:ascii="宋体" w:hAnsi="宋体"/>
          <w:color w:val="auto"/>
          <w:sz w:val="24"/>
          <w:highlight w:val="none"/>
        </w:rPr>
        <w:t>。</w:t>
      </w:r>
    </w:p>
    <w:p>
      <w:pPr>
        <w:adjustRightInd w:val="0"/>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投诉受理地点：</w:t>
      </w:r>
      <w:r>
        <w:rPr>
          <w:rFonts w:hint="eastAsia" w:ascii="宋体" w:hAnsi="宋体"/>
          <w:color w:val="auto"/>
          <w:sz w:val="24"/>
          <w:highlight w:val="none"/>
        </w:rPr>
        <w:t>平湖市</w:t>
      </w:r>
      <w:r>
        <w:rPr>
          <w:rFonts w:ascii="宋体" w:hAnsi="宋体"/>
          <w:color w:val="auto"/>
          <w:sz w:val="24"/>
          <w:highlight w:val="none"/>
        </w:rPr>
        <w:t>财政局；联系人：</w:t>
      </w:r>
      <w:r>
        <w:rPr>
          <w:rFonts w:hint="eastAsia" w:ascii="宋体" w:hAnsi="宋体"/>
          <w:color w:val="auto"/>
          <w:sz w:val="24"/>
          <w:highlight w:val="none"/>
          <w:u w:val="single"/>
        </w:rPr>
        <w:t>陆先生</w:t>
      </w:r>
      <w:r>
        <w:rPr>
          <w:rFonts w:ascii="宋体" w:hAnsi="宋体"/>
          <w:color w:val="auto"/>
          <w:sz w:val="24"/>
          <w:highlight w:val="none"/>
        </w:rPr>
        <w:t>；联系电话：</w:t>
      </w:r>
      <w:r>
        <w:rPr>
          <w:rFonts w:hint="eastAsia" w:ascii="宋体" w:hAnsi="宋体"/>
          <w:color w:val="auto"/>
          <w:sz w:val="24"/>
          <w:highlight w:val="none"/>
          <w:u w:val="single"/>
        </w:rPr>
        <w:t xml:space="preserve">0573-85013033 </w:t>
      </w:r>
      <w:r>
        <w:rPr>
          <w:rFonts w:ascii="宋体" w:hAnsi="宋体"/>
          <w:color w:val="auto"/>
          <w:sz w:val="24"/>
          <w:highlight w:val="none"/>
        </w:rPr>
        <w:t>。</w:t>
      </w:r>
    </w:p>
    <w:p>
      <w:pPr>
        <w:pStyle w:val="17"/>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二</w:t>
      </w:r>
      <w:r>
        <w:rPr>
          <w:rFonts w:hint="eastAsia" w:hAnsi="宋体"/>
          <w:b/>
          <w:color w:val="auto"/>
          <w:highlight w:val="none"/>
        </w:rPr>
        <w:t>、</w:t>
      </w:r>
      <w:r>
        <w:rPr>
          <w:rFonts w:hAnsi="宋体"/>
          <w:b/>
          <w:color w:val="auto"/>
          <w:highlight w:val="none"/>
        </w:rPr>
        <w:t>招标文件</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（一）招标文件的构成</w:t>
      </w:r>
    </w:p>
    <w:p>
      <w:pPr>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（二）投标人的风险</w:t>
      </w:r>
    </w:p>
    <w:p>
      <w:pPr>
        <w:pStyle w:val="23"/>
        <w:spacing w:line="520" w:lineRule="exact"/>
        <w:rPr>
          <w:rFonts w:hint="eastAsia"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snapToGrid w:val="0"/>
        <w:spacing w:line="520" w:lineRule="exact"/>
        <w:ind w:firstLine="482" w:firstLineChars="200"/>
        <w:jc w:val="left"/>
        <w:rPr>
          <w:rFonts w:hint="eastAsia" w:ascii="宋体" w:hAnsi="宋体"/>
          <w:b/>
          <w:color w:val="auto"/>
          <w:sz w:val="24"/>
          <w:highlight w:val="none"/>
        </w:rPr>
      </w:pPr>
      <w:r>
        <w:rPr>
          <w:rFonts w:ascii="宋体" w:hAnsi="宋体"/>
          <w:b/>
          <w:color w:val="auto"/>
          <w:sz w:val="24"/>
          <w:highlight w:val="none"/>
        </w:rPr>
        <w:t xml:space="preserve">（三）招标文件的澄清与修改 </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color w:val="auto"/>
          <w:highlight w:val="none"/>
        </w:rPr>
        <w:t>网https://login.zcygov.cn/login</w:t>
      </w:r>
      <w:r>
        <w:rPr>
          <w:rFonts w:hint="eastAsia" w:hAnsi="宋体"/>
          <w:color w:val="auto"/>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7"/>
        <w:snapToGrid w:val="0"/>
        <w:spacing w:beforeLines="0" w:afterLines="0" w:line="520" w:lineRule="exact"/>
        <w:ind w:firstLine="480" w:firstLineChars="200"/>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w:t>
      </w:r>
      <w:r>
        <w:rPr>
          <w:rFonts w:hint="eastAsia" w:hAnsi="宋体"/>
          <w:color w:val="auto"/>
          <w:highlight w:val="none"/>
        </w:rPr>
        <w:t>获取</w:t>
      </w:r>
      <w:r>
        <w:rPr>
          <w:rFonts w:hAnsi="宋体"/>
          <w:color w:val="auto"/>
          <w:highlight w:val="none"/>
        </w:rPr>
        <w:t>招标文件的投标人；除书面答复以外的其他澄清方式及澄清内容均无效。</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17"/>
        <w:snapToGrid w:val="0"/>
        <w:spacing w:beforeLines="0" w:afterLines="0" w:line="520" w:lineRule="exact"/>
        <w:ind w:firstLine="480" w:firstLineChars="200"/>
        <w:rPr>
          <w:rFonts w:hint="eastAsia"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pPr>
        <w:pStyle w:val="17"/>
        <w:snapToGrid w:val="0"/>
        <w:spacing w:beforeLines="0" w:afterLines="0" w:line="520" w:lineRule="exact"/>
        <w:ind w:firstLine="482" w:firstLineChars="200"/>
        <w:rPr>
          <w:rFonts w:hint="eastAsia" w:hAnsi="宋体"/>
          <w:b/>
          <w:color w:val="auto"/>
          <w:highlight w:val="none"/>
        </w:rPr>
      </w:pPr>
      <w:r>
        <w:rPr>
          <w:rFonts w:hAnsi="宋体"/>
          <w:b/>
          <w:color w:val="auto"/>
          <w:highlight w:val="none"/>
        </w:rPr>
        <w:t>三、投标文件的编制</w:t>
      </w:r>
    </w:p>
    <w:p>
      <w:pPr>
        <w:pStyle w:val="17"/>
        <w:snapToGrid w:val="0"/>
        <w:spacing w:beforeLines="0" w:afterLines="0" w:line="520" w:lineRule="exact"/>
        <w:ind w:firstLine="482" w:firstLineChars="200"/>
        <w:rPr>
          <w:rFonts w:hint="eastAsia" w:hAnsi="宋体"/>
          <w:b/>
          <w:color w:val="auto"/>
          <w:highlight w:val="none"/>
        </w:rPr>
      </w:pPr>
      <w:r>
        <w:rPr>
          <w:rFonts w:hint="eastAsia" w:hAnsi="宋体"/>
          <w:b/>
          <w:color w:val="auto"/>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int="eastAsia" w:hAnsi="宋体"/>
          <w:b/>
          <w:color w:val="auto"/>
          <w:highlight w:val="none"/>
        </w:rPr>
      </w:pPr>
      <w:r>
        <w:rPr>
          <w:rFonts w:hint="eastAsia"/>
          <w:b/>
          <w:color w:val="auto"/>
          <w:sz w:val="24"/>
          <w:highlight w:val="none"/>
        </w:rPr>
        <w:t>在电子投标文件中所有需要加盖公章的均采用CA签章。</w:t>
      </w:r>
    </w:p>
    <w:p>
      <w:pPr>
        <w:snapToGrid w:val="0"/>
        <w:spacing w:line="520" w:lineRule="exact"/>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投标文件的组成</w:t>
      </w:r>
    </w:p>
    <w:p>
      <w:pPr>
        <w:snapToGrid w:val="0"/>
        <w:spacing w:line="520" w:lineRule="exact"/>
        <w:ind w:firstLine="480" w:firstLineChars="200"/>
        <w:jc w:val="left"/>
        <w:rPr>
          <w:rFonts w:hint="eastAsia" w:ascii="宋体" w:hAnsi="宋体"/>
          <w:color w:val="auto"/>
          <w:sz w:val="24"/>
          <w:highlight w:val="none"/>
        </w:rPr>
      </w:pPr>
      <w:r>
        <w:rPr>
          <w:rFonts w:ascii="宋体" w:hAnsi="宋体"/>
          <w:color w:val="auto"/>
          <w:sz w:val="24"/>
          <w:highlight w:val="none"/>
        </w:rPr>
        <w:t>投标文件</w:t>
      </w:r>
      <w:r>
        <w:rPr>
          <w:rFonts w:hint="eastAsia" w:ascii="宋体" w:hAnsi="宋体"/>
          <w:color w:val="auto"/>
          <w:sz w:val="24"/>
          <w:highlight w:val="none"/>
        </w:rPr>
        <w:t>由资格文件、商务技术文件、报价文件</w:t>
      </w:r>
      <w:r>
        <w:rPr>
          <w:rFonts w:ascii="宋体" w:hAnsi="宋体"/>
          <w:color w:val="auto"/>
          <w:sz w:val="24"/>
          <w:highlight w:val="none"/>
        </w:rPr>
        <w:t>组成。</w:t>
      </w:r>
    </w:p>
    <w:p>
      <w:pPr>
        <w:pStyle w:val="36"/>
        <w:spacing w:before="0"/>
        <w:ind w:firstLine="482"/>
        <w:rPr>
          <w:rFonts w:hint="eastAsia" w:ascii="宋体" w:hAnsi="宋体"/>
          <w:b/>
          <w:bCs/>
          <w:color w:val="auto"/>
          <w:highlight w:val="none"/>
        </w:rPr>
      </w:pPr>
      <w:r>
        <w:rPr>
          <w:rFonts w:hint="eastAsia" w:ascii="宋体" w:hAnsi="宋体"/>
          <w:b/>
          <w:bCs/>
          <w:color w:val="auto"/>
          <w:highlight w:val="none"/>
        </w:rPr>
        <w:t>1.资格文件：</w:t>
      </w:r>
    </w:p>
    <w:p>
      <w:pPr>
        <w:pStyle w:val="17"/>
        <w:spacing w:beforeLines="0" w:afterLines="0" w:line="360" w:lineRule="auto"/>
        <w:ind w:firstLine="480" w:firstLineChars="200"/>
        <w:rPr>
          <w:rFonts w:hint="eastAsia" w:hAnsi="宋体"/>
          <w:color w:val="auto"/>
          <w:szCs w:val="20"/>
          <w:highlight w:val="none"/>
        </w:rPr>
      </w:pPr>
      <w:r>
        <w:rPr>
          <w:rFonts w:hint="eastAsia" w:hAnsi="宋体"/>
          <w:color w:val="auto"/>
          <w:szCs w:val="20"/>
          <w:highlight w:val="none"/>
        </w:rPr>
        <w:t>（1）投标声明书（格式见附件）；</w:t>
      </w:r>
    </w:p>
    <w:p>
      <w:pPr>
        <w:pStyle w:val="17"/>
        <w:spacing w:beforeLines="0" w:afterLines="0" w:line="360" w:lineRule="auto"/>
        <w:ind w:firstLine="480" w:firstLineChars="200"/>
        <w:rPr>
          <w:rFonts w:hint="eastAsia" w:hAnsi="宋体"/>
          <w:color w:val="auto"/>
          <w:highlight w:val="none"/>
        </w:rPr>
      </w:pPr>
      <w:r>
        <w:rPr>
          <w:rFonts w:hint="eastAsia" w:hAnsi="宋体"/>
          <w:color w:val="auto"/>
          <w:highlight w:val="none"/>
        </w:rPr>
        <w:t>（2）法定代表人有效身份证件复印件或者法定代表人授权委托书（复印件，格式见附件）；</w:t>
      </w:r>
    </w:p>
    <w:p>
      <w:pPr>
        <w:pStyle w:val="17"/>
        <w:spacing w:beforeLines="0" w:afterLines="0" w:line="360" w:lineRule="auto"/>
        <w:ind w:firstLine="480" w:firstLineChars="200"/>
        <w:rPr>
          <w:rFonts w:hint="eastAsia" w:hAnsi="宋体"/>
          <w:color w:val="auto"/>
          <w:highlight w:val="none"/>
        </w:rPr>
      </w:pPr>
      <w:r>
        <w:rPr>
          <w:rFonts w:hint="eastAsia" w:hAnsi="宋体"/>
          <w:color w:val="auto"/>
          <w:highlight w:val="none"/>
        </w:rPr>
        <w:t>（3）企业（法人）营业执照复印件；</w:t>
      </w:r>
    </w:p>
    <w:p>
      <w:pPr>
        <w:pStyle w:val="17"/>
        <w:spacing w:beforeLines="0" w:afterLines="0" w:line="360" w:lineRule="auto"/>
        <w:ind w:firstLine="480" w:firstLineChars="200"/>
        <w:rPr>
          <w:rFonts w:hint="eastAsia" w:hAnsi="宋体"/>
          <w:color w:val="auto"/>
          <w:highlight w:val="none"/>
        </w:rPr>
      </w:pPr>
      <w:r>
        <w:rPr>
          <w:rFonts w:hint="eastAsia" w:hAnsi="宋体"/>
          <w:color w:val="auto"/>
          <w:highlight w:val="none"/>
        </w:rPr>
        <w:t>（4）符合参加政府采购活动应当具备的一般条件的承诺函（格式见附件）；</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（5）中小企业声明函等承诺函（格式见附件）</w:t>
      </w:r>
    </w:p>
    <w:p>
      <w:pPr>
        <w:pStyle w:val="17"/>
        <w:spacing w:beforeLines="0" w:afterLines="0" w:line="360" w:lineRule="auto"/>
        <w:ind w:firstLine="480" w:firstLineChars="200"/>
        <w:rPr>
          <w:rFonts w:hint="eastAsia" w:hAnsi="宋体"/>
          <w:color w:val="auto"/>
          <w:szCs w:val="20"/>
          <w:highlight w:val="none"/>
        </w:rPr>
      </w:pPr>
      <w:r>
        <w:rPr>
          <w:rFonts w:hint="eastAsia" w:hAnsi="宋体"/>
          <w:color w:val="auto"/>
          <w:highlight w:val="none"/>
        </w:rPr>
        <w:t xml:space="preserve">（6）落实政府采购政策需满足的资格要求。   </w:t>
      </w:r>
      <w:r>
        <w:rPr>
          <w:rFonts w:hint="eastAsia" w:hAnsi="宋体"/>
          <w:color w:val="auto"/>
          <w:szCs w:val="20"/>
          <w:highlight w:val="none"/>
        </w:rPr>
        <w:t xml:space="preserve">                     </w:t>
      </w:r>
    </w:p>
    <w:p>
      <w:pPr>
        <w:pStyle w:val="17"/>
        <w:spacing w:beforeLines="0" w:afterLines="0" w:line="360" w:lineRule="auto"/>
        <w:ind w:firstLine="482" w:firstLineChars="200"/>
        <w:rPr>
          <w:rFonts w:hint="eastAsia" w:hAnsi="宋体"/>
          <w:b/>
          <w:bCs/>
          <w:color w:val="auto"/>
          <w:szCs w:val="20"/>
          <w:highlight w:val="none"/>
        </w:rPr>
      </w:pPr>
      <w:r>
        <w:rPr>
          <w:rFonts w:hint="eastAsia" w:hAnsi="宋体"/>
          <w:b/>
          <w:bCs/>
          <w:color w:val="auto"/>
          <w:szCs w:val="20"/>
          <w:highlight w:val="none"/>
        </w:rPr>
        <w:t>2.商务技术文件:</w:t>
      </w:r>
    </w:p>
    <w:p>
      <w:pPr>
        <w:pStyle w:val="17"/>
        <w:spacing w:beforeLines="0" w:afterLines="0" w:line="360" w:lineRule="auto"/>
        <w:ind w:firstLine="480" w:firstLineChars="200"/>
        <w:rPr>
          <w:rFonts w:hint="eastAsia" w:hAnsi="宋体"/>
          <w:bCs/>
          <w:color w:val="auto"/>
          <w:highlight w:val="none"/>
        </w:rPr>
      </w:pPr>
      <w:r>
        <w:rPr>
          <w:rFonts w:hint="eastAsia" w:hAnsi="宋体"/>
          <w:bCs/>
          <w:color w:val="auto"/>
          <w:highlight w:val="none"/>
        </w:rPr>
        <w:t>（1）投标人基本情况介绍（格式见附件）；</w:t>
      </w:r>
    </w:p>
    <w:p>
      <w:pPr>
        <w:pStyle w:val="17"/>
        <w:spacing w:beforeLines="0" w:afterLines="0" w:line="360" w:lineRule="auto"/>
        <w:ind w:firstLine="480" w:firstLineChars="200"/>
        <w:rPr>
          <w:rFonts w:hint="eastAsia" w:hAnsi="宋体"/>
          <w:bCs/>
          <w:color w:val="auto"/>
          <w:highlight w:val="none"/>
        </w:rPr>
      </w:pPr>
      <w:r>
        <w:rPr>
          <w:rFonts w:hint="eastAsia" w:hAnsi="宋体"/>
          <w:bCs/>
          <w:color w:val="auto"/>
          <w:highlight w:val="none"/>
          <w:lang w:val="zh-CN"/>
        </w:rPr>
        <w:t>（</w:t>
      </w:r>
      <w:r>
        <w:rPr>
          <w:rFonts w:hint="eastAsia" w:hAnsi="宋体"/>
          <w:bCs/>
          <w:color w:val="auto"/>
          <w:highlight w:val="none"/>
        </w:rPr>
        <w:t>2</w:t>
      </w:r>
      <w:r>
        <w:rPr>
          <w:rFonts w:hint="eastAsia" w:hAnsi="宋体"/>
          <w:bCs/>
          <w:color w:val="auto"/>
          <w:highlight w:val="none"/>
          <w:lang w:val="zh-CN"/>
        </w:rPr>
        <w:t>）诚信承诺书</w:t>
      </w:r>
      <w:r>
        <w:rPr>
          <w:rFonts w:hint="eastAsia" w:hAnsi="宋体"/>
          <w:bCs/>
          <w:color w:val="auto"/>
          <w:highlight w:val="none"/>
        </w:rPr>
        <w:t>（格式见附件）</w:t>
      </w:r>
    </w:p>
    <w:p>
      <w:pPr>
        <w:pStyle w:val="17"/>
        <w:spacing w:beforeLines="0" w:afterLines="0" w:line="360" w:lineRule="auto"/>
        <w:ind w:firstLine="480" w:firstLineChars="200"/>
        <w:rPr>
          <w:rFonts w:hint="eastAsia" w:hAnsi="宋体"/>
          <w:bCs/>
          <w:color w:val="auto"/>
          <w:highlight w:val="none"/>
        </w:rPr>
      </w:pPr>
      <w:r>
        <w:rPr>
          <w:rFonts w:hint="eastAsia" w:hAnsi="宋体"/>
          <w:bCs/>
          <w:color w:val="auto"/>
          <w:highlight w:val="none"/>
        </w:rPr>
        <w:t>（3）所有荣誉证书、资质文件等（复印件）；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rPr>
        <w:t>（4）同类项目业绩（投标人2021年1月1日以来同类项目实施情况一览表，以</w:t>
      </w:r>
      <w:r>
        <w:rPr>
          <w:rFonts w:hint="eastAsia" w:hAnsi="宋体"/>
          <w:bCs/>
          <w:color w:val="auto"/>
          <w:highlight w:val="none"/>
          <w:lang w:val="zh-CN"/>
        </w:rPr>
        <w:t>签订时间为准，格式见附件）；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lang w:val="en-US" w:eastAsia="zh-CN"/>
        </w:rPr>
        <w:t>5</w:t>
      </w:r>
      <w:r>
        <w:rPr>
          <w:rFonts w:hint="eastAsia" w:hAnsi="宋体"/>
          <w:bCs/>
          <w:color w:val="auto"/>
          <w:highlight w:val="none"/>
          <w:lang w:val="zh-CN"/>
        </w:rPr>
        <w:t xml:space="preserve">）商务响应表（格式见附件）；                                                                                                                                                                                                                                                                                                                                                                                                                                                                                                                                                                                                                                                                                                                                                                                                                                                                                                                                                                                                                                                                                                                                                                                                                                                                                                                                                                                                                                                                                                                                                                                                                                                                                                                                                                                                                                                                                                                                                                                                                                                                                                                                                                                                                                                                                                                                                                                                                                                                                                                                                                                                                                                                                                                                                                                                                                                                                                                                                                                                                                                                                                                                                                                                                                                                                                                                                                                                                                                                                                                                                                                                                                                                                                                                                                                                                                                                                                                                                                                                                                                                                                                                                                                                  </w:t>
      </w:r>
      <w:r>
        <w:rPr>
          <w:rFonts w:hint="eastAsia" w:hAnsi="宋体"/>
          <w:bCs/>
          <w:color w:val="auto"/>
          <w:highlight w:val="none"/>
          <w:lang w:val="zh-CN"/>
        </w:rPr>
        <w:t xml:space="preserve"> </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lang w:val="en-US" w:eastAsia="zh-CN"/>
        </w:rPr>
        <w:t>6</w:t>
      </w:r>
      <w:r>
        <w:rPr>
          <w:rFonts w:hint="eastAsia" w:hAnsi="宋体"/>
          <w:bCs/>
          <w:color w:val="auto"/>
          <w:highlight w:val="none"/>
          <w:lang w:val="zh-CN"/>
        </w:rPr>
        <w:t>）技术响应表（格式见附件）；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lang w:val="en-US" w:eastAsia="zh-CN"/>
        </w:rPr>
        <w:t>7</w:t>
      </w:r>
      <w:r>
        <w:rPr>
          <w:rFonts w:hint="eastAsia" w:hAnsi="宋体"/>
          <w:bCs/>
          <w:color w:val="auto"/>
          <w:highlight w:val="none"/>
          <w:lang w:val="zh-CN"/>
        </w:rPr>
        <w:t>）设备配置清单（格式见附件）；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lang w:val="en-US" w:eastAsia="zh-CN"/>
        </w:rPr>
        <w:t>8</w:t>
      </w:r>
      <w:r>
        <w:rPr>
          <w:rFonts w:hint="eastAsia" w:hAnsi="宋体"/>
          <w:bCs/>
          <w:color w:val="auto"/>
          <w:highlight w:val="none"/>
          <w:lang w:val="zh-CN"/>
        </w:rPr>
        <w:t>）投标货物技术参数响应情况（包括各项证明资料、承诺函等）；</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lang w:val="en-US" w:eastAsia="zh-CN"/>
        </w:rPr>
        <w:t>9</w:t>
      </w:r>
      <w:r>
        <w:rPr>
          <w:rFonts w:hint="eastAsia" w:hAnsi="宋体"/>
          <w:bCs/>
          <w:color w:val="auto"/>
          <w:highlight w:val="none"/>
          <w:lang w:val="zh-CN"/>
        </w:rPr>
        <w:t>）技术方案；</w:t>
      </w:r>
    </w:p>
    <w:p>
      <w:pPr>
        <w:pStyle w:val="17"/>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textAlignment w:val="auto"/>
        <w:rPr>
          <w:rFonts w:hint="eastAsia" w:hAnsi="宋体" w:cs="Times New Roman"/>
          <w:bCs/>
          <w:color w:val="auto"/>
          <w:highlight w:val="none"/>
          <w:lang w:val="zh-CN" w:eastAsia="zh-CN"/>
        </w:rPr>
      </w:pPr>
      <w:r>
        <w:rPr>
          <w:rFonts w:hint="eastAsia" w:hAnsi="宋体" w:cs="Times New Roman"/>
          <w:bCs/>
          <w:color w:val="auto"/>
          <w:highlight w:val="none"/>
          <w:lang w:val="zh-CN" w:eastAsia="zh-CN"/>
        </w:rPr>
        <w:t>（</w:t>
      </w:r>
      <w:r>
        <w:rPr>
          <w:rFonts w:hint="eastAsia" w:hAnsi="宋体" w:cs="Times New Roman"/>
          <w:bCs/>
          <w:color w:val="auto"/>
          <w:highlight w:val="none"/>
          <w:lang w:val="en-US" w:eastAsia="zh-CN"/>
        </w:rPr>
        <w:t>10</w:t>
      </w:r>
      <w:r>
        <w:rPr>
          <w:rFonts w:hint="eastAsia" w:hAnsi="宋体" w:cs="Times New Roman"/>
          <w:bCs/>
          <w:color w:val="auto"/>
          <w:highlight w:val="none"/>
          <w:lang w:val="zh-CN" w:eastAsia="zh-CN"/>
        </w:rPr>
        <w:t>）各类</w:t>
      </w:r>
      <w:r>
        <w:rPr>
          <w:rFonts w:hint="eastAsia" w:ascii="宋体" w:hAnsi="宋体" w:eastAsia="宋体" w:cs="Times New Roman"/>
          <w:bCs/>
          <w:color w:val="auto"/>
          <w:highlight w:val="none"/>
          <w:lang w:val="zh-CN" w:eastAsia="zh-CN"/>
        </w:rPr>
        <w:t>认证证书</w:t>
      </w:r>
      <w:r>
        <w:rPr>
          <w:rFonts w:hint="eastAsia" w:ascii="宋体" w:hAnsi="宋体" w:eastAsia="宋体" w:cs="Times New Roman"/>
          <w:bCs/>
          <w:color w:val="auto"/>
          <w:highlight w:val="none"/>
          <w:lang w:val="en-US" w:eastAsia="zh-CN"/>
        </w:rPr>
        <w:t>（复印件）</w:t>
      </w:r>
      <w:r>
        <w:rPr>
          <w:rFonts w:hint="eastAsia" w:hAnsi="宋体" w:cs="Times New Roman"/>
          <w:bCs/>
          <w:color w:val="auto"/>
          <w:highlight w:val="none"/>
          <w:lang w:val="zh-CN" w:eastAsia="zh-CN"/>
        </w:rPr>
        <w:t>；</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11</w:t>
      </w:r>
      <w:r>
        <w:rPr>
          <w:rFonts w:hint="eastAsia" w:hAnsi="宋体"/>
          <w:bCs/>
          <w:color w:val="auto"/>
          <w:highlight w:val="none"/>
          <w:lang w:val="zh-CN"/>
        </w:rPr>
        <w:t>）实施方案；</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12</w:t>
      </w:r>
      <w:r>
        <w:rPr>
          <w:rFonts w:hint="eastAsia" w:hAnsi="宋体"/>
          <w:bCs/>
          <w:color w:val="auto"/>
          <w:highlight w:val="none"/>
          <w:lang w:val="zh-CN"/>
        </w:rPr>
        <w:t>）项目实施人员一览表（格式见附件）；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w:t>
      </w:r>
      <w:r>
        <w:rPr>
          <w:rFonts w:hint="eastAsia" w:hAnsi="宋体"/>
          <w:bCs/>
          <w:color w:val="auto"/>
          <w:highlight w:val="none"/>
          <w:lang w:val="en-US" w:eastAsia="zh-CN"/>
        </w:rPr>
        <w:t>3</w:t>
      </w:r>
      <w:r>
        <w:rPr>
          <w:rFonts w:hint="eastAsia" w:hAnsi="宋体"/>
          <w:bCs/>
          <w:color w:val="auto"/>
          <w:highlight w:val="none"/>
          <w:lang w:val="zh-CN"/>
        </w:rPr>
        <w:t>）培训方案；</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w:t>
      </w:r>
      <w:r>
        <w:rPr>
          <w:rFonts w:hint="eastAsia" w:hAnsi="宋体"/>
          <w:bCs/>
          <w:color w:val="auto"/>
          <w:highlight w:val="none"/>
          <w:lang w:val="en-US" w:eastAsia="zh-CN"/>
        </w:rPr>
        <w:t>4</w:t>
      </w:r>
      <w:r>
        <w:rPr>
          <w:rFonts w:hint="eastAsia" w:hAnsi="宋体"/>
          <w:bCs/>
          <w:color w:val="auto"/>
          <w:highlight w:val="none"/>
          <w:lang w:val="zh-CN"/>
        </w:rPr>
        <w:t>）应急方案；</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w:t>
      </w:r>
      <w:r>
        <w:rPr>
          <w:rFonts w:hint="eastAsia" w:hAnsi="宋体"/>
          <w:bCs/>
          <w:color w:val="auto"/>
          <w:highlight w:val="none"/>
          <w:lang w:val="en-US" w:eastAsia="zh-CN"/>
        </w:rPr>
        <w:t>5</w:t>
      </w:r>
      <w:r>
        <w:rPr>
          <w:rFonts w:hint="eastAsia" w:hAnsi="宋体"/>
          <w:bCs/>
          <w:color w:val="auto"/>
          <w:highlight w:val="none"/>
          <w:lang w:val="zh-CN"/>
        </w:rPr>
        <w:t>）售后服务；</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rPr>
        <w:t>（1</w:t>
      </w:r>
      <w:r>
        <w:rPr>
          <w:rFonts w:hint="eastAsia" w:hAnsi="宋体"/>
          <w:bCs/>
          <w:color w:val="auto"/>
          <w:highlight w:val="none"/>
          <w:lang w:val="en-US" w:eastAsia="zh-CN"/>
        </w:rPr>
        <w:t>6</w:t>
      </w:r>
      <w:r>
        <w:rPr>
          <w:rFonts w:hint="eastAsia" w:hAnsi="宋体"/>
          <w:bCs/>
          <w:color w:val="auto"/>
          <w:highlight w:val="none"/>
        </w:rPr>
        <w:t>）</w:t>
      </w:r>
      <w:r>
        <w:rPr>
          <w:rFonts w:hint="eastAsia" w:hAnsi="宋体"/>
          <w:bCs/>
          <w:color w:val="auto"/>
          <w:highlight w:val="none"/>
          <w:lang w:val="zh-CN"/>
        </w:rPr>
        <w:t>投标人认为需要的其他商务技术文件或说明。</w:t>
      </w:r>
    </w:p>
    <w:p>
      <w:pPr>
        <w:snapToGrid w:val="0"/>
        <w:spacing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投标</w:t>
      </w:r>
      <w:r>
        <w:rPr>
          <w:rFonts w:ascii="宋体" w:hAnsi="宋体"/>
          <w:b/>
          <w:color w:val="auto"/>
          <w:sz w:val="24"/>
          <w:highlight w:val="none"/>
        </w:rPr>
        <w:t>报价文件：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 xml:space="preserve">（1）投标函（格式见附件）； </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（2）开标一览表（格式见附件）；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（3）报价明细清单（格式见附件）；</w:t>
      </w:r>
    </w:p>
    <w:p>
      <w:pPr>
        <w:pStyle w:val="17"/>
        <w:spacing w:beforeLines="0" w:afterLines="0" w:line="360" w:lineRule="auto"/>
        <w:ind w:firstLine="480" w:firstLineChars="200"/>
        <w:rPr>
          <w:rFonts w:hint="eastAsia"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4</w:t>
      </w:r>
      <w:r>
        <w:rPr>
          <w:rFonts w:hint="eastAsia" w:hAnsi="宋体"/>
          <w:bCs/>
          <w:color w:val="auto"/>
          <w:highlight w:val="none"/>
          <w:lang w:val="zh-CN"/>
        </w:rPr>
        <w:t>）投标人针对报价需要说明的其他文件和说明。</w:t>
      </w:r>
    </w:p>
    <w:p>
      <w:pPr>
        <w:pStyle w:val="17"/>
        <w:spacing w:beforeLines="0" w:afterLines="0" w:line="360" w:lineRule="auto"/>
        <w:ind w:firstLine="482" w:firstLineChars="200"/>
        <w:rPr>
          <w:rFonts w:hint="eastAsia" w:hAnsi="宋体"/>
          <w:b/>
          <w:color w:val="auto"/>
          <w:highlight w:val="none"/>
        </w:rPr>
      </w:pPr>
      <w:r>
        <w:rPr>
          <w:rFonts w:hint="eastAsia" w:hAnsi="宋体"/>
          <w:b/>
          <w:color w:val="auto"/>
          <w:highlight w:val="none"/>
        </w:rPr>
        <w:t>投标声明书、法定代表人授权委托书、投标函、开标一览表必须</w:t>
      </w:r>
      <w:r>
        <w:rPr>
          <w:rFonts w:hAnsi="宋体"/>
          <w:b/>
          <w:color w:val="auto"/>
          <w:highlight w:val="none"/>
        </w:rPr>
        <w:t>由</w:t>
      </w:r>
      <w:r>
        <w:rPr>
          <w:rFonts w:hint="eastAsia" w:hAnsi="宋体"/>
          <w:b/>
          <w:color w:val="auto"/>
          <w:highlight w:val="none"/>
        </w:rPr>
        <w:t>法定代表人或委托代理人签名（或签章）并加盖单位公章。</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（二）投标文件的语言及计量</w:t>
      </w:r>
    </w:p>
    <w:p>
      <w:pPr>
        <w:snapToGrid w:val="0"/>
        <w:spacing w:line="520" w:lineRule="exact"/>
        <w:ind w:firstLine="480" w:firstLineChars="200"/>
        <w:jc w:val="left"/>
        <w:rPr>
          <w:rFonts w:hint="eastAsia" w:ascii="宋体" w:hAnsi="宋体"/>
          <w:color w:val="auto"/>
          <w:sz w:val="24"/>
          <w:highlight w:val="none"/>
        </w:rPr>
      </w:pPr>
      <w:r>
        <w:rPr>
          <w:rFonts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hint="eastAsia"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（三）投标报价</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（四）投标文件的有效期</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4.中标人的投标文件自开标之日起至合同履行完毕均应保持有效。</w:t>
      </w:r>
    </w:p>
    <w:p>
      <w:pPr>
        <w:snapToGrid w:val="0"/>
        <w:spacing w:line="520" w:lineRule="exact"/>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（五）</w:t>
      </w:r>
      <w:bookmarkStart w:id="37" w:name="_Toc402963089"/>
      <w:bookmarkStart w:id="38" w:name="_Toc406402951"/>
      <w:bookmarkStart w:id="39" w:name="_Toc385854105"/>
      <w:bookmarkStart w:id="40" w:name="_Toc402963122"/>
      <w:bookmarkStart w:id="41" w:name="_Toc385854151"/>
      <w:bookmarkStart w:id="42" w:name="_Toc406402995"/>
      <w:r>
        <w:rPr>
          <w:rFonts w:hint="eastAsia" w:ascii="宋体" w:hAnsi="宋体"/>
          <w:b/>
          <w:color w:val="auto"/>
          <w:sz w:val="24"/>
          <w:highlight w:val="none"/>
        </w:rPr>
        <w:t>投标文件的</w:t>
      </w:r>
      <w:bookmarkEnd w:id="37"/>
      <w:bookmarkEnd w:id="38"/>
      <w:bookmarkEnd w:id="39"/>
      <w:bookmarkEnd w:id="40"/>
      <w:bookmarkEnd w:id="41"/>
      <w:bookmarkEnd w:id="42"/>
      <w:r>
        <w:rPr>
          <w:rFonts w:hint="eastAsia" w:ascii="宋体" w:hAnsi="宋体"/>
          <w:b/>
          <w:color w:val="auto"/>
          <w:sz w:val="24"/>
          <w:highlight w:val="none"/>
        </w:rPr>
        <w:t>递交</w:t>
      </w:r>
    </w:p>
    <w:p>
      <w:pPr>
        <w:snapToGrid w:val="0"/>
        <w:spacing w:line="520" w:lineRule="exact"/>
        <w:ind w:firstLine="482" w:firstLineChars="200"/>
        <w:jc w:val="left"/>
        <w:outlineLvl w:val="0"/>
        <w:rPr>
          <w:rFonts w:hint="eastAsia" w:ascii="宋体" w:hAnsi="宋体"/>
          <w:b/>
          <w:color w:val="auto"/>
          <w:kern w:val="0"/>
          <w:sz w:val="24"/>
          <w:highlight w:val="none"/>
        </w:rPr>
      </w:pPr>
      <w:r>
        <w:rPr>
          <w:rFonts w:hint="eastAsia" w:ascii="宋体" w:hAnsi="宋体"/>
          <w:b/>
          <w:color w:val="auto"/>
          <w:kern w:val="0"/>
          <w:sz w:val="24"/>
          <w:highlight w:val="none"/>
        </w:rPr>
        <w:t>电子投标</w:t>
      </w:r>
      <w:r>
        <w:rPr>
          <w:rFonts w:ascii="宋体" w:hAnsi="宋体"/>
          <w:b/>
          <w:color w:val="auto"/>
          <w:kern w:val="0"/>
          <w:sz w:val="24"/>
          <w:highlight w:val="none"/>
        </w:rPr>
        <w:t>文件</w:t>
      </w:r>
    </w:p>
    <w:p>
      <w:pPr>
        <w:snapToGrid w:val="0"/>
        <w:spacing w:line="520" w:lineRule="exact"/>
        <w:ind w:firstLine="480" w:firstLineChars="200"/>
        <w:jc w:val="left"/>
        <w:outlineLvl w:val="0"/>
        <w:rPr>
          <w:rFonts w:hint="eastAsia" w:ascii="宋体" w:hAnsi="宋体"/>
          <w:color w:val="auto"/>
          <w:kern w:val="0"/>
          <w:sz w:val="24"/>
          <w:highlight w:val="none"/>
        </w:rPr>
      </w:pPr>
      <w:r>
        <w:rPr>
          <w:rFonts w:hint="eastAsia" w:ascii="宋体" w:hAnsi="宋体"/>
          <w:color w:val="auto"/>
          <w:kern w:val="0"/>
          <w:sz w:val="24"/>
          <w:highlight w:val="none"/>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宋体" w:hAnsi="宋体" w:eastAsia="新宋体"/>
          <w:bCs/>
          <w:color w:val="auto"/>
          <w:sz w:val="24"/>
          <w:highlight w:val="none"/>
        </w:rPr>
        <w:t>1.</w:t>
      </w:r>
      <w:r>
        <w:rPr>
          <w:rFonts w:hint="eastAsia" w:ascii="新宋体" w:hAnsi="新宋体" w:eastAsia="新宋体" w:cs="Courier New"/>
          <w:bCs/>
          <w:color w:val="auto"/>
          <w:sz w:val="24"/>
          <w:szCs w:val="21"/>
          <w:highlight w:val="none"/>
        </w:rPr>
        <w:t>投</w:t>
      </w:r>
      <w:r>
        <w:rPr>
          <w:rFonts w:hint="eastAsia" w:ascii="新宋体" w:hAnsi="新宋体" w:eastAsia="新宋体" w:cs="Courier New"/>
          <w:color w:val="auto"/>
          <w:sz w:val="24"/>
          <w:szCs w:val="21"/>
          <w:highlight w:val="none"/>
        </w:rPr>
        <w:t>标人应于</w:t>
      </w:r>
      <w:r>
        <w:rPr>
          <w:rFonts w:hint="eastAsia" w:ascii="新宋体" w:hAnsi="新宋体" w:eastAsia="新宋体" w:cs="Courier New"/>
          <w:color w:val="auto"/>
          <w:sz w:val="24"/>
          <w:szCs w:val="21"/>
          <w:highlight w:val="none"/>
          <w:lang w:eastAsia="zh-CN"/>
        </w:rPr>
        <w:t>2024年10月12日</w:t>
      </w:r>
      <w:r>
        <w:rPr>
          <w:rFonts w:hint="eastAsia" w:ascii="新宋体" w:hAnsi="新宋体" w:eastAsia="新宋体" w:cs="Courier New"/>
          <w:color w:val="auto"/>
          <w:sz w:val="24"/>
          <w:szCs w:val="21"/>
          <w:highlight w:val="none"/>
        </w:rPr>
        <w:t>9时00分前在“政采云”上自行加密上传电子投标文件，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的投标文件将予以拒收。</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2.代理机构在规定的投标截止时间以后“政采云平台”将不接收投标文件。</w:t>
      </w:r>
    </w:p>
    <w:p>
      <w:pPr>
        <w:pStyle w:val="17"/>
        <w:spacing w:beforeLines="0" w:afterLines="0" w:line="520" w:lineRule="exact"/>
        <w:ind w:firstLine="480" w:firstLineChars="200"/>
        <w:rPr>
          <w:rFonts w:hint="eastAsia" w:ascii="新宋体" w:hAnsi="新宋体" w:eastAsia="新宋体" w:cs="Courier New"/>
          <w:color w:val="auto"/>
          <w:szCs w:val="21"/>
          <w:highlight w:val="none"/>
        </w:rPr>
      </w:pPr>
      <w:r>
        <w:rPr>
          <w:rFonts w:hint="eastAsia" w:ascii="新宋体" w:hAnsi="新宋体" w:eastAsia="新宋体"/>
          <w:color w:val="auto"/>
          <w:highlight w:val="none"/>
        </w:rPr>
        <w:t>3.投标文件解密：</w:t>
      </w:r>
      <w:r>
        <w:rPr>
          <w:rFonts w:hint="eastAsia" w:ascii="新宋体" w:hAnsi="新宋体" w:eastAsia="新宋体" w:cs="Courier New"/>
          <w:color w:val="auto"/>
          <w:szCs w:val="21"/>
          <w:highlight w:val="none"/>
        </w:rPr>
        <w:t>开标时间后半小时内（</w:t>
      </w:r>
      <w:r>
        <w:rPr>
          <w:rFonts w:hint="eastAsia" w:ascii="新宋体" w:hAnsi="新宋体" w:eastAsia="新宋体" w:cs="Courier New"/>
          <w:color w:val="auto"/>
          <w:szCs w:val="21"/>
          <w:highlight w:val="none"/>
          <w:lang w:eastAsia="zh-CN"/>
        </w:rPr>
        <w:t>2024年10月12日</w:t>
      </w:r>
      <w:r>
        <w:rPr>
          <w:rFonts w:hint="eastAsia" w:ascii="新宋体" w:hAnsi="新宋体" w:eastAsia="新宋体" w:cs="Courier New"/>
          <w:color w:val="auto"/>
          <w:szCs w:val="21"/>
          <w:highlight w:val="none"/>
        </w:rPr>
        <w:t>9时30分</w:t>
      </w:r>
      <w:r>
        <w:rPr>
          <w:rFonts w:ascii="新宋体" w:hAnsi="新宋体" w:eastAsia="新宋体" w:cs="Courier New"/>
          <w:color w:val="auto"/>
          <w:szCs w:val="21"/>
          <w:highlight w:val="none"/>
        </w:rPr>
        <w:t>前</w:t>
      </w:r>
      <w:r>
        <w:rPr>
          <w:rFonts w:hint="eastAsia" w:ascii="新宋体" w:hAnsi="新宋体" w:eastAsia="新宋体" w:cs="Courier New"/>
          <w:color w:val="auto"/>
          <w:szCs w:val="21"/>
          <w:highlight w:val="none"/>
        </w:rPr>
        <w:t>）</w:t>
      </w:r>
      <w:r>
        <w:rPr>
          <w:rFonts w:ascii="新宋体" w:hAnsi="新宋体" w:eastAsia="新宋体" w:cs="Courier New"/>
          <w:color w:val="auto"/>
          <w:szCs w:val="21"/>
          <w:highlight w:val="none"/>
        </w:rPr>
        <w:t>供应商可以登录“</w:t>
      </w:r>
      <w:r>
        <w:rPr>
          <w:rFonts w:hint="eastAsia" w:ascii="新宋体" w:hAnsi="新宋体" w:eastAsia="新宋体" w:cs="Courier New"/>
          <w:color w:val="auto"/>
          <w:szCs w:val="21"/>
          <w:highlight w:val="none"/>
        </w:rPr>
        <w:t>政采云</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平台</w:t>
      </w:r>
      <w:r>
        <w:rPr>
          <w:rFonts w:ascii="新宋体" w:hAnsi="新宋体" w:eastAsia="新宋体" w:cs="Courier New"/>
          <w:color w:val="auto"/>
          <w:szCs w:val="21"/>
          <w:highlight w:val="none"/>
        </w:rPr>
        <w:t>，用“</w:t>
      </w:r>
      <w:r>
        <w:rPr>
          <w:rFonts w:hint="eastAsia" w:ascii="新宋体" w:hAnsi="新宋体" w:eastAsia="新宋体" w:cs="Courier New"/>
          <w:color w:val="auto"/>
          <w:szCs w:val="21"/>
          <w:highlight w:val="none"/>
        </w:rPr>
        <w:t>项目采购-开标评标</w:t>
      </w:r>
      <w:r>
        <w:rPr>
          <w:rFonts w:ascii="新宋体" w:hAnsi="新宋体" w:eastAsia="新宋体" w:cs="Courier New"/>
          <w:color w:val="auto"/>
          <w:szCs w:val="21"/>
          <w:highlight w:val="none"/>
        </w:rPr>
        <w:t>”功能</w:t>
      </w:r>
      <w:r>
        <w:rPr>
          <w:rFonts w:hint="eastAsia" w:ascii="新宋体" w:hAnsi="新宋体" w:eastAsia="新宋体" w:cs="Courier New"/>
          <w:color w:val="auto"/>
          <w:szCs w:val="21"/>
          <w:highlight w:val="none"/>
        </w:rPr>
        <w:t>进行解密投标文件</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若供应商在规定时间内无法解密或解密失败，将导致投标无效或失败。</w:t>
      </w:r>
    </w:p>
    <w:p>
      <w:pPr>
        <w:snapToGrid w:val="0"/>
        <w:spacing w:line="520" w:lineRule="exact"/>
        <w:ind w:firstLine="480" w:firstLineChars="200"/>
        <w:jc w:val="left"/>
        <w:rPr>
          <w:rFonts w:hint="eastAsia" w:ascii="新宋体" w:hAnsi="新宋体" w:eastAsia="新宋体" w:cs="Courier New"/>
          <w:color w:val="auto"/>
          <w:sz w:val="24"/>
          <w:szCs w:val="21"/>
          <w:highlight w:val="none"/>
        </w:rPr>
      </w:pPr>
      <w:r>
        <w:rPr>
          <w:rFonts w:hint="eastAsia" w:ascii="宋体" w:hAnsi="宋体"/>
          <w:color w:val="auto"/>
          <w:sz w:val="24"/>
          <w:highlight w:val="none"/>
        </w:rPr>
        <w:t>4.</w:t>
      </w:r>
      <w:r>
        <w:rPr>
          <w:rFonts w:hint="eastAsia" w:ascii="新宋体" w:hAnsi="新宋体" w:eastAsia="新宋体" w:cs="Courier New"/>
          <w:color w:val="auto"/>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hint="eastAsia"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hint="eastAsia"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六</w:t>
      </w:r>
      <w:r>
        <w:rPr>
          <w:rFonts w:ascii="宋体" w:hAnsi="宋体"/>
          <w:b/>
          <w:color w:val="auto"/>
          <w:sz w:val="24"/>
          <w:highlight w:val="none"/>
        </w:rPr>
        <w:t>）投标无效的情形</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(一)不同投标人的投标文件由同一单位或者个人编制；</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(二)不同投标人委托同一单位或者个人办理投标事宜；</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(三)不同投标人的投标文件载明的项目管理成员或者联系人员为同一人；</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(四)不同投标人的投标文件异常一致或者投标报价呈规律性差异；</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(五)不同投标人的投标文件相互混装；</w:t>
      </w:r>
    </w:p>
    <w:p>
      <w:pPr>
        <w:snapToGrid w:val="0"/>
        <w:spacing w:line="520" w:lineRule="exact"/>
        <w:ind w:firstLine="480" w:firstLineChars="200"/>
        <w:rPr>
          <w:rFonts w:hint="eastAsia" w:ascii="宋体" w:hAnsi="宋体"/>
          <w:bCs/>
          <w:color w:val="auto"/>
          <w:sz w:val="24"/>
          <w:highlight w:val="none"/>
        </w:rPr>
      </w:pPr>
      <w:r>
        <w:rPr>
          <w:rFonts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1.电子投标文件解密失败的，且未在规定时间内提交有效备份投标文件的。</w:t>
      </w:r>
    </w:p>
    <w:p>
      <w:pPr>
        <w:snapToGrid w:val="0"/>
        <w:spacing w:line="520" w:lineRule="exact"/>
        <w:ind w:firstLine="480" w:firstLineChars="200"/>
        <w:rPr>
          <w:rFonts w:hint="eastAsia" w:ascii="宋体" w:hAnsi="宋体"/>
          <w:bCs/>
          <w:color w:val="auto"/>
          <w:sz w:val="24"/>
          <w:highlight w:val="none"/>
        </w:rPr>
      </w:pPr>
      <w:bookmarkStart w:id="43" w:name="_Toc366144037"/>
      <w:r>
        <w:rPr>
          <w:rFonts w:hint="eastAsia" w:ascii="宋体" w:hAnsi="宋体"/>
          <w:bCs/>
          <w:color w:val="auto"/>
          <w:sz w:val="24"/>
          <w:highlight w:val="none"/>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3.在符合性审查和商务评审时，如发现下列情形之一的，投标文件将被视为无效：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ascii="宋体" w:hAnsi="宋体"/>
          <w:color w:val="auto"/>
          <w:sz w:val="24"/>
          <w:highlight w:val="none"/>
        </w:rPr>
        <w:t>电子投标文件未按规定要求提供电子签章的</w:t>
      </w:r>
      <w:r>
        <w:rPr>
          <w:rFonts w:hint="eastAsia" w:ascii="宋体" w:hAnsi="宋体"/>
          <w:color w:val="auto"/>
          <w:sz w:val="24"/>
          <w:highlight w:val="none"/>
        </w:rPr>
        <w:t>；</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（2）在资信商务技术文件中出现报价的； </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（3）资格证明文件不全的，或者不符合招标文件标明的资格要求的；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（5）投标代表人未能出具身份证明或与法定代表人授权委托人身份不符的； </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（6）投标文件格式不规范、项目不齐全或者内容虚假的；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（8）投标有效期、交货时间、质保期等商务条款不能满足招标文件要求的；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（9）未实质性响应招标文件要求或者投标文件有招标方不能接受的附加条件的；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（10）不符合本招标文件中的实质性要求条款。</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4.在技术评审时，如发现下列情形之一的，投标文件将被视为无效：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color w:val="auto"/>
          <w:highlight w:val="none"/>
        </w:rPr>
      </w:pPr>
      <w:r>
        <w:rPr>
          <w:rFonts w:hint="eastAsia" w:ascii="宋体" w:hAnsi="宋体"/>
          <w:bCs/>
          <w:color w:val="auto"/>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（4）投标技术方案不明确，存在一个或一个以上备选（替代）投标方案的；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5.在报价评审时，如发现下列情形之一的，投标文件将被视为无效：</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（1）未采用人民币报价或者未按照招标文件标明的币种报价的；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（2）报价超出最高限价；</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（3）投标报价具有选择性，或者开标价格与投标文件承诺的优惠（折扣）价格不一致的。</w:t>
      </w:r>
    </w:p>
    <w:p>
      <w:pPr>
        <w:pStyle w:val="14"/>
        <w:snapToGrid w:val="0"/>
        <w:spacing w:line="520" w:lineRule="exact"/>
        <w:ind w:firstLine="466" w:firstLineChars="200"/>
        <w:rPr>
          <w:rFonts w:hint="eastAsia" w:hAnsi="宋体"/>
          <w:b/>
          <w:snapToGrid w:val="0"/>
          <w:color w:val="auto"/>
          <w:sz w:val="24"/>
          <w:highlight w:val="none"/>
        </w:rPr>
      </w:pPr>
      <w:r>
        <w:rPr>
          <w:rFonts w:hint="eastAsia" w:hAnsi="宋体"/>
          <w:b/>
          <w:color w:val="auto"/>
          <w:sz w:val="24"/>
          <w:highlight w:val="none"/>
        </w:rPr>
        <w:t>6.</w:t>
      </w:r>
      <w:r>
        <w:rPr>
          <w:rFonts w:hAnsi="宋体"/>
          <w:b/>
          <w:color w:val="auto"/>
          <w:sz w:val="24"/>
          <w:highlight w:val="none"/>
        </w:rPr>
        <w:t>被拒绝的投标文件为无效。</w:t>
      </w:r>
    </w:p>
    <w:p>
      <w:pPr>
        <w:snapToGrid w:val="0"/>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废标的情形</w:t>
      </w:r>
      <w:bookmarkEnd w:id="43"/>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采购中出现下列情形之一的，应予废标（废标后，采购代理机构应当将废标理由通知所有投标人）：</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1.符合专业条件的投标人或对招标文件作实质性响应的投标人不足三家的；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pPr>
        <w:snapToGrid w:val="0"/>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pPr>
        <w:pStyle w:val="17"/>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四、开标</w:t>
      </w:r>
    </w:p>
    <w:p>
      <w:pPr>
        <w:pStyle w:val="14"/>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1、本项目实行电子开评标，投标人无需前往开评标现场，只需在规定时间内在“政采云”平台上上传电子投标文件和准时在线上参加开标。</w:t>
      </w:r>
    </w:p>
    <w:p>
      <w:pPr>
        <w:pStyle w:val="14"/>
        <w:snapToGrid w:val="0"/>
        <w:spacing w:line="520" w:lineRule="exact"/>
        <w:ind w:firstLine="464"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、电子开评标及评审程序</w:t>
      </w:r>
    </w:p>
    <w:p>
      <w:pPr>
        <w:pStyle w:val="14"/>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（1）</w:t>
      </w:r>
      <w:r>
        <w:rPr>
          <w:rFonts w:hAnsi="宋体"/>
          <w:color w:val="auto"/>
          <w:sz w:val="24"/>
          <w:highlight w:val="none"/>
        </w:rPr>
        <w:t>投标截止时间后</w:t>
      </w:r>
      <w:r>
        <w:rPr>
          <w:rFonts w:hint="eastAsia" w:hAnsi="宋体"/>
          <w:color w:val="auto"/>
          <w:sz w:val="24"/>
          <w:highlight w:val="none"/>
        </w:rPr>
        <w:t>的半小时内</w:t>
      </w:r>
      <w:r>
        <w:rPr>
          <w:rFonts w:hAnsi="宋体"/>
          <w:color w:val="auto"/>
          <w:sz w:val="24"/>
          <w:highlight w:val="none"/>
        </w:rPr>
        <w:t>，</w:t>
      </w:r>
      <w:r>
        <w:rPr>
          <w:rFonts w:hint="eastAsia" w:hAnsi="宋体"/>
          <w:color w:val="auto"/>
          <w:sz w:val="24"/>
          <w:highlight w:val="none"/>
        </w:rPr>
        <w:t>由各投标人自行</w:t>
      </w:r>
      <w:r>
        <w:rPr>
          <w:rFonts w:hAnsi="宋体"/>
          <w:color w:val="auto"/>
          <w:sz w:val="24"/>
          <w:highlight w:val="none"/>
        </w:rPr>
        <w:t>对</w:t>
      </w:r>
      <w:r>
        <w:rPr>
          <w:rFonts w:hint="eastAsia" w:hAnsi="宋体"/>
          <w:color w:val="auto"/>
          <w:sz w:val="24"/>
          <w:highlight w:val="none"/>
        </w:rPr>
        <w:t>电子</w:t>
      </w:r>
      <w:r>
        <w:rPr>
          <w:rFonts w:hAnsi="宋体"/>
          <w:color w:val="auto"/>
          <w:sz w:val="24"/>
          <w:highlight w:val="none"/>
        </w:rPr>
        <w:t>投标文件进行解密</w:t>
      </w:r>
      <w:r>
        <w:rPr>
          <w:rFonts w:hint="eastAsia" w:hAnsi="宋体"/>
          <w:color w:val="auto"/>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14"/>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（2）采购人或代理机构对投标人的资格审查文件和评标委员会对投标人的资信商务及技术响应文件进行评审；</w:t>
      </w:r>
    </w:p>
    <w:p>
      <w:pPr>
        <w:pStyle w:val="14"/>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（3）评标委员会对报价文件进行评审；</w:t>
      </w:r>
    </w:p>
    <w:p>
      <w:pPr>
        <w:pStyle w:val="14"/>
        <w:snapToGrid w:val="0"/>
        <w:spacing w:line="520" w:lineRule="exact"/>
        <w:ind w:firstLine="464" w:firstLineChars="200"/>
        <w:rPr>
          <w:rFonts w:hint="eastAsia" w:hAnsi="宋体"/>
          <w:color w:val="auto"/>
          <w:sz w:val="24"/>
          <w:highlight w:val="none"/>
        </w:rPr>
      </w:pPr>
      <w:r>
        <w:rPr>
          <w:rFonts w:hint="eastAsia" w:hAnsi="宋体"/>
          <w:color w:val="auto"/>
          <w:sz w:val="24"/>
          <w:highlight w:val="none"/>
        </w:rPr>
        <w:t>（4）在系统上公布评审结果。</w:t>
      </w:r>
    </w:p>
    <w:p>
      <w:pPr>
        <w:pStyle w:val="17"/>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五、评标</w:t>
      </w:r>
    </w:p>
    <w:p>
      <w:pPr>
        <w:pStyle w:val="17"/>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（一）组建评标委员会</w:t>
      </w:r>
    </w:p>
    <w:p>
      <w:pPr>
        <w:pStyle w:val="17"/>
        <w:snapToGrid w:val="0"/>
        <w:spacing w:beforeLines="0" w:afterLines="0" w:line="500" w:lineRule="exact"/>
        <w:ind w:firstLine="480" w:firstLineChars="200"/>
        <w:rPr>
          <w:rFonts w:hint="eastAsia" w:hAnsi="宋体" w:cs="宋体"/>
          <w:color w:val="auto"/>
          <w:highlight w:val="none"/>
        </w:rPr>
      </w:pPr>
      <w:r>
        <w:rPr>
          <w:rFonts w:hint="eastAsia" w:hAnsi="宋体" w:cs="宋体"/>
          <w:color w:val="auto"/>
          <w:highlight w:val="none"/>
        </w:rPr>
        <w:t>评标委员会由采购人代表和评审专家组成，共5人。</w:t>
      </w:r>
    </w:p>
    <w:p>
      <w:pPr>
        <w:pStyle w:val="17"/>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（二）评标的方式</w:t>
      </w:r>
    </w:p>
    <w:p>
      <w:pPr>
        <w:pStyle w:val="17"/>
        <w:snapToGrid w:val="0"/>
        <w:spacing w:beforeLines="0" w:afterLines="0" w:line="500" w:lineRule="exact"/>
        <w:ind w:firstLine="480" w:firstLineChars="200"/>
        <w:rPr>
          <w:rFonts w:hint="eastAsia" w:hAnsi="宋体"/>
          <w:color w:val="auto"/>
          <w:highlight w:val="none"/>
        </w:rPr>
      </w:pPr>
      <w:r>
        <w:rPr>
          <w:rFonts w:hAnsi="宋体"/>
          <w:color w:val="auto"/>
          <w:highlight w:val="none"/>
        </w:rPr>
        <w:t>本项目采用不公开方式评标，评标的依据为招标文件和投标文件。</w:t>
      </w:r>
    </w:p>
    <w:p>
      <w:pPr>
        <w:pStyle w:val="17"/>
        <w:snapToGrid w:val="0"/>
        <w:spacing w:beforeLines="0" w:afterLines="0" w:line="500" w:lineRule="exact"/>
        <w:ind w:firstLine="482" w:firstLineChars="200"/>
        <w:rPr>
          <w:rFonts w:hint="eastAsia" w:hAnsi="宋体"/>
          <w:b/>
          <w:bCs/>
          <w:color w:val="auto"/>
          <w:highlight w:val="none"/>
        </w:rPr>
      </w:pPr>
      <w:r>
        <w:rPr>
          <w:rFonts w:hAnsi="宋体"/>
          <w:b/>
          <w:color w:val="auto"/>
          <w:highlight w:val="none"/>
        </w:rPr>
        <w:t>（三）</w:t>
      </w:r>
      <w:r>
        <w:rPr>
          <w:rFonts w:hAnsi="宋体"/>
          <w:b/>
          <w:bCs/>
          <w:color w:val="auto"/>
          <w:highlight w:val="none"/>
        </w:rPr>
        <w:t>评标程序</w:t>
      </w:r>
    </w:p>
    <w:p>
      <w:pPr>
        <w:pStyle w:val="17"/>
        <w:snapToGrid w:val="0"/>
        <w:spacing w:beforeLines="0" w:afterLines="0" w:line="500" w:lineRule="exact"/>
        <w:ind w:firstLine="480" w:firstLineChars="200"/>
        <w:rPr>
          <w:rFonts w:hint="eastAsia" w:hAnsi="宋体"/>
          <w:bCs/>
          <w:color w:val="auto"/>
          <w:highlight w:val="none"/>
        </w:rPr>
      </w:pPr>
      <w:r>
        <w:rPr>
          <w:rFonts w:hint="eastAsia" w:hAnsi="宋体"/>
          <w:bCs/>
          <w:color w:val="auto"/>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hint="eastAsia"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500" w:lineRule="exact"/>
        <w:ind w:firstLine="480" w:firstLineChars="200"/>
        <w:rPr>
          <w:rFonts w:hint="eastAsia" w:ascii="宋体" w:hAnsi="宋体"/>
          <w:bCs/>
          <w:color w:val="auto"/>
          <w:sz w:val="24"/>
          <w:highlight w:val="none"/>
        </w:rPr>
      </w:pPr>
      <w:r>
        <w:rPr>
          <w:rFonts w:ascii="宋体" w:hAnsi="宋体"/>
          <w:bCs/>
          <w:color w:val="auto"/>
          <w:sz w:val="24"/>
          <w:highlight w:val="none"/>
        </w:rPr>
        <w:t>形式审查</w:t>
      </w:r>
      <w:r>
        <w:rPr>
          <w:rFonts w:hint="eastAsia" w:ascii="宋体" w:hAnsi="宋体"/>
          <w:bCs/>
          <w:color w:val="auto"/>
          <w:sz w:val="24"/>
          <w:highlight w:val="none"/>
        </w:rPr>
        <w:t>包括资格审查（除符合性审查以外的关于供应商资格条件等内容）和符合性审查，即对供应商的资格</w:t>
      </w:r>
      <w:r>
        <w:rPr>
          <w:rFonts w:ascii="宋体" w:hAnsi="宋体"/>
          <w:bCs/>
          <w:color w:val="auto"/>
          <w:sz w:val="24"/>
          <w:highlight w:val="none"/>
        </w:rPr>
        <w:t>和投标文件的完整性、合法性等进行审查。</w:t>
      </w:r>
      <w:r>
        <w:rPr>
          <w:rFonts w:hint="eastAsia" w:ascii="宋体" w:hAnsi="宋体"/>
          <w:bCs/>
          <w:color w:val="auto"/>
          <w:sz w:val="24"/>
          <w:highlight w:val="none"/>
        </w:rPr>
        <w:t>投标文件形式审查未通过的供应商，其投标文件将不再评审。</w:t>
      </w:r>
    </w:p>
    <w:p>
      <w:pPr>
        <w:snapToGrid w:val="0"/>
        <w:spacing w:line="500" w:lineRule="exact"/>
        <w:ind w:firstLine="482" w:firstLineChars="200"/>
        <w:rPr>
          <w:rFonts w:hint="eastAsia"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w:t>
      </w:r>
      <w:r>
        <w:rPr>
          <w:rFonts w:hint="eastAsia" w:ascii="宋体" w:hAnsi="宋体"/>
          <w:color w:val="auto"/>
          <w:sz w:val="24"/>
          <w:highlight w:val="none"/>
        </w:rPr>
        <w:t>供应商</w:t>
      </w:r>
      <w:r>
        <w:rPr>
          <w:rFonts w:ascii="宋体" w:hAnsi="宋体"/>
          <w:color w:val="auto"/>
          <w:sz w:val="24"/>
          <w:highlight w:val="none"/>
        </w:rPr>
        <w:t>的投标文件进行审查、核对,如有疑问,将对</w:t>
      </w:r>
      <w:r>
        <w:rPr>
          <w:rFonts w:hint="eastAsia" w:ascii="宋体" w:hAnsi="宋体"/>
          <w:color w:val="auto"/>
          <w:sz w:val="24"/>
          <w:highlight w:val="none"/>
        </w:rPr>
        <w:t>供应商</w:t>
      </w:r>
      <w:r>
        <w:rPr>
          <w:rFonts w:ascii="宋体" w:hAnsi="宋体"/>
          <w:color w:val="auto"/>
          <w:sz w:val="24"/>
          <w:highlight w:val="none"/>
        </w:rPr>
        <w:t>进行询标,</w:t>
      </w:r>
      <w:r>
        <w:rPr>
          <w:rFonts w:hint="eastAsia" w:ascii="宋体" w:hAnsi="宋体"/>
          <w:color w:val="auto"/>
          <w:sz w:val="24"/>
          <w:highlight w:val="none"/>
        </w:rPr>
        <w:t>供应商</w:t>
      </w:r>
      <w:r>
        <w:rPr>
          <w:rFonts w:ascii="宋体" w:hAnsi="宋体"/>
          <w:color w:val="auto"/>
          <w:sz w:val="24"/>
          <w:highlight w:val="none"/>
        </w:rPr>
        <w:t>要向评标委员会澄清有关问题,并最终以书面形式进行答复。</w:t>
      </w:r>
    </w:p>
    <w:p>
      <w:pPr>
        <w:snapToGrid w:val="0"/>
        <w:spacing w:line="500" w:lineRule="exact"/>
        <w:ind w:firstLine="480" w:firstLineChars="200"/>
        <w:rPr>
          <w:rFonts w:hint="eastAsia" w:ascii="宋体" w:hAnsi="宋体"/>
          <w:color w:val="auto"/>
          <w:sz w:val="24"/>
          <w:highlight w:val="none"/>
        </w:rPr>
      </w:pPr>
      <w:r>
        <w:rPr>
          <w:rFonts w:ascii="宋体" w:hAnsi="宋体"/>
          <w:color w:val="auto"/>
          <w:sz w:val="24"/>
          <w:highlight w:val="none"/>
        </w:rPr>
        <w:t>询标</w:t>
      </w:r>
      <w:r>
        <w:rPr>
          <w:rFonts w:hint="eastAsia" w:ascii="宋体" w:hAnsi="宋体"/>
          <w:color w:val="auto"/>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资信商务及技术分按照评标委员会成员的独立评分结果汇后的算术平均分计算</w:t>
      </w:r>
      <w:r>
        <w:rPr>
          <w:rFonts w:ascii="宋体" w:hAnsi="宋体"/>
          <w:color w:val="auto"/>
          <w:sz w:val="24"/>
          <w:highlight w:val="none"/>
        </w:rPr>
        <w:t>。</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平湖市公共资源交易中心工作人员协助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本项目的评分标准操作政府采购业务系统，由系统</w:t>
      </w:r>
      <w:r>
        <w:rPr>
          <w:rFonts w:ascii="宋体" w:hAnsi="宋体"/>
          <w:color w:val="auto"/>
          <w:sz w:val="24"/>
          <w:highlight w:val="none"/>
        </w:rPr>
        <w:t>计算各</w:t>
      </w:r>
      <w:r>
        <w:rPr>
          <w:rFonts w:hint="eastAsia" w:ascii="宋体" w:hAnsi="宋体"/>
          <w:color w:val="auto"/>
          <w:sz w:val="24"/>
          <w:highlight w:val="none"/>
        </w:rPr>
        <w:t>供应商</w:t>
      </w:r>
      <w:r>
        <w:rPr>
          <w:rFonts w:ascii="宋体" w:hAnsi="宋体"/>
          <w:color w:val="auto"/>
          <w:sz w:val="24"/>
          <w:highlight w:val="none"/>
        </w:rPr>
        <w:t>的商务报价得分</w:t>
      </w:r>
      <w:r>
        <w:rPr>
          <w:rFonts w:hint="eastAsia" w:ascii="宋体" w:hAnsi="宋体"/>
          <w:color w:val="auto"/>
          <w:sz w:val="24"/>
          <w:highlight w:val="none"/>
        </w:rPr>
        <w:t>。</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w:t>
      </w:r>
      <w:r>
        <w:rPr>
          <w:rFonts w:hint="eastAsia" w:ascii="宋体" w:hAnsi="宋体"/>
          <w:color w:val="auto"/>
          <w:sz w:val="24"/>
          <w:highlight w:val="none"/>
        </w:rPr>
        <w:t>入围</w:t>
      </w:r>
      <w:r>
        <w:rPr>
          <w:rFonts w:ascii="宋体" w:hAnsi="宋体"/>
          <w:color w:val="auto"/>
          <w:sz w:val="24"/>
          <w:highlight w:val="none"/>
        </w:rPr>
        <w:t>候选人同时起草评标报告。</w:t>
      </w:r>
    </w:p>
    <w:p>
      <w:pPr>
        <w:snapToGrid w:val="0"/>
        <w:spacing w:line="5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（四）澄清问题的形式</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（五）错误修正</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3.总价金额与按单价汇总金额不一致的，以单价金额计算结果为准；</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4.对不同文字文本投标文件的解释发生异议的，以中文文本为准。</w:t>
      </w:r>
    </w:p>
    <w:p>
      <w:pPr>
        <w:spacing w:line="5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5.客户端填写的报价与以pdf格式上传文件中的报价不一致的，应以pdf格式上传文件中的报价为准。</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7"/>
        <w:tabs>
          <w:tab w:val="left" w:pos="630"/>
        </w:tabs>
        <w:snapToGrid w:val="0"/>
        <w:spacing w:beforeLines="0" w:afterLines="0" w:line="500" w:lineRule="exact"/>
        <w:ind w:firstLine="482" w:firstLineChars="200"/>
        <w:rPr>
          <w:rFonts w:hint="eastAsia" w:hAnsi="宋体"/>
          <w:b/>
          <w:color w:val="auto"/>
          <w:highlight w:val="none"/>
        </w:rPr>
      </w:pPr>
      <w:r>
        <w:rPr>
          <w:rFonts w:hAnsi="宋体"/>
          <w:b/>
          <w:color w:val="auto"/>
          <w:highlight w:val="none"/>
        </w:rPr>
        <w:t>（六）评标原则和评标办法</w:t>
      </w:r>
    </w:p>
    <w:p>
      <w:pPr>
        <w:pStyle w:val="17"/>
        <w:snapToGrid w:val="0"/>
        <w:spacing w:beforeLines="0" w:afterLines="0" w:line="500" w:lineRule="exact"/>
        <w:ind w:firstLine="480" w:firstLineChars="200"/>
        <w:rPr>
          <w:rFonts w:hint="eastAsia"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olor w:val="auto"/>
          <w:highlight w:val="none"/>
        </w:rPr>
        <w:t>供应商</w:t>
      </w:r>
      <w:r>
        <w:rPr>
          <w:rFonts w:hAnsi="宋体"/>
          <w:color w:val="auto"/>
          <w:highlight w:val="none"/>
        </w:rPr>
        <w:t>接触。</w:t>
      </w:r>
    </w:p>
    <w:p>
      <w:pPr>
        <w:pStyle w:val="17"/>
        <w:snapToGrid w:val="0"/>
        <w:spacing w:beforeLines="0" w:afterLines="0" w:line="500" w:lineRule="exact"/>
        <w:ind w:firstLine="480" w:firstLineChars="200"/>
        <w:rPr>
          <w:rFonts w:hint="eastAsia"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int="eastAsia" w:hAnsi="宋体"/>
          <w:color w:val="auto"/>
          <w:highlight w:val="none"/>
        </w:rPr>
        <w:t>综合评标法</w:t>
      </w:r>
      <w:r>
        <w:rPr>
          <w:rFonts w:hAnsi="宋体"/>
          <w:color w:val="auto"/>
          <w:highlight w:val="none"/>
        </w:rPr>
        <w:t xml:space="preserve"> ，具体评标内容及评分标准等详见《第四章：评标办法及评分标准》。</w:t>
      </w:r>
    </w:p>
    <w:p>
      <w:pPr>
        <w:pStyle w:val="17"/>
        <w:snapToGrid w:val="0"/>
        <w:spacing w:beforeLines="0" w:afterLines="0" w:line="500" w:lineRule="exact"/>
        <w:ind w:firstLine="482" w:firstLineChars="200"/>
        <w:rPr>
          <w:rFonts w:hint="eastAsia" w:hAnsi="宋体"/>
          <w:b/>
          <w:bCs/>
          <w:color w:val="auto"/>
          <w:highlight w:val="none"/>
        </w:rPr>
      </w:pPr>
      <w:r>
        <w:rPr>
          <w:rFonts w:hAnsi="宋体"/>
          <w:b/>
          <w:bCs/>
          <w:color w:val="auto"/>
          <w:highlight w:val="none"/>
        </w:rPr>
        <w:t>（七）评标过程的监控</w:t>
      </w:r>
    </w:p>
    <w:p>
      <w:pPr>
        <w:pStyle w:val="17"/>
        <w:snapToGrid w:val="0"/>
        <w:spacing w:beforeLines="0" w:afterLines="0" w:line="500" w:lineRule="exact"/>
        <w:ind w:firstLine="480" w:firstLineChars="200"/>
        <w:rPr>
          <w:rFonts w:hint="eastAsia" w:hAnsi="宋体"/>
          <w:color w:val="auto"/>
          <w:highlight w:val="none"/>
        </w:rPr>
      </w:pPr>
      <w:r>
        <w:rPr>
          <w:rFonts w:hAnsi="宋体"/>
          <w:color w:val="auto"/>
          <w:highlight w:val="none"/>
        </w:rPr>
        <w:t>本项目评标过程实行全程录音、录像监控</w:t>
      </w:r>
      <w:r>
        <w:rPr>
          <w:rFonts w:hint="eastAsia" w:hAnsi="宋体"/>
          <w:color w:val="auto"/>
          <w:highlight w:val="none"/>
        </w:rPr>
        <w:t>，且有</w:t>
      </w:r>
      <w:r>
        <w:rPr>
          <w:rFonts w:hint="eastAsia" w:hAnsi="宋体"/>
          <w:b/>
          <w:bCs/>
          <w:color w:val="auto"/>
          <w:highlight w:val="none"/>
          <w:u w:val="single"/>
        </w:rPr>
        <w:t>（平湖市政务服务管理办公室交易管理科/平湖市财政局政府采购监管科</w:t>
      </w:r>
      <w:r>
        <w:rPr>
          <w:rFonts w:hAnsi="宋体"/>
          <w:b/>
          <w:bCs/>
          <w:color w:val="auto"/>
          <w:highlight w:val="none"/>
          <w:u w:val="single"/>
        </w:rPr>
        <w:t>）</w:t>
      </w:r>
      <w:r>
        <w:rPr>
          <w:rFonts w:hAnsi="宋体"/>
          <w:color w:val="auto"/>
          <w:highlight w:val="none"/>
        </w:rPr>
        <w:t>进行监督</w:t>
      </w:r>
      <w:r>
        <w:rPr>
          <w:rFonts w:hint="eastAsia" w:hAnsi="宋体"/>
          <w:color w:val="auto"/>
          <w:highlight w:val="none"/>
        </w:rPr>
        <w:t>，</w:t>
      </w:r>
      <w:r>
        <w:rPr>
          <w:rFonts w:hAnsi="宋体"/>
          <w:color w:val="auto"/>
          <w:highlight w:val="none"/>
        </w:rPr>
        <w:t>投标人在评标过程中所进行的</w:t>
      </w:r>
      <w:r>
        <w:rPr>
          <w:rFonts w:hint="eastAsia" w:hAnsi="宋体"/>
          <w:color w:val="auto"/>
          <w:highlight w:val="none"/>
        </w:rPr>
        <w:t>试</w:t>
      </w:r>
      <w:r>
        <w:rPr>
          <w:rFonts w:hAnsi="宋体"/>
          <w:color w:val="auto"/>
          <w:highlight w:val="none"/>
        </w:rPr>
        <w:t>图影响评标结果的不公正活动，</w:t>
      </w:r>
      <w:r>
        <w:rPr>
          <w:rFonts w:hint="eastAsia" w:hAnsi="宋体"/>
          <w:color w:val="auto"/>
          <w:highlight w:val="none"/>
        </w:rPr>
        <w:t>将按有关法律法规处理</w:t>
      </w:r>
      <w:r>
        <w:rPr>
          <w:rFonts w:hAnsi="宋体"/>
          <w:color w:val="auto"/>
          <w:highlight w:val="none"/>
        </w:rPr>
        <w:t>。</w:t>
      </w:r>
    </w:p>
    <w:p>
      <w:pPr>
        <w:pStyle w:val="17"/>
        <w:snapToGrid w:val="0"/>
        <w:spacing w:beforeLines="0" w:afterLines="0" w:line="500" w:lineRule="exact"/>
        <w:ind w:firstLine="482" w:firstLineChars="200"/>
        <w:outlineLvl w:val="1"/>
        <w:rPr>
          <w:rFonts w:hint="eastAsia" w:hAnsi="宋体"/>
          <w:b/>
          <w:color w:val="auto"/>
          <w:highlight w:val="none"/>
        </w:rPr>
      </w:pPr>
      <w:r>
        <w:rPr>
          <w:rFonts w:hAnsi="宋体"/>
          <w:b/>
          <w:color w:val="auto"/>
          <w:highlight w:val="none"/>
        </w:rPr>
        <w:t>六、定标</w:t>
      </w:r>
    </w:p>
    <w:p>
      <w:pPr>
        <w:snapToGrid w:val="0"/>
        <w:spacing w:line="500" w:lineRule="exact"/>
        <w:ind w:firstLine="482" w:firstLineChars="200"/>
        <w:jc w:val="left"/>
        <w:outlineLvl w:val="0"/>
        <w:rPr>
          <w:rFonts w:hint="eastAsia" w:ascii="宋体" w:hAnsi="宋体"/>
          <w:b/>
          <w:color w:val="auto"/>
          <w:sz w:val="24"/>
          <w:highlight w:val="none"/>
        </w:rPr>
      </w:pPr>
      <w:r>
        <w:rPr>
          <w:rFonts w:hint="eastAsia" w:ascii="宋体" w:hAnsi="宋体"/>
          <w:b/>
          <w:color w:val="auto"/>
          <w:sz w:val="24"/>
          <w:highlight w:val="none"/>
        </w:rPr>
        <w:t>确定中标人。</w:t>
      </w:r>
    </w:p>
    <w:p>
      <w:pPr>
        <w:snapToGrid w:val="0"/>
        <w:spacing w:line="50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.采购代理机构在评标结束后</w:t>
      </w:r>
      <w:r>
        <w:rPr>
          <w:rFonts w:hint="eastAsia" w:ascii="宋体" w:hAnsi="宋体"/>
          <w:color w:val="auto"/>
          <w:sz w:val="24"/>
          <w:highlight w:val="none"/>
        </w:rPr>
        <w:t>2</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将评标报告交采购人确认</w:t>
      </w:r>
      <w:r>
        <w:rPr>
          <w:rFonts w:hint="eastAsia" w:ascii="宋体" w:hAnsi="宋体"/>
          <w:color w:val="auto"/>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auto"/>
          <w:sz w:val="24"/>
          <w:highlight w:val="none"/>
        </w:rPr>
        <w:t>发布招标公告的网站上</w:t>
      </w:r>
      <w:r>
        <w:rPr>
          <w:rFonts w:hint="eastAsia" w:ascii="宋体" w:hAnsi="宋体"/>
          <w:color w:val="auto"/>
          <w:sz w:val="24"/>
          <w:highlight w:val="none"/>
        </w:rPr>
        <w:t>公布中</w:t>
      </w:r>
      <w:r>
        <w:rPr>
          <w:rFonts w:ascii="宋体" w:hAnsi="宋体"/>
          <w:color w:val="auto"/>
          <w:sz w:val="24"/>
          <w:highlight w:val="none"/>
        </w:rPr>
        <w:t>标结果</w:t>
      </w:r>
      <w:r>
        <w:rPr>
          <w:rFonts w:hint="eastAsia" w:ascii="宋体" w:hAnsi="宋体"/>
          <w:color w:val="auto"/>
          <w:sz w:val="24"/>
          <w:highlight w:val="none"/>
        </w:rPr>
        <w:t>公告</w:t>
      </w:r>
      <w:r>
        <w:rPr>
          <w:rFonts w:ascii="宋体" w:hAnsi="宋体"/>
          <w:color w:val="auto"/>
          <w:sz w:val="24"/>
          <w:highlight w:val="none"/>
        </w:rPr>
        <w:t>。</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 在公告中标结果的同时，</w:t>
      </w:r>
      <w:r>
        <w:rPr>
          <w:rFonts w:ascii="宋体" w:hAnsi="宋体"/>
          <w:color w:val="auto"/>
          <w:sz w:val="24"/>
          <w:highlight w:val="none"/>
        </w:rPr>
        <w:t>采购代理机构</w:t>
      </w:r>
      <w:r>
        <w:rPr>
          <w:rFonts w:hint="eastAsia" w:ascii="宋体" w:hAnsi="宋体"/>
          <w:color w:val="auto"/>
          <w:sz w:val="24"/>
          <w:highlight w:val="none"/>
        </w:rPr>
        <w:t>向中标人</w:t>
      </w:r>
      <w:r>
        <w:rPr>
          <w:rFonts w:ascii="宋体" w:hAnsi="宋体"/>
          <w:color w:val="auto"/>
          <w:sz w:val="24"/>
          <w:highlight w:val="none"/>
        </w:rPr>
        <w:t>发出《中标通知书》</w:t>
      </w:r>
      <w:r>
        <w:rPr>
          <w:rFonts w:hint="eastAsia" w:ascii="宋体" w:hAnsi="宋体"/>
          <w:color w:val="auto"/>
          <w:sz w:val="24"/>
          <w:highlight w:val="none"/>
        </w:rPr>
        <w:t>。</w:t>
      </w:r>
    </w:p>
    <w:p>
      <w:pPr>
        <w:pStyle w:val="17"/>
        <w:snapToGrid w:val="0"/>
        <w:spacing w:beforeLines="0" w:afterLines="0" w:line="520" w:lineRule="exact"/>
        <w:ind w:firstLine="482" w:firstLineChars="200"/>
        <w:outlineLvl w:val="1"/>
        <w:rPr>
          <w:rFonts w:hint="eastAsia" w:hAnsi="宋体"/>
          <w:b/>
          <w:color w:val="auto"/>
          <w:highlight w:val="none"/>
        </w:rPr>
      </w:pPr>
      <w:r>
        <w:rPr>
          <w:rFonts w:hAnsi="宋体"/>
          <w:b/>
          <w:color w:val="auto"/>
          <w:highlight w:val="none"/>
        </w:rPr>
        <w:t>七、合同授予</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color w:val="auto"/>
          <w:sz w:val="24"/>
          <w:highlight w:val="none"/>
        </w:rPr>
      </w:pPr>
      <w:r>
        <w:rPr>
          <w:rFonts w:ascii="宋体" w:hAnsi="宋体"/>
          <w:color w:val="auto"/>
          <w:sz w:val="24"/>
          <w:highlight w:val="none"/>
        </w:rPr>
        <w:t>2.中标人拖延、拒签合同的，将取消中标资格。</w:t>
      </w:r>
      <w:r>
        <w:rPr>
          <w:rFonts w:hint="eastAsia" w:ascii="宋体" w:hAnsi="宋体"/>
          <w:color w:val="auto"/>
          <w:sz w:val="24"/>
          <w:highlight w:val="none"/>
        </w:rPr>
        <w:t>中标供应商在接到《中标通知书》后，违反采购文件有关规定和要求，不履行投标承诺，在规定时间内拒签合同或放弃中标的，则取消该投标人的中标资格。</w:t>
      </w: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
        <w:jc w:val="center"/>
        <w:rPr>
          <w:color w:val="auto"/>
          <w:highlight w:val="none"/>
        </w:rPr>
      </w:pPr>
      <w:r>
        <w:rPr>
          <w:rFonts w:hint="eastAsia"/>
          <w:color w:val="auto"/>
          <w:highlight w:val="none"/>
        </w:rPr>
        <w:t xml:space="preserve">第四章 </w:t>
      </w:r>
      <w:r>
        <w:rPr>
          <w:color w:val="auto"/>
          <w:highlight w:val="none"/>
        </w:rPr>
        <w:t>评标办法及评分标准</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hint="eastAsia" w:ascii="宋体" w:hAnsi="宋体"/>
          <w:bCs/>
          <w:color w:val="auto"/>
          <w:sz w:val="24"/>
          <w:highlight w:val="none"/>
        </w:rPr>
      </w:pPr>
      <w:r>
        <w:rPr>
          <w:rFonts w:ascii="宋体" w:hAnsi="宋体"/>
          <w:color w:val="auto"/>
          <w:sz w:val="24"/>
          <w:highlight w:val="none"/>
        </w:rPr>
        <w:t>本办法适用于</w:t>
      </w:r>
      <w:r>
        <w:rPr>
          <w:rFonts w:hint="eastAsia" w:ascii="宋体" w:hAnsi="宋体"/>
          <w:color w:val="auto"/>
          <w:sz w:val="24"/>
          <w:highlight w:val="none"/>
          <w:u w:val="single"/>
        </w:rPr>
        <w:t xml:space="preserve"> 上海世外教育附属平湖经开实验小学智阅空间设备采购项目</w:t>
      </w:r>
      <w:r>
        <w:rPr>
          <w:rFonts w:hint="eastAsia" w:ascii="宋体" w:hAnsi="宋体"/>
          <w:bCs/>
          <w:color w:val="auto"/>
          <w:sz w:val="24"/>
          <w:highlight w:val="none"/>
          <w:u w:val="single"/>
        </w:rPr>
        <w:t xml:space="preserve"> </w:t>
      </w:r>
      <w:r>
        <w:rPr>
          <w:rFonts w:ascii="宋体" w:hAnsi="宋体"/>
          <w:bCs/>
          <w:color w:val="auto"/>
          <w:sz w:val="24"/>
          <w:highlight w:val="none"/>
        </w:rPr>
        <w:t>的评标。</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3、投标人评标综合得分=报价分+技术商务资信分。</w:t>
      </w:r>
    </w:p>
    <w:p>
      <w:pPr>
        <w:spacing w:line="500" w:lineRule="exact"/>
        <w:ind w:firstLine="551" w:firstLineChars="196"/>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tbl>
      <w:tblPr>
        <w:tblStyle w:val="26"/>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7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2" w:type="dxa"/>
            <w:shd w:val="clear" w:color="auto" w:fill="FFFFFF"/>
            <w:noWrap/>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874" w:type="dxa"/>
            <w:shd w:val="clear" w:color="auto" w:fill="FFFFFF"/>
            <w:noWrap/>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1064" w:type="dxa"/>
            <w:shd w:val="clear" w:color="auto" w:fill="FFFFFF"/>
            <w:noWrap/>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42"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价格分（30分）</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180" w:type="dxa"/>
            <w:gridSpan w:val="3"/>
            <w:noWrap/>
            <w:vAlign w:val="center"/>
          </w:tcPr>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t>技术分（67分）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42"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投标货物技术参数响应情况</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所投产品具体配置表、技术参数及偏离情况：完全满足招标文件中技术参数指标项目要求的，得20分；每有一项负偏离的扣1分，扣完为止。</w:t>
            </w:r>
          </w:p>
          <w:p>
            <w:pPr>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 xml:space="preserve">（注：技术指标要求提供相关证明材料、承诺函的，未提供的视作负偏离。） </w:t>
            </w:r>
            <w:r>
              <w:rPr>
                <w:rFonts w:hint="eastAsia" w:ascii="宋体" w:hAnsi="宋体" w:cs="宋体"/>
                <w:color w:val="auto"/>
                <w:sz w:val="24"/>
                <w:highlight w:val="none"/>
              </w:rPr>
              <w:t xml:space="preserve">  </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技术方案</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1、根据投标人对本项目整体需求、对项目建设背景、现状分析、建设目标、功能需求的理解，要求投标人提供详细的需求分析说明，由评委进行打分。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noWrap/>
            <w:vAlign w:val="center"/>
          </w:tcPr>
          <w:p>
            <w:pPr>
              <w:spacing w:line="360" w:lineRule="auto"/>
              <w:jc w:val="left"/>
              <w:rPr>
                <w:rFonts w:hint="eastAsia" w:ascii="宋体" w:hAnsi="宋体" w:cs="宋体"/>
                <w:color w:val="auto"/>
                <w:sz w:val="24"/>
                <w:highlight w:val="none"/>
              </w:rPr>
            </w:pP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2、根据投标人的项目组织实施方案（项目组织、项目实施规范、项目管理制度、供货进度、安装调试计划等）的科学性、合理性、规范性和可操作性进行打分。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42" w:type="dxa"/>
            <w:noWrap/>
            <w:vAlign w:val="center"/>
          </w:tcPr>
          <w:p>
            <w:pPr>
              <w:pStyle w:val="11"/>
              <w:adjustRightInd/>
              <w:spacing w:line="360" w:lineRule="auto"/>
              <w:textAlignment w:val="auto"/>
              <w:rPr>
                <w:rFonts w:hint="eastAsia" w:cs="宋体"/>
                <w:color w:val="auto"/>
                <w:sz w:val="24"/>
                <w:highlight w:val="none"/>
              </w:rPr>
            </w:pPr>
            <w:r>
              <w:rPr>
                <w:rFonts w:hint="eastAsia" w:cs="宋体"/>
                <w:color w:val="auto"/>
                <w:sz w:val="24"/>
                <w:highlight w:val="none"/>
              </w:rPr>
              <w:t>服务支撑产品相关佐证及一致性</w:t>
            </w:r>
          </w:p>
          <w:p>
            <w:pPr>
              <w:spacing w:line="360" w:lineRule="auto"/>
              <w:jc w:val="left"/>
              <w:rPr>
                <w:rFonts w:hint="eastAsia" w:ascii="宋体" w:hAnsi="宋体" w:cs="宋体"/>
                <w:color w:val="auto"/>
                <w:sz w:val="24"/>
                <w:highlight w:val="none"/>
              </w:rPr>
            </w:pPr>
          </w:p>
        </w:tc>
        <w:tc>
          <w:tcPr>
            <w:tcW w:w="7874" w:type="dxa"/>
            <w:noWrap/>
            <w:vAlign w:val="center"/>
          </w:tcPr>
          <w:p>
            <w:pPr>
              <w:widowControl/>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1、提供高清电子图书的内置资源具备合法版权，提供出版社出具的授权协议，每提供一个得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分；提供个人作者授权书或相关证明材料，每提供一个得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分，最高得1分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3分；</w:t>
            </w:r>
          </w:p>
          <w:p>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2、提供论文检测系统相关计算机软件著作权登记证书，本项得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3、所投平台拥有自主知识产权，供应商须提供分级阅读平台的计算机软件著作权登记证书，本项得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42"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智慧教学系统安全性</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所投校园阅读系统中智慧教学系统模块具备信息系统安全等级保护3级备案证明并提供等级测评报告得2分</w:t>
            </w:r>
            <w:r>
              <w:rPr>
                <w:rFonts w:hint="eastAsia" w:ascii="宋体" w:hAnsi="宋体" w:cs="宋体"/>
                <w:color w:val="auto"/>
                <w:sz w:val="24"/>
                <w:highlight w:val="none"/>
                <w:lang w:eastAsia="zh-CN"/>
              </w:rPr>
              <w:t>。</w:t>
            </w:r>
            <w:r>
              <w:rPr>
                <w:rFonts w:hint="eastAsia" w:ascii="宋体" w:hAnsi="宋体" w:cs="宋体"/>
                <w:color w:val="auto"/>
                <w:sz w:val="24"/>
                <w:highlight w:val="none"/>
              </w:rPr>
              <w:t>提供相关证明材料，否则不得分。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pacing w:val="-4"/>
                <w:kern w:val="0"/>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42" w:type="dxa"/>
            <w:noWrap/>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视频演示</w:t>
            </w:r>
          </w:p>
        </w:tc>
        <w:tc>
          <w:tcPr>
            <w:tcW w:w="7874" w:type="dxa"/>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highlight w:val="none"/>
              </w:rPr>
            </w:pPr>
            <w:r>
              <w:rPr>
                <w:rFonts w:hint="eastAsia" w:ascii="宋体" w:hAnsi="宋体" w:cs="宋体"/>
                <w:color w:val="auto"/>
                <w:sz w:val="24"/>
                <w:highlight w:val="none"/>
              </w:rPr>
              <w:t>投标人对以下相应功能进行</w:t>
            </w:r>
            <w:r>
              <w:rPr>
                <w:rFonts w:ascii="宋体" w:hAnsi="宋体" w:cs="宋体"/>
                <w:color w:val="auto"/>
                <w:sz w:val="24"/>
                <w:highlight w:val="none"/>
              </w:rPr>
              <w:t>视频</w:t>
            </w:r>
            <w:r>
              <w:rPr>
                <w:rFonts w:hint="eastAsia" w:ascii="宋体" w:hAnsi="宋体" w:cs="宋体"/>
                <w:color w:val="auto"/>
                <w:sz w:val="24"/>
                <w:highlight w:val="none"/>
              </w:rPr>
              <w:t>演示，评委根据情况进行综合打分（政采云平台在线发起，投标人无须到达现场，视频演示时间不得超过20分钟）：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一、图书管理系统</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工作台对应不同的工作类型，实现多个工作台切换操作。支持对工作台基本信息、服务图书馆、可操作人员、业务馆藏地和资源管理的配置；馆藏分配规则实现条码区间可共享并可对分配规则排序；资源采访支持使用经费及经费使用规则的管理。可选择可采购资料类型，移除某一资料采购类型，预订、订购页面不再显示此资料采购类型；读者服务提供对流通基本参数中的付款信息、阅览管理规则的设置，可选择机构及本馆办证用户类型，限制本馆和异馆的借书、还书和罚款行为。（</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center"/>
              <w:rPr>
                <w:rFonts w:hint="eastAsia" w:ascii="宋体" w:hAnsi="宋体" w:eastAsia="宋体" w:cs="宋体"/>
                <w:color w:val="auto"/>
                <w:spacing w:val="0"/>
                <w:kern w:val="2"/>
                <w:sz w:val="24"/>
                <w:highlight w:val="none"/>
              </w:rPr>
            </w:pPr>
            <w:r>
              <w:rPr>
                <w:rFonts w:hint="eastAsia" w:ascii="宋体" w:hAnsi="宋体" w:eastAsia="宋体" w:cs="宋体"/>
                <w:color w:val="auto"/>
                <w:spacing w:val="0"/>
                <w:kern w:val="2"/>
                <w:sz w:val="24"/>
                <w:highlight w:val="none"/>
              </w:rPr>
              <w:t>2.对接公共图书馆系统，读者可关键词检一键检索显示校内该图书馆藏信息、公共图书馆该图书馆藏信息，以及该图书对应数字资源（</w:t>
            </w:r>
            <w:r>
              <w:rPr>
                <w:rFonts w:hint="eastAsia" w:hAnsi="宋体" w:cs="宋体"/>
                <w:color w:val="auto"/>
                <w:spacing w:val="0"/>
                <w:kern w:val="2"/>
                <w:sz w:val="24"/>
                <w:highlight w:val="none"/>
                <w:lang w:val="en-US" w:eastAsia="zh-CN"/>
              </w:rPr>
              <w:t>0-2</w:t>
            </w:r>
            <w:r>
              <w:rPr>
                <w:rFonts w:hint="eastAsia" w:ascii="宋体" w:hAnsi="宋体" w:eastAsia="宋体" w:cs="宋体"/>
                <w:color w:val="auto"/>
                <w:spacing w:val="0"/>
                <w:kern w:val="2"/>
                <w:sz w:val="24"/>
                <w:highlight w:val="none"/>
              </w:rPr>
              <w:t>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二、校园阅读系统</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可对接省阅读平台（之江阅），打通示范教学包模块，使用移动端便捷开展校本阅读课，课程、ppt、笔记、图片、视频、音频、等内容一键投屏到一体机上，投屏的图片支持远程缩放控制、支持聚光灯和激光笔演示功能，方便教师进行教学活动。（</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2.平台支持课堂教学情景的移动端投屏到大屏幕演示互动，支持发起课堂签到、课堂测验、投票、随机选人、抢答、评分等课堂互动活动，对于远程教学，教师可以利用手机端、电脑端发起视频直播。（</w:t>
            </w: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 精选不少于13本中学必读书目图书，支持PC、移动端、小程序、大屏等多终端自适应，内容涵盖机器问答、词云梳理、摘要提取、试题与脑图生成等（</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4.提供文献传递服务，并且接入全国图书馆参考咨询联盟建立的云传递共享平台。传递的文献必须能够随时随地打开阅读。（</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5.要求对接图书管理系统，使用校园阅读系统手机端扫描图书馆纸质图书条形码，可实时查看对应该图书所在的馆藏架位信息和可预约、可借阅情况。（</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pacing w:val="0"/>
                <w:kern w:val="2"/>
                <w:sz w:val="24"/>
                <w:highlight w:val="none"/>
              </w:rPr>
            </w:pPr>
            <w:r>
              <w:rPr>
                <w:rFonts w:hint="eastAsia" w:ascii="宋体" w:hAnsi="宋体" w:eastAsia="宋体" w:cs="宋体"/>
                <w:color w:val="auto"/>
                <w:sz w:val="24"/>
                <w:highlight w:val="none"/>
              </w:rPr>
              <w:t>6.平台移动端提供文章查重服务，每万字的检测需在数秒内完成，并在10分钟内提供检测报告，比对基础库中的数据包含图书、报纸、期刊、网络文档等多种文献类型，网页报告中支持显示论文的基本信息、正文字数、检测范围、相似度、重复字数等指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rPr>
              <w:t>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42"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实施人员方案</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投标人针对本项目的项目组织结构以及成员配备情况，根据其合理性、完整性、科学性以及项目实施人员的素质、经验等情况打分。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pacing w:val="-4"/>
                <w:kern w:val="0"/>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42"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培训方案</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根据投标人提供的培训方案（包括培训的具体内容、培训地点、培训方案、培训课程计划）进行打分。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242"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应急方案</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针对本项目基本情况，提供先进、具体、完整、可行的应急响应方案，根据方案进行打分。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242"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售后服务</w:t>
            </w:r>
          </w:p>
        </w:tc>
        <w:tc>
          <w:tcPr>
            <w:tcW w:w="7874" w:type="dxa"/>
            <w:noWrap/>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根据供应商提供的售后服务方案、售后服务体系、售后服务承诺、服务响应时间、备品规划、后续技术支持和维护能力，解决问题所采取的措施等的全面性、可行性等情况打分。</w:t>
            </w:r>
          </w:p>
        </w:tc>
        <w:tc>
          <w:tcPr>
            <w:tcW w:w="1064" w:type="dxa"/>
            <w:noWrap/>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180" w:type="dxa"/>
            <w:gridSpan w:val="3"/>
            <w:noWrap/>
            <w:vAlign w:val="center"/>
          </w:tcPr>
          <w:p>
            <w:pPr>
              <w:spacing w:line="360" w:lineRule="auto"/>
              <w:jc w:val="center"/>
              <w:rPr>
                <w:rFonts w:hint="eastAsia" w:ascii="宋体" w:hAnsi="宋体" w:cs="宋体"/>
                <w:color w:val="auto"/>
                <w:sz w:val="24"/>
                <w:highlight w:val="none"/>
              </w:rPr>
            </w:pPr>
            <w:r>
              <w:rPr>
                <w:rFonts w:hint="eastAsia" w:ascii="宋体" w:hAnsi="宋体" w:cs="宋体"/>
                <w:b/>
                <w:bCs/>
                <w:color w:val="auto"/>
                <w:kern w:val="0"/>
                <w:sz w:val="24"/>
                <w:highlight w:val="none"/>
              </w:rPr>
              <w:t>商务及其他分（3分）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24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业绩</w:t>
            </w:r>
          </w:p>
        </w:tc>
        <w:tc>
          <w:tcPr>
            <w:tcW w:w="7874" w:type="dxa"/>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投标人具有2021年1月1日以来（以合同签订时间为准）承担过同类项目业绩的，每个得1分，最高得3分。（须提供合同复印件）                                               </w:t>
            </w:r>
            <w:r>
              <w:rPr>
                <w:rFonts w:hint="eastAsia" w:ascii="宋体" w:hAnsi="宋体" w:cs="宋体"/>
                <w:color w:val="auto"/>
                <w:spacing w:val="-6"/>
                <w:kern w:val="0"/>
                <w:sz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064"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0-3分</w:t>
            </w:r>
          </w:p>
        </w:tc>
      </w:tr>
    </w:tbl>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bookmarkStart w:id="142" w:name="_GoBack"/>
      <w:bookmarkEnd w:id="142"/>
    </w:p>
    <w:p>
      <w:pPr>
        <w:pStyle w:val="16"/>
        <w:rPr>
          <w:rFonts w:hint="eastAsia" w:ascii="宋体" w:hAnsi="宋体" w:cs="宋体"/>
          <w:b/>
          <w:color w:val="auto"/>
          <w:sz w:val="28"/>
          <w:szCs w:val="28"/>
          <w:highlight w:val="none"/>
        </w:rPr>
      </w:pPr>
    </w:p>
    <w:p>
      <w:pPr>
        <w:pStyle w:val="16"/>
        <w:rPr>
          <w:rFonts w:hint="eastAsia" w:ascii="宋体" w:hAnsi="宋体" w:cs="宋体"/>
          <w:b/>
          <w:color w:val="auto"/>
          <w:sz w:val="28"/>
          <w:szCs w:val="28"/>
          <w:highlight w:val="none"/>
        </w:rPr>
      </w:pPr>
    </w:p>
    <w:p>
      <w:pPr>
        <w:pStyle w:val="2"/>
        <w:spacing w:line="360" w:lineRule="auto"/>
        <w:jc w:val="center"/>
        <w:rPr>
          <w:color w:val="auto"/>
          <w:highlight w:val="none"/>
        </w:rPr>
      </w:pPr>
      <w:r>
        <w:rPr>
          <w:color w:val="auto"/>
          <w:highlight w:val="none"/>
        </w:rPr>
        <w:t>第</w:t>
      </w:r>
      <w:r>
        <w:rPr>
          <w:rFonts w:hint="eastAsia"/>
          <w:color w:val="auto"/>
          <w:highlight w:val="none"/>
        </w:rPr>
        <w:t>五</w:t>
      </w:r>
      <w:r>
        <w:rPr>
          <w:color w:val="auto"/>
          <w:highlight w:val="none"/>
        </w:rPr>
        <w:t xml:space="preserve">章  </w:t>
      </w:r>
      <w:r>
        <w:rPr>
          <w:rFonts w:hint="eastAsia"/>
          <w:color w:val="auto"/>
          <w:highlight w:val="none"/>
        </w:rPr>
        <w:t>平湖市政府采购合同（指引）</w:t>
      </w:r>
    </w:p>
    <w:p>
      <w:pPr>
        <w:spacing w:line="360" w:lineRule="auto"/>
        <w:rPr>
          <w:rFonts w:hint="eastAsia" w:ascii="宋体" w:hAnsi="宋体"/>
          <w:color w:val="auto"/>
          <w:sz w:val="24"/>
          <w:highlight w:val="none"/>
        </w:rPr>
      </w:pPr>
      <w:r>
        <w:rPr>
          <w:rFonts w:hint="eastAsia" w:ascii="宋体" w:hAnsi="宋体"/>
          <w:color w:val="auto"/>
          <w:sz w:val="24"/>
          <w:highlight w:val="none"/>
        </w:rPr>
        <w:t>甲方（采购人）：上海世外教育附属平湖经开实验小学</w:t>
      </w:r>
    </w:p>
    <w:p>
      <w:pPr>
        <w:autoSpaceDE w:val="0"/>
        <w:autoSpaceDN w:val="0"/>
        <w:adjustRightInd w:val="0"/>
        <w:spacing w:line="360" w:lineRule="auto"/>
        <w:rPr>
          <w:rFonts w:hint="eastAsia" w:ascii="宋体" w:hAnsi="宋体"/>
          <w:color w:val="auto"/>
          <w:sz w:val="24"/>
          <w:highlight w:val="none"/>
        </w:rPr>
      </w:pPr>
      <w:r>
        <w:rPr>
          <w:rFonts w:hint="eastAsia" w:ascii="宋体" w:hAnsi="宋体"/>
          <w:color w:val="auto"/>
          <w:sz w:val="24"/>
          <w:highlight w:val="none"/>
        </w:rPr>
        <w:t>乙方（供应商）：</w:t>
      </w:r>
    </w:p>
    <w:p>
      <w:pPr>
        <w:pStyle w:val="17"/>
        <w:snapToGrid w:val="0"/>
        <w:spacing w:beforeLines="0" w:afterLines="0" w:line="360" w:lineRule="auto"/>
        <w:rPr>
          <w:rFonts w:hint="eastAsia" w:hAnsi="宋体"/>
          <w:color w:val="auto"/>
          <w:highlight w:val="none"/>
        </w:rPr>
      </w:pPr>
      <w:r>
        <w:rPr>
          <w:rFonts w:hint="eastAsia" w:hAnsi="宋体"/>
          <w:color w:val="auto"/>
          <w:highlight w:val="none"/>
        </w:rPr>
        <w:t>丙方（鉴证方）：平湖市公共资源交易中心</w:t>
      </w:r>
    </w:p>
    <w:p>
      <w:pPr>
        <w:pStyle w:val="17"/>
        <w:snapToGrid w:val="0"/>
        <w:spacing w:before="240" w:beforeLines="100" w:afterLines="0" w:line="384" w:lineRule="auto"/>
        <w:ind w:firstLine="480" w:firstLineChars="200"/>
        <w:rPr>
          <w:rFonts w:hint="eastAsia" w:hAnsi="宋体"/>
          <w:color w:val="auto"/>
          <w:highlight w:val="none"/>
        </w:rPr>
      </w:pPr>
      <w:r>
        <w:rPr>
          <w:rFonts w:hint="eastAsia" w:hAnsi="宋体"/>
          <w:color w:val="auto"/>
          <w:highlight w:val="none"/>
          <w:u w:val="single"/>
        </w:rPr>
        <w:t>上海世外教育附属平湖经开实验小学智阅空间设备采购项目</w:t>
      </w:r>
      <w:r>
        <w:rPr>
          <w:rFonts w:hint="eastAsia" w:hAnsi="宋体"/>
          <w:color w:val="auto"/>
          <w:highlight w:val="none"/>
        </w:rPr>
        <w:t>（项目编号：</w:t>
      </w:r>
      <w:r>
        <w:rPr>
          <w:rFonts w:hint="eastAsia" w:hAnsi="宋体"/>
          <w:color w:val="auto"/>
          <w:highlight w:val="none"/>
          <w:u w:val="single"/>
        </w:rPr>
        <w:t>平政采招2024-32</w:t>
      </w:r>
      <w:r>
        <w:rPr>
          <w:rFonts w:hint="eastAsia" w:hAnsi="宋体"/>
          <w:color w:val="auto"/>
          <w:highlight w:val="none"/>
        </w:rPr>
        <w:t>）已按照委托（确认书号：</w:t>
      </w:r>
      <w:r>
        <w:rPr>
          <w:rFonts w:hint="eastAsia" w:hAnsi="宋体"/>
          <w:color w:val="auto"/>
          <w:highlight w:val="none"/>
          <w:u w:val="single"/>
        </w:rPr>
        <w:t>临[2024]3672号</w:t>
      </w:r>
      <w:r>
        <w:rPr>
          <w:rFonts w:hint="eastAsia" w:hAnsi="宋体"/>
          <w:color w:val="auto"/>
          <w:highlight w:val="none"/>
        </w:rPr>
        <w:t>）需求，以公开招标采购方式实施了采购活动。</w:t>
      </w:r>
      <w:r>
        <w:rPr>
          <w:rFonts w:hAnsi="宋体"/>
          <w:color w:val="auto"/>
          <w:highlight w:val="none"/>
        </w:rPr>
        <w:t>根据《中华人民共和国政府采购法》、《中华人民共和国</w:t>
      </w:r>
      <w:r>
        <w:rPr>
          <w:rFonts w:hint="eastAsia" w:hAnsi="宋体"/>
          <w:color w:val="auto"/>
          <w:highlight w:val="none"/>
        </w:rPr>
        <w:t>民法典</w:t>
      </w:r>
      <w:r>
        <w:rPr>
          <w:rFonts w:hAnsi="宋体"/>
          <w:color w:val="auto"/>
          <w:highlight w:val="none"/>
        </w:rPr>
        <w:t>》</w:t>
      </w:r>
      <w:r>
        <w:rPr>
          <w:rFonts w:hint="eastAsia" w:hAnsi="宋体"/>
          <w:color w:val="auto"/>
          <w:highlight w:val="none"/>
        </w:rPr>
        <w:t>等法律法规的规定，甲、乙双方同意签署本合同，并共同遵守。该项目相应的公开招标文件、投标文件和中标通知书为本合同组成部分。</w:t>
      </w:r>
    </w:p>
    <w:p>
      <w:pPr>
        <w:pStyle w:val="17"/>
        <w:snapToGrid w:val="0"/>
        <w:spacing w:beforeLines="0" w:afterLines="0" w:line="360" w:lineRule="auto"/>
        <w:rPr>
          <w:rFonts w:hint="eastAsia" w:hAnsi="宋体"/>
          <w:b/>
          <w:color w:val="auto"/>
          <w:highlight w:val="none"/>
        </w:rPr>
      </w:pPr>
      <w:r>
        <w:rPr>
          <w:rFonts w:hAnsi="宋体"/>
          <w:b/>
          <w:color w:val="auto"/>
          <w:highlight w:val="none"/>
        </w:rPr>
        <w:t>一、</w:t>
      </w:r>
      <w:r>
        <w:rPr>
          <w:rFonts w:hint="eastAsia" w:hAnsi="宋体"/>
          <w:b/>
          <w:color w:val="auto"/>
          <w:highlight w:val="none"/>
        </w:rPr>
        <w:t>货物内容清单</w:t>
      </w:r>
      <w:r>
        <w:rPr>
          <w:rFonts w:hint="eastAsia" w:hAnsi="宋体"/>
          <w:color w:val="auto"/>
          <w:highlight w:val="none"/>
        </w:rPr>
        <w:t>（详见附件）</w:t>
      </w:r>
    </w:p>
    <w:p>
      <w:pPr>
        <w:pStyle w:val="17"/>
        <w:spacing w:before="120" w:after="120" w:line="360" w:lineRule="auto"/>
        <w:rPr>
          <w:rFonts w:hint="eastAsia" w:hAnsi="宋体"/>
          <w:b/>
          <w:color w:val="auto"/>
          <w:highlight w:val="none"/>
        </w:rPr>
      </w:pPr>
      <w:r>
        <w:rPr>
          <w:rFonts w:hAnsi="宋体"/>
          <w:b/>
          <w:color w:val="auto"/>
          <w:highlight w:val="none"/>
        </w:rPr>
        <w:t>二、合同金额</w:t>
      </w:r>
    </w:p>
    <w:p>
      <w:pPr>
        <w:pStyle w:val="17"/>
        <w:spacing w:before="120" w:after="120" w:line="360" w:lineRule="auto"/>
        <w:ind w:left="410" w:hanging="410" w:hangingChars="171"/>
        <w:rPr>
          <w:rFonts w:hint="eastAsia" w:hAnsi="宋体"/>
          <w:color w:val="auto"/>
          <w:highlight w:val="none"/>
        </w:rPr>
      </w:pPr>
      <w:r>
        <w:rPr>
          <w:rFonts w:hAnsi="宋体"/>
          <w:color w:val="auto"/>
          <w:highlight w:val="none"/>
        </w:rPr>
        <w:t>本合同金额为（大写）：</w:t>
      </w:r>
      <w:r>
        <w:rPr>
          <w:rFonts w:hint="eastAsia" w:hAnsi="宋体"/>
          <w:color w:val="auto"/>
          <w:highlight w:val="none"/>
          <w:u w:val="single"/>
        </w:rPr>
        <w:t xml:space="preserve">           </w:t>
      </w:r>
      <w:r>
        <w:rPr>
          <w:rFonts w:hint="eastAsia" w:hAnsi="宋体"/>
          <w:color w:val="auto"/>
          <w:highlight w:val="none"/>
        </w:rPr>
        <w:t xml:space="preserve"> </w:t>
      </w:r>
      <w:r>
        <w:rPr>
          <w:rFonts w:hAnsi="宋体"/>
          <w:color w:val="auto"/>
          <w:highlight w:val="none"/>
        </w:rPr>
        <w:t>元（￥</w:t>
      </w:r>
      <w:r>
        <w:rPr>
          <w:rFonts w:hint="eastAsia" w:hAnsi="宋体"/>
          <w:color w:val="auto"/>
          <w:highlight w:val="none"/>
          <w:u w:val="single"/>
        </w:rPr>
        <w:t xml:space="preserve">            </w:t>
      </w:r>
      <w:r>
        <w:rPr>
          <w:rFonts w:hAnsi="宋体"/>
          <w:color w:val="auto"/>
          <w:highlight w:val="none"/>
        </w:rPr>
        <w:t>元）人民币。</w:t>
      </w:r>
    </w:p>
    <w:p>
      <w:pPr>
        <w:spacing w:line="360" w:lineRule="auto"/>
        <w:rPr>
          <w:rFonts w:hint="eastAsia"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项目相关属性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268" w:type="dxa"/>
            <w:noWrap/>
          </w:tcPr>
          <w:p>
            <w:pPr>
              <w:spacing w:before="156" w:after="156" w:line="360" w:lineRule="auto"/>
              <w:jc w:val="center"/>
              <w:rPr>
                <w:rFonts w:hint="eastAsia" w:ascii="宋体" w:hAnsi="宋体"/>
                <w:color w:val="auto"/>
                <w:sz w:val="24"/>
                <w:highlight w:val="none"/>
              </w:rPr>
            </w:pPr>
            <w:r>
              <w:rPr>
                <w:rFonts w:hint="eastAsia" w:ascii="宋体" w:hAnsi="宋体"/>
                <w:color w:val="auto"/>
                <w:sz w:val="24"/>
                <w:highlight w:val="none"/>
              </w:rPr>
              <w:t>采购资金来源</w:t>
            </w:r>
          </w:p>
        </w:tc>
        <w:tc>
          <w:tcPr>
            <w:tcW w:w="7020" w:type="dxa"/>
            <w:noWrap/>
          </w:tcPr>
          <w:p>
            <w:pPr>
              <w:spacing w:before="156" w:after="156" w:line="360" w:lineRule="auto"/>
              <w:rPr>
                <w:rFonts w:hint="eastAsia" w:ascii="宋体" w:hAnsi="宋体"/>
                <w:color w:val="auto"/>
                <w:sz w:val="24"/>
                <w:highlight w:val="none"/>
              </w:rPr>
            </w:pPr>
            <w:r>
              <w:rPr>
                <w:rFonts w:hint="eastAsia" w:ascii="宋体" w:hAnsi="宋体"/>
                <w:color w:val="auto"/>
                <w:sz w:val="24"/>
                <w:highlight w:val="none"/>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268" w:type="dxa"/>
            <w:noWrap/>
          </w:tcPr>
          <w:p>
            <w:pPr>
              <w:spacing w:before="156" w:after="156" w:line="360" w:lineRule="auto"/>
              <w:jc w:val="center"/>
              <w:rPr>
                <w:rFonts w:hint="eastAsia" w:ascii="宋体" w:hAnsi="宋体"/>
                <w:color w:val="auto"/>
                <w:sz w:val="24"/>
                <w:highlight w:val="none"/>
              </w:rPr>
            </w:pPr>
            <w:r>
              <w:rPr>
                <w:rFonts w:hint="eastAsia" w:ascii="宋体" w:hAnsi="宋体"/>
                <w:color w:val="auto"/>
                <w:sz w:val="24"/>
                <w:highlight w:val="none"/>
              </w:rPr>
              <w:t>采购资金支付方式</w:t>
            </w:r>
          </w:p>
        </w:tc>
        <w:tc>
          <w:tcPr>
            <w:tcW w:w="7020" w:type="dxa"/>
            <w:noWrap/>
          </w:tcPr>
          <w:p>
            <w:pPr>
              <w:spacing w:before="156" w:after="156" w:line="360" w:lineRule="auto"/>
              <w:rPr>
                <w:rFonts w:hint="eastAsia" w:ascii="宋体" w:hAnsi="宋体"/>
                <w:color w:val="auto"/>
                <w:sz w:val="24"/>
                <w:highlight w:val="none"/>
              </w:rPr>
            </w:pPr>
            <w:r>
              <w:rPr>
                <w:rFonts w:hint="eastAsia" w:ascii="宋体" w:hAnsi="宋体"/>
                <w:color w:val="auto"/>
                <w:sz w:val="24"/>
                <w:highlight w:val="none"/>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268" w:type="dxa"/>
            <w:noWrap/>
          </w:tcPr>
          <w:p>
            <w:pPr>
              <w:spacing w:before="156" w:after="156" w:line="360" w:lineRule="auto"/>
              <w:jc w:val="center"/>
              <w:rPr>
                <w:rFonts w:hint="eastAsia" w:ascii="宋体" w:hAnsi="宋体"/>
                <w:color w:val="auto"/>
                <w:sz w:val="24"/>
                <w:highlight w:val="none"/>
              </w:rPr>
            </w:pPr>
            <w:r>
              <w:rPr>
                <w:rFonts w:hint="eastAsia" w:ascii="宋体" w:hAnsi="宋体"/>
                <w:color w:val="auto"/>
                <w:sz w:val="24"/>
                <w:highlight w:val="none"/>
              </w:rPr>
              <w:t>产品产地</w:t>
            </w:r>
          </w:p>
        </w:tc>
        <w:tc>
          <w:tcPr>
            <w:tcW w:w="7020" w:type="dxa"/>
            <w:noWrap/>
          </w:tcPr>
          <w:p>
            <w:pPr>
              <w:spacing w:before="156" w:after="156" w:line="360" w:lineRule="auto"/>
              <w:rPr>
                <w:rFonts w:hint="eastAsia" w:ascii="宋体" w:hAnsi="宋体"/>
                <w:color w:val="auto"/>
                <w:sz w:val="24"/>
                <w:highlight w:val="none"/>
              </w:rPr>
            </w:pPr>
            <w:r>
              <w:rPr>
                <w:rFonts w:hint="eastAsia" w:ascii="宋体" w:hAnsi="宋体"/>
                <w:color w:val="auto"/>
                <w:sz w:val="24"/>
                <w:highlight w:val="none"/>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268" w:type="dxa"/>
            <w:noWrap/>
          </w:tcPr>
          <w:p>
            <w:pPr>
              <w:spacing w:before="156" w:after="156" w:line="360" w:lineRule="auto"/>
              <w:jc w:val="center"/>
              <w:rPr>
                <w:rFonts w:hint="eastAsia" w:ascii="宋体" w:hAnsi="宋体"/>
                <w:color w:val="auto"/>
                <w:sz w:val="24"/>
                <w:highlight w:val="none"/>
              </w:rPr>
            </w:pPr>
            <w:r>
              <w:rPr>
                <w:rFonts w:hint="eastAsia" w:ascii="宋体" w:hAnsi="宋体"/>
                <w:color w:val="auto"/>
                <w:sz w:val="24"/>
                <w:highlight w:val="none"/>
              </w:rPr>
              <w:t>产品性质（如有）</w:t>
            </w:r>
          </w:p>
        </w:tc>
        <w:tc>
          <w:tcPr>
            <w:tcW w:w="7020" w:type="dxa"/>
            <w:noWrap/>
          </w:tcPr>
          <w:p>
            <w:pPr>
              <w:spacing w:before="156" w:after="156" w:line="360" w:lineRule="auto"/>
              <w:rPr>
                <w:rFonts w:hint="eastAsia" w:ascii="宋体" w:hAnsi="宋体"/>
                <w:color w:val="auto"/>
                <w:sz w:val="24"/>
                <w:highlight w:val="none"/>
              </w:rPr>
            </w:pPr>
            <w:r>
              <w:rPr>
                <w:rFonts w:hint="eastAsia" w:ascii="宋体" w:hAnsi="宋体"/>
                <w:color w:val="auto"/>
                <w:sz w:val="24"/>
                <w:highlight w:val="none"/>
              </w:rPr>
              <w:t>□节能             □环保</w:t>
            </w:r>
          </w:p>
        </w:tc>
      </w:tr>
    </w:tbl>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kern w:val="0"/>
          <w:sz w:val="24"/>
          <w:highlight w:val="none"/>
        </w:rPr>
        <w:t>四</w:t>
      </w:r>
      <w:r>
        <w:rPr>
          <w:rFonts w:ascii="宋体" w:hAnsi="宋体"/>
          <w:b/>
          <w:color w:val="auto"/>
          <w:kern w:val="0"/>
          <w:sz w:val="24"/>
          <w:highlight w:val="none"/>
        </w:rPr>
        <w:t>、</w:t>
      </w:r>
      <w:r>
        <w:rPr>
          <w:rFonts w:ascii="宋体" w:hAnsi="宋体"/>
          <w:b/>
          <w:color w:val="auto"/>
          <w:sz w:val="24"/>
          <w:highlight w:val="none"/>
        </w:rPr>
        <w:t>质量保证及售后服务</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乙方应按</w:t>
      </w:r>
      <w:r>
        <w:rPr>
          <w:rFonts w:hint="eastAsia" w:ascii="宋体" w:hAnsi="宋体"/>
          <w:color w:val="auto"/>
          <w:kern w:val="0"/>
          <w:sz w:val="24"/>
          <w:highlight w:val="none"/>
        </w:rPr>
        <w:t>招标</w:t>
      </w:r>
      <w:r>
        <w:rPr>
          <w:rFonts w:ascii="宋体" w:hAnsi="宋体"/>
          <w:color w:val="auto"/>
          <w:sz w:val="24"/>
          <w:highlight w:val="none"/>
        </w:rPr>
        <w:t>文件规定的货物性能、技术要求、质量标准向甲方提供未经使用的全新</w:t>
      </w:r>
      <w:r>
        <w:rPr>
          <w:rFonts w:hint="eastAsia" w:ascii="宋体" w:hAnsi="宋体"/>
          <w:color w:val="auto"/>
          <w:sz w:val="24"/>
          <w:highlight w:val="none"/>
        </w:rPr>
        <w:t>合格</w:t>
      </w:r>
      <w:r>
        <w:rPr>
          <w:rFonts w:ascii="宋体" w:hAnsi="宋体"/>
          <w:color w:val="auto"/>
          <w:sz w:val="24"/>
          <w:highlight w:val="none"/>
        </w:rPr>
        <w:t>产品</w:t>
      </w:r>
      <w:r>
        <w:rPr>
          <w:rFonts w:hint="eastAsia" w:ascii="宋体" w:hAnsi="宋体"/>
          <w:color w:val="auto"/>
          <w:sz w:val="24"/>
          <w:highlight w:val="none"/>
        </w:rPr>
        <w:t>。</w:t>
      </w:r>
      <w:r>
        <w:rPr>
          <w:rFonts w:ascii="宋体" w:hAnsi="宋体"/>
          <w:color w:val="auto"/>
          <w:sz w:val="24"/>
          <w:highlight w:val="none"/>
        </w:rPr>
        <w:t>乙方保证所交付的货物的所有权完全属于乙方</w:t>
      </w:r>
      <w:r>
        <w:rPr>
          <w:rFonts w:hint="eastAsia" w:ascii="宋体" w:hAnsi="宋体"/>
          <w:color w:val="auto"/>
          <w:sz w:val="24"/>
          <w:highlight w:val="none"/>
        </w:rPr>
        <w:t>而</w:t>
      </w:r>
      <w:r>
        <w:rPr>
          <w:rFonts w:ascii="宋体" w:hAnsi="宋体"/>
          <w:color w:val="auto"/>
          <w:sz w:val="24"/>
          <w:highlight w:val="none"/>
        </w:rPr>
        <w:t>无任何抵押、查封等产权瑕疵</w:t>
      </w:r>
      <w:r>
        <w:rPr>
          <w:rFonts w:hint="eastAsia" w:ascii="宋体" w:hAnsi="宋体"/>
          <w:color w:val="auto"/>
          <w:sz w:val="24"/>
          <w:highlight w:val="none"/>
        </w:rPr>
        <w:t>，且</w:t>
      </w:r>
      <w:r>
        <w:rPr>
          <w:rFonts w:ascii="宋体" w:hAnsi="宋体"/>
          <w:color w:val="auto"/>
          <w:sz w:val="24"/>
          <w:highlight w:val="none"/>
        </w:rPr>
        <w:t>所提供的货物或其任何一部分均不会侵犯任何第三方的知识产权。</w:t>
      </w:r>
    </w:p>
    <w:p>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上述的货物免费保修期为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⑴更换：由乙方承担所发生的全部费用。</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⑵贬值处理：由甲乙双方合议定价。</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使用过程中发生质量问题，乙方在接到甲方通知后小时内到达甲方现场。</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5、本项目所有产品质保期均不少于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质保期内，乙方对货物出现的质量及安全问题负责处理解决并承担一切费用。</w:t>
      </w:r>
    </w:p>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五、交货</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1、交货及安装时间：合同签订后30个工作日内完成设备交付与安装调试</w:t>
      </w:r>
      <w:r>
        <w:rPr>
          <w:rFonts w:hint="eastAsia" w:ascii="宋体" w:hAnsi="宋体" w:cs="宋体"/>
          <w:color w:val="auto"/>
          <w:sz w:val="24"/>
          <w:highlight w:val="none"/>
        </w:rPr>
        <w:t>。</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交货地点：</w:t>
      </w:r>
      <w:r>
        <w:rPr>
          <w:rFonts w:hint="eastAsia" w:ascii="宋体" w:hAnsi="宋体"/>
          <w:color w:val="auto"/>
          <w:sz w:val="24"/>
          <w:highlight w:val="none"/>
        </w:rPr>
        <w:t>采购人指定地点；</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w:t>
      </w:r>
      <w:r>
        <w:rPr>
          <w:rFonts w:hint="eastAsia" w:ascii="宋体" w:hAnsi="宋体"/>
          <w:color w:val="auto"/>
          <w:sz w:val="24"/>
          <w:highlight w:val="none"/>
        </w:rPr>
        <w:t>在交货同时，</w:t>
      </w:r>
      <w:r>
        <w:rPr>
          <w:rFonts w:ascii="宋体" w:hAnsi="宋体"/>
          <w:color w:val="auto"/>
          <w:sz w:val="24"/>
          <w:highlight w:val="none"/>
        </w:rPr>
        <w:t>应向甲方提供使用货物的有关技术资料。</w:t>
      </w:r>
    </w:p>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调试和验收</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乙方交货前应对产品</w:t>
      </w:r>
      <w:r>
        <w:rPr>
          <w:rFonts w:hint="eastAsia" w:ascii="宋体" w:hAnsi="宋体"/>
          <w:color w:val="auto"/>
          <w:sz w:val="24"/>
          <w:highlight w:val="none"/>
        </w:rPr>
        <w:t>做出</w:t>
      </w:r>
      <w:r>
        <w:rPr>
          <w:rFonts w:ascii="宋体" w:hAnsi="宋体"/>
          <w:color w:val="auto"/>
          <w:sz w:val="24"/>
          <w:highlight w:val="none"/>
        </w:rPr>
        <w:t>全面检查</w:t>
      </w:r>
      <w:r>
        <w:rPr>
          <w:rFonts w:hint="eastAsia" w:ascii="宋体" w:hAnsi="宋体"/>
          <w:color w:val="auto"/>
          <w:sz w:val="24"/>
          <w:highlight w:val="none"/>
        </w:rPr>
        <w:t>，</w:t>
      </w:r>
      <w:r>
        <w:rPr>
          <w:rFonts w:ascii="宋体" w:hAnsi="宋体"/>
          <w:color w:val="auto"/>
          <w:sz w:val="24"/>
          <w:highlight w:val="none"/>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提供的货物在使用前</w:t>
      </w:r>
      <w:r>
        <w:rPr>
          <w:rFonts w:hint="eastAsia" w:ascii="宋体" w:hAnsi="宋体"/>
          <w:color w:val="auto"/>
          <w:sz w:val="24"/>
          <w:highlight w:val="none"/>
        </w:rPr>
        <w:t>需</w:t>
      </w:r>
      <w:r>
        <w:rPr>
          <w:rFonts w:ascii="宋体" w:hAnsi="宋体"/>
          <w:color w:val="auto"/>
          <w:sz w:val="24"/>
          <w:highlight w:val="none"/>
        </w:rPr>
        <w:t>进行调试</w:t>
      </w:r>
      <w:r>
        <w:rPr>
          <w:rFonts w:hint="eastAsia" w:ascii="宋体" w:hAnsi="宋体"/>
          <w:color w:val="auto"/>
          <w:sz w:val="24"/>
          <w:highlight w:val="none"/>
        </w:rPr>
        <w:t>的</w:t>
      </w:r>
      <w:r>
        <w:rPr>
          <w:rFonts w:ascii="宋体" w:hAnsi="宋体"/>
          <w:color w:val="auto"/>
          <w:sz w:val="24"/>
          <w:highlight w:val="none"/>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甲方对乙方提交的货物需在五个工作日内</w:t>
      </w:r>
      <w:r>
        <w:rPr>
          <w:rFonts w:hint="eastAsia" w:ascii="宋体" w:hAnsi="宋体"/>
          <w:color w:val="auto"/>
          <w:sz w:val="24"/>
          <w:highlight w:val="none"/>
        </w:rPr>
        <w:t>，</w:t>
      </w:r>
      <w:r>
        <w:rPr>
          <w:rFonts w:ascii="宋体" w:hAnsi="宋体"/>
          <w:color w:val="auto"/>
          <w:sz w:val="24"/>
          <w:highlight w:val="none"/>
        </w:rPr>
        <w:t>依据招标文件上的技术规格要求和国家有关质量标准进行现场验收</w:t>
      </w:r>
      <w:r>
        <w:rPr>
          <w:rFonts w:hint="eastAsia" w:ascii="宋体" w:hAnsi="宋体"/>
          <w:color w:val="auto"/>
          <w:sz w:val="24"/>
          <w:highlight w:val="none"/>
        </w:rPr>
        <w:t>。</w:t>
      </w:r>
      <w:r>
        <w:rPr>
          <w:rFonts w:ascii="宋体" w:hAnsi="宋体"/>
          <w:color w:val="auto"/>
          <w:sz w:val="24"/>
          <w:highlight w:val="none"/>
        </w:rPr>
        <w:t>对技术复杂的货物，甲方应请国家认可的专业检测机构参与初步验收及最终验收，并由其出具质量检测报告</w:t>
      </w:r>
      <w:r>
        <w:rPr>
          <w:rFonts w:hint="eastAsia" w:ascii="宋体" w:hAnsi="宋体"/>
          <w:color w:val="auto"/>
          <w:sz w:val="24"/>
          <w:highlight w:val="none"/>
        </w:rPr>
        <w:t>，</w:t>
      </w:r>
      <w:r>
        <w:rPr>
          <w:rFonts w:ascii="宋体" w:hAnsi="宋体"/>
          <w:color w:val="auto"/>
          <w:sz w:val="24"/>
          <w:highlight w:val="none"/>
        </w:rPr>
        <w:t>验收费用由乙方负责。</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4、验收完毕</w:t>
      </w:r>
      <w:r>
        <w:rPr>
          <w:rFonts w:ascii="宋体" w:hAnsi="宋体"/>
          <w:color w:val="auto"/>
          <w:sz w:val="24"/>
          <w:highlight w:val="none"/>
        </w:rPr>
        <w:t>乙方</w:t>
      </w:r>
      <w:r>
        <w:rPr>
          <w:rFonts w:hint="eastAsia" w:ascii="宋体" w:hAnsi="宋体"/>
          <w:color w:val="auto"/>
          <w:sz w:val="24"/>
          <w:highlight w:val="none"/>
        </w:rPr>
        <w:t>应出具验收</w:t>
      </w:r>
      <w:r>
        <w:rPr>
          <w:rFonts w:ascii="宋体" w:hAnsi="宋体"/>
          <w:color w:val="auto"/>
          <w:sz w:val="24"/>
          <w:highlight w:val="none"/>
        </w:rPr>
        <w:t>结果</w:t>
      </w:r>
      <w:r>
        <w:rPr>
          <w:rFonts w:hint="eastAsia" w:ascii="宋体" w:hAnsi="宋体"/>
          <w:color w:val="auto"/>
          <w:sz w:val="24"/>
          <w:highlight w:val="none"/>
        </w:rPr>
        <w:t>报告，</w:t>
      </w:r>
      <w:r>
        <w:rPr>
          <w:rFonts w:ascii="宋体" w:hAnsi="宋体"/>
          <w:color w:val="auto"/>
          <w:sz w:val="24"/>
          <w:highlight w:val="none"/>
        </w:rPr>
        <w:t>符合要求的给予签收，验收不合格的不予签收。</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sz w:val="24"/>
          <w:highlight w:val="none"/>
        </w:rPr>
        <w:t>付款方式：</w:t>
      </w:r>
    </w:p>
    <w:p>
      <w:pPr>
        <w:spacing w:line="360" w:lineRule="auto"/>
        <w:ind w:firstLine="480" w:firstLineChars="200"/>
        <w:outlineLvl w:val="0"/>
        <w:rPr>
          <w:rFonts w:hint="eastAsia" w:ascii="宋体" w:hAnsi="宋体" w:cs="宋体"/>
          <w:bCs/>
          <w:color w:val="auto"/>
          <w:sz w:val="24"/>
          <w:highlight w:val="none"/>
        </w:rPr>
      </w:pPr>
      <w:r>
        <w:rPr>
          <w:rFonts w:hint="eastAsia" w:ascii="宋体" w:hAnsi="宋体" w:cs="宋体"/>
          <w:bCs/>
          <w:color w:val="auto"/>
          <w:sz w:val="24"/>
          <w:highlight w:val="none"/>
        </w:rPr>
        <w:t>1.合同签订并具备实施条件后七个工作日内，中标供应商开具发票，采购人向中标供应商支付合同金额50%预付款；</w:t>
      </w:r>
    </w:p>
    <w:p>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bCs/>
          <w:color w:val="auto"/>
          <w:sz w:val="24"/>
          <w:highlight w:val="none"/>
        </w:rPr>
        <w:t>2.全部安装完毕、验收合格且收到发票后，支付至合同价的100%。</w:t>
      </w:r>
    </w:p>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、违约责任</w:t>
      </w:r>
      <w:r>
        <w:rPr>
          <w:rFonts w:hint="eastAsia" w:ascii="宋体" w:hAnsi="宋体"/>
          <w:b/>
          <w:color w:val="auto"/>
          <w:sz w:val="24"/>
          <w:highlight w:val="none"/>
        </w:rPr>
        <w:t>：</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甲方无正当理由拒收货物的，甲方应向乙方偿付拒收货款总值的百分之五违约金。</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甲方无故逾期验收和办理货款支付手续的</w:t>
      </w:r>
      <w:r>
        <w:rPr>
          <w:rFonts w:hint="eastAsia" w:ascii="宋体" w:hAnsi="宋体"/>
          <w:color w:val="auto"/>
          <w:sz w:val="24"/>
          <w:highlight w:val="none"/>
        </w:rPr>
        <w:t>，</w:t>
      </w:r>
      <w:r>
        <w:rPr>
          <w:rFonts w:ascii="宋体" w:hAnsi="宋体"/>
          <w:color w:val="auto"/>
          <w:sz w:val="24"/>
          <w:highlight w:val="none"/>
        </w:rPr>
        <w:t>甲方应按逾期付款总额每日万分之五向乙方支付违约金。</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color w:val="auto"/>
          <w:sz w:val="24"/>
          <w:highlight w:val="none"/>
        </w:rPr>
        <w:t>若</w:t>
      </w:r>
      <w:r>
        <w:rPr>
          <w:rFonts w:ascii="宋体" w:hAnsi="宋体"/>
          <w:color w:val="auto"/>
          <w:sz w:val="24"/>
          <w:highlight w:val="none"/>
        </w:rPr>
        <w:t xml:space="preserve">造成甲方损失超过违约金的，超出部分由乙方继续承担赔偿责任。 </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乙方所交的货物品种、型号、规格、技术参数、质量不符合合同规定及招标</w:t>
      </w:r>
      <w:r>
        <w:rPr>
          <w:rFonts w:hint="eastAsia" w:ascii="宋体" w:hAnsi="宋体"/>
          <w:color w:val="auto"/>
          <w:kern w:val="0"/>
          <w:sz w:val="24"/>
          <w:highlight w:val="none"/>
        </w:rPr>
        <w:t>（或竞争性谈判、询价）</w:t>
      </w:r>
      <w:r>
        <w:rPr>
          <w:rFonts w:ascii="宋体" w:hAnsi="宋体"/>
          <w:color w:val="auto"/>
          <w:sz w:val="24"/>
          <w:highlight w:val="none"/>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九</w:t>
      </w:r>
      <w:r>
        <w:rPr>
          <w:rFonts w:ascii="宋体" w:hAnsi="宋体"/>
          <w:b/>
          <w:color w:val="auto"/>
          <w:sz w:val="24"/>
          <w:highlight w:val="none"/>
        </w:rPr>
        <w:t>、不可抗力事件处理</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w:t>
      </w:r>
      <w:r>
        <w:rPr>
          <w:rFonts w:hint="eastAsia" w:ascii="宋体" w:hAnsi="宋体"/>
          <w:color w:val="auto"/>
          <w:sz w:val="24"/>
          <w:highlight w:val="none"/>
        </w:rPr>
        <w:t>的</w:t>
      </w:r>
      <w:r>
        <w:rPr>
          <w:rFonts w:ascii="宋体" w:hAnsi="宋体"/>
          <w:color w:val="auto"/>
          <w:sz w:val="24"/>
          <w:highlight w:val="none"/>
        </w:rPr>
        <w:t>，合同履行期可延长，其延长期与不可抗力影响期相同。</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不可抗力事件发生后，应立即通知对方，并寄送有关权威机构出具的证明。</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pPr>
        <w:autoSpaceDE w:val="0"/>
        <w:autoSpaceDN w:val="0"/>
        <w:adjustRightIn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w:t>
      </w:r>
      <w:r>
        <w:rPr>
          <w:rFonts w:ascii="宋体" w:hAnsi="宋体"/>
          <w:b/>
          <w:color w:val="auto"/>
          <w:sz w:val="24"/>
          <w:highlight w:val="none"/>
        </w:rPr>
        <w:t>、</w:t>
      </w:r>
      <w:r>
        <w:rPr>
          <w:rFonts w:hint="eastAsia" w:ascii="宋体" w:hAnsi="宋体"/>
          <w:b/>
          <w:color w:val="auto"/>
          <w:sz w:val="24"/>
          <w:highlight w:val="none"/>
        </w:rPr>
        <w:t>争议解决办法</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1、因货物质量发生争议，由</w:t>
      </w:r>
      <w:r>
        <w:rPr>
          <w:rFonts w:hint="eastAsia" w:ascii="宋体" w:hAnsi="宋体"/>
          <w:color w:val="auto"/>
          <w:sz w:val="24"/>
          <w:highlight w:val="none"/>
          <w:u w:val="single"/>
        </w:rPr>
        <w:t xml:space="preserve"> 嘉兴市 </w:t>
      </w:r>
      <w:r>
        <w:rPr>
          <w:rFonts w:hint="eastAsia" w:ascii="宋体" w:hAnsi="宋体"/>
          <w:color w:val="auto"/>
          <w:sz w:val="24"/>
          <w:highlight w:val="none"/>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执行合同中所发生的</w:t>
      </w:r>
      <w:r>
        <w:rPr>
          <w:rFonts w:hint="eastAsia" w:ascii="宋体" w:hAnsi="宋体"/>
          <w:color w:val="auto"/>
          <w:sz w:val="24"/>
          <w:highlight w:val="none"/>
        </w:rPr>
        <w:t>其他</w:t>
      </w:r>
      <w:r>
        <w:rPr>
          <w:rFonts w:ascii="宋体" w:hAnsi="宋体"/>
          <w:color w:val="auto"/>
          <w:sz w:val="24"/>
          <w:highlight w:val="none"/>
        </w:rPr>
        <w:t>争议，应通过协商解决。如协商不成，可向合同签订地法院起诉</w:t>
      </w:r>
      <w:r>
        <w:rPr>
          <w:rFonts w:hint="eastAsia" w:ascii="宋体" w:hAnsi="宋体"/>
          <w:color w:val="auto"/>
          <w:sz w:val="24"/>
          <w:highlight w:val="none"/>
        </w:rPr>
        <w:t>。</w:t>
      </w:r>
      <w:r>
        <w:rPr>
          <w:rFonts w:ascii="宋体" w:hAnsi="宋体"/>
          <w:color w:val="auto"/>
          <w:sz w:val="24"/>
          <w:highlight w:val="none"/>
        </w:rPr>
        <w:t>合同签订地在此约定为</w:t>
      </w:r>
      <w:r>
        <w:rPr>
          <w:rFonts w:hint="eastAsia" w:ascii="宋体" w:hAnsi="宋体"/>
          <w:color w:val="auto"/>
          <w:sz w:val="24"/>
          <w:highlight w:val="none"/>
          <w:u w:val="single"/>
        </w:rPr>
        <w:t xml:space="preserve">浙江平湖 </w:t>
      </w:r>
      <w:r>
        <w:rPr>
          <w:rFonts w:hint="eastAsia" w:ascii="宋体" w:hAnsi="宋体"/>
          <w:color w:val="auto"/>
          <w:sz w:val="24"/>
          <w:highlight w:val="none"/>
        </w:rPr>
        <w:t>。</w:t>
      </w:r>
    </w:p>
    <w:p>
      <w:pPr>
        <w:autoSpaceDE w:val="0"/>
        <w:autoSpaceDN w:val="0"/>
        <w:adjustRightInd w:val="0"/>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、合同生效及其它</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合同经</w:t>
      </w:r>
      <w:r>
        <w:rPr>
          <w:rFonts w:hint="eastAsia" w:ascii="宋体" w:hAnsi="宋体"/>
          <w:color w:val="auto"/>
          <w:sz w:val="24"/>
          <w:highlight w:val="none"/>
        </w:rPr>
        <w:t>甲、乙、丙三</w:t>
      </w:r>
      <w:r>
        <w:rPr>
          <w:rFonts w:ascii="宋体" w:hAnsi="宋体"/>
          <w:color w:val="auto"/>
          <w:sz w:val="24"/>
          <w:highlight w:val="none"/>
        </w:rPr>
        <w:t>方法定代表人或授权委托代理人签字并加盖单位公章后生效。</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ascii="宋体" w:hAnsi="宋体"/>
          <w:color w:val="auto"/>
          <w:kern w:val="0"/>
          <w:sz w:val="24"/>
          <w:highlight w:val="none"/>
        </w:rPr>
        <w:t>中华人民共和国</w:t>
      </w:r>
      <w:r>
        <w:rPr>
          <w:rFonts w:hint="eastAsia" w:ascii="宋体" w:hAnsi="宋体"/>
          <w:color w:val="auto"/>
          <w:sz w:val="24"/>
          <w:highlight w:val="none"/>
        </w:rPr>
        <w:t>民法典</w:t>
      </w:r>
      <w:r>
        <w:rPr>
          <w:rFonts w:ascii="宋体" w:hAnsi="宋体"/>
          <w:color w:val="auto"/>
          <w:sz w:val="24"/>
          <w:highlight w:val="none"/>
        </w:rPr>
        <w:t>》有关条文执行。</w:t>
      </w:r>
    </w:p>
    <w:p>
      <w:pPr>
        <w:autoSpaceDE w:val="0"/>
        <w:autoSpaceDN w:val="0"/>
        <w:adjustRightIn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、本合同一式五份，甲、乙、丙三方、财政局核算中心各执一份，一份交财政局备案</w:t>
      </w:r>
      <w:r>
        <w:rPr>
          <w:rFonts w:ascii="宋体" w:hAnsi="宋体"/>
          <w:color w:val="auto"/>
          <w:sz w:val="24"/>
          <w:highlight w:val="none"/>
        </w:rPr>
        <w:t>。</w:t>
      </w:r>
    </w:p>
    <w:p>
      <w:pPr>
        <w:pStyle w:val="17"/>
        <w:snapToGrid w:val="0"/>
        <w:spacing w:beforeLines="0" w:afterLines="0" w:line="360" w:lineRule="auto"/>
        <w:ind w:left="480" w:hanging="480" w:hangingChars="200"/>
        <w:rPr>
          <w:rFonts w:hint="eastAsia" w:hAnsi="宋体"/>
          <w:color w:val="auto"/>
          <w:highlight w:val="none"/>
        </w:rPr>
      </w:pPr>
      <w:r>
        <w:rPr>
          <w:rFonts w:hAnsi="宋体"/>
          <w:color w:val="auto"/>
          <w:highlight w:val="none"/>
        </w:rPr>
        <w:t xml:space="preserve">  甲方：</w:t>
      </w:r>
      <w:r>
        <w:rPr>
          <w:rFonts w:hint="eastAsia" w:hAnsi="宋体"/>
          <w:color w:val="auto"/>
          <w:highlight w:val="none"/>
        </w:rPr>
        <w:t>上海世外教育附属平湖经开实验小学</w:t>
      </w:r>
      <w:r>
        <w:rPr>
          <w:rFonts w:hAnsi="宋体"/>
          <w:color w:val="auto"/>
          <w:highlight w:val="none"/>
        </w:rPr>
        <w:t xml:space="preserve">  </w:t>
      </w:r>
      <w:r>
        <w:rPr>
          <w:rFonts w:hint="eastAsia" w:hAnsi="宋体"/>
          <w:color w:val="auto"/>
          <w:highlight w:val="none"/>
        </w:rPr>
        <w:t xml:space="preserve"> </w:t>
      </w:r>
      <w:r>
        <w:rPr>
          <w:rFonts w:hAnsi="宋体"/>
          <w:color w:val="auto"/>
          <w:highlight w:val="none"/>
        </w:rPr>
        <w:t xml:space="preserve">乙方： </w:t>
      </w:r>
    </w:p>
    <w:p>
      <w:pPr>
        <w:pStyle w:val="17"/>
        <w:snapToGrid w:val="0"/>
        <w:spacing w:beforeLines="0" w:afterLines="0" w:line="360" w:lineRule="auto"/>
        <w:rPr>
          <w:rFonts w:hint="eastAsia" w:hAnsi="宋体"/>
          <w:color w:val="auto"/>
          <w:highlight w:val="none"/>
        </w:rPr>
      </w:pPr>
      <w:r>
        <w:rPr>
          <w:rFonts w:hAnsi="宋体"/>
          <w:color w:val="auto"/>
          <w:highlight w:val="none"/>
        </w:rPr>
        <w:t xml:space="preserve">  地址：                                   地址： </w:t>
      </w:r>
    </w:p>
    <w:p>
      <w:pPr>
        <w:pStyle w:val="17"/>
        <w:snapToGrid w:val="0"/>
        <w:spacing w:beforeLines="0" w:afterLines="0" w:line="360" w:lineRule="auto"/>
        <w:rPr>
          <w:rFonts w:hint="eastAsia" w:hAnsi="宋体"/>
          <w:color w:val="auto"/>
          <w:highlight w:val="none"/>
        </w:rPr>
      </w:pPr>
      <w:r>
        <w:rPr>
          <w:rFonts w:hAnsi="宋体"/>
          <w:color w:val="auto"/>
          <w:highlight w:val="none"/>
        </w:rPr>
        <w:t xml:space="preserve">  法定（授权）代表人：                     法定（授权）代表人：</w:t>
      </w:r>
    </w:p>
    <w:p>
      <w:pPr>
        <w:pStyle w:val="17"/>
        <w:snapToGrid w:val="0"/>
        <w:spacing w:beforeLines="0" w:afterLines="0" w:line="360" w:lineRule="auto"/>
        <w:rPr>
          <w:rFonts w:hint="eastAsia" w:hAnsi="宋体"/>
          <w:color w:val="auto"/>
          <w:highlight w:val="none"/>
        </w:rPr>
      </w:pPr>
      <w:r>
        <w:rPr>
          <w:rFonts w:hAnsi="宋体"/>
          <w:color w:val="auto"/>
          <w:highlight w:val="none"/>
        </w:rPr>
        <w:t xml:space="preserve">  签字日期：      年  月  日          </w:t>
      </w:r>
      <w:r>
        <w:rPr>
          <w:rFonts w:hint="eastAsia" w:hAnsi="宋体"/>
          <w:color w:val="auto"/>
          <w:highlight w:val="none"/>
        </w:rPr>
        <w:t xml:space="preserve">    </w:t>
      </w:r>
      <w:r>
        <w:rPr>
          <w:rFonts w:hAnsi="宋体"/>
          <w:color w:val="auto"/>
          <w:highlight w:val="none"/>
        </w:rPr>
        <w:t xml:space="preserve"> 签字日期：      年  月  日</w:t>
      </w:r>
    </w:p>
    <w:p>
      <w:pPr>
        <w:pStyle w:val="17"/>
        <w:snapToGrid w:val="0"/>
        <w:spacing w:beforeLines="0" w:afterLines="0" w:line="360" w:lineRule="auto"/>
        <w:rPr>
          <w:rFonts w:hint="eastAsia" w:hAnsi="宋体"/>
          <w:color w:val="auto"/>
          <w:highlight w:val="none"/>
        </w:rPr>
      </w:pPr>
    </w:p>
    <w:p>
      <w:pPr>
        <w:pStyle w:val="17"/>
        <w:snapToGrid w:val="0"/>
        <w:spacing w:beforeLines="0" w:afterLines="0" w:line="360" w:lineRule="auto"/>
        <w:ind w:firstLine="240" w:firstLineChars="100"/>
        <w:rPr>
          <w:rFonts w:hint="eastAsia" w:hAnsi="宋体"/>
          <w:color w:val="auto"/>
          <w:highlight w:val="none"/>
        </w:rPr>
      </w:pPr>
      <w:r>
        <w:rPr>
          <w:rFonts w:hint="eastAsia" w:hAnsi="宋体"/>
          <w:color w:val="auto"/>
          <w:highlight w:val="none"/>
        </w:rPr>
        <w:t>丙</w:t>
      </w:r>
      <w:r>
        <w:rPr>
          <w:rFonts w:hAnsi="宋体"/>
          <w:color w:val="auto"/>
          <w:highlight w:val="none"/>
        </w:rPr>
        <w:t>方:</w:t>
      </w:r>
      <w:r>
        <w:rPr>
          <w:rFonts w:hint="eastAsia" w:hAnsi="宋体"/>
          <w:color w:val="auto"/>
          <w:highlight w:val="none"/>
        </w:rPr>
        <w:t>平湖市公共资源交易中心</w:t>
      </w:r>
    </w:p>
    <w:p>
      <w:pPr>
        <w:pStyle w:val="17"/>
        <w:snapToGrid w:val="0"/>
        <w:spacing w:beforeLines="0" w:afterLines="0" w:line="360" w:lineRule="auto"/>
        <w:ind w:firstLine="240" w:firstLineChars="100"/>
        <w:rPr>
          <w:rFonts w:hint="eastAsia" w:hAnsi="宋体"/>
          <w:color w:val="auto"/>
          <w:highlight w:val="none"/>
        </w:rPr>
      </w:pPr>
      <w:r>
        <w:rPr>
          <w:rFonts w:hAnsi="宋体"/>
          <w:color w:val="auto"/>
          <w:highlight w:val="none"/>
        </w:rPr>
        <w:t>法定代表人或主要负责人:</w:t>
      </w:r>
    </w:p>
    <w:p>
      <w:pPr>
        <w:pStyle w:val="17"/>
        <w:snapToGrid w:val="0"/>
        <w:spacing w:beforeLines="0" w:afterLines="0" w:line="360" w:lineRule="auto"/>
        <w:ind w:firstLine="240" w:firstLineChars="100"/>
        <w:rPr>
          <w:rFonts w:hint="eastAsia" w:hAnsi="宋体"/>
          <w:color w:val="auto"/>
          <w:highlight w:val="none"/>
        </w:rPr>
      </w:pPr>
      <w:r>
        <w:rPr>
          <w:rFonts w:hAnsi="宋体"/>
          <w:color w:val="auto"/>
          <w:highlight w:val="none"/>
        </w:rPr>
        <w:t>鉴证日期:      年  月  日</w:t>
      </w:r>
    </w:p>
    <w:p>
      <w:pPr>
        <w:pStyle w:val="17"/>
        <w:snapToGrid w:val="0"/>
        <w:spacing w:beforeLines="0" w:afterLines="0" w:line="360" w:lineRule="auto"/>
        <w:ind w:firstLine="120" w:firstLineChars="50"/>
        <w:rPr>
          <w:rFonts w:hint="eastAsia" w:hAnsi="宋体"/>
          <w:color w:val="auto"/>
          <w:highlight w:val="none"/>
        </w:rPr>
      </w:pPr>
    </w:p>
    <w:p>
      <w:pPr>
        <w:pStyle w:val="17"/>
        <w:snapToGrid w:val="0"/>
        <w:spacing w:beforeLines="0" w:afterLines="0" w:line="360" w:lineRule="auto"/>
        <w:ind w:firstLine="120" w:firstLineChars="50"/>
        <w:rPr>
          <w:rFonts w:hint="eastAsia" w:hAnsi="宋体"/>
          <w:color w:val="auto"/>
          <w:highlight w:val="none"/>
        </w:rPr>
      </w:pPr>
    </w:p>
    <w:p>
      <w:pPr>
        <w:pStyle w:val="17"/>
        <w:snapToGrid w:val="0"/>
        <w:spacing w:beforeLines="0" w:afterLines="0" w:line="360" w:lineRule="auto"/>
        <w:ind w:firstLine="120" w:firstLineChars="50"/>
        <w:rPr>
          <w:rFonts w:hint="eastAsia" w:hAnsi="宋体"/>
          <w:color w:val="auto"/>
          <w:highlight w:val="none"/>
        </w:rPr>
      </w:pPr>
    </w:p>
    <w:p>
      <w:pPr>
        <w:pStyle w:val="11"/>
        <w:rPr>
          <w:rFonts w:hint="eastAsia"/>
          <w:color w:val="auto"/>
          <w:highlight w:val="none"/>
        </w:rPr>
      </w:pPr>
    </w:p>
    <w:p>
      <w:pPr>
        <w:pStyle w:val="17"/>
        <w:snapToGrid w:val="0"/>
        <w:spacing w:beforeLines="0" w:afterLines="0" w:line="360" w:lineRule="auto"/>
        <w:ind w:firstLine="120" w:firstLineChars="50"/>
        <w:rPr>
          <w:rFonts w:hint="eastAsia" w:hAnsi="宋体"/>
          <w:color w:val="auto"/>
          <w:highlight w:val="none"/>
        </w:rPr>
      </w:pPr>
    </w:p>
    <w:p>
      <w:pPr>
        <w:pStyle w:val="17"/>
        <w:snapToGrid w:val="0"/>
        <w:spacing w:beforeLines="0" w:afterLines="0" w:line="360" w:lineRule="auto"/>
        <w:ind w:firstLine="120" w:firstLineChars="50"/>
        <w:rPr>
          <w:rFonts w:hint="eastAsia" w:hAnsi="宋体"/>
          <w:color w:val="auto"/>
          <w:highlight w:val="none"/>
        </w:rPr>
      </w:pPr>
    </w:p>
    <w:p>
      <w:pPr>
        <w:pStyle w:val="17"/>
        <w:snapToGrid w:val="0"/>
        <w:spacing w:beforeLines="0" w:afterLines="0" w:line="360" w:lineRule="auto"/>
        <w:ind w:firstLine="120" w:firstLineChars="50"/>
        <w:rPr>
          <w:rFonts w:hint="eastAsia" w:hAnsi="宋体"/>
          <w:color w:val="auto"/>
          <w:highlight w:val="none"/>
        </w:rPr>
      </w:pPr>
    </w:p>
    <w:p>
      <w:pPr>
        <w:pStyle w:val="11"/>
        <w:rPr>
          <w:rFonts w:hint="eastAsia"/>
          <w:color w:val="auto"/>
          <w:highlight w:val="none"/>
        </w:rPr>
      </w:pPr>
    </w:p>
    <w:p>
      <w:pPr>
        <w:pStyle w:val="12"/>
        <w:ind w:firstLine="210"/>
        <w:rPr>
          <w:rFonts w:hint="eastAsia" w:hAnsi="宋体"/>
          <w:color w:val="auto"/>
          <w:highlight w:val="none"/>
        </w:rPr>
      </w:pPr>
    </w:p>
    <w:p>
      <w:pPr>
        <w:pStyle w:val="13"/>
        <w:rPr>
          <w:rFonts w:hint="eastAsia" w:hAnsi="宋体"/>
          <w:color w:val="auto"/>
          <w:highlight w:val="none"/>
        </w:rPr>
      </w:pPr>
    </w:p>
    <w:p>
      <w:pPr>
        <w:rPr>
          <w:rFonts w:hint="eastAsia" w:hAnsi="宋体"/>
          <w:color w:val="auto"/>
          <w:highlight w:val="none"/>
        </w:rPr>
      </w:pPr>
    </w:p>
    <w:p>
      <w:pPr>
        <w:pStyle w:val="2"/>
        <w:rPr>
          <w:rFonts w:hint="eastAsia" w:hAnsi="宋体"/>
          <w:color w:val="auto"/>
          <w:highlight w:val="none"/>
        </w:rPr>
      </w:pPr>
    </w:p>
    <w:p>
      <w:pPr>
        <w:rPr>
          <w:color w:val="auto"/>
          <w:highlight w:val="none"/>
        </w:rPr>
      </w:pPr>
    </w:p>
    <w:p>
      <w:pPr>
        <w:rPr>
          <w:rFonts w:hint="eastAsia" w:hAnsi="宋体"/>
          <w:color w:val="auto"/>
          <w:highlight w:val="none"/>
        </w:rPr>
      </w:pPr>
    </w:p>
    <w:p>
      <w:pPr>
        <w:pStyle w:val="2"/>
        <w:rPr>
          <w:rFonts w:hint="eastAsia" w:hAnsi="宋体"/>
          <w:color w:val="auto"/>
          <w:highlight w:val="none"/>
        </w:rPr>
      </w:pPr>
    </w:p>
    <w:p>
      <w:pPr>
        <w:rPr>
          <w:rFonts w:hint="eastAsia" w:hAnsi="宋体"/>
          <w:color w:val="auto"/>
          <w:highlight w:val="none"/>
        </w:rPr>
      </w:pPr>
    </w:p>
    <w:p>
      <w:pPr>
        <w:rPr>
          <w:color w:val="auto"/>
          <w:highlight w:val="none"/>
        </w:rPr>
      </w:pPr>
    </w:p>
    <w:p>
      <w:pPr>
        <w:rPr>
          <w:color w:val="auto"/>
          <w:highlight w:val="none"/>
        </w:rPr>
      </w:pPr>
    </w:p>
    <w:p>
      <w:pPr>
        <w:pStyle w:val="17"/>
        <w:snapToGrid w:val="0"/>
        <w:spacing w:beforeLines="0" w:afterLines="0" w:line="360" w:lineRule="auto"/>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平湖市政府采购项目验收结算单</w:t>
      </w:r>
    </w:p>
    <w:p>
      <w:pPr>
        <w:spacing w:line="320" w:lineRule="exact"/>
        <w:jc w:val="left"/>
        <w:rPr>
          <w:rFonts w:hint="eastAsia" w:ascii="宋体" w:hAnsi="宋体"/>
          <w:color w:val="auto"/>
          <w:sz w:val="24"/>
          <w:highlight w:val="none"/>
        </w:rPr>
      </w:pPr>
      <w:r>
        <w:rPr>
          <w:rFonts w:hint="eastAsia" w:ascii="宋体" w:hAnsi="宋体"/>
          <w:color w:val="auto"/>
          <w:sz w:val="24"/>
          <w:highlight w:val="none"/>
        </w:rPr>
        <w:t>采购单位(盖章)：</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noWrap/>
            <w:vAlign w:val="center"/>
          </w:tcPr>
          <w:p>
            <w:pPr>
              <w:spacing w:line="320" w:lineRule="exact"/>
              <w:rPr>
                <w:rFonts w:hint="eastAsia" w:ascii="宋体" w:hAnsi="宋体"/>
                <w:color w:val="auto"/>
                <w:sz w:val="24"/>
                <w:highlight w:val="none"/>
              </w:rPr>
            </w:pPr>
          </w:p>
        </w:tc>
        <w:tc>
          <w:tcPr>
            <w:tcW w:w="1260" w:type="dxa"/>
            <w:tcBorders>
              <w:bottom w:val="single" w:color="auto" w:sz="4" w:space="0"/>
            </w:tcBorders>
            <w:noWrap/>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noWrap/>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noWrap/>
            <w:vAlign w:val="center"/>
          </w:tcPr>
          <w:p>
            <w:pPr>
              <w:spacing w:line="320" w:lineRule="exact"/>
              <w:rPr>
                <w:rFonts w:hint="eastAsia"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noWrap/>
            <w:vAlign w:val="center"/>
          </w:tcPr>
          <w:p>
            <w:pPr>
              <w:spacing w:line="320" w:lineRule="exact"/>
              <w:jc w:val="center"/>
              <w:rPr>
                <w:rFonts w:hint="eastAsia"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noWrap/>
            <w:vAlign w:val="center"/>
          </w:tcPr>
          <w:p>
            <w:pPr>
              <w:spacing w:line="32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hint="eastAsia" w:ascii="宋体" w:hAnsi="宋体"/>
                <w:color w:val="auto"/>
                <w:sz w:val="24"/>
                <w:highlight w:val="none"/>
              </w:rPr>
            </w:pPr>
            <w:r>
              <w:rPr>
                <w:rFonts w:hint="eastAsia" w:ascii="宋体" w:hAnsi="宋体"/>
                <w:color w:val="auto"/>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接收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情况</w:t>
            </w:r>
          </w:p>
        </w:tc>
        <w:tc>
          <w:tcPr>
            <w:tcW w:w="8744" w:type="dxa"/>
            <w:gridSpan w:val="4"/>
            <w:noWrap/>
            <w:vAlign w:val="center"/>
          </w:tcPr>
          <w:p>
            <w:pPr>
              <w:spacing w:line="360" w:lineRule="exact"/>
              <w:rPr>
                <w:rFonts w:hint="eastAsia"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hint="eastAsia" w:ascii="宋体" w:hAnsi="宋体"/>
                <w:color w:val="auto"/>
                <w:sz w:val="24"/>
                <w:highlight w:val="none"/>
              </w:rPr>
            </w:pPr>
          </w:p>
          <w:p>
            <w:pPr>
              <w:spacing w:line="600" w:lineRule="exact"/>
              <w:rPr>
                <w:rFonts w:hint="eastAsia"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验收</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noWrap/>
            <w:vAlign w:val="center"/>
          </w:tcPr>
          <w:p>
            <w:pPr>
              <w:spacing w:line="360" w:lineRule="exact"/>
              <w:ind w:firstLine="4320" w:firstLineChars="1800"/>
              <w:rPr>
                <w:rFonts w:hint="eastAsia" w:ascii="宋体" w:hAnsi="宋体"/>
                <w:color w:val="auto"/>
                <w:sz w:val="24"/>
                <w:highlight w:val="none"/>
              </w:rPr>
            </w:pPr>
          </w:p>
          <w:p>
            <w:pPr>
              <w:spacing w:line="360" w:lineRule="exact"/>
              <w:ind w:firstLine="4320" w:firstLineChars="1800"/>
              <w:rPr>
                <w:rFonts w:hint="eastAsia" w:ascii="宋体" w:hAnsi="宋体"/>
                <w:color w:val="auto"/>
                <w:sz w:val="24"/>
                <w:highlight w:val="none"/>
              </w:rPr>
            </w:pPr>
          </w:p>
          <w:p>
            <w:pPr>
              <w:spacing w:line="360" w:lineRule="exact"/>
              <w:rPr>
                <w:rFonts w:hint="eastAsia"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结算</w:t>
            </w:r>
          </w:p>
          <w:p>
            <w:pPr>
              <w:spacing w:line="360" w:lineRule="exact"/>
              <w:jc w:val="center"/>
              <w:rPr>
                <w:rFonts w:hint="eastAsia" w:ascii="宋体" w:hAnsi="宋体"/>
                <w:color w:val="auto"/>
                <w:sz w:val="24"/>
                <w:highlight w:val="none"/>
              </w:rPr>
            </w:pPr>
            <w:r>
              <w:rPr>
                <w:rFonts w:hint="eastAsia" w:ascii="宋体" w:hAnsi="宋体"/>
                <w:color w:val="auto"/>
                <w:sz w:val="24"/>
                <w:highlight w:val="none"/>
              </w:rPr>
              <w:t>意见</w:t>
            </w:r>
          </w:p>
        </w:tc>
        <w:tc>
          <w:tcPr>
            <w:tcW w:w="8744" w:type="dxa"/>
            <w:gridSpan w:val="4"/>
            <w:noWrap/>
            <w:vAlign w:val="center"/>
          </w:tcPr>
          <w:p>
            <w:pPr>
              <w:spacing w:line="360" w:lineRule="exact"/>
              <w:ind w:left="8" w:leftChars="4" w:right="9"/>
              <w:rPr>
                <w:rFonts w:hint="eastAsia"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bl>
    <w:p>
      <w:pPr>
        <w:rPr>
          <w:rFonts w:hint="eastAsia" w:ascii="宋体" w:hAnsi="宋体"/>
          <w:color w:val="auto"/>
          <w:sz w:val="24"/>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7"/>
        <w:snapToGrid w:val="0"/>
        <w:spacing w:beforeLines="0" w:afterLines="0" w:line="360" w:lineRule="exact"/>
        <w:ind w:firstLine="120" w:firstLineChars="50"/>
        <w:rPr>
          <w:rFonts w:hint="eastAsia" w:hAnsi="宋体"/>
          <w:color w:val="auto"/>
          <w:highlight w:val="none"/>
        </w:rPr>
      </w:pPr>
    </w:p>
    <w:p>
      <w:pPr>
        <w:pStyle w:val="17"/>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7"/>
        <w:snapToGrid w:val="0"/>
        <w:spacing w:beforeLines="0" w:afterLines="0" w:line="440" w:lineRule="exact"/>
        <w:outlineLvl w:val="1"/>
        <w:rPr>
          <w:rFonts w:hint="eastAsia" w:hAnsi="宋体"/>
          <w:b/>
          <w:color w:val="auto"/>
          <w:highlight w:val="none"/>
        </w:rPr>
      </w:pPr>
      <w:r>
        <w:rPr>
          <w:rFonts w:hint="eastAsia" w:hAnsi="宋体"/>
          <w:b/>
          <w:color w:val="auto"/>
          <w:highlight w:val="none"/>
        </w:rPr>
        <w:t>一、资格文件格式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资格文件封面格式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资格文件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520" w:firstLineChars="1467"/>
        <w:rPr>
          <w:rFonts w:hint="eastAsia"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资格文件目录（请按照“第三章投标人须知，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资格文件：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pacing w:val="-17"/>
          <w:sz w:val="24"/>
          <w:highlight w:val="none"/>
        </w:rPr>
        <w:t>法定代表人有效身份证件复印件或者法定代表人授权委托书（格式见附件）...</w:t>
      </w:r>
      <w:r>
        <w:rPr>
          <w:rFonts w:hint="eastAsia" w:ascii="宋体" w:hAnsi="宋体" w:cs="宋体"/>
          <w:color w:val="auto"/>
          <w:kern w:val="0"/>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rPr>
        <w:t>（页码）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（4）企业（法人）营业执照复印件…………………………………………（页码）</w:t>
      </w:r>
    </w:p>
    <w:p>
      <w:pPr>
        <w:pStyle w:val="2"/>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上海世外教育附属平湖经开实验小学</w:t>
      </w:r>
      <w:r>
        <w:rPr>
          <w:rFonts w:hint="eastAsia" w:ascii="宋体" w:hAnsi="宋体"/>
          <w:color w:val="auto"/>
          <w:sz w:val="24"/>
          <w:highlight w:val="none"/>
        </w:rPr>
        <w:t>（招标采购单位名称）：</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u w:val="single"/>
        </w:rPr>
        <w:t>（投标人名称）</w:t>
      </w:r>
      <w:r>
        <w:rPr>
          <w:rFonts w:hint="eastAsia" w:ascii="宋体" w:hAnsi="宋体"/>
          <w:color w:val="auto"/>
          <w:sz w:val="24"/>
          <w:highlight w:val="none"/>
          <w:u w:val="single"/>
        </w:rPr>
        <w:t xml:space="preserve">   </w:t>
      </w:r>
      <w:r>
        <w:rPr>
          <w:rFonts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38"/>
        <w:snapToGrid w:val="0"/>
        <w:spacing w:line="360" w:lineRule="auto"/>
        <w:ind w:firstLine="480" w:firstLineChars="200"/>
        <w:rPr>
          <w:rFonts w:hint="eastAsia" w:ascii="宋体" w:hAnsi="宋体"/>
          <w:color w:val="auto"/>
          <w:szCs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投 标 人（盖章）：                              </w:t>
      </w:r>
    </w:p>
    <w:p>
      <w:pPr>
        <w:tabs>
          <w:tab w:val="left" w:pos="1418"/>
        </w:tabs>
        <w:spacing w:line="360" w:lineRule="auto"/>
        <w:ind w:firstLine="240" w:firstLineChars="100"/>
        <w:jc w:val="right"/>
        <w:rPr>
          <w:rFonts w:hint="eastAsia"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hint="eastAsia" w:ascii="宋体" w:hAnsi="宋体"/>
          <w:color w:val="auto"/>
          <w:sz w:val="24"/>
          <w:highlight w:val="none"/>
        </w:rPr>
      </w:pPr>
    </w:p>
    <w:p>
      <w:pPr>
        <w:pStyle w:val="16"/>
        <w:rPr>
          <w:color w:val="auto"/>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hint="eastAsia"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rPr>
        <w:t>上海世外教育附属平湖经开实验小学</w:t>
      </w:r>
      <w:r>
        <w:rPr>
          <w:rFonts w:ascii="宋体" w:hAnsi="宋体"/>
          <w:color w:val="auto"/>
          <w:sz w:val="24"/>
          <w:highlight w:val="none"/>
        </w:rPr>
        <w:t>（招标采购单位名称）：</w:t>
      </w:r>
    </w:p>
    <w:p>
      <w:pPr>
        <w:snapToGrid w:val="0"/>
        <w:spacing w:line="360" w:lineRule="auto"/>
        <w:ind w:firstLine="720" w:firstLineChars="300"/>
        <w:rPr>
          <w:rFonts w:hint="eastAsia"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ascii="宋体" w:hAnsi="宋体"/>
          <w:color w:val="auto"/>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hint="eastAsia"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 xml:space="preserve">被授权人签名：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法定代表人签名：</w:t>
      </w:r>
    </w:p>
    <w:p>
      <w:pPr>
        <w:snapToGrid w:val="0"/>
        <w:spacing w:line="360" w:lineRule="auto"/>
        <w:ind w:firstLine="960" w:firstLineChars="400"/>
        <w:rPr>
          <w:rFonts w:hint="eastAsia" w:ascii="宋体" w:hAnsi="宋体"/>
          <w:color w:val="auto"/>
          <w:sz w:val="24"/>
          <w:highlight w:val="none"/>
        </w:rPr>
      </w:pPr>
      <w:r>
        <w:rPr>
          <w:rFonts w:ascii="宋体" w:hAnsi="宋体"/>
          <w:color w:val="auto"/>
          <w:sz w:val="24"/>
          <w:highlight w:val="none"/>
        </w:rPr>
        <w:t xml:space="preserve">职务：                          </w:t>
      </w:r>
      <w:r>
        <w:rPr>
          <w:rFonts w:hint="eastAsia" w:ascii="宋体" w:hAnsi="宋体"/>
          <w:color w:val="auto"/>
          <w:sz w:val="24"/>
          <w:highlight w:val="none"/>
        </w:rPr>
        <w:t xml:space="preserve">          </w:t>
      </w:r>
      <w:r>
        <w:rPr>
          <w:rFonts w:ascii="宋体" w:hAnsi="宋体"/>
          <w:color w:val="auto"/>
          <w:sz w:val="24"/>
          <w:highlight w:val="none"/>
        </w:rPr>
        <w:t>职务：</w:t>
      </w:r>
    </w:p>
    <w:p>
      <w:pPr>
        <w:spacing w:line="360" w:lineRule="auto"/>
        <w:rPr>
          <w:rFonts w:hint="eastAsia" w:ascii="宋体" w:hAnsi="宋体"/>
          <w:color w:val="auto"/>
          <w:sz w:val="24"/>
          <w:highlight w:val="none"/>
        </w:rPr>
      </w:pPr>
      <w:r>
        <w:rPr>
          <w:rFonts w:ascii="宋体" w:hAnsi="宋体"/>
          <w:color w:val="auto"/>
          <w:sz w:val="24"/>
          <w:highlight w:val="none"/>
        </w:rPr>
        <w:t>被授权人身份证号码：</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t>投标人公章：                      年    月    日</w:t>
      </w:r>
    </w:p>
    <w:p>
      <w:pPr>
        <w:spacing w:line="360" w:lineRule="auto"/>
        <w:ind w:firstLine="3600" w:firstLineChars="1500"/>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hint="eastAsia" w:ascii="宋体" w:hAnsi="宋体"/>
          <w:color w:val="auto"/>
          <w:sz w:val="24"/>
          <w:highlight w:val="none"/>
        </w:rPr>
      </w:pPr>
    </w:p>
    <w:p>
      <w:pPr>
        <w:snapToGrid w:val="0"/>
        <w:spacing w:before="120" w:beforeLines="50" w:after="50" w:line="360" w:lineRule="auto"/>
        <w:rPr>
          <w:rFonts w:hint="eastAsia" w:ascii="宋体" w:hAnsi="宋体"/>
          <w:color w:val="auto"/>
          <w:sz w:val="24"/>
          <w:highlight w:val="none"/>
        </w:rPr>
      </w:pPr>
    </w:p>
    <w:p>
      <w:pPr>
        <w:pStyle w:val="2"/>
        <w:rPr>
          <w:color w:val="auto"/>
          <w:highlight w:val="none"/>
        </w:rPr>
      </w:pPr>
    </w:p>
    <w:p>
      <w:pPr>
        <w:snapToGrid w:val="0"/>
        <w:spacing w:before="120" w:beforeLines="50" w:after="50" w:line="360" w:lineRule="auto"/>
        <w:rPr>
          <w:rFonts w:hint="eastAsia" w:ascii="宋体" w:hAnsi="宋体"/>
          <w:color w:val="auto"/>
          <w:sz w:val="24"/>
          <w:highlight w:val="none"/>
        </w:rPr>
      </w:pPr>
    </w:p>
    <w:p>
      <w:pPr>
        <w:pStyle w:val="2"/>
        <w:spacing w:line="360" w:lineRule="auto"/>
        <w:jc w:val="left"/>
        <w:rPr>
          <w:rFonts w:hint="eastAsia" w:ascii="宋体" w:hAnsi="宋体" w:eastAsia="宋体"/>
          <w:b w:val="0"/>
          <w:bCs w:val="0"/>
          <w:color w:val="auto"/>
          <w:sz w:val="24"/>
          <w:szCs w:val="24"/>
          <w:highlight w:val="none"/>
        </w:rPr>
      </w:pPr>
      <w:r>
        <w:rPr>
          <w:rFonts w:hint="eastAsia" w:ascii="宋体" w:hAnsi="宋体"/>
          <w:b w:val="0"/>
          <w:bCs w:val="0"/>
          <w:color w:val="auto"/>
          <w:sz w:val="24"/>
          <w:highlight w:val="none"/>
        </w:rPr>
        <w:t xml:space="preserve">5. </w:t>
      </w:r>
      <w:r>
        <w:rPr>
          <w:rFonts w:hint="eastAsia" w:ascii="宋体" w:hAnsi="宋体" w:eastAsia="宋体"/>
          <w:b w:val="0"/>
          <w:bCs w:val="0"/>
          <w:color w:val="auto"/>
          <w:sz w:val="24"/>
          <w:szCs w:val="24"/>
          <w:highlight w:val="none"/>
        </w:rPr>
        <w:t>符合参加政府采购活动应当具备的一般条件的承诺函格式：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上海世外教育附属平湖经开实验小学</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采购响应方（盖章）：                              </w:t>
      </w:r>
    </w:p>
    <w:p>
      <w:pPr>
        <w:tabs>
          <w:tab w:val="left" w:pos="1418"/>
        </w:tabs>
        <w:spacing w:line="360" w:lineRule="auto"/>
        <w:ind w:firstLine="240" w:firstLineChars="100"/>
        <w:jc w:val="right"/>
        <w:rPr>
          <w:rFonts w:hint="eastAsia"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hint="eastAsia" w:ascii="宋体"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pStyle w:val="25"/>
        <w:ind w:firstLine="464"/>
        <w:rPr>
          <w:rFonts w:hint="eastAsia" w:hAnsi="宋体"/>
          <w:color w:val="auto"/>
          <w:sz w:val="24"/>
          <w:highlight w:val="none"/>
        </w:rPr>
      </w:pP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6.中小企业声明函等承诺函</w:t>
      </w:r>
    </w:p>
    <w:p>
      <w:pPr>
        <w:pStyle w:val="25"/>
        <w:ind w:left="0" w:leftChars="0" w:firstLine="0" w:firstLineChars="0"/>
        <w:rPr>
          <w:color w:val="auto"/>
          <w:highlight w:val="none"/>
        </w:rPr>
      </w:pPr>
    </w:p>
    <w:p>
      <w:pPr>
        <w:snapToGrid w:val="0"/>
        <w:spacing w:line="360" w:lineRule="auto"/>
        <w:jc w:val="center"/>
        <w:rPr>
          <w:rFonts w:hint="eastAsia" w:ascii="宋体" w:hAnsi="宋体"/>
          <w:color w:val="auto"/>
          <w:sz w:val="24"/>
          <w:highlight w:val="none"/>
        </w:rPr>
      </w:pPr>
      <w:r>
        <w:rPr>
          <w:rFonts w:hint="eastAsia" w:ascii="Arial" w:hAnsi="Arial" w:eastAsia="黑体"/>
          <w:b/>
          <w:bCs/>
          <w:color w:val="auto"/>
          <w:sz w:val="32"/>
          <w:szCs w:val="32"/>
          <w:highlight w:val="none"/>
        </w:rPr>
        <w:t>中小企业声明函（货物）</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 号）的规定，本公司参加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w:t>
      </w:r>
      <w:r>
        <w:rPr>
          <w:rFonts w:hint="eastAsia" w:ascii="宋体" w:hAnsi="宋体"/>
          <w:b/>
          <w:bCs/>
          <w:color w:val="auto"/>
          <w:sz w:val="24"/>
          <w:highlight w:val="none"/>
        </w:rPr>
        <w:t>全部</w:t>
      </w:r>
      <w:r>
        <w:rPr>
          <w:rFonts w:hint="eastAsia" w:ascii="宋体" w:hAnsi="宋体"/>
          <w:color w:val="auto"/>
          <w:sz w:val="24"/>
          <w:highlight w:val="none"/>
        </w:rPr>
        <w:t xml:space="preserve">由符合政策要求的中小企业制造。相关企业的具体情况如下： </w:t>
      </w:r>
    </w:p>
    <w:p>
      <w:pPr>
        <w:snapToGrid w:val="0"/>
        <w:spacing w:line="360" w:lineRule="auto"/>
        <w:ind w:firstLine="720" w:firstLineChars="300"/>
        <w:jc w:val="left"/>
        <w:rPr>
          <w:rFonts w:hint="eastAsia"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 xml:space="preserve"> 行业；制造商为</w:t>
      </w:r>
      <w:r>
        <w:rPr>
          <w:rFonts w:hint="eastAsia" w:ascii="宋体" w:hAnsi="宋体"/>
          <w:color w:val="auto"/>
          <w:sz w:val="24"/>
          <w:highlight w:val="none"/>
          <w:u w:val="single"/>
        </w:rPr>
        <w:t>（企业名称）</w:t>
      </w:r>
      <w:r>
        <w:rPr>
          <w:rFonts w:hint="eastAsia" w:ascii="宋体" w:hAnsi="宋体"/>
          <w:color w:val="auto"/>
          <w:sz w:val="24"/>
          <w:highlight w:val="none"/>
        </w:rPr>
        <w:t xml:space="preserve">，从业人员人，营业收入为万元，资产总额为万元，属于（中型企业、小型企业、微型企业）； </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 xml:space="preserve">本企业对上述声明内容的真实性负责。如有虚假，将依法承担相应责任。 </w:t>
      </w:r>
    </w:p>
    <w:p>
      <w:pPr>
        <w:pStyle w:val="3"/>
        <w:ind w:firstLine="0" w:firstLineChars="0"/>
        <w:rPr>
          <w:color w:val="auto"/>
          <w:highlight w:val="none"/>
        </w:rPr>
      </w:pP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hint="eastAsia" w:ascii="宋体" w:hAnsi="宋体"/>
          <w:color w:val="auto"/>
          <w:sz w:val="24"/>
          <w:highlight w:val="none"/>
        </w:rPr>
      </w:pPr>
      <w:r>
        <w:rPr>
          <w:rFonts w:hint="eastAsia" w:ascii="宋体" w:hAnsi="宋体"/>
          <w:color w:val="auto"/>
          <w:sz w:val="24"/>
          <w:highlight w:val="none"/>
        </w:rPr>
        <w:t xml:space="preserve">日 期： </w:t>
      </w:r>
    </w:p>
    <w:p>
      <w:pPr>
        <w:spacing w:line="360" w:lineRule="auto"/>
        <w:ind w:firstLine="480" w:firstLineChars="200"/>
        <w:rPr>
          <w:rFonts w:hint="eastAsia" w:ascii="宋体" w:hAnsi="宋体" w:cs="宋体"/>
          <w:color w:val="auto"/>
          <w:sz w:val="24"/>
          <w:highlight w:val="none"/>
        </w:rPr>
      </w:pPr>
    </w:p>
    <w:p>
      <w:pPr>
        <w:snapToGrid w:val="0"/>
        <w:spacing w:line="360" w:lineRule="auto"/>
        <w:rPr>
          <w:rFonts w:hint="eastAsia" w:ascii="宋体" w:hAnsi="宋体"/>
          <w:b/>
          <w:bCs/>
          <w:color w:val="auto"/>
          <w:sz w:val="24"/>
          <w:szCs w:val="20"/>
          <w:highlight w:val="none"/>
        </w:rPr>
      </w:pPr>
      <w:r>
        <w:rPr>
          <w:rFonts w:hint="eastAsia" w:ascii="宋体" w:hAnsi="宋体"/>
          <w:b/>
          <w:bCs/>
          <w:color w:val="auto"/>
          <w:sz w:val="24"/>
          <w:szCs w:val="20"/>
          <w:highlight w:val="none"/>
        </w:rPr>
        <w:t>注：</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2、采购标的：</w:t>
      </w:r>
      <w:r>
        <w:rPr>
          <w:rFonts w:hint="eastAsia" w:ascii="宋体" w:hAnsi="宋体"/>
          <w:color w:val="auto"/>
          <w:sz w:val="24"/>
          <w:highlight w:val="none"/>
        </w:rPr>
        <w:t>触控一体机等设备</w:t>
      </w:r>
      <w:r>
        <w:rPr>
          <w:rFonts w:hint="eastAsia" w:ascii="宋体" w:hAnsi="宋体" w:cs="宋体"/>
          <w:bCs/>
          <w:color w:val="auto"/>
          <w:sz w:val="24"/>
          <w:highlight w:val="none"/>
        </w:rPr>
        <w:t>；所属行业：工业。</w:t>
      </w:r>
    </w:p>
    <w:p>
      <w:pPr>
        <w:wordWrap w:val="0"/>
        <w:topLinePunct/>
        <w:snapToGrid w:val="0"/>
        <w:spacing w:line="360" w:lineRule="auto"/>
        <w:ind w:firstLine="480" w:firstLineChars="200"/>
        <w:rPr>
          <w:bCs/>
          <w:color w:val="auto"/>
          <w:highlight w:val="none"/>
        </w:rPr>
      </w:pPr>
      <w:r>
        <w:rPr>
          <w:rFonts w:hint="eastAsia" w:ascii="宋体" w:hAnsi="宋体" w:cs="宋体"/>
          <w:bCs/>
          <w:color w:val="auto"/>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hint="eastAsia" w:ascii="宋体" w:hAnsi="宋体"/>
          <w:color w:val="auto"/>
          <w:sz w:val="24"/>
          <w:szCs w:val="20"/>
          <w:highlight w:val="none"/>
        </w:rPr>
      </w:pPr>
      <w:r>
        <w:rPr>
          <w:rFonts w:hint="eastAsia" w:ascii="宋体" w:hAnsi="宋体" w:eastAsia="宋体" w:cs="宋体"/>
          <w:b w:val="0"/>
          <w:color w:val="auto"/>
          <w:sz w:val="24"/>
          <w:highlight w:val="none"/>
        </w:rPr>
        <w:t>4、</w:t>
      </w:r>
      <w:r>
        <w:rPr>
          <w:rFonts w:ascii="宋体" w:hAnsi="宋体" w:eastAsia="宋体" w:cs="宋体"/>
          <w:b w:val="0"/>
          <w:color w:val="auto"/>
          <w:sz w:val="24"/>
          <w:szCs w:val="24"/>
          <w:highlight w:val="none"/>
        </w:rPr>
        <w:t>中小企业划型标准</w:t>
      </w:r>
      <w:r>
        <w:rPr>
          <w:rFonts w:hint="eastAsia" w:ascii="宋体" w:hAnsi="宋体" w:eastAsia="宋体" w:cs="宋体"/>
          <w:b w:val="0"/>
          <w:color w:val="auto"/>
          <w:sz w:val="24"/>
          <w:szCs w:val="24"/>
          <w:highlight w:val="none"/>
        </w:rPr>
        <w:t>请按照《</w:t>
      </w:r>
      <w:r>
        <w:rPr>
          <w:rFonts w:ascii="宋体" w:hAnsi="宋体" w:eastAsia="宋体" w:cs="宋体"/>
          <w:b w:val="0"/>
          <w:color w:val="auto"/>
          <w:sz w:val="24"/>
          <w:szCs w:val="24"/>
          <w:highlight w:val="none"/>
        </w:rPr>
        <w:t xml:space="preserve">工信部联企业〔2011〕300号 </w:t>
      </w:r>
      <w:r>
        <w:rPr>
          <w:rFonts w:hint="eastAsia" w:ascii="宋体" w:hAnsi="宋体" w:eastAsia="宋体" w:cs="宋体"/>
          <w:b w:val="0"/>
          <w:color w:val="auto"/>
          <w:sz w:val="24"/>
          <w:szCs w:val="24"/>
          <w:highlight w:val="none"/>
        </w:rPr>
        <w:t>》之</w:t>
      </w:r>
      <w:r>
        <w:rPr>
          <w:rFonts w:ascii="宋体" w:hAnsi="宋体" w:eastAsia="宋体" w:cs="宋体"/>
          <w:b w:val="0"/>
          <w:color w:val="auto"/>
          <w:sz w:val="24"/>
          <w:szCs w:val="24"/>
          <w:highlight w:val="none"/>
        </w:rPr>
        <w:t>规定</w:t>
      </w:r>
    </w:p>
    <w:tbl>
      <w:tblPr>
        <w:tblStyle w:val="2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行业名称</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指标名称</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计量单位</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中型</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小型</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Style w:val="29"/>
                <w:rFonts w:hint="eastAsia"/>
                <w:color w:val="auto"/>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农、林、牧、渔业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工业</w:t>
            </w:r>
          </w:p>
        </w:tc>
        <w:tc>
          <w:tcPr>
            <w:tcW w:w="1365"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300≤X&lt;1000</w:t>
            </w:r>
          </w:p>
        </w:tc>
        <w:tc>
          <w:tcPr>
            <w:tcW w:w="1586"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20≤X&lt;300</w:t>
            </w:r>
          </w:p>
        </w:tc>
        <w:tc>
          <w:tcPr>
            <w:tcW w:w="1447"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2000≤Y&lt;40000</w:t>
            </w:r>
          </w:p>
        </w:tc>
        <w:tc>
          <w:tcPr>
            <w:tcW w:w="1586"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300≤Y&lt;2000</w:t>
            </w:r>
          </w:p>
        </w:tc>
        <w:tc>
          <w:tcPr>
            <w:tcW w:w="1447" w:type="dxa"/>
            <w:shd w:val="clear" w:color="auto" w:fill="FBE5D6" w:themeFill="accent2" w:themeFillTint="32"/>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建筑业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6000≤Y&lt;80000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300≤Y&lt;6000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5000≤Z&lt;80000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批发业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5≤X&lt;20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5000≤Y&lt;40000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零售业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10≤X&lt;50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500≤Y&lt;20000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100≤Y&lt;500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交通运输业</w:t>
            </w: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300≤X&lt;1000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20≤X&lt;300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3000≤Y&lt;30000</w:t>
            </w:r>
          </w:p>
        </w:tc>
        <w:tc>
          <w:tcPr>
            <w:tcW w:w="1586"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200≤Y&lt;3000</w:t>
            </w:r>
          </w:p>
        </w:tc>
        <w:tc>
          <w:tcPr>
            <w:tcW w:w="1447" w:type="dxa"/>
            <w:shd w:val="clear" w:color="auto" w:fill="auto"/>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仓储业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100≤X&lt;200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邮政业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300≤X&lt;1000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20≤X&lt;300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2000≤Y&lt;30000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住宿业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餐饮业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信息传输业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100≤X&lt;2000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1000≤Y&lt;100000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软件和信息技术服务业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房地产开发经营</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1000≤Y&lt;200000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5000≤Z&lt;10000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2000≤Z&lt;5000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物业管理</w:t>
            </w:r>
          </w:p>
        </w:tc>
        <w:tc>
          <w:tcPr>
            <w:tcW w:w="1365"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300≤X&lt;1000</w:t>
            </w:r>
          </w:p>
        </w:tc>
        <w:tc>
          <w:tcPr>
            <w:tcW w:w="1586"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447"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hint="eastAsia" w:ascii="宋体" w:hAnsi="宋体" w:cs="宋体"/>
                <w:color w:val="auto"/>
                <w:szCs w:val="21"/>
                <w:highlight w:val="none"/>
              </w:rPr>
            </w:pPr>
          </w:p>
        </w:tc>
        <w:tc>
          <w:tcPr>
            <w:tcW w:w="1365"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营业收入(Y)</w:t>
            </w:r>
          </w:p>
        </w:tc>
        <w:tc>
          <w:tcPr>
            <w:tcW w:w="1201"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1000≤Y&lt;5000</w:t>
            </w:r>
          </w:p>
        </w:tc>
        <w:tc>
          <w:tcPr>
            <w:tcW w:w="1586"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500≤Y&lt;1000</w:t>
            </w:r>
          </w:p>
        </w:tc>
        <w:tc>
          <w:tcPr>
            <w:tcW w:w="1447" w:type="dxa"/>
            <w:shd w:val="clear" w:color="auto" w:fill="FFFFFF" w:themeFill="background1"/>
            <w:tcMar>
              <w:top w:w="30" w:type="dxa"/>
              <w:left w:w="90" w:type="dxa"/>
              <w:bottom w:w="30" w:type="dxa"/>
              <w:right w:w="90" w:type="dxa"/>
            </w:tcMa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租赁和商务服务业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hint="eastAsia"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8000≤Z&lt;120000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100≤Z&lt;8000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其他未列明行业</w:t>
            </w:r>
          </w:p>
        </w:tc>
        <w:tc>
          <w:tcPr>
            <w:tcW w:w="1365"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4"/>
              <w:widowControl w:val="0"/>
              <w:wordWrap w:val="0"/>
              <w:topLinePunct/>
              <w:spacing w:before="0" w:beforeAutospacing="0" w:after="0" w:afterAutospacing="0" w:line="360" w:lineRule="atLeast"/>
              <w:rPr>
                <w:rFonts w:hint="eastAsia"/>
                <w:color w:val="auto"/>
                <w:highlight w:val="none"/>
              </w:rPr>
            </w:pPr>
            <w:r>
              <w:rPr>
                <w:rFonts w:hint="eastAsia"/>
                <w:color w:val="auto"/>
                <w:highlight w:val="none"/>
              </w:rPr>
              <w:t>X&lt;10</w:t>
            </w:r>
          </w:p>
        </w:tc>
      </w:tr>
    </w:tbl>
    <w:p>
      <w:pPr>
        <w:pStyle w:val="2"/>
        <w:spacing w:line="360" w:lineRule="auto"/>
        <w:jc w:val="center"/>
        <w:rPr>
          <w:color w:val="auto"/>
          <w:highlight w:val="none"/>
        </w:rPr>
      </w:pPr>
      <w:r>
        <w:rPr>
          <w:rFonts w:hint="eastAsia"/>
          <w:color w:val="auto"/>
          <w:highlight w:val="none"/>
        </w:rPr>
        <w:t>残疾人福利性单位声明函</w:t>
      </w:r>
    </w:p>
    <w:p>
      <w:pPr>
        <w:spacing w:line="588" w:lineRule="exact"/>
        <w:rPr>
          <w:rFonts w:hint="eastAsia" w:ascii="宋体" w:hAnsi="宋体" w:cs="宋体"/>
          <w:b/>
          <w:color w:val="auto"/>
          <w:spacing w:val="6"/>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588" w:lineRule="exact"/>
        <w:ind w:firstLine="504" w:firstLineChars="200"/>
        <w:rPr>
          <w:rFonts w:hint="eastAsia" w:ascii="宋体" w:hAnsi="宋体" w:cs="宋体"/>
          <w:color w:val="auto"/>
          <w:spacing w:val="6"/>
          <w:sz w:val="24"/>
          <w:highlight w:val="none"/>
        </w:rPr>
      </w:pP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pStyle w:val="16"/>
        <w:rPr>
          <w:rFonts w:hint="eastAsia" w:ascii="宋体" w:hAnsi="宋体" w:cs="宋体"/>
          <w:color w:val="auto"/>
          <w:highlight w:val="none"/>
        </w:rPr>
      </w:pPr>
    </w:p>
    <w:p>
      <w:pPr>
        <w:rPr>
          <w:color w:val="auto"/>
          <w:highlight w:val="none"/>
        </w:rPr>
      </w:pPr>
    </w:p>
    <w:p>
      <w:pPr>
        <w:pStyle w:val="2"/>
        <w:spacing w:line="360" w:lineRule="auto"/>
        <w:jc w:val="left"/>
        <w:rPr>
          <w:rFonts w:hint="eastAsia" w:ascii="宋体" w:hAnsi="宋体" w:eastAsia="宋体" w:cs="宋体"/>
          <w:b w:val="0"/>
          <w:color w:val="auto"/>
          <w:sz w:val="24"/>
          <w:szCs w:val="24"/>
          <w:highlight w:val="none"/>
        </w:rPr>
      </w:pPr>
      <w:r>
        <w:rPr>
          <w:rFonts w:hint="eastAsia" w:ascii="宋体" w:hAnsi="宋体" w:eastAsia="宋体"/>
          <w:b w:val="0"/>
          <w:bCs w:val="0"/>
          <w:color w:val="auto"/>
          <w:sz w:val="24"/>
          <w:szCs w:val="24"/>
          <w:highlight w:val="none"/>
        </w:rPr>
        <w:t>7.落实政府采购政策需满足的资格要求格式：</w:t>
      </w:r>
    </w:p>
    <w:p>
      <w:pPr>
        <w:snapToGrid w:val="0"/>
        <w:spacing w:line="360" w:lineRule="auto"/>
        <w:ind w:right="48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hint="eastAsia"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pStyle w:val="25"/>
        <w:ind w:firstLine="404"/>
        <w:rPr>
          <w:color w:val="auto"/>
          <w:highlight w:val="none"/>
        </w:rPr>
      </w:pPr>
    </w:p>
    <w:p>
      <w:pPr>
        <w:snapToGrid w:val="0"/>
        <w:spacing w:line="360" w:lineRule="auto"/>
        <w:rPr>
          <w:rFonts w:hint="eastAsia" w:ascii="宋体" w:hAnsi="宋体"/>
          <w:color w:val="auto"/>
          <w:sz w:val="24"/>
          <w:highlight w:val="none"/>
        </w:rPr>
      </w:pPr>
    </w:p>
    <w:p>
      <w:pPr>
        <w:pStyle w:val="17"/>
        <w:snapToGrid w:val="0"/>
        <w:spacing w:beforeLines="0" w:afterLines="0" w:line="440" w:lineRule="exact"/>
        <w:outlineLvl w:val="1"/>
        <w:rPr>
          <w:rFonts w:hint="eastAsia" w:hAnsi="宋体"/>
          <w:b/>
          <w:color w:val="auto"/>
          <w:highlight w:val="none"/>
        </w:rPr>
      </w:pPr>
    </w:p>
    <w:p>
      <w:pPr>
        <w:pStyle w:val="17"/>
        <w:snapToGrid w:val="0"/>
        <w:spacing w:beforeLines="0" w:afterLines="0" w:line="440" w:lineRule="exact"/>
        <w:outlineLvl w:val="1"/>
        <w:rPr>
          <w:rFonts w:hint="eastAsia" w:hAnsi="宋体"/>
          <w:b/>
          <w:color w:val="auto"/>
          <w:highlight w:val="none"/>
        </w:rPr>
      </w:pPr>
      <w:r>
        <w:rPr>
          <w:rFonts w:hint="eastAsia" w:hAnsi="宋体"/>
          <w:b/>
          <w:color w:val="auto"/>
          <w:highlight w:val="none"/>
        </w:rPr>
        <w:t>二、商务技术文件格式</w:t>
      </w:r>
    </w:p>
    <w:p>
      <w:pPr>
        <w:snapToGrid w:val="0"/>
        <w:spacing w:line="440" w:lineRule="exact"/>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hint="eastAsia" w:ascii="宋体" w:hAnsi="宋体"/>
          <w:b/>
          <w:bCs/>
          <w:color w:val="auto"/>
          <w:sz w:val="24"/>
          <w:highlight w:val="none"/>
        </w:rPr>
      </w:pPr>
    </w:p>
    <w:p>
      <w:pPr>
        <w:snapToGrid w:val="0"/>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 月 日</w:t>
      </w: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360" w:lineRule="auto"/>
        <w:ind w:firstLine="3280" w:firstLineChars="1367"/>
        <w:rPr>
          <w:rFonts w:hint="eastAsia" w:ascii="宋体" w:hAnsi="宋体"/>
          <w:color w:val="auto"/>
          <w:sz w:val="24"/>
          <w:highlight w:val="none"/>
        </w:rPr>
      </w:pP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hint="eastAsia"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hint="eastAsia"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before="120" w:beforeLines="50" w:after="50" w:line="360" w:lineRule="auto"/>
        <w:jc w:val="left"/>
        <w:rPr>
          <w:rFonts w:hint="eastAsia" w:ascii="宋体" w:hAnsi="宋体"/>
          <w:color w:val="auto"/>
          <w:sz w:val="24"/>
          <w:highlight w:val="none"/>
        </w:rPr>
      </w:pPr>
      <w:r>
        <w:rPr>
          <w:rFonts w:hint="eastAsia" w:ascii="宋体" w:hAnsi="宋体"/>
          <w:color w:val="auto"/>
          <w:sz w:val="24"/>
          <w:highlight w:val="none"/>
        </w:rPr>
        <w:t>...</w:t>
      </w: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p>
    <w:p>
      <w:pPr>
        <w:snapToGrid w:val="0"/>
        <w:spacing w:before="120" w:beforeLines="50" w:after="50" w:line="360" w:lineRule="auto"/>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7"/>
        <w:spacing w:before="120" w:after="120" w:line="360" w:lineRule="auto"/>
        <w:jc w:val="center"/>
        <w:rPr>
          <w:rFonts w:hint="eastAsia" w:hAnsi="宋体"/>
          <w:b/>
          <w:color w:val="auto"/>
          <w:highlight w:val="none"/>
        </w:rPr>
      </w:pPr>
      <w:r>
        <w:rPr>
          <w:rFonts w:hint="eastAsia" w:hAnsi="宋体"/>
          <w:b/>
          <w:color w:val="auto"/>
          <w:highlight w:val="none"/>
        </w:rPr>
        <w:t>投标人经营情况介绍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2520" w:type="dxa"/>
            <w:gridSpan w:val="2"/>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2023年 度</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620" w:type="dxa"/>
            <w:noWrap/>
            <w:vAlign w:val="center"/>
          </w:tcPr>
          <w:p>
            <w:pPr>
              <w:widowControl/>
              <w:spacing w:line="360" w:lineRule="auto"/>
              <w:jc w:val="center"/>
              <w:rPr>
                <w:rFonts w:hint="eastAsia" w:ascii="宋体" w:hAnsi="宋体" w:cs="宋体"/>
                <w:color w:val="auto"/>
                <w:kern w:val="0"/>
                <w:sz w:val="24"/>
                <w:highlight w:val="none"/>
              </w:rPr>
            </w:pPr>
          </w:p>
        </w:tc>
        <w:tc>
          <w:tcPr>
            <w:tcW w:w="1260" w:type="dxa"/>
            <w:noWrap/>
            <w:vAlign w:val="center"/>
          </w:tcPr>
          <w:p>
            <w:pPr>
              <w:widowControl/>
              <w:spacing w:line="360" w:lineRule="auto"/>
              <w:jc w:val="center"/>
              <w:rPr>
                <w:rFonts w:hint="eastAsia" w:ascii="宋体" w:hAnsi="宋体" w:cs="宋体"/>
                <w:color w:val="auto"/>
                <w:kern w:val="0"/>
                <w:sz w:val="24"/>
                <w:highlight w:val="none"/>
              </w:rPr>
            </w:pPr>
          </w:p>
        </w:tc>
        <w:tc>
          <w:tcPr>
            <w:tcW w:w="1212" w:type="dxa"/>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hint="eastAsia" w:ascii="宋体" w:hAnsi="宋体" w:cs="宋体"/>
                <w:color w:val="auto"/>
                <w:kern w:val="0"/>
                <w:sz w:val="24"/>
                <w:highlight w:val="none"/>
              </w:rPr>
            </w:pPr>
          </w:p>
        </w:tc>
        <w:tc>
          <w:tcPr>
            <w:tcW w:w="1371"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hint="eastAsia"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4.诚信承诺书格式：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上海世外教育附属平湖经开实验小学</w:t>
      </w:r>
      <w:r>
        <w:rPr>
          <w:rFonts w:hint="eastAsia" w:ascii="宋体" w:hAnsi="宋体"/>
          <w:color w:val="auto"/>
          <w:sz w:val="24"/>
          <w:highlight w:val="none"/>
        </w:rPr>
        <w:t>（招标采购单位名称）：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tabs>
          <w:tab w:val="left" w:pos="1418"/>
        </w:tabs>
        <w:spacing w:line="360" w:lineRule="auto"/>
        <w:rPr>
          <w:rFonts w:hint="eastAsia" w:ascii="宋体" w:hAnsi="宋体"/>
          <w:bCs/>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s="仿宋_GB2312"/>
          <w:color w:val="auto"/>
          <w:kern w:val="0"/>
          <w:sz w:val="24"/>
          <w:highlight w:val="none"/>
          <w:lang w:val="zh-CN"/>
        </w:rPr>
      </w:pPr>
      <w:r>
        <w:rPr>
          <w:rFonts w:hint="eastAsia" w:ascii="宋体" w:hAnsi="宋体"/>
          <w:color w:val="auto"/>
          <w:sz w:val="24"/>
          <w:highlight w:val="none"/>
        </w:rPr>
        <w:t>5.同类项目业绩</w:t>
      </w:r>
      <w:r>
        <w:rPr>
          <w:rFonts w:ascii="宋体" w:hAnsi="宋体"/>
          <w:color w:val="auto"/>
          <w:sz w:val="24"/>
          <w:highlight w:val="none"/>
        </w:rPr>
        <w:t>格式</w:t>
      </w:r>
      <w:r>
        <w:rPr>
          <w:rFonts w:hint="eastAsia" w:ascii="宋体" w:hAnsi="宋体"/>
          <w:color w:val="auto"/>
          <w:sz w:val="24"/>
          <w:highlight w:val="none"/>
        </w:rPr>
        <w:t>：</w:t>
      </w:r>
    </w:p>
    <w:p>
      <w:pPr>
        <w:pStyle w:val="17"/>
        <w:spacing w:before="120" w:after="120" w:line="360" w:lineRule="auto"/>
        <w:jc w:val="center"/>
        <w:rPr>
          <w:rFonts w:hint="eastAsia" w:hAnsi="宋体"/>
          <w:b/>
          <w:color w:val="auto"/>
          <w:highlight w:val="none"/>
        </w:rPr>
      </w:pPr>
      <w:r>
        <w:rPr>
          <w:rFonts w:hAnsi="宋体"/>
          <w:b/>
          <w:color w:val="auto"/>
          <w:highlight w:val="none"/>
        </w:rPr>
        <w:t>投标人同类项目实施情况一览表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hint="eastAsia"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olor w:val="auto"/>
                <w:sz w:val="24"/>
                <w:highlight w:val="none"/>
              </w:rPr>
            </w:pPr>
          </w:p>
        </w:tc>
      </w:tr>
    </w:tbl>
    <w:p>
      <w:pPr>
        <w:pStyle w:val="7"/>
        <w:snapToGrid w:val="0"/>
        <w:spacing w:line="360" w:lineRule="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说明：须提供投标人2021年1月1日以来同类项目业绩（提供合同复印件，以签订时间为准)。</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hint="eastAsia" w:ascii="宋体" w:hAnsi="宋体"/>
          <w:bCs/>
          <w:color w:val="auto"/>
          <w:sz w:val="24"/>
          <w:highlight w:val="none"/>
        </w:rPr>
      </w:pPr>
    </w:p>
    <w:p>
      <w:pPr>
        <w:numPr>
          <w:ilvl w:val="0"/>
          <w:numId w:val="6"/>
        </w:numPr>
        <w:snapToGrid w:val="0"/>
        <w:spacing w:before="50" w:line="360" w:lineRule="auto"/>
        <w:jc w:val="left"/>
        <w:rPr>
          <w:rFonts w:hint="eastAsia" w:ascii="宋体" w:hAnsi="宋体"/>
          <w:color w:val="auto"/>
          <w:sz w:val="24"/>
          <w:highlight w:val="none"/>
        </w:rPr>
      </w:pPr>
      <w:r>
        <w:rPr>
          <w:rFonts w:ascii="宋体" w:hAnsi="宋体"/>
          <w:color w:val="auto"/>
          <w:sz w:val="24"/>
          <w:highlight w:val="none"/>
        </w:rPr>
        <w:t>商务响应表格式：</w:t>
      </w:r>
    </w:p>
    <w:p>
      <w:pPr>
        <w:snapToGrid w:val="0"/>
        <w:spacing w:before="50" w:line="360" w:lineRule="auto"/>
        <w:jc w:val="center"/>
        <w:rPr>
          <w:rFonts w:hint="eastAsia" w:ascii="宋体" w:hAnsi="宋体"/>
          <w:b/>
          <w:color w:val="auto"/>
          <w:kern w:val="0"/>
          <w:sz w:val="24"/>
          <w:highlight w:val="none"/>
        </w:rPr>
      </w:pPr>
      <w:r>
        <w:rPr>
          <w:rFonts w:hint="eastAsia" w:ascii="宋体" w:hAnsi="宋体"/>
          <w:b/>
          <w:color w:val="auto"/>
          <w:kern w:val="0"/>
          <w:sz w:val="24"/>
          <w:highlight w:val="none"/>
        </w:rPr>
        <w:t>商务响应表</w:t>
      </w:r>
    </w:p>
    <w:p>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单位名称（盖章）：</w:t>
      </w:r>
    </w:p>
    <w:tbl>
      <w:tblPr>
        <w:tblStyle w:val="26"/>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招标文件的规定</w:t>
            </w:r>
          </w:p>
        </w:tc>
        <w:tc>
          <w:tcPr>
            <w:tcW w:w="3086"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投标文件的响应</w:t>
            </w:r>
          </w:p>
        </w:tc>
        <w:tc>
          <w:tcPr>
            <w:tcW w:w="1411" w:type="dxa"/>
            <w:noWrap/>
          </w:tcPr>
          <w:p>
            <w:pPr>
              <w:spacing w:before="240" w:after="240" w:line="360" w:lineRule="auto"/>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3086" w:type="dxa"/>
            <w:noWrap/>
          </w:tcPr>
          <w:p>
            <w:pPr>
              <w:spacing w:before="240" w:after="240" w:line="360" w:lineRule="auto"/>
              <w:rPr>
                <w:rFonts w:hint="eastAsia" w:ascii="宋体" w:hAnsi="宋体"/>
                <w:color w:val="auto"/>
                <w:sz w:val="24"/>
                <w:highlight w:val="none"/>
              </w:rPr>
            </w:pPr>
          </w:p>
        </w:tc>
        <w:tc>
          <w:tcPr>
            <w:tcW w:w="1411" w:type="dxa"/>
            <w:noWrap/>
          </w:tcPr>
          <w:p>
            <w:pPr>
              <w:spacing w:before="240" w:after="240"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技术响应表</w:t>
      </w:r>
    </w:p>
    <w:tbl>
      <w:tblPr>
        <w:tblStyle w:val="26"/>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44" w:name="_Toc382928118"/>
            <w:bookmarkStart w:id="45" w:name="_Toc402963128"/>
            <w:bookmarkStart w:id="46" w:name="_Toc385854110"/>
            <w:bookmarkStart w:id="47" w:name="_Toc377653976"/>
            <w:bookmarkStart w:id="48" w:name="_Toc406403001"/>
            <w:bookmarkStart w:id="49" w:name="_Toc377028057"/>
            <w:bookmarkStart w:id="50" w:name="_Toc401570314"/>
            <w:bookmarkStart w:id="51" w:name="_Toc385854156"/>
            <w:bookmarkStart w:id="52" w:name="_Toc381081903"/>
            <w:bookmarkStart w:id="53" w:name="_Toc402963095"/>
            <w:bookmarkStart w:id="54" w:name="_Toc401570290"/>
            <w:bookmarkStart w:id="55" w:name="_Toc382928236"/>
            <w:bookmarkStart w:id="56" w:name="_Toc377028119"/>
            <w:bookmarkStart w:id="57" w:name="_Toc406402957"/>
            <w:r>
              <w:rPr>
                <w:rFonts w:hint="eastAsia" w:hAnsi="宋体"/>
                <w:color w:val="auto"/>
                <w:highlight w:val="none"/>
              </w:rPr>
              <w:t>招标文件要求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58" w:name="_Toc401570315"/>
            <w:bookmarkStart w:id="59" w:name="_Toc402963096"/>
            <w:bookmarkStart w:id="60" w:name="_Toc381081904"/>
            <w:bookmarkStart w:id="61" w:name="_Toc402963129"/>
            <w:bookmarkStart w:id="62" w:name="_Toc406402958"/>
            <w:bookmarkStart w:id="63" w:name="_Toc382928119"/>
            <w:bookmarkStart w:id="64" w:name="_Toc377653977"/>
            <w:bookmarkStart w:id="65" w:name="_Toc382928237"/>
            <w:bookmarkStart w:id="66" w:name="_Toc406403002"/>
            <w:bookmarkStart w:id="67" w:name="_Toc385854157"/>
            <w:bookmarkStart w:id="68" w:name="_Toc385854111"/>
            <w:bookmarkStart w:id="69" w:name="_Toc377028120"/>
            <w:bookmarkStart w:id="70" w:name="_Toc377028058"/>
            <w:bookmarkStart w:id="71" w:name="_Toc401570291"/>
            <w:r>
              <w:rPr>
                <w:rFonts w:hint="eastAsia" w:hAnsi="宋体"/>
                <w:color w:val="auto"/>
                <w:highlight w:val="none"/>
              </w:rPr>
              <w:t>投标文件响应</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72" w:name="_Toc406403003"/>
            <w:bookmarkStart w:id="73" w:name="_Toc402963130"/>
            <w:bookmarkStart w:id="74" w:name="_Toc377028121"/>
            <w:bookmarkStart w:id="75" w:name="_Toc385854112"/>
            <w:bookmarkStart w:id="76" w:name="_Toc401570316"/>
            <w:bookmarkStart w:id="77" w:name="_Toc377653978"/>
            <w:bookmarkStart w:id="78" w:name="_Toc382928120"/>
            <w:bookmarkStart w:id="79" w:name="_Toc377028059"/>
            <w:bookmarkStart w:id="80" w:name="_Toc381081905"/>
            <w:bookmarkStart w:id="81" w:name="_Toc382928238"/>
            <w:bookmarkStart w:id="82" w:name="_Toc406402959"/>
            <w:bookmarkStart w:id="83" w:name="_Toc385854158"/>
            <w:bookmarkStart w:id="84" w:name="_Toc401570292"/>
            <w:bookmarkStart w:id="85" w:name="_Toc402963097"/>
            <w:r>
              <w:rPr>
                <w:rFonts w:hint="eastAsia" w:hAnsi="宋体"/>
                <w:color w:val="auto"/>
                <w:highlight w:val="none"/>
              </w:rPr>
              <w:t>偏离</w:t>
            </w:r>
          </w:p>
          <w:p>
            <w:pPr>
              <w:pStyle w:val="17"/>
              <w:snapToGrid w:val="0"/>
              <w:spacing w:beforeLines="0" w:afterLines="0" w:line="360" w:lineRule="auto"/>
              <w:jc w:val="center"/>
              <w:outlineLvl w:val="0"/>
              <w:rPr>
                <w:rFonts w:hint="eastAsia" w:hAnsi="宋体"/>
                <w:color w:val="auto"/>
                <w:highlight w:val="none"/>
              </w:rPr>
            </w:pPr>
            <w:r>
              <w:rPr>
                <w:rFonts w:hint="eastAsia" w:hAnsi="宋体"/>
                <w:color w:val="auto"/>
                <w:highlight w:val="none"/>
              </w:rPr>
              <w:t>情况</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86" w:name="_Toc382928121"/>
            <w:bookmarkStart w:id="87" w:name="_Toc401570317"/>
            <w:bookmarkStart w:id="88" w:name="_Toc377653979"/>
            <w:bookmarkStart w:id="89" w:name="_Toc381081906"/>
            <w:bookmarkStart w:id="90" w:name="_Toc406403004"/>
            <w:bookmarkStart w:id="91" w:name="_Toc377028060"/>
            <w:bookmarkStart w:id="92" w:name="_Toc406402960"/>
            <w:bookmarkStart w:id="93" w:name="_Toc402963131"/>
            <w:bookmarkStart w:id="94" w:name="_Toc382928239"/>
            <w:bookmarkStart w:id="95" w:name="_Toc385854159"/>
            <w:bookmarkStart w:id="96" w:name="_Toc377028122"/>
            <w:bookmarkStart w:id="97" w:name="_Toc401570293"/>
            <w:bookmarkStart w:id="98" w:name="_Toc385854113"/>
            <w:bookmarkStart w:id="99" w:name="_Toc402963098"/>
            <w:r>
              <w:rPr>
                <w:rFonts w:hint="eastAsia" w:hAnsi="宋体"/>
                <w:color w:val="auto"/>
                <w:highlight w:val="none"/>
              </w:rPr>
              <w:t>项目</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100" w:name="_Toc401570294"/>
            <w:bookmarkStart w:id="101" w:name="_Toc377028123"/>
            <w:bookmarkStart w:id="102" w:name="_Toc406403005"/>
            <w:bookmarkStart w:id="103" w:name="_Toc381081907"/>
            <w:bookmarkStart w:id="104" w:name="_Toc385854160"/>
            <w:bookmarkStart w:id="105" w:name="_Toc377653980"/>
            <w:bookmarkStart w:id="106" w:name="_Toc382928240"/>
            <w:bookmarkStart w:id="107" w:name="_Toc402963132"/>
            <w:bookmarkStart w:id="108" w:name="_Toc382928122"/>
            <w:bookmarkStart w:id="109" w:name="_Toc401570318"/>
            <w:bookmarkStart w:id="110" w:name="_Toc377028061"/>
            <w:bookmarkStart w:id="111" w:name="_Toc406402961"/>
            <w:bookmarkStart w:id="112" w:name="_Toc402963099"/>
            <w:bookmarkStart w:id="113" w:name="_Toc385854114"/>
            <w:r>
              <w:rPr>
                <w:rFonts w:hint="eastAsia" w:hAnsi="宋体"/>
                <w:color w:val="auto"/>
                <w:highlight w:val="none"/>
              </w:rPr>
              <w:t>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114" w:name="_Toc377028062"/>
            <w:bookmarkStart w:id="115" w:name="_Toc402963133"/>
            <w:bookmarkStart w:id="116" w:name="_Toc382928241"/>
            <w:bookmarkStart w:id="117" w:name="_Toc402963100"/>
            <w:bookmarkStart w:id="118" w:name="_Toc377028124"/>
            <w:bookmarkStart w:id="119" w:name="_Toc382928123"/>
            <w:bookmarkStart w:id="120" w:name="_Toc401570319"/>
            <w:bookmarkStart w:id="121" w:name="_Toc385854161"/>
            <w:bookmarkStart w:id="122" w:name="_Toc381081908"/>
            <w:bookmarkStart w:id="123" w:name="_Toc377653981"/>
            <w:bookmarkStart w:id="124" w:name="_Toc406403006"/>
            <w:bookmarkStart w:id="125" w:name="_Toc401570295"/>
            <w:bookmarkStart w:id="126" w:name="_Toc385854115"/>
            <w:bookmarkStart w:id="127" w:name="_Toc406402962"/>
            <w:r>
              <w:rPr>
                <w:rFonts w:hint="eastAsia" w:hAnsi="宋体"/>
                <w:color w:val="auto"/>
                <w:highlight w:val="none"/>
              </w:rPr>
              <w:t>设备名称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bookmarkStart w:id="128" w:name="_Toc382928242"/>
            <w:bookmarkStart w:id="129" w:name="_Toc382928124"/>
            <w:bookmarkStart w:id="130" w:name="_Toc402963134"/>
            <w:bookmarkStart w:id="131" w:name="_Toc406402963"/>
            <w:bookmarkStart w:id="132" w:name="_Toc377028125"/>
            <w:bookmarkStart w:id="133" w:name="_Toc406403007"/>
            <w:bookmarkStart w:id="134" w:name="_Toc381081909"/>
            <w:bookmarkStart w:id="135" w:name="_Toc377653982"/>
            <w:bookmarkStart w:id="136" w:name="_Toc385854116"/>
            <w:bookmarkStart w:id="137" w:name="_Toc401570296"/>
            <w:bookmarkStart w:id="138" w:name="_Toc401570320"/>
            <w:bookmarkStart w:id="139" w:name="_Toc385854162"/>
            <w:bookmarkStart w:id="140" w:name="_Toc402963101"/>
            <w:bookmarkStart w:id="141" w:name="_Toc377028063"/>
            <w:r>
              <w:rPr>
                <w:rFonts w:hint="eastAsia" w:hAnsi="宋体"/>
                <w:color w:val="auto"/>
                <w:highlight w:val="none"/>
              </w:rPr>
              <w:t>性能及指标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60" w:lineRule="auto"/>
              <w:jc w:val="center"/>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60" w:lineRule="auto"/>
              <w:jc w:val="center"/>
              <w:outlineLvl w:val="0"/>
              <w:rPr>
                <w:rFonts w:hint="eastAsia"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int="eastAsia" w:hAnsi="宋体"/>
                <w:color w:val="auto"/>
                <w:highlight w:val="none"/>
              </w:rPr>
            </w:pPr>
          </w:p>
        </w:tc>
      </w:tr>
    </w:tbl>
    <w:p>
      <w:pPr>
        <w:pStyle w:val="17"/>
        <w:spacing w:before="120" w:after="120" w:line="360" w:lineRule="auto"/>
        <w:rPr>
          <w:rFonts w:hint="eastAsia" w:hAnsi="宋体"/>
          <w:b/>
          <w:color w:val="auto"/>
          <w:highlight w:val="none"/>
        </w:rPr>
      </w:pPr>
      <w:r>
        <w:rPr>
          <w:rFonts w:hint="eastAsia" w:hAnsi="宋体"/>
          <w:b/>
          <w:color w:val="auto"/>
          <w:highlight w:val="none"/>
        </w:rPr>
        <w:t>技术响应表</w:t>
      </w:r>
    </w:p>
    <w:p>
      <w:pPr>
        <w:pStyle w:val="10"/>
        <w:spacing w:line="360" w:lineRule="auto"/>
        <w:rPr>
          <w:rFonts w:hint="eastAsia"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10"/>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 xml:space="preserve">投 标 人（盖章）：                              </w:t>
      </w:r>
    </w:p>
    <w:p>
      <w:pPr>
        <w:tabs>
          <w:tab w:val="left" w:pos="1418"/>
        </w:tabs>
        <w:spacing w:line="360" w:lineRule="auto"/>
        <w:jc w:val="right"/>
        <w:rPr>
          <w:rFonts w:hint="eastAsia" w:ascii="宋体" w:hAnsi="宋体"/>
          <w:b/>
          <w:bCs/>
          <w:color w:val="auto"/>
          <w:sz w:val="24"/>
          <w:highlight w:val="none"/>
        </w:rPr>
      </w:pPr>
      <w:r>
        <w:rPr>
          <w:rFonts w:hint="eastAsia" w:ascii="宋体" w:hAnsi="宋体"/>
          <w:bCs/>
          <w:color w:val="auto"/>
          <w:sz w:val="24"/>
          <w:highlight w:val="none"/>
        </w:rPr>
        <w:t>年  月  日</w:t>
      </w: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8.设备配置清单</w:t>
      </w:r>
    </w:p>
    <w:p>
      <w:pPr>
        <w:pStyle w:val="17"/>
        <w:spacing w:before="120" w:after="120" w:line="360" w:lineRule="auto"/>
        <w:jc w:val="center"/>
        <w:rPr>
          <w:rFonts w:hint="eastAsia" w:hAnsi="宋体"/>
          <w:color w:val="auto"/>
          <w:highlight w:val="none"/>
        </w:rPr>
      </w:pPr>
      <w:r>
        <w:rPr>
          <w:rFonts w:hint="eastAsia" w:hAnsi="宋体"/>
          <w:b/>
          <w:color w:val="auto"/>
          <w:highlight w:val="none"/>
        </w:rPr>
        <w:t>设备配置清单</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hint="eastAsia"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hint="eastAsia" w:ascii="宋体" w:hAnsi="宋体"/>
                <w:color w:val="auto"/>
                <w:sz w:val="24"/>
                <w:highlight w:val="none"/>
              </w:rPr>
            </w:pPr>
          </w:p>
        </w:tc>
      </w:tr>
    </w:tbl>
    <w:p>
      <w:pPr>
        <w:tabs>
          <w:tab w:val="left" w:pos="1418"/>
        </w:tabs>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hint="eastAsia" w:ascii="宋体" w:hAnsi="宋体"/>
          <w:color w:val="auto"/>
          <w:sz w:val="24"/>
          <w:highlight w:val="none"/>
        </w:rPr>
      </w:pPr>
    </w:p>
    <w:p>
      <w:pPr>
        <w:tabs>
          <w:tab w:val="left" w:pos="1418"/>
        </w:tabs>
        <w:spacing w:line="360" w:lineRule="auto"/>
        <w:ind w:firstLine="240" w:firstLineChars="100"/>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hint="eastAsia" w:ascii="宋体" w:hAnsi="宋体"/>
          <w:color w:val="auto"/>
          <w:sz w:val="24"/>
          <w:highlight w:val="none"/>
        </w:rPr>
      </w:pPr>
    </w:p>
    <w:p>
      <w:pPr>
        <w:snapToGrid w:val="0"/>
        <w:spacing w:before="50" w:after="120" w:afterLines="50" w:line="360" w:lineRule="auto"/>
        <w:jc w:val="left"/>
        <w:rPr>
          <w:rFonts w:hint="eastAsia" w:ascii="宋体" w:hAnsi="宋体"/>
          <w:color w:val="auto"/>
          <w:sz w:val="24"/>
          <w:highlight w:val="none"/>
        </w:rPr>
      </w:pPr>
      <w:r>
        <w:rPr>
          <w:rFonts w:hint="eastAsia" w:ascii="宋体" w:hAnsi="宋体"/>
          <w:color w:val="auto"/>
          <w:sz w:val="24"/>
          <w:highlight w:val="none"/>
        </w:rPr>
        <w:t>9.项目实施人员一览表</w:t>
      </w:r>
    </w:p>
    <w:p>
      <w:pPr>
        <w:pStyle w:val="17"/>
        <w:spacing w:before="120" w:after="120" w:line="360" w:lineRule="auto"/>
        <w:jc w:val="center"/>
        <w:rPr>
          <w:rFonts w:hint="eastAsia" w:hAnsi="宋体"/>
          <w:b/>
          <w:color w:val="auto"/>
          <w:highlight w:val="none"/>
        </w:rPr>
      </w:pPr>
      <w:r>
        <w:rPr>
          <w:rFonts w:hint="eastAsia" w:hAnsi="宋体"/>
          <w:b/>
          <w:color w:val="auto"/>
          <w:highlight w:val="none"/>
        </w:rPr>
        <w:t>项目实施人员一览表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典型业务</w:t>
            </w:r>
          </w:p>
          <w:p>
            <w:pPr>
              <w:pStyle w:val="19"/>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hint="eastAsia"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hint="eastAsia" w:ascii="宋体" w:hAnsi="宋体"/>
                <w:color w:val="auto"/>
                <w:sz w:val="24"/>
                <w:szCs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pStyle w:val="17"/>
        <w:snapToGrid w:val="0"/>
        <w:spacing w:beforeLines="0" w:afterLines="0" w:line="360" w:lineRule="auto"/>
        <w:outlineLvl w:val="1"/>
        <w:rPr>
          <w:rFonts w:hint="eastAsia" w:hAnsi="宋体"/>
          <w:b/>
          <w:color w:val="auto"/>
          <w:highlight w:val="none"/>
        </w:rPr>
      </w:pPr>
      <w:r>
        <w:rPr>
          <w:rFonts w:hint="eastAsia" w:hAnsi="宋体"/>
          <w:b/>
          <w:color w:val="auto"/>
          <w:highlight w:val="none"/>
        </w:rPr>
        <w:t>三、报价文件格式</w:t>
      </w:r>
    </w:p>
    <w:p>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hint="eastAsia" w:ascii="宋体" w:hAnsi="宋体"/>
          <w:b/>
          <w:bCs/>
          <w:color w:val="auto"/>
          <w:sz w:val="24"/>
          <w:highlight w:val="none"/>
        </w:rPr>
      </w:pPr>
    </w:p>
    <w:p>
      <w:pPr>
        <w:snapToGrid w:val="0"/>
        <w:spacing w:before="120" w:beforeLines="50" w:line="360" w:lineRule="auto"/>
        <w:jc w:val="center"/>
        <w:rPr>
          <w:rFonts w:hint="eastAsia"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项目编号及标项号：</w:t>
      </w:r>
    </w:p>
    <w:p>
      <w:pPr>
        <w:pStyle w:val="6"/>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hint="eastAsia" w:ascii="宋体" w:hAnsi="宋体"/>
          <w:color w:val="auto"/>
          <w:sz w:val="24"/>
          <w:highlight w:val="none"/>
        </w:rPr>
      </w:pPr>
      <w:r>
        <w:rPr>
          <w:rFonts w:hint="eastAsia" w:ascii="宋体" w:hAnsi="宋体"/>
          <w:color w:val="auto"/>
          <w:sz w:val="24"/>
          <w:highlight w:val="none"/>
        </w:rPr>
        <w:t>年 月 日</w:t>
      </w:r>
    </w:p>
    <w:p>
      <w:pPr>
        <w:snapToGrid w:val="0"/>
        <w:spacing w:line="360" w:lineRule="auto"/>
        <w:rPr>
          <w:rFonts w:hint="eastAsia" w:ascii="宋体" w:hAnsi="宋体"/>
          <w:bCs/>
          <w:color w:val="auto"/>
          <w:sz w:val="24"/>
          <w:highlight w:val="none"/>
        </w:rPr>
      </w:pPr>
    </w:p>
    <w:p>
      <w:pPr>
        <w:snapToGrid w:val="0"/>
        <w:spacing w:before="120" w:beforeLines="50" w:after="50" w:line="360" w:lineRule="auto"/>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line="360" w:lineRule="auto"/>
        <w:rPr>
          <w:rFonts w:hint="eastAsia" w:ascii="宋体" w:hAnsi="宋体"/>
          <w:bCs/>
          <w:color w:val="auto"/>
          <w:sz w:val="24"/>
          <w:highlight w:val="none"/>
        </w:rPr>
      </w:pPr>
      <w:r>
        <w:rPr>
          <w:rFonts w:hint="eastAsia" w:ascii="宋体" w:hAnsi="宋体"/>
          <w:bCs/>
          <w:color w:val="auto"/>
          <w:sz w:val="24"/>
          <w:highlight w:val="none"/>
        </w:rPr>
        <w:t>例如：</w:t>
      </w:r>
    </w:p>
    <w:p>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（2）投标（开标）一览表……………………………………………………（页码）</w:t>
      </w:r>
    </w:p>
    <w:p>
      <w:pPr>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（3）报价明细清单……………………………………………………………（页码）</w:t>
      </w:r>
    </w:p>
    <w:p>
      <w:pPr>
        <w:spacing w:line="360" w:lineRule="auto"/>
        <w:outlineLvl w:val="0"/>
        <w:rPr>
          <w:rFonts w:hint="eastAsia" w:ascii="宋体" w:hAnsi="宋体"/>
          <w:color w:val="auto"/>
          <w:sz w:val="24"/>
          <w:highlight w:val="none"/>
        </w:rPr>
      </w:pPr>
      <w:r>
        <w:rPr>
          <w:rFonts w:hint="eastAsia" w:ascii="宋体" w:hAnsi="宋体" w:cs="宋体"/>
          <w:color w:val="auto"/>
          <w:kern w:val="0"/>
          <w:sz w:val="24"/>
          <w:highlight w:val="none"/>
        </w:rPr>
        <w:t>（4）投标人认为需要的其他报价文件或说明………………………………（页码）</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2"/>
        <w:rPr>
          <w:rFonts w:hint="eastAsia" w:ascii="宋体" w:hAnsi="宋体"/>
          <w:color w:val="auto"/>
          <w:sz w:val="24"/>
          <w:highlight w:val="none"/>
        </w:rPr>
      </w:pPr>
    </w:p>
    <w:p>
      <w:pPr>
        <w:rPr>
          <w:color w:val="auto"/>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hint="eastAsia"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上海世外教育附属平湖经开实验小学</w:t>
      </w:r>
      <w:r>
        <w:rPr>
          <w:rFonts w:hint="eastAsia" w:ascii="宋体" w:hAnsi="宋体"/>
          <w:color w:val="auto"/>
          <w:sz w:val="24"/>
          <w:highlight w:val="none"/>
        </w:rPr>
        <w:t>（招标采购单位名称）：</w:t>
      </w:r>
    </w:p>
    <w:p>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采购项目的公开招标公告（项目编号及标项号：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5.本投标有效期自开标日起</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银行帐号：</w:t>
      </w:r>
      <w:r>
        <w:rPr>
          <w:rFonts w:hint="eastAsia" w:ascii="宋体" w:hAnsi="宋体"/>
          <w:color w:val="auto"/>
          <w:sz w:val="24"/>
          <w:highlight w:val="none"/>
          <w:u w:val="single"/>
        </w:rPr>
        <w:t xml:space="preserve">                           </w:t>
      </w: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spacing w:line="360" w:lineRule="auto"/>
        <w:rPr>
          <w:rFonts w:hint="eastAsia" w:ascii="宋体" w:hAnsi="宋体"/>
          <w:color w:val="auto"/>
          <w:sz w:val="24"/>
          <w:highlight w:val="none"/>
        </w:rPr>
      </w:pPr>
    </w:p>
    <w:p>
      <w:pPr>
        <w:spacing w:line="360" w:lineRule="auto"/>
        <w:outlineLvl w:val="4"/>
        <w:rPr>
          <w:rFonts w:hint="eastAsia" w:ascii="宋体" w:hAnsi="宋体"/>
          <w:color w:val="auto"/>
          <w:sz w:val="24"/>
          <w:highlight w:val="none"/>
        </w:rPr>
      </w:pPr>
    </w:p>
    <w:p>
      <w:pPr>
        <w:spacing w:line="360" w:lineRule="auto"/>
        <w:outlineLvl w:val="4"/>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outlineLvl w:val="4"/>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开标一览表格式：</w:t>
      </w:r>
    </w:p>
    <w:p>
      <w:pPr>
        <w:pStyle w:val="2"/>
        <w:spacing w:line="360" w:lineRule="auto"/>
        <w:jc w:val="center"/>
        <w:rPr>
          <w:rFonts w:hint="eastAsia" w:ascii="宋体" w:hAnsi="宋体" w:eastAsia="宋体"/>
          <w:color w:val="auto"/>
          <w:sz w:val="24"/>
          <w:szCs w:val="24"/>
          <w:highlight w:val="none"/>
        </w:rPr>
      </w:pPr>
      <w:r>
        <w:rPr>
          <w:rFonts w:hint="eastAsia"/>
          <w:color w:val="auto"/>
          <w:highlight w:val="none"/>
        </w:rPr>
        <w:t>开标一览表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6"/>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hint="eastAsia"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hint="eastAsia" w:ascii="宋体" w:hAnsi="宋体"/>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p>
    <w:p>
      <w:pPr>
        <w:pStyle w:val="2"/>
        <w:rPr>
          <w:rFonts w:hint="eastAsia" w:ascii="宋体" w:hAnsi="宋体"/>
          <w:color w:val="auto"/>
          <w:sz w:val="24"/>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pStyle w:val="3"/>
        <w:ind w:firstLine="480"/>
        <w:rPr>
          <w:rFonts w:hint="eastAsia" w:ascii="宋体" w:hAnsi="宋体"/>
          <w:color w:val="auto"/>
          <w:highlight w:val="none"/>
        </w:rPr>
      </w:pP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color w:val="auto"/>
          <w:highlight w:val="none"/>
        </w:rPr>
      </w:pPr>
      <w:r>
        <w:rPr>
          <w:rFonts w:hint="eastAsia"/>
          <w:color w:val="auto"/>
          <w:highlight w:val="none"/>
        </w:rPr>
        <w:t>投 标 报 价 明 细 表</w:t>
      </w:r>
    </w:p>
    <w:p>
      <w:pPr>
        <w:rPr>
          <w:rFonts w:hint="eastAsia"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及标项号</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p>
      <w:pPr>
        <w:rPr>
          <w:rFonts w:hint="eastAsia" w:ascii="宋体" w:hAnsi="宋体"/>
          <w:color w:val="auto"/>
          <w:sz w:val="24"/>
          <w:highlight w:val="none"/>
        </w:rPr>
      </w:pPr>
    </w:p>
    <w:tbl>
      <w:tblPr>
        <w:tblStyle w:val="26"/>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
                <w:color w:val="auto"/>
                <w:sz w:val="24"/>
                <w:highlight w:val="none"/>
              </w:rPr>
            </w:pPr>
            <w:r>
              <w:rPr>
                <w:rFonts w:hint="eastAsia" w:ascii="宋体" w:hAnsi="宋体" w:cs="宋体"/>
                <w:bCs/>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货物</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规格</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是否中小企业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hint="eastAsia" w:ascii="宋体" w:hAnsi="宋体" w:cs="宋体"/>
                <w:color w:val="auto"/>
                <w:sz w:val="24"/>
                <w:highlight w:val="none"/>
              </w:rPr>
            </w:pPr>
            <w:r>
              <w:rPr>
                <w:rFonts w:hint="eastAsia" w:ascii="宋体" w:hAnsi="宋体" w:cs="宋体"/>
                <w:color w:val="auto"/>
                <w:sz w:val="24"/>
                <w:highlight w:val="none"/>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2、报价要求：项目费用包括项目实施所需的工程费、工时费、服务费、运输费、安装调试费、税费及其他一切费用。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3、报价中不允许出现报价优惠等字样,投标总价合计金额应与明细报价汇总相等。</w:t>
            </w:r>
          </w:p>
        </w:tc>
      </w:tr>
    </w:tbl>
    <w:p>
      <w:pPr>
        <w:spacing w:line="400" w:lineRule="exact"/>
        <w:rPr>
          <w:rFonts w:hint="eastAsia" w:ascii="仿宋" w:hAnsi="仿宋" w:eastAsia="仿宋"/>
          <w:color w:val="auto"/>
          <w:sz w:val="24"/>
          <w:highlight w:val="none"/>
        </w:rPr>
      </w:pPr>
    </w:p>
    <w:p>
      <w:pPr>
        <w:tabs>
          <w:tab w:val="left" w:pos="1418"/>
        </w:tabs>
        <w:spacing w:line="360" w:lineRule="auto"/>
        <w:rPr>
          <w:rFonts w:hint="eastAsia"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hint="eastAsia"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snapToGrid w:val="0"/>
        <w:spacing w:line="360" w:lineRule="auto"/>
        <w:rPr>
          <w:rFonts w:hint="eastAsia" w:ascii="宋体" w:hAnsi="宋体"/>
          <w:color w:val="auto"/>
          <w:sz w:val="24"/>
          <w:highlight w:val="none"/>
        </w:rPr>
      </w:pPr>
    </w:p>
    <w:p>
      <w:pPr>
        <w:rPr>
          <w:color w:val="auto"/>
          <w:highlight w:val="none"/>
        </w:rPr>
      </w:pPr>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创艺简标宋">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58</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F9E9B"/>
    <w:multiLevelType w:val="singleLevel"/>
    <w:tmpl w:val="984F9E9B"/>
    <w:lvl w:ilvl="0" w:tentative="0">
      <w:start w:val="1"/>
      <w:numFmt w:val="decimal"/>
      <w:lvlText w:val="%1."/>
      <w:lvlJc w:val="left"/>
      <w:pPr>
        <w:tabs>
          <w:tab w:val="left" w:pos="312"/>
        </w:tabs>
      </w:pPr>
    </w:lvl>
  </w:abstractNum>
  <w:abstractNum w:abstractNumId="1">
    <w:nsid w:val="A1AA2E40"/>
    <w:multiLevelType w:val="singleLevel"/>
    <w:tmpl w:val="A1AA2E40"/>
    <w:lvl w:ilvl="0" w:tentative="0">
      <w:start w:val="3"/>
      <w:numFmt w:val="chineseCounting"/>
      <w:suff w:val="nothing"/>
      <w:lvlText w:val="%1、"/>
      <w:lvlJc w:val="left"/>
      <w:rPr>
        <w:rFonts w:hint="eastAsia"/>
      </w:rPr>
    </w:lvl>
  </w:abstractNum>
  <w:abstractNum w:abstractNumId="2">
    <w:nsid w:val="CB79B3A7"/>
    <w:multiLevelType w:val="singleLevel"/>
    <w:tmpl w:val="CB79B3A7"/>
    <w:lvl w:ilvl="0" w:tentative="0">
      <w:start w:val="2"/>
      <w:numFmt w:val="chineseCounting"/>
      <w:suff w:val="nothing"/>
      <w:lvlText w:val="%1、"/>
      <w:lvlJc w:val="left"/>
      <w:rPr>
        <w:rFonts w:hint="eastAsia"/>
      </w:rPr>
    </w:lvl>
  </w:abstractNum>
  <w:abstractNum w:abstractNumId="3">
    <w:nsid w:val="D8BDC5A5"/>
    <w:multiLevelType w:val="singleLevel"/>
    <w:tmpl w:val="D8BDC5A5"/>
    <w:lvl w:ilvl="0" w:tentative="0">
      <w:start w:val="9"/>
      <w:numFmt w:val="chineseCounting"/>
      <w:suff w:val="nothing"/>
      <w:lvlText w:val="（%1）"/>
      <w:lvlJc w:val="left"/>
      <w:rPr>
        <w:rFonts w:hint="eastAsia"/>
      </w:rPr>
    </w:lvl>
  </w:abstractNum>
  <w:abstractNum w:abstractNumId="4">
    <w:nsid w:val="44897F0C"/>
    <w:multiLevelType w:val="singleLevel"/>
    <w:tmpl w:val="44897F0C"/>
    <w:lvl w:ilvl="0" w:tentative="0">
      <w:start w:val="6"/>
      <w:numFmt w:val="decimal"/>
      <w:lvlText w:val="%1."/>
      <w:lvlJc w:val="left"/>
      <w:pPr>
        <w:tabs>
          <w:tab w:val="left" w:pos="312"/>
        </w:tabs>
      </w:pPr>
    </w:lvl>
  </w:abstractNum>
  <w:abstractNum w:abstractNumId="5">
    <w:nsid w:val="7B9BA12D"/>
    <w:multiLevelType w:val="singleLevel"/>
    <w:tmpl w:val="7B9BA12D"/>
    <w:lvl w:ilvl="0" w:tentative="0">
      <w:start w:val="1"/>
      <w:numFmt w:val="decimal"/>
      <w:pStyle w:val="5"/>
      <w:lvlText w:val="%1."/>
      <w:lvlJc w:val="left"/>
      <w:pPr>
        <w:tabs>
          <w:tab w:val="left" w:pos="360"/>
        </w:tabs>
        <w:ind w:left="360" w:hanging="36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DdhMGZmMjc2ZjllZGNhZDRlNDJmYzdiODhhN2YifQ=="/>
    <w:docVar w:name="KSO_WPS_MARK_KEY" w:val="6ca883b3-8d22-4ed6-b0f7-e953b8cfe397"/>
  </w:docVars>
  <w:rsids>
    <w:rsidRoot w:val="24C921DA"/>
    <w:rsid w:val="00002369"/>
    <w:rsid w:val="00011EB6"/>
    <w:rsid w:val="00110946"/>
    <w:rsid w:val="0013642F"/>
    <w:rsid w:val="001538EC"/>
    <w:rsid w:val="001D49F1"/>
    <w:rsid w:val="001E1923"/>
    <w:rsid w:val="001E213B"/>
    <w:rsid w:val="001F4F95"/>
    <w:rsid w:val="00202351"/>
    <w:rsid w:val="002135F7"/>
    <w:rsid w:val="00217B3C"/>
    <w:rsid w:val="002351F6"/>
    <w:rsid w:val="00235E3D"/>
    <w:rsid w:val="0024288A"/>
    <w:rsid w:val="0027075D"/>
    <w:rsid w:val="002803C6"/>
    <w:rsid w:val="002C7767"/>
    <w:rsid w:val="00323572"/>
    <w:rsid w:val="003413B9"/>
    <w:rsid w:val="00342FD9"/>
    <w:rsid w:val="00343208"/>
    <w:rsid w:val="00391F86"/>
    <w:rsid w:val="00394498"/>
    <w:rsid w:val="003A01EC"/>
    <w:rsid w:val="003B2A4D"/>
    <w:rsid w:val="003B53B0"/>
    <w:rsid w:val="003D4B70"/>
    <w:rsid w:val="0040525F"/>
    <w:rsid w:val="00412C6D"/>
    <w:rsid w:val="00441683"/>
    <w:rsid w:val="004434A5"/>
    <w:rsid w:val="00443564"/>
    <w:rsid w:val="004748A7"/>
    <w:rsid w:val="004A3DBE"/>
    <w:rsid w:val="004B7522"/>
    <w:rsid w:val="004C5775"/>
    <w:rsid w:val="00522B0F"/>
    <w:rsid w:val="00576051"/>
    <w:rsid w:val="005D420A"/>
    <w:rsid w:val="005D6B64"/>
    <w:rsid w:val="006D0A27"/>
    <w:rsid w:val="006E0712"/>
    <w:rsid w:val="006E5F9D"/>
    <w:rsid w:val="00732FE3"/>
    <w:rsid w:val="00773BFC"/>
    <w:rsid w:val="007D485A"/>
    <w:rsid w:val="007F74D0"/>
    <w:rsid w:val="00882FD6"/>
    <w:rsid w:val="00895000"/>
    <w:rsid w:val="00897784"/>
    <w:rsid w:val="008E4058"/>
    <w:rsid w:val="00977EB7"/>
    <w:rsid w:val="00AB09F1"/>
    <w:rsid w:val="00AB3F14"/>
    <w:rsid w:val="00AB50FA"/>
    <w:rsid w:val="00AB579C"/>
    <w:rsid w:val="00AF0C5A"/>
    <w:rsid w:val="00C00052"/>
    <w:rsid w:val="00C06F00"/>
    <w:rsid w:val="00C2024F"/>
    <w:rsid w:val="00C22206"/>
    <w:rsid w:val="00C36277"/>
    <w:rsid w:val="00C56E7B"/>
    <w:rsid w:val="00C864D5"/>
    <w:rsid w:val="00CE03D3"/>
    <w:rsid w:val="00D4246E"/>
    <w:rsid w:val="00D70957"/>
    <w:rsid w:val="00D978ED"/>
    <w:rsid w:val="00DC048F"/>
    <w:rsid w:val="00DF2FB7"/>
    <w:rsid w:val="00DF7C48"/>
    <w:rsid w:val="00E514EA"/>
    <w:rsid w:val="00E766DF"/>
    <w:rsid w:val="00E84E73"/>
    <w:rsid w:val="00ED4BC8"/>
    <w:rsid w:val="00EF3D89"/>
    <w:rsid w:val="00F245F0"/>
    <w:rsid w:val="00F82A72"/>
    <w:rsid w:val="00FB5C8A"/>
    <w:rsid w:val="01582FCA"/>
    <w:rsid w:val="015D4BAB"/>
    <w:rsid w:val="0163439E"/>
    <w:rsid w:val="016F2BED"/>
    <w:rsid w:val="017C73A7"/>
    <w:rsid w:val="01CA528B"/>
    <w:rsid w:val="01DD0946"/>
    <w:rsid w:val="023E1BBB"/>
    <w:rsid w:val="026231B7"/>
    <w:rsid w:val="034C55C8"/>
    <w:rsid w:val="03B222C5"/>
    <w:rsid w:val="03F434D0"/>
    <w:rsid w:val="04624601"/>
    <w:rsid w:val="04E12204"/>
    <w:rsid w:val="052128CB"/>
    <w:rsid w:val="0525471D"/>
    <w:rsid w:val="0560122C"/>
    <w:rsid w:val="056B24C0"/>
    <w:rsid w:val="05F81957"/>
    <w:rsid w:val="060312C1"/>
    <w:rsid w:val="06406F72"/>
    <w:rsid w:val="067000FC"/>
    <w:rsid w:val="071B2BC9"/>
    <w:rsid w:val="075D4AA1"/>
    <w:rsid w:val="07B81AA2"/>
    <w:rsid w:val="08513D24"/>
    <w:rsid w:val="090107BE"/>
    <w:rsid w:val="09483348"/>
    <w:rsid w:val="09647D4E"/>
    <w:rsid w:val="097911CD"/>
    <w:rsid w:val="09976DD7"/>
    <w:rsid w:val="0A4150E6"/>
    <w:rsid w:val="0A6A2B08"/>
    <w:rsid w:val="0ADB09AF"/>
    <w:rsid w:val="0B8F3D84"/>
    <w:rsid w:val="0B937D8C"/>
    <w:rsid w:val="0BA5328F"/>
    <w:rsid w:val="0BD77B84"/>
    <w:rsid w:val="0C0A4414"/>
    <w:rsid w:val="0C206374"/>
    <w:rsid w:val="0C4F4AF4"/>
    <w:rsid w:val="0C552FCB"/>
    <w:rsid w:val="0C5F60F4"/>
    <w:rsid w:val="0CB07185"/>
    <w:rsid w:val="0CD965F2"/>
    <w:rsid w:val="0D141CEC"/>
    <w:rsid w:val="0DB522F7"/>
    <w:rsid w:val="0DE02F6F"/>
    <w:rsid w:val="0E2F02D2"/>
    <w:rsid w:val="0E447645"/>
    <w:rsid w:val="0ED45416"/>
    <w:rsid w:val="0F087337"/>
    <w:rsid w:val="0F3C589B"/>
    <w:rsid w:val="104A4BA3"/>
    <w:rsid w:val="10741D0D"/>
    <w:rsid w:val="10D44A86"/>
    <w:rsid w:val="11405A78"/>
    <w:rsid w:val="114806AD"/>
    <w:rsid w:val="1163229B"/>
    <w:rsid w:val="11B56C23"/>
    <w:rsid w:val="11C82067"/>
    <w:rsid w:val="11CF1B8A"/>
    <w:rsid w:val="120743EE"/>
    <w:rsid w:val="128C1D92"/>
    <w:rsid w:val="128C697D"/>
    <w:rsid w:val="12BF44DE"/>
    <w:rsid w:val="12D564F6"/>
    <w:rsid w:val="12D97D8D"/>
    <w:rsid w:val="12DF7060"/>
    <w:rsid w:val="12FC7CAB"/>
    <w:rsid w:val="131A110C"/>
    <w:rsid w:val="132139F2"/>
    <w:rsid w:val="134C3F90"/>
    <w:rsid w:val="139E4089"/>
    <w:rsid w:val="145953D8"/>
    <w:rsid w:val="14A24BFD"/>
    <w:rsid w:val="14AB2D46"/>
    <w:rsid w:val="1510089B"/>
    <w:rsid w:val="152977B7"/>
    <w:rsid w:val="15444E58"/>
    <w:rsid w:val="1546511A"/>
    <w:rsid w:val="15545B0C"/>
    <w:rsid w:val="15807F6B"/>
    <w:rsid w:val="15A5462A"/>
    <w:rsid w:val="15E55C31"/>
    <w:rsid w:val="1636613D"/>
    <w:rsid w:val="164E25A2"/>
    <w:rsid w:val="16E37F5C"/>
    <w:rsid w:val="16F94C2D"/>
    <w:rsid w:val="174F0CF1"/>
    <w:rsid w:val="17A26A0E"/>
    <w:rsid w:val="17DC3A7C"/>
    <w:rsid w:val="180D01D7"/>
    <w:rsid w:val="182C23E2"/>
    <w:rsid w:val="18422FF5"/>
    <w:rsid w:val="18491BE4"/>
    <w:rsid w:val="18492B13"/>
    <w:rsid w:val="185F3690"/>
    <w:rsid w:val="18E11669"/>
    <w:rsid w:val="18F379CD"/>
    <w:rsid w:val="18F8126C"/>
    <w:rsid w:val="19043600"/>
    <w:rsid w:val="19927617"/>
    <w:rsid w:val="1A5C1197"/>
    <w:rsid w:val="1AB967DC"/>
    <w:rsid w:val="1ACF2A0B"/>
    <w:rsid w:val="1AD0095A"/>
    <w:rsid w:val="1AE33B69"/>
    <w:rsid w:val="1AFE7269"/>
    <w:rsid w:val="1B1C5AE4"/>
    <w:rsid w:val="1B594EFD"/>
    <w:rsid w:val="1BB04D11"/>
    <w:rsid w:val="1CBA7DDE"/>
    <w:rsid w:val="1CC83775"/>
    <w:rsid w:val="1CD33466"/>
    <w:rsid w:val="1D7814FC"/>
    <w:rsid w:val="1D890511"/>
    <w:rsid w:val="1DED72AD"/>
    <w:rsid w:val="1E285D8D"/>
    <w:rsid w:val="1ED55723"/>
    <w:rsid w:val="20064CDC"/>
    <w:rsid w:val="20216BEF"/>
    <w:rsid w:val="206E4602"/>
    <w:rsid w:val="207647F2"/>
    <w:rsid w:val="20AD021C"/>
    <w:rsid w:val="20B13158"/>
    <w:rsid w:val="20DE48F2"/>
    <w:rsid w:val="213E6C6C"/>
    <w:rsid w:val="21632778"/>
    <w:rsid w:val="217900C6"/>
    <w:rsid w:val="21AA741F"/>
    <w:rsid w:val="22996806"/>
    <w:rsid w:val="22C07E39"/>
    <w:rsid w:val="231562C2"/>
    <w:rsid w:val="23725B17"/>
    <w:rsid w:val="238729D6"/>
    <w:rsid w:val="23B02769"/>
    <w:rsid w:val="23E1100F"/>
    <w:rsid w:val="2430751B"/>
    <w:rsid w:val="245F0F30"/>
    <w:rsid w:val="24C921DA"/>
    <w:rsid w:val="250815A7"/>
    <w:rsid w:val="25425445"/>
    <w:rsid w:val="255E5CF4"/>
    <w:rsid w:val="25FF63AE"/>
    <w:rsid w:val="26017242"/>
    <w:rsid w:val="26816062"/>
    <w:rsid w:val="26A27C98"/>
    <w:rsid w:val="26C84301"/>
    <w:rsid w:val="271D0E3B"/>
    <w:rsid w:val="27284D09"/>
    <w:rsid w:val="27410161"/>
    <w:rsid w:val="277416D0"/>
    <w:rsid w:val="28714949"/>
    <w:rsid w:val="29C11F13"/>
    <w:rsid w:val="29CA3607"/>
    <w:rsid w:val="2A06727F"/>
    <w:rsid w:val="2A0F5BCD"/>
    <w:rsid w:val="2A263D60"/>
    <w:rsid w:val="2A336F53"/>
    <w:rsid w:val="2A831845"/>
    <w:rsid w:val="2A9B59D9"/>
    <w:rsid w:val="2AF12700"/>
    <w:rsid w:val="2B2801E1"/>
    <w:rsid w:val="2B3A6EA3"/>
    <w:rsid w:val="2B454E67"/>
    <w:rsid w:val="2C8D4E80"/>
    <w:rsid w:val="2CD93AFA"/>
    <w:rsid w:val="2DB82129"/>
    <w:rsid w:val="2DD22586"/>
    <w:rsid w:val="2DD3471B"/>
    <w:rsid w:val="2E5417FA"/>
    <w:rsid w:val="2E5B3714"/>
    <w:rsid w:val="2E927C12"/>
    <w:rsid w:val="2EA46150"/>
    <w:rsid w:val="2EAA2515"/>
    <w:rsid w:val="2ECE4136"/>
    <w:rsid w:val="2EEB0D06"/>
    <w:rsid w:val="2EEC6788"/>
    <w:rsid w:val="2EFB58B5"/>
    <w:rsid w:val="2F246DF0"/>
    <w:rsid w:val="2FF03F4A"/>
    <w:rsid w:val="317F1508"/>
    <w:rsid w:val="31AF6250"/>
    <w:rsid w:val="31C75BFC"/>
    <w:rsid w:val="31D85C00"/>
    <w:rsid w:val="31F32531"/>
    <w:rsid w:val="32FC775D"/>
    <w:rsid w:val="33137D51"/>
    <w:rsid w:val="33656213"/>
    <w:rsid w:val="342F21F0"/>
    <w:rsid w:val="34404C72"/>
    <w:rsid w:val="3482399F"/>
    <w:rsid w:val="350D4FC8"/>
    <w:rsid w:val="35385256"/>
    <w:rsid w:val="35426C96"/>
    <w:rsid w:val="35B15D17"/>
    <w:rsid w:val="3647730B"/>
    <w:rsid w:val="367E3325"/>
    <w:rsid w:val="369E2CA4"/>
    <w:rsid w:val="36DB6CF7"/>
    <w:rsid w:val="36DF0DC8"/>
    <w:rsid w:val="373E0612"/>
    <w:rsid w:val="3765281C"/>
    <w:rsid w:val="381816B1"/>
    <w:rsid w:val="383C5BD0"/>
    <w:rsid w:val="38572308"/>
    <w:rsid w:val="38674496"/>
    <w:rsid w:val="38675A43"/>
    <w:rsid w:val="38C11206"/>
    <w:rsid w:val="396F5574"/>
    <w:rsid w:val="39781C59"/>
    <w:rsid w:val="399020A1"/>
    <w:rsid w:val="39F93A0A"/>
    <w:rsid w:val="3A2E3494"/>
    <w:rsid w:val="3A505BE7"/>
    <w:rsid w:val="3AAA574E"/>
    <w:rsid w:val="3B1E7211"/>
    <w:rsid w:val="3B303854"/>
    <w:rsid w:val="3B523D67"/>
    <w:rsid w:val="3B754F4F"/>
    <w:rsid w:val="3BD81C50"/>
    <w:rsid w:val="3D401C11"/>
    <w:rsid w:val="3D5B369C"/>
    <w:rsid w:val="3D90778C"/>
    <w:rsid w:val="3D9C4750"/>
    <w:rsid w:val="3DAE273F"/>
    <w:rsid w:val="3DAF0DA6"/>
    <w:rsid w:val="3DC02F3E"/>
    <w:rsid w:val="3DC839B3"/>
    <w:rsid w:val="3E1E364A"/>
    <w:rsid w:val="3E204CE4"/>
    <w:rsid w:val="3E823DB1"/>
    <w:rsid w:val="3E97125A"/>
    <w:rsid w:val="3F467978"/>
    <w:rsid w:val="3F6568C7"/>
    <w:rsid w:val="400E647B"/>
    <w:rsid w:val="40AA2AB4"/>
    <w:rsid w:val="40BB0A4B"/>
    <w:rsid w:val="40BC3D30"/>
    <w:rsid w:val="413A5937"/>
    <w:rsid w:val="41450317"/>
    <w:rsid w:val="415E1A57"/>
    <w:rsid w:val="4218487C"/>
    <w:rsid w:val="422624CB"/>
    <w:rsid w:val="424C29FF"/>
    <w:rsid w:val="426F691B"/>
    <w:rsid w:val="42800436"/>
    <w:rsid w:val="42BF2701"/>
    <w:rsid w:val="4341470D"/>
    <w:rsid w:val="43445A5B"/>
    <w:rsid w:val="43580B32"/>
    <w:rsid w:val="43623CA2"/>
    <w:rsid w:val="43641F77"/>
    <w:rsid w:val="44E3318B"/>
    <w:rsid w:val="45AE137D"/>
    <w:rsid w:val="45F23B0D"/>
    <w:rsid w:val="460E1CCF"/>
    <w:rsid w:val="46127979"/>
    <w:rsid w:val="461D619C"/>
    <w:rsid w:val="4644583E"/>
    <w:rsid w:val="466954D9"/>
    <w:rsid w:val="47047BD0"/>
    <w:rsid w:val="475D19D8"/>
    <w:rsid w:val="47DB7839"/>
    <w:rsid w:val="48EE7943"/>
    <w:rsid w:val="48F52292"/>
    <w:rsid w:val="493F6348"/>
    <w:rsid w:val="497969A0"/>
    <w:rsid w:val="4A254AFE"/>
    <w:rsid w:val="4A2722FF"/>
    <w:rsid w:val="4A617857"/>
    <w:rsid w:val="4A7C6668"/>
    <w:rsid w:val="4A853D63"/>
    <w:rsid w:val="4A937CDF"/>
    <w:rsid w:val="4AD16A73"/>
    <w:rsid w:val="4B700248"/>
    <w:rsid w:val="4BE00EF8"/>
    <w:rsid w:val="4BEE4E33"/>
    <w:rsid w:val="4BF4219C"/>
    <w:rsid w:val="4BF47196"/>
    <w:rsid w:val="4C210EF5"/>
    <w:rsid w:val="4C8E1B40"/>
    <w:rsid w:val="4CBE71F1"/>
    <w:rsid w:val="4CC25C6B"/>
    <w:rsid w:val="4D272A95"/>
    <w:rsid w:val="4D283CA5"/>
    <w:rsid w:val="4D2D4AC3"/>
    <w:rsid w:val="4D955143"/>
    <w:rsid w:val="4E8F5FF6"/>
    <w:rsid w:val="4EA046D8"/>
    <w:rsid w:val="4EC217CD"/>
    <w:rsid w:val="4F293ABD"/>
    <w:rsid w:val="4F5D65AA"/>
    <w:rsid w:val="4F914497"/>
    <w:rsid w:val="4FCC21D8"/>
    <w:rsid w:val="503240C7"/>
    <w:rsid w:val="50643954"/>
    <w:rsid w:val="509B4084"/>
    <w:rsid w:val="50A13CAD"/>
    <w:rsid w:val="51734F5B"/>
    <w:rsid w:val="51916E76"/>
    <w:rsid w:val="51AB6AD1"/>
    <w:rsid w:val="521614A4"/>
    <w:rsid w:val="52996D9E"/>
    <w:rsid w:val="52D1737D"/>
    <w:rsid w:val="52E82B11"/>
    <w:rsid w:val="5338474B"/>
    <w:rsid w:val="538B0C9F"/>
    <w:rsid w:val="549864FC"/>
    <w:rsid w:val="54B77BA5"/>
    <w:rsid w:val="553246C2"/>
    <w:rsid w:val="555E5D43"/>
    <w:rsid w:val="557A53C9"/>
    <w:rsid w:val="55D44C23"/>
    <w:rsid w:val="55F55451"/>
    <w:rsid w:val="56002CE5"/>
    <w:rsid w:val="56AE52EA"/>
    <w:rsid w:val="56F0396A"/>
    <w:rsid w:val="57495D52"/>
    <w:rsid w:val="57E57228"/>
    <w:rsid w:val="57FC790D"/>
    <w:rsid w:val="58D82192"/>
    <w:rsid w:val="59095DC5"/>
    <w:rsid w:val="59805264"/>
    <w:rsid w:val="59AF28C2"/>
    <w:rsid w:val="59C53D0E"/>
    <w:rsid w:val="59CF7206"/>
    <w:rsid w:val="5A254E02"/>
    <w:rsid w:val="5A315695"/>
    <w:rsid w:val="5A62216D"/>
    <w:rsid w:val="5A7F501F"/>
    <w:rsid w:val="5A9C23BD"/>
    <w:rsid w:val="5B0A42B7"/>
    <w:rsid w:val="5B2822C8"/>
    <w:rsid w:val="5B5464CC"/>
    <w:rsid w:val="5BAE60FD"/>
    <w:rsid w:val="5BC0528A"/>
    <w:rsid w:val="5BCB2314"/>
    <w:rsid w:val="5BE971EB"/>
    <w:rsid w:val="5C034459"/>
    <w:rsid w:val="5C0F47B3"/>
    <w:rsid w:val="5C3579CF"/>
    <w:rsid w:val="5D2B6878"/>
    <w:rsid w:val="5D4F37F9"/>
    <w:rsid w:val="5DCF5207"/>
    <w:rsid w:val="5E6F0765"/>
    <w:rsid w:val="5E7B51F5"/>
    <w:rsid w:val="5E9374C0"/>
    <w:rsid w:val="5EFA1F8A"/>
    <w:rsid w:val="5FD63F33"/>
    <w:rsid w:val="60410315"/>
    <w:rsid w:val="608416EB"/>
    <w:rsid w:val="60C76626"/>
    <w:rsid w:val="60F53AB2"/>
    <w:rsid w:val="61104CBD"/>
    <w:rsid w:val="61912E0D"/>
    <w:rsid w:val="61BB0327"/>
    <w:rsid w:val="61EF2099"/>
    <w:rsid w:val="620E7C1B"/>
    <w:rsid w:val="62407211"/>
    <w:rsid w:val="624F7B3C"/>
    <w:rsid w:val="627B6C40"/>
    <w:rsid w:val="62B6728B"/>
    <w:rsid w:val="62FF673E"/>
    <w:rsid w:val="630870BE"/>
    <w:rsid w:val="631A5137"/>
    <w:rsid w:val="63793538"/>
    <w:rsid w:val="63975E63"/>
    <w:rsid w:val="63AD7417"/>
    <w:rsid w:val="63AF2F78"/>
    <w:rsid w:val="64054001"/>
    <w:rsid w:val="641C50F2"/>
    <w:rsid w:val="64585F9F"/>
    <w:rsid w:val="6491330D"/>
    <w:rsid w:val="64AC2778"/>
    <w:rsid w:val="64B17EC2"/>
    <w:rsid w:val="64C8237C"/>
    <w:rsid w:val="64F330BE"/>
    <w:rsid w:val="65186BCE"/>
    <w:rsid w:val="656E7F56"/>
    <w:rsid w:val="65893B2A"/>
    <w:rsid w:val="65B125DC"/>
    <w:rsid w:val="65BD19D9"/>
    <w:rsid w:val="65C730D6"/>
    <w:rsid w:val="6608120C"/>
    <w:rsid w:val="662B2E0F"/>
    <w:rsid w:val="66D44EDD"/>
    <w:rsid w:val="66DC1405"/>
    <w:rsid w:val="67917CB9"/>
    <w:rsid w:val="67CC339B"/>
    <w:rsid w:val="67FA4405"/>
    <w:rsid w:val="68681CFD"/>
    <w:rsid w:val="68B00C8D"/>
    <w:rsid w:val="68EB1B7B"/>
    <w:rsid w:val="68F2692F"/>
    <w:rsid w:val="69134B7B"/>
    <w:rsid w:val="69251E17"/>
    <w:rsid w:val="69461A97"/>
    <w:rsid w:val="69BB732C"/>
    <w:rsid w:val="69D5005B"/>
    <w:rsid w:val="6AAA6C0E"/>
    <w:rsid w:val="6B5A0B96"/>
    <w:rsid w:val="6B881251"/>
    <w:rsid w:val="6BE51961"/>
    <w:rsid w:val="6BFD3C51"/>
    <w:rsid w:val="6C837F78"/>
    <w:rsid w:val="6C9A6630"/>
    <w:rsid w:val="6D3C51C6"/>
    <w:rsid w:val="6D9B2815"/>
    <w:rsid w:val="6DA975C4"/>
    <w:rsid w:val="6DAE630D"/>
    <w:rsid w:val="6DB42DDC"/>
    <w:rsid w:val="6E9943B7"/>
    <w:rsid w:val="6EAB002F"/>
    <w:rsid w:val="6EC119F3"/>
    <w:rsid w:val="6EEF30BF"/>
    <w:rsid w:val="6F2B4D64"/>
    <w:rsid w:val="7006010A"/>
    <w:rsid w:val="70473EC4"/>
    <w:rsid w:val="70BC00E7"/>
    <w:rsid w:val="70CB2EBE"/>
    <w:rsid w:val="70EB78AF"/>
    <w:rsid w:val="71145A61"/>
    <w:rsid w:val="71671618"/>
    <w:rsid w:val="71777D9E"/>
    <w:rsid w:val="72190D53"/>
    <w:rsid w:val="72595AEC"/>
    <w:rsid w:val="72A9042B"/>
    <w:rsid w:val="72AB1F75"/>
    <w:rsid w:val="72D54524"/>
    <w:rsid w:val="72D6012B"/>
    <w:rsid w:val="73127210"/>
    <w:rsid w:val="735C589C"/>
    <w:rsid w:val="73E20D43"/>
    <w:rsid w:val="7439758C"/>
    <w:rsid w:val="747C0B01"/>
    <w:rsid w:val="748A2102"/>
    <w:rsid w:val="74A220FD"/>
    <w:rsid w:val="74A64B9B"/>
    <w:rsid w:val="74B353D8"/>
    <w:rsid w:val="75071823"/>
    <w:rsid w:val="75256566"/>
    <w:rsid w:val="75AE5B40"/>
    <w:rsid w:val="75CB65E0"/>
    <w:rsid w:val="76601B57"/>
    <w:rsid w:val="766921CD"/>
    <w:rsid w:val="77BC7D41"/>
    <w:rsid w:val="78CA2C36"/>
    <w:rsid w:val="79455C9D"/>
    <w:rsid w:val="794B2173"/>
    <w:rsid w:val="79547DBF"/>
    <w:rsid w:val="79882EDF"/>
    <w:rsid w:val="79B26E80"/>
    <w:rsid w:val="79D23879"/>
    <w:rsid w:val="7A7256D9"/>
    <w:rsid w:val="7A8679FB"/>
    <w:rsid w:val="7A8F6620"/>
    <w:rsid w:val="7A8F79EA"/>
    <w:rsid w:val="7A927AFD"/>
    <w:rsid w:val="7ACD1D04"/>
    <w:rsid w:val="7AD563E6"/>
    <w:rsid w:val="7B1A3E52"/>
    <w:rsid w:val="7B1F5C79"/>
    <w:rsid w:val="7B9800C8"/>
    <w:rsid w:val="7C341A8F"/>
    <w:rsid w:val="7C3C4255"/>
    <w:rsid w:val="7C690E42"/>
    <w:rsid w:val="7D0A452F"/>
    <w:rsid w:val="7D0C7871"/>
    <w:rsid w:val="7D7C7DCB"/>
    <w:rsid w:val="7E03309A"/>
    <w:rsid w:val="7E4C43F6"/>
    <w:rsid w:val="7EE60B13"/>
    <w:rsid w:val="7EF649F8"/>
    <w:rsid w:val="7F974EC7"/>
    <w:rsid w:val="7FF674D0"/>
    <w:rsid w:val="FEF72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Calibri" w:hAnsi="Calibri"/>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680"/>
    </w:pPr>
    <w:rPr>
      <w:rFonts w:ascii="黑体" w:hAnsi="Calibri" w:eastAsia="黑体" w:cs="Arial"/>
      <w:sz w:val="32"/>
      <w:szCs w:val="32"/>
    </w:rPr>
  </w:style>
  <w:style w:type="paragraph" w:styleId="9">
    <w:name w:val="annotation text"/>
    <w:basedOn w:val="1"/>
    <w:unhideWhenUsed/>
    <w:qFormat/>
    <w:uiPriority w:val="0"/>
    <w:pPr>
      <w:jc w:val="left"/>
    </w:pPr>
  </w:style>
  <w:style w:type="paragraph" w:styleId="10">
    <w:name w:val="Body Text 3"/>
    <w:basedOn w:val="1"/>
    <w:qFormat/>
    <w:uiPriority w:val="0"/>
    <w:pPr>
      <w:snapToGrid w:val="0"/>
      <w:spacing w:before="50" w:after="50"/>
    </w:pPr>
    <w:rPr>
      <w:rFonts w:ascii="Calibri" w:hAnsi="Calibri"/>
      <w:kern w:val="0"/>
      <w:sz w:val="20"/>
    </w:rPr>
  </w:style>
  <w:style w:type="paragraph" w:styleId="11">
    <w:name w:val="Body Text"/>
    <w:basedOn w:val="1"/>
    <w:next w:val="12"/>
    <w:qFormat/>
    <w:uiPriority w:val="0"/>
    <w:pPr>
      <w:adjustRightInd w:val="0"/>
      <w:textAlignment w:val="baseline"/>
    </w:pPr>
    <w:rPr>
      <w:rFonts w:ascii="宋体" w:hAnsi="宋体"/>
      <w:sz w:val="32"/>
    </w:rPr>
  </w:style>
  <w:style w:type="paragraph" w:styleId="12">
    <w:name w:val="Body Text First Indent"/>
    <w:basedOn w:val="1"/>
    <w:next w:val="13"/>
    <w:qFormat/>
    <w:uiPriority w:val="0"/>
    <w:pPr>
      <w:spacing w:after="120"/>
      <w:ind w:firstLine="420" w:firstLineChars="100"/>
    </w:pPr>
  </w:style>
  <w:style w:type="paragraph" w:styleId="13">
    <w:name w:val="toc 6"/>
    <w:basedOn w:val="1"/>
    <w:next w:val="1"/>
    <w:unhideWhenUsed/>
    <w:qFormat/>
    <w:uiPriority w:val="0"/>
    <w:pPr>
      <w:ind w:left="1050"/>
      <w:jc w:val="left"/>
    </w:pPr>
    <w:rPr>
      <w:rFonts w:ascii="等线" w:hAnsi="等线" w:eastAsia="等线"/>
      <w:sz w:val="18"/>
      <w:szCs w:val="18"/>
    </w:rPr>
  </w:style>
  <w:style w:type="paragraph" w:styleId="14">
    <w:name w:val="Body Text Indent"/>
    <w:basedOn w:val="1"/>
    <w:next w:val="15"/>
    <w:qFormat/>
    <w:uiPriority w:val="0"/>
    <w:pPr>
      <w:spacing w:line="200" w:lineRule="exact"/>
      <w:ind w:firstLine="301"/>
    </w:pPr>
    <w:rPr>
      <w:rFonts w:ascii="宋体" w:hAnsi="Courier New"/>
      <w:spacing w:val="-4"/>
      <w:kern w:val="0"/>
      <w:sz w:val="18"/>
    </w:rPr>
  </w:style>
  <w:style w:type="paragraph" w:styleId="15">
    <w:name w:val="envelope return"/>
    <w:basedOn w:val="1"/>
    <w:qFormat/>
    <w:uiPriority w:val="99"/>
    <w:pPr>
      <w:snapToGrid w:val="0"/>
    </w:pPr>
    <w:rPr>
      <w:rFonts w:ascii="Arial" w:hAnsi="Arial" w:cs="Arial"/>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Plain Text"/>
    <w:basedOn w:val="1"/>
    <w:next w:val="1"/>
    <w:qFormat/>
    <w:uiPriority w:val="0"/>
    <w:pPr>
      <w:spacing w:beforeLines="50" w:afterLines="50" w:line="400" w:lineRule="exact"/>
    </w:pPr>
    <w:rPr>
      <w:rFonts w:ascii="宋体" w:hAnsi="Courier New"/>
      <w:kern w:val="0"/>
      <w:sz w:val="24"/>
    </w:rPr>
  </w:style>
  <w:style w:type="paragraph" w:styleId="18">
    <w:name w:val="Date"/>
    <w:basedOn w:val="1"/>
    <w:next w:val="1"/>
    <w:qFormat/>
    <w:uiPriority w:val="0"/>
    <w:pPr>
      <w:ind w:left="2500" w:leftChars="2500"/>
    </w:pPr>
    <w:rPr>
      <w:rFonts w:ascii="Calibri" w:hAnsi="Calibri" w:eastAsia="楷体_GB2312"/>
      <w:kern w:val="0"/>
      <w:sz w:val="32"/>
      <w:szCs w:val="20"/>
    </w:rPr>
  </w:style>
  <w:style w:type="paragraph" w:styleId="19">
    <w:name w:val="Balloon Text"/>
    <w:basedOn w:val="1"/>
    <w:semiHidden/>
    <w:qFormat/>
    <w:uiPriority w:val="99"/>
    <w:rPr>
      <w:rFonts w:ascii="Calibri" w:hAnsi="Calibri"/>
      <w:kern w:val="0"/>
      <w:sz w:val="18"/>
      <w:szCs w:val="18"/>
    </w:rPr>
  </w:style>
  <w:style w:type="paragraph" w:styleId="20">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2">
    <w:name w:val="toc 1"/>
    <w:basedOn w:val="1"/>
    <w:next w:val="1"/>
    <w:qFormat/>
    <w:uiPriority w:val="0"/>
  </w:style>
  <w:style w:type="paragraph" w:styleId="23">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25">
    <w:name w:val="Body Text First Indent 2"/>
    <w:basedOn w:val="14"/>
    <w:next w:val="1"/>
    <w:qFormat/>
    <w:uiPriority w:val="0"/>
    <w:pPr>
      <w:spacing w:after="120" w:line="240" w:lineRule="auto"/>
      <w:ind w:left="420" w:leftChars="200"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FF6600"/>
      <w:u w:val="none"/>
    </w:rPr>
  </w:style>
  <w:style w:type="character" w:styleId="32">
    <w:name w:val="annotation reference"/>
    <w:qFormat/>
    <w:uiPriority w:val="0"/>
    <w:rPr>
      <w:rFonts w:ascii="Times New Roman" w:hAnsi="Times New Roman" w:eastAsia="宋体" w:cs="Times New Roman"/>
      <w:sz w:val="21"/>
      <w:szCs w:val="21"/>
    </w:rPr>
  </w:style>
  <w:style w:type="paragraph" w:customStyle="1" w:styleId="33">
    <w:name w:val="Default"/>
    <w:next w:val="34"/>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明显引用1"/>
    <w:basedOn w:val="1"/>
    <w:next w:val="1"/>
    <w:qFormat/>
    <w:uiPriority w:val="0"/>
    <w:pPr>
      <w:wordWrap w:val="0"/>
      <w:spacing w:before="360" w:after="360"/>
      <w:ind w:left="950" w:right="950"/>
      <w:jc w:val="center"/>
    </w:pPr>
    <w:rPr>
      <w:i/>
    </w:rPr>
  </w:style>
  <w:style w:type="paragraph" w:customStyle="1" w:styleId="35">
    <w:name w:val="正文段"/>
    <w:basedOn w:val="1"/>
    <w:qFormat/>
    <w:uiPriority w:val="0"/>
    <w:pPr>
      <w:widowControl/>
      <w:snapToGrid w:val="0"/>
      <w:spacing w:afterLines="50"/>
      <w:ind w:firstLine="200" w:firstLineChars="200"/>
    </w:pPr>
    <w:rPr>
      <w:kern w:val="0"/>
      <w:sz w:val="24"/>
      <w:szCs w:val="20"/>
    </w:rPr>
  </w:style>
  <w:style w:type="paragraph" w:customStyle="1" w:styleId="36">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7">
    <w:name w:val="列出段落1"/>
    <w:basedOn w:val="1"/>
    <w:qFormat/>
    <w:uiPriority w:val="34"/>
    <w:pPr>
      <w:ind w:firstLine="420" w:firstLineChars="200"/>
    </w:pPr>
    <w:rPr>
      <w:rFonts w:ascii="Calibri" w:hAnsi="Calibri"/>
      <w:kern w:val="0"/>
      <w:sz w:val="20"/>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styleId="39">
    <w:name w:val="List Paragraph"/>
    <w:basedOn w:val="1"/>
    <w:unhideWhenUsed/>
    <w:qFormat/>
    <w:uiPriority w:val="99"/>
    <w:pPr>
      <w:ind w:firstLine="420" w:firstLineChars="200"/>
    </w:p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3">
    <w:name w:val="font11"/>
    <w:basedOn w:val="28"/>
    <w:qFormat/>
    <w:uiPriority w:val="0"/>
    <w:rPr>
      <w:rFonts w:hint="eastAsia" w:ascii="宋体" w:hAnsi="宋体" w:eastAsia="宋体" w:cs="宋体"/>
      <w:color w:val="000000"/>
      <w:sz w:val="24"/>
      <w:szCs w:val="24"/>
      <w:u w:val="none"/>
    </w:rPr>
  </w:style>
  <w:style w:type="character" w:customStyle="1" w:styleId="44">
    <w:name w:val="font31"/>
    <w:basedOn w:val="28"/>
    <w:qFormat/>
    <w:uiPriority w:val="0"/>
    <w:rPr>
      <w:rFonts w:ascii="Calibri" w:hAnsi="Calibri" w:cs="Calibri"/>
      <w:color w:val="000000"/>
      <w:sz w:val="24"/>
      <w:szCs w:val="24"/>
      <w:u w:val="none"/>
    </w:rPr>
  </w:style>
  <w:style w:type="character" w:customStyle="1" w:styleId="45">
    <w:name w:val="font81"/>
    <w:basedOn w:val="28"/>
    <w:qFormat/>
    <w:uiPriority w:val="0"/>
    <w:rPr>
      <w:rFonts w:ascii="Calibri" w:hAnsi="Calibri" w:cs="Calibri"/>
      <w:color w:val="000000"/>
      <w:sz w:val="18"/>
      <w:szCs w:val="18"/>
      <w:u w:val="none"/>
    </w:rPr>
  </w:style>
  <w:style w:type="character" w:customStyle="1" w:styleId="46">
    <w:name w:val="font91"/>
    <w:basedOn w:val="28"/>
    <w:qFormat/>
    <w:uiPriority w:val="0"/>
    <w:rPr>
      <w:rFonts w:hint="default" w:ascii="Calibri" w:hAnsi="Calibri" w:cs="Calibri"/>
      <w:color w:val="000000"/>
      <w:sz w:val="18"/>
      <w:szCs w:val="18"/>
      <w:u w:val="none"/>
    </w:rPr>
  </w:style>
  <w:style w:type="character" w:customStyle="1" w:styleId="47">
    <w:name w:val="font101"/>
    <w:basedOn w:val="28"/>
    <w:qFormat/>
    <w:uiPriority w:val="0"/>
    <w:rPr>
      <w:rFonts w:hint="default" w:ascii="Calibri" w:hAnsi="Calibri" w:cs="Calibri"/>
      <w:color w:val="000000"/>
      <w:sz w:val="18"/>
      <w:szCs w:val="18"/>
      <w:u w:val="none"/>
    </w:rPr>
  </w:style>
  <w:style w:type="character" w:customStyle="1" w:styleId="48">
    <w:name w:val="font41"/>
    <w:basedOn w:val="28"/>
    <w:qFormat/>
    <w:uiPriority w:val="0"/>
    <w:rPr>
      <w:rFonts w:hint="eastAsia" w:ascii="宋体" w:hAnsi="宋体" w:eastAsia="宋体" w:cs="宋体"/>
      <w:color w:val="000000"/>
      <w:sz w:val="18"/>
      <w:szCs w:val="18"/>
      <w:u w:val="none"/>
    </w:rPr>
  </w:style>
  <w:style w:type="character" w:customStyle="1" w:styleId="49">
    <w:name w:val="font112"/>
    <w:basedOn w:val="28"/>
    <w:qFormat/>
    <w:uiPriority w:val="0"/>
    <w:rPr>
      <w:rFonts w:hint="default" w:ascii="Calibri" w:hAnsi="Calibri" w:cs="Calibri"/>
      <w:color w:val="000000"/>
      <w:sz w:val="20"/>
      <w:szCs w:val="20"/>
      <w:u w:val="none"/>
    </w:rPr>
  </w:style>
  <w:style w:type="character" w:customStyle="1" w:styleId="50">
    <w:name w:val="font71"/>
    <w:basedOn w:val="28"/>
    <w:qFormat/>
    <w:uiPriority w:val="0"/>
    <w:rPr>
      <w:rFonts w:hint="eastAsia" w:ascii="宋体" w:hAnsi="宋体" w:eastAsia="宋体" w:cs="宋体"/>
      <w:color w:val="000000"/>
      <w:sz w:val="20"/>
      <w:szCs w:val="20"/>
      <w:u w:val="none"/>
    </w:rPr>
  </w:style>
  <w:style w:type="character" w:customStyle="1" w:styleId="51">
    <w:name w:val="font121"/>
    <w:basedOn w:val="28"/>
    <w:qFormat/>
    <w:uiPriority w:val="0"/>
    <w:rPr>
      <w:rFonts w:ascii="微软雅黑" w:hAnsi="微软雅黑" w:eastAsia="微软雅黑" w:cs="微软雅黑"/>
      <w:color w:val="000000"/>
      <w:sz w:val="32"/>
      <w:szCs w:val="32"/>
      <w:u w:val="none"/>
    </w:rPr>
  </w:style>
  <w:style w:type="character" w:customStyle="1" w:styleId="52">
    <w:name w:val="font131"/>
    <w:basedOn w:val="28"/>
    <w:qFormat/>
    <w:uiPriority w:val="0"/>
    <w:rPr>
      <w:rFonts w:hint="eastAsia" w:ascii="宋体" w:hAnsi="宋体" w:eastAsia="宋体" w:cs="宋体"/>
      <w:color w:val="000000"/>
      <w:sz w:val="32"/>
      <w:szCs w:val="32"/>
      <w:u w:val="none"/>
    </w:rPr>
  </w:style>
  <w:style w:type="paragraph" w:customStyle="1" w:styleId="53">
    <w:name w:val="Normal Indent1"/>
    <w:next w:val="8"/>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54">
    <w:name w:val="font221"/>
    <w:basedOn w:val="28"/>
    <w:qFormat/>
    <w:uiPriority w:val="0"/>
    <w:rPr>
      <w:rFonts w:ascii="Arial" w:hAnsi="Arial" w:cs="Arial"/>
      <w:color w:val="FF9900"/>
      <w:sz w:val="20"/>
      <w:szCs w:val="20"/>
      <w:u w:val="none"/>
    </w:rPr>
  </w:style>
  <w:style w:type="character" w:customStyle="1" w:styleId="55">
    <w:name w:val="font231"/>
    <w:basedOn w:val="28"/>
    <w:qFormat/>
    <w:uiPriority w:val="0"/>
    <w:rPr>
      <w:rFonts w:hint="default" w:ascii="Arial" w:hAnsi="Arial" w:cs="Arial"/>
      <w:color w:val="FF9900"/>
      <w:sz w:val="18"/>
      <w:szCs w:val="18"/>
      <w:u w:val="none"/>
    </w:rPr>
  </w:style>
  <w:style w:type="character" w:customStyle="1" w:styleId="56">
    <w:name w:val="font61"/>
    <w:basedOn w:val="28"/>
    <w:qFormat/>
    <w:uiPriority w:val="0"/>
    <w:rPr>
      <w:rFonts w:hint="eastAsia" w:ascii="宋体" w:hAnsi="宋体" w:eastAsia="宋体" w:cs="宋体"/>
      <w:color w:val="EE822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97</Pages>
  <Words>50108</Words>
  <Characters>53816</Characters>
  <Lines>449</Lines>
  <Paragraphs>126</Paragraphs>
  <TotalTime>20</TotalTime>
  <ScaleCrop>false</ScaleCrop>
  <LinksUpToDate>false</LinksUpToDate>
  <CharactersWithSpaces>59718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2024-09-18T05:51:00Z</dcterms:created>
  <dc:creator>欢乐向</dc:creator>
  <cp:lastModifiedBy>欢乐向</cp:lastModifiedBy>
  <cp:lastPrinted>2024-09-18T07:04:00Z</cp:lastPrinted>
  <dcterms:modified xsi:type="dcterms:W3CDTF">2024-09-19T02:11:48Z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C0F80170982E4C14A92EC0B4CC221BCE</vt:lpwstr>
  </property>
</Properties>
</file>