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14:paraId="55DAE8BF">
      <w:pPr>
        <w:spacing w:line="1160" w:lineRule="exact"/>
        <w:jc w:val="center"/>
        <w:rPr>
          <w:rFonts w:ascii="宋体" w:hAnsi="宋体"/>
          <w:b/>
          <w:color w:val="auto"/>
          <w:sz w:val="56"/>
          <w:szCs w:val="56"/>
          <w:highlight w:val="none"/>
        </w:rPr>
      </w:pPr>
      <w:bookmarkStart w:id="0" w:name="_Hlt67893495"/>
      <w:bookmarkEnd w:id="0"/>
      <w:r>
        <w:rPr>
          <w:rFonts w:hint="eastAsia" w:ascii="宋体" w:hAnsi="宋体"/>
          <w:b/>
          <w:color w:val="auto"/>
          <w:sz w:val="52"/>
          <w:szCs w:val="52"/>
          <w:highlight w:val="none"/>
        </w:rPr>
        <w:t>嘉善县实验幼儿园（兴贤）玩具采购</w:t>
      </w:r>
    </w:p>
    <w:p w14:paraId="52DDDC2C">
      <w:pPr>
        <w:spacing w:beforeLines="50"/>
        <w:rPr>
          <w:rFonts w:ascii="宋体" w:hAnsi="宋体"/>
          <w:color w:val="auto"/>
          <w:sz w:val="72"/>
          <w:szCs w:val="72"/>
          <w:highlight w:val="none"/>
        </w:rPr>
      </w:pPr>
    </w:p>
    <w:p w14:paraId="6019E4C8">
      <w:pPr>
        <w:spacing w:beforeLines="50"/>
        <w:rPr>
          <w:rFonts w:ascii="宋体" w:hAnsi="宋体"/>
          <w:color w:val="auto"/>
          <w:sz w:val="72"/>
          <w:szCs w:val="72"/>
          <w:highlight w:val="none"/>
        </w:rPr>
      </w:pPr>
    </w:p>
    <w:p w14:paraId="4A4C27E8">
      <w:pPr>
        <w:pStyle w:val="25"/>
        <w:rPr>
          <w:rFonts w:hAnsi="宋体"/>
          <w:color w:val="auto"/>
          <w:sz w:val="72"/>
          <w:szCs w:val="72"/>
          <w:highlight w:val="none"/>
        </w:rPr>
      </w:pPr>
    </w:p>
    <w:p w14:paraId="30F40715">
      <w:pPr>
        <w:pStyle w:val="58"/>
        <w:rPr>
          <w:color w:val="auto"/>
          <w:highlight w:val="none"/>
        </w:rPr>
      </w:pPr>
    </w:p>
    <w:p w14:paraId="45AACCBC">
      <w:pPr>
        <w:spacing w:beforeLines="50"/>
        <w:jc w:val="center"/>
        <w:rPr>
          <w:rFonts w:ascii="宋体" w:hAnsi="宋体"/>
          <w:color w:val="auto"/>
          <w:sz w:val="72"/>
          <w:szCs w:val="72"/>
          <w:highlight w:val="none"/>
        </w:rPr>
      </w:pPr>
      <w:r>
        <w:rPr>
          <w:rFonts w:hint="eastAsia" w:ascii="宋体" w:hAnsi="宋体"/>
          <w:color w:val="auto"/>
          <w:sz w:val="72"/>
          <w:szCs w:val="72"/>
          <w:highlight w:val="none"/>
        </w:rPr>
        <w:t>公开招标文件</w:t>
      </w:r>
    </w:p>
    <w:p w14:paraId="63BB0073">
      <w:pPr>
        <w:pStyle w:val="26"/>
        <w:rPr>
          <w:color w:val="auto"/>
          <w:highlight w:val="none"/>
        </w:rPr>
      </w:pPr>
    </w:p>
    <w:p w14:paraId="1918742C">
      <w:pPr>
        <w:snapToGrid w:val="0"/>
        <w:spacing w:beforeLines="50" w:line="360" w:lineRule="auto"/>
        <w:jc w:val="center"/>
        <w:rPr>
          <w:rFonts w:ascii="宋体" w:hAnsi="宋体"/>
          <w:color w:val="auto"/>
          <w:sz w:val="30"/>
          <w:szCs w:val="72"/>
          <w:highlight w:val="none"/>
        </w:rPr>
      </w:pPr>
    </w:p>
    <w:p w14:paraId="629BF418">
      <w:pPr>
        <w:snapToGrid w:val="0"/>
        <w:spacing w:beforeLines="50" w:line="360" w:lineRule="auto"/>
        <w:rPr>
          <w:rFonts w:ascii="宋体" w:hAnsi="宋体"/>
          <w:color w:val="auto"/>
          <w:sz w:val="30"/>
          <w:szCs w:val="72"/>
          <w:highlight w:val="none"/>
        </w:rPr>
      </w:pPr>
    </w:p>
    <w:p w14:paraId="2F495AA4">
      <w:pPr>
        <w:pStyle w:val="35"/>
        <w:snapToGrid w:val="0"/>
        <w:spacing w:before="120" w:after="120" w:line="360" w:lineRule="auto"/>
        <w:jc w:val="left"/>
        <w:rPr>
          <w:b/>
          <w:color w:val="auto"/>
          <w:sz w:val="30"/>
          <w:szCs w:val="30"/>
          <w:highlight w:val="none"/>
        </w:rPr>
      </w:pPr>
    </w:p>
    <w:p w14:paraId="16681288">
      <w:pPr>
        <w:pStyle w:val="35"/>
        <w:snapToGrid w:val="0"/>
        <w:spacing w:before="120" w:after="120" w:line="360" w:lineRule="auto"/>
        <w:jc w:val="left"/>
        <w:rPr>
          <w:b/>
          <w:color w:val="auto"/>
          <w:sz w:val="30"/>
          <w:szCs w:val="30"/>
          <w:highlight w:val="none"/>
        </w:rPr>
      </w:pPr>
    </w:p>
    <w:p w14:paraId="4232D68A">
      <w:pPr>
        <w:rPr>
          <w:color w:val="auto"/>
          <w:highlight w:val="none"/>
        </w:rPr>
      </w:pPr>
    </w:p>
    <w:p w14:paraId="0551446F">
      <w:pPr>
        <w:pStyle w:val="35"/>
        <w:snapToGrid w:val="0"/>
        <w:spacing w:before="120" w:after="120" w:line="360" w:lineRule="auto"/>
        <w:jc w:val="left"/>
        <w:rPr>
          <w:b/>
          <w:color w:val="auto"/>
          <w:sz w:val="30"/>
          <w:szCs w:val="30"/>
          <w:highlight w:val="none"/>
        </w:rPr>
      </w:pPr>
      <w:r>
        <w:rPr>
          <w:b/>
          <w:color w:val="auto"/>
          <w:sz w:val="30"/>
          <w:szCs w:val="30"/>
          <w:highlight w:val="none"/>
        </w:rPr>
        <w:t>项目编号：</w:t>
      </w:r>
      <w:r>
        <w:rPr>
          <w:rFonts w:hint="eastAsia" w:hAnsi="宋体"/>
          <w:b/>
          <w:color w:val="auto"/>
          <w:sz w:val="30"/>
          <w:szCs w:val="48"/>
          <w:highlight w:val="none"/>
        </w:rPr>
        <w:t>ZJZD2024001(G)</w:t>
      </w:r>
    </w:p>
    <w:p w14:paraId="37B797DC">
      <w:pPr>
        <w:pStyle w:val="35"/>
        <w:snapToGrid w:val="0"/>
        <w:spacing w:before="120" w:after="120" w:line="360" w:lineRule="auto"/>
        <w:jc w:val="left"/>
        <w:rPr>
          <w:b/>
          <w:color w:val="auto"/>
          <w:sz w:val="30"/>
          <w:szCs w:val="30"/>
          <w:highlight w:val="none"/>
        </w:rPr>
      </w:pPr>
      <w:r>
        <w:rPr>
          <w:rFonts w:hint="eastAsia"/>
          <w:b/>
          <w:color w:val="auto"/>
          <w:sz w:val="30"/>
          <w:szCs w:val="30"/>
          <w:highlight w:val="none"/>
        </w:rPr>
        <w:t>项目名称：嘉善县实验幼儿园（兴贤）玩具采购</w:t>
      </w:r>
    </w:p>
    <w:p w14:paraId="35C60925">
      <w:pPr>
        <w:pStyle w:val="35"/>
        <w:snapToGrid w:val="0"/>
        <w:spacing w:before="120" w:after="120" w:line="360" w:lineRule="auto"/>
        <w:jc w:val="left"/>
        <w:rPr>
          <w:rFonts w:hAnsi="宋体"/>
          <w:b/>
          <w:color w:val="auto"/>
          <w:sz w:val="30"/>
          <w:szCs w:val="30"/>
          <w:highlight w:val="none"/>
        </w:rPr>
      </w:pPr>
      <w:r>
        <w:rPr>
          <w:b/>
          <w:color w:val="auto"/>
          <w:sz w:val="30"/>
          <w:szCs w:val="30"/>
          <w:highlight w:val="none"/>
        </w:rPr>
        <w:t>采购</w:t>
      </w:r>
      <w:r>
        <w:rPr>
          <w:rFonts w:hint="eastAsia"/>
          <w:b/>
          <w:color w:val="auto"/>
          <w:sz w:val="30"/>
          <w:szCs w:val="30"/>
          <w:highlight w:val="none"/>
        </w:rPr>
        <w:t>单位</w:t>
      </w:r>
      <w:r>
        <w:rPr>
          <w:b/>
          <w:color w:val="auto"/>
          <w:sz w:val="30"/>
          <w:szCs w:val="30"/>
          <w:highlight w:val="none"/>
        </w:rPr>
        <w:t>：</w:t>
      </w:r>
      <w:r>
        <w:rPr>
          <w:rFonts w:hint="eastAsia"/>
          <w:b/>
          <w:color w:val="auto"/>
          <w:sz w:val="30"/>
          <w:szCs w:val="30"/>
          <w:highlight w:val="none"/>
        </w:rPr>
        <w:t>嘉善县实验幼儿园</w:t>
      </w:r>
    </w:p>
    <w:p w14:paraId="726E6BC3">
      <w:pPr>
        <w:pStyle w:val="35"/>
        <w:snapToGrid w:val="0"/>
        <w:spacing w:before="120" w:after="120" w:line="360" w:lineRule="auto"/>
        <w:jc w:val="left"/>
        <w:rPr>
          <w:rFonts w:hAnsi="宋体"/>
          <w:b/>
          <w:bCs/>
          <w:color w:val="auto"/>
          <w:sz w:val="30"/>
          <w:szCs w:val="30"/>
          <w:highlight w:val="none"/>
        </w:rPr>
      </w:pPr>
      <w:r>
        <w:rPr>
          <w:rFonts w:hint="eastAsia"/>
          <w:b/>
          <w:color w:val="auto"/>
          <w:sz w:val="30"/>
          <w:szCs w:val="30"/>
          <w:highlight w:val="none"/>
        </w:rPr>
        <w:t>采购代理机构</w:t>
      </w:r>
      <w:r>
        <w:rPr>
          <w:b/>
          <w:color w:val="auto"/>
          <w:sz w:val="30"/>
          <w:szCs w:val="30"/>
          <w:highlight w:val="none"/>
        </w:rPr>
        <w:t>：</w:t>
      </w:r>
      <w:r>
        <w:rPr>
          <w:rFonts w:hint="eastAsia"/>
          <w:b/>
          <w:color w:val="auto"/>
          <w:sz w:val="30"/>
          <w:szCs w:val="30"/>
          <w:highlight w:val="none"/>
        </w:rPr>
        <w:t>浙江正大工程管理咨询有限公司</w:t>
      </w:r>
    </w:p>
    <w:p w14:paraId="4A879A61">
      <w:pPr>
        <w:spacing w:line="360" w:lineRule="auto"/>
        <w:jc w:val="center"/>
        <w:rPr>
          <w:rFonts w:ascii="仿宋" w:hAnsi="仿宋" w:eastAsia="仿宋" w:cs="仿宋_GB2312"/>
          <w:color w:val="auto"/>
          <w:sz w:val="24"/>
          <w:highlight w:val="none"/>
        </w:rPr>
      </w:pPr>
      <w:r>
        <w:rPr>
          <w:rFonts w:hint="eastAsia" w:ascii="宋体" w:hAnsi="宋体"/>
          <w:b/>
          <w:bCs/>
          <w:color w:val="auto"/>
          <w:w w:val="95"/>
          <w:sz w:val="30"/>
          <w:szCs w:val="30"/>
          <w:highlight w:val="none"/>
        </w:rPr>
        <w:t>2024年7月</w:t>
      </w:r>
    </w:p>
    <w:p w14:paraId="33867205">
      <w:pPr>
        <w:rPr>
          <w:rFonts w:ascii="仿宋" w:hAnsi="仿宋" w:eastAsia="仿宋" w:cs="仿宋_GB2312"/>
          <w:color w:val="auto"/>
          <w:sz w:val="2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680" w:right="1418" w:bottom="468" w:left="1418" w:header="851" w:footer="992" w:gutter="0"/>
          <w:cols w:space="720" w:num="1"/>
          <w:titlePg/>
          <w:docGrid w:linePitch="312" w:charSpace="0"/>
        </w:sectPr>
      </w:pPr>
    </w:p>
    <w:p w14:paraId="748843C3">
      <w:pPr>
        <w:pStyle w:val="35"/>
        <w:spacing w:before="120" w:after="120" w:line="600" w:lineRule="exact"/>
        <w:rPr>
          <w:rFonts w:ascii="创艺简标宋" w:hAnsi="宋体" w:eastAsia="创艺简标宋"/>
          <w:b/>
          <w:color w:val="auto"/>
          <w:sz w:val="44"/>
          <w:szCs w:val="44"/>
          <w:highlight w:val="none"/>
        </w:rPr>
      </w:pPr>
      <w:bookmarkStart w:id="1" w:name="_Hlt91233176"/>
      <w:bookmarkEnd w:id="1"/>
      <w:bookmarkStart w:id="2" w:name="_Toc91899869"/>
    </w:p>
    <w:p w14:paraId="2275F741">
      <w:pPr>
        <w:pStyle w:val="35"/>
        <w:spacing w:before="120" w:after="120" w:line="600" w:lineRule="exact"/>
        <w:jc w:val="center"/>
        <w:rPr>
          <w:rFonts w:hAnsi="宋体" w:cs="宋体"/>
          <w:b/>
          <w:color w:val="auto"/>
          <w:sz w:val="44"/>
          <w:szCs w:val="44"/>
          <w:highlight w:val="none"/>
        </w:rPr>
      </w:pPr>
    </w:p>
    <w:p w14:paraId="75EA1654">
      <w:pPr>
        <w:pStyle w:val="35"/>
        <w:spacing w:before="120" w:after="120" w:line="600" w:lineRule="exact"/>
        <w:jc w:val="center"/>
        <w:rPr>
          <w:rFonts w:hAnsi="宋体" w:cs="宋体"/>
          <w:b/>
          <w:color w:val="auto"/>
          <w:sz w:val="44"/>
          <w:szCs w:val="44"/>
          <w:highlight w:val="none"/>
        </w:rPr>
      </w:pPr>
      <w:r>
        <w:rPr>
          <w:rFonts w:hint="eastAsia" w:hAnsi="宋体" w:cs="宋体"/>
          <w:b/>
          <w:color w:val="auto"/>
          <w:sz w:val="44"/>
          <w:szCs w:val="44"/>
          <w:highlight w:val="none"/>
        </w:rPr>
        <w:t>目    录</w:t>
      </w:r>
    </w:p>
    <w:p w14:paraId="146E3B3F">
      <w:pPr>
        <w:pStyle w:val="35"/>
        <w:tabs>
          <w:tab w:val="left" w:pos="6645"/>
        </w:tabs>
        <w:spacing w:before="120" w:after="120" w:line="600" w:lineRule="exact"/>
        <w:jc w:val="left"/>
        <w:rPr>
          <w:rFonts w:ascii="创艺简标宋" w:hAnsi="宋体" w:eastAsia="创艺简标宋"/>
          <w:b/>
          <w:color w:val="auto"/>
          <w:sz w:val="44"/>
          <w:szCs w:val="44"/>
          <w:highlight w:val="none"/>
        </w:rPr>
      </w:pPr>
      <w:r>
        <w:rPr>
          <w:rFonts w:ascii="创艺简标宋" w:hAnsi="宋体" w:eastAsia="创艺简标宋"/>
          <w:b/>
          <w:color w:val="auto"/>
          <w:sz w:val="44"/>
          <w:szCs w:val="44"/>
          <w:highlight w:val="none"/>
        </w:rPr>
        <w:tab/>
      </w:r>
    </w:p>
    <w:p w14:paraId="7D99C499">
      <w:pPr>
        <w:pStyle w:val="45"/>
        <w:tabs>
          <w:tab w:val="right" w:leader="dot" w:pos="8834"/>
        </w:tabs>
        <w:spacing w:line="480" w:lineRule="auto"/>
        <w:rPr>
          <w:b/>
          <w:color w:val="auto"/>
          <w:sz w:val="32"/>
          <w:szCs w:val="32"/>
          <w:highlight w:val="none"/>
        </w:rPr>
      </w:pPr>
      <w:r>
        <w:rPr>
          <w:b/>
          <w:color w:val="auto"/>
          <w:sz w:val="32"/>
          <w:szCs w:val="32"/>
          <w:highlight w:val="none"/>
        </w:rPr>
        <w:fldChar w:fldCharType="begin"/>
      </w:r>
      <w:r>
        <w:rPr>
          <w:b/>
          <w:color w:val="auto"/>
          <w:sz w:val="32"/>
          <w:szCs w:val="32"/>
          <w:highlight w:val="none"/>
        </w:rPr>
        <w:instrText xml:space="preserve"> TOC \o "1-1" \h \z \u </w:instrText>
      </w:r>
      <w:r>
        <w:rPr>
          <w:b/>
          <w:color w:val="auto"/>
          <w:sz w:val="32"/>
          <w:szCs w:val="32"/>
          <w:highlight w:val="none"/>
        </w:rPr>
        <w:fldChar w:fldCharType="separate"/>
      </w:r>
      <w:r>
        <w:rPr>
          <w:color w:val="auto"/>
          <w:highlight w:val="none"/>
        </w:rPr>
        <w:fldChar w:fldCharType="begin"/>
      </w:r>
      <w:r>
        <w:rPr>
          <w:color w:val="auto"/>
          <w:highlight w:val="none"/>
        </w:rPr>
        <w:instrText xml:space="preserve"> HYPERLINK \l "_Toc406402981" </w:instrText>
      </w:r>
      <w:r>
        <w:rPr>
          <w:color w:val="auto"/>
          <w:highlight w:val="none"/>
        </w:rPr>
        <w:fldChar w:fldCharType="separate"/>
      </w:r>
      <w:r>
        <w:rPr>
          <w:rStyle w:val="78"/>
          <w:rFonts w:hint="eastAsia"/>
          <w:b/>
          <w:color w:val="auto"/>
          <w:sz w:val="32"/>
          <w:szCs w:val="32"/>
          <w:highlight w:val="none"/>
        </w:rPr>
        <w:t>第一章公开招标采购公告</w:t>
      </w:r>
      <w:r>
        <w:rPr>
          <w:b/>
          <w:color w:val="auto"/>
          <w:sz w:val="32"/>
          <w:szCs w:val="32"/>
          <w:highlight w:val="none"/>
        </w:rPr>
        <w:tab/>
      </w:r>
      <w:r>
        <w:rPr>
          <w:rFonts w:hint="eastAsia"/>
          <w:b/>
          <w:color w:val="auto"/>
          <w:sz w:val="32"/>
          <w:szCs w:val="32"/>
          <w:highlight w:val="none"/>
        </w:rPr>
        <w:t>3</w:t>
      </w:r>
      <w:r>
        <w:rPr>
          <w:rFonts w:hint="eastAsia"/>
          <w:b/>
          <w:color w:val="auto"/>
          <w:sz w:val="32"/>
          <w:szCs w:val="32"/>
          <w:highlight w:val="none"/>
        </w:rPr>
        <w:fldChar w:fldCharType="end"/>
      </w:r>
    </w:p>
    <w:p w14:paraId="6152492D">
      <w:pPr>
        <w:pStyle w:val="45"/>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"_Toc406402982" </w:instrText>
      </w:r>
      <w:r>
        <w:rPr>
          <w:color w:val="auto"/>
          <w:highlight w:val="none"/>
        </w:rPr>
        <w:fldChar w:fldCharType="separate"/>
      </w:r>
      <w:r>
        <w:rPr>
          <w:rStyle w:val="78"/>
          <w:rFonts w:hint="eastAsia"/>
          <w:b/>
          <w:color w:val="auto"/>
          <w:sz w:val="32"/>
          <w:szCs w:val="32"/>
          <w:highlight w:val="none"/>
        </w:rPr>
        <w:t>第二章招标需求</w:t>
      </w:r>
      <w:r>
        <w:rPr>
          <w:b/>
          <w:color w:val="auto"/>
          <w:sz w:val="32"/>
          <w:szCs w:val="32"/>
          <w:highlight w:val="none"/>
        </w:rPr>
        <w:tab/>
      </w:r>
      <w:r>
        <w:rPr>
          <w:rFonts w:hint="eastAsia"/>
          <w:b/>
          <w:color w:val="auto"/>
          <w:sz w:val="32"/>
          <w:szCs w:val="32"/>
          <w:highlight w:val="none"/>
        </w:rPr>
        <w:t>7</w:t>
      </w:r>
      <w:r>
        <w:rPr>
          <w:rFonts w:hint="eastAsia"/>
          <w:b/>
          <w:color w:val="auto"/>
          <w:sz w:val="32"/>
          <w:szCs w:val="32"/>
          <w:highlight w:val="none"/>
        </w:rPr>
        <w:fldChar w:fldCharType="end"/>
      </w:r>
    </w:p>
    <w:p w14:paraId="48F048A9">
      <w:pPr>
        <w:pStyle w:val="45"/>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"_Toc406402986" </w:instrText>
      </w:r>
      <w:r>
        <w:rPr>
          <w:color w:val="auto"/>
          <w:highlight w:val="none"/>
        </w:rPr>
        <w:fldChar w:fldCharType="separate"/>
      </w:r>
      <w:r>
        <w:rPr>
          <w:rStyle w:val="78"/>
          <w:rFonts w:hint="eastAsia"/>
          <w:b/>
          <w:color w:val="auto"/>
          <w:sz w:val="32"/>
          <w:szCs w:val="32"/>
          <w:highlight w:val="none"/>
        </w:rPr>
        <w:t>第三章投标人须知</w:t>
      </w:r>
      <w:r>
        <w:rPr>
          <w:b/>
          <w:color w:val="auto"/>
          <w:sz w:val="32"/>
          <w:szCs w:val="32"/>
          <w:highlight w:val="none"/>
        </w:rPr>
        <w:tab/>
      </w:r>
      <w:r>
        <w:rPr>
          <w:rFonts w:hint="eastAsia"/>
          <w:b/>
          <w:color w:val="auto"/>
          <w:sz w:val="32"/>
          <w:szCs w:val="32"/>
          <w:highlight w:val="none"/>
        </w:rPr>
        <w:t>1</w:t>
      </w:r>
      <w:r>
        <w:rPr>
          <w:rFonts w:hint="eastAsia"/>
          <w:b/>
          <w:color w:val="auto"/>
          <w:sz w:val="32"/>
          <w:szCs w:val="32"/>
          <w:highlight w:val="none"/>
        </w:rPr>
        <w:fldChar w:fldCharType="end"/>
      </w:r>
      <w:r>
        <w:rPr>
          <w:rFonts w:hint="eastAsia"/>
          <w:b/>
          <w:color w:val="auto"/>
          <w:sz w:val="32"/>
          <w:szCs w:val="32"/>
          <w:highlight w:val="none"/>
        </w:rPr>
        <w:t>6</w:t>
      </w:r>
    </w:p>
    <w:p w14:paraId="34F1601C">
      <w:pPr>
        <w:pStyle w:val="45"/>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"_Toc406402996" </w:instrText>
      </w:r>
      <w:r>
        <w:rPr>
          <w:color w:val="auto"/>
          <w:highlight w:val="none"/>
        </w:rPr>
        <w:fldChar w:fldCharType="separate"/>
      </w:r>
      <w:r>
        <w:rPr>
          <w:rStyle w:val="78"/>
          <w:rFonts w:hint="eastAsia"/>
          <w:b/>
          <w:color w:val="auto"/>
          <w:sz w:val="32"/>
          <w:szCs w:val="32"/>
          <w:highlight w:val="none"/>
        </w:rPr>
        <w:t>第四章 评标办法及评分标准</w:t>
      </w:r>
      <w:r>
        <w:rPr>
          <w:b/>
          <w:color w:val="auto"/>
          <w:sz w:val="32"/>
          <w:szCs w:val="32"/>
          <w:highlight w:val="none"/>
        </w:rPr>
        <w:tab/>
      </w:r>
      <w:r>
        <w:rPr>
          <w:rFonts w:hint="eastAsia"/>
          <w:b/>
          <w:color w:val="auto"/>
          <w:sz w:val="32"/>
          <w:szCs w:val="32"/>
          <w:highlight w:val="none"/>
        </w:rPr>
        <w:t>3</w:t>
      </w:r>
      <w:r>
        <w:rPr>
          <w:rFonts w:hint="eastAsia"/>
          <w:b/>
          <w:color w:val="auto"/>
          <w:sz w:val="32"/>
          <w:szCs w:val="32"/>
          <w:highlight w:val="none"/>
        </w:rPr>
        <w:fldChar w:fldCharType="end"/>
      </w:r>
      <w:r>
        <w:rPr>
          <w:rFonts w:hint="eastAsia"/>
          <w:b/>
          <w:color w:val="auto"/>
          <w:sz w:val="32"/>
          <w:szCs w:val="32"/>
          <w:highlight w:val="none"/>
        </w:rPr>
        <w:t>3</w:t>
      </w:r>
    </w:p>
    <w:p w14:paraId="310F69FF">
      <w:pPr>
        <w:pStyle w:val="45"/>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"_Toc406402998" </w:instrText>
      </w:r>
      <w:r>
        <w:rPr>
          <w:color w:val="auto"/>
          <w:highlight w:val="none"/>
        </w:rPr>
        <w:fldChar w:fldCharType="separate"/>
      </w:r>
      <w:r>
        <w:rPr>
          <w:rStyle w:val="78"/>
          <w:rFonts w:hint="eastAsia"/>
          <w:b/>
          <w:color w:val="auto"/>
          <w:sz w:val="32"/>
          <w:szCs w:val="32"/>
          <w:highlight w:val="none"/>
        </w:rPr>
        <w:t>第五章嘉善县政府采购合同（</w:t>
      </w:r>
      <w:bookmarkStart w:id="3" w:name="_Hlt497308216"/>
      <w:r>
        <w:rPr>
          <w:rStyle w:val="78"/>
          <w:rFonts w:hint="eastAsia"/>
          <w:b/>
          <w:color w:val="auto"/>
          <w:sz w:val="32"/>
          <w:szCs w:val="32"/>
          <w:highlight w:val="none"/>
        </w:rPr>
        <w:t>指</w:t>
      </w:r>
      <w:bookmarkEnd w:id="3"/>
      <w:bookmarkStart w:id="4" w:name="_Hlt497308220"/>
      <w:r>
        <w:rPr>
          <w:rStyle w:val="78"/>
          <w:rFonts w:hint="eastAsia"/>
          <w:b/>
          <w:color w:val="auto"/>
          <w:sz w:val="32"/>
          <w:szCs w:val="32"/>
          <w:highlight w:val="none"/>
        </w:rPr>
        <w:t>引</w:t>
      </w:r>
      <w:bookmarkEnd w:id="4"/>
      <w:r>
        <w:rPr>
          <w:rStyle w:val="78"/>
          <w:rFonts w:hint="eastAsia"/>
          <w:b/>
          <w:color w:val="auto"/>
          <w:sz w:val="32"/>
          <w:szCs w:val="32"/>
          <w:highlight w:val="none"/>
        </w:rPr>
        <w:t>）</w:t>
      </w:r>
      <w:bookmarkStart w:id="5" w:name="_Hlt497308212"/>
      <w:bookmarkStart w:id="6" w:name="_Hlt497308213"/>
      <w:r>
        <w:rPr>
          <w:b/>
          <w:color w:val="auto"/>
          <w:sz w:val="32"/>
          <w:szCs w:val="32"/>
          <w:highlight w:val="none"/>
        </w:rPr>
        <w:tab/>
      </w:r>
      <w:bookmarkEnd w:id="5"/>
      <w:bookmarkEnd w:id="6"/>
      <w:r>
        <w:rPr>
          <w:rFonts w:hint="eastAsia"/>
          <w:b/>
          <w:color w:val="auto"/>
          <w:sz w:val="32"/>
          <w:szCs w:val="32"/>
          <w:highlight w:val="none"/>
        </w:rPr>
        <w:t>3</w:t>
      </w:r>
      <w:r>
        <w:rPr>
          <w:rFonts w:hint="eastAsia"/>
          <w:b/>
          <w:color w:val="auto"/>
          <w:sz w:val="32"/>
          <w:szCs w:val="32"/>
          <w:highlight w:val="none"/>
        </w:rPr>
        <w:fldChar w:fldCharType="end"/>
      </w:r>
      <w:r>
        <w:rPr>
          <w:rFonts w:hint="eastAsia"/>
          <w:b/>
          <w:color w:val="auto"/>
          <w:sz w:val="32"/>
          <w:szCs w:val="32"/>
          <w:highlight w:val="none"/>
        </w:rPr>
        <w:t>6</w:t>
      </w:r>
    </w:p>
    <w:p w14:paraId="52C4602D">
      <w:pPr>
        <w:pStyle w:val="45"/>
        <w:tabs>
          <w:tab w:val="right" w:leader="dot" w:pos="8834"/>
        </w:tabs>
        <w:spacing w:line="480" w:lineRule="auto"/>
        <w:rPr>
          <w:b/>
          <w:color w:val="auto"/>
          <w:sz w:val="32"/>
          <w:szCs w:val="32"/>
          <w:highlight w:val="none"/>
        </w:rPr>
      </w:pPr>
      <w:r>
        <w:rPr>
          <w:color w:val="auto"/>
          <w:highlight w:val="none"/>
        </w:rPr>
        <w:fldChar w:fldCharType="begin"/>
      </w:r>
      <w:r>
        <w:rPr>
          <w:color w:val="auto"/>
          <w:highlight w:val="none"/>
        </w:rPr>
        <w:instrText xml:space="preserve"> HYPERLINK \l "_Toc406403000" </w:instrText>
      </w:r>
      <w:r>
        <w:rPr>
          <w:color w:val="auto"/>
          <w:highlight w:val="none"/>
        </w:rPr>
        <w:fldChar w:fldCharType="separate"/>
      </w:r>
      <w:r>
        <w:rPr>
          <w:rStyle w:val="78"/>
          <w:rFonts w:hint="eastAsia"/>
          <w:b/>
          <w:color w:val="auto"/>
          <w:sz w:val="32"/>
          <w:szCs w:val="32"/>
          <w:highlight w:val="none"/>
        </w:rPr>
        <w:t>第六章　投标文件格式</w:t>
      </w:r>
      <w:r>
        <w:rPr>
          <w:b/>
          <w:color w:val="auto"/>
          <w:sz w:val="32"/>
          <w:szCs w:val="32"/>
          <w:highlight w:val="none"/>
        </w:rPr>
        <w:tab/>
      </w:r>
      <w:r>
        <w:rPr>
          <w:b/>
          <w:color w:val="auto"/>
          <w:sz w:val="32"/>
          <w:szCs w:val="32"/>
          <w:highlight w:val="none"/>
        </w:rPr>
        <w:fldChar w:fldCharType="end"/>
      </w:r>
      <w:r>
        <w:rPr>
          <w:rFonts w:hint="eastAsia"/>
          <w:b/>
          <w:color w:val="auto"/>
          <w:sz w:val="32"/>
          <w:szCs w:val="32"/>
          <w:highlight w:val="none"/>
        </w:rPr>
        <w:t>41</w:t>
      </w:r>
    </w:p>
    <w:p w14:paraId="47C1754A">
      <w:pPr>
        <w:pStyle w:val="45"/>
        <w:tabs>
          <w:tab w:val="right" w:leader="dot" w:pos="8834"/>
        </w:tabs>
        <w:spacing w:line="480" w:lineRule="auto"/>
        <w:rPr>
          <w:b/>
          <w:color w:val="auto"/>
          <w:sz w:val="32"/>
          <w:szCs w:val="32"/>
          <w:highlight w:val="none"/>
        </w:rPr>
      </w:pPr>
    </w:p>
    <w:p w14:paraId="3772F090">
      <w:pPr>
        <w:pStyle w:val="45"/>
        <w:tabs>
          <w:tab w:val="right" w:leader="dot" w:pos="8834"/>
        </w:tabs>
        <w:spacing w:line="480" w:lineRule="auto"/>
        <w:rPr>
          <w:b/>
          <w:color w:val="auto"/>
          <w:sz w:val="32"/>
          <w:szCs w:val="32"/>
          <w:highlight w:val="none"/>
        </w:rPr>
      </w:pPr>
    </w:p>
    <w:p w14:paraId="361E5690">
      <w:pPr>
        <w:pStyle w:val="45"/>
        <w:tabs>
          <w:tab w:val="right" w:leader="dot" w:pos="8834"/>
        </w:tabs>
        <w:spacing w:line="480" w:lineRule="auto"/>
        <w:rPr>
          <w:b/>
          <w:color w:val="auto"/>
          <w:sz w:val="32"/>
          <w:szCs w:val="32"/>
          <w:highlight w:val="none"/>
        </w:rPr>
      </w:pPr>
    </w:p>
    <w:p w14:paraId="765431F5">
      <w:pPr>
        <w:pStyle w:val="45"/>
        <w:tabs>
          <w:tab w:val="right" w:leader="dot" w:pos="8834"/>
        </w:tabs>
        <w:spacing w:line="480" w:lineRule="auto"/>
        <w:rPr>
          <w:b/>
          <w:color w:val="auto"/>
          <w:sz w:val="32"/>
          <w:szCs w:val="32"/>
          <w:highlight w:val="none"/>
        </w:rPr>
      </w:pPr>
    </w:p>
    <w:p w14:paraId="6C260668">
      <w:pPr>
        <w:spacing w:line="360" w:lineRule="auto"/>
        <w:ind w:firstLine="480" w:firstLineChars="229"/>
        <w:rPr>
          <w:rFonts w:ascii="仿宋" w:hAnsi="仿宋" w:eastAsia="仿宋" w:cs="仿宋_GB2312"/>
          <w:color w:val="auto"/>
          <w:sz w:val="24"/>
          <w:highlight w:val="none"/>
        </w:rPr>
      </w:pPr>
      <w:r>
        <w:rPr>
          <w:color w:val="auto"/>
          <w:szCs w:val="32"/>
          <w:highlight w:val="none"/>
        </w:rPr>
        <w:fldChar w:fldCharType="end"/>
      </w:r>
    </w:p>
    <w:p w14:paraId="2AF767FD">
      <w:pPr>
        <w:spacing w:line="360" w:lineRule="auto"/>
        <w:ind w:firstLine="549" w:firstLineChars="229"/>
        <w:rPr>
          <w:rFonts w:ascii="仿宋" w:hAnsi="仿宋" w:eastAsia="仿宋" w:cs="仿宋_GB2312"/>
          <w:color w:val="auto"/>
          <w:sz w:val="24"/>
          <w:highlight w:val="none"/>
        </w:rPr>
      </w:pPr>
    </w:p>
    <w:p w14:paraId="52A4055C">
      <w:pPr>
        <w:spacing w:line="360" w:lineRule="auto"/>
        <w:ind w:firstLine="549" w:firstLineChars="229"/>
        <w:rPr>
          <w:rFonts w:ascii="仿宋" w:hAnsi="仿宋" w:eastAsia="仿宋" w:cs="仿宋_GB2312"/>
          <w:color w:val="auto"/>
          <w:sz w:val="24"/>
          <w:highlight w:val="none"/>
        </w:rPr>
      </w:pPr>
    </w:p>
    <w:p w14:paraId="1B91497F">
      <w:pPr>
        <w:spacing w:line="360" w:lineRule="auto"/>
        <w:ind w:firstLine="549" w:firstLineChars="229"/>
        <w:rPr>
          <w:rFonts w:ascii="仿宋" w:hAnsi="仿宋" w:eastAsia="仿宋" w:cs="仿宋_GB2312"/>
          <w:color w:val="auto"/>
          <w:sz w:val="24"/>
          <w:highlight w:val="none"/>
        </w:rPr>
      </w:pPr>
    </w:p>
    <w:p w14:paraId="5CB97D54">
      <w:pPr>
        <w:spacing w:line="360" w:lineRule="auto"/>
        <w:ind w:firstLine="549" w:firstLineChars="229"/>
        <w:rPr>
          <w:rFonts w:ascii="仿宋" w:hAnsi="仿宋" w:eastAsia="仿宋" w:cs="仿宋_GB2312"/>
          <w:color w:val="auto"/>
          <w:sz w:val="24"/>
          <w:highlight w:val="none"/>
        </w:rPr>
      </w:pPr>
    </w:p>
    <w:p w14:paraId="4DC505BA">
      <w:pPr>
        <w:spacing w:line="360" w:lineRule="auto"/>
        <w:ind w:firstLine="549" w:firstLineChars="229"/>
        <w:rPr>
          <w:rFonts w:ascii="仿宋" w:hAnsi="仿宋" w:eastAsia="仿宋" w:cs="仿宋_GB2312"/>
          <w:color w:val="auto"/>
          <w:sz w:val="24"/>
          <w:highlight w:val="none"/>
        </w:rPr>
      </w:pPr>
    </w:p>
    <w:p w14:paraId="49806A5D">
      <w:pPr>
        <w:spacing w:line="360" w:lineRule="auto"/>
        <w:rPr>
          <w:rFonts w:ascii="仿宋" w:hAnsi="仿宋" w:eastAsia="仿宋" w:cs="仿宋_GB2312"/>
          <w:color w:val="auto"/>
          <w:sz w:val="24"/>
          <w:highlight w:val="none"/>
        </w:rPr>
      </w:pPr>
    </w:p>
    <w:bookmarkEnd w:id="2"/>
    <w:p w14:paraId="4374214B">
      <w:pPr>
        <w:adjustRightInd/>
        <w:spacing w:line="360" w:lineRule="auto"/>
        <w:jc w:val="center"/>
        <w:outlineLvl w:val="0"/>
        <w:rPr>
          <w:rFonts w:ascii="仿宋" w:hAnsi="仿宋" w:eastAsia="仿宋" w:cs="仿宋_GB2312"/>
          <w:b/>
          <w:color w:val="auto"/>
          <w:sz w:val="36"/>
          <w:szCs w:val="20"/>
          <w:highlight w:val="none"/>
        </w:rPr>
      </w:pPr>
      <w:bookmarkStart w:id="7" w:name="_Hlt74728647"/>
      <w:bookmarkEnd w:id="7"/>
      <w:bookmarkStart w:id="8" w:name="_Hlt74729822"/>
      <w:bookmarkEnd w:id="8"/>
      <w:bookmarkStart w:id="9" w:name="_Hlt74649545"/>
      <w:bookmarkEnd w:id="9"/>
      <w:bookmarkStart w:id="10" w:name="_Hlt74707423"/>
      <w:bookmarkEnd w:id="10"/>
      <w:bookmarkStart w:id="11" w:name="第二部分"/>
      <w:bookmarkStart w:id="12" w:name="_Toc91899870"/>
      <w:bookmarkStart w:id="13" w:name="_Toc91899871"/>
    </w:p>
    <w:p w14:paraId="1502CC14">
      <w:pPr>
        <w:adjustRightInd/>
        <w:spacing w:line="360" w:lineRule="auto"/>
        <w:jc w:val="center"/>
        <w:outlineLvl w:val="0"/>
        <w:rPr>
          <w:rFonts w:ascii="仿宋_GB2312" w:hAnsi="仿宋" w:eastAsia="仿宋_GB2312" w:cs="仿宋_GB2312"/>
          <w:b/>
          <w:color w:val="auto"/>
          <w:sz w:val="36"/>
          <w:szCs w:val="20"/>
          <w:highlight w:val="none"/>
        </w:rPr>
      </w:pPr>
      <w:r>
        <w:rPr>
          <w:rFonts w:hint="eastAsia" w:ascii="仿宋" w:hAnsi="仿宋" w:eastAsia="仿宋" w:cs="仿宋_GB2312"/>
          <w:b/>
          <w:color w:val="auto"/>
          <w:sz w:val="36"/>
          <w:szCs w:val="20"/>
          <w:highlight w:val="none"/>
        </w:rPr>
        <w:t>第一章公开招标采购公告</w:t>
      </w:r>
    </w:p>
    <w:p w14:paraId="25DD9383">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项目概况</w:t>
      </w:r>
    </w:p>
    <w:p w14:paraId="6486CF8C">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highlight w:val="none"/>
          <w:u w:val="single"/>
        </w:rPr>
      </w:pPr>
      <w:r>
        <w:rPr>
          <w:rFonts w:hint="eastAsia" w:ascii="仿宋_GB2312" w:hAnsi="仿宋" w:eastAsia="仿宋_GB2312" w:cs="仿宋_GB2312"/>
          <w:color w:val="auto"/>
          <w:sz w:val="24"/>
          <w:highlight w:val="none"/>
          <w:u w:val="single"/>
        </w:rPr>
        <w:t>（嘉善县实验幼儿园（兴贤）玩具采购）</w:t>
      </w:r>
      <w:r>
        <w:rPr>
          <w:rFonts w:hint="eastAsia" w:ascii="仿宋_GB2312" w:hAnsi="仿宋" w:eastAsia="仿宋_GB2312"/>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8"/>
          <w:rFonts w:ascii="仿宋_GB2312" w:hAnsi="仿宋" w:eastAsia="仿宋_GB2312"/>
          <w:color w:val="auto"/>
          <w:sz w:val="24"/>
          <w:highlight w:val="none"/>
        </w:rPr>
        <w:t>https://www.zcygov.cn/）获取（下载）招标文件，并于</w:t>
      </w:r>
      <w:r>
        <w:rPr>
          <w:rFonts w:hint="eastAsia" w:ascii="仿宋_GB2312" w:hAnsi="仿宋" w:eastAsia="仿宋_GB2312"/>
          <w:color w:val="auto"/>
          <w:sz w:val="24"/>
          <w:highlight w:val="none"/>
          <w:u w:val="single"/>
        </w:rPr>
        <w:t>2024年</w:t>
      </w:r>
      <w:r>
        <w:rPr>
          <w:rFonts w:hint="eastAsia" w:ascii="仿宋_GB2312" w:hAnsi="仿宋" w:eastAsia="仿宋_GB2312"/>
          <w:color w:val="auto"/>
          <w:sz w:val="24"/>
          <w:highlight w:val="none"/>
          <w:u w:val="single"/>
          <w:lang w:eastAsia="zh-CN"/>
        </w:rPr>
        <w:t>8月14日</w:t>
      </w:r>
      <w:r>
        <w:rPr>
          <w:rFonts w:hint="eastAsia" w:ascii="仿宋_GB2312" w:hAnsi="仿宋" w:eastAsia="仿宋_GB2312"/>
          <w:color w:val="auto"/>
          <w:sz w:val="24"/>
          <w:highlight w:val="none"/>
          <w:u w:val="single"/>
        </w:rPr>
        <w:t>9点30分</w:t>
      </w:r>
      <w:r>
        <w:rPr>
          <w:rFonts w:hint="eastAsia" w:ascii="仿宋_GB2312" w:hAnsi="仿宋" w:eastAsia="仿宋_GB2312"/>
          <w:bCs/>
          <w:color w:val="auto"/>
          <w:sz w:val="24"/>
          <w:highlight w:val="none"/>
          <w:u w:val="single"/>
        </w:rPr>
        <w:t>00秒</w:t>
      </w:r>
      <w:r>
        <w:rPr>
          <w:rFonts w:hint="eastAsia" w:ascii="仿宋_GB2312" w:hAnsi="仿宋" w:eastAsia="仿宋_GB2312"/>
          <w:bCs/>
          <w:color w:val="auto"/>
          <w:sz w:val="24"/>
          <w:highlight w:val="none"/>
          <w:u w:val="single"/>
        </w:rPr>
        <w:fldChar w:fldCharType="end"/>
      </w:r>
      <w:r>
        <w:rPr>
          <w:rFonts w:hint="eastAsia" w:ascii="仿宋_GB2312" w:hAnsi="仿宋" w:eastAsia="仿宋_GB2312"/>
          <w:bCs/>
          <w:color w:val="auto"/>
          <w:sz w:val="24"/>
          <w:highlight w:val="none"/>
        </w:rPr>
        <w:t>（北京时间）前</w:t>
      </w:r>
      <w:r>
        <w:rPr>
          <w:rFonts w:hint="eastAsia" w:ascii="仿宋_GB2312" w:hAnsi="仿宋" w:eastAsia="仿宋_GB2312"/>
          <w:color w:val="auto"/>
          <w:sz w:val="24"/>
          <w:highlight w:val="none"/>
        </w:rPr>
        <w:t>递交（上传）投标文件。</w:t>
      </w:r>
    </w:p>
    <w:p w14:paraId="7F60EBD0">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一、项目基本情况</w:t>
      </w:r>
    </w:p>
    <w:p w14:paraId="71328722">
      <w:pPr>
        <w:spacing w:line="360" w:lineRule="auto"/>
        <w:rPr>
          <w:rFonts w:ascii="仿宋_GB2312" w:hAnsi="仿宋" w:eastAsia="仿宋_GB2312"/>
          <w:color w:val="auto"/>
          <w:sz w:val="24"/>
          <w:highlight w:val="none"/>
        </w:rPr>
      </w:pPr>
      <w:r>
        <w:rPr>
          <w:rFonts w:hint="eastAsia" w:ascii="仿宋_GB2312" w:hAnsi="仿宋" w:eastAsia="仿宋_GB2312"/>
          <w:b/>
          <w:color w:val="auto"/>
          <w:sz w:val="24"/>
          <w:highlight w:val="none"/>
        </w:rPr>
        <w:t>项目编号：ZJZD2024001(G)</w:t>
      </w:r>
    </w:p>
    <w:p w14:paraId="34E5A4C6">
      <w:pPr>
        <w:spacing w:line="360" w:lineRule="auto"/>
        <w:rPr>
          <w:rFonts w:ascii="仿宋_GB2312" w:hAnsi="仿宋" w:eastAsia="仿宋_GB2312"/>
          <w:color w:val="auto"/>
          <w:sz w:val="24"/>
          <w:highlight w:val="none"/>
        </w:rPr>
      </w:pPr>
      <w:r>
        <w:rPr>
          <w:rFonts w:ascii="仿宋_GB2312" w:hAnsi="仿宋" w:eastAsia="仿宋_GB2312"/>
          <w:b/>
          <w:color w:val="auto"/>
          <w:sz w:val="24"/>
          <w:highlight w:val="none"/>
        </w:rPr>
        <w:t xml:space="preserve"> 项目名称：</w:t>
      </w:r>
      <w:r>
        <w:rPr>
          <w:rFonts w:hint="eastAsia" w:ascii="仿宋_GB2312" w:hAnsi="仿宋" w:eastAsia="仿宋_GB2312"/>
          <w:b/>
          <w:color w:val="auto"/>
          <w:sz w:val="24"/>
          <w:highlight w:val="none"/>
        </w:rPr>
        <w:t>嘉善县实验幼儿园（兴贤）玩具采购</w:t>
      </w:r>
    </w:p>
    <w:p w14:paraId="5149C207">
      <w:pPr>
        <w:spacing w:line="360" w:lineRule="auto"/>
        <w:rPr>
          <w:rFonts w:ascii="仿宋_GB2312" w:hAnsi="仿宋" w:eastAsia="仿宋_GB2312"/>
          <w:color w:val="auto"/>
          <w:sz w:val="24"/>
          <w:highlight w:val="none"/>
        </w:rPr>
      </w:pPr>
      <w:r>
        <w:rPr>
          <w:rFonts w:ascii="仿宋_GB2312" w:hAnsi="仿宋" w:eastAsia="仿宋_GB2312"/>
          <w:b/>
          <w:color w:val="auto"/>
          <w:sz w:val="24"/>
          <w:highlight w:val="none"/>
        </w:rPr>
        <w:t xml:space="preserve"> 预算金额（元）：</w:t>
      </w:r>
      <w:r>
        <w:rPr>
          <w:rFonts w:hint="eastAsia" w:ascii="仿宋_GB2312" w:hAnsi="仿宋" w:eastAsia="仿宋_GB2312"/>
          <w:b/>
          <w:color w:val="auto"/>
          <w:sz w:val="24"/>
          <w:highlight w:val="none"/>
        </w:rPr>
        <w:t>1054464</w:t>
      </w:r>
    </w:p>
    <w:p w14:paraId="5D73C9AF">
      <w:pPr>
        <w:spacing w:line="360" w:lineRule="auto"/>
        <w:ind w:firstLine="480"/>
        <w:rPr>
          <w:rFonts w:ascii="仿宋_GB2312" w:hAnsi="仿宋" w:eastAsia="仿宋_GB2312"/>
          <w:color w:val="auto"/>
          <w:sz w:val="24"/>
          <w:highlight w:val="none"/>
        </w:rPr>
      </w:pPr>
      <w:r>
        <w:rPr>
          <w:rFonts w:hint="eastAsia" w:ascii="仿宋_GB2312" w:hAnsi="仿宋" w:eastAsia="仿宋_GB2312"/>
          <w:b/>
          <w:color w:val="auto"/>
          <w:sz w:val="24"/>
          <w:highlight w:val="none"/>
        </w:rPr>
        <w:t>最高限价（元）：1054464</w:t>
      </w:r>
    </w:p>
    <w:p w14:paraId="7C317A05">
      <w:pPr>
        <w:pStyle w:val="15"/>
        <w:spacing w:line="360" w:lineRule="auto"/>
        <w:ind w:firstLine="480"/>
        <w:rPr>
          <w:rFonts w:ascii="仿宋_GB2312" w:hAnsi="仿宋" w:eastAsia="仿宋_GB2312"/>
          <w:bCs/>
          <w:snapToGrid/>
          <w:color w:val="auto"/>
          <w:kern w:val="2"/>
          <w:sz w:val="24"/>
          <w:szCs w:val="24"/>
          <w:highlight w:val="none"/>
        </w:rPr>
      </w:pPr>
      <w:r>
        <w:rPr>
          <w:rFonts w:hint="eastAsia" w:ascii="仿宋_GB2312" w:hAnsi="仿宋" w:eastAsia="仿宋_GB2312"/>
          <w:b/>
          <w:color w:val="auto"/>
          <w:sz w:val="24"/>
          <w:highlight w:val="none"/>
        </w:rPr>
        <w:t>采购需求：</w:t>
      </w:r>
      <w:r>
        <w:rPr>
          <w:rFonts w:hint="eastAsia" w:ascii="仿宋_GB2312" w:hAnsi="仿宋" w:eastAsia="仿宋_GB2312"/>
          <w:bCs/>
          <w:snapToGrid/>
          <w:color w:val="auto"/>
          <w:kern w:val="2"/>
          <w:sz w:val="24"/>
          <w:szCs w:val="24"/>
          <w:highlight w:val="none"/>
        </w:rPr>
        <w:t>详见招标文件第二章招标需求。</w:t>
      </w:r>
    </w:p>
    <w:p w14:paraId="0BB2C4EC">
      <w:pPr>
        <w:pStyle w:val="15"/>
        <w:spacing w:line="360" w:lineRule="auto"/>
        <w:ind w:firstLine="480"/>
        <w:rPr>
          <w:rFonts w:ascii="仿宋_GB2312" w:hAnsi="仿宋" w:eastAsia="仿宋_GB2312"/>
          <w:color w:val="auto"/>
          <w:highlight w:val="none"/>
        </w:rPr>
      </w:pPr>
      <w:r>
        <w:rPr>
          <w:rFonts w:hint="eastAsia" w:ascii="仿宋_GB2312" w:hAnsi="仿宋" w:eastAsia="仿宋_GB2312"/>
          <w:b/>
          <w:color w:val="auto"/>
          <w:sz w:val="24"/>
          <w:szCs w:val="18"/>
          <w:highlight w:val="none"/>
        </w:rPr>
        <w:t>合同履约期限</w:t>
      </w:r>
      <w:r>
        <w:rPr>
          <w:rFonts w:hint="eastAsia" w:ascii="仿宋_GB2312" w:hAnsi="仿宋" w:eastAsia="仿宋_GB2312"/>
          <w:b/>
          <w:color w:val="auto"/>
          <w:highlight w:val="none"/>
        </w:rPr>
        <w:t>：</w:t>
      </w:r>
      <w:r>
        <w:rPr>
          <w:rFonts w:hint="eastAsia" w:ascii="仿宋_GB2312" w:hAnsi="仿宋" w:eastAsia="仿宋_GB2312"/>
          <w:bCs/>
          <w:color w:val="auto"/>
          <w:sz w:val="24"/>
          <w:szCs w:val="18"/>
          <w:highlight w:val="none"/>
        </w:rPr>
        <w:t>合同签订后待采购人发出供货通知单起20日历天内送货到采购人指定地点并完成安装调试工作且经采购人或采购人委托的第三方验收单位验收合格</w:t>
      </w:r>
      <w:r>
        <w:rPr>
          <w:rFonts w:hint="eastAsia" w:ascii="仿宋_GB2312" w:hAnsi="仿宋" w:eastAsia="仿宋_GB2312"/>
          <w:bCs/>
          <w:snapToGrid/>
          <w:color w:val="auto"/>
          <w:kern w:val="2"/>
          <w:sz w:val="22"/>
          <w:szCs w:val="22"/>
          <w:highlight w:val="none"/>
        </w:rPr>
        <w:t>。</w:t>
      </w:r>
    </w:p>
    <w:p w14:paraId="474B2ADE">
      <w:pPr>
        <w:pStyle w:val="15"/>
        <w:spacing w:line="360" w:lineRule="auto"/>
        <w:ind w:firstLine="480"/>
        <w:rPr>
          <w:rFonts w:ascii="仿宋_GB2312" w:hAnsi="仿宋" w:eastAsia="仿宋_GB2312"/>
          <w:b/>
          <w:color w:val="auto"/>
          <w:sz w:val="24"/>
          <w:highlight w:val="none"/>
        </w:rPr>
      </w:pPr>
      <w:r>
        <w:rPr>
          <w:rFonts w:hint="eastAsia" w:ascii="仿宋_GB2312" w:hAnsi="仿宋" w:eastAsia="仿宋_GB2312"/>
          <w:b/>
          <w:color w:val="auto"/>
          <w:sz w:val="24"/>
          <w:highlight w:val="none"/>
        </w:rPr>
        <w:t>本项目接受联合体投标：</w:t>
      </w:r>
      <w:sdt>
        <w:sdtPr>
          <w:rPr>
            <w:rFonts w:hint="eastAsia" w:ascii="仿宋_GB2312" w:hAnsi="仿宋" w:eastAsia="仿宋_GB2312" w:cs="Arial"/>
            <w:color w:val="auto"/>
            <w:kern w:val="0"/>
            <w:sz w:val="24"/>
            <w:highlight w:val="none"/>
          </w:rPr>
          <w:id w:val="203545383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b/>
          <w:color w:val="auto"/>
          <w:sz w:val="24"/>
          <w:highlight w:val="none"/>
        </w:rPr>
        <w:t>是，</w:t>
      </w:r>
      <w:sdt>
        <w:sdtPr>
          <w:rPr>
            <w:rFonts w:hint="eastAsia" w:ascii="仿宋_GB2312" w:hAnsi="仿宋" w:eastAsia="仿宋_GB2312" w:cs="Arial"/>
            <w:color w:val="auto"/>
            <w:kern w:val="0"/>
            <w:sz w:val="24"/>
            <w:highlight w:val="none"/>
          </w:rPr>
          <w:id w:val="-1765526721"/>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w:t>
          </w:r>
        </w:sdtContent>
      </w:sdt>
      <w:r>
        <w:rPr>
          <w:rFonts w:hint="eastAsia" w:ascii="仿宋_GB2312" w:hAnsi="仿宋" w:eastAsia="仿宋_GB2312"/>
          <w:b/>
          <w:color w:val="auto"/>
          <w:sz w:val="24"/>
          <w:highlight w:val="none"/>
        </w:rPr>
        <w:t>否</w:t>
      </w:r>
      <w:r>
        <w:rPr>
          <w:rFonts w:hint="eastAsia" w:cs="Arial" w:asciiTheme="minorEastAsia" w:hAnsiTheme="minorEastAsia" w:eastAsiaTheme="minorEastAsia"/>
          <w:color w:val="auto"/>
          <w:kern w:val="0"/>
          <w:sz w:val="24"/>
          <w:highlight w:val="none"/>
        </w:rPr>
        <w:t>。</w:t>
      </w:r>
    </w:p>
    <w:p w14:paraId="08453CCC">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二、申请人的资格要求：</w:t>
      </w:r>
    </w:p>
    <w:p w14:paraId="34A8A0D9">
      <w:pPr>
        <w:spacing w:line="360" w:lineRule="auto"/>
        <w:ind w:firstLine="480"/>
        <w:rPr>
          <w:rFonts w:ascii="仿宋" w:hAnsi="仿宋" w:eastAsia="仿宋" w:cs="仿宋_GB2312"/>
          <w:snapToGrid w:val="0"/>
          <w:color w:val="auto"/>
          <w:kern w:val="28"/>
          <w:sz w:val="24"/>
          <w:szCs w:val="20"/>
          <w:highlight w:val="none"/>
        </w:rPr>
      </w:pPr>
      <w:r>
        <w:rPr>
          <w:rFonts w:ascii="仿宋" w:hAnsi="仿宋" w:eastAsia="仿宋" w:cs="仿宋_GB2312"/>
          <w:snapToGrid w:val="0"/>
          <w:color w:val="auto"/>
          <w:kern w:val="28"/>
          <w:sz w:val="24"/>
          <w:szCs w:val="20"/>
          <w:highlight w:val="none"/>
        </w:rPr>
        <w:t>1.</w:t>
      </w:r>
      <w:r>
        <w:rPr>
          <w:rFonts w:hint="eastAsia" w:ascii="仿宋" w:hAnsi="仿宋" w:eastAsia="仿宋" w:cs="仿宋_GB2312"/>
          <w:snapToGrid w:val="0"/>
          <w:color w:val="auto"/>
          <w:kern w:val="28"/>
          <w:sz w:val="24"/>
          <w:szCs w:val="20"/>
          <w:highlight w:val="none"/>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14:paraId="3A35F8AF">
      <w:pPr>
        <w:spacing w:line="360" w:lineRule="auto"/>
        <w:rPr>
          <w:rFonts w:ascii="仿宋" w:hAnsi="仿宋" w:eastAsia="仿宋" w:cs="仿宋_GB2312"/>
          <w:snapToGrid w:val="0"/>
          <w:color w:val="auto"/>
          <w:kern w:val="28"/>
          <w:sz w:val="24"/>
          <w:szCs w:val="20"/>
          <w:highlight w:val="none"/>
        </w:rPr>
      </w:pPr>
      <w:r>
        <w:rPr>
          <w:rFonts w:ascii="仿宋" w:hAnsi="仿宋" w:eastAsia="仿宋" w:cs="仿宋_GB2312"/>
          <w:snapToGrid w:val="0"/>
          <w:color w:val="auto"/>
          <w:kern w:val="28"/>
          <w:sz w:val="24"/>
          <w:szCs w:val="20"/>
          <w:highlight w:val="none"/>
        </w:rPr>
        <w:t xml:space="preserve">    2.</w:t>
      </w:r>
      <w:r>
        <w:rPr>
          <w:rFonts w:hint="eastAsia" w:ascii="仿宋" w:hAnsi="仿宋" w:eastAsia="仿宋" w:cs="仿宋_GB2312"/>
          <w:snapToGrid w:val="0"/>
          <w:color w:val="auto"/>
          <w:kern w:val="28"/>
          <w:sz w:val="24"/>
          <w:szCs w:val="20"/>
          <w:highlight w:val="none"/>
        </w:rPr>
        <w:t>落实政府采购政策需满足的资格要求：</w:t>
      </w:r>
    </w:p>
    <w:p w14:paraId="7CC842BC">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92861692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无；</w:t>
      </w:r>
    </w:p>
    <w:p w14:paraId="035C909E">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24704304"/>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w:t>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0EAB971D">
      <w:pPr>
        <w:spacing w:line="360" w:lineRule="auto"/>
        <w:ind w:firstLine="897" w:firstLineChars="374"/>
        <w:rPr>
          <w:rFonts w:ascii="仿宋_GB2312" w:hAnsi="仿宋" w:eastAsia="仿宋_GB2312"/>
          <w:color w:val="auto"/>
          <w:sz w:val="24"/>
          <w:highlight w:val="none"/>
          <w:u w:val="single"/>
        </w:rPr>
      </w:pPr>
      <w:sdt>
        <w:sdtPr>
          <w:rPr>
            <w:rFonts w:hint="eastAsia" w:ascii="仿宋_GB2312" w:hAnsi="仿宋" w:eastAsia="仿宋_GB2312" w:cs="Arial"/>
            <w:color w:val="auto"/>
            <w:kern w:val="0"/>
            <w:sz w:val="24"/>
            <w:highlight w:val="none"/>
          </w:rPr>
          <w:id w:val="-924730588"/>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w:t>
          </w:r>
        </w:sdtContent>
      </w:sdt>
      <w:r>
        <w:rPr>
          <w:rFonts w:hint="eastAsia" w:ascii="仿宋_GB2312" w:hAnsi="仿宋" w:eastAsia="仿宋_GB2312"/>
          <w:color w:val="auto"/>
          <w:sz w:val="24"/>
          <w:highlight w:val="none"/>
        </w:rPr>
        <w:t>货物全部由符合政策要求的中小企业制造，提供中小企业声明函；</w:t>
      </w:r>
    </w:p>
    <w:p w14:paraId="133B31A3">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52604937"/>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货物全部由符合政策要求的小微企业制造，提供中小企业声明函；</w:t>
      </w:r>
    </w:p>
    <w:p w14:paraId="02D2DDB3">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33685401"/>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服务全部由符合政策要求的中小企业承接，提供中小企业声明函；</w:t>
      </w:r>
    </w:p>
    <w:p w14:paraId="43672508">
      <w:pPr>
        <w:spacing w:line="360" w:lineRule="auto"/>
        <w:ind w:firstLine="897" w:firstLineChars="374"/>
        <w:rPr>
          <w:color w:val="auto"/>
          <w:highlight w:val="none"/>
        </w:rPr>
      </w:pPr>
      <w:sdt>
        <w:sdtPr>
          <w:rPr>
            <w:rFonts w:hint="eastAsia" w:ascii="仿宋_GB2312" w:hAnsi="仿宋" w:eastAsia="仿宋_GB2312" w:cs="Arial"/>
            <w:color w:val="auto"/>
            <w:kern w:val="0"/>
            <w:sz w:val="24"/>
            <w:highlight w:val="none"/>
          </w:rPr>
          <w:id w:val="-2141025358"/>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服务全部由符合政策要求的小微企业承接，提供中小企业声明函；</w:t>
      </w:r>
    </w:p>
    <w:p w14:paraId="1B6CD745">
      <w:pPr>
        <w:spacing w:line="360" w:lineRule="auto"/>
        <w:ind w:firstLine="480" w:firstLineChars="200"/>
        <w:rPr>
          <w:rFonts w:ascii="仿宋" w:hAnsi="仿宋" w:eastAsia="仿宋"/>
          <w:color w:val="auto"/>
          <w:sz w:val="24"/>
          <w:highlight w:val="none"/>
        </w:rPr>
      </w:pPr>
      <w:sdt>
        <w:sdtPr>
          <w:rPr>
            <w:rFonts w:hint="eastAsia" w:ascii="仿宋_GB2312" w:hAnsi="仿宋" w:eastAsia="仿宋_GB2312" w:cs="Arial"/>
            <w:color w:val="auto"/>
            <w:kern w:val="0"/>
            <w:sz w:val="24"/>
            <w:highlight w:val="none"/>
          </w:rPr>
          <w:id w:val="-1985607795"/>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微企业合同金额应当达到</w:t>
      </w:r>
      <w:r>
        <w:rPr>
          <w:rFonts w:ascii="仿宋_GB2312" w:hAnsi="仿宋" w:eastAsia="仿宋_GB2312"/>
          <w:color w:val="auto"/>
          <w:sz w:val="24"/>
          <w:highlight w:val="none"/>
        </w:rPr>
        <w:t>%;</w:t>
      </w:r>
      <w:r>
        <w:rPr>
          <w:rFonts w:hint="eastAsia" w:ascii="仿宋" w:hAnsi="仿宋" w:eastAsia="仿宋"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olor w:val="auto"/>
          <w:sz w:val="24"/>
          <w:highlight w:val="none"/>
        </w:rPr>
        <w:t>；</w:t>
      </w:r>
    </w:p>
    <w:p w14:paraId="0C94F128">
      <w:pPr>
        <w:spacing w:line="360" w:lineRule="auto"/>
        <w:ind w:firstLine="480" w:firstLineChars="200"/>
        <w:rPr>
          <w:rFonts w:ascii="仿宋" w:hAnsi="仿宋" w:eastAsia="仿宋"/>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 w:hAnsi="仿宋" w:eastAsia="仿宋"/>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rPr>
        <w:t>达到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，小微企业合同金额应当达到</w:t>
      </w:r>
      <w:r>
        <w:rPr>
          <w:rFonts w:ascii="仿宋_GB2312" w:hAnsi="仿宋" w:eastAsia="仿宋_GB2312"/>
          <w:color w:val="auto"/>
          <w:sz w:val="24"/>
          <w:highlight w:val="none"/>
        </w:rPr>
        <w:t>% ;</w:t>
      </w:r>
      <w:r>
        <w:rPr>
          <w:rFonts w:hint="eastAsia" w:ascii="仿宋" w:hAnsi="仿宋" w:eastAsia="仿宋"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olor w:val="auto"/>
          <w:sz w:val="24"/>
          <w:highlight w:val="none"/>
        </w:rPr>
        <w:t>；</w:t>
      </w:r>
    </w:p>
    <w:p w14:paraId="4E5F5A26">
      <w:pPr>
        <w:snapToGrid w:val="0"/>
        <w:spacing w:line="360" w:lineRule="auto"/>
        <w:ind w:firstLine="512" w:firstLineChars="200"/>
        <w:rPr>
          <w:rFonts w:ascii="仿宋_GB2312" w:hAnsi="仿宋" w:eastAsia="仿宋_GB2312" w:cs="仿宋_GB2312"/>
          <w:color w:val="auto"/>
          <w:sz w:val="24"/>
          <w:highlight w:val="none"/>
        </w:rPr>
      </w:pPr>
      <w:r>
        <w:rPr>
          <w:rFonts w:hint="eastAsia" w:ascii="仿宋" w:hAnsi="仿宋" w:eastAsia="仿宋" w:cs="宋体"/>
          <w:color w:val="auto"/>
          <w:spacing w:val="8"/>
          <w:kern w:val="0"/>
          <w:sz w:val="24"/>
          <w:highlight w:val="none"/>
        </w:rPr>
        <w:t>3.本项目的特定资格要求：无；</w:t>
      </w:r>
    </w:p>
    <w:p w14:paraId="3ABF6DFB">
      <w:pPr>
        <w:spacing w:line="360" w:lineRule="auto"/>
        <w:ind w:firstLine="512" w:firstLineChars="200"/>
        <w:rPr>
          <w:rFonts w:ascii="仿宋" w:hAnsi="仿宋" w:eastAsia="仿宋" w:cs="宋体"/>
          <w:color w:val="auto"/>
          <w:spacing w:val="8"/>
          <w:kern w:val="0"/>
          <w:sz w:val="24"/>
          <w:highlight w:val="none"/>
        </w:rPr>
      </w:pPr>
      <w:r>
        <w:rPr>
          <w:rFonts w:hint="eastAsia" w:ascii="仿宋" w:hAnsi="仿宋" w:eastAsia="仿宋" w:cs="宋体"/>
          <w:color w:val="auto"/>
          <w:spacing w:val="8"/>
          <w:kern w:val="0"/>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3547A5">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三、获取招标文件</w:t>
      </w:r>
    </w:p>
    <w:p w14:paraId="5342560E">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时间：</w:t>
      </w:r>
      <w:r>
        <w:rPr>
          <w:rFonts w:ascii="仿宋_GB2312" w:hAnsi="仿宋" w:eastAsia="仿宋_GB2312"/>
          <w:color w:val="auto"/>
          <w:sz w:val="24"/>
          <w:highlight w:val="none"/>
        </w:rPr>
        <w:t>/至</w:t>
      </w:r>
      <w:r>
        <w:rPr>
          <w:rFonts w:hint="eastAsia" w:ascii="仿宋_GB2312" w:hAnsi="仿宋" w:eastAsia="仿宋_GB2312"/>
          <w:color w:val="auto"/>
          <w:sz w:val="24"/>
          <w:highlight w:val="none"/>
          <w:u w:val="single"/>
        </w:rPr>
        <w:t>2024年</w:t>
      </w:r>
      <w:r>
        <w:rPr>
          <w:rFonts w:hint="eastAsia" w:ascii="仿宋_GB2312" w:hAnsi="仿宋" w:eastAsia="仿宋_GB2312"/>
          <w:color w:val="auto"/>
          <w:sz w:val="24"/>
          <w:highlight w:val="none"/>
          <w:u w:val="single"/>
          <w:lang w:eastAsia="zh-CN"/>
        </w:rPr>
        <w:t>8月14日</w:t>
      </w:r>
      <w:r>
        <w:rPr>
          <w:rFonts w:hint="eastAsia" w:ascii="仿宋_GB2312" w:hAnsi="仿宋" w:eastAsia="仿宋_GB2312"/>
          <w:color w:val="auto"/>
          <w:sz w:val="24"/>
          <w:highlight w:val="none"/>
        </w:rPr>
        <w:t>，每天上午</w:t>
      </w:r>
      <w:r>
        <w:rPr>
          <w:rFonts w:ascii="仿宋_GB2312" w:hAnsi="仿宋" w:eastAsia="仿宋_GB2312"/>
          <w:color w:val="auto"/>
          <w:sz w:val="24"/>
          <w:highlight w:val="none"/>
        </w:rPr>
        <w:t xml:space="preserve">00:00至12:00 </w:t>
      </w:r>
      <w:r>
        <w:rPr>
          <w:rFonts w:hint="eastAsia" w:ascii="仿宋_GB2312" w:hAnsi="仿宋" w:eastAsia="仿宋_GB2312"/>
          <w:color w:val="auto"/>
          <w:sz w:val="24"/>
          <w:highlight w:val="none"/>
        </w:rPr>
        <w:t>，下午</w:t>
      </w:r>
      <w:r>
        <w:rPr>
          <w:rFonts w:ascii="仿宋_GB2312" w:hAnsi="仿宋" w:eastAsia="仿宋_GB2312"/>
          <w:color w:val="auto"/>
          <w:sz w:val="24"/>
          <w:highlight w:val="none"/>
        </w:rPr>
        <w:t>12:00至23:59（北京时间，线上获取法定节假日均可，线下获取文件法定节假日除外）</w:t>
      </w:r>
    </w:p>
    <w:p w14:paraId="7E33CCC5">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地点（网址）：</w:t>
      </w:r>
      <w:r>
        <w:rPr>
          <w:rFonts w:hint="eastAsia" w:ascii="仿宋_GB2312" w:hAnsi="仿宋" w:eastAsia="仿宋_GB2312"/>
          <w:color w:val="auto"/>
          <w:sz w:val="24"/>
          <w:highlight w:val="none"/>
        </w:rPr>
        <w:t>政采云平台（</w:t>
      </w:r>
      <w:r>
        <w:rPr>
          <w:rFonts w:ascii="仿宋_GB2312" w:hAnsi="仿宋" w:eastAsia="仿宋_GB2312"/>
          <w:color w:val="auto"/>
          <w:sz w:val="24"/>
          <w:highlight w:val="none"/>
        </w:rPr>
        <w:t xml:space="preserve">https://www.zcygov.cn/） </w:t>
      </w:r>
    </w:p>
    <w:p w14:paraId="611A325D">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方式：</w:t>
      </w:r>
      <w:r>
        <w:rPr>
          <w:rFonts w:hint="eastAsia" w:ascii="仿宋_GB2312" w:hAnsi="仿宋" w:eastAsia="仿宋_GB2312"/>
          <w:color w:val="auto"/>
          <w:sz w:val="24"/>
          <w:highlight w:val="none"/>
        </w:rPr>
        <w:t>供应商登录政采云平台</w:t>
      </w:r>
      <w:r>
        <w:rPr>
          <w:rFonts w:ascii="仿宋_GB2312" w:hAnsi="仿宋" w:eastAsia="仿宋_GB2312"/>
          <w:color w:val="auto"/>
          <w:sz w:val="24"/>
          <w:highlight w:val="none"/>
        </w:rPr>
        <w:t xml:space="preserve">https://www.zcygov.cn/在线申请获取采购文件（进入“项目采购”应用，在获取采购文件菜单中选择项目，申请获取采购文件）。 </w:t>
      </w:r>
    </w:p>
    <w:p w14:paraId="320C7F7D">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售价（元）：</w:t>
      </w:r>
      <w:r>
        <w:rPr>
          <w:rFonts w:ascii="仿宋_GB2312" w:hAnsi="仿宋" w:eastAsia="仿宋_GB2312"/>
          <w:color w:val="auto"/>
          <w:sz w:val="24"/>
          <w:highlight w:val="none"/>
        </w:rPr>
        <w:t xml:space="preserve">0 </w:t>
      </w:r>
      <w:r>
        <w:rPr>
          <w:rFonts w:ascii="仿宋_GB2312" w:hAnsi="仿宋" w:eastAsia="仿宋_GB2312"/>
          <w:color w:val="auto"/>
          <w:sz w:val="24"/>
          <w:highlight w:val="none"/>
        </w:rPr>
        <w:tab/>
      </w:r>
    </w:p>
    <w:p w14:paraId="07A211F1">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四、提交投标文件截止时间、开标时间和地点</w:t>
      </w:r>
    </w:p>
    <w:p w14:paraId="35B10E97">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提交投标文件截止时间：</w:t>
      </w:r>
      <w:r>
        <w:rPr>
          <w:rFonts w:hint="eastAsia" w:ascii="仿宋_GB2312" w:hAnsi="仿宋" w:eastAsia="仿宋_GB2312"/>
          <w:color w:val="auto"/>
          <w:sz w:val="24"/>
          <w:highlight w:val="none"/>
          <w:u w:val="single"/>
        </w:rPr>
        <w:t>2024年</w:t>
      </w:r>
      <w:r>
        <w:rPr>
          <w:rFonts w:hint="eastAsia" w:ascii="仿宋_GB2312" w:hAnsi="仿宋" w:eastAsia="仿宋_GB2312"/>
          <w:color w:val="auto"/>
          <w:sz w:val="24"/>
          <w:highlight w:val="none"/>
          <w:u w:val="single"/>
          <w:lang w:eastAsia="zh-CN"/>
        </w:rPr>
        <w:t>8月14日</w:t>
      </w:r>
      <w:r>
        <w:rPr>
          <w:rFonts w:hint="eastAsia" w:ascii="仿宋_GB2312" w:hAnsi="仿宋" w:eastAsia="仿宋_GB2312"/>
          <w:color w:val="auto"/>
          <w:sz w:val="24"/>
          <w:highlight w:val="none"/>
          <w:u w:val="single"/>
        </w:rPr>
        <w:t>9点30分</w:t>
      </w:r>
      <w:r>
        <w:rPr>
          <w:rFonts w:hint="eastAsia" w:ascii="仿宋_GB2312" w:hAnsi="仿宋" w:eastAsia="仿宋_GB2312"/>
          <w:color w:val="auto"/>
          <w:sz w:val="24"/>
          <w:highlight w:val="none"/>
        </w:rPr>
        <w:t>（北京时间）</w:t>
      </w:r>
    </w:p>
    <w:p w14:paraId="582968CB">
      <w:pPr>
        <w:spacing w:line="360" w:lineRule="auto"/>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投标地点（网址）：</w:t>
      </w:r>
      <w:r>
        <w:rPr>
          <w:rFonts w:hint="eastAsia" w:ascii="仿宋_GB2312" w:hAnsi="仿宋" w:eastAsia="仿宋_GB2312"/>
          <w:color w:val="auto"/>
          <w:sz w:val="24"/>
          <w:highlight w:val="none"/>
        </w:rPr>
        <w:t>政采云平台（</w:t>
      </w:r>
      <w:r>
        <w:rPr>
          <w:rFonts w:ascii="仿宋_GB2312" w:hAnsi="仿宋" w:eastAsia="仿宋_GB2312"/>
          <w:color w:val="auto"/>
          <w:sz w:val="24"/>
          <w:highlight w:val="none"/>
        </w:rPr>
        <w:t xml:space="preserve">https://www.zcygov.cn/） </w:t>
      </w:r>
    </w:p>
    <w:p w14:paraId="0A44ECB2">
      <w:pPr>
        <w:spacing w:line="360" w:lineRule="auto"/>
        <w:ind w:firstLine="482" w:firstLineChars="200"/>
        <w:rPr>
          <w:rFonts w:ascii="仿宋_GB2312" w:hAnsi="仿宋" w:eastAsia="仿宋_GB2312"/>
          <w:bCs/>
          <w:color w:val="auto"/>
          <w:sz w:val="24"/>
          <w:highlight w:val="none"/>
          <w:u w:val="single"/>
        </w:rPr>
      </w:pPr>
      <w:r>
        <w:rPr>
          <w:rFonts w:hint="eastAsia" w:ascii="仿宋_GB2312" w:hAnsi="仿宋" w:eastAsia="仿宋_GB2312"/>
          <w:b/>
          <w:color w:val="auto"/>
          <w:sz w:val="24"/>
          <w:highlight w:val="none"/>
        </w:rPr>
        <w:t>开标时间：</w:t>
      </w:r>
      <w:r>
        <w:rPr>
          <w:rFonts w:hint="eastAsia" w:ascii="仿宋_GB2312" w:hAnsi="仿宋" w:eastAsia="仿宋_GB2312"/>
          <w:color w:val="auto"/>
          <w:sz w:val="24"/>
          <w:highlight w:val="none"/>
          <w:u w:val="single"/>
        </w:rPr>
        <w:t>2024年</w:t>
      </w:r>
      <w:r>
        <w:rPr>
          <w:rFonts w:hint="eastAsia" w:ascii="仿宋_GB2312" w:hAnsi="仿宋" w:eastAsia="仿宋_GB2312"/>
          <w:color w:val="auto"/>
          <w:sz w:val="24"/>
          <w:highlight w:val="none"/>
          <w:u w:val="single"/>
          <w:lang w:eastAsia="zh-CN"/>
        </w:rPr>
        <w:t>8月14日</w:t>
      </w:r>
      <w:r>
        <w:rPr>
          <w:rFonts w:hint="eastAsia" w:ascii="仿宋_GB2312" w:hAnsi="仿宋" w:eastAsia="仿宋_GB2312"/>
          <w:color w:val="auto"/>
          <w:sz w:val="24"/>
          <w:highlight w:val="none"/>
          <w:u w:val="single"/>
        </w:rPr>
        <w:t>9点30分</w:t>
      </w:r>
    </w:p>
    <w:p w14:paraId="58938F0C">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开标地点（网址）：</w:t>
      </w:r>
      <w:r>
        <w:rPr>
          <w:rFonts w:ascii="仿宋_GB2312" w:hAnsi="仿宋" w:eastAsia="仿宋_GB2312"/>
          <w:color w:val="auto"/>
          <w:sz w:val="24"/>
          <w:highlight w:val="none"/>
        </w:rPr>
        <w:t>政</w:t>
      </w:r>
      <w:r>
        <w:rPr>
          <w:rFonts w:hint="eastAsia" w:ascii="仿宋_GB2312" w:hAnsi="仿宋" w:eastAsia="仿宋_GB2312"/>
          <w:color w:val="auto"/>
          <w:sz w:val="24"/>
          <w:highlight w:val="none"/>
        </w:rPr>
        <w:t>采云平台（</w:t>
      </w:r>
      <w:r>
        <w:rPr>
          <w:rFonts w:ascii="仿宋_GB2312" w:hAnsi="仿宋" w:eastAsia="仿宋_GB2312"/>
          <w:color w:val="auto"/>
          <w:sz w:val="24"/>
          <w:highlight w:val="none"/>
        </w:rPr>
        <w:t>https://www.zcygov.cn/）</w:t>
      </w:r>
    </w:p>
    <w:p w14:paraId="73D8041A">
      <w:pPr>
        <w:spacing w:line="360" w:lineRule="auto"/>
        <w:rPr>
          <w:rFonts w:ascii="仿宋_GB2312" w:hAnsi="仿宋" w:eastAsia="仿宋_GB2312"/>
          <w:color w:val="auto"/>
          <w:sz w:val="24"/>
          <w:highlight w:val="none"/>
        </w:rPr>
      </w:pPr>
      <w:r>
        <w:rPr>
          <w:rFonts w:hint="eastAsia" w:ascii="仿宋_GB2312" w:hAnsi="仿宋" w:eastAsia="仿宋_GB2312"/>
          <w:b/>
          <w:color w:val="auto"/>
          <w:sz w:val="24"/>
          <w:highlight w:val="none"/>
        </w:rPr>
        <w:t>五、公告期限</w:t>
      </w:r>
    </w:p>
    <w:p w14:paraId="0F0E2CB6">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自本公告发布之日起</w:t>
      </w:r>
      <w:r>
        <w:rPr>
          <w:rFonts w:ascii="仿宋_GB2312" w:hAnsi="仿宋" w:eastAsia="仿宋_GB2312"/>
          <w:color w:val="auto"/>
          <w:sz w:val="24"/>
          <w:highlight w:val="none"/>
        </w:rPr>
        <w:t>5个工作日。</w:t>
      </w:r>
    </w:p>
    <w:p w14:paraId="1FB2AAB6">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六、其他补充事宜</w:t>
      </w:r>
    </w:p>
    <w:p w14:paraId="6029BD86">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43DACA8A">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    </w:t>
      </w:r>
    </w:p>
    <w:p w14:paraId="16648A46">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D9B4BA2">
      <w:pPr>
        <w:spacing w:line="360" w:lineRule="auto"/>
        <w:ind w:firstLine="480" w:firstLineChars="200"/>
        <w:rPr>
          <w:rFonts w:ascii="仿宋" w:hAnsi="仿宋" w:eastAsia="仿宋" w:cs="仿宋_GB2312"/>
          <w:color w:val="auto"/>
          <w:sz w:val="24"/>
          <w:highlight w:val="none"/>
        </w:rPr>
      </w:pPr>
      <w:r>
        <w:rPr>
          <w:rFonts w:hint="eastAsia" w:ascii="仿宋_GB2312" w:hAnsi="仿宋" w:eastAsia="仿宋_GB2312"/>
          <w:color w:val="auto"/>
          <w:sz w:val="24"/>
          <w:highlight w:val="none"/>
        </w:rPr>
        <w:t>4.其他事项：</w:t>
      </w:r>
      <w:r>
        <w:rPr>
          <w:rFonts w:hint="eastAsia" w:ascii="仿宋_GB2312" w:hAnsi="仿宋" w:eastAsia="仿宋_GB2312" w:cs="仿宋_GB2312"/>
          <w:color w:val="auto"/>
          <w:sz w:val="24"/>
          <w:highlight w:val="none"/>
        </w:rPr>
        <w:t>①</w:t>
      </w:r>
      <w:r>
        <w:rPr>
          <w:rFonts w:ascii="仿宋_GB2312" w:hAnsi="仿宋" w:eastAsia="仿宋_GB2312" w:cs="仿宋_GB2312"/>
          <w:color w:val="auto"/>
          <w:sz w:val="24"/>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sz w:val="24"/>
          <w:highlight w:val="none"/>
        </w:rPr>
        <w:t>；②</w:t>
      </w:r>
      <w:r>
        <w:rPr>
          <w:rFonts w:ascii="仿宋_GB2312" w:hAnsi="仿宋" w:eastAsia="仿宋_GB2312" w:cs="仿宋_GB2312"/>
          <w:color w:val="auto"/>
          <w:sz w:val="24"/>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sz w:val="24"/>
          <w:highlight w:val="none"/>
        </w:rPr>
        <w:t>采云电子交易客户端”</w:t>
      </w:r>
      <w:r>
        <w:rPr>
          <w:rFonts w:ascii="仿宋_GB2312" w:hAnsi="仿宋" w:eastAsia="仿宋_GB2312" w:cs="仿宋_GB2312"/>
          <w:color w:val="auto"/>
          <w:sz w:val="24"/>
          <w:highlight w:val="none"/>
        </w:rPr>
        <w:t>----前往“浙江政府采购网-下载专区-电子交易客户端”进行下载并安装</w:t>
      </w:r>
      <w:r>
        <w:rPr>
          <w:rFonts w:hint="eastAsia" w:ascii="仿宋_GB2312" w:hAnsi="仿宋" w:eastAsia="仿宋_GB2312" w:cs="仿宋_GB2312"/>
          <w:color w:val="auto"/>
          <w:sz w:val="24"/>
          <w:highlight w:val="none"/>
        </w:rPr>
        <w:t>；③</w:t>
      </w:r>
      <w:r>
        <w:rPr>
          <w:rFonts w:ascii="仿宋_GB2312" w:hAnsi="仿宋" w:eastAsia="仿宋_GB2312" w:cs="仿宋_GB2312"/>
          <w:color w:val="auto"/>
          <w:sz w:val="24"/>
          <w:highlight w:val="none"/>
        </w:rPr>
        <w:t>招标文件的获取：使用账号登录或者使用CA登录政</w:t>
      </w:r>
      <w:r>
        <w:rPr>
          <w:rFonts w:hint="eastAsia" w:ascii="仿宋_GB2312" w:hAnsi="仿宋" w:eastAsia="仿宋_GB2312" w:cs="仿宋_GB2312"/>
          <w:color w:val="auto"/>
          <w:sz w:val="24"/>
          <w:highlight w:val="none"/>
        </w:rPr>
        <w:t>采云平台；进入“项目采购”应用，在获取采购文件菜单中选择项目，获取招标文件；④</w:t>
      </w:r>
      <w:r>
        <w:rPr>
          <w:rFonts w:ascii="仿宋_GB2312" w:hAnsi="仿宋" w:eastAsia="仿宋_GB2312" w:cs="仿宋_GB2312"/>
          <w:color w:val="auto"/>
          <w:sz w:val="24"/>
          <w:highlight w:val="none"/>
        </w:rPr>
        <w:t>投标文件的制作：在“政</w:t>
      </w:r>
      <w:r>
        <w:rPr>
          <w:rFonts w:hint="eastAsia" w:ascii="仿宋_GB2312" w:hAnsi="仿宋" w:eastAsia="仿宋_GB2312" w:cs="仿宋_GB2312"/>
          <w:color w:val="auto"/>
          <w:sz w:val="24"/>
          <w:highlight w:val="none"/>
        </w:rPr>
        <w:t>采云电子交易客户端”中完成“填写基本信息”、“导入投标文件”、“标书关联”、“标书检查”、“电子签名”、“生成电子标书”等操作；</w:t>
      </w:r>
      <w:r>
        <w:rPr>
          <w:rFonts w:hint="eastAsia" w:ascii="仿宋_GB2312" w:hAnsi="仿宋" w:eastAsia="仿宋_GB2312"/>
          <w:color w:val="auto"/>
          <w:sz w:val="24"/>
          <w:highlight w:val="none"/>
        </w:rPr>
        <w:t>⑤</w:t>
      </w:r>
      <w:r>
        <w:rPr>
          <w:rFonts w:ascii="仿宋_GB2312" w:hAnsi="仿宋" w:eastAsia="仿宋_GB2312"/>
          <w:color w:val="auto"/>
          <w:sz w:val="24"/>
          <w:highlight w:val="none"/>
        </w:rPr>
        <w:t>采购人、采购机构将依托政</w:t>
      </w:r>
      <w:r>
        <w:rPr>
          <w:rFonts w:hint="eastAsia" w:ascii="仿宋_GB2312" w:hAnsi="仿宋" w:eastAsia="仿宋_GB2312"/>
          <w:color w:val="auto"/>
          <w:sz w:val="24"/>
          <w:highlight w:val="none"/>
        </w:rPr>
        <w:t>采云平台完成本项目的电子交易活动，平台不接受未按上述方式获取招标文件的供应商进行投标活动；⑥</w:t>
      </w:r>
      <w:r>
        <w:rPr>
          <w:rFonts w:ascii="仿宋_GB2312" w:hAnsi="仿宋" w:eastAsia="仿宋_GB2312"/>
          <w:color w:val="auto"/>
          <w:sz w:val="24"/>
          <w:highlight w:val="none"/>
        </w:rPr>
        <w:t>对未按上述方式获取招标文件的供应商对该文件提出的质疑，采购人或采购代理机构将</w:t>
      </w:r>
      <w:r>
        <w:rPr>
          <w:rFonts w:hint="eastAsia" w:ascii="仿宋_GB2312" w:hAnsi="仿宋" w:eastAsia="仿宋_GB2312"/>
          <w:color w:val="auto"/>
          <w:sz w:val="24"/>
          <w:highlight w:val="none"/>
        </w:rPr>
        <w:t>不予处理；⑦</w:t>
      </w:r>
      <w:r>
        <w:rPr>
          <w:rFonts w:ascii="仿宋_GB2312" w:hAnsi="仿宋" w:eastAsia="仿宋_GB2312"/>
          <w:color w:val="auto"/>
          <w:sz w:val="24"/>
          <w:highlight w:val="none"/>
        </w:rPr>
        <w:t>不提供招标文件纸质版</w:t>
      </w:r>
      <w:r>
        <w:rPr>
          <w:rFonts w:hint="eastAsia" w:ascii="仿宋_GB2312" w:hAnsi="仿宋" w:eastAsia="仿宋_GB2312"/>
          <w:color w:val="auto"/>
          <w:sz w:val="24"/>
          <w:highlight w:val="none"/>
        </w:rPr>
        <w:t>；</w:t>
      </w:r>
      <w:r>
        <w:rPr>
          <w:rFonts w:hint="eastAsia" w:ascii="仿宋_GB2312" w:hAnsi="仿宋" w:eastAsia="仿宋_GB2312" w:cs="仿宋_GB2312"/>
          <w:color w:val="auto"/>
          <w:sz w:val="24"/>
          <w:highlight w:val="none"/>
        </w:rPr>
        <w:t>⑧</w:t>
      </w:r>
      <w:r>
        <w:rPr>
          <w:rFonts w:ascii="仿宋_GB2312" w:hAnsi="仿宋" w:eastAsia="仿宋_GB2312" w:cs="仿宋_GB2312"/>
          <w:color w:val="auto"/>
          <w:sz w:val="24"/>
          <w:highlight w:val="none"/>
        </w:rPr>
        <w:t>投标文件的传输递交：投标人在投标截止时间前将加密的投标文件上传至政府采购云平台，还可以在投标截止时间前直接提交或者以邮政快递方式递交备份投标文件1份</w:t>
      </w:r>
      <w:r>
        <w:rPr>
          <w:rFonts w:hint="eastAsia" w:ascii="仿宋_GB2312" w:hAnsi="仿宋" w:eastAsia="仿宋_GB2312" w:cs="仿宋_GB2312"/>
          <w:color w:val="auto"/>
          <w:sz w:val="24"/>
          <w:highlight w:val="none"/>
        </w:rPr>
        <w:t>【地址：</w:t>
      </w:r>
      <w:r>
        <w:rPr>
          <w:rFonts w:hint="eastAsia" w:ascii="仿宋_GB2312" w:hAnsi="仿宋" w:eastAsia="仿宋_GB2312"/>
          <w:color w:val="auto"/>
          <w:sz w:val="24"/>
          <w:highlight w:val="none"/>
        </w:rPr>
        <w:t>嘉善县晋阳东路457号4楼浙江正大工程管理咨询有限公司</w:t>
      </w:r>
      <w:r>
        <w:rPr>
          <w:rFonts w:hint="eastAsia" w:ascii="仿宋_GB2312" w:hAnsi="仿宋" w:eastAsia="仿宋_GB2312" w:cs="仿宋_GB2312"/>
          <w:color w:val="auto"/>
          <w:sz w:val="24"/>
          <w:highlight w:val="none"/>
        </w:rPr>
        <w:t>；收件人：吴女士；电话：0573-84027198；快递寄出同时，项目被授权代表须以邮件方式将快递单号、项目名称、公司名称、被授权代表姓名及联系方式等内容（邮件格式为：项目编号+快递单号+公司名称+被授权代表姓名及联系方式）发送至采购代理机构联系人邮箱(850457958@qq.com)。如供应商选择快递费到付，采购代理机构将拒签。】</w:t>
      </w:r>
      <w:r>
        <w:rPr>
          <w:rFonts w:ascii="仿宋_GB2312" w:hAnsi="仿宋" w:eastAsia="仿宋_GB2312" w:cs="仿宋_GB2312"/>
          <w:color w:val="auto"/>
          <w:sz w:val="24"/>
          <w:highlight w:val="none"/>
        </w:rPr>
        <w:t>备份投标文件的制作、存储、密封详见招标文件第</w:t>
      </w:r>
      <w:r>
        <w:rPr>
          <w:rFonts w:hint="eastAsia" w:ascii="仿宋_GB2312" w:hAnsi="仿宋" w:eastAsia="仿宋_GB2312" w:cs="仿宋_GB2312"/>
          <w:color w:val="auto"/>
          <w:sz w:val="24"/>
          <w:highlight w:val="none"/>
        </w:rPr>
        <w:t>三章</w:t>
      </w:r>
      <w:r>
        <w:rPr>
          <w:rFonts w:ascii="仿宋_GB2312" w:hAnsi="仿宋" w:eastAsia="仿宋_GB2312" w:cs="仿宋_GB2312"/>
          <w:color w:val="auto"/>
          <w:sz w:val="24"/>
          <w:highlight w:val="none"/>
        </w:rPr>
        <w:t>—“备份投标文件”</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⑨</w:t>
      </w:r>
      <w:r>
        <w:rPr>
          <w:rFonts w:hint="eastAsia" w:ascii="仿宋_GB2312" w:hAnsi="仿宋" w:eastAsia="仿宋_GB2312" w:cs="仿宋_GB2312"/>
          <w:color w:val="auto"/>
          <w:sz w:val="24"/>
          <w:highlight w:val="none"/>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_GB2312" w:hAnsi="仿宋" w:eastAsia="仿宋_GB2312" w:cs="仿宋_GB2312"/>
          <w:color w:val="auto"/>
          <w:sz w:val="24"/>
          <w:highlight w:val="none"/>
        </w:rPr>
        <w:t>具体操作指南：详见政</w:t>
      </w:r>
      <w:r>
        <w:rPr>
          <w:rFonts w:hint="eastAsia" w:ascii="仿宋_GB2312" w:hAnsi="仿宋" w:eastAsia="仿宋_GB2312" w:cs="仿宋_GB2312"/>
          <w:color w:val="auto"/>
          <w:sz w:val="24"/>
          <w:highlight w:val="none"/>
        </w:rPr>
        <w:t>采云平台“服务中心</w:t>
      </w:r>
      <w:r>
        <w:rPr>
          <w:rFonts w:ascii="仿宋_GB2312" w:hAnsi="仿宋" w:eastAsia="仿宋_GB2312" w:cs="仿宋_GB2312"/>
          <w:color w:val="auto"/>
          <w:sz w:val="24"/>
          <w:highlight w:val="none"/>
        </w:rPr>
        <w:t>-帮助文档-项目采购-操作流程-电子招投标-政府采购项目电子交易管理操作指南-供应商”。</w:t>
      </w:r>
    </w:p>
    <w:p w14:paraId="6ED18CCF">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七、对本次招标提出询问，请按以下方式联系</w:t>
      </w:r>
    </w:p>
    <w:p w14:paraId="6B037DEB">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1.采购人信息</w:t>
      </w:r>
    </w:p>
    <w:p w14:paraId="5A38DC31">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名    称：</w:t>
      </w:r>
      <w:r>
        <w:rPr>
          <w:rFonts w:hint="eastAsia" w:ascii="仿宋_GB2312" w:hAnsi="仿宋" w:eastAsia="仿宋_GB2312"/>
          <w:color w:val="auto"/>
          <w:sz w:val="24"/>
          <w:highlight w:val="none"/>
        </w:rPr>
        <w:t>嘉善县实验幼儿园</w:t>
      </w:r>
    </w:p>
    <w:p w14:paraId="5D59811F">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地    址：</w:t>
      </w:r>
      <w:r>
        <w:rPr>
          <w:rFonts w:hint="eastAsia" w:ascii="仿宋_GB2312" w:hAnsi="仿宋" w:eastAsia="仿宋_GB2312"/>
          <w:color w:val="auto"/>
          <w:sz w:val="24"/>
          <w:highlight w:val="none"/>
        </w:rPr>
        <w:t>嘉善县境内</w:t>
      </w:r>
    </w:p>
    <w:p w14:paraId="52167380">
      <w:pPr>
        <w:spacing w:line="360" w:lineRule="auto"/>
        <w:ind w:firstLine="480"/>
        <w:rPr>
          <w:rFonts w:ascii="仿宋_GB2312" w:hAnsi="仿宋" w:eastAsia="仿宋"/>
          <w:color w:val="auto"/>
          <w:sz w:val="24"/>
          <w:highlight w:val="none"/>
        </w:rPr>
      </w:pPr>
      <w:r>
        <w:rPr>
          <w:rFonts w:hint="eastAsia" w:ascii="仿宋_GB2312" w:hAnsi="仿宋" w:eastAsia="仿宋_GB2312"/>
          <w:color w:val="auto"/>
          <w:sz w:val="24"/>
          <w:highlight w:val="none"/>
        </w:rPr>
        <w:t>项目联系人（询问）：吴老师</w:t>
      </w:r>
    </w:p>
    <w:p w14:paraId="2E22D4E3">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项目联系方式（询问）：</w:t>
      </w:r>
      <w:r>
        <w:rPr>
          <w:rFonts w:hint="eastAsia" w:ascii="仿宋_GB2312" w:hAnsi="仿宋" w:eastAsia="仿宋_GB2312"/>
          <w:color w:val="auto"/>
          <w:sz w:val="24"/>
          <w:highlight w:val="none"/>
        </w:rPr>
        <w:t>0573-84888761</w:t>
      </w:r>
    </w:p>
    <w:p w14:paraId="2E8F043E">
      <w:pPr>
        <w:spacing w:line="360" w:lineRule="auto"/>
        <w:rPr>
          <w:rFonts w:ascii="仿宋" w:hAnsi="仿宋" w:eastAsia="仿宋_GB2312"/>
          <w:color w:val="auto"/>
          <w:sz w:val="24"/>
          <w:highlight w:val="none"/>
        </w:rPr>
      </w:pPr>
      <w:r>
        <w:rPr>
          <w:rFonts w:ascii="仿宋_GB2312" w:hAnsi="仿宋" w:eastAsia="仿宋_GB2312"/>
          <w:color w:val="auto"/>
          <w:sz w:val="24"/>
          <w:highlight w:val="none"/>
        </w:rPr>
        <w:t xml:space="preserve">    质疑联系人：</w:t>
      </w:r>
      <w:r>
        <w:rPr>
          <w:rFonts w:hint="eastAsia" w:ascii="仿宋_GB2312" w:hAnsi="仿宋" w:eastAsia="仿宋_GB2312"/>
          <w:color w:val="auto"/>
          <w:sz w:val="24"/>
          <w:highlight w:val="none"/>
          <w:lang w:val="en-US" w:eastAsia="zh-CN"/>
        </w:rPr>
        <w:t>董</w:t>
      </w:r>
      <w:r>
        <w:rPr>
          <w:rFonts w:hint="eastAsia" w:ascii="仿宋_GB2312" w:hAnsi="仿宋" w:eastAsia="仿宋_GB2312"/>
          <w:color w:val="auto"/>
          <w:sz w:val="24"/>
          <w:highlight w:val="none"/>
        </w:rPr>
        <w:t>老师</w:t>
      </w:r>
    </w:p>
    <w:p w14:paraId="75C73CDB">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质疑联系方式：</w:t>
      </w:r>
      <w:r>
        <w:rPr>
          <w:rFonts w:hint="eastAsia" w:ascii="仿宋_GB2312" w:hAnsi="仿宋" w:eastAsia="仿宋_GB2312"/>
          <w:color w:val="auto"/>
          <w:sz w:val="24"/>
          <w:highlight w:val="none"/>
        </w:rPr>
        <w:t xml:space="preserve">0573-89100236 </w:t>
      </w:r>
    </w:p>
    <w:p w14:paraId="76D7B71E">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2.采购代理机构信息            </w:t>
      </w:r>
    </w:p>
    <w:p w14:paraId="0B7E4CDB">
      <w:pPr>
        <w:spacing w:line="360" w:lineRule="auto"/>
        <w:ind w:firstLine="480"/>
        <w:rPr>
          <w:rFonts w:ascii="仿宋_GB2312" w:hAnsi="仿宋" w:eastAsia="仿宋_GB2312"/>
          <w:color w:val="auto"/>
          <w:sz w:val="24"/>
          <w:highlight w:val="none"/>
        </w:rPr>
      </w:pPr>
      <w:r>
        <w:rPr>
          <w:rFonts w:hint="eastAsia" w:ascii="仿宋_GB2312" w:hAnsi="仿宋" w:eastAsia="仿宋_GB2312"/>
          <w:color w:val="auto"/>
          <w:sz w:val="24"/>
          <w:highlight w:val="none"/>
        </w:rPr>
        <w:t>名称：浙江正大工程管理咨询有限公司</w:t>
      </w:r>
    </w:p>
    <w:p w14:paraId="05FBEBA0">
      <w:pPr>
        <w:spacing w:line="360" w:lineRule="auto"/>
        <w:ind w:firstLine="480"/>
        <w:rPr>
          <w:rFonts w:ascii="仿宋_GB2312" w:hAnsi="仿宋" w:eastAsia="仿宋"/>
          <w:color w:val="auto"/>
          <w:sz w:val="24"/>
          <w:highlight w:val="none"/>
        </w:rPr>
      </w:pPr>
      <w:r>
        <w:rPr>
          <w:rFonts w:hint="eastAsia" w:ascii="仿宋_GB2312" w:hAnsi="仿宋" w:eastAsia="仿宋_GB2312"/>
          <w:color w:val="auto"/>
          <w:sz w:val="24"/>
          <w:highlight w:val="none"/>
        </w:rPr>
        <w:t>地址：嘉善县晋阳东路457号4楼</w:t>
      </w:r>
    </w:p>
    <w:p w14:paraId="539984F9">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传    真：</w:t>
      </w:r>
      <w:r>
        <w:rPr>
          <w:rFonts w:hint="eastAsia" w:ascii="仿宋_GB2312" w:hAnsi="仿宋" w:eastAsia="仿宋_GB2312"/>
          <w:color w:val="auto"/>
          <w:sz w:val="24"/>
          <w:highlight w:val="none"/>
        </w:rPr>
        <w:t>0573-84026898</w:t>
      </w:r>
    </w:p>
    <w:p w14:paraId="36723D99">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项目联系人（询问）：</w:t>
      </w:r>
      <w:r>
        <w:rPr>
          <w:rFonts w:hint="eastAsia" w:ascii="仿宋_GB2312" w:hAnsi="仿宋" w:eastAsia="仿宋_GB2312"/>
          <w:color w:val="auto"/>
          <w:sz w:val="24"/>
          <w:highlight w:val="none"/>
        </w:rPr>
        <w:t>吴女士</w:t>
      </w:r>
    </w:p>
    <w:p w14:paraId="395E0696">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项目联系方式（询问）：</w:t>
      </w:r>
      <w:r>
        <w:rPr>
          <w:rFonts w:hint="eastAsia" w:ascii="仿宋_GB2312" w:hAnsi="仿宋" w:eastAsia="仿宋_GB2312"/>
          <w:color w:val="auto"/>
          <w:sz w:val="24"/>
          <w:highlight w:val="none"/>
        </w:rPr>
        <w:t>0573-84027198</w:t>
      </w:r>
    </w:p>
    <w:p w14:paraId="294DC676">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质疑联系人：</w:t>
      </w:r>
      <w:r>
        <w:rPr>
          <w:rFonts w:hint="eastAsia" w:ascii="仿宋_GB2312" w:hAnsi="仿宋" w:eastAsia="仿宋_GB2312"/>
          <w:color w:val="auto"/>
          <w:sz w:val="24"/>
          <w:highlight w:val="none"/>
        </w:rPr>
        <w:t>费女士</w:t>
      </w:r>
    </w:p>
    <w:p w14:paraId="201D1E54">
      <w:pPr>
        <w:spacing w:line="360" w:lineRule="auto"/>
        <w:rPr>
          <w:rFonts w:ascii="仿宋" w:hAnsi="仿宋" w:eastAsia="仿宋"/>
          <w:color w:val="auto"/>
          <w:sz w:val="24"/>
          <w:highlight w:val="none"/>
        </w:rPr>
      </w:pPr>
      <w:r>
        <w:rPr>
          <w:rFonts w:ascii="仿宋_GB2312" w:hAnsi="仿宋" w:eastAsia="仿宋_GB2312"/>
          <w:color w:val="auto"/>
          <w:sz w:val="24"/>
          <w:highlight w:val="none"/>
        </w:rPr>
        <w:t xml:space="preserve">    质疑联系方式：</w:t>
      </w:r>
      <w:r>
        <w:rPr>
          <w:rFonts w:hint="eastAsia" w:ascii="仿宋_GB2312" w:hAnsi="仿宋" w:eastAsia="仿宋_GB2312"/>
          <w:color w:val="auto"/>
          <w:sz w:val="24"/>
          <w:highlight w:val="none"/>
        </w:rPr>
        <w:t>0573-84027198</w:t>
      </w:r>
    </w:p>
    <w:p w14:paraId="6CA693A4">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3.同级政府采购监督管理部门            </w:t>
      </w:r>
    </w:p>
    <w:p w14:paraId="548A9AD1">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名    称：</w:t>
      </w:r>
      <w:r>
        <w:rPr>
          <w:rFonts w:hint="eastAsia" w:ascii="仿宋_GB2312" w:hAnsi="仿宋" w:eastAsia="仿宋_GB2312"/>
          <w:color w:val="auto"/>
          <w:sz w:val="24"/>
          <w:highlight w:val="none"/>
        </w:rPr>
        <w:t>嘉善县财政局</w:t>
      </w:r>
    </w:p>
    <w:p w14:paraId="312BEEB0">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地    址：</w:t>
      </w:r>
      <w:r>
        <w:rPr>
          <w:rFonts w:hint="eastAsia" w:ascii="仿宋_GB2312" w:hAnsi="仿宋" w:eastAsia="仿宋_GB2312"/>
          <w:color w:val="auto"/>
          <w:sz w:val="24"/>
          <w:highlight w:val="none"/>
        </w:rPr>
        <w:t xml:space="preserve">嘉善县解放东路318号 </w:t>
      </w:r>
    </w:p>
    <w:p w14:paraId="3C5B2520">
      <w:pPr>
        <w:spacing w:line="360" w:lineRule="auto"/>
        <w:ind w:firstLine="240" w:firstLineChars="100"/>
        <w:rPr>
          <w:rFonts w:ascii="仿宋_GB2312" w:hAnsi="仿宋" w:eastAsia="仿宋_GB2312"/>
          <w:color w:val="auto"/>
          <w:sz w:val="24"/>
          <w:highlight w:val="none"/>
        </w:rPr>
      </w:pPr>
      <w:r>
        <w:rPr>
          <w:rFonts w:ascii="仿宋_GB2312" w:hAnsi="仿宋" w:eastAsia="仿宋_GB2312"/>
          <w:color w:val="auto"/>
          <w:sz w:val="24"/>
          <w:highlight w:val="none"/>
        </w:rPr>
        <w:t xml:space="preserve">  传    真：</w:t>
      </w:r>
      <w:r>
        <w:rPr>
          <w:rFonts w:hint="eastAsia" w:ascii="仿宋_GB2312" w:hAnsi="仿宋" w:eastAsia="仿宋_GB2312"/>
          <w:color w:val="auto"/>
          <w:sz w:val="24"/>
          <w:highlight w:val="none"/>
        </w:rPr>
        <w:t xml:space="preserve">0573-84122528 </w:t>
      </w:r>
    </w:p>
    <w:p w14:paraId="06B1A739">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联系人 ：</w:t>
      </w:r>
      <w:r>
        <w:rPr>
          <w:rFonts w:hint="eastAsia" w:ascii="仿宋_GB2312" w:hAnsi="仿宋" w:eastAsia="仿宋_GB2312"/>
          <w:color w:val="auto"/>
          <w:sz w:val="24"/>
          <w:highlight w:val="none"/>
        </w:rPr>
        <w:t xml:space="preserve">刘先生 </w:t>
      </w:r>
    </w:p>
    <w:p w14:paraId="3EE9AED9">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监督投诉电话：</w:t>
      </w:r>
      <w:r>
        <w:rPr>
          <w:rFonts w:hint="eastAsia" w:ascii="仿宋_GB2312" w:hAnsi="仿宋" w:eastAsia="仿宋_GB2312"/>
          <w:color w:val="auto"/>
          <w:sz w:val="24"/>
          <w:highlight w:val="none"/>
        </w:rPr>
        <w:t xml:space="preserve">0573-84122310 </w:t>
      </w:r>
    </w:p>
    <w:p w14:paraId="020C0EAE">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若对项目采购电子交易系统操作有疑问，可登录政采云（</w:t>
      </w:r>
      <w:r>
        <w:rPr>
          <w:rFonts w:ascii="仿宋_GB2312" w:hAnsi="仿宋" w:eastAsia="仿宋_GB2312"/>
          <w:color w:val="auto"/>
          <w:sz w:val="24"/>
          <w:highlight w:val="none"/>
        </w:rPr>
        <w:t>https://www.zcygov.cn/），点击右侧咨询小采，获取采小蜜智能服务管家帮助，或拨打政</w:t>
      </w:r>
      <w:r>
        <w:rPr>
          <w:rFonts w:hint="eastAsia" w:ascii="仿宋_GB2312" w:hAnsi="仿宋" w:eastAsia="仿宋_GB2312"/>
          <w:color w:val="auto"/>
          <w:sz w:val="24"/>
          <w:highlight w:val="none"/>
        </w:rPr>
        <w:t>采云服务热线</w:t>
      </w:r>
      <w:r>
        <w:rPr>
          <w:rFonts w:ascii="仿宋_GB2312" w:hAnsi="仿宋" w:eastAsia="仿宋_GB2312"/>
          <w:color w:val="auto"/>
          <w:sz w:val="24"/>
          <w:highlight w:val="none"/>
        </w:rPr>
        <w:t>400-881-7190获取热线服务帮助。</w:t>
      </w:r>
    </w:p>
    <w:p w14:paraId="4CCEF8F9">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CA问题联系电话（人工）：</w:t>
      </w:r>
      <w:r>
        <w:rPr>
          <w:rFonts w:hint="eastAsia" w:ascii="仿宋_GB2312" w:hAnsi="仿宋" w:eastAsia="仿宋_GB2312"/>
          <w:color w:val="auto"/>
          <w:sz w:val="24"/>
          <w:highlight w:val="none"/>
        </w:rPr>
        <w:t>汇信</w:t>
      </w:r>
      <w:r>
        <w:rPr>
          <w:rFonts w:ascii="仿宋_GB2312" w:hAnsi="仿宋" w:eastAsia="仿宋_GB2312"/>
          <w:color w:val="auto"/>
          <w:sz w:val="24"/>
          <w:highlight w:val="none"/>
        </w:rPr>
        <w:t>CA 400-888-4636；天谷CA 400-087-8198。</w:t>
      </w:r>
    </w:p>
    <w:p w14:paraId="7F7674CE">
      <w:pPr>
        <w:rPr>
          <w:rFonts w:ascii="仿宋_GB2312" w:hAnsi="仿宋" w:eastAsia="仿宋_GB2312"/>
          <w:color w:val="auto"/>
          <w:sz w:val="24"/>
          <w:highlight w:val="none"/>
        </w:rPr>
      </w:pPr>
      <w:r>
        <w:rPr>
          <w:rFonts w:ascii="仿宋_GB2312" w:hAnsi="仿宋" w:eastAsia="仿宋_GB2312"/>
          <w:color w:val="auto"/>
          <w:sz w:val="24"/>
          <w:highlight w:val="none"/>
        </w:rPr>
        <w:br w:type="page"/>
      </w:r>
    </w:p>
    <w:p w14:paraId="4D1DBB61">
      <w:pPr>
        <w:spacing w:line="360" w:lineRule="auto"/>
        <w:ind w:firstLine="480" w:firstLineChars="200"/>
        <w:rPr>
          <w:rFonts w:ascii="仿宋_GB2312" w:hAnsi="仿宋" w:eastAsia="仿宋_GB2312"/>
          <w:color w:val="auto"/>
          <w:sz w:val="24"/>
          <w:highlight w:val="none"/>
        </w:rPr>
        <w:sectPr>
          <w:footerReference r:id="rId10" w:type="first"/>
          <w:footerReference r:id="rId9" w:type="default"/>
          <w:pgSz w:w="11906" w:h="16838"/>
          <w:pgMar w:top="680" w:right="1418" w:bottom="468" w:left="1418" w:header="851" w:footer="992" w:gutter="0"/>
          <w:pgNumType w:start="2"/>
          <w:cols w:space="720" w:num="1"/>
          <w:titlePg/>
          <w:docGrid w:linePitch="312" w:charSpace="0"/>
        </w:sectPr>
      </w:pPr>
    </w:p>
    <w:p w14:paraId="0962523B">
      <w:pPr>
        <w:numPr>
          <w:ilvl w:val="0"/>
          <w:numId w:val="1"/>
        </w:numPr>
        <w:adjustRightInd/>
        <w:spacing w:line="336" w:lineRule="auto"/>
        <w:jc w:val="center"/>
        <w:outlineLvl w:val="0"/>
        <w:rPr>
          <w:rFonts w:ascii="仿宋" w:hAnsi="仿宋" w:eastAsia="仿宋" w:cs="仿宋_GB2312"/>
          <w:b/>
          <w:color w:val="auto"/>
          <w:sz w:val="36"/>
          <w:szCs w:val="20"/>
          <w:highlight w:val="none"/>
        </w:rPr>
      </w:pPr>
      <w:r>
        <w:rPr>
          <w:rFonts w:hint="eastAsia" w:ascii="仿宋" w:hAnsi="仿宋" w:eastAsia="仿宋" w:cs="仿宋_GB2312"/>
          <w:b/>
          <w:color w:val="auto"/>
          <w:sz w:val="36"/>
          <w:szCs w:val="20"/>
          <w:highlight w:val="none"/>
        </w:rPr>
        <w:t>招标需求</w:t>
      </w:r>
    </w:p>
    <w:p w14:paraId="284CAA0B">
      <w:pPr>
        <w:pStyle w:val="25"/>
        <w:numPr>
          <w:ilvl w:val="0"/>
          <w:numId w:val="2"/>
        </w:numPr>
        <w:spacing w:line="240" w:lineRule="auto"/>
        <w:rPr>
          <w:color w:val="auto"/>
          <w:highlight w:val="none"/>
          <w:lang w:val="en-US"/>
        </w:rPr>
      </w:pPr>
      <w:r>
        <w:rPr>
          <w:rFonts w:hint="eastAsia"/>
          <w:color w:val="auto"/>
          <w:highlight w:val="none"/>
          <w:lang w:val="en-US"/>
        </w:rPr>
        <w:t>采购清单及技术参数</w:t>
      </w:r>
    </w:p>
    <w:p w14:paraId="075F81B9">
      <w:pPr>
        <w:adjustRightInd/>
        <w:spacing w:line="336" w:lineRule="auto"/>
        <w:outlineLvl w:val="0"/>
        <w:rPr>
          <w:rFonts w:ascii="仿宋" w:hAnsi="仿宋" w:eastAsia="仿宋" w:cs="仿宋_GB2312"/>
          <w:b/>
          <w:color w:val="auto"/>
          <w:sz w:val="36"/>
          <w:szCs w:val="20"/>
          <w:highlight w:val="none"/>
        </w:rPr>
      </w:pPr>
    </w:p>
    <w:tbl>
      <w:tblPr>
        <w:tblStyle w:val="64"/>
        <w:tblW w:w="21841" w:type="dxa"/>
        <w:tblInd w:w="93" w:type="dxa"/>
        <w:tblLayout w:type="autofit"/>
        <w:tblCellMar>
          <w:top w:w="0" w:type="dxa"/>
          <w:left w:w="108" w:type="dxa"/>
          <w:bottom w:w="0" w:type="dxa"/>
          <w:right w:w="108" w:type="dxa"/>
        </w:tblCellMar>
      </w:tblPr>
      <w:tblGrid>
        <w:gridCol w:w="971"/>
        <w:gridCol w:w="3381"/>
        <w:gridCol w:w="2991"/>
        <w:gridCol w:w="12204"/>
        <w:gridCol w:w="1169"/>
        <w:gridCol w:w="1129"/>
      </w:tblGrid>
      <w:tr w14:paraId="6C26A080">
        <w:tblPrEx>
          <w:tblCellMar>
            <w:top w:w="0" w:type="dxa"/>
            <w:left w:w="108" w:type="dxa"/>
            <w:bottom w:w="0" w:type="dxa"/>
            <w:right w:w="108" w:type="dxa"/>
          </w:tblCellMar>
        </w:tblPrEx>
        <w:trPr>
          <w:trHeight w:val="740" w:hRule="atLeast"/>
        </w:trPr>
        <w:tc>
          <w:tcPr>
            <w:tcW w:w="2184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D74F">
            <w:pPr>
              <w:widowControl/>
              <w:jc w:val="center"/>
              <w:textAlignment w:val="center"/>
              <w:rPr>
                <w:rFonts w:ascii="黑体" w:hAnsi="宋体" w:eastAsia="黑体" w:cs="黑体"/>
                <w:color w:val="auto"/>
                <w:sz w:val="24"/>
                <w:highlight w:val="none"/>
              </w:rPr>
            </w:pPr>
            <w:r>
              <w:rPr>
                <w:rFonts w:hint="eastAsia" w:ascii="黑体" w:hAnsi="宋体" w:eastAsia="黑体" w:cs="黑体"/>
                <w:color w:val="auto"/>
                <w:kern w:val="0"/>
                <w:sz w:val="24"/>
                <w:highlight w:val="none"/>
              </w:rPr>
              <w:t xml:space="preserve"> 嘉善县实验幼儿园（兴贤）设备预算清单（玩具类）</w:t>
            </w:r>
          </w:p>
        </w:tc>
      </w:tr>
      <w:tr w14:paraId="7817A631">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856D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16AC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5BCC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6CE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F1DD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D1FC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数量</w:t>
            </w:r>
          </w:p>
        </w:tc>
      </w:tr>
      <w:tr w14:paraId="17D0D5C1">
        <w:tblPrEx>
          <w:tblCellMar>
            <w:top w:w="0" w:type="dxa"/>
            <w:left w:w="108" w:type="dxa"/>
            <w:bottom w:w="0" w:type="dxa"/>
            <w:right w:w="108" w:type="dxa"/>
          </w:tblCellMar>
        </w:tblPrEx>
        <w:trPr>
          <w:trHeight w:val="4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8F1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097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建构（小班）</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935D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909320</wp:posOffset>
                  </wp:positionV>
                  <wp:extent cx="1258570" cy="883285"/>
                  <wp:effectExtent l="0" t="0" r="17780" b="12065"/>
                  <wp:wrapNone/>
                  <wp:docPr id="10" name="图片_1"/>
                  <wp:cNvGraphicFramePr/>
                  <a:graphic xmlns:a="http://schemas.openxmlformats.org/drawingml/2006/main">
                    <a:graphicData uri="http://schemas.openxmlformats.org/drawingml/2006/picture">
                      <pic:pic xmlns:pic="http://schemas.openxmlformats.org/drawingml/2006/picture">
                        <pic:nvPicPr>
                          <pic:cNvPr id="10" name="图片_1"/>
                          <pic:cNvPicPr/>
                        </pic:nvPicPr>
                        <pic:blipFill>
                          <a:blip r:embed="rId17"/>
                          <a:stretch>
                            <a:fillRect/>
                          </a:stretch>
                        </pic:blipFill>
                        <pic:spPr>
                          <a:xfrm>
                            <a:off x="0" y="0"/>
                            <a:ext cx="1258570" cy="88328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800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建构区：手册（小班）》1册，16开；单元积木48块尺寸140*70*35mm（公差±3mm），原木色新西兰无结松木小三角形积木12块尺寸70*70*35mm（公差±3mm），原木色新西兰无结松木中三角形积木12块尺寸139*68*35mm（公差±3mm），原木色新西兰无结松木圆柱体积木8块尺寸长度70mm，直径35mm（公差±3mm），原木色新西兰无结松木双倍圆柱体积木4块尺寸长度140mm，直径70mm（公差±3mm），原木色新西兰无结松木地板砖形积木4块尺寸140*70*17.5mm（公差±3mm），原木色新西兰无结松木双倍地板砖形积木4块尺寸280*70*17.5mm（公差±3mm），原木色新西兰无结松木四倍地板砖形积木4块尺寸560*70*17.5mm（公差±3mm），原木色新西兰无结松木柱形积木10块尺寸140*35*35mm（公差±3mm），原木色新西兰无结松木双倍柱形积木10块尺寸280*35*35mm（公差±3mm），原木色新西兰无结松木单元积木14块尺寸140*70*35mm（公差±3mm），原木色新西兰无结松木半单元积木20块尺寸70*70*35mm（公差±3mm），原木色新西兰无结松木双单元积木12块尺寸280*70*35mm（公差±3mm），原木色新西兰无结松木半柱形积木28块尺寸70*35*35mm（公差±3mm），原木色新西兰无结松木柱形积木8块尺寸140*35*35mm（公差±3mm），原木色新西兰无结松木半单元积木10块尺寸70*70*35mm（公差±3mm），原木色新西兰无结松木双单元积木8块尺寸280*70*35mm（公差±3mm），原木色新西兰无结松木四倍单元积木4块尺寸560*70*35mm（公差±3mm），原木色新西兰无结松木双倍圆柱体积木4块尺寸长度140mm，直径70mm（公差±3mm），原木色新西兰无结松木单元积木40块尺寸140*70*35mm（公差±3mm），原木色新西兰无结松木单元积木8块尺寸140*70*35mm（公差±3mm），原木色新西兰无结松木半球体积木2块尺寸70*70*35mm，直径70mm（公差±3mm），原木色新西兰无结松木圆柱体积木2块尺寸长度70mm，直径35mm（公差±3mm），原木色新西兰无结松木扇形积木4块尺寸70*70*35mm（公差±3mm），原木色新西兰无结松木斜坡形积木4块尺寸137.5*70*35mm（公差±3mm），原木色新西兰无结松木四分之一圆环积木4块尺寸70*70*35mm（公差±3mm），原木色新西兰无结松木三棱柱积木2块尺寸长140*35*31mm,三角形横截面边长35mm（公差±3mm），原木色新西兰无结松木半圆环积木4块尺寸外圆直径140mm,内圆直径71mm,厚度35mm（公差±3mm），原木色新西兰无结松木小半圆形积木4块尺寸直径70mm，厚35mm（公差±3mm），原木色新西兰无结松木大半圆形积木4块。尺寸直径140mm，厚35mm（公差±3mm），原木色新西兰无结松木双倍圆柱体积木12块尺寸长度140mm，直径70mm（公差±3mm），原木色新西兰无结松木使用手册（小班）1本正16开；封面：200g铜版纸，覆哑膜，单面四色印刷；内芯：80g双胶纸，正反八色印刷；无线胶装纸质游戏图卡（小班）1册封面：200g铜版纸，单面四色印刷，覆哑膜。内芯：200g铜版纸，64P，正反八色印刷，覆哑膜纸质区域标识牌1张300*130mm；157g铜版纸；覆哑膜；单面四色印刷纸质区域规则牌1张正8开；157g铜版纸；覆哑膜；单面四色印刷纸质玩具柜彩色标签2套120*85mm,40小张/套，80g不干胶，单面四色印刷，覆亚膜，卡刀模纸质主题挂图（小班）8张正8开；157g铜版纸，单面四色印刷纸质技能图卡（小班）1张正8开；157g铜版纸，单面四色印刷纸质塑料单元积木（红色）4块尺寸120*60*30mm（公差±1mm）；红色(PANTONE 485C)ABS塑料单元积木（蓝色）4块尺寸120*60*30mm（公差±1mm）；蓝色(PANTONE 2935C)ABS塑料单元积木（绿色）4块尺寸120*60*30mm（公差±1mm）；绿色(PANTONE 354C)ABS塑料半圆形积木（红色）2块尺寸120（直径）*30mm（公差±1mm）；红色(PANTONE 485C)ABS塑料半圆形积木（蓝色）2块尺寸120（直径）*30 mm（公差±1mm）；蓝色(PANTONE 2935C)ABS塑料半圆形积木（绿色）2块尺寸120（直径）*30mm（公差±1mm）；绿色(PANTONE 354C)ABS拱桥形积木4块尺寸140*70*35mm，内空半圆直径71mm（公差±3mm），原木色新西兰无结松木高树4个尺寸为115*65*15（厚）mm（公差±3mm），绿色(PANTONE 354c)15mm密度板矮树4个尺寸为45*95*15（厚）mm（公差±3mm），绿色(PANTONE 354c)15mm密度板人偶3个深蓝色(PANTONE 2935c)人偶，尺寸为80*32*15（厚）mm（公差±3mm），橙色(PANTONE 137c)人偶，尺寸为70*32*15（厚）mm（公差±3mm），黄色（PANTONE 012c）人偶，60*42*15（厚）mm（公差±3mm）15mm密度板骆驼1个身体(PANTONE 137c)花纹(PANTONE 725c)，尺寸为85*70*15mm（公差±3mm）15mm密度板羊1个白底橙色(PANTONE 137c)花纹，尺寸为62*40*15（厚）mm（公差±3mm）15mm密度板熊1个身体色（PANTONE 137c），眼睛耳朵（PANTONE 012c），90*55*15（厚）mm（公差±3mm）15mm密度板狮子1个身体色(PANTONE 137c)脖子毛发、尾巴顶端毛发、眼睛色（PANTONE 725c），宽80mm，高50mm，厚度15mm（公差±3mm）15mm密度板长颈鹿1个黄底（PANTONE 012c）橙色(PANTONE 137c)花纹，尺寸35*100*15（厚）mm（公差±3mm）15mm密度板鳄鱼1个绿底(PANTONE 354c)白色花纹，尺寸为120*30*15（厚）mm（公差±3mm）15mm密度板兔子1个身体白色，眼睛红色（PANTONE 485c），宽50mm，高33mm，厚度15mm（公差±3mm）15mm密度板警车1个底色白色，花纹蓝色（PANTONE 2935c）,车灯红色、蓝色（PANTONE485c、PANTONE 2935c），宽80mm，除轮子和灯外高40mm，灯5mm，轮子直径20mm（公差±3mm）15mm密度板救护车1个底色白色，车灯和车身花纹为红色（PANTONE 485c），玻璃和车底部颜色为蓝色（PANTONE 2935c）。宽80mm，除轮子和灯外高45mm，厚度15mm，灯3mm，轮子直径20mm（公差±3mm）15mm密度板消防车1个底色红色（PANTONE 485c））,窗户黄色（PANTONE 012c）。宽95mm，除轮子和灯外高45mm，厚度15mm，轮子直径20mm，灯5mm（公差±3mm）15mm密度板小车1个底色蓝色（PANTONE 2935c）,窗户白色，车底部花纹和车灯橙色和白色（PANTONE 137c），宽80mm，厚度15mm，除轮子外高40mm，轮子直径20mm15mm密度板公共汽车1个底色红色（PANTONE 485c），窗户黄色（PANTONE 012c）。宽110mm，除轮子外高50mm，厚度15mm，轮子直径20mm（公差±3mm）15mm密度板交通标识15个中间圆柱直径为7mm，高为33mm；底座均为圆形，直径为25mm，厚度均为12mm（公差±3mm）。标志牌厚度为12mm，数量与具体尺寸如下：三角形2个，边长33mm，高为30mm（公差±3mm）；圆形标志8个，直径为33mm（公差±3mm）；正方形标志3个，边长30mm（公差±3mm）；长方形标志2个，40*23mm（公差±3mm）；中间柱子为松木，其余部件为密度板12mm密度板+松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53A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1CE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4FC57A0F">
        <w:tblPrEx>
          <w:tblCellMar>
            <w:top w:w="0" w:type="dxa"/>
            <w:left w:w="108" w:type="dxa"/>
            <w:bottom w:w="0" w:type="dxa"/>
            <w:right w:w="108" w:type="dxa"/>
          </w:tblCellMar>
        </w:tblPrEx>
        <w:trPr>
          <w:trHeight w:val="6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F3C3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5B76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建构（小班）</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B42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660288" behindDoc="0" locked="0" layoutInCell="1" allowOverlap="1">
                  <wp:simplePos x="0" y="0"/>
                  <wp:positionH relativeFrom="column">
                    <wp:posOffset>33020</wp:posOffset>
                  </wp:positionH>
                  <wp:positionV relativeFrom="paragraph">
                    <wp:posOffset>1376045</wp:posOffset>
                  </wp:positionV>
                  <wp:extent cx="1370330" cy="920115"/>
                  <wp:effectExtent l="0" t="0" r="1270" b="13335"/>
                  <wp:wrapNone/>
                  <wp:docPr id="6" name="图片_13"/>
                  <wp:cNvGraphicFramePr/>
                  <a:graphic xmlns:a="http://schemas.openxmlformats.org/drawingml/2006/main">
                    <a:graphicData uri="http://schemas.openxmlformats.org/drawingml/2006/picture">
                      <pic:pic xmlns:pic="http://schemas.openxmlformats.org/drawingml/2006/picture">
                        <pic:nvPicPr>
                          <pic:cNvPr id="6" name="图片_13"/>
                          <pic:cNvPicPr/>
                        </pic:nvPicPr>
                        <pic:blipFill>
                          <a:blip r:embed="rId18"/>
                          <a:stretch>
                            <a:fillRect/>
                          </a:stretch>
                        </pic:blipFill>
                        <pic:spPr>
                          <a:xfrm>
                            <a:off x="0" y="0"/>
                            <a:ext cx="1370330" cy="92011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F65B">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产品规格：2个内箱，16个收纳盒，1个收纳箱，内含1300个配件，产品配套班级教师指导手册（不低于32节科学建构课程），手册内容包含课程设计理念，建构造型，亲子活动方案等。主要配件 D54滑轮片轴 蓝色（φ54mm*25mm）；D50连接器 黄（φ50mm*26mm）；圆球体（D50mm*9.5mm）黄；12齿齿轮（ø48mm*20mm）绿色；18齿齿轮(ø69mm*13.5mm)黄色；24齿齿轮(ø89mm*13.5mm)蓝；36齿齿轮(ø129mm*13.5mm)红；D9.55空心管77(φ9.55mm*77mm)蓝色；D9.55空心管120(φ9.55mm*120mm)；收纳箱（400*335*216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主要材质：ABS塑料；其它材质：PVC,PP,EVA</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功能、特点：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低结构、易塑形、易操作积木游戏材料，以点、线、面、轴为主要配件，核心基础配件直径5厘米，拥有有10个链接孔，设计符合孩子抓握需求。每个孔拆装力度是6-8磅，锻炼孩子手部精细化运动，由简至繁、由平面到立体、由静态到动态、由动态到机械构架。易于变化，易于引导孩子探索创新，走向科学。</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2.任何一种材料与材料之间都存在着数十种以上的选择连接，通过简单的操作，可以形成各种连接关系，而这种连接关系可以无限延伸，使幼儿创造性思维宽度得以不断拓展。</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 收纳箱创意设计、功能多样、一箱多用。推拉抽屉设计，拉手舒适，抽拉方便；抽屉大开口，取用更方便；分层设计，归类收纳，培养幼儿的收纳习惯；叠加收纳，不易倾倒，节约空间；大圆角设计，圆润边角，质感无毛刺，安全系数更高；ABS环保材质，无异味，安全认证；4个“小脚丫”可一键安装到收纳箱上，承重强，抗摔耐压，当做板凳来使用；收纳箱外箱可展开作为面板，“小脚丫”起到插头作用，以用来连接并固定面板和万能工匠球，从而当做儿童早教桌使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09F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E55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79A5DE29">
        <w:tblPrEx>
          <w:tblCellMar>
            <w:top w:w="0" w:type="dxa"/>
            <w:left w:w="108" w:type="dxa"/>
            <w:bottom w:w="0" w:type="dxa"/>
            <w:right w:w="108" w:type="dxa"/>
          </w:tblCellMar>
        </w:tblPrEx>
        <w:trPr>
          <w:trHeight w:val="2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1C2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4BF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建构（中班）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BE9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61312" behindDoc="0" locked="0" layoutInCell="1" allowOverlap="1">
                  <wp:simplePos x="0" y="0"/>
                  <wp:positionH relativeFrom="column">
                    <wp:posOffset>237490</wp:posOffset>
                  </wp:positionH>
                  <wp:positionV relativeFrom="paragraph">
                    <wp:posOffset>276860</wp:posOffset>
                  </wp:positionV>
                  <wp:extent cx="1177925" cy="824230"/>
                  <wp:effectExtent l="0" t="0" r="3175" b="13970"/>
                  <wp:wrapNone/>
                  <wp:docPr id="7" name="图片_2"/>
                  <wp:cNvGraphicFramePr/>
                  <a:graphic xmlns:a="http://schemas.openxmlformats.org/drawingml/2006/main">
                    <a:graphicData uri="http://schemas.openxmlformats.org/drawingml/2006/picture">
                      <pic:pic xmlns:pic="http://schemas.openxmlformats.org/drawingml/2006/picture">
                        <pic:nvPicPr>
                          <pic:cNvPr id="7" name="图片_2"/>
                          <pic:cNvPicPr/>
                        </pic:nvPicPr>
                        <pic:blipFill>
                          <a:blip r:embed="rId19"/>
                          <a:stretch>
                            <a:fillRect/>
                          </a:stretch>
                        </pic:blipFill>
                        <pic:spPr>
                          <a:xfrm>
                            <a:off x="0" y="0"/>
                            <a:ext cx="1177925" cy="82423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AA2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建构区：手册（中班）1册，16开；单元积木48块尺寸140*70*35mm（公差±3mm），原木色新西兰无结松木小三角形积木12块尺寸70*70*35mm（公差±3mm），原木色新西兰无结松木中三角形积木12块尺寸139*68*35mm（公差±3mm），原木色新西兰无结松木圆柱体积木8块尺寸长度70mm，直径35mm（公差±3mm），原木色新西兰无结松木双倍圆柱体积木4块尺寸长度140mm，直径70mm（公差±3mm），原木色新西兰无结松木地板砖形积木4块尺寸140*70*17.5mm（公差±3mm），原木色新西兰无结松木双倍地板砖形积木4块尺寸280*70*17.5mm（公差±3mm），原木色新西兰无结松木四倍地板砖形积木4块尺寸560*70*17.5mm（公差±3mm），原木色新西兰无结松木柱形积木10块尺寸140*35*35mm（公差±3mm），原木色新西兰无结松木双倍柱形积木10块尺寸280*35*35mm（公差±3mm），原木色新西兰无结松木单元积木14块尺寸140*70*35mm（公差±3mm），原木色新西兰无结松木半单元积木20块尺寸70*70*35mm（公差±3mm），原木色新西兰无结松木双单元积木12块尺寸280*70*35mm（公差±3mm），原木色新西兰无结松木半柱形积木28块尺寸70*35*35mm（公差±3mm），原木色新西兰无结松木柱形积木8块尺寸140*35*35mm（公差±3mm），原木色新西兰无结松木半单元积木10块尺寸70*70*35mm（公差±3mm），原木色新西兰无结松木双单元积木8块尺寸280*70*35mm（公差±3mm），原木色新西兰无结松木四倍单元积木4块尺寸560*70*35mm（公差±3mm），原木色新西兰无结松木双倍圆柱体积木4块尺寸长度140mm，直径70mm（公差±3mm），原木色新西兰无结松木单元积木40块尺寸140*70*35mm（公差±3mm），原木色新西兰无结松木单元积木8块尺寸140*70*35mm（公差±3mm），原木色新西兰无结松木半球体积木2块尺寸70*70*35mm，直径70mm（公差±3mm），原木色新西兰无结松木圆柱体积木2块尺寸长度70mm，直径35mm（公差±3mm），原木色新西兰无结松木扇形积木4块尺寸70*70*35mm（公差±3mm），原木色新西兰无结松木斜坡形积木4块尺寸137.5*70*35mm（公差±3mm），原木色新西兰无结松木四分之一圆环积木4块尺寸70*70*35mm（公差±3mm），原木色新西兰无结松木三棱柱积木2块尺寸长140*35*31mm,三角形横截面边长35mm（公差±3mm），原木色新西兰无结松木半圆环积木4块尺寸外圆直径140mm,内圆直径71mm,厚度35mm（公差±3mm），原木色新西兰无结松木小半圆形积木4块尺寸直径70mm，厚35mm（公差±3mm），原木色新西兰无结松木大半圆形积木4块。尺寸直径140mm，厚35mm（公差±3mm），原木色新西兰无结松木双倍圆柱体积木12块尺寸长度140mm，直径70mm（公差±3mm），原木色新西兰无结松木使用手册（中班）1本正16开；封面：200g铜版纸，覆哑膜，单面四色印刷；内芯：80g双胶纸，正反八色印刷；无线胶装纸质游戏图卡（中班）1册封面：200g铜版纸，单面四色印刷，覆哑膜。内芯：200g铜版纸，64P，正反八色印刷，覆哑膜纸质区域标识牌1张300*130mm；157g铜版纸；覆哑膜；单面四色印刷纸质区域规则牌1张正8开；157g铜版纸；覆哑膜；单面四色印刷纸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EE2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0FC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45645822">
        <w:tblPrEx>
          <w:tblCellMar>
            <w:top w:w="0" w:type="dxa"/>
            <w:left w:w="108" w:type="dxa"/>
            <w:bottom w:w="0" w:type="dxa"/>
            <w:right w:w="108" w:type="dxa"/>
          </w:tblCellMar>
        </w:tblPrEx>
        <w:trPr>
          <w:trHeight w:val="5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7D3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BE75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建构（中班）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F912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62336" behindDoc="0" locked="0" layoutInCell="1" allowOverlap="1">
                  <wp:simplePos x="0" y="0"/>
                  <wp:positionH relativeFrom="column">
                    <wp:posOffset>332105</wp:posOffset>
                  </wp:positionH>
                  <wp:positionV relativeFrom="paragraph">
                    <wp:posOffset>623570</wp:posOffset>
                  </wp:positionV>
                  <wp:extent cx="987425" cy="643890"/>
                  <wp:effectExtent l="0" t="0" r="3175" b="3810"/>
                  <wp:wrapNone/>
                  <wp:docPr id="16" name="图片_12"/>
                  <wp:cNvGraphicFramePr/>
                  <a:graphic xmlns:a="http://schemas.openxmlformats.org/drawingml/2006/main">
                    <a:graphicData uri="http://schemas.openxmlformats.org/drawingml/2006/picture">
                      <pic:pic xmlns:pic="http://schemas.openxmlformats.org/drawingml/2006/picture">
                        <pic:nvPicPr>
                          <pic:cNvPr id="16" name="图片_12"/>
                          <pic:cNvPicPr/>
                        </pic:nvPicPr>
                        <pic:blipFill>
                          <a:blip r:embed="rId20"/>
                          <a:stretch>
                            <a:fillRect/>
                          </a:stretch>
                        </pic:blipFill>
                        <pic:spPr>
                          <a:xfrm>
                            <a:off x="0" y="0"/>
                            <a:ext cx="987425" cy="64389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2293">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产品规格：2个内箱，16个收纳盒，1个收纳箱，内含1300个配件，产品配套班级教师指导手册（不低于32节科学建构课程），手册内容包含课程设计理念，建构造型，亲子活动方案等。主要配件 D54滑轮片轴 蓝色（φ54mm*25mm）；D50连接器 黄（φ50mm*26mm）；圆球体（D50mm*9.5mm）黄；12齿齿轮（ø48mm*20mm）绿色；18齿齿轮(ø69mm*13.5mm)黄色；24齿齿轮(ø89mm*13.5mm)蓝；36齿齿轮(ø129mm*13.5mm)红；D9.55空心管77(φ9.55mm*77mm)蓝色；D9.55空心管120(φ9.55mm*120mm)；收纳箱（400*335*216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主要材质：ABS塑料；其它材质：PVC,PP,EVA</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功能、特点：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低结构、易塑形、易操作积木游戏材料，以点、线、面、轴为主要配件，核心基础配件直径5厘米，拥有有10个链接孔，设计符合孩子抓握需求。每个孔拆装力度是6-8磅，锻炼孩子手部精细化运动，由简至繁、由平面到立体、由静态到动态、由动态到机械构架。易于变化，易于引导孩子探索创新，走向科学。</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2.任何一种材料与材料之间都存在着数十种以上的选择连接，通过简单的操作，可以形成各种连接关系，而这种连接关系可以无限延伸，使幼儿创造性思维宽度得以不断拓展。</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3. 收纳箱创意设计、功能多样、一箱多用。推拉抽屉设计，拉手舒适，抽拉方便；抽屉大开口，取用更方便；分层设计，归类收纳，培养幼儿的收纳习惯；叠加收纳，不易倾倒，节约空间；大圆角设计，圆润边角，质感无毛刺，安全系数更高；ABS环保材质，无异味，安全认证；4个“小脚丫”可一键安装到收纳箱上，承重强，抗摔耐压，当做板凳来使用；收纳箱外箱可展开作为面板，“小脚丫”起到插头作用，以用来连接并固定面板和万能工匠球，从而当做儿童早教桌使用。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74F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A70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359FEA8A">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B47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8CF5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建构（大班）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8CF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63360" behindDoc="0" locked="0" layoutInCell="1" allowOverlap="1">
                  <wp:simplePos x="0" y="0"/>
                  <wp:positionH relativeFrom="column">
                    <wp:posOffset>207645</wp:posOffset>
                  </wp:positionH>
                  <wp:positionV relativeFrom="paragraph">
                    <wp:posOffset>2021840</wp:posOffset>
                  </wp:positionV>
                  <wp:extent cx="1016635" cy="705485"/>
                  <wp:effectExtent l="0" t="0" r="12065" b="18415"/>
                  <wp:wrapNone/>
                  <wp:docPr id="25" name="图片_3"/>
                  <wp:cNvGraphicFramePr/>
                  <a:graphic xmlns:a="http://schemas.openxmlformats.org/drawingml/2006/main">
                    <a:graphicData uri="http://schemas.openxmlformats.org/drawingml/2006/picture">
                      <pic:pic xmlns:pic="http://schemas.openxmlformats.org/drawingml/2006/picture">
                        <pic:nvPicPr>
                          <pic:cNvPr id="25" name="图片_3"/>
                          <pic:cNvPicPr/>
                        </pic:nvPicPr>
                        <pic:blipFill>
                          <a:blip r:embed="rId21"/>
                          <a:stretch>
                            <a:fillRect/>
                          </a:stretch>
                        </pic:blipFill>
                        <pic:spPr>
                          <a:xfrm>
                            <a:off x="0" y="0"/>
                            <a:ext cx="1016635" cy="70548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7933">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建构区：手册（大班）1册，16开；单元积木48块尺寸140*70*35mm（公差±3mm），原木色新西兰无结松木小三角形积木12块尺寸70*70*35mm（公差±3mm），原木色新西兰无结松木中三角形积木12块尺寸139*68*35mm（公差±3mm），原木色新西兰无结松木圆柱体积木8块尺寸长度70mm，直径35mm（公差±3mm），原木色新西兰无结松木双倍圆柱体积木4块尺寸长度140mm，直径70mm（公差±3mm），原木色新西兰无结松木地板砖形积木4块尺寸140*70*17.5mm（公差±3mm），原木色新西兰无结松木双倍地板砖形积木4块尺寸280*70*17.5mm（公差±3mm），原木色新西兰无结松木四倍地板砖形积木4块尺寸560*70*17.5mm（公差±3mm），原木色新西兰无结松木柱形积木10块尺寸140*35*35mm（公差±3mm），原木色新西兰无结松木双倍柱形积木10块尺寸280*35*35mm（公差±3mm），原木色新西兰无结松木单元积木14块尺寸140*70*35mm（公差±3mm），原木色新西兰无结松木半单元积木20块尺寸70*70*35mm（公差±3mm），原木色新西兰无结松木双单元积木12块尺寸280*70*35mm（公差±3mm），原木色新西兰无结松木半柱形积木28块尺寸70*35*35mm（公差±3mm），原木色新西兰无结松木柱形积木8块尺寸140*35*35mm（公差±3mm），原木色新西兰无结松木半单元积木10块尺寸70*70*35mm（公差±3mm），原木色新西兰无结松木双单元积木8块尺寸280*70*35mm（公差±3mm），原木色新西兰无结松木四倍单元积木4块尺寸560*70*35mm（公差±3mm），原木色新西兰无结松木双倍圆柱体积木4块尺寸长度140mm，直径70mm（公差±3mm），原木色新西兰无结松木单元积木40块尺寸140*70*35mm（公差±3mm），原木色新西兰无结松木单元积木8块尺寸140*70*35mm（公差±3mm），原木色新西兰无结松木半球体积木2块尺寸70*70*35mm，直径70mm（公差±3mm），原木色新西兰无结松木圆柱体积木2块尺寸长度70mm，直径35mm（公差±3mm），原木色新西兰无结松木扇形积木4块尺寸70*70*35mm（公差±3mm），原木色新西兰无结松木斜坡形积木4块尺寸137.5*70*35mm（公差±3mm），原木色新西兰无结松木四分之一圆环积木4块尺寸70*70*35mm（公差±3mm），原木色新西兰无结松木三棱柱积木2块尺寸长140*35*31mm,三角形横截面边长35mm（公差±3mm），原木色新西兰无结松木半圆环积木4块尺寸外圆直径140mm,内圆直径71mm,厚度35mm（公差±3mm），原木色新西兰无结松木小半圆形积木4块尺寸直径70mm，厚35mm（公差±3mm），原木色新西兰无结松木大半圆形积木4块。尺寸直径140mm，厚35mm（公差±3mm），原木色新西兰无结松木双倍圆柱体积木12块尺寸长度140mm，直径70mm（公差±3mm），原木色新西兰无结松木使用手册（大班）1本正16开；封面：200g铜版纸，覆哑膜，单面四色印刷；内芯：80g双胶纸，正反八色印刷；无线胶装纸质游戏图卡（大班）1册封面：200g铜版纸，单面四色印刷，覆哑膜。内芯：200g铜版纸，64P，正反八色印刷，覆哑膜纸质区域标识牌1张300*130mm；157g铜版纸；覆哑膜；单面四色印刷纸质区域规则牌1张正8开；157g铜版纸；覆哑膜；单面四色印刷纸质玩具柜彩色标签2套120*85mm,40小张/套，80g不干胶，单面四色印刷，覆亚膜，卡刀模纸质主题挂图（大班）8张正8开；157g铜版纸，单面四色印刷纸质技能图卡（大班）1张正8开；157g铜版纸，单面四色印刷纸质塑料单元积木（红色）4块尺寸120*60*30mm（公差±1mm）；红色(PANTONE 485C)ABS塑料单元积木（蓝色）4块尺寸120*60*30mm（公差±1mm）；蓝色(PANTONE 2935C)ABS塑料单元积木（绿色）4块尺寸120*60*30mm（公差±1mm）；绿色(PANTONE 354C)ABS塑料半圆形积木（红色）2块尺寸120（直径）*30mm（公差±1mm）；红色(PANTONE 485C)ABS塑料半圆形积木（蓝色）2块尺寸120（直径）*30 mm（公差±1mm）；蓝色(PANTONE 2935C)ABS塑料半圆形积木（绿色）2块尺寸120（直径）*30mm（公差±1mm）；绿色(PANTONE 354C)ABS拱桥形积木4块尺寸140*70*35mm，内空半圆直径71mm（公差±3mm），原木色新西兰无结松木高树4个尺寸为115*65*15（厚）mm（公差±3mm），绿色(PANTONE 354c)15mm密度板矮树4个尺寸为45*95*15（厚）mm（公差±3mm），绿色(PANTONE 354c)15mm密度板人偶3个深蓝色(PANTONE 2935c)人偶，尺寸为80*32*15（厚）mm（公差±3mm），橙色(PANTONE 137c)人偶，尺寸为70*32*15（厚）mm（公差±3mm），黄色（PANTONE 012c）人偶，60*42*15（厚）mm（公差±3mm）15mm密度板骆驼1个身体(PANTONE 137c)花纹(PANTONE 725c)，尺寸为85*70*15mm（公差±3mm）15mm密度板羊1个白底橙色(PANTONE 137c)花纹，尺寸为62*40*15（厚）mm（公差±3mm）15mm密度板熊1个身体色（PANTONE 137c），眼睛耳朵（PANTONE 012c），90*55*15（厚）mm（公差±3mm）15mm密度板狮子1个身体色(PANTONE 137c)脖子毛发、尾巴顶端毛发、眼睛色（PANTONE 725c），宽80mm，高50mm，厚度15mm（公差±3mm）15mm密度板长颈鹿1个黄底（PANTONE 012c）橙色(PANTONE 137c)花纹，尺寸35*100*15（厚）mm（公差±3mm）15mm密度板鳄鱼1个绿底(PANTONE 354c)白色花纹，尺寸为120*30*15（厚）mm（公差±3mm）15mm密度板兔子1个身体白色，眼睛红色（PANTONE 485c），宽50mm，高33mm，厚度15mm（公差±3mm）15mm密度板警车1个底色白色，花纹蓝色（PANTONE 2935c）,车灯红色、蓝色（PANTONE485c、PANTONE 2935c），宽80mm，除轮子和灯外高40mm，灯5mm，轮子直径20mm（公差±3mm）15mm密度板救护车1个底色白色，车灯和车身花纹为红色（PANTONE 485c），玻璃和车底部颜色为蓝色（PANTONE 2935c）。宽80mm，除轮子和灯外高45mm，厚度15mm，灯3mm，轮子直径20mm（公差±3mm）15mm密度板消防车1个底色红色（PANTONE 485c））,窗户黄色（PANTONE 012c）。宽95mm，除轮子和灯外高45mm，厚度15mm，轮子直径20mm，灯5mm（公差±3mm）15mm密度板小车1个底色蓝色（PANTONE 2935c）,窗户白色，车底部花纹和车灯橙色和白色（PANTONE 137c），宽80mm，厚度15mm，除轮子外高40mm，轮子直径20mm15mm密度板公共汽车1个底色红色（PANTONE 485c），窗户黄色（PANTONE 012c）。宽110mm，除轮子外高50mm，厚度15mm，轮子直径20mm（公差±3mm）15mm密度板交通标识15个中间圆柱直径为7mm，高为33mm；底座均为圆形，直径为25mm，厚度均为12mm（公差±3mm）。标志牌厚度为12mm，数量与具体尺寸如下：三角形2个，边长33mm，高为30mm（公差±3mm）；圆形标志8个，直径为33mm（公差±3mm）；正方形标志3个，边长30mm（公差±3mm）；长方形标志2个，40*23mm（公差±3mm）；中间柱子为松木，其余部件为密度板12mm密度板+松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B71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2A7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0ED5D889">
        <w:tblPrEx>
          <w:tblCellMar>
            <w:top w:w="0" w:type="dxa"/>
            <w:left w:w="108" w:type="dxa"/>
            <w:bottom w:w="0" w:type="dxa"/>
            <w:right w:w="108" w:type="dxa"/>
          </w:tblCellMar>
        </w:tblPrEx>
        <w:trPr>
          <w:trHeight w:val="5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7FB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B771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建构（大班）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57A8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64384" behindDoc="0" locked="0" layoutInCell="1" allowOverlap="1">
                  <wp:simplePos x="0" y="0"/>
                  <wp:positionH relativeFrom="column">
                    <wp:posOffset>264795</wp:posOffset>
                  </wp:positionH>
                  <wp:positionV relativeFrom="paragraph">
                    <wp:posOffset>1120140</wp:posOffset>
                  </wp:positionV>
                  <wp:extent cx="1285240" cy="849630"/>
                  <wp:effectExtent l="0" t="0" r="10160" b="7620"/>
                  <wp:wrapNone/>
                  <wp:docPr id="8" name="图片_4"/>
                  <wp:cNvGraphicFramePr/>
                  <a:graphic xmlns:a="http://schemas.openxmlformats.org/drawingml/2006/main">
                    <a:graphicData uri="http://schemas.openxmlformats.org/drawingml/2006/picture">
                      <pic:pic xmlns:pic="http://schemas.openxmlformats.org/drawingml/2006/picture">
                        <pic:nvPicPr>
                          <pic:cNvPr id="8" name="图片_4"/>
                          <pic:cNvPicPr/>
                        </pic:nvPicPr>
                        <pic:blipFill>
                          <a:blip r:embed="rId22"/>
                          <a:stretch>
                            <a:fillRect/>
                          </a:stretch>
                        </pic:blipFill>
                        <pic:spPr>
                          <a:xfrm>
                            <a:off x="0" y="0"/>
                            <a:ext cx="1285240" cy="84963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CE24">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产品规格：2个内箱，16个收纳盒，1个收纳箱，内含1300个配件，产品配套班级教师指导手册（不低于32节科学建构课程），手册内容包含课程设计理念，建构造型，亲子活动方案等。主要配件 D54滑轮片轴 蓝色（φ54mm*25mm）；D50连接器 黄（φ50mm*26mm）；圆球体（D50mm*9.5mm）黄；12齿齿轮（ø48mm*20mm）绿色；18齿齿轮(ø69mm*13.5mm)黄色；24齿齿轮(ø89mm*13.5mm)蓝；36齿齿轮(ø129mm*13.5mm)红；D9.55空心管77(φ9.55mm*77mm)蓝色；D9.55空心管120(φ9.55mm*120mm)；收纳箱（400*335*216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主要材质：ABS塑料；其它材质：PVC,PP,EVA</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功能、特点：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低结构、易塑形、易操作积木游戏材料，以点、线、面、轴为主要配件，核心基础配件直径5厘米，拥有有10个链接孔，设计符合孩子抓握需求。每个孔拆装力度是6-8磅，锻炼孩子手部精细化运动，由简至繁、由平面到立体、由静态到动态、由动态到机械构架。易于变化，易于引导孩子探索创新，走向科学。</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2.任何一种材料与材料之间都存在着数十种以上的选择连接，通过简单的操作，可以形成各种连接关系，而这种连接关系可以无限延伸，使幼儿创造性思维宽度得以不断拓展。</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3. 收纳箱创意设计、功能多样、一箱多用。推拉抽屉设计，拉手舒适，抽拉方便；抽屉大开口，取用更方便；分层设计，归类收纳，培养幼儿的收纳习惯；叠加收纳，不易倾倒，节约空间；大圆角设计，圆润边角，质感无毛刺，安全系数更高；ABS环保材质，无异味，安全认证；4个“小脚丫”可一键安装到收纳箱上，承重强，抗摔耐压，当做板凳来使用；收纳箱外箱可展开作为面板，“小脚丫”起到插头作用，以用来连接并固定面板和万能工匠球，从而当做儿童早教桌使用。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A26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C70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15C93B50">
        <w:tblPrEx>
          <w:tblCellMar>
            <w:top w:w="0" w:type="dxa"/>
            <w:left w:w="108" w:type="dxa"/>
            <w:bottom w:w="0" w:type="dxa"/>
            <w:right w:w="108" w:type="dxa"/>
          </w:tblCellMar>
        </w:tblPrEx>
        <w:trPr>
          <w:trHeight w:val="2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8C3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1994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三羊编织（中班）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4FC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65408" behindDoc="0" locked="0" layoutInCell="1" allowOverlap="1">
                  <wp:simplePos x="0" y="0"/>
                  <wp:positionH relativeFrom="column">
                    <wp:posOffset>111760</wp:posOffset>
                  </wp:positionH>
                  <wp:positionV relativeFrom="paragraph">
                    <wp:posOffset>389255</wp:posOffset>
                  </wp:positionV>
                  <wp:extent cx="1247775" cy="716280"/>
                  <wp:effectExtent l="0" t="0" r="9525" b="7620"/>
                  <wp:wrapNone/>
                  <wp:docPr id="22" name="ID_82AE8BE0283044DEAEC6D2B99D9C0724"/>
                  <wp:cNvGraphicFramePr/>
                  <a:graphic xmlns:a="http://schemas.openxmlformats.org/drawingml/2006/main">
                    <a:graphicData uri="http://schemas.openxmlformats.org/drawingml/2006/picture">
                      <pic:pic xmlns:pic="http://schemas.openxmlformats.org/drawingml/2006/picture">
                        <pic:nvPicPr>
                          <pic:cNvPr id="22" name="ID_82AE8BE0283044DEAEC6D2B99D9C0724"/>
                          <pic:cNvPicPr/>
                        </pic:nvPicPr>
                        <pic:blipFill>
                          <a:blip r:embed="rId23"/>
                          <a:stretch>
                            <a:fillRect/>
                          </a:stretch>
                        </pic:blipFill>
                        <pic:spPr>
                          <a:xfrm>
                            <a:off x="0" y="0"/>
                            <a:ext cx="1247775" cy="71628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EDC8">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产品材质：木制、布艺                             </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质:木制、布艺，规格:每套含1cm单花边绳4卷，每卷5米，共4种颜色，1cm宽松紧带2卷，每卷5米，共2种颜色，2.5cm格子绳带2包，每包5米，共2种颜色，直径2.5m棉绳4卷，每卷5米，共4种颜色，圆形编织盘2个直径26cm厚1cm，三角形编织盘2个直径27cm厚1cm，正方形编织盘2个直径26cm厚1cm，操作指导卡片10张。绳线材料总长度60米。EVA软棒12跟，红色、黄色、绿色、紫色各3跟，软硬适中，长度7cm。总配件数40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D41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F506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01EDA13D">
        <w:tblPrEx>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080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69A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科学物理实验进阶套玩具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F50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66432" behindDoc="0" locked="0" layoutInCell="1" allowOverlap="1">
                  <wp:simplePos x="0" y="0"/>
                  <wp:positionH relativeFrom="column">
                    <wp:posOffset>399415</wp:posOffset>
                  </wp:positionH>
                  <wp:positionV relativeFrom="paragraph">
                    <wp:posOffset>259715</wp:posOffset>
                  </wp:positionV>
                  <wp:extent cx="1077595" cy="767080"/>
                  <wp:effectExtent l="0" t="0" r="8255" b="13970"/>
                  <wp:wrapNone/>
                  <wp:docPr id="21" name="图片_18"/>
                  <wp:cNvGraphicFramePr/>
                  <a:graphic xmlns:a="http://schemas.openxmlformats.org/drawingml/2006/main">
                    <a:graphicData uri="http://schemas.openxmlformats.org/drawingml/2006/picture">
                      <pic:pic xmlns:pic="http://schemas.openxmlformats.org/drawingml/2006/picture">
                        <pic:nvPicPr>
                          <pic:cNvPr id="21" name="图片_18"/>
                          <pic:cNvPicPr/>
                        </pic:nvPicPr>
                        <pic:blipFill>
                          <a:blip r:embed="rId24"/>
                          <a:stretch>
                            <a:fillRect/>
                          </a:stretch>
                        </pic:blipFill>
                        <pic:spPr>
                          <a:xfrm>
                            <a:off x="0" y="0"/>
                            <a:ext cx="1077595" cy="76708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3D9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1、产品材质：榉木、胶合板、PA、ABS。</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2、产品尺寸：包装盒260x300x60H 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3、产品配件：7根长螺杆、6根短螺杆、7个螺帽、1个盖帽、2个三孔连接件、1个1孔连接件、2根7孔板、4根5孔板、4根三孔板、2片7孔转角板、1桥形座、2小滑轮、1螺丝刀、1扳手、1个3孔塑料连接件。</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4、产品介绍：基础实验套装帮你加深对物理和工程的理解。内含便利的工具；零配件和启蒙搭建项目，可以和其它小发明家套装组合使用。只要有创意，发明无极限。</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DB7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5D5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4EBD54A0">
        <w:tblPrEx>
          <w:tblCellMar>
            <w:top w:w="0" w:type="dxa"/>
            <w:left w:w="108" w:type="dxa"/>
            <w:bottom w:w="0" w:type="dxa"/>
            <w:right w:w="108" w:type="dxa"/>
          </w:tblCellMar>
        </w:tblPrEx>
        <w:trPr>
          <w:trHeight w:val="1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6B24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4445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方井积木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BCA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67456" behindDoc="0" locked="0" layoutInCell="1" allowOverlap="1">
                  <wp:simplePos x="0" y="0"/>
                  <wp:positionH relativeFrom="column">
                    <wp:posOffset>268605</wp:posOffset>
                  </wp:positionH>
                  <wp:positionV relativeFrom="paragraph">
                    <wp:posOffset>538480</wp:posOffset>
                  </wp:positionV>
                  <wp:extent cx="1209040" cy="413385"/>
                  <wp:effectExtent l="0" t="0" r="10160" b="5715"/>
                  <wp:wrapNone/>
                  <wp:docPr id="5" name="ID_F3326C5E11D045589335627ABD077F45"/>
                  <wp:cNvGraphicFramePr/>
                  <a:graphic xmlns:a="http://schemas.openxmlformats.org/drawingml/2006/main">
                    <a:graphicData uri="http://schemas.openxmlformats.org/drawingml/2006/picture">
                      <pic:pic xmlns:pic="http://schemas.openxmlformats.org/drawingml/2006/picture">
                        <pic:nvPicPr>
                          <pic:cNvPr id="5" name="ID_F3326C5E11D045589335627ABD077F45"/>
                          <pic:cNvPicPr/>
                        </pic:nvPicPr>
                        <pic:blipFill>
                          <a:blip r:embed="rId25"/>
                          <a:stretch>
                            <a:fillRect/>
                          </a:stretch>
                        </pic:blipFill>
                        <pic:spPr>
                          <a:xfrm>
                            <a:off x="0" y="0"/>
                            <a:ext cx="1209040" cy="41338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6049">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产品材质：塑料</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产品配置：包含藤条篮子1个，尺寸为35x28x25cm。各种形状的积木约690粒，操作指导卡片6张，尺寸为24*24*0.1cm。白色空心圆柱外直径1cm，内直径0.8cm，长8cm。白色空心方柱，外围1*1*8cm，内围0.8*0.8*8cm。圆形直径4cm，厚度2cm，中间空心方形尺寸1*1*2cm。H型尺寸4*2*1cm。总配件数约697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4EB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24B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495A3C7B">
        <w:tblPrEx>
          <w:tblCellMar>
            <w:top w:w="0" w:type="dxa"/>
            <w:left w:w="108" w:type="dxa"/>
            <w:bottom w:w="0" w:type="dxa"/>
            <w:right w:w="108" w:type="dxa"/>
          </w:tblCellMar>
        </w:tblPrEx>
        <w:trPr>
          <w:trHeight w:val="2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1954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1F20">
            <w:pPr>
              <w:widowControl/>
              <w:jc w:val="center"/>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rPr>
              <w:t>雪花积木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DA95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68480" behindDoc="0" locked="0" layoutInCell="1" allowOverlap="1">
                  <wp:simplePos x="0" y="0"/>
                  <wp:positionH relativeFrom="column">
                    <wp:posOffset>357505</wp:posOffset>
                  </wp:positionH>
                  <wp:positionV relativeFrom="paragraph">
                    <wp:posOffset>884555</wp:posOffset>
                  </wp:positionV>
                  <wp:extent cx="965200" cy="537210"/>
                  <wp:effectExtent l="0" t="0" r="6350" b="15240"/>
                  <wp:wrapNone/>
                  <wp:docPr id="9" name="ID_63AE21E2D5FC421897BD4681776D7089"/>
                  <wp:cNvGraphicFramePr/>
                  <a:graphic xmlns:a="http://schemas.openxmlformats.org/drawingml/2006/main">
                    <a:graphicData uri="http://schemas.openxmlformats.org/drawingml/2006/picture">
                      <pic:pic xmlns:pic="http://schemas.openxmlformats.org/drawingml/2006/picture">
                        <pic:nvPicPr>
                          <pic:cNvPr id="9" name="ID_63AE21E2D5FC421897BD4681776D7089"/>
                          <pic:cNvPicPr/>
                        </pic:nvPicPr>
                        <pic:blipFill>
                          <a:blip r:embed="rId26"/>
                          <a:stretch>
                            <a:fillRect/>
                          </a:stretch>
                        </pic:blipFill>
                        <pic:spPr>
                          <a:xfrm>
                            <a:off x="0" y="0"/>
                            <a:ext cx="965200" cy="53721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87C5">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 材质：塑料，</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规格：包含藤条篮子1个，尺寸为35x28x25cm，雪花积木约1800片，直径35cm厚0.2cm、8个齿，小孔直径0.8cm，操作指导卡片6张，尺寸为24*24*0.1cm。总配件数约1807件。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71A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BD3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755ED079">
        <w:tblPrEx>
          <w:tblCellMar>
            <w:top w:w="0" w:type="dxa"/>
            <w:left w:w="108" w:type="dxa"/>
            <w:bottom w:w="0" w:type="dxa"/>
            <w:right w:w="108" w:type="dxa"/>
          </w:tblCellMar>
        </w:tblPrEx>
        <w:trPr>
          <w:trHeight w:val="3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A9D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7CA9">
            <w:pPr>
              <w:widowControl/>
              <w:jc w:val="center"/>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rPr>
              <w:t>沃野塔吊工程组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A678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69504" behindDoc="0" locked="0" layoutInCell="1" allowOverlap="1">
                  <wp:simplePos x="0" y="0"/>
                  <wp:positionH relativeFrom="column">
                    <wp:posOffset>334645</wp:posOffset>
                  </wp:positionH>
                  <wp:positionV relativeFrom="paragraph">
                    <wp:posOffset>571500</wp:posOffset>
                  </wp:positionV>
                  <wp:extent cx="1073785" cy="690245"/>
                  <wp:effectExtent l="0" t="0" r="12065" b="14605"/>
                  <wp:wrapNone/>
                  <wp:docPr id="26" name="ID_5802BAECEB514622B9327ADE9AA1E76B"/>
                  <wp:cNvGraphicFramePr/>
                  <a:graphic xmlns:a="http://schemas.openxmlformats.org/drawingml/2006/main">
                    <a:graphicData uri="http://schemas.openxmlformats.org/drawingml/2006/picture">
                      <pic:pic xmlns:pic="http://schemas.openxmlformats.org/drawingml/2006/picture">
                        <pic:nvPicPr>
                          <pic:cNvPr id="26" name="ID_5802BAECEB514622B9327ADE9AA1E76B"/>
                          <pic:cNvPicPr/>
                        </pic:nvPicPr>
                        <pic:blipFill>
                          <a:blip r:embed="rId27"/>
                          <a:stretch>
                            <a:fillRect/>
                          </a:stretch>
                        </pic:blipFill>
                        <pic:spPr>
                          <a:xfrm>
                            <a:off x="0" y="0"/>
                            <a:ext cx="1073785" cy="69024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467C">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产品材质：木制、塑料                                             </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产品配置：每套含彩虹小弯1组共8件，起吊屋1个，叉车1个共2件，蓝色变道单钉Y轨1个，升降路障1个共2件，双凸轨2个，16cm直轨8个，单钉Y轨1个，弯轨8个，木质行车1个，吊机1个，小号吊机1个，移动吊机1个，三斗货车1个共3件，三斗火车3个共22件，小人6个，操作指导卡片5张，黄色背面带磁性六边形5个，蓝色背面带磁性菱形5个，浅绿色背面带磁性三角形5个，橘色背面带磁性正方形5个，红色背面带磁性梯形5个，总配件数75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82A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BD7B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0EEE991F">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5F0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7EE6">
            <w:pPr>
              <w:widowControl/>
              <w:jc w:val="center"/>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rPr>
              <w:t>飞乐拼搭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CE50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0528" behindDoc="0" locked="0" layoutInCell="1" allowOverlap="1">
                  <wp:simplePos x="0" y="0"/>
                  <wp:positionH relativeFrom="column">
                    <wp:posOffset>299085</wp:posOffset>
                  </wp:positionH>
                  <wp:positionV relativeFrom="paragraph">
                    <wp:posOffset>236855</wp:posOffset>
                  </wp:positionV>
                  <wp:extent cx="1177290" cy="692150"/>
                  <wp:effectExtent l="0" t="0" r="3810" b="12700"/>
                  <wp:wrapNone/>
                  <wp:docPr id="19" name="图片_10"/>
                  <wp:cNvGraphicFramePr/>
                  <a:graphic xmlns:a="http://schemas.openxmlformats.org/drawingml/2006/main">
                    <a:graphicData uri="http://schemas.openxmlformats.org/drawingml/2006/picture">
                      <pic:pic xmlns:pic="http://schemas.openxmlformats.org/drawingml/2006/picture">
                        <pic:nvPicPr>
                          <pic:cNvPr id="19" name="图片_10"/>
                          <pic:cNvPicPr/>
                        </pic:nvPicPr>
                        <pic:blipFill>
                          <a:blip r:embed="rId28"/>
                          <a:stretch>
                            <a:fillRect/>
                          </a:stretch>
                        </pic:blipFill>
                        <pic:spPr>
                          <a:xfrm>
                            <a:off x="0" y="0"/>
                            <a:ext cx="1177290" cy="69215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B268">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规格：218件/套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材质：食品级塑料</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说明：积木色彩鲜艳，能组合成各式各样的造型，提升小朋友的动手能力，同时锻炼小朋友的手部肌肉的灵活性，易于操作，在动手过程中充分树立幼儿的自信心及启发幼儿发挥自己的想象力、创造力，趣味性让宝宝玩得更开心！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A6B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A8E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23F97F06">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493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13</w:t>
            </w:r>
          </w:p>
        </w:tc>
        <w:tc>
          <w:tcPr>
            <w:tcW w:w="2470" w:type="dxa"/>
            <w:tcBorders>
              <w:top w:val="nil"/>
              <w:left w:val="nil"/>
              <w:bottom w:val="nil"/>
              <w:right w:val="nil"/>
            </w:tcBorders>
            <w:shd w:val="clear" w:color="auto" w:fill="auto"/>
            <w:vAlign w:val="center"/>
          </w:tcPr>
          <w:p w14:paraId="32D42B51">
            <w:pPr>
              <w:widowControl/>
              <w:jc w:val="center"/>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rPr>
              <w:t xml:space="preserve"> 方块创意积木（小班）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6C82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1552" behindDoc="0" locked="0" layoutInCell="1" allowOverlap="1">
                  <wp:simplePos x="0" y="0"/>
                  <wp:positionH relativeFrom="column">
                    <wp:posOffset>424815</wp:posOffset>
                  </wp:positionH>
                  <wp:positionV relativeFrom="paragraph">
                    <wp:posOffset>142240</wp:posOffset>
                  </wp:positionV>
                  <wp:extent cx="949325" cy="812800"/>
                  <wp:effectExtent l="0" t="0" r="3175" b="6350"/>
                  <wp:wrapNone/>
                  <wp:docPr id="17" name="图片_23"/>
                  <wp:cNvGraphicFramePr/>
                  <a:graphic xmlns:a="http://schemas.openxmlformats.org/drawingml/2006/main">
                    <a:graphicData uri="http://schemas.openxmlformats.org/drawingml/2006/picture">
                      <pic:pic xmlns:pic="http://schemas.openxmlformats.org/drawingml/2006/picture">
                        <pic:nvPicPr>
                          <pic:cNvPr id="17" name="图片_23"/>
                          <pic:cNvPicPr/>
                        </pic:nvPicPr>
                        <pic:blipFill>
                          <a:blip r:embed="rId29"/>
                          <a:stretch>
                            <a:fillRect/>
                          </a:stretch>
                        </pic:blipFill>
                        <pic:spPr>
                          <a:xfrm>
                            <a:off x="0" y="0"/>
                            <a:ext cx="949325" cy="81280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88EF0">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588件/套，材质：聚丙烯 ,说明：积木色彩鲜艳，能组合成各式各样的造型，提升小朋友的动手能力，同时锻炼小朋友的手部肌肉的灵活性，易于操作，在动手过程中充分树立幼儿的自信心及启发幼儿发挥自己的想象力、创造力，趣味性让宝宝玩得更开心！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CFC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8A6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71C5ED13">
        <w:tblPrEx>
          <w:tblCellMar>
            <w:top w:w="0" w:type="dxa"/>
            <w:left w:w="108" w:type="dxa"/>
            <w:bottom w:w="0" w:type="dxa"/>
            <w:right w:w="108" w:type="dxa"/>
          </w:tblCellMar>
        </w:tblPrEx>
        <w:trPr>
          <w:trHeight w:val="2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6D4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29D6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仿真蔬菜套装</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B91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2576" behindDoc="0" locked="0" layoutInCell="1" allowOverlap="1">
                  <wp:simplePos x="0" y="0"/>
                  <wp:positionH relativeFrom="column">
                    <wp:posOffset>315595</wp:posOffset>
                  </wp:positionH>
                  <wp:positionV relativeFrom="paragraph">
                    <wp:posOffset>268605</wp:posOffset>
                  </wp:positionV>
                  <wp:extent cx="1060450" cy="685165"/>
                  <wp:effectExtent l="0" t="0" r="6350" b="635"/>
                  <wp:wrapNone/>
                  <wp:docPr id="4" name="ID_BE741648478E41CDBAA33C8BA6D166CD"/>
                  <wp:cNvGraphicFramePr/>
                  <a:graphic xmlns:a="http://schemas.openxmlformats.org/drawingml/2006/main">
                    <a:graphicData uri="http://schemas.openxmlformats.org/drawingml/2006/picture">
                      <pic:pic xmlns:pic="http://schemas.openxmlformats.org/drawingml/2006/picture">
                        <pic:nvPicPr>
                          <pic:cNvPr id="4" name="ID_BE741648478E41CDBAA33C8BA6D166CD"/>
                          <pic:cNvPicPr/>
                        </pic:nvPicPr>
                        <pic:blipFill>
                          <a:blip r:embed="rId30"/>
                          <a:stretch>
                            <a:fillRect/>
                          </a:stretch>
                        </pic:blipFill>
                        <pic:spPr>
                          <a:xfrm>
                            <a:off x="0" y="0"/>
                            <a:ext cx="1060450" cy="68516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24C7">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产品配置：胡萝卜1个，尺寸13*4cm,两个相连、大蒜头2个，尺寸5*5cm、黄瓜1个，尺寸19*4.5cm、香菇2个，尺寸6*6cm、卷心菜1个，尺寸7*8cm、西红柿1个，尺寸7*5.5cm、大葱1个，21*5cm、蔬菜篮1个，尺寸15*21*7。内均填充优质丝绵。</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包装尺寸：25×21×12cm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488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F10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2D49DC7B">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F99B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18B0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美食家厨具</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68D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3600" behindDoc="0" locked="0" layoutInCell="1" allowOverlap="1">
                  <wp:simplePos x="0" y="0"/>
                  <wp:positionH relativeFrom="column">
                    <wp:posOffset>492125</wp:posOffset>
                  </wp:positionH>
                  <wp:positionV relativeFrom="paragraph">
                    <wp:posOffset>238125</wp:posOffset>
                  </wp:positionV>
                  <wp:extent cx="859155" cy="643255"/>
                  <wp:effectExtent l="0" t="0" r="17145" b="4445"/>
                  <wp:wrapNone/>
                  <wp:docPr id="18" name="图片_11"/>
                  <wp:cNvGraphicFramePr/>
                  <a:graphic xmlns:a="http://schemas.openxmlformats.org/drawingml/2006/main">
                    <a:graphicData uri="http://schemas.openxmlformats.org/drawingml/2006/picture">
                      <pic:pic xmlns:pic="http://schemas.openxmlformats.org/drawingml/2006/picture">
                        <pic:nvPicPr>
                          <pic:cNvPr id="18" name="图片_11"/>
                          <pic:cNvPicPr/>
                        </pic:nvPicPr>
                        <pic:blipFill>
                          <a:blip r:embed="rId31"/>
                          <a:stretch>
                            <a:fillRect/>
                          </a:stretch>
                        </pic:blipFill>
                        <pic:spPr>
                          <a:xfrm>
                            <a:off x="0" y="0"/>
                            <a:ext cx="859155" cy="64325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85B8">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1、产品材质：椴木、胶合板、荷木、FASAL。</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2、产品尺寸：包装盒200x100x260H 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3、产品配件：1个汤锅、1个平底锅、2个碟子、1瓶盐、1瓶胡椒、2把叉子、2把刀、1把小勺、1把汤勺、1个锅盖。</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4、产品介绍：有了厨具和餐具，儿童就可以为朋友和家人做一顿美味的饭菜啦。</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91A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525A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7AB2E769">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793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E8B9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切切食物围裙大家族</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06B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4624" behindDoc="0" locked="0" layoutInCell="1" allowOverlap="1">
                  <wp:simplePos x="0" y="0"/>
                  <wp:positionH relativeFrom="column">
                    <wp:posOffset>144780</wp:posOffset>
                  </wp:positionH>
                  <wp:positionV relativeFrom="paragraph">
                    <wp:posOffset>214630</wp:posOffset>
                  </wp:positionV>
                  <wp:extent cx="1376045" cy="688340"/>
                  <wp:effectExtent l="0" t="0" r="14605" b="16510"/>
                  <wp:wrapNone/>
                  <wp:docPr id="28" name="ID_64844C56B9C04CB7A3CB596E92EA2FBC"/>
                  <wp:cNvGraphicFramePr/>
                  <a:graphic xmlns:a="http://schemas.openxmlformats.org/drawingml/2006/main">
                    <a:graphicData uri="http://schemas.openxmlformats.org/drawingml/2006/picture">
                      <pic:pic xmlns:pic="http://schemas.openxmlformats.org/drawingml/2006/picture">
                        <pic:nvPicPr>
                          <pic:cNvPr id="28" name="ID_64844C56B9C04CB7A3CB596E92EA2FBC"/>
                          <pic:cNvPicPr/>
                        </pic:nvPicPr>
                        <pic:blipFill>
                          <a:blip r:embed="rId32"/>
                          <a:stretch>
                            <a:fillRect/>
                          </a:stretch>
                        </pic:blipFill>
                        <pic:spPr>
                          <a:xfrm>
                            <a:off x="0" y="0"/>
                            <a:ext cx="1376045" cy="6883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21AE">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材质：布艺、木制</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手套13*17cm，帽子16*21cm，有松紧带。隔热垫11*11cm，围裙53*46cm，围裙上领口17cm，系带38cm。筷子16cm，直径0.6cm，小勺子11cm，叉子11cm，大勺子15cm，铲子17cm，刀12cm，切菜板10*17cm，厚度0.5cm。木制锅直径10cm，手柄8.5cm，深度2cm，调味罐3个，底部直径4cm顶部直径2.5cm，调味盒2个，直径3.5cm，高6cm。木制切切食物（带粘钩）17个，尺寸6-17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E17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1A15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469C43CB">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D3B0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CEC8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手提箱医生套装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3C3F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5648" behindDoc="0" locked="0" layoutInCell="1" allowOverlap="1">
                  <wp:simplePos x="0" y="0"/>
                  <wp:positionH relativeFrom="column">
                    <wp:posOffset>526415</wp:posOffset>
                  </wp:positionH>
                  <wp:positionV relativeFrom="paragraph">
                    <wp:posOffset>160655</wp:posOffset>
                  </wp:positionV>
                  <wp:extent cx="861060" cy="861060"/>
                  <wp:effectExtent l="0" t="0" r="15240" b="15240"/>
                  <wp:wrapNone/>
                  <wp:docPr id="23" name="图片_599"/>
                  <wp:cNvGraphicFramePr/>
                  <a:graphic xmlns:a="http://schemas.openxmlformats.org/drawingml/2006/main">
                    <a:graphicData uri="http://schemas.openxmlformats.org/drawingml/2006/picture">
                      <pic:pic xmlns:pic="http://schemas.openxmlformats.org/drawingml/2006/picture">
                        <pic:nvPicPr>
                          <pic:cNvPr id="23" name="图片_599"/>
                          <pic:cNvPicPr/>
                        </pic:nvPicPr>
                        <pic:blipFill>
                          <a:blip r:embed="rId33"/>
                          <a:stretch>
                            <a:fillRect/>
                          </a:stretch>
                        </pic:blipFill>
                        <pic:spPr>
                          <a:xfrm>
                            <a:off x="0" y="0"/>
                            <a:ext cx="861060" cy="86106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2576">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1、产品材质：荷木、EVA、PC、牛津布、铁、细绳。</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2、产品尺寸：210x150x80H 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3、产品配件：1个听诊器、1张记录卡、1根针筒、1台血压计、1管药膏、1个温度计、1个收纳医疗包。</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4、产品介绍：齐全的医疗包，配备温度计；听诊器；血压仪；诊疗卡等等仪器。专业的装备让角色游戏更生动！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9C8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96B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3BBF7FF0">
        <w:tblPrEx>
          <w:tblCellMar>
            <w:top w:w="0" w:type="dxa"/>
            <w:left w:w="108" w:type="dxa"/>
            <w:bottom w:w="0" w:type="dxa"/>
            <w:right w:w="108" w:type="dxa"/>
          </w:tblCellMar>
        </w:tblPrEx>
        <w:trPr>
          <w:trHeight w:val="2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6AF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CF5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小卖部收银台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1AB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6672" behindDoc="0" locked="0" layoutInCell="1" allowOverlap="1">
                  <wp:simplePos x="0" y="0"/>
                  <wp:positionH relativeFrom="column">
                    <wp:posOffset>436880</wp:posOffset>
                  </wp:positionH>
                  <wp:positionV relativeFrom="paragraph">
                    <wp:posOffset>269875</wp:posOffset>
                  </wp:positionV>
                  <wp:extent cx="861695" cy="669290"/>
                  <wp:effectExtent l="0" t="0" r="14605" b="16510"/>
                  <wp:wrapNone/>
                  <wp:docPr id="20" name="图片_222"/>
                  <wp:cNvGraphicFramePr/>
                  <a:graphic xmlns:a="http://schemas.openxmlformats.org/drawingml/2006/main">
                    <a:graphicData uri="http://schemas.openxmlformats.org/drawingml/2006/picture">
                      <pic:pic xmlns:pic="http://schemas.openxmlformats.org/drawingml/2006/picture">
                        <pic:nvPicPr>
                          <pic:cNvPr id="20" name="图片_222"/>
                          <pic:cNvPicPr/>
                        </pic:nvPicPr>
                        <pic:blipFill>
                          <a:blip r:embed="rId34"/>
                          <a:stretch>
                            <a:fillRect/>
                          </a:stretch>
                        </pic:blipFill>
                        <pic:spPr>
                          <a:xfrm>
                            <a:off x="0" y="0"/>
                            <a:ext cx="861695" cy="66929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1A59">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1、产品材质：胶合板、荷木、FASAL、铁、纸、细绳。</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2、产品尺寸：193x121x200H 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3、产品配件：1个收银台、5张记账纸、15张钱、1张银行卡、15个硬币。</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4、产品介绍：买完东西后是现金还是刷卡呢？收银台不只可以刷卡和付现金，通过游戏学习到的东西是无价的。</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416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7EC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105AB848">
        <w:tblPrEx>
          <w:tblCellMar>
            <w:top w:w="0" w:type="dxa"/>
            <w:left w:w="108" w:type="dxa"/>
            <w:bottom w:w="0" w:type="dxa"/>
            <w:right w:w="108" w:type="dxa"/>
          </w:tblCellMar>
        </w:tblPrEx>
        <w:trPr>
          <w:trHeight w:val="2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D42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63D1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扮演美发套装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A90D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7696" behindDoc="0" locked="0" layoutInCell="1" allowOverlap="1">
                  <wp:simplePos x="0" y="0"/>
                  <wp:positionH relativeFrom="column">
                    <wp:posOffset>290195</wp:posOffset>
                  </wp:positionH>
                  <wp:positionV relativeFrom="paragraph">
                    <wp:posOffset>420370</wp:posOffset>
                  </wp:positionV>
                  <wp:extent cx="861060" cy="861060"/>
                  <wp:effectExtent l="0" t="0" r="15240" b="15240"/>
                  <wp:wrapNone/>
                  <wp:docPr id="24" name="图片_569"/>
                  <wp:cNvGraphicFramePr/>
                  <a:graphic xmlns:a="http://schemas.openxmlformats.org/drawingml/2006/main">
                    <a:graphicData uri="http://schemas.openxmlformats.org/drawingml/2006/picture">
                      <pic:pic xmlns:pic="http://schemas.openxmlformats.org/drawingml/2006/picture">
                        <pic:nvPicPr>
                          <pic:cNvPr id="24" name="图片_569"/>
                          <pic:cNvPicPr/>
                        </pic:nvPicPr>
                        <pic:blipFill>
                          <a:blip r:embed="rId35"/>
                          <a:stretch>
                            <a:fillRect/>
                          </a:stretch>
                        </pic:blipFill>
                        <pic:spPr>
                          <a:xfrm>
                            <a:off x="0" y="0"/>
                            <a:ext cx="861060" cy="86106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0BAE">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1、产品材质：荷木、榉木、密度板、PMMA、TPE、牛津布、铁。</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2、产品尺寸：190x160x80H 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3、产品配件：1个梳妆收纳包、2根花头绳、1把梳子、1面镜子、1瓶香水、1盒眼影、1盒粉底霜、1支口红、1瓶指甲油、1根发带。</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4、产品介绍：唇彩；粉饼；香水；眼影……还有宝宝可以佩戴的可爱发绳和发箍，真是太棒了！</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04F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B9D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1B47D3EE">
        <w:tblPrEx>
          <w:tblCellMar>
            <w:top w:w="0" w:type="dxa"/>
            <w:left w:w="108" w:type="dxa"/>
            <w:bottom w:w="0" w:type="dxa"/>
            <w:right w:w="108" w:type="dxa"/>
          </w:tblCellMar>
        </w:tblPrEx>
        <w:trPr>
          <w:trHeight w:val="2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B21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289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全能煤气灶</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8B7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8720" behindDoc="0" locked="0" layoutInCell="1" allowOverlap="1">
                  <wp:simplePos x="0" y="0"/>
                  <wp:positionH relativeFrom="column">
                    <wp:posOffset>299085</wp:posOffset>
                  </wp:positionH>
                  <wp:positionV relativeFrom="paragraph">
                    <wp:posOffset>276225</wp:posOffset>
                  </wp:positionV>
                  <wp:extent cx="1002030" cy="707390"/>
                  <wp:effectExtent l="0" t="0" r="7620" b="16510"/>
                  <wp:wrapNone/>
                  <wp:docPr id="27" name="ID_B3F291AA5BBF4A2DB7ADB9A9022E843A"/>
                  <wp:cNvGraphicFramePr/>
                  <a:graphic xmlns:a="http://schemas.openxmlformats.org/drawingml/2006/main">
                    <a:graphicData uri="http://schemas.openxmlformats.org/drawingml/2006/picture">
                      <pic:pic xmlns:pic="http://schemas.openxmlformats.org/drawingml/2006/picture">
                        <pic:nvPicPr>
                          <pic:cNvPr id="27" name="ID_B3F291AA5BBF4A2DB7ADB9A9022E843A"/>
                          <pic:cNvPicPr/>
                        </pic:nvPicPr>
                        <pic:blipFill>
                          <a:blip r:embed="rId36"/>
                          <a:stretch>
                            <a:fillRect/>
                          </a:stretch>
                        </pic:blipFill>
                        <pic:spPr>
                          <a:xfrm>
                            <a:off x="0" y="0"/>
                            <a:ext cx="1002030" cy="70739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DE0C">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产品配置：模拟玩具煤气灶1台，尺寸16*20*6cm,安装电池使用、汤锅1个，直径15cm，锅深度6cm、锅盖1个，直径15cm、液化气1瓶、调味料2瓶、沙拉酱1瓶、番茄酱1瓶、砧板1个、刀具4把、磨刀器1把、刨子1把、刀具收纳架1个、各类食材12件、碗2只、盘子2块、小叉子1把、小勺1把、餐刀1把、大汤勺1把、大漏勺1把。</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包装尺寸：34×13×21cm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9D7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C5D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4FC74504">
        <w:tblPrEx>
          <w:tblCellMar>
            <w:top w:w="0" w:type="dxa"/>
            <w:left w:w="108" w:type="dxa"/>
            <w:bottom w:w="0" w:type="dxa"/>
            <w:right w:w="108"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FA54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F59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美味仿真披萨</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F50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79744" behindDoc="0" locked="0" layoutInCell="1" allowOverlap="1">
                  <wp:simplePos x="0" y="0"/>
                  <wp:positionH relativeFrom="column">
                    <wp:posOffset>175260</wp:posOffset>
                  </wp:positionH>
                  <wp:positionV relativeFrom="paragraph">
                    <wp:posOffset>439420</wp:posOffset>
                  </wp:positionV>
                  <wp:extent cx="1419225" cy="737235"/>
                  <wp:effectExtent l="0" t="0" r="9525" b="5715"/>
                  <wp:wrapNone/>
                  <wp:docPr id="29" name="ID_30BD7F31D01F4554895C0E9A8A2D8805"/>
                  <wp:cNvGraphicFramePr/>
                  <a:graphic xmlns:a="http://schemas.openxmlformats.org/drawingml/2006/main">
                    <a:graphicData uri="http://schemas.openxmlformats.org/drawingml/2006/picture">
                      <pic:pic xmlns:pic="http://schemas.openxmlformats.org/drawingml/2006/picture">
                        <pic:nvPicPr>
                          <pic:cNvPr id="29" name="ID_30BD7F31D01F4554895C0E9A8A2D8805"/>
                          <pic:cNvPicPr/>
                        </pic:nvPicPr>
                        <pic:blipFill>
                          <a:blip r:embed="rId37"/>
                          <a:stretch>
                            <a:fillRect/>
                          </a:stretch>
                        </pic:blipFill>
                        <pic:spPr>
                          <a:xfrm>
                            <a:off x="0" y="0"/>
                            <a:ext cx="1419225" cy="73723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EE89">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产品材质：木制</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产品配置：披萨盘1块、披萨6片、配菜18片、披萨铲子1把、披萨刀1把</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包装尺寸：26×3.5×22cm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810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545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675B0C8E">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F244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73B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呼啦圈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AEC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0768" behindDoc="0" locked="0" layoutInCell="1" allowOverlap="1">
                  <wp:simplePos x="0" y="0"/>
                  <wp:positionH relativeFrom="column">
                    <wp:posOffset>558800</wp:posOffset>
                  </wp:positionH>
                  <wp:positionV relativeFrom="paragraph">
                    <wp:posOffset>252095</wp:posOffset>
                  </wp:positionV>
                  <wp:extent cx="610235" cy="577850"/>
                  <wp:effectExtent l="0" t="0" r="18415" b="12700"/>
                  <wp:wrapNone/>
                  <wp:docPr id="43" name="图片_10_SpCnt_1"/>
                  <wp:cNvGraphicFramePr/>
                  <a:graphic xmlns:a="http://schemas.openxmlformats.org/drawingml/2006/main">
                    <a:graphicData uri="http://schemas.openxmlformats.org/drawingml/2006/picture">
                      <pic:pic xmlns:pic="http://schemas.openxmlformats.org/drawingml/2006/picture">
                        <pic:nvPicPr>
                          <pic:cNvPr id="43" name="图片_10_SpCnt_1"/>
                          <pic:cNvPicPr/>
                        </pic:nvPicPr>
                        <pic:blipFill>
                          <a:blip r:embed="rId38"/>
                          <a:stretch>
                            <a:fillRect/>
                          </a:stretch>
                        </pic:blipFill>
                        <pic:spPr>
                          <a:xfrm>
                            <a:off x="0" y="0"/>
                            <a:ext cx="610235" cy="577850"/>
                          </a:xfrm>
                          <a:prstGeom prst="rect">
                            <a:avLst/>
                          </a:prstGeom>
                          <a:noFill/>
                          <a:ln>
                            <a:noFill/>
                          </a:ln>
                        </pic:spPr>
                      </pic:pic>
                    </a:graphicData>
                  </a:graphic>
                </wp:anchor>
              </w:drawing>
            </w: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1792" behindDoc="0" locked="0" layoutInCell="1" allowOverlap="1">
                  <wp:simplePos x="0" y="0"/>
                  <wp:positionH relativeFrom="column">
                    <wp:posOffset>381000</wp:posOffset>
                  </wp:positionH>
                  <wp:positionV relativeFrom="paragraph">
                    <wp:posOffset>114300</wp:posOffset>
                  </wp:positionV>
                  <wp:extent cx="914400" cy="9525"/>
                  <wp:effectExtent l="0" t="0" r="0" b="0"/>
                  <wp:wrapNone/>
                  <wp:docPr id="52" name="图片_63"/>
                  <wp:cNvGraphicFramePr/>
                  <a:graphic xmlns:a="http://schemas.openxmlformats.org/drawingml/2006/main">
                    <a:graphicData uri="http://schemas.openxmlformats.org/drawingml/2006/picture">
                      <pic:pic xmlns:pic="http://schemas.openxmlformats.org/drawingml/2006/picture">
                        <pic:nvPicPr>
                          <pic:cNvPr id="52" name="图片_63"/>
                          <pic:cNvPicPr/>
                        </pic:nvPicPr>
                        <pic:blipFill>
                          <a:blip r:embed="rId39"/>
                          <a:stretch>
                            <a:fillRect/>
                          </a:stretch>
                        </pic:blipFill>
                        <pic:spPr>
                          <a:xfrm>
                            <a:off x="0" y="0"/>
                            <a:ext cx="914400" cy="952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9448">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尺寸：45cm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材质：PE（聚乙烯）</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DFF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E75D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90</w:t>
            </w:r>
          </w:p>
        </w:tc>
      </w:tr>
      <w:tr w14:paraId="447954A5">
        <w:tblPrEx>
          <w:tblCellMar>
            <w:top w:w="0" w:type="dxa"/>
            <w:left w:w="108" w:type="dxa"/>
            <w:bottom w:w="0" w:type="dxa"/>
            <w:right w:w="108" w:type="dxa"/>
          </w:tblCellMar>
        </w:tblPrEx>
        <w:trPr>
          <w:trHeight w:val="2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F31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CA1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儿童软式敏捷梯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CAF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2816" behindDoc="0" locked="0" layoutInCell="1" allowOverlap="1">
                  <wp:simplePos x="0" y="0"/>
                  <wp:positionH relativeFrom="column">
                    <wp:posOffset>474345</wp:posOffset>
                  </wp:positionH>
                  <wp:positionV relativeFrom="paragraph">
                    <wp:posOffset>117475</wp:posOffset>
                  </wp:positionV>
                  <wp:extent cx="869950" cy="600075"/>
                  <wp:effectExtent l="0" t="0" r="6350" b="9525"/>
                  <wp:wrapNone/>
                  <wp:docPr id="36" name="图片_34"/>
                  <wp:cNvGraphicFramePr/>
                  <a:graphic xmlns:a="http://schemas.openxmlformats.org/drawingml/2006/main">
                    <a:graphicData uri="http://schemas.openxmlformats.org/drawingml/2006/picture">
                      <pic:pic xmlns:pic="http://schemas.openxmlformats.org/drawingml/2006/picture">
                        <pic:nvPicPr>
                          <pic:cNvPr id="36" name="图片_34"/>
                          <pic:cNvPicPr/>
                        </pic:nvPicPr>
                        <pic:blipFill>
                          <a:blip r:embed="rId40"/>
                          <a:stretch>
                            <a:fillRect/>
                          </a:stretch>
                        </pic:blipFill>
                        <pic:spPr>
                          <a:xfrm>
                            <a:off x="0" y="0"/>
                            <a:ext cx="869950" cy="6000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BAEA">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500*45cm，PVC+尼龙，可以让小朋友进行快速有效地移动，进行灵活的阶梯式训练，可以提高脚的速度和协调能力。末端的搭扣可以让两只梯子连接起来，增加训练距离或者更多的挑战。软梯用了软管材质，即使踩上去也不会对脚有任何伤害，这就保证了使用过程中的安全性与舒适性。软管与两端长长的尼龙绳用多道缝纫连接，防止脱落或移动，软管采用鲜艳的4色，让小朋友一眼就喜欢上它。软梯可以折叠起来放在收纳袋中，方便储存和携带。</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188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1AB3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5341B6E6">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406E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D20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拔河棉绳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3C8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3840" behindDoc="0" locked="0" layoutInCell="1" allowOverlap="1">
                  <wp:simplePos x="0" y="0"/>
                  <wp:positionH relativeFrom="column">
                    <wp:posOffset>385445</wp:posOffset>
                  </wp:positionH>
                  <wp:positionV relativeFrom="paragraph">
                    <wp:posOffset>182880</wp:posOffset>
                  </wp:positionV>
                  <wp:extent cx="981710" cy="714375"/>
                  <wp:effectExtent l="0" t="0" r="8890" b="9525"/>
                  <wp:wrapNone/>
                  <wp:docPr id="44" name="图片_2_SpCnt_1"/>
                  <wp:cNvGraphicFramePr/>
                  <a:graphic xmlns:a="http://schemas.openxmlformats.org/drawingml/2006/main">
                    <a:graphicData uri="http://schemas.openxmlformats.org/drawingml/2006/picture">
                      <pic:pic xmlns:pic="http://schemas.openxmlformats.org/drawingml/2006/picture">
                        <pic:nvPicPr>
                          <pic:cNvPr id="44" name="图片_2_SpCnt_1"/>
                          <pic:cNvPicPr/>
                        </pic:nvPicPr>
                        <pic:blipFill>
                          <a:blip r:embed="rId41"/>
                          <a:stretch>
                            <a:fillRect/>
                          </a:stretch>
                        </pic:blipFill>
                        <pic:spPr>
                          <a:xfrm>
                            <a:off x="0" y="0"/>
                            <a:ext cx="981710" cy="7143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6204">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规格：17.5m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该拔河绳轻质柔软，有4cm粗，手感舒服，不勒手，17.5米的长度可以让更多的小朋友参与进来，让小朋友们注重与别人之间的交流与沟通，注重培养团队精神与集体荣誉感，增强小朋友们之间的团结友爱。</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CB8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1F7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59FBE79E">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266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543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4AB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4864" behindDoc="0" locked="0" layoutInCell="1" allowOverlap="1">
                  <wp:simplePos x="0" y="0"/>
                  <wp:positionH relativeFrom="column">
                    <wp:posOffset>529590</wp:posOffset>
                  </wp:positionH>
                  <wp:positionV relativeFrom="paragraph">
                    <wp:posOffset>219710</wp:posOffset>
                  </wp:positionV>
                  <wp:extent cx="579120" cy="669925"/>
                  <wp:effectExtent l="0" t="0" r="11430" b="15875"/>
                  <wp:wrapNone/>
                  <wp:docPr id="57" name="图片_8"/>
                  <wp:cNvGraphicFramePr/>
                  <a:graphic xmlns:a="http://schemas.openxmlformats.org/drawingml/2006/main">
                    <a:graphicData uri="http://schemas.openxmlformats.org/drawingml/2006/picture">
                      <pic:pic xmlns:pic="http://schemas.openxmlformats.org/drawingml/2006/picture">
                        <pic:nvPicPr>
                          <pic:cNvPr id="57" name="图片_8"/>
                          <pic:cNvPicPr/>
                        </pic:nvPicPr>
                        <pic:blipFill>
                          <a:blip r:embed="rId42"/>
                          <a:stretch>
                            <a:fillRect/>
                          </a:stretch>
                        </pic:blipFill>
                        <pic:spPr>
                          <a:xfrm>
                            <a:off x="0" y="0"/>
                            <a:ext cx="579120" cy="66992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A35E">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材质：软胶+铁座尺寸：约50×50×18cm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套圈游戏能同时训练幼儿的专注力与对身体的控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制能力。可以使用本商品进行多种竞赛游戏，附有</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的两支支架能改变游戏的角度，不同年龄层的幼儿</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都能使用。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889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722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47ECFD1D">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E29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032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小号跳跳袋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6C3C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5888" behindDoc="0" locked="0" layoutInCell="1" allowOverlap="1">
                  <wp:simplePos x="0" y="0"/>
                  <wp:positionH relativeFrom="column">
                    <wp:posOffset>542925</wp:posOffset>
                  </wp:positionH>
                  <wp:positionV relativeFrom="paragraph">
                    <wp:posOffset>136525</wp:posOffset>
                  </wp:positionV>
                  <wp:extent cx="706120" cy="511175"/>
                  <wp:effectExtent l="0" t="0" r="17780" b="3175"/>
                  <wp:wrapNone/>
                  <wp:docPr id="56" name="图片_24"/>
                  <wp:cNvGraphicFramePr/>
                  <a:graphic xmlns:a="http://schemas.openxmlformats.org/drawingml/2006/main">
                    <a:graphicData uri="http://schemas.openxmlformats.org/drawingml/2006/picture">
                      <pic:pic xmlns:pic="http://schemas.openxmlformats.org/drawingml/2006/picture">
                        <pic:nvPicPr>
                          <pic:cNvPr id="56" name="图片_24"/>
                          <pic:cNvPicPr/>
                        </pic:nvPicPr>
                        <pic:blipFill>
                          <a:blip r:embed="rId43"/>
                          <a:stretch>
                            <a:fillRect/>
                          </a:stretch>
                        </pic:blipFill>
                        <pic:spPr>
                          <a:xfrm>
                            <a:off x="0" y="0"/>
                            <a:ext cx="706120" cy="5111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2547">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宽33cm x 高60cm。 6只/套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包含红、黄、蓝、绿、橙、紫色6种颜色，平底，接缝处密合度高；两根尼龙绳把手很结实；袋子上印有数字（分别译为英语、西班牙语、罗马数字）；做工精细、可机洗烘干，锻炼跳跃及全身协调能力，适合各类跳跃性游戏。</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8E0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5F4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0F846709">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CCB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89A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体操圈车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6B62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6912" behindDoc="0" locked="0" layoutInCell="1" allowOverlap="1">
                  <wp:simplePos x="0" y="0"/>
                  <wp:positionH relativeFrom="column">
                    <wp:posOffset>543560</wp:posOffset>
                  </wp:positionH>
                  <wp:positionV relativeFrom="paragraph">
                    <wp:posOffset>44450</wp:posOffset>
                  </wp:positionV>
                  <wp:extent cx="720090" cy="911860"/>
                  <wp:effectExtent l="0" t="0" r="3810" b="2540"/>
                  <wp:wrapNone/>
                  <wp:docPr id="41" name="ID_5EC3F93B30DD487D81E20909171FFBE5"/>
                  <wp:cNvGraphicFramePr/>
                  <a:graphic xmlns:a="http://schemas.openxmlformats.org/drawingml/2006/main">
                    <a:graphicData uri="http://schemas.openxmlformats.org/drawingml/2006/picture">
                      <pic:pic xmlns:pic="http://schemas.openxmlformats.org/drawingml/2006/picture">
                        <pic:nvPicPr>
                          <pic:cNvPr id="41" name="ID_5EC3F93B30DD487D81E20909171FFBE5"/>
                          <pic:cNvPicPr/>
                        </pic:nvPicPr>
                        <pic:blipFill>
                          <a:blip r:embed="rId44"/>
                          <a:stretch>
                            <a:fillRect/>
                          </a:stretch>
                        </pic:blipFill>
                        <pic:spPr>
                          <a:xfrm>
                            <a:off x="0" y="0"/>
                            <a:ext cx="720090" cy="91186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4D6D">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45*45*72cm材质：架子为PVC管，优质塑料管</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规格:3.0MM厚度可按存放户外体育用品及玩具，可以按场地任意调整尺寸。</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整体玩具连接牢固，不划手，结实安全，经久耐用、抗紫外线、不易褪色、不易老化，不会受气候、温差影响而变型；安全、重量轻、方便搬动、好清洗；3塑料颜色鲜艳、完全环保。</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C90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E7F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65731DF5">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1280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262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SUV滑板车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BC2D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7936" behindDoc="0" locked="0" layoutInCell="1" allowOverlap="1">
                  <wp:simplePos x="0" y="0"/>
                  <wp:positionH relativeFrom="column">
                    <wp:posOffset>412750</wp:posOffset>
                  </wp:positionH>
                  <wp:positionV relativeFrom="paragraph">
                    <wp:posOffset>288290</wp:posOffset>
                  </wp:positionV>
                  <wp:extent cx="857250" cy="522605"/>
                  <wp:effectExtent l="0" t="0" r="0" b="10795"/>
                  <wp:wrapNone/>
                  <wp:docPr id="45" name="图片_38"/>
                  <wp:cNvGraphicFramePr/>
                  <a:graphic xmlns:a="http://schemas.openxmlformats.org/drawingml/2006/main">
                    <a:graphicData uri="http://schemas.openxmlformats.org/drawingml/2006/picture">
                      <pic:pic xmlns:pic="http://schemas.openxmlformats.org/drawingml/2006/picture">
                        <pic:nvPicPr>
                          <pic:cNvPr id="45" name="图片_38"/>
                          <pic:cNvPicPr/>
                        </pic:nvPicPr>
                        <pic:blipFill>
                          <a:blip r:embed="rId45"/>
                          <a:stretch>
                            <a:fillRect/>
                          </a:stretch>
                        </pic:blipFill>
                        <pic:spPr>
                          <a:xfrm>
                            <a:off x="0" y="0"/>
                            <a:ext cx="857250" cy="52260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E92D">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50*50*10cm，6只/套，直径为50cm的圆形滑板车为小朋友提供更大的空间，同时坐下三名小朋友，凹陷的手柄，让车体在运动时可以保护手指不受伤。ABS塑料不仅是为了增加耐久性，而且也是为轻便而设计，它不会在撞击时开裂。从板的中心到边缘多根承重条，这使得滑板车非常结实耐用。四个凹手柄的设计保证三个小朋友同时坐在一辆滑板车上，每个人都可以接触到一个把手，保证他们的安全而且帮助他们控制滑板车的方向。配套产品为游戏增加了无穷的乐趣。</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16F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2FC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3B4E307D">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1FDA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AF9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滑板车收纳架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F8A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8960" behindDoc="0" locked="0" layoutInCell="1" allowOverlap="1">
                  <wp:simplePos x="0" y="0"/>
                  <wp:positionH relativeFrom="column">
                    <wp:posOffset>532765</wp:posOffset>
                  </wp:positionH>
                  <wp:positionV relativeFrom="paragraph">
                    <wp:posOffset>220345</wp:posOffset>
                  </wp:positionV>
                  <wp:extent cx="582930" cy="681355"/>
                  <wp:effectExtent l="0" t="0" r="7620" b="4445"/>
                  <wp:wrapNone/>
                  <wp:docPr id="40" name="图片_35"/>
                  <wp:cNvGraphicFramePr/>
                  <a:graphic xmlns:a="http://schemas.openxmlformats.org/drawingml/2006/main">
                    <a:graphicData uri="http://schemas.openxmlformats.org/drawingml/2006/picture">
                      <pic:pic xmlns:pic="http://schemas.openxmlformats.org/drawingml/2006/picture">
                        <pic:nvPicPr>
                          <pic:cNvPr id="40" name="图片_35"/>
                          <pic:cNvPicPr/>
                        </pic:nvPicPr>
                        <pic:blipFill>
                          <a:blip r:embed="rId46"/>
                          <a:stretch>
                            <a:fillRect/>
                          </a:stretch>
                        </pic:blipFill>
                        <pic:spPr>
                          <a:xfrm>
                            <a:off x="0" y="0"/>
                            <a:ext cx="582930" cy="68135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09A4">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60*54*143cm，abs，弯管、刹车设计,可运输24辆车,管直径4.5cm，弯管、刹车设计,可运输24辆车,管直径4.5cm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9B0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D4C9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3896EC4B">
        <w:tblPrEx>
          <w:tblCellMar>
            <w:top w:w="0" w:type="dxa"/>
            <w:left w:w="108" w:type="dxa"/>
            <w:bottom w:w="0" w:type="dxa"/>
            <w:right w:w="108" w:type="dxa"/>
          </w:tblCellMar>
        </w:tblPrEx>
        <w:trPr>
          <w:trHeight w:val="2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7748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E85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四色跳马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A4F2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89984" behindDoc="0" locked="0" layoutInCell="1" allowOverlap="1">
                  <wp:simplePos x="0" y="0"/>
                  <wp:positionH relativeFrom="column">
                    <wp:posOffset>309880</wp:posOffset>
                  </wp:positionH>
                  <wp:positionV relativeFrom="paragraph">
                    <wp:posOffset>467360</wp:posOffset>
                  </wp:positionV>
                  <wp:extent cx="1114425" cy="910590"/>
                  <wp:effectExtent l="0" t="0" r="9525" b="3810"/>
                  <wp:wrapNone/>
                  <wp:docPr id="51" name="ID_B8ECA3E810414B20B784E141425368EA"/>
                  <wp:cNvGraphicFramePr/>
                  <a:graphic xmlns:a="http://schemas.openxmlformats.org/drawingml/2006/main">
                    <a:graphicData uri="http://schemas.openxmlformats.org/drawingml/2006/picture">
                      <pic:pic xmlns:pic="http://schemas.openxmlformats.org/drawingml/2006/picture">
                        <pic:nvPicPr>
                          <pic:cNvPr id="51" name="ID_B8ECA3E810414B20B784E141425368EA"/>
                          <pic:cNvPicPr/>
                        </pic:nvPicPr>
                        <pic:blipFill>
                          <a:blip r:embed="rId47"/>
                          <a:stretch>
                            <a:fillRect/>
                          </a:stretch>
                        </pic:blipFill>
                        <pic:spPr>
                          <a:xfrm>
                            <a:off x="0" y="0"/>
                            <a:ext cx="1114425" cy="91059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700C">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产品描述:圆角设计，无直角的一款跳高垫，四种不同高度，分为绿色、蓝色、红色和黑色，高度分别是15cm、30cm、45cm、60cm、每一只垫子上有大大的白色数字，代表不同的高度，小朋友们可以根据跳跃能力选择不同的跳箱，并激励孩子向更高的箱子上进行跳跃。跳箱两边有把手以及两条魔术粘，可以让任意两个跳箱叠加固定，进行攀爬游戏或团队游戏都是不错的选择。</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材质：PVC+EPE</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单位：4只/套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规格：90*75*15/30/45/60cm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D46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784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36FF9550">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1D8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E0C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儿童跨栏（高)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5446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91008" behindDoc="0" locked="0" layoutInCell="1" allowOverlap="1">
                  <wp:simplePos x="0" y="0"/>
                  <wp:positionH relativeFrom="column">
                    <wp:posOffset>354330</wp:posOffset>
                  </wp:positionH>
                  <wp:positionV relativeFrom="paragraph">
                    <wp:posOffset>290830</wp:posOffset>
                  </wp:positionV>
                  <wp:extent cx="1080135" cy="662940"/>
                  <wp:effectExtent l="0" t="0" r="5715" b="3810"/>
                  <wp:wrapNone/>
                  <wp:docPr id="35" name="图片_29"/>
                  <wp:cNvGraphicFramePr/>
                  <a:graphic xmlns:a="http://schemas.openxmlformats.org/drawingml/2006/main">
                    <a:graphicData uri="http://schemas.openxmlformats.org/drawingml/2006/picture">
                      <pic:pic xmlns:pic="http://schemas.openxmlformats.org/drawingml/2006/picture">
                        <pic:nvPicPr>
                          <pic:cNvPr id="35" name="图片_29"/>
                          <pic:cNvPicPr/>
                        </pic:nvPicPr>
                        <pic:blipFill>
                          <a:blip r:embed="rId48"/>
                          <a:stretch>
                            <a:fillRect/>
                          </a:stretch>
                        </pic:blipFill>
                        <pic:spPr>
                          <a:xfrm>
                            <a:off x="0" y="0"/>
                            <a:ext cx="1080135" cy="6629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29AD">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规格：6只/套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材质：轻质、实心PVC材质</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尺寸：30×45cm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超厚，超耐用的PVC训练跨栏是发展和加强正确的跨步技术，手臂动作，控制跳跃训练和步法的完美教具。适用于室内外使用。超耐用的材料让他们具有耐久性。我们的跨栏是实心的，而传统的训练障碍是中空的。不同高度的跨栏适合不同技能的人群使用。低跨栏和中跨栏的高度是快速定向变化训练的完美教具。高跨栏的高度对于直线运行力学来说非常适合。</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A7E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2823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7C48F6FD">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7AB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8B2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 xml:space="preserve"> 超级战衣背心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5E9D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92032" behindDoc="0" locked="0" layoutInCell="1" allowOverlap="1">
                  <wp:simplePos x="0" y="0"/>
                  <wp:positionH relativeFrom="column">
                    <wp:posOffset>212725</wp:posOffset>
                  </wp:positionH>
                  <wp:positionV relativeFrom="paragraph">
                    <wp:posOffset>303530</wp:posOffset>
                  </wp:positionV>
                  <wp:extent cx="1275080" cy="498475"/>
                  <wp:effectExtent l="0" t="0" r="1270" b="15875"/>
                  <wp:wrapNone/>
                  <wp:docPr id="34" name="图片_46"/>
                  <wp:cNvGraphicFramePr/>
                  <a:graphic xmlns:a="http://schemas.openxmlformats.org/drawingml/2006/main">
                    <a:graphicData uri="http://schemas.openxmlformats.org/drawingml/2006/picture">
                      <pic:pic xmlns:pic="http://schemas.openxmlformats.org/drawingml/2006/picture">
                        <pic:nvPicPr>
                          <pic:cNvPr id="34" name="图片_46"/>
                          <pic:cNvPicPr/>
                        </pic:nvPicPr>
                        <pic:blipFill>
                          <a:blip r:embed="rId49"/>
                          <a:stretch>
                            <a:fillRect/>
                          </a:stretch>
                        </pic:blipFill>
                        <pic:spPr>
                          <a:xfrm>
                            <a:off x="0" y="0"/>
                            <a:ext cx="1275080" cy="498475"/>
                          </a:xfrm>
                          <a:prstGeom prst="rect">
                            <a:avLst/>
                          </a:prstGeom>
                          <a:noFill/>
                          <a:ln>
                            <a:noFill/>
                          </a:ln>
                        </pic:spPr>
                      </pic:pic>
                    </a:graphicData>
                  </a:graphic>
                </wp:anchor>
              </w:drawing>
            </w: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93056" behindDoc="0" locked="0" layoutInCell="1" allowOverlap="1">
                  <wp:simplePos x="0" y="0"/>
                  <wp:positionH relativeFrom="column">
                    <wp:posOffset>487045</wp:posOffset>
                  </wp:positionH>
                  <wp:positionV relativeFrom="paragraph">
                    <wp:posOffset>104775</wp:posOffset>
                  </wp:positionV>
                  <wp:extent cx="1037590" cy="9525"/>
                  <wp:effectExtent l="0" t="0" r="0" b="0"/>
                  <wp:wrapNone/>
                  <wp:docPr id="46" name="图片_46_SpCnt_1"/>
                  <wp:cNvGraphicFramePr/>
                  <a:graphic xmlns:a="http://schemas.openxmlformats.org/drawingml/2006/main">
                    <a:graphicData uri="http://schemas.openxmlformats.org/drawingml/2006/picture">
                      <pic:pic xmlns:pic="http://schemas.openxmlformats.org/drawingml/2006/picture">
                        <pic:nvPicPr>
                          <pic:cNvPr id="46" name="图片_46_SpCnt_1"/>
                          <pic:cNvPicPr/>
                        </pic:nvPicPr>
                        <pic:blipFill>
                          <a:blip r:embed="rId50"/>
                          <a:stretch>
                            <a:fillRect/>
                          </a:stretch>
                        </pic:blipFill>
                        <pic:spPr>
                          <a:xfrm>
                            <a:off x="0" y="0"/>
                            <a:ext cx="1037590" cy="952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F0F0">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尼龙</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30cm x 44cm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一套包括12件背心（6红6蓝）。该产品上有多块不同形状的魔术粘缝制在背心上，作为目标靶，与球配套使用，可以进行分组追逐游戏，锻炼小朋友跑动能力与目标投掷能力，更是一个很好培养团队协作力的项目。</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4C1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BC7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4A7887C5">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9EDE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75C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超级战衣球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7BB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94080" behindDoc="0" locked="0" layoutInCell="1" allowOverlap="1">
                  <wp:simplePos x="0" y="0"/>
                  <wp:positionH relativeFrom="column">
                    <wp:posOffset>283845</wp:posOffset>
                  </wp:positionH>
                  <wp:positionV relativeFrom="paragraph">
                    <wp:posOffset>219075</wp:posOffset>
                  </wp:positionV>
                  <wp:extent cx="974725" cy="526415"/>
                  <wp:effectExtent l="0" t="0" r="15875" b="6985"/>
                  <wp:wrapNone/>
                  <wp:docPr id="33" name="Picture_52"/>
                  <wp:cNvGraphicFramePr/>
                  <a:graphic xmlns:a="http://schemas.openxmlformats.org/drawingml/2006/main">
                    <a:graphicData uri="http://schemas.openxmlformats.org/drawingml/2006/picture">
                      <pic:pic xmlns:pic="http://schemas.openxmlformats.org/drawingml/2006/picture">
                        <pic:nvPicPr>
                          <pic:cNvPr id="33" name="Picture_52"/>
                          <pic:cNvPicPr/>
                        </pic:nvPicPr>
                        <pic:blipFill>
                          <a:blip r:embed="rId51"/>
                          <a:stretch>
                            <a:fillRect/>
                          </a:stretch>
                        </pic:blipFill>
                        <pic:spPr>
                          <a:xfrm>
                            <a:off x="0" y="0"/>
                            <a:ext cx="974725" cy="52641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049F">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棉球</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6.5cm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该产品与超级战衣背心配套使用，质地柔软、轻质更安全。球的颜色为双色，与背心颜色形成鲜明对比，便于游戏中轻易看到。球体的大小适合小朋友抓握。面料均是上等棉质，更容易与魔术贴粘合。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EA6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CEF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2F46E29C">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DD2C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AE6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过河石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901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95104" behindDoc="0" locked="0" layoutInCell="1" allowOverlap="1">
                  <wp:simplePos x="0" y="0"/>
                  <wp:positionH relativeFrom="column">
                    <wp:posOffset>426720</wp:posOffset>
                  </wp:positionH>
                  <wp:positionV relativeFrom="paragraph">
                    <wp:posOffset>306070</wp:posOffset>
                  </wp:positionV>
                  <wp:extent cx="893445" cy="607060"/>
                  <wp:effectExtent l="0" t="0" r="1905" b="2540"/>
                  <wp:wrapNone/>
                  <wp:docPr id="42" name="图片_244"/>
                  <wp:cNvGraphicFramePr/>
                  <a:graphic xmlns:a="http://schemas.openxmlformats.org/drawingml/2006/main">
                    <a:graphicData uri="http://schemas.openxmlformats.org/drawingml/2006/picture">
                      <pic:pic xmlns:pic="http://schemas.openxmlformats.org/drawingml/2006/picture">
                        <pic:nvPicPr>
                          <pic:cNvPr id="42" name="图片_244"/>
                          <pic:cNvPicPr/>
                        </pic:nvPicPr>
                        <pic:blipFill>
                          <a:blip r:embed="rId52"/>
                          <a:stretch>
                            <a:fillRect/>
                          </a:stretch>
                        </pic:blipFill>
                        <pic:spPr>
                          <a:xfrm>
                            <a:off x="0" y="0"/>
                            <a:ext cx="893445" cy="60706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8F0E">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一大一小过河石，小26.5cm*高5cm大36cm*高8cm，大小：37*8cm大：40*15cm，共有12只。两种高度的过河石，当小朋友从一块石头跳到另一块时，他们学会了协调、平衡和深度感知！不同的高度和距离需要小朋友对每一次跳跃都要有很好的判断，而每次着陆都需要全身控制才能停留在石头上而远离地面。老师可以根据小朋友的能力定制课程。它们可以通过在较短的距离上使用相似尺寸的石头来降低难度，也可以通过改变石头尺寸和增加它们之间的距离来增加难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49C9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F28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1BD643C9">
        <w:tblPrEx>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9028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864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高跷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3457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96128" behindDoc="0" locked="0" layoutInCell="1" allowOverlap="1">
                  <wp:simplePos x="0" y="0"/>
                  <wp:positionH relativeFrom="column">
                    <wp:posOffset>542290</wp:posOffset>
                  </wp:positionH>
                  <wp:positionV relativeFrom="paragraph">
                    <wp:posOffset>236855</wp:posOffset>
                  </wp:positionV>
                  <wp:extent cx="681990" cy="530225"/>
                  <wp:effectExtent l="0" t="0" r="3810" b="3175"/>
                  <wp:wrapNone/>
                  <wp:docPr id="47" name="图片_226"/>
                  <wp:cNvGraphicFramePr/>
                  <a:graphic xmlns:a="http://schemas.openxmlformats.org/drawingml/2006/main">
                    <a:graphicData uri="http://schemas.openxmlformats.org/drawingml/2006/picture">
                      <pic:pic xmlns:pic="http://schemas.openxmlformats.org/drawingml/2006/picture">
                        <pic:nvPicPr>
                          <pic:cNvPr id="47" name="图片_226"/>
                          <pic:cNvPicPr/>
                        </pic:nvPicPr>
                        <pic:blipFill>
                          <a:blip r:embed="rId53"/>
                          <a:stretch>
                            <a:fillRect/>
                          </a:stretch>
                        </pic:blipFill>
                        <pic:spPr>
                          <a:xfrm>
                            <a:off x="0" y="0"/>
                            <a:ext cx="681990" cy="53022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478F">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尺寸：9×6.5×4.5cm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规格：40对/箱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C728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F44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5CBE416B">
        <w:tblPrEx>
          <w:tblCellMar>
            <w:top w:w="0" w:type="dxa"/>
            <w:left w:w="108" w:type="dxa"/>
            <w:bottom w:w="0" w:type="dxa"/>
            <w:right w:w="108" w:type="dxa"/>
          </w:tblCellMar>
        </w:tblPrEx>
        <w:trPr>
          <w:trHeight w:val="2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46B5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661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儿童槌球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3D7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97152" behindDoc="0" locked="0" layoutInCell="1" allowOverlap="1">
                  <wp:simplePos x="0" y="0"/>
                  <wp:positionH relativeFrom="column">
                    <wp:posOffset>486410</wp:posOffset>
                  </wp:positionH>
                  <wp:positionV relativeFrom="paragraph">
                    <wp:posOffset>278765</wp:posOffset>
                  </wp:positionV>
                  <wp:extent cx="848360" cy="650240"/>
                  <wp:effectExtent l="0" t="0" r="8890" b="16510"/>
                  <wp:wrapNone/>
                  <wp:docPr id="37" name="图片_7"/>
                  <wp:cNvGraphicFramePr/>
                  <a:graphic xmlns:a="http://schemas.openxmlformats.org/drawingml/2006/main">
                    <a:graphicData uri="http://schemas.openxmlformats.org/drawingml/2006/picture">
                      <pic:pic xmlns:pic="http://schemas.openxmlformats.org/drawingml/2006/picture">
                        <pic:nvPicPr>
                          <pic:cNvPr id="37" name="图片_7"/>
                          <pic:cNvPicPr/>
                        </pic:nvPicPr>
                        <pic:blipFill>
                          <a:blip r:embed="rId54"/>
                          <a:stretch>
                            <a:fillRect/>
                          </a:stretch>
                        </pic:blipFill>
                        <pic:spPr>
                          <a:xfrm>
                            <a:off x="0" y="0"/>
                            <a:ext cx="848360" cy="6502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6DF4">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规格：有2根槌球杆、9只球门、4只泡棉球、2个标志点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材质：塑料+EVA。</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尺寸：60cm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最实惠的儿童槌球套装！这些泡棉制成的槌球具有很好的韧性、耐久性和实用性。配套有2根槌球杆、9只球门、4只泡棉球、2个标志点，可以让多个小朋友同时玩耍。设置一个长距离的目标游戏，把一只球放在起始点，将“洞”的数量增加或者拉长“洞”之间的距离，扩大游戏的时间长度，或者利用地形的距离和坡度来帮助或阻碍游戏，从而提高小朋友沟通能力及解决问题的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BF0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5C0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75C1BCEA">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2C39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1D0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6色标志桶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17D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98176" behindDoc="0" locked="0" layoutInCell="1" allowOverlap="1">
                  <wp:simplePos x="0" y="0"/>
                  <wp:positionH relativeFrom="column">
                    <wp:posOffset>372110</wp:posOffset>
                  </wp:positionH>
                  <wp:positionV relativeFrom="paragraph">
                    <wp:posOffset>149860</wp:posOffset>
                  </wp:positionV>
                  <wp:extent cx="858520" cy="720090"/>
                  <wp:effectExtent l="0" t="0" r="17780" b="3810"/>
                  <wp:wrapNone/>
                  <wp:docPr id="53" name="图片_6"/>
                  <wp:cNvGraphicFramePr/>
                  <a:graphic xmlns:a="http://schemas.openxmlformats.org/drawingml/2006/main">
                    <a:graphicData uri="http://schemas.openxmlformats.org/drawingml/2006/picture">
                      <pic:pic xmlns:pic="http://schemas.openxmlformats.org/drawingml/2006/picture">
                        <pic:nvPicPr>
                          <pic:cNvPr id="53" name="图片_6"/>
                          <pic:cNvPicPr/>
                        </pic:nvPicPr>
                        <pic:blipFill>
                          <a:blip r:embed="rId55"/>
                          <a:stretch>
                            <a:fillRect/>
                          </a:stretch>
                        </pic:blipFill>
                        <pic:spPr>
                          <a:xfrm>
                            <a:off x="0" y="0"/>
                            <a:ext cx="858520" cy="72009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E2B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规格：6只/套；高30cm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材质：PE(聚乙烯)</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每套6只，6种颜色，分别为：红色、黄色、蓝色、绿色、橙色和紫色，可以叠放节省空间，可以进行障碍物运动或S线路练习。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DC58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A3B3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3</w:t>
            </w:r>
          </w:p>
        </w:tc>
      </w:tr>
      <w:tr w14:paraId="7DBC1C1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9F2D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3E1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揪尾巴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DEA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699200" behindDoc="0" locked="0" layoutInCell="1" allowOverlap="1">
                  <wp:simplePos x="0" y="0"/>
                  <wp:positionH relativeFrom="column">
                    <wp:posOffset>284480</wp:posOffset>
                  </wp:positionH>
                  <wp:positionV relativeFrom="paragraph">
                    <wp:posOffset>100330</wp:posOffset>
                  </wp:positionV>
                  <wp:extent cx="972820" cy="790575"/>
                  <wp:effectExtent l="0" t="0" r="17780" b="9525"/>
                  <wp:wrapNone/>
                  <wp:docPr id="50" name="图片_35_SpCnt_1"/>
                  <wp:cNvGraphicFramePr/>
                  <a:graphic xmlns:a="http://schemas.openxmlformats.org/drawingml/2006/main">
                    <a:graphicData uri="http://schemas.openxmlformats.org/drawingml/2006/picture">
                      <pic:pic xmlns:pic="http://schemas.openxmlformats.org/drawingml/2006/picture">
                        <pic:nvPicPr>
                          <pic:cNvPr id="50" name="图片_35_SpCnt_1"/>
                          <pic:cNvPicPr/>
                        </pic:nvPicPr>
                        <pic:blipFill>
                          <a:blip r:embed="rId56"/>
                          <a:stretch>
                            <a:fillRect/>
                          </a:stretch>
                        </pic:blipFill>
                        <pic:spPr>
                          <a:xfrm>
                            <a:off x="0" y="0"/>
                            <a:ext cx="972820" cy="7905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7E52">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规格：12件/套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材质：尼龙</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尺寸：30cm×44cm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该产品一套12件背心（6蓝6黄），身后有五个魔术点，每件配套5条颜色不同的魔术带，是操场上跑动训练游戏的最佳教具！玩家可以将对手背心上的带子撕下来。看哪个队身上留下来的带子最多即为胜利。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B0D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889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3507D38D">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DFE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92F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彩虹伞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61EE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00224" behindDoc="0" locked="0" layoutInCell="1" allowOverlap="1">
                  <wp:simplePos x="0" y="0"/>
                  <wp:positionH relativeFrom="column">
                    <wp:posOffset>404495</wp:posOffset>
                  </wp:positionH>
                  <wp:positionV relativeFrom="paragraph">
                    <wp:posOffset>187960</wp:posOffset>
                  </wp:positionV>
                  <wp:extent cx="864235" cy="645795"/>
                  <wp:effectExtent l="0" t="0" r="12065" b="1905"/>
                  <wp:wrapNone/>
                  <wp:docPr id="54" name="图片_42"/>
                  <wp:cNvGraphicFramePr/>
                  <a:graphic xmlns:a="http://schemas.openxmlformats.org/drawingml/2006/main">
                    <a:graphicData uri="http://schemas.openxmlformats.org/drawingml/2006/picture">
                      <pic:pic xmlns:pic="http://schemas.openxmlformats.org/drawingml/2006/picture">
                        <pic:nvPicPr>
                          <pic:cNvPr id="54" name="图片_42"/>
                          <pic:cNvPicPr/>
                        </pic:nvPicPr>
                        <pic:blipFill>
                          <a:blip r:embed="rId57"/>
                          <a:stretch>
                            <a:fillRect/>
                          </a:stretch>
                        </pic:blipFill>
                        <pic:spPr>
                          <a:xfrm>
                            <a:off x="0" y="0"/>
                            <a:ext cx="864235" cy="64579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E358">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提供无限种游戏和练习的机会，适合所有年龄及能力水平的身心训练。彩虹伞四种颜色设计。通过身体活动进行反应能力锻炼，开发多领域学习的能力。该彩虹伞双层针线缝合而成，持久耐用。把手完全采用尼龙制成。附赠彩虹伞储存袋。6只把手，适合数量少的孩子使用，适合室内外使用，涤沦布(PP)+PA涂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F0F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021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466FA6D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B77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A3D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檬跳跳球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E77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01248" behindDoc="0" locked="0" layoutInCell="1" allowOverlap="1">
                  <wp:simplePos x="0" y="0"/>
                  <wp:positionH relativeFrom="column">
                    <wp:posOffset>230505</wp:posOffset>
                  </wp:positionH>
                  <wp:positionV relativeFrom="paragraph">
                    <wp:posOffset>156845</wp:posOffset>
                  </wp:positionV>
                  <wp:extent cx="1151255" cy="704850"/>
                  <wp:effectExtent l="0" t="0" r="10795" b="0"/>
                  <wp:wrapNone/>
                  <wp:docPr id="30" name="Picture_151"/>
                  <wp:cNvGraphicFramePr/>
                  <a:graphic xmlns:a="http://schemas.openxmlformats.org/drawingml/2006/main">
                    <a:graphicData uri="http://schemas.openxmlformats.org/drawingml/2006/picture">
                      <pic:pic xmlns:pic="http://schemas.openxmlformats.org/drawingml/2006/picture">
                        <pic:nvPicPr>
                          <pic:cNvPr id="30" name="Picture_151"/>
                          <pic:cNvPicPr/>
                        </pic:nvPicPr>
                        <pic:blipFill>
                          <a:blip r:embed="rId58"/>
                          <a:stretch>
                            <a:fillRect/>
                          </a:stretch>
                        </pic:blipFill>
                        <pic:spPr>
                          <a:xfrm>
                            <a:off x="0" y="0"/>
                            <a:ext cx="1151255" cy="70485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5BC4">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一套6色，共6只，该柠檬球是为训练小朋友身体协调性而设计的，脚踝内环直径约13.5cm，绳长45cm，同时也适合大年龄的小朋友或成人使用，包含一张使用说明书！个体蹦跳运动的最好选择！使用者用一只脚踝甩动球，另一只脚跳过绳子，有助小朋友发展身体协调性与敏捷性。6只/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BE58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A4C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07F84A5E">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8BE1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D4EC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体操垫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39D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02272" behindDoc="0" locked="0" layoutInCell="1" allowOverlap="1">
                  <wp:simplePos x="0" y="0"/>
                  <wp:positionH relativeFrom="column">
                    <wp:posOffset>173990</wp:posOffset>
                  </wp:positionH>
                  <wp:positionV relativeFrom="paragraph">
                    <wp:posOffset>167640</wp:posOffset>
                  </wp:positionV>
                  <wp:extent cx="967105" cy="782320"/>
                  <wp:effectExtent l="0" t="0" r="4445" b="17780"/>
                  <wp:wrapNone/>
                  <wp:docPr id="55" name="图片_22"/>
                  <wp:cNvGraphicFramePr/>
                  <a:graphic xmlns:a="http://schemas.openxmlformats.org/drawingml/2006/main">
                    <a:graphicData uri="http://schemas.openxmlformats.org/drawingml/2006/picture">
                      <pic:pic xmlns:pic="http://schemas.openxmlformats.org/drawingml/2006/picture">
                        <pic:nvPicPr>
                          <pic:cNvPr id="55" name="图片_22"/>
                          <pic:cNvPicPr/>
                        </pic:nvPicPr>
                        <pic:blipFill>
                          <a:blip r:embed="rId59"/>
                          <a:stretch>
                            <a:fillRect/>
                          </a:stretch>
                        </pic:blipFill>
                        <pic:spPr>
                          <a:xfrm>
                            <a:off x="0" y="0"/>
                            <a:ext cx="967105" cy="7823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DFD6">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180*70*10cm 内部填充物：高密度海绵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2F44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6E7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20</w:t>
            </w:r>
          </w:p>
        </w:tc>
      </w:tr>
      <w:tr w14:paraId="7F03398E">
        <w:tblPrEx>
          <w:tblCellMar>
            <w:top w:w="0" w:type="dxa"/>
            <w:left w:w="108" w:type="dxa"/>
            <w:bottom w:w="0" w:type="dxa"/>
            <w:right w:w="108" w:type="dxa"/>
          </w:tblCellMar>
        </w:tblPrEx>
        <w:trPr>
          <w:trHeight w:val="3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80E8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BC9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童话小镇碳化208块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4FB0A">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703296" behindDoc="0" locked="0" layoutInCell="1" allowOverlap="1">
                  <wp:simplePos x="0" y="0"/>
                  <wp:positionH relativeFrom="column">
                    <wp:posOffset>52070</wp:posOffset>
                  </wp:positionH>
                  <wp:positionV relativeFrom="paragraph">
                    <wp:posOffset>814705</wp:posOffset>
                  </wp:positionV>
                  <wp:extent cx="1454785" cy="1111885"/>
                  <wp:effectExtent l="0" t="0" r="12065" b="12065"/>
                  <wp:wrapNone/>
                  <wp:docPr id="31" name="图片_1_SpCnt_1"/>
                  <wp:cNvGraphicFramePr/>
                  <a:graphic xmlns:a="http://schemas.openxmlformats.org/drawingml/2006/main">
                    <a:graphicData uri="http://schemas.openxmlformats.org/drawingml/2006/picture">
                      <pic:pic xmlns:pic="http://schemas.openxmlformats.org/drawingml/2006/picture">
                        <pic:nvPicPr>
                          <pic:cNvPr id="31" name="图片_1_SpCnt_1"/>
                          <pic:cNvPicPr/>
                        </pic:nvPicPr>
                        <pic:blipFill>
                          <a:blip r:embed="rId60"/>
                          <a:stretch>
                            <a:fillRect/>
                          </a:stretch>
                        </pic:blipFill>
                        <pic:spPr>
                          <a:xfrm>
                            <a:off x="0" y="0"/>
                            <a:ext cx="1454785" cy="111188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17EC">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材质：进口新西兰松  工艺：碳化、2次打磨+2次环保水漆（208块）产品规格（CM）1.三角70*25*4：5个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2.长方体70*10*4：56个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3.长方体20*10*4：108个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4.长方体120*10*4：10个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5.长方体120*5*4：8个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6.屋顶板130*11*1.5：2个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7.屋顶板130*11*1.5：6个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8.屋顶板80*11*1.5：2个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9.屋顶板80*11*1.5：6个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10.烟囱10*10*4：2个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11.脚垫10*10*4：2个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12.黑板20*9*1.5：1个</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360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AF03">
            <w:pPr>
              <w:widowControl/>
              <w:jc w:val="center"/>
              <w:textAlignment w:val="center"/>
              <w:rPr>
                <w:rFonts w:ascii="Arial" w:hAnsi="Arial" w:eastAsia="等线" w:cs="Arial"/>
                <w:color w:val="auto"/>
                <w:sz w:val="24"/>
                <w:highlight w:val="none"/>
              </w:rPr>
            </w:pPr>
            <w:r>
              <w:rPr>
                <w:rFonts w:ascii="Arial" w:hAnsi="Arial" w:eastAsia="等线" w:cs="Arial"/>
                <w:color w:val="auto"/>
                <w:kern w:val="0"/>
                <w:sz w:val="24"/>
                <w:highlight w:val="none"/>
              </w:rPr>
              <w:t>1</w:t>
            </w:r>
          </w:p>
        </w:tc>
      </w:tr>
      <w:tr w14:paraId="57C8346C">
        <w:tblPrEx>
          <w:tblCellMar>
            <w:top w:w="0" w:type="dxa"/>
            <w:left w:w="108" w:type="dxa"/>
            <w:bottom w:w="0" w:type="dxa"/>
            <w:right w:w="108" w:type="dxa"/>
          </w:tblCellMar>
        </w:tblPrEx>
        <w:trPr>
          <w:trHeight w:val="28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48EE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441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建构游戏套装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3AB66">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704320" behindDoc="0" locked="0" layoutInCell="1" allowOverlap="1">
                  <wp:simplePos x="0" y="0"/>
                  <wp:positionH relativeFrom="column">
                    <wp:posOffset>-36195</wp:posOffset>
                  </wp:positionH>
                  <wp:positionV relativeFrom="paragraph">
                    <wp:posOffset>423545</wp:posOffset>
                  </wp:positionV>
                  <wp:extent cx="1608455" cy="871220"/>
                  <wp:effectExtent l="0" t="0" r="10795" b="5080"/>
                  <wp:wrapNone/>
                  <wp:docPr id="38" name="图片_3_SpCnt_1"/>
                  <wp:cNvGraphicFramePr/>
                  <a:graphic xmlns:a="http://schemas.openxmlformats.org/drawingml/2006/main">
                    <a:graphicData uri="http://schemas.openxmlformats.org/drawingml/2006/picture">
                      <pic:pic xmlns:pic="http://schemas.openxmlformats.org/drawingml/2006/picture">
                        <pic:nvPicPr>
                          <pic:cNvPr id="38" name="图片_3_SpCnt_1"/>
                          <pic:cNvPicPr/>
                        </pic:nvPicPr>
                        <pic:blipFill>
                          <a:blip r:embed="rId61"/>
                          <a:stretch>
                            <a:fillRect/>
                          </a:stretch>
                        </pic:blipFill>
                        <pic:spPr>
                          <a:xfrm>
                            <a:off x="0" y="0"/>
                            <a:ext cx="1608455" cy="8712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D1DF">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材料包含：1.方案材料：建构提供活动方案1册、使用手册3册、游戏图册3册。</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建构材料：1套，含短条积木128块、长条积木112块、多口长条积木80块、单口积木48块、双口积木36块、旋转积木36块、弧形积木32块、梯形积木16块、三角积木32块、轮轴20块、轮盖40个、车轮40个3.建构辅材：1套，含窗帘式场景布4片、横帘式场景布4片、单片式场景布4片、标识片62片、长方形涂鸦片16片、正方形涂鸦片16片、长百变条30条、短百变条30条、长连接绳10条、短连接绳10条、卡扣40个。</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0E8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9F64">
            <w:pPr>
              <w:widowControl/>
              <w:jc w:val="center"/>
              <w:textAlignment w:val="center"/>
              <w:rPr>
                <w:rFonts w:ascii="Arial" w:hAnsi="Arial" w:eastAsia="等线" w:cs="Arial"/>
                <w:color w:val="auto"/>
                <w:sz w:val="24"/>
                <w:highlight w:val="none"/>
              </w:rPr>
            </w:pPr>
            <w:r>
              <w:rPr>
                <w:rFonts w:ascii="Arial" w:hAnsi="Arial" w:eastAsia="等线" w:cs="Arial"/>
                <w:color w:val="auto"/>
                <w:kern w:val="0"/>
                <w:sz w:val="24"/>
                <w:highlight w:val="none"/>
              </w:rPr>
              <w:t>1</w:t>
            </w:r>
          </w:p>
        </w:tc>
      </w:tr>
      <w:tr w14:paraId="6D09D9E2">
        <w:tblPrEx>
          <w:tblCellMar>
            <w:top w:w="0" w:type="dxa"/>
            <w:left w:w="108" w:type="dxa"/>
            <w:bottom w:w="0" w:type="dxa"/>
            <w:right w:w="108" w:type="dxa"/>
          </w:tblCellMar>
        </w:tblPrEx>
        <w:trPr>
          <w:trHeight w:val="4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9B1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4A6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包罗万象游戏运动搭建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C606">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705344" behindDoc="0" locked="0" layoutInCell="1" allowOverlap="1">
                  <wp:simplePos x="0" y="0"/>
                  <wp:positionH relativeFrom="column">
                    <wp:posOffset>-20955</wp:posOffset>
                  </wp:positionH>
                  <wp:positionV relativeFrom="paragraph">
                    <wp:posOffset>1035050</wp:posOffset>
                  </wp:positionV>
                  <wp:extent cx="1588135" cy="1018540"/>
                  <wp:effectExtent l="0" t="0" r="12065" b="10160"/>
                  <wp:wrapNone/>
                  <wp:docPr id="32" name="ID_5A82631FA82E4CD89ED13E2E8390D523"/>
                  <wp:cNvGraphicFramePr/>
                  <a:graphic xmlns:a="http://schemas.openxmlformats.org/drawingml/2006/main">
                    <a:graphicData uri="http://schemas.openxmlformats.org/drawingml/2006/picture">
                      <pic:pic xmlns:pic="http://schemas.openxmlformats.org/drawingml/2006/picture">
                        <pic:nvPicPr>
                          <pic:cNvPr id="32" name="ID_5A82631FA82E4CD89ED13E2E8390D523"/>
                          <pic:cNvPicPr/>
                        </pic:nvPicPr>
                        <pic:blipFill>
                          <a:blip r:embed="rId62"/>
                          <a:stretch>
                            <a:fillRect/>
                          </a:stretch>
                        </pic:blipFill>
                        <pic:spPr>
                          <a:xfrm>
                            <a:off x="0" y="0"/>
                            <a:ext cx="1588135" cy="10185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1E98">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材质：桦木、帆布、多层板  </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详细参数：57*9*1.8cm的直板36个，105*9*1.8cm的直板24块，长约33cm宽约33cm的工字型板2块，长约43cm的弧形板4块，长约为81cm的弧形板2块，33*9*1cm的直板12块，18*12.6*9cm的长方形方盒10个，12.6*12.6*9cm的正方形方盒4个，直径约为46cm的齿轮1个，直径约26cm的齿轮4个，直径约15cm的橙色圆形轮子32个，10*10*10cm的直角连接板30个，6cm螺丝60件，8cm螺丝60件，8cm轮轴螺丝30件，螺母150件，35*15cm的橙色四边带孔木板4块，55.5*39.8*1.2cm大象1个，30*21.5*1.2cm皇冠1个，32.5*45*1.2cm长颈鹿1个，32*22.2*1.2cm红色水母2个，40*26*0.35cm中国空间站主题房子1个，快乐农场主题房子1个，直径约30cm的船舵齿轮1个，40.7cm*33.2cm*0.7cm军绿色卡片展示袋6个，产品操作指导卡片12张，动物主题卡片20张，我的祖国主题卡片16张，2.6*2.6m的绿色防水游戏垫1张，户外拖车3辆，墨绿色砖50块，材质：TPE软材质+塑料结构，尺寸为：19*9.5*5cm。带凹槽：19*9.5*5，凹槽位于砖的中间，深度2.5cm，长度7cm，宽度9.5cm。砖正反两面各8个孔洞表面带有花纹，侧面四周无花纹，孔洞直经1cm，孔洞两两对称。总配件数是581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B10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A644B">
            <w:pPr>
              <w:widowControl/>
              <w:jc w:val="center"/>
              <w:textAlignment w:val="center"/>
              <w:rPr>
                <w:rFonts w:ascii="Arial" w:hAnsi="Arial" w:eastAsia="等线" w:cs="Arial"/>
                <w:color w:val="auto"/>
                <w:sz w:val="24"/>
                <w:highlight w:val="none"/>
              </w:rPr>
            </w:pPr>
            <w:r>
              <w:rPr>
                <w:rFonts w:ascii="Arial" w:hAnsi="Arial" w:eastAsia="等线" w:cs="Arial"/>
                <w:color w:val="auto"/>
                <w:kern w:val="0"/>
                <w:sz w:val="24"/>
                <w:highlight w:val="none"/>
              </w:rPr>
              <w:t>1</w:t>
            </w:r>
          </w:p>
        </w:tc>
      </w:tr>
      <w:tr w14:paraId="7327892E">
        <w:tblPrEx>
          <w:tblCellMar>
            <w:top w:w="0" w:type="dxa"/>
            <w:left w:w="108" w:type="dxa"/>
            <w:bottom w:w="0" w:type="dxa"/>
            <w:right w:w="108" w:type="dxa"/>
          </w:tblCellMar>
        </w:tblPrEx>
        <w:trPr>
          <w:trHeight w:val="6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442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419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中号自主游戏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B43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06368" behindDoc="0" locked="0" layoutInCell="1" allowOverlap="1">
                  <wp:simplePos x="0" y="0"/>
                  <wp:positionH relativeFrom="column">
                    <wp:posOffset>38735</wp:posOffset>
                  </wp:positionH>
                  <wp:positionV relativeFrom="paragraph">
                    <wp:posOffset>1326515</wp:posOffset>
                  </wp:positionV>
                  <wp:extent cx="1483360" cy="925830"/>
                  <wp:effectExtent l="0" t="0" r="2540" b="7620"/>
                  <wp:wrapNone/>
                  <wp:docPr id="39" name="图片_1_SpCnt_2"/>
                  <wp:cNvGraphicFramePr/>
                  <a:graphic xmlns:a="http://schemas.openxmlformats.org/drawingml/2006/main">
                    <a:graphicData uri="http://schemas.openxmlformats.org/drawingml/2006/picture">
                      <pic:pic xmlns:pic="http://schemas.openxmlformats.org/drawingml/2006/picture">
                        <pic:nvPicPr>
                          <pic:cNvPr id="39" name="图片_1_SpCnt_2"/>
                          <pic:cNvPicPr/>
                        </pic:nvPicPr>
                        <pic:blipFill>
                          <a:blip r:embed="rId63"/>
                          <a:stretch>
                            <a:fillRect/>
                          </a:stretch>
                        </pic:blipFill>
                        <pic:spPr>
                          <a:xfrm>
                            <a:off x="0" y="0"/>
                            <a:ext cx="1483360" cy="92583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3232">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☆1、数量：35箱/套，内含1399件；</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2、材质：球体为PP材质，连接管为PVC材质。方块积木为微晶木材质</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3、主要配件：</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中号连接球：尺寸200mm*80mm，球体形状为饼圆形，球体以三部分组成，双侧球面以螺纹连接，且无螺丝等任何金属材质，边缘平均分布8个孔，两面轴心各1个孔，共计10个孔。双侧面采用软包胶工艺带触点，使球体包胶面接触地面的时候起到防滑作用。套装内连接球共2款，其中一款带触点且球体不少于2种色调。</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2）中号滑轮球：尺寸200mm*80mm，球体边缘分布8个孔，轴心处为1个通孔，可与其他配件组合成动态的游戏作品；</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3）中号双头带孔接头：尺寸47*44*140mm，两边为连接头，中心处为通孔，可与球体、连接管配合，拼装成各种游戏场景。</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4）方块积木：（1x1单元块，尺寸12*12*3cm，1x2单元块，尺寸24*12*3cm，1x3单元块，尺寸：36*12*3cm  （5）D38组合管：ø38mm*L468mm（6）D38组合管：ø38mm*L570mm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4、特点、功能：</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低结构，易塑性，以点、线、面、轴为基本元素，幼儿通过简单的“插”“拔”“拧”自主拆卸组合，搭建各种不同的小推车、火车、房子等，搭建过程锻炼幼儿手部精细化动作，促进幼儿逻辑思维及创造性思维能力。</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2）以孩子为主导进行游戏体验，创造有利条件激发幼儿与环境、幼儿与幼儿、幼儿与材料之间的多元互动，配有收纳架，收取方便，培养孩子良好的常规。</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3）满足孩子进行自主游戏、主题游戏、环境创设、角色扮演等，丰富的材料元素和颜色搭配对幼儿进行感官刺激，激发幼儿好奇思考、乐于探究的游戏欲望；</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5、其他：使用说明书一份，在线学习平台，提供游戏案例、活动方案等。6.运用俄罗斯方块的原理，选用1x1单元块（2块）1x2单元块（1块）1x3单元块（1块）结合以上其他配件，运用单元块材料和球的结合，搭建出车子造型并能使呈现滚动状态</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1D7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FB11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r>
      <w:tr w14:paraId="09CC0A0F">
        <w:tblPrEx>
          <w:tblCellMar>
            <w:top w:w="0" w:type="dxa"/>
            <w:left w:w="108" w:type="dxa"/>
            <w:bottom w:w="0" w:type="dxa"/>
            <w:right w:w="108" w:type="dxa"/>
          </w:tblCellMar>
        </w:tblPrEx>
        <w:trPr>
          <w:trHeight w:val="4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B5F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445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游戏屋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6B1C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07392" behindDoc="0" locked="0" layoutInCell="1" allowOverlap="1">
                  <wp:simplePos x="0" y="0"/>
                  <wp:positionH relativeFrom="column">
                    <wp:posOffset>87630</wp:posOffset>
                  </wp:positionH>
                  <wp:positionV relativeFrom="paragraph">
                    <wp:posOffset>852170</wp:posOffset>
                  </wp:positionV>
                  <wp:extent cx="1445895" cy="1008380"/>
                  <wp:effectExtent l="0" t="0" r="1905" b="1270"/>
                  <wp:wrapNone/>
                  <wp:docPr id="48" name="图片_1_SpCnt_3"/>
                  <wp:cNvGraphicFramePr/>
                  <a:graphic xmlns:a="http://schemas.openxmlformats.org/drawingml/2006/main">
                    <a:graphicData uri="http://schemas.openxmlformats.org/drawingml/2006/picture">
                      <pic:pic xmlns:pic="http://schemas.openxmlformats.org/drawingml/2006/picture">
                        <pic:nvPicPr>
                          <pic:cNvPr id="48" name="图片_1_SpCnt_3"/>
                          <pic:cNvPicPr/>
                        </pic:nvPicPr>
                        <pic:blipFill>
                          <a:blip r:embed="rId64"/>
                          <a:stretch>
                            <a:fillRect/>
                          </a:stretch>
                        </pic:blipFill>
                        <pic:spPr>
                          <a:xfrm>
                            <a:off x="0" y="0"/>
                            <a:ext cx="1445895" cy="100838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1935">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1：游戏屋规格：7.3×3×3m   1.立柱：采用6*6MM钢板 壁厚2.0mm热镀锌钢管，楼梯采用4*4管子并满足整体强度要求，强度系数 8;2.附件管：采用 直径48、38、32mm壁厚2.5mm材质：焊管；表面处理：室外聚脂系树脂粉体涂装烤漆，楼梯扶手间距 89mm。                     2.平台：采用厚度2.0mm冲孔成型热轧板或高强度冷轧钢板整体加工成型后经除油、抛光处理，表面浸塑，浸塑后平台板厚 2.5mm。平台尺寸 ：1160×1160x90mm，冲孔直径 8mm。                        4.螺丝、帽盖采用不锈钢304材质，连接耳攀采用Q235、直径10                       5.柱盖：材质：铸铝合金；表面处理：室外聚脂系树脂粉体涂装烤漆，其余通透处为亚克力板8MM。 6. 操作台尺寸2.8*1.4*1.8m  基材：采用E0级刨花板基材</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贴面：采用优质饰面纸，耐磨，不易变色且颜色搭配合理、美观；台面为优质石英石，含下水台盆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五金：自主品牌五金配件，设计大方合理，稳重，结构简单，连接牢固；自主设计简洁美观，连接挡板后整体视觉效果好；</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表面：光滑，有光泽，整体效果好；</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封边：采用优质塑料封边条， 有效防止水气侵入；</w:t>
            </w:r>
            <w:r>
              <w:rPr>
                <w:rFonts w:hint="eastAsia" w:ascii="宋体" w:hAnsi="宋体" w:cs="宋体"/>
                <w:color w:val="auto"/>
                <w:kern w:val="0"/>
                <w:sz w:val="24"/>
                <w:highlight w:val="none"/>
              </w:rPr>
              <w:br w:type="textWrapping"/>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A7CF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30C7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w:t>
            </w:r>
          </w:p>
        </w:tc>
      </w:tr>
      <w:tr w14:paraId="4F41D35D">
        <w:tblPrEx>
          <w:tblCellMar>
            <w:top w:w="0" w:type="dxa"/>
            <w:left w:w="108" w:type="dxa"/>
            <w:bottom w:w="0" w:type="dxa"/>
            <w:right w:w="108" w:type="dxa"/>
          </w:tblCellMar>
        </w:tblPrEx>
        <w:trPr>
          <w:trHeight w:val="8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D0F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F40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室外体能游戏攀爬组合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21E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08416" behindDoc="0" locked="0" layoutInCell="1" allowOverlap="1">
                  <wp:simplePos x="0" y="0"/>
                  <wp:positionH relativeFrom="column">
                    <wp:posOffset>122555</wp:posOffset>
                  </wp:positionH>
                  <wp:positionV relativeFrom="paragraph">
                    <wp:posOffset>1233170</wp:posOffset>
                  </wp:positionV>
                  <wp:extent cx="1428750" cy="1819275"/>
                  <wp:effectExtent l="0" t="0" r="0" b="9525"/>
                  <wp:wrapNone/>
                  <wp:docPr id="49" name="图片_4_SpCnt_1"/>
                  <wp:cNvGraphicFramePr/>
                  <a:graphic xmlns:a="http://schemas.openxmlformats.org/drawingml/2006/main">
                    <a:graphicData uri="http://schemas.openxmlformats.org/drawingml/2006/picture">
                      <pic:pic xmlns:pic="http://schemas.openxmlformats.org/drawingml/2006/picture">
                        <pic:nvPicPr>
                          <pic:cNvPr id="49" name="图片_4_SpCnt_1"/>
                          <pic:cNvPicPr/>
                        </pic:nvPicPr>
                        <pic:blipFill>
                          <a:blip r:embed="rId65"/>
                          <a:stretch>
                            <a:fillRect/>
                          </a:stretch>
                        </pic:blipFill>
                        <pic:spPr>
                          <a:xfrm>
                            <a:off x="0" y="0"/>
                            <a:ext cx="1428750" cy="18192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76AE">
            <w:pPr>
              <w:widowControl/>
              <w:jc w:val="left"/>
              <w:textAlignment w:val="center"/>
              <w:rPr>
                <w:rFonts w:ascii="宋体" w:hAnsi="宋体" w:cs="宋体"/>
                <w:color w:val="auto"/>
                <w:kern w:val="0"/>
                <w:sz w:val="24"/>
                <w:highlight w:val="none"/>
              </w:rPr>
            </w:pPr>
            <w:r>
              <w:rPr>
                <w:rFonts w:hint="eastAsia" w:ascii="宋体" w:hAnsi="宋体" w:cs="宋体"/>
                <w:color w:val="auto"/>
                <w:kern w:val="0"/>
                <w:sz w:val="24"/>
                <w:highlight w:val="none"/>
              </w:rPr>
              <w:t>产品尺寸：11.5*8*5.2m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材质+工艺</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配置设施包含但不限于：</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平台爬网面积≥14平方米、小房子2个平台面积≥2平方米、平台护网面积≥15平方米、平台护栏≥5平方米、落地钻网1套、爬网通道1套、垂直钻网1套、圆筒滑道1套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平台材质：平台骨架采用2mm厚镀锌方管材料焊接而成，骨架外框架采用4*6cm镀锌方管，骨架内用3*4cm镀锌方管加固，表面处理后经专用塑粉喷涂，高温烤漆，抗紫外光强度高，色泽艳丽，不易脱落，日久弥新，镀锌材质在水中不易生锈。平台面采用户外防腐芬兰木封板，芬兰木平台封板厚度≥27mm；表面处理：进行压、刨、铣、冲等处理后，表面进行防腐、防蛀处理，后采用原子灰进行三次刮灰抹平，并打磨光滑，表面喷涂三次聚氨脂清漆，产品外表和内表以及儿童手指可触及处无毛刺及尖锐的棱角，</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2.3底2面工艺，保证色彩鲜艳活泼，细节清晰可见，完全呈现原木自然的风味。以及兼顾在正常天气情况下的耐用，防晒，防雨的要求。☆涂层采用户外净味防腐耐候木油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3.塑料件：采用LLDPE 滚塑专用料经滚塑成形，塑料壁厚6mm以上，经紫外光老化试验，无明显变色，无粉化、起泡等现象，分别符合国家、ISO标准。塑料件的拉伸强度、断裂伸长率、弯曲强度符合国家标准。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铁件：热镀锌钢管采用优良钢材，光泽度好，不易生锈不易腐蚀；产品加工工艺细致，切面平整无毛刺，激光探伤检测，表面光洁美观。焊接采用氩弧焊及CO2气体保护焊，表面喷涂户外环保聚酯粉末，高温固化，表面光滑，抗紫外线能力强，色彩鲜艳，不易脱落，耐腐蚀。喷涂设备采用计算机控制的静电粉末喷涂装置，粉末回收采用小旋风和进口滤心，高效率，无污染。支撑柱采用100*100mm，厚度2.5mm镀锌钢管。</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5.圆筒滑道：采用LLDPE滚塑专用料经滚塑成形，塑料壁厚≥6mm，色彩艳丽，抗紫外光（UV）能力达到 8 级，符合食品级标准，抗静电能力强，安全环保，耐候性好，强度高。</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6.爬网通道：采用48mm以上镀锌钢管做为金属外框支架，内部配海上专用海缆绳材质编制绳网网格，形成通道。</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☆7.金属连接件采用304不锈钢材质，性能强，耐腐蚀。膨胀螺丝、角铁、防松螺丝拉伸，洛氏硬度等符合国家标准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8.接触面之材料及结合角铁均经导圆角处理，五金零件为圆头处理且具有预防任意高速功能，以维护使用者及设施结构的安全。</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9.绳网：用航海船用攀爬绳，直径不小于16mm，采用纯网绳材质，强度大，抗磨损，耐腐蚀，安全性能好，安全使用能达到十五年以上。网绳编织采用专用绳扣连接，所有螺丝均为不锈钢304#材质。</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10.护栏采用φ32、φ28厚度2.5mm镀锌圆管，整体汽车氟碳漆喷漆处理；</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☆11、户外大型游乐设施(木质)：通道、站台、滑道、扶手、护栏和围栏、耐拉力性能、外观和涂装、成人可进入性符合《无动力游乐设施儿童滑梯》标准。</w:t>
            </w:r>
          </w:p>
          <w:p w14:paraId="119D59F0">
            <w:pPr>
              <w:widowControl/>
              <w:jc w:val="left"/>
              <w:textAlignment w:val="center"/>
              <w:rPr>
                <w:rFonts w:ascii="宋体" w:hAnsi="宋体" w:cs="宋体"/>
                <w:color w:val="auto"/>
                <w:kern w:val="0"/>
                <w:sz w:val="24"/>
                <w:highlight w:val="none"/>
              </w:rPr>
            </w:pPr>
            <w:r>
              <w:rPr>
                <w:rFonts w:hint="eastAsia" w:ascii="宋体" w:hAnsi="宋体" w:cs="宋体"/>
                <w:color w:val="auto"/>
                <w:kern w:val="0"/>
                <w:sz w:val="24"/>
                <w:highlight w:val="none"/>
              </w:rPr>
              <w:t>12、投标人需提供</w:t>
            </w:r>
            <w:r>
              <w:rPr>
                <w:rFonts w:hint="eastAsia" w:ascii="宋体" w:hAnsi="宋体" w:cs="宋体"/>
                <w:color w:val="auto"/>
                <w:spacing w:val="-6"/>
                <w:kern w:val="0"/>
                <w:sz w:val="24"/>
                <w:highlight w:val="none"/>
              </w:rPr>
              <w:t>效果图及设计方案图</w:t>
            </w:r>
            <w:r>
              <w:rPr>
                <w:rFonts w:hint="eastAsia" w:ascii="宋体" w:hAnsi="宋体" w:cs="宋体"/>
                <w:color w:val="auto"/>
                <w:kern w:val="0"/>
                <w:sz w:val="24"/>
                <w:highlight w:val="none"/>
              </w:rPr>
              <w:t>。</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06E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29C0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r>
      <w:tr w14:paraId="0581275B">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1FF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6FD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美工功能室套装</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609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09440" behindDoc="0" locked="0" layoutInCell="1" allowOverlap="1">
                  <wp:simplePos x="0" y="0"/>
                  <wp:positionH relativeFrom="column">
                    <wp:posOffset>346075</wp:posOffset>
                  </wp:positionH>
                  <wp:positionV relativeFrom="paragraph">
                    <wp:posOffset>266700</wp:posOffset>
                  </wp:positionV>
                  <wp:extent cx="991870" cy="662940"/>
                  <wp:effectExtent l="0" t="0" r="17780" b="3810"/>
                  <wp:wrapNone/>
                  <wp:docPr id="68" name="图片_38_SpCnt_1"/>
                  <wp:cNvGraphicFramePr/>
                  <a:graphic xmlns:a="http://schemas.openxmlformats.org/drawingml/2006/main">
                    <a:graphicData uri="http://schemas.openxmlformats.org/drawingml/2006/picture">
                      <pic:pic xmlns:pic="http://schemas.openxmlformats.org/drawingml/2006/picture">
                        <pic:nvPicPr>
                          <pic:cNvPr id="68" name="图片_38_SpCnt_1"/>
                          <pic:cNvPicPr/>
                        </pic:nvPicPr>
                        <pic:blipFill>
                          <a:blip r:embed="rId66"/>
                          <a:stretch>
                            <a:fillRect/>
                          </a:stretch>
                        </pic:blipFill>
                        <pic:spPr>
                          <a:xfrm>
                            <a:off x="0" y="0"/>
                            <a:ext cx="991870" cy="6629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CDDD">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包含：单瓶儿童可洗手指画颜料*9，花纹刷刷乐*2，迷你花纹刷笔-建筑风格*6，迷你花纹刷笔-涂鸦风格*6，花纹刷笔-喷洒风格*6，造型刷笔*6，海绵彩绘刷*10，材料包*30，幼儿陶艺彩绘工具套组*5，幼儿陶艺捏塑工具套组*5，幼儿注浆石膏模具套组*5，作品转移托板*3，转台*6，普通瓷泥*5，灰陶*5，红陶*5，陶艺材料盒（小班）*2，陶艺材料盒（中班）*2，陶艺材料盒（大班）*2，蓝晒染色套装*1，灰缬套装*4，</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3EB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32B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r>
      <w:tr w14:paraId="40061C8E">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C49C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966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网孔展示墙</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763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10464" behindDoc="0" locked="0" layoutInCell="1" allowOverlap="1">
                  <wp:simplePos x="0" y="0"/>
                  <wp:positionH relativeFrom="column">
                    <wp:posOffset>360680</wp:posOffset>
                  </wp:positionH>
                  <wp:positionV relativeFrom="paragraph">
                    <wp:posOffset>176530</wp:posOffset>
                  </wp:positionV>
                  <wp:extent cx="883920" cy="819150"/>
                  <wp:effectExtent l="0" t="0" r="11430" b="0"/>
                  <wp:wrapNone/>
                  <wp:docPr id="61" name="图片_5"/>
                  <wp:cNvGraphicFramePr/>
                  <a:graphic xmlns:a="http://schemas.openxmlformats.org/drawingml/2006/main">
                    <a:graphicData uri="http://schemas.openxmlformats.org/drawingml/2006/picture">
                      <pic:pic xmlns:pic="http://schemas.openxmlformats.org/drawingml/2006/picture">
                        <pic:nvPicPr>
                          <pic:cNvPr id="61" name="图片_5"/>
                          <pic:cNvPicPr/>
                        </pic:nvPicPr>
                        <pic:blipFill>
                          <a:blip r:embed="rId67"/>
                          <a:stretch>
                            <a:fillRect/>
                          </a:stretch>
                        </pic:blipFill>
                        <pic:spPr>
                          <a:xfrm>
                            <a:off x="0" y="0"/>
                            <a:ext cx="883920" cy="81915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DB77">
            <w:pPr>
              <w:widowControl/>
              <w:spacing w:after="240"/>
              <w:jc w:val="left"/>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尺寸：300*30*150cm，材质：桦木多层板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609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2967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r>
      <w:tr w14:paraId="7D22E4E5">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38BB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6CE5">
            <w:pPr>
              <w:widowControl/>
              <w:jc w:val="center"/>
              <w:textAlignment w:val="center"/>
              <w:rPr>
                <w:rFonts w:ascii="Arial Unicode MS" w:hAnsi="Arial Unicode MS" w:eastAsia="Arial Unicode MS" w:cs="Arial Unicode MS"/>
                <w:color w:val="auto"/>
                <w:sz w:val="24"/>
                <w:highlight w:val="none"/>
              </w:rPr>
            </w:pPr>
            <w:r>
              <w:rPr>
                <w:rFonts w:ascii="Arial Unicode MS" w:hAnsi="Arial Unicode MS" w:eastAsia="Arial Unicode MS" w:cs="Arial Unicode MS"/>
                <w:color w:val="auto"/>
                <w:kern w:val="0"/>
                <w:sz w:val="24"/>
                <w:highlight w:val="none"/>
              </w:rPr>
              <w:t>12格油画棒放置盒</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BD02">
            <w:pPr>
              <w:widowControl/>
              <w:jc w:val="center"/>
              <w:textAlignment w:val="center"/>
              <w:rPr>
                <w:rFonts w:ascii="Arial Unicode MS" w:hAnsi="Arial Unicode MS" w:eastAsia="Arial Unicode MS" w:cs="Arial Unicode MS"/>
                <w:color w:val="auto"/>
                <w:sz w:val="24"/>
                <w:highlight w:val="none"/>
              </w:rPr>
            </w:pPr>
            <w:r>
              <w:rPr>
                <w:rFonts w:ascii="Arial Unicode MS" w:hAnsi="Arial Unicode MS" w:eastAsia="Arial Unicode MS" w:cs="Arial Unicode MS"/>
                <w:color w:val="auto"/>
                <w:kern w:val="0"/>
                <w:sz w:val="24"/>
                <w:highlight w:val="none"/>
                <w:bdr w:val="single" w:color="000000" w:sz="4" w:space="0"/>
              </w:rPr>
              <w:drawing>
                <wp:anchor distT="0" distB="0" distL="114300" distR="114300" simplePos="0" relativeHeight="251711488" behindDoc="0" locked="0" layoutInCell="1" allowOverlap="1">
                  <wp:simplePos x="0" y="0"/>
                  <wp:positionH relativeFrom="column">
                    <wp:posOffset>295275</wp:posOffset>
                  </wp:positionH>
                  <wp:positionV relativeFrom="paragraph">
                    <wp:posOffset>448310</wp:posOffset>
                  </wp:positionV>
                  <wp:extent cx="788035" cy="418465"/>
                  <wp:effectExtent l="0" t="0" r="12065" b="635"/>
                  <wp:wrapNone/>
                  <wp:docPr id="86" name="图片_1_SpCnt_4"/>
                  <wp:cNvGraphicFramePr/>
                  <a:graphic xmlns:a="http://schemas.openxmlformats.org/drawingml/2006/main">
                    <a:graphicData uri="http://schemas.openxmlformats.org/drawingml/2006/picture">
                      <pic:pic xmlns:pic="http://schemas.openxmlformats.org/drawingml/2006/picture">
                        <pic:nvPicPr>
                          <pic:cNvPr id="86" name="图片_1_SpCnt_4"/>
                          <pic:cNvPicPr/>
                        </pic:nvPicPr>
                        <pic:blipFill>
                          <a:blip r:embed="rId68"/>
                          <a:stretch>
                            <a:fillRect/>
                          </a:stretch>
                        </pic:blipFill>
                        <pic:spPr>
                          <a:xfrm>
                            <a:off x="0" y="0"/>
                            <a:ext cx="788035" cy="41846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F2A3">
            <w:pPr>
              <w:widowControl/>
              <w:jc w:val="left"/>
              <w:textAlignment w:val="center"/>
              <w:rPr>
                <w:rFonts w:ascii="Arial Unicode MS" w:hAnsi="Arial Unicode MS" w:eastAsia="Arial Unicode MS" w:cs="Arial Unicode MS"/>
                <w:color w:val="auto"/>
                <w:sz w:val="24"/>
                <w:highlight w:val="none"/>
              </w:rPr>
            </w:pPr>
            <w:r>
              <w:rPr>
                <w:rFonts w:ascii="Arial Unicode MS" w:hAnsi="Arial Unicode MS" w:eastAsia="Arial Unicode MS" w:cs="Arial Unicode MS"/>
                <w:color w:val="auto"/>
                <w:kern w:val="0"/>
                <w:sz w:val="24"/>
                <w:highlight w:val="none"/>
              </w:rPr>
              <w:t xml:space="preserve">尺 寸：297x285x50mm </w:t>
            </w:r>
            <w:r>
              <w:rPr>
                <w:rFonts w:ascii="Arial Unicode MS" w:hAnsi="Arial Unicode MS" w:eastAsia="Arial Unicode MS" w:cs="Arial Unicode MS"/>
                <w:color w:val="auto"/>
                <w:kern w:val="0"/>
                <w:sz w:val="24"/>
                <w:highlight w:val="none"/>
              </w:rPr>
              <w:br w:type="textWrapping"/>
            </w:r>
            <w:r>
              <w:rPr>
                <w:rFonts w:ascii="Arial Unicode MS" w:hAnsi="Arial Unicode MS" w:eastAsia="Arial Unicode MS" w:cs="Arial Unicode MS"/>
                <w:color w:val="auto"/>
                <w:kern w:val="0"/>
                <w:sz w:val="24"/>
                <w:highlight w:val="none"/>
              </w:rPr>
              <w:t>介 绍：使用榉木制作的油画棒放置盒，每个分隔刚好可以放置12支油画棒，帮助幼儿建立良好分类秩序，培养良好的收纳整理习惯。</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5D6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BB0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r>
      <w:tr w14:paraId="5263E2C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B11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4E9C">
            <w:pPr>
              <w:widowControl/>
              <w:jc w:val="center"/>
              <w:textAlignment w:val="center"/>
              <w:rPr>
                <w:rFonts w:ascii="Arial Unicode MS" w:hAnsi="Arial Unicode MS" w:eastAsia="Arial Unicode MS" w:cs="Arial Unicode MS"/>
                <w:color w:val="auto"/>
                <w:sz w:val="24"/>
                <w:highlight w:val="none"/>
              </w:rPr>
            </w:pPr>
            <w:r>
              <w:rPr>
                <w:rFonts w:ascii="Arial Unicode MS" w:hAnsi="Arial Unicode MS" w:eastAsia="Arial Unicode MS" w:cs="Arial Unicode MS"/>
                <w:color w:val="auto"/>
                <w:kern w:val="0"/>
                <w:sz w:val="24"/>
                <w:highlight w:val="none"/>
              </w:rPr>
              <w:t>剪刀座</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B55F">
            <w:pPr>
              <w:widowControl/>
              <w:jc w:val="center"/>
              <w:textAlignment w:val="center"/>
              <w:rPr>
                <w:rFonts w:ascii="Arial Unicode MS" w:hAnsi="Arial Unicode MS" w:eastAsia="Arial Unicode MS" w:cs="Arial Unicode MS"/>
                <w:color w:val="auto"/>
                <w:sz w:val="24"/>
                <w:highlight w:val="none"/>
              </w:rPr>
            </w:pPr>
            <w:r>
              <w:rPr>
                <w:rFonts w:ascii="Arial Unicode MS" w:hAnsi="Arial Unicode MS" w:eastAsia="Arial Unicode MS" w:cs="Arial Unicode MS"/>
                <w:color w:val="auto"/>
                <w:kern w:val="0"/>
                <w:sz w:val="24"/>
                <w:highlight w:val="none"/>
                <w:bdr w:val="single" w:color="000000" w:sz="4" w:space="0"/>
              </w:rPr>
              <w:drawing>
                <wp:anchor distT="0" distB="0" distL="114300" distR="114300" simplePos="0" relativeHeight="251712512" behindDoc="0" locked="0" layoutInCell="1" allowOverlap="1">
                  <wp:simplePos x="0" y="0"/>
                  <wp:positionH relativeFrom="column">
                    <wp:posOffset>295275</wp:posOffset>
                  </wp:positionH>
                  <wp:positionV relativeFrom="paragraph">
                    <wp:posOffset>281305</wp:posOffset>
                  </wp:positionV>
                  <wp:extent cx="868680" cy="599440"/>
                  <wp:effectExtent l="0" t="0" r="7620" b="10160"/>
                  <wp:wrapNone/>
                  <wp:docPr id="74" name="图片_1_SpCnt_5"/>
                  <wp:cNvGraphicFramePr/>
                  <a:graphic xmlns:a="http://schemas.openxmlformats.org/drawingml/2006/main">
                    <a:graphicData uri="http://schemas.openxmlformats.org/drawingml/2006/picture">
                      <pic:pic xmlns:pic="http://schemas.openxmlformats.org/drawingml/2006/picture">
                        <pic:nvPicPr>
                          <pic:cNvPr id="74" name="图片_1_SpCnt_5"/>
                          <pic:cNvPicPr/>
                        </pic:nvPicPr>
                        <pic:blipFill>
                          <a:blip r:embed="rId69"/>
                          <a:stretch>
                            <a:fillRect/>
                          </a:stretch>
                        </pic:blipFill>
                        <pic:spPr>
                          <a:xfrm>
                            <a:off x="0" y="0"/>
                            <a:ext cx="868680" cy="5994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382C">
            <w:pPr>
              <w:widowControl/>
              <w:jc w:val="left"/>
              <w:textAlignment w:val="center"/>
              <w:rPr>
                <w:rFonts w:ascii="Arial Unicode MS" w:hAnsi="Arial Unicode MS" w:eastAsia="Arial Unicode MS" w:cs="Arial Unicode MS"/>
                <w:color w:val="auto"/>
                <w:sz w:val="24"/>
                <w:highlight w:val="none"/>
              </w:rPr>
            </w:pPr>
            <w:r>
              <w:rPr>
                <w:rFonts w:ascii="Arial Unicode MS" w:hAnsi="Arial Unicode MS" w:eastAsia="Arial Unicode MS" w:cs="Arial Unicode MS"/>
                <w:color w:val="auto"/>
                <w:kern w:val="0"/>
                <w:sz w:val="24"/>
                <w:highlight w:val="none"/>
              </w:rPr>
              <w:t>尺 寸：290x80x60mm美观实用，帮助幼儿养成良好收纳整理习惯。松木制实心木制剪刀底座，便于存储剪刀，保证存储安全。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0DF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CD4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r>
      <w:tr w14:paraId="17F50F4F">
        <w:tblPrEx>
          <w:tblCellMar>
            <w:top w:w="0" w:type="dxa"/>
            <w:left w:w="108" w:type="dxa"/>
            <w:bottom w:w="0" w:type="dxa"/>
            <w:right w:w="108" w:type="dxa"/>
          </w:tblCellMar>
        </w:tblPrEx>
        <w:trPr>
          <w:trHeight w:val="2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CE7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D1E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七彩磁格灯箱沙画</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5B7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13536" behindDoc="0" locked="0" layoutInCell="1" allowOverlap="1">
                  <wp:simplePos x="0" y="0"/>
                  <wp:positionH relativeFrom="column">
                    <wp:posOffset>210185</wp:posOffset>
                  </wp:positionH>
                  <wp:positionV relativeFrom="paragraph">
                    <wp:posOffset>434340</wp:posOffset>
                  </wp:positionV>
                  <wp:extent cx="1084580" cy="1097280"/>
                  <wp:effectExtent l="0" t="0" r="1270" b="7620"/>
                  <wp:wrapNone/>
                  <wp:docPr id="64" name="ID_075A18FD643843B7832D0D6774522F42"/>
                  <wp:cNvGraphicFramePr/>
                  <a:graphic xmlns:a="http://schemas.openxmlformats.org/drawingml/2006/main">
                    <a:graphicData uri="http://schemas.openxmlformats.org/drawingml/2006/picture">
                      <pic:pic xmlns:pic="http://schemas.openxmlformats.org/drawingml/2006/picture">
                        <pic:nvPicPr>
                          <pic:cNvPr id="64" name="ID_075A18FD643843B7832D0D6774522F42"/>
                          <pic:cNvPicPr/>
                        </pic:nvPicPr>
                        <pic:blipFill>
                          <a:blip r:embed="rId70"/>
                          <a:stretch>
                            <a:fillRect/>
                          </a:stretch>
                        </pic:blipFill>
                        <pic:spPr>
                          <a:xfrm>
                            <a:off x="0" y="0"/>
                            <a:ext cx="1084580" cy="109728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420F">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产品材质：竹制、沙、塑料                                </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产品配置：每套含尺寸约43*32*17.5cm竹制灯箱1个、七彩磁格一盒（33片），沙画专用沙1公斤，沙漏笔4个，清理海绵2块，尺寸10*6*2.3cm。舀沙勺2个，长度10.5cm，手柄长7cm，勺头直径3.5cm，高3cm。沙漏2个，顶端直径6.4cm，底部直径1cm，高7cm。沙子收纳盒1个，尺寸20.8*15.8*12.8cm。USB灯1个，尺寸33.5*1.8*1.3cm，接线长1.8米带开关按钮。变色材料4张，尺寸是30*20cm，图册1本，紫色4面吸吸猪4个，黄色3面吸吸猪4个，蓝色两面吸吸猪4个，橙色一面吸吸猪4个， 共69件。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DA2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D53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r>
      <w:tr w14:paraId="789EA782">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007C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7F31">
            <w:pPr>
              <w:widowControl/>
              <w:jc w:val="center"/>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rPr>
              <w:t>电动工具8件套</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D91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14560" behindDoc="0" locked="0" layoutInCell="1" allowOverlap="1">
                  <wp:simplePos x="0" y="0"/>
                  <wp:positionH relativeFrom="column">
                    <wp:posOffset>281940</wp:posOffset>
                  </wp:positionH>
                  <wp:positionV relativeFrom="paragraph">
                    <wp:posOffset>27305</wp:posOffset>
                  </wp:positionV>
                  <wp:extent cx="1019810" cy="1022985"/>
                  <wp:effectExtent l="0" t="0" r="8890" b="5715"/>
                  <wp:wrapNone/>
                  <wp:docPr id="80" name="图片_28"/>
                  <wp:cNvGraphicFramePr/>
                  <a:graphic xmlns:a="http://schemas.openxmlformats.org/drawingml/2006/main">
                    <a:graphicData uri="http://schemas.openxmlformats.org/drawingml/2006/picture">
                      <pic:pic xmlns:pic="http://schemas.openxmlformats.org/drawingml/2006/picture">
                        <pic:nvPicPr>
                          <pic:cNvPr id="80" name="图片_28"/>
                          <pic:cNvPicPr/>
                        </pic:nvPicPr>
                        <pic:blipFill>
                          <a:blip r:embed="rId71"/>
                          <a:stretch>
                            <a:fillRect/>
                          </a:stretch>
                        </pic:blipFill>
                        <pic:spPr>
                          <a:xfrm>
                            <a:off x="0" y="0"/>
                            <a:ext cx="1019810" cy="102298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EE2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材质：安全塑料。内含：十字批头*1,一字批头*1,内六角批头*1，外六角批头*1,手柄*1，扳手*1,电枪*1。十字批头18*18*52mm,一字批头16*16*52mm,内六角批头16*16*52mm，外六角批头φ27*52mm,手柄φ30*72mm，扳手134*42*20mm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831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CD9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r>
      <w:tr w14:paraId="3219BB9A">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1AA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43C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乐高积木墙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D6D5">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15584" behindDoc="0" locked="0" layoutInCell="1" allowOverlap="1">
                  <wp:simplePos x="0" y="0"/>
                  <wp:positionH relativeFrom="column">
                    <wp:posOffset>188595</wp:posOffset>
                  </wp:positionH>
                  <wp:positionV relativeFrom="paragraph">
                    <wp:posOffset>139065</wp:posOffset>
                  </wp:positionV>
                  <wp:extent cx="1308735" cy="878840"/>
                  <wp:effectExtent l="0" t="0" r="5715" b="16510"/>
                  <wp:wrapNone/>
                  <wp:docPr id="81" name="图片_65"/>
                  <wp:cNvGraphicFramePr/>
                  <a:graphic xmlns:a="http://schemas.openxmlformats.org/drawingml/2006/main">
                    <a:graphicData uri="http://schemas.openxmlformats.org/drawingml/2006/picture">
                      <pic:pic xmlns:pic="http://schemas.openxmlformats.org/drawingml/2006/picture">
                        <pic:nvPicPr>
                          <pic:cNvPr id="81" name="图片_65"/>
                          <pic:cNvPicPr/>
                        </pic:nvPicPr>
                        <pic:blipFill>
                          <a:blip r:embed="rId72"/>
                          <a:stretch>
                            <a:fillRect/>
                          </a:stretch>
                        </pic:blipFill>
                        <pic:spPr>
                          <a:xfrm>
                            <a:off x="0" y="0"/>
                            <a:ext cx="1308735" cy="8788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885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规格250×35×260cm。按照墙面设计收纳盒数量,基材采用多层板，表面铐漆，柜加抽屉，抽屉收纳有机透明盒。</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554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84CB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r>
      <w:tr w14:paraId="200C1F45">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67F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922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活动墙主题背板-火车头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6F77">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16608" behindDoc="0" locked="0" layoutInCell="1" allowOverlap="1">
                  <wp:simplePos x="0" y="0"/>
                  <wp:positionH relativeFrom="column">
                    <wp:posOffset>399415</wp:posOffset>
                  </wp:positionH>
                  <wp:positionV relativeFrom="paragraph">
                    <wp:posOffset>219075</wp:posOffset>
                  </wp:positionV>
                  <wp:extent cx="664845" cy="666115"/>
                  <wp:effectExtent l="0" t="0" r="1905" b="635"/>
                  <wp:wrapNone/>
                  <wp:docPr id="66" name="图片_30"/>
                  <wp:cNvGraphicFramePr/>
                  <a:graphic xmlns:a="http://schemas.openxmlformats.org/drawingml/2006/main">
                    <a:graphicData uri="http://schemas.openxmlformats.org/drawingml/2006/picture">
                      <pic:pic xmlns:pic="http://schemas.openxmlformats.org/drawingml/2006/picture">
                        <pic:nvPicPr>
                          <pic:cNvPr id="66" name="图片_30"/>
                          <pic:cNvPicPr/>
                        </pic:nvPicPr>
                        <pic:blipFill>
                          <a:blip r:embed="rId73"/>
                          <a:stretch>
                            <a:fillRect/>
                          </a:stretch>
                        </pic:blipFill>
                        <pic:spPr>
                          <a:xfrm>
                            <a:off x="0" y="0"/>
                            <a:ext cx="664845" cy="66611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35C0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尺寸：79×80×0.9cm</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 xml:space="preserve">1、采用5mm厚优质环保三聚氰胺贴面胶合板，甲醛释放量符合 GB/T39600-2021标准要求。   </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 xml:space="preserve">2、主题图案采用UV打印工艺处理，颜色不易脱落，且所使用的UV打印均为环保材料。 </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3、卡通火车头造型图案，美观实用。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73B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279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73B7B7C8">
        <w:tblPrEx>
          <w:tblCellMar>
            <w:top w:w="0" w:type="dxa"/>
            <w:left w:w="108" w:type="dxa"/>
            <w:bottom w:w="0" w:type="dxa"/>
            <w:right w:w="108" w:type="dxa"/>
          </w:tblCellMar>
        </w:tblPrEx>
        <w:trPr>
          <w:trHeight w:val="6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916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0F3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班级包-进阶包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172C6">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17632" behindDoc="0" locked="0" layoutInCell="1" allowOverlap="1">
                  <wp:simplePos x="0" y="0"/>
                  <wp:positionH relativeFrom="column">
                    <wp:posOffset>254000</wp:posOffset>
                  </wp:positionH>
                  <wp:positionV relativeFrom="paragraph">
                    <wp:posOffset>1216660</wp:posOffset>
                  </wp:positionV>
                  <wp:extent cx="1071245" cy="1068705"/>
                  <wp:effectExtent l="0" t="0" r="14605" b="17145"/>
                  <wp:wrapNone/>
                  <wp:docPr id="82" name="图片_31"/>
                  <wp:cNvGraphicFramePr/>
                  <a:graphic xmlns:a="http://schemas.openxmlformats.org/drawingml/2006/main">
                    <a:graphicData uri="http://schemas.openxmlformats.org/drawingml/2006/picture">
                      <pic:pic xmlns:pic="http://schemas.openxmlformats.org/drawingml/2006/picture">
                        <pic:nvPicPr>
                          <pic:cNvPr id="82" name="图片_31"/>
                          <pic:cNvPicPr/>
                        </pic:nvPicPr>
                        <pic:blipFill>
                          <a:blip r:embed="rId74"/>
                          <a:stretch>
                            <a:fillRect/>
                          </a:stretch>
                        </pic:blipFill>
                        <pic:spPr>
                          <a:xfrm>
                            <a:off x="0" y="0"/>
                            <a:ext cx="1071245" cy="106870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270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材质：ABS，包装尺寸：约：纸箱1  37.5*55*68.4cm ，纸箱2 38*55*54cm，内含：2孔高阶大红*37,2孔高阶橙色17,2孔高阶黄色*85,2孔高阶草绿*12,2孔高阶浅蓝*21,2孔高阶白*146,2孔低阶黄色*6，2孔低阶白色*13,直4孔高阶大红*5,直4孔高阶深蓝*10,直4孔高阶白*8,2*2高阶大红*51，2*2高阶橙*55,2*2高阶黄*60,2*2高阶草绿*57,2*2高阶深绿*41,2*2高阶浅蓝*22,2*2高阶深蓝*36,2*2高阶深棕*21，2*2高阶白*51,2*2高阶黑*34，2*2低阶大红*3,2*2低阶橙*11,2*2低阶黄*17,2*2低阶草绿*13,2*4高阶大红*27,2*4高阶橙色*40,2*4高阶黄*61,2*4高阶草绿*27,2*4高阶深绿*26,2*4高阶浅蓝*24,2*4高阶深蓝*33,2*4高阶白*55,2*4低阶大红*1,2*4低阶橙*6,2*4低阶黄*12,2*4低阶草绿*3,2*4低阶深绿*7,2*4低阶浅蓝*6,2*4低阶深蓝*6,2*4低阶白*6,,2*6低阶黄*1,2*6低阶棕色*16,2*8高阶红*21,2*8高阶黄*9,2*8高阶深蓝*2,2*8低阶大红*14,2*8低阶黄*6,2*8低阶深绿*12,薄4孔1边带4孔*150,薄正方16孔橙*1,4孔圆转盘上盖-灰色*33,4孔2边弧红*1,2孔内弯小斜坡橙*6,2孔外弯小斜坡红*3,窗框浅蓝*5,窗页白*5,12孔旋转转盘草绿*3,小花黄*2,小花大红*13,小花橙*2,绿叶*8,草*3,长方形加圆大红*2,弯头深蓝*2,弯头黄*2,直管道黄色*2,20孔拱桥红*1,,90度大弯滑道橙*7,180度弯滑道橙*3,2*4滑道斜坡橙*1,2*2滑道斜坡橙*1,椅子深蓝*3,4孔长方桌橙*2,4孔牙轮-黄*8,4孔牙轮-草绿*5,4孔牙轮-深蓝*5,4孔牙轮-红*2,12孔大牙轮-橙*9,12孔大牙轮-草绿*1,12孔大牙轮-红*1,滑梯-深蓝*4,积木-几何块-四方形-白色*9,积木-几何块-四方形-红色（3546C）*62,积木-几何块-四方形-桔色（151C）*12,积木-几何块-四方形-黄色（109C）*72,积木-几何块-四方形-叶绿（2300C）*2,积木-几何块-四方形-绿色（348C）*26,积木-几何块-四方形-蓝色（2945C）*12,积木-几何块-四方形-黑色*55,积木-几何块-三角形-桔色（151C）*12,积木-几何块-三角形-叶绿（2300C）*2,积木-几何块-三角形-绿色（348C）*4,积木-几何块-三角形-红色（3546C）*4,积木-几何块-半圆形-红色（3546C）*4，积木-几何块-半圆形-桔色（151C）*3,积木-几何块-半圆形-黄色（109C）*4,积木-几何块-半圆形-叶绿（2300C）*5,积木-几何块-圆形-白色*2,积木-几何块-圆形-红色（3546C）*17,积木-几何块-圆形-黄色（109C）*16，积木-几何块-圆形-叶绿（2300C）*1,积木-圆形柱-叶绿（2300C）*1，积木-圆形柱-蓝色（2945C）*7,积木-螺丝-内六角-叶绿（2300C）*13，积木-螺丝-十字-桔色（151C）*1，积木-螺丝-十字-蓝色（2945C）*10，积木-螺丝-一字-桔色（151C）*13，积木-螺丝-内六角-绿色（348C）*2，柱子棕*4,小螺旋桨*3,旗帜草绿*2,旗杆棕*2,挖斗橙*1,长机械臂*1,2孔斜连接器*1,树藤草绿*4,农业围栏棕*2,鸭子*1,小鸟*1,秋千架深蓝*1,秋千椅大红*2,路灯棕*1,双人秋千架黄*1,企鹅*1,熊猫*1,牙轮摇臂-橙*7,扳手*2。内含 8 款主题积木包。分别是齿轮的秘密、我和我的祖国、我是发明家、社区生活、小小工程师、农场生活、遨游太空、告别幼儿园。。</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AED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FD6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61783BDF">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F8F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179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STEAM活动墙板1件套（横向）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93CB">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18656" behindDoc="0" locked="0" layoutInCell="1" allowOverlap="1">
                  <wp:simplePos x="0" y="0"/>
                  <wp:positionH relativeFrom="column">
                    <wp:posOffset>375920</wp:posOffset>
                  </wp:positionH>
                  <wp:positionV relativeFrom="paragraph">
                    <wp:posOffset>168910</wp:posOffset>
                  </wp:positionV>
                  <wp:extent cx="666750" cy="672465"/>
                  <wp:effectExtent l="0" t="0" r="0" b="0"/>
                  <wp:wrapNone/>
                  <wp:docPr id="75" name="AutoShape_883"/>
                  <wp:cNvGraphicFramePr/>
                  <a:graphic xmlns:a="http://schemas.openxmlformats.org/drawingml/2006/main">
                    <a:graphicData uri="http://schemas.openxmlformats.org/drawingml/2006/picture">
                      <pic:pic xmlns:pic="http://schemas.openxmlformats.org/drawingml/2006/picture">
                        <pic:nvPicPr>
                          <pic:cNvPr id="75" name="AutoShape_883"/>
                          <pic:cNvPicPr/>
                        </pic:nvPicPr>
                        <pic:blipFill>
                          <a:blip r:embed="rId75"/>
                          <a:stretch>
                            <a:fillRect/>
                          </a:stretch>
                        </pic:blipFill>
                        <pic:spPr>
                          <a:xfrm>
                            <a:off x="0" y="0"/>
                            <a:ext cx="666750" cy="672465"/>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19680" behindDoc="0" locked="0" layoutInCell="1" allowOverlap="1">
                  <wp:simplePos x="0" y="0"/>
                  <wp:positionH relativeFrom="column">
                    <wp:posOffset>601980</wp:posOffset>
                  </wp:positionH>
                  <wp:positionV relativeFrom="paragraph">
                    <wp:posOffset>232410</wp:posOffset>
                  </wp:positionV>
                  <wp:extent cx="666115" cy="661670"/>
                  <wp:effectExtent l="0" t="0" r="635" b="5080"/>
                  <wp:wrapNone/>
                  <wp:docPr id="79" name="图片_32"/>
                  <wp:cNvGraphicFramePr/>
                  <a:graphic xmlns:a="http://schemas.openxmlformats.org/drawingml/2006/main">
                    <a:graphicData uri="http://schemas.openxmlformats.org/drawingml/2006/picture">
                      <pic:pic xmlns:pic="http://schemas.openxmlformats.org/drawingml/2006/picture">
                        <pic:nvPicPr>
                          <pic:cNvPr id="79" name="图片_32"/>
                          <pic:cNvPicPr/>
                        </pic:nvPicPr>
                        <pic:blipFill>
                          <a:blip r:embed="rId76"/>
                          <a:stretch>
                            <a:fillRect/>
                          </a:stretch>
                        </pic:blipFill>
                        <pic:spPr>
                          <a:xfrm>
                            <a:off x="0" y="0"/>
                            <a:ext cx="666115" cy="66167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766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 xml:space="preserve">材质：密度板+安全塑料，尺寸：119.2×76.8×8cm,3456个凸点,864个凹洞，凸点高度6mm，凹洞直径12mm                                                            </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功能特点：多种尺寸的配套墙板，可按园所墙面空间大小，灵活搭配。</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独创插孔设计，既可以插入常见乐高型形颗粒积木，又可以插入洞洞板插孔游戏，螺丝、插棒等特殊插件，一孔多玩，激发幼儿的探究性，促进幼儿问题解决能力。</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772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A6F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7849DFF0">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6C8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A91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STEAM活动墙板1件套（横向延长组）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8D54">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20704" behindDoc="0" locked="0" layoutInCell="1" allowOverlap="1">
                  <wp:simplePos x="0" y="0"/>
                  <wp:positionH relativeFrom="column">
                    <wp:posOffset>624840</wp:posOffset>
                  </wp:positionH>
                  <wp:positionV relativeFrom="paragraph">
                    <wp:posOffset>218440</wp:posOffset>
                  </wp:positionV>
                  <wp:extent cx="666115" cy="668020"/>
                  <wp:effectExtent l="0" t="0" r="635" b="17780"/>
                  <wp:wrapNone/>
                  <wp:docPr id="58" name="图片_33"/>
                  <wp:cNvGraphicFramePr/>
                  <a:graphic xmlns:a="http://schemas.openxmlformats.org/drawingml/2006/main">
                    <a:graphicData uri="http://schemas.openxmlformats.org/drawingml/2006/picture">
                      <pic:pic xmlns:pic="http://schemas.openxmlformats.org/drawingml/2006/picture">
                        <pic:nvPicPr>
                          <pic:cNvPr id="58" name="图片_33"/>
                          <pic:cNvPicPr/>
                        </pic:nvPicPr>
                        <pic:blipFill>
                          <a:blip r:embed="rId77"/>
                          <a:stretch>
                            <a:fillRect/>
                          </a:stretch>
                        </pic:blipFill>
                        <pic:spPr>
                          <a:xfrm>
                            <a:off x="0" y="0"/>
                            <a:ext cx="666115" cy="6680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F6F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 xml:space="preserve">材质：密度板+安全塑料，尺寸：115.2×76.8×8cm,3456个凸点,864个凹洞，凸点高度6mm，凹洞直径12mm                                                           </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功能特点：多种尺寸的配套墙板，可按园所墙面空间大小，灵活搭配。</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独创插孔设计，既可以插入常见乐高型形颗粒积木，又可以插入洞洞板插孔游戏，螺丝、插棒等特殊插件，一孔多玩，激发幼儿的探究性，促进幼儿问题解决能力。</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D47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14A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5</w:t>
            </w:r>
          </w:p>
        </w:tc>
      </w:tr>
      <w:tr w14:paraId="0960BC0F">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708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13E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网孔展示墙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FEC3">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21728" behindDoc="0" locked="0" layoutInCell="1" allowOverlap="1">
                  <wp:simplePos x="0" y="0"/>
                  <wp:positionH relativeFrom="column">
                    <wp:posOffset>629285</wp:posOffset>
                  </wp:positionH>
                  <wp:positionV relativeFrom="paragraph">
                    <wp:posOffset>123190</wp:posOffset>
                  </wp:positionV>
                  <wp:extent cx="667385" cy="622300"/>
                  <wp:effectExtent l="0" t="0" r="18415" b="6350"/>
                  <wp:wrapNone/>
                  <wp:docPr id="89" name="图片_5_SpCnt_1"/>
                  <wp:cNvGraphicFramePr/>
                  <a:graphic xmlns:a="http://schemas.openxmlformats.org/drawingml/2006/main">
                    <a:graphicData uri="http://schemas.openxmlformats.org/drawingml/2006/picture">
                      <pic:pic xmlns:pic="http://schemas.openxmlformats.org/drawingml/2006/picture">
                        <pic:nvPicPr>
                          <pic:cNvPr id="89" name="图片_5_SpCnt_1"/>
                          <pic:cNvPicPr/>
                        </pic:nvPicPr>
                        <pic:blipFill>
                          <a:blip r:embed="rId78"/>
                          <a:stretch>
                            <a:fillRect/>
                          </a:stretch>
                        </pic:blipFill>
                        <pic:spPr>
                          <a:xfrm>
                            <a:off x="0" y="0"/>
                            <a:ext cx="667385" cy="62230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9C35">
            <w:pPr>
              <w:widowControl/>
              <w:spacing w:after="200"/>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 xml:space="preserve">尺寸：300*30*150cm，材质：桦木多层板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F74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802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01E851BE">
        <w:tblPrEx>
          <w:tblCellMar>
            <w:top w:w="0" w:type="dxa"/>
            <w:left w:w="108" w:type="dxa"/>
            <w:bottom w:w="0" w:type="dxa"/>
            <w:right w:w="108" w:type="dxa"/>
          </w:tblCellMar>
        </w:tblPrEx>
        <w:trPr>
          <w:trHeight w:val="4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FE6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E6E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班级包-标准包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3AF7">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22752" behindDoc="0" locked="0" layoutInCell="1" allowOverlap="1">
                  <wp:simplePos x="0" y="0"/>
                  <wp:positionH relativeFrom="column">
                    <wp:posOffset>117475</wp:posOffset>
                  </wp:positionH>
                  <wp:positionV relativeFrom="paragraph">
                    <wp:posOffset>701675</wp:posOffset>
                  </wp:positionV>
                  <wp:extent cx="1278890" cy="1282700"/>
                  <wp:effectExtent l="0" t="0" r="16510" b="12700"/>
                  <wp:wrapNone/>
                  <wp:docPr id="62" name="图片_46_SpCnt_2"/>
                  <wp:cNvGraphicFramePr/>
                  <a:graphic xmlns:a="http://schemas.openxmlformats.org/drawingml/2006/main">
                    <a:graphicData uri="http://schemas.openxmlformats.org/drawingml/2006/picture">
                      <pic:pic xmlns:pic="http://schemas.openxmlformats.org/drawingml/2006/picture">
                        <pic:nvPicPr>
                          <pic:cNvPr id="62" name="图片_46_SpCnt_2"/>
                          <pic:cNvPicPr/>
                        </pic:nvPicPr>
                        <pic:blipFill>
                          <a:blip r:embed="rId79"/>
                          <a:stretch>
                            <a:fillRect/>
                          </a:stretch>
                        </pic:blipFill>
                        <pic:spPr>
                          <a:xfrm>
                            <a:off x="0" y="0"/>
                            <a:ext cx="1278890" cy="128270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23776" behindDoc="0" locked="0" layoutInCell="1" allowOverlap="1">
                  <wp:simplePos x="0" y="0"/>
                  <wp:positionH relativeFrom="column">
                    <wp:posOffset>461010</wp:posOffset>
                  </wp:positionH>
                  <wp:positionV relativeFrom="paragraph">
                    <wp:posOffset>110490</wp:posOffset>
                  </wp:positionV>
                  <wp:extent cx="791845" cy="786130"/>
                  <wp:effectExtent l="0" t="0" r="0" b="0"/>
                  <wp:wrapNone/>
                  <wp:docPr id="59" name="矩形_45"/>
                  <wp:cNvGraphicFramePr/>
                  <a:graphic xmlns:a="http://schemas.openxmlformats.org/drawingml/2006/main">
                    <a:graphicData uri="http://schemas.openxmlformats.org/drawingml/2006/picture">
                      <pic:pic xmlns:pic="http://schemas.openxmlformats.org/drawingml/2006/picture">
                        <pic:nvPicPr>
                          <pic:cNvPr id="59" name="矩形_45"/>
                          <pic:cNvPicPr/>
                        </pic:nvPicPr>
                        <pic:blipFill>
                          <a:blip r:embed="rId80"/>
                          <a:stretch>
                            <a:fillRect/>
                          </a:stretch>
                        </pic:blipFill>
                        <pic:spPr>
                          <a:xfrm>
                            <a:off x="0" y="0"/>
                            <a:ext cx="791845" cy="78613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24800" behindDoc="0" locked="0" layoutInCell="1" allowOverlap="1">
                  <wp:simplePos x="0" y="0"/>
                  <wp:positionH relativeFrom="column">
                    <wp:posOffset>461010</wp:posOffset>
                  </wp:positionH>
                  <wp:positionV relativeFrom="paragraph">
                    <wp:posOffset>110490</wp:posOffset>
                  </wp:positionV>
                  <wp:extent cx="791845" cy="786130"/>
                  <wp:effectExtent l="0" t="0" r="0" b="0"/>
                  <wp:wrapNone/>
                  <wp:docPr id="84" name="矩形_44"/>
                  <wp:cNvGraphicFramePr/>
                  <a:graphic xmlns:a="http://schemas.openxmlformats.org/drawingml/2006/main">
                    <a:graphicData uri="http://schemas.openxmlformats.org/drawingml/2006/picture">
                      <pic:pic xmlns:pic="http://schemas.openxmlformats.org/drawingml/2006/picture">
                        <pic:nvPicPr>
                          <pic:cNvPr id="84" name="矩形_44"/>
                          <pic:cNvPicPr/>
                        </pic:nvPicPr>
                        <pic:blipFill>
                          <a:blip r:embed="rId80"/>
                          <a:stretch>
                            <a:fillRect/>
                          </a:stretch>
                        </pic:blipFill>
                        <pic:spPr>
                          <a:xfrm>
                            <a:off x="0" y="0"/>
                            <a:ext cx="791845" cy="78613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25824" behindDoc="0" locked="0" layoutInCell="1" allowOverlap="1">
                  <wp:simplePos x="0" y="0"/>
                  <wp:positionH relativeFrom="column">
                    <wp:posOffset>461010</wp:posOffset>
                  </wp:positionH>
                  <wp:positionV relativeFrom="paragraph">
                    <wp:posOffset>110490</wp:posOffset>
                  </wp:positionV>
                  <wp:extent cx="791845" cy="786130"/>
                  <wp:effectExtent l="0" t="0" r="0" b="0"/>
                  <wp:wrapNone/>
                  <wp:docPr id="83" name="矩形_43"/>
                  <wp:cNvGraphicFramePr/>
                  <a:graphic xmlns:a="http://schemas.openxmlformats.org/drawingml/2006/main">
                    <a:graphicData uri="http://schemas.openxmlformats.org/drawingml/2006/picture">
                      <pic:pic xmlns:pic="http://schemas.openxmlformats.org/drawingml/2006/picture">
                        <pic:nvPicPr>
                          <pic:cNvPr id="83" name="矩形_43"/>
                          <pic:cNvPicPr/>
                        </pic:nvPicPr>
                        <pic:blipFill>
                          <a:blip r:embed="rId80"/>
                          <a:stretch>
                            <a:fillRect/>
                          </a:stretch>
                        </pic:blipFill>
                        <pic:spPr>
                          <a:xfrm>
                            <a:off x="0" y="0"/>
                            <a:ext cx="791845" cy="78613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26848" behindDoc="0" locked="0" layoutInCell="1" allowOverlap="1">
                  <wp:simplePos x="0" y="0"/>
                  <wp:positionH relativeFrom="column">
                    <wp:posOffset>461010</wp:posOffset>
                  </wp:positionH>
                  <wp:positionV relativeFrom="paragraph">
                    <wp:posOffset>110490</wp:posOffset>
                  </wp:positionV>
                  <wp:extent cx="791845" cy="786130"/>
                  <wp:effectExtent l="0" t="0" r="0" b="0"/>
                  <wp:wrapNone/>
                  <wp:docPr id="76" name="矩形_42"/>
                  <wp:cNvGraphicFramePr/>
                  <a:graphic xmlns:a="http://schemas.openxmlformats.org/drawingml/2006/main">
                    <a:graphicData uri="http://schemas.openxmlformats.org/drawingml/2006/picture">
                      <pic:pic xmlns:pic="http://schemas.openxmlformats.org/drawingml/2006/picture">
                        <pic:nvPicPr>
                          <pic:cNvPr id="76" name="矩形_42"/>
                          <pic:cNvPicPr/>
                        </pic:nvPicPr>
                        <pic:blipFill>
                          <a:blip r:embed="rId80"/>
                          <a:stretch>
                            <a:fillRect/>
                          </a:stretch>
                        </pic:blipFill>
                        <pic:spPr>
                          <a:xfrm>
                            <a:off x="0" y="0"/>
                            <a:ext cx="791845" cy="78613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DC5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ABS，包装尺寸：约：37.5*55*68.4cm，内含：2孔高阶大红*72,2孔高阶橙色*67,2孔高阶黄色*81,2孔高阶草绿*97,2孔高阶浅蓝*34,2孔高阶白*61,2孔低阶红*3,2孔低阶橙*7,2孔低阶白色*3,直4孔高阶大红*3,直4孔高阶深蓝*12,2*2高阶大红*46,2*2高阶橙*27,2*2高阶黄*63,2*2高阶草绿*18,2*2高阶深绿*26,2*2高阶浅蓝*4,2*2高阶深蓝*39,2*2高阶白*33,2*2高阶黑*10,2*2低阶大红*7,2*2低阶橙*10,2*2低阶黄*7,2*2低阶草绿*2,2*4高阶大红*16,2*4高阶橙色*13,2*4高阶黄*13,2*4高阶草绿*5,2*4高阶深绿*27,2*4高阶深蓝*11,2*4高阶白*13,2*4低阶大红*3,2*4低阶橙*3,2*4低阶黄*2,2*4低阶草绿*1,2*8低阶大红*1,薄4孔1边带4孔*1,4孔圆转盘上盖-灰色*2,小花黄*3,小花大红*5,小花橙*1,工业围栏黄*8,90度大弯滑道橙*3,2*2滑道直通橙*3,180度弯滑道橙*4,90度小弯滑道橙*4,4孔16牙齿轮红*1,4孔牙轮-黄*1,滑梯-深蓝*1,扳手*2，积木-几何块-四方形-白色*6,积木-几何块-四方形-红色（3546C）*1,积木-几何块-四方形-桔色（151C）*17,积木-几何块-四方形-黄色（109C）*30,积木-几何块-四方形-叶绿（2300C）*11,积木-几何块-四方形-绿色（348C）*31,积木-几何块-四方形-蓝色（2945C）*40,积木-几何块-四方形-黑色*8,积木-几何块-三角形-桔色（151C）*9,积木-几何块-三角形-黄色（109C）*2,积木-几何块-三角形-叶绿（2300C）*12,积木-几何块-三角形-绿色（348C）*2,积木-几何块-三角形-蓝色（2945C）*1,积木-几何块-半圆形-红色（3546C）*7,积木-几何块-半圆形-桔色（151C）*24,积木-几何块-半圆形-黄色（109C）*7,积木-几何块-半圆形-叶绿（2300C）*6,积木-几何块-半圆形-绿色（348C）*9,积木-几何块-半圆形-蓝色（2945C）*1,积木-几何块-圆形-红色（3546C）*1,积木-几何块-圆形-桔色（151C）*5,积木-几何块-圆形-蓝色（2945C）*2,积木-圆形柱-红色（3546C）*3,积木-圆形柱-桔色（151C）*6,积木-圆形柱-绿色（348C）*7,积木-圆形柱-蓝色（2945C）*4,。材质：塑料、纸制内含 8 款主题积木包。分别是我的家人、我是建筑师、可爱动物、过冬了、开心幼儿园、寻找春天、恐龙王国、清凉一夏。不含积木墙板等配件。内含螺丝配件，建议配合 GP2-JGZTPJ04 电动工具组 8 件套（另购），一起使用。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F76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517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3A41CCEE">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E11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982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森林探险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A2AC2">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27872" behindDoc="0" locked="0" layoutInCell="1" allowOverlap="1">
                  <wp:simplePos x="0" y="0"/>
                  <wp:positionH relativeFrom="column">
                    <wp:posOffset>247015</wp:posOffset>
                  </wp:positionH>
                  <wp:positionV relativeFrom="paragraph">
                    <wp:posOffset>155575</wp:posOffset>
                  </wp:positionV>
                  <wp:extent cx="888365" cy="841375"/>
                  <wp:effectExtent l="0" t="0" r="6985" b="15875"/>
                  <wp:wrapNone/>
                  <wp:docPr id="67" name="图片_18_SpCnt_1"/>
                  <wp:cNvGraphicFramePr/>
                  <a:graphic xmlns:a="http://schemas.openxmlformats.org/drawingml/2006/main">
                    <a:graphicData uri="http://schemas.openxmlformats.org/drawingml/2006/picture">
                      <pic:pic xmlns:pic="http://schemas.openxmlformats.org/drawingml/2006/picture">
                        <pic:nvPicPr>
                          <pic:cNvPr id="67" name="图片_18_SpCnt_1"/>
                          <pic:cNvPicPr/>
                        </pic:nvPicPr>
                        <pic:blipFill>
                          <a:blip r:embed="rId81"/>
                          <a:stretch>
                            <a:fillRect/>
                          </a:stretch>
                        </pic:blipFill>
                        <pic:spPr>
                          <a:xfrm>
                            <a:off x="0" y="0"/>
                            <a:ext cx="888365" cy="8413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8BA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150PCS材质：塑料</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说明：积木色彩鲜艳，能组合成各式各样的造型，提升小朋友的动手能力，同时锻炼小朋友的手部肌肉的灵活性，易于操作，在动手过程中充分树立幼儿的自信心及启发幼儿发挥自己的想象力、创造力，趣味性让宝宝玩得更开心！</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FD1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59C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2ACAC8C8">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3FB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D6F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扭扭棒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5F9CF">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28896" behindDoc="0" locked="0" layoutInCell="1" allowOverlap="1">
                  <wp:simplePos x="0" y="0"/>
                  <wp:positionH relativeFrom="column">
                    <wp:posOffset>189865</wp:posOffset>
                  </wp:positionH>
                  <wp:positionV relativeFrom="paragraph">
                    <wp:posOffset>100330</wp:posOffset>
                  </wp:positionV>
                  <wp:extent cx="1033780" cy="981710"/>
                  <wp:effectExtent l="0" t="0" r="13970" b="8890"/>
                  <wp:wrapNone/>
                  <wp:docPr id="60" name="图片_1_SpCnt_6"/>
                  <wp:cNvGraphicFramePr/>
                  <a:graphic xmlns:a="http://schemas.openxmlformats.org/drawingml/2006/main">
                    <a:graphicData uri="http://schemas.openxmlformats.org/drawingml/2006/picture">
                      <pic:pic xmlns:pic="http://schemas.openxmlformats.org/drawingml/2006/picture">
                        <pic:nvPicPr>
                          <pic:cNvPr id="60" name="图片_1_SpCnt_6"/>
                          <pic:cNvPicPr/>
                        </pic:nvPicPr>
                        <pic:blipFill>
                          <a:blip r:embed="rId82"/>
                          <a:stretch>
                            <a:fillRect/>
                          </a:stretch>
                        </pic:blipFill>
                        <pic:spPr>
                          <a:xfrm>
                            <a:off x="0" y="0"/>
                            <a:ext cx="1033780" cy="98171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4B7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218PCS材质：塑料</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说明：积木色彩鲜艳，能组合成各式各样的造型，提升小朋友的动手能力，同时锻炼小朋友的手部肌肉的灵活性，易于操作，在动手过程中充分树立幼儿的自信心及启发幼儿发挥自己的想象力、创造力，趣味性让宝宝玩得更开心！</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11C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4DA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228C9AEF">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661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F69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永乐飞驰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048A7">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29920" behindDoc="0" locked="0" layoutInCell="1" allowOverlap="1">
                  <wp:simplePos x="0" y="0"/>
                  <wp:positionH relativeFrom="column">
                    <wp:posOffset>95885</wp:posOffset>
                  </wp:positionH>
                  <wp:positionV relativeFrom="paragraph">
                    <wp:posOffset>114935</wp:posOffset>
                  </wp:positionV>
                  <wp:extent cx="1045845" cy="982345"/>
                  <wp:effectExtent l="0" t="0" r="1905" b="8255"/>
                  <wp:wrapNone/>
                  <wp:docPr id="78" name="图片_6_SpCnt_1"/>
                  <wp:cNvGraphicFramePr/>
                  <a:graphic xmlns:a="http://schemas.openxmlformats.org/drawingml/2006/main">
                    <a:graphicData uri="http://schemas.openxmlformats.org/drawingml/2006/picture">
                      <pic:pic xmlns:pic="http://schemas.openxmlformats.org/drawingml/2006/picture">
                        <pic:nvPicPr>
                          <pic:cNvPr id="78" name="图片_6_SpCnt_1"/>
                          <pic:cNvPicPr/>
                        </pic:nvPicPr>
                        <pic:blipFill>
                          <a:blip r:embed="rId83"/>
                          <a:stretch>
                            <a:fillRect/>
                          </a:stretch>
                        </pic:blipFill>
                        <pic:spPr>
                          <a:xfrm>
                            <a:off x="0" y="0"/>
                            <a:ext cx="1045845" cy="98234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CB4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360PCS材质：塑料</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说明：积木色彩鲜艳，能组合成各式各样的造型，提升小朋友的动手能力，同时锻炼小朋友的手部肌肉的灵活性，易于操作，在动手过程中充分树立幼儿的自信心及启发幼儿发挥自己的想象力、创造力，趣味性让宝宝玩得更开心！</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E88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68A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212B4C1C">
        <w:tblPrEx>
          <w:tblCellMar>
            <w:top w:w="0" w:type="dxa"/>
            <w:left w:w="108" w:type="dxa"/>
            <w:bottom w:w="0" w:type="dxa"/>
            <w:right w:w="108" w:type="dxa"/>
          </w:tblCellMar>
        </w:tblPrEx>
        <w:trPr>
          <w:trHeight w:val="1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F36D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973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夹子棒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2AFD">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30944" behindDoc="0" locked="0" layoutInCell="1" allowOverlap="1">
                  <wp:simplePos x="0" y="0"/>
                  <wp:positionH relativeFrom="column">
                    <wp:posOffset>140970</wp:posOffset>
                  </wp:positionH>
                  <wp:positionV relativeFrom="paragraph">
                    <wp:posOffset>182880</wp:posOffset>
                  </wp:positionV>
                  <wp:extent cx="1086485" cy="886460"/>
                  <wp:effectExtent l="0" t="0" r="18415" b="8890"/>
                  <wp:wrapNone/>
                  <wp:docPr id="63" name="ID_1E749B1769C74EC5B377147DF73D790F"/>
                  <wp:cNvGraphicFramePr/>
                  <a:graphic xmlns:a="http://schemas.openxmlformats.org/drawingml/2006/main">
                    <a:graphicData uri="http://schemas.openxmlformats.org/drawingml/2006/picture">
                      <pic:pic xmlns:pic="http://schemas.openxmlformats.org/drawingml/2006/picture">
                        <pic:nvPicPr>
                          <pic:cNvPr id="63" name="ID_1E749B1769C74EC5B377147DF73D790F"/>
                          <pic:cNvPicPr/>
                        </pic:nvPicPr>
                        <pic:blipFill>
                          <a:blip r:embed="rId84"/>
                          <a:stretch>
                            <a:fillRect/>
                          </a:stretch>
                        </pic:blipFill>
                        <pic:spPr>
                          <a:xfrm>
                            <a:off x="0" y="0"/>
                            <a:ext cx="1086485" cy="88646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DEE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产品材质：木制、塑料、防水藤编</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产品配置：总配件数145件。包含竹夹子60个，其中红色、黄色、蓝色、绿色4种颜色，每种颜色15个；塑料夹子72个，共有红色、黄色、蓝色、绿色4种颜色，每种颜色18个；夹夹子底座4个（14x6x2.2cm），方形卡纸板8张（20x15x2cm）。收纳藤条筐1个。</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516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168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7B6CF00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B38B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1BA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触摸游戏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17C4">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31968" behindDoc="0" locked="0" layoutInCell="1" allowOverlap="1">
                  <wp:simplePos x="0" y="0"/>
                  <wp:positionH relativeFrom="column">
                    <wp:posOffset>223520</wp:posOffset>
                  </wp:positionH>
                  <wp:positionV relativeFrom="paragraph">
                    <wp:posOffset>307975</wp:posOffset>
                  </wp:positionV>
                  <wp:extent cx="1083310" cy="617855"/>
                  <wp:effectExtent l="0" t="0" r="2540" b="10795"/>
                  <wp:wrapNone/>
                  <wp:docPr id="69" name="图片_12_SpCnt_1"/>
                  <wp:cNvGraphicFramePr/>
                  <a:graphic xmlns:a="http://schemas.openxmlformats.org/drawingml/2006/main">
                    <a:graphicData uri="http://schemas.openxmlformats.org/drawingml/2006/picture">
                      <pic:pic xmlns:pic="http://schemas.openxmlformats.org/drawingml/2006/picture">
                        <pic:nvPicPr>
                          <pic:cNvPr id="69" name="图片_12_SpCnt_1"/>
                          <pic:cNvPicPr/>
                        </pic:nvPicPr>
                        <pic:blipFill>
                          <a:blip r:embed="rId85"/>
                          <a:stretch>
                            <a:fillRect/>
                          </a:stretch>
                        </pic:blipFill>
                        <pic:spPr>
                          <a:xfrm>
                            <a:off x="0" y="0"/>
                            <a:ext cx="1083310" cy="61785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4C7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1、产品材质：桦木夹板、MDF。</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2、产品尺寸：310x240x70h mm。</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3、产品配件：木盒×1;图案砖 (小方块)×36 (6 种形状块，每个2PCS ;6种点数块 (1-6)，每个2PCS;6种符号块，每个2PCS) ;感觉立方体×12;</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5、产品介绍：立方体的顶部设有一个开口，通过该开口可以用手指触摸内部的物体。然而，这些立方体还具有另一个重要的功能:它们用于遮挡图案砖 (小方块)。只需将一个立方体覆盖在一个小方块上，就可以通过指尖感知和辨别立方体内的游戏块。接着，你可以描述一下你触摸到的顶部图案或符号是什么样的。</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A1F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4AD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30C7184E">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D08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004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226件古风国潮榫卯积木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F6500">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32992" behindDoc="0" locked="0" layoutInCell="1" allowOverlap="1">
                  <wp:simplePos x="0" y="0"/>
                  <wp:positionH relativeFrom="column">
                    <wp:posOffset>160655</wp:posOffset>
                  </wp:positionH>
                  <wp:positionV relativeFrom="paragraph">
                    <wp:posOffset>203200</wp:posOffset>
                  </wp:positionV>
                  <wp:extent cx="1056005" cy="690245"/>
                  <wp:effectExtent l="0" t="0" r="10795" b="14605"/>
                  <wp:wrapNone/>
                  <wp:docPr id="85" name="图片_2_SpCnt_2"/>
                  <wp:cNvGraphicFramePr/>
                  <a:graphic xmlns:a="http://schemas.openxmlformats.org/drawingml/2006/main">
                    <a:graphicData uri="http://schemas.openxmlformats.org/drawingml/2006/picture">
                      <pic:pic xmlns:pic="http://schemas.openxmlformats.org/drawingml/2006/picture">
                        <pic:nvPicPr>
                          <pic:cNvPr id="85" name="图片_2_SpCnt_2"/>
                          <pic:cNvPicPr/>
                        </pic:nvPicPr>
                        <pic:blipFill>
                          <a:blip r:embed="rId86"/>
                          <a:stretch>
                            <a:fillRect/>
                          </a:stretch>
                        </pic:blipFill>
                        <pic:spPr>
                          <a:xfrm>
                            <a:off x="0" y="0"/>
                            <a:ext cx="1056005" cy="69024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FA6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新西兰松木上两底一面漆。       工艺：打磨光滑无毛刺，最大尺寸：53.5*50*2.5cm；</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11个形状，          厚度2.5cm；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604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B32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26818758">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F9B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3EA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528片松木清水积木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AAE5">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34016" behindDoc="0" locked="0" layoutInCell="1" allowOverlap="1">
                  <wp:simplePos x="0" y="0"/>
                  <wp:positionH relativeFrom="column">
                    <wp:posOffset>461010</wp:posOffset>
                  </wp:positionH>
                  <wp:positionV relativeFrom="paragraph">
                    <wp:posOffset>111125</wp:posOffset>
                  </wp:positionV>
                  <wp:extent cx="791845" cy="784860"/>
                  <wp:effectExtent l="0" t="0" r="0" b="0"/>
                  <wp:wrapNone/>
                  <wp:docPr id="70" name="矩形_61"/>
                  <wp:cNvGraphicFramePr/>
                  <a:graphic xmlns:a="http://schemas.openxmlformats.org/drawingml/2006/main">
                    <a:graphicData uri="http://schemas.openxmlformats.org/drawingml/2006/picture">
                      <pic:pic xmlns:pic="http://schemas.openxmlformats.org/drawingml/2006/picture">
                        <pic:nvPicPr>
                          <pic:cNvPr id="70" name="矩形_61"/>
                          <pic:cNvPicPr/>
                        </pic:nvPicPr>
                        <pic:blipFill>
                          <a:blip r:embed="rId80"/>
                          <a:stretch>
                            <a:fillRect/>
                          </a:stretch>
                        </pic:blipFill>
                        <pic:spPr>
                          <a:xfrm>
                            <a:off x="0" y="0"/>
                            <a:ext cx="791845" cy="78486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35040" behindDoc="0" locked="0" layoutInCell="1" allowOverlap="1">
                  <wp:simplePos x="0" y="0"/>
                  <wp:positionH relativeFrom="column">
                    <wp:posOffset>461010</wp:posOffset>
                  </wp:positionH>
                  <wp:positionV relativeFrom="paragraph">
                    <wp:posOffset>111125</wp:posOffset>
                  </wp:positionV>
                  <wp:extent cx="791845" cy="784860"/>
                  <wp:effectExtent l="0" t="0" r="0" b="0"/>
                  <wp:wrapNone/>
                  <wp:docPr id="87" name="矩形_59"/>
                  <wp:cNvGraphicFramePr/>
                  <a:graphic xmlns:a="http://schemas.openxmlformats.org/drawingml/2006/main">
                    <a:graphicData uri="http://schemas.openxmlformats.org/drawingml/2006/picture">
                      <pic:pic xmlns:pic="http://schemas.openxmlformats.org/drawingml/2006/picture">
                        <pic:nvPicPr>
                          <pic:cNvPr id="87" name="矩形_59"/>
                          <pic:cNvPicPr/>
                        </pic:nvPicPr>
                        <pic:blipFill>
                          <a:blip r:embed="rId80"/>
                          <a:stretch>
                            <a:fillRect/>
                          </a:stretch>
                        </pic:blipFill>
                        <pic:spPr>
                          <a:xfrm>
                            <a:off x="0" y="0"/>
                            <a:ext cx="791845" cy="78486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36064" behindDoc="0" locked="0" layoutInCell="1" allowOverlap="1">
                  <wp:simplePos x="0" y="0"/>
                  <wp:positionH relativeFrom="column">
                    <wp:posOffset>461010</wp:posOffset>
                  </wp:positionH>
                  <wp:positionV relativeFrom="paragraph">
                    <wp:posOffset>111125</wp:posOffset>
                  </wp:positionV>
                  <wp:extent cx="791845" cy="784860"/>
                  <wp:effectExtent l="0" t="0" r="0" b="0"/>
                  <wp:wrapNone/>
                  <wp:docPr id="88" name="矩形_57"/>
                  <wp:cNvGraphicFramePr/>
                  <a:graphic xmlns:a="http://schemas.openxmlformats.org/drawingml/2006/main">
                    <a:graphicData uri="http://schemas.openxmlformats.org/drawingml/2006/picture">
                      <pic:pic xmlns:pic="http://schemas.openxmlformats.org/drawingml/2006/picture">
                        <pic:nvPicPr>
                          <pic:cNvPr id="88" name="矩形_57"/>
                          <pic:cNvPicPr/>
                        </pic:nvPicPr>
                        <pic:blipFill>
                          <a:blip r:embed="rId80"/>
                          <a:stretch>
                            <a:fillRect/>
                          </a:stretch>
                        </pic:blipFill>
                        <pic:spPr>
                          <a:xfrm>
                            <a:off x="0" y="0"/>
                            <a:ext cx="791845" cy="78486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37088" behindDoc="0" locked="0" layoutInCell="1" allowOverlap="1">
                  <wp:simplePos x="0" y="0"/>
                  <wp:positionH relativeFrom="column">
                    <wp:posOffset>461010</wp:posOffset>
                  </wp:positionH>
                  <wp:positionV relativeFrom="paragraph">
                    <wp:posOffset>111125</wp:posOffset>
                  </wp:positionV>
                  <wp:extent cx="791845" cy="784860"/>
                  <wp:effectExtent l="0" t="0" r="0" b="0"/>
                  <wp:wrapNone/>
                  <wp:docPr id="65" name="矩形_55"/>
                  <wp:cNvGraphicFramePr/>
                  <a:graphic xmlns:a="http://schemas.openxmlformats.org/drawingml/2006/main">
                    <a:graphicData uri="http://schemas.openxmlformats.org/drawingml/2006/picture">
                      <pic:pic xmlns:pic="http://schemas.openxmlformats.org/drawingml/2006/picture">
                        <pic:nvPicPr>
                          <pic:cNvPr id="65" name="矩形_55"/>
                          <pic:cNvPicPr/>
                        </pic:nvPicPr>
                        <pic:blipFill>
                          <a:blip r:embed="rId80"/>
                          <a:stretch>
                            <a:fillRect/>
                          </a:stretch>
                        </pic:blipFill>
                        <pic:spPr>
                          <a:xfrm>
                            <a:off x="0" y="0"/>
                            <a:ext cx="791845" cy="78486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38112" behindDoc="0" locked="0" layoutInCell="1" allowOverlap="1">
                  <wp:simplePos x="0" y="0"/>
                  <wp:positionH relativeFrom="column">
                    <wp:posOffset>267970</wp:posOffset>
                  </wp:positionH>
                  <wp:positionV relativeFrom="paragraph">
                    <wp:posOffset>59055</wp:posOffset>
                  </wp:positionV>
                  <wp:extent cx="926465" cy="929640"/>
                  <wp:effectExtent l="0" t="0" r="6985" b="3810"/>
                  <wp:wrapNone/>
                  <wp:docPr id="71" name="图片_3_SpCnt_2"/>
                  <wp:cNvGraphicFramePr/>
                  <a:graphic xmlns:a="http://schemas.openxmlformats.org/drawingml/2006/main">
                    <a:graphicData uri="http://schemas.openxmlformats.org/drawingml/2006/picture">
                      <pic:pic xmlns:pic="http://schemas.openxmlformats.org/drawingml/2006/picture">
                        <pic:nvPicPr>
                          <pic:cNvPr id="71" name="图片_3_SpCnt_2"/>
                          <pic:cNvPicPr/>
                        </pic:nvPicPr>
                        <pic:blipFill>
                          <a:blip r:embed="rId87"/>
                          <a:stretch>
                            <a:fillRect/>
                          </a:stretch>
                        </pic:blipFill>
                        <pic:spPr>
                          <a:xfrm>
                            <a:off x="0" y="0"/>
                            <a:ext cx="926465" cy="9296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F5B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最大尺寸5*40*2.5cm；共27个形状，</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厚度：2.5cm。松木上一次漆。      工艺：打磨光滑无毛刺</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A19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1F6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2A44B129">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CF73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3FA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功能隔板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017C3">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39136" behindDoc="0" locked="0" layoutInCell="1" allowOverlap="1">
                  <wp:simplePos x="0" y="0"/>
                  <wp:positionH relativeFrom="column">
                    <wp:posOffset>229870</wp:posOffset>
                  </wp:positionH>
                  <wp:positionV relativeFrom="paragraph">
                    <wp:posOffset>281305</wp:posOffset>
                  </wp:positionV>
                  <wp:extent cx="848360" cy="587375"/>
                  <wp:effectExtent l="0" t="0" r="8890" b="3175"/>
                  <wp:wrapNone/>
                  <wp:docPr id="72" name="图片_75"/>
                  <wp:cNvGraphicFramePr/>
                  <a:graphic xmlns:a="http://schemas.openxmlformats.org/drawingml/2006/main">
                    <a:graphicData uri="http://schemas.openxmlformats.org/drawingml/2006/picture">
                      <pic:pic xmlns:pic="http://schemas.openxmlformats.org/drawingml/2006/picture">
                        <pic:nvPicPr>
                          <pic:cNvPr id="72" name="图片_75"/>
                          <pic:cNvPicPr/>
                        </pic:nvPicPr>
                        <pic:blipFill>
                          <a:blip r:embed="rId88"/>
                          <a:stretch>
                            <a:fillRect/>
                          </a:stretch>
                        </pic:blipFill>
                        <pic:spPr>
                          <a:xfrm>
                            <a:off x="0" y="0"/>
                            <a:ext cx="848360" cy="5873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D34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底板尺寸：120*80</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五块隔板可挂工具，可挂于墙上。</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EB3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面</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322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52E4D00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B4B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69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9A9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挂钩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84A8C">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40160" behindDoc="0" locked="0" layoutInCell="1" allowOverlap="1">
                  <wp:simplePos x="0" y="0"/>
                  <wp:positionH relativeFrom="column">
                    <wp:posOffset>271780</wp:posOffset>
                  </wp:positionH>
                  <wp:positionV relativeFrom="paragraph">
                    <wp:posOffset>221615</wp:posOffset>
                  </wp:positionV>
                  <wp:extent cx="835660" cy="457200"/>
                  <wp:effectExtent l="0" t="0" r="2540" b="0"/>
                  <wp:wrapNone/>
                  <wp:docPr id="73" name="图片_13_SpCnt_1"/>
                  <wp:cNvGraphicFramePr/>
                  <a:graphic xmlns:a="http://schemas.openxmlformats.org/drawingml/2006/main">
                    <a:graphicData uri="http://schemas.openxmlformats.org/drawingml/2006/picture">
                      <pic:pic xmlns:pic="http://schemas.openxmlformats.org/drawingml/2006/picture">
                        <pic:nvPicPr>
                          <pic:cNvPr id="73" name="图片_13_SpCnt_1"/>
                          <pic:cNvPicPr/>
                        </pic:nvPicPr>
                        <pic:blipFill>
                          <a:blip r:embed="rId89"/>
                          <a:stretch>
                            <a:fillRect/>
                          </a:stretch>
                        </pic:blipFill>
                        <pic:spPr>
                          <a:xfrm>
                            <a:off x="0" y="0"/>
                            <a:ext cx="835660" cy="45720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00D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60*5.8*1.8cm原木制成，五个金属挂钩</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55B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93B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4C20524B">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93E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590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插孔挂板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6FF6">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41184" behindDoc="0" locked="0" layoutInCell="1" allowOverlap="1">
                  <wp:simplePos x="0" y="0"/>
                  <wp:positionH relativeFrom="column">
                    <wp:posOffset>152400</wp:posOffset>
                  </wp:positionH>
                  <wp:positionV relativeFrom="paragraph">
                    <wp:posOffset>109220</wp:posOffset>
                  </wp:positionV>
                  <wp:extent cx="711835" cy="483870"/>
                  <wp:effectExtent l="0" t="0" r="12065" b="11430"/>
                  <wp:wrapNone/>
                  <wp:docPr id="77" name="图片_73"/>
                  <wp:cNvGraphicFramePr/>
                  <a:graphic xmlns:a="http://schemas.openxmlformats.org/drawingml/2006/main">
                    <a:graphicData uri="http://schemas.openxmlformats.org/drawingml/2006/picture">
                      <pic:pic xmlns:pic="http://schemas.openxmlformats.org/drawingml/2006/picture">
                        <pic:nvPicPr>
                          <pic:cNvPr id="77" name="图片_73"/>
                          <pic:cNvPicPr/>
                        </pic:nvPicPr>
                        <pic:blipFill>
                          <a:blip r:embed="rId90"/>
                          <a:stretch>
                            <a:fillRect/>
                          </a:stretch>
                        </pic:blipFill>
                        <pic:spPr>
                          <a:xfrm>
                            <a:off x="0" y="0"/>
                            <a:ext cx="711835" cy="48387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010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底板尺寸：120*80</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配120粒木塞，可挂于墙上。</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05A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面</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7CC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005C1C96">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9D7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172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防护手套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6F350">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42208" behindDoc="0" locked="0" layoutInCell="1" allowOverlap="1">
                  <wp:simplePos x="0" y="0"/>
                  <wp:positionH relativeFrom="column">
                    <wp:posOffset>109220</wp:posOffset>
                  </wp:positionH>
                  <wp:positionV relativeFrom="paragraph">
                    <wp:posOffset>85090</wp:posOffset>
                  </wp:positionV>
                  <wp:extent cx="666750" cy="664845"/>
                  <wp:effectExtent l="0" t="0" r="0" b="1905"/>
                  <wp:wrapNone/>
                  <wp:docPr id="100" name="图片_20"/>
                  <wp:cNvGraphicFramePr/>
                  <a:graphic xmlns:a="http://schemas.openxmlformats.org/drawingml/2006/main">
                    <a:graphicData uri="http://schemas.openxmlformats.org/drawingml/2006/picture">
                      <pic:pic xmlns:pic="http://schemas.openxmlformats.org/drawingml/2006/picture">
                        <pic:nvPicPr>
                          <pic:cNvPr id="100" name="图片_20"/>
                          <pic:cNvPicPr/>
                        </pic:nvPicPr>
                        <pic:blipFill>
                          <a:blip r:embed="rId91"/>
                          <a:stretch>
                            <a:fillRect/>
                          </a:stretch>
                        </pic:blipFill>
                        <pic:spPr>
                          <a:xfrm>
                            <a:off x="0" y="0"/>
                            <a:ext cx="666750" cy="66484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B43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材质：猪皮+布。尺寸：手套:约19×10cm，防护手套×2，1双。</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761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副</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2A2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30</w:t>
            </w:r>
          </w:p>
        </w:tc>
      </w:tr>
      <w:tr w14:paraId="1BBEB8CE">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979E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2C8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大童工具10件套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887C">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43232" behindDoc="0" locked="0" layoutInCell="1" allowOverlap="1">
                  <wp:simplePos x="0" y="0"/>
                  <wp:positionH relativeFrom="column">
                    <wp:posOffset>57150</wp:posOffset>
                  </wp:positionH>
                  <wp:positionV relativeFrom="paragraph">
                    <wp:posOffset>220345</wp:posOffset>
                  </wp:positionV>
                  <wp:extent cx="922655" cy="422275"/>
                  <wp:effectExtent l="0" t="0" r="10795" b="15875"/>
                  <wp:wrapNone/>
                  <wp:docPr id="95" name="图片_196"/>
                  <wp:cNvGraphicFramePr/>
                  <a:graphic xmlns:a="http://schemas.openxmlformats.org/drawingml/2006/main">
                    <a:graphicData uri="http://schemas.openxmlformats.org/drawingml/2006/picture">
                      <pic:pic xmlns:pic="http://schemas.openxmlformats.org/drawingml/2006/picture">
                        <pic:nvPicPr>
                          <pic:cNvPr id="95" name="图片_196"/>
                          <pic:cNvPicPr/>
                        </pic:nvPicPr>
                        <pic:blipFill>
                          <a:blip r:embed="rId92"/>
                          <a:stretch>
                            <a:fillRect/>
                          </a:stretch>
                        </pic:blipFill>
                        <pic:spPr>
                          <a:xfrm>
                            <a:off x="0" y="0"/>
                            <a:ext cx="922655" cy="4222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88B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十件套，儿童专用，尺寸46×6.8×36.5cm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72C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7B2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7</w:t>
            </w:r>
          </w:p>
        </w:tc>
      </w:tr>
      <w:tr w14:paraId="13265862">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2F57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B58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手钻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78EAD">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44256" behindDoc="0" locked="0" layoutInCell="1" allowOverlap="1">
                  <wp:simplePos x="0" y="0"/>
                  <wp:positionH relativeFrom="column">
                    <wp:posOffset>114300</wp:posOffset>
                  </wp:positionH>
                  <wp:positionV relativeFrom="paragraph">
                    <wp:posOffset>121285</wp:posOffset>
                  </wp:positionV>
                  <wp:extent cx="744855" cy="723265"/>
                  <wp:effectExtent l="0" t="0" r="17145" b="635"/>
                  <wp:wrapNone/>
                  <wp:docPr id="96" name="图片_1_SpCnt_7"/>
                  <wp:cNvGraphicFramePr/>
                  <a:graphic xmlns:a="http://schemas.openxmlformats.org/drawingml/2006/main">
                    <a:graphicData uri="http://schemas.openxmlformats.org/drawingml/2006/picture">
                      <pic:pic xmlns:pic="http://schemas.openxmlformats.org/drawingml/2006/picture">
                        <pic:nvPicPr>
                          <pic:cNvPr id="96" name="图片_1_SpCnt_7"/>
                          <pic:cNvPicPr/>
                        </pic:nvPicPr>
                        <pic:blipFill>
                          <a:blip r:embed="rId93"/>
                          <a:stretch>
                            <a:fillRect/>
                          </a:stretch>
                        </pic:blipFill>
                        <pic:spPr>
                          <a:xfrm>
                            <a:off x="0" y="0"/>
                            <a:ext cx="744855" cy="72326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5ADB">
            <w:pPr>
              <w:widowControl/>
              <w:spacing w:after="200"/>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尺寸：18×18×5.5cm</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配件：一本说明书， 一个连接杆，两个劈头， 一个钻头</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7A3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FA7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4</w:t>
            </w:r>
          </w:p>
        </w:tc>
      </w:tr>
      <w:tr w14:paraId="16AA5832">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1610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B89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小锯套装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DAC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45280" behindDoc="0" locked="0" layoutInCell="1" allowOverlap="1">
                  <wp:simplePos x="0" y="0"/>
                  <wp:positionH relativeFrom="column">
                    <wp:posOffset>161290</wp:posOffset>
                  </wp:positionH>
                  <wp:positionV relativeFrom="paragraph">
                    <wp:posOffset>69850</wp:posOffset>
                  </wp:positionV>
                  <wp:extent cx="761365" cy="443865"/>
                  <wp:effectExtent l="0" t="0" r="635" b="13335"/>
                  <wp:wrapNone/>
                  <wp:docPr id="90" name="图片_4_SpCnt_2"/>
                  <wp:cNvGraphicFramePr/>
                  <a:graphic xmlns:a="http://schemas.openxmlformats.org/drawingml/2006/main">
                    <a:graphicData uri="http://schemas.openxmlformats.org/drawingml/2006/picture">
                      <pic:pic xmlns:pic="http://schemas.openxmlformats.org/drawingml/2006/picture">
                        <pic:nvPicPr>
                          <pic:cNvPr id="90" name="图片_4_SpCnt_2"/>
                          <pic:cNvPicPr/>
                        </pic:nvPicPr>
                        <pic:blipFill>
                          <a:blip r:embed="rId94"/>
                          <a:stretch>
                            <a:fillRect/>
                          </a:stretch>
                        </pic:blipFill>
                        <pic:spPr>
                          <a:xfrm>
                            <a:off x="0" y="0"/>
                            <a:ext cx="761365" cy="44386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494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41.5×18.1×2.1cm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820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014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4B08BEA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92B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B4D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木工刨子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6120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46304" behindDoc="0" locked="0" layoutInCell="1" allowOverlap="1">
                  <wp:simplePos x="0" y="0"/>
                  <wp:positionH relativeFrom="column">
                    <wp:posOffset>304165</wp:posOffset>
                  </wp:positionH>
                  <wp:positionV relativeFrom="paragraph">
                    <wp:posOffset>84455</wp:posOffset>
                  </wp:positionV>
                  <wp:extent cx="568325" cy="363220"/>
                  <wp:effectExtent l="0" t="0" r="3175" b="17780"/>
                  <wp:wrapNone/>
                  <wp:docPr id="106" name="图片_1_SpCnt_8"/>
                  <wp:cNvGraphicFramePr/>
                  <a:graphic xmlns:a="http://schemas.openxmlformats.org/drawingml/2006/main">
                    <a:graphicData uri="http://schemas.openxmlformats.org/drawingml/2006/picture">
                      <pic:pic xmlns:pic="http://schemas.openxmlformats.org/drawingml/2006/picture">
                        <pic:nvPicPr>
                          <pic:cNvPr id="106" name="图片_1_SpCnt_8"/>
                          <pic:cNvPicPr/>
                        </pic:nvPicPr>
                        <pic:blipFill>
                          <a:blip r:embed="rId95"/>
                          <a:stretch>
                            <a:fillRect/>
                          </a:stretch>
                        </pic:blipFill>
                        <pic:spPr>
                          <a:xfrm>
                            <a:off x="0" y="0"/>
                            <a:ext cx="568325" cy="3632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478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21.1×14×18</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一套四款</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6C6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22E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26E68F8B">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6C6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7D5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 迷你老虎钳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34F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47328" behindDoc="0" locked="0" layoutInCell="1" allowOverlap="1">
                  <wp:simplePos x="0" y="0"/>
                  <wp:positionH relativeFrom="column">
                    <wp:posOffset>339090</wp:posOffset>
                  </wp:positionH>
                  <wp:positionV relativeFrom="paragraph">
                    <wp:posOffset>40640</wp:posOffset>
                  </wp:positionV>
                  <wp:extent cx="474345" cy="458470"/>
                  <wp:effectExtent l="0" t="0" r="1905" b="17780"/>
                  <wp:wrapNone/>
                  <wp:docPr id="107" name="图片_26"/>
                  <wp:cNvGraphicFramePr/>
                  <a:graphic xmlns:a="http://schemas.openxmlformats.org/drawingml/2006/main">
                    <a:graphicData uri="http://schemas.openxmlformats.org/drawingml/2006/picture">
                      <pic:pic xmlns:pic="http://schemas.openxmlformats.org/drawingml/2006/picture">
                        <pic:nvPicPr>
                          <pic:cNvPr id="107" name="图片_26"/>
                          <pic:cNvPicPr/>
                        </pic:nvPicPr>
                        <pic:blipFill>
                          <a:blip r:embed="rId96"/>
                          <a:stretch>
                            <a:fillRect/>
                          </a:stretch>
                        </pic:blipFill>
                        <pic:spPr>
                          <a:xfrm>
                            <a:off x="0" y="0"/>
                            <a:ext cx="474345" cy="45847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796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微型台钳，尺寸：20*15cm,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铸铁材质，旋转控制把手,钳口厚度：5.2mm轻巧方便。</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635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827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1641F592">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0CE8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8D4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磨床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5E50B">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48352" behindDoc="0" locked="0" layoutInCell="1" allowOverlap="1">
                  <wp:simplePos x="0" y="0"/>
                  <wp:positionH relativeFrom="column">
                    <wp:posOffset>109220</wp:posOffset>
                  </wp:positionH>
                  <wp:positionV relativeFrom="paragraph">
                    <wp:posOffset>86360</wp:posOffset>
                  </wp:positionV>
                  <wp:extent cx="666750" cy="666115"/>
                  <wp:effectExtent l="0" t="0" r="0" b="635"/>
                  <wp:wrapNone/>
                  <wp:docPr id="113" name="图片_22_SpCnt_1"/>
                  <wp:cNvGraphicFramePr/>
                  <a:graphic xmlns:a="http://schemas.openxmlformats.org/drawingml/2006/main">
                    <a:graphicData uri="http://schemas.openxmlformats.org/drawingml/2006/picture">
                      <pic:pic xmlns:pic="http://schemas.openxmlformats.org/drawingml/2006/picture">
                        <pic:nvPicPr>
                          <pic:cNvPr id="113" name="图片_22_SpCnt_1"/>
                          <pic:cNvPicPr/>
                        </pic:nvPicPr>
                        <pic:blipFill>
                          <a:blip r:embed="rId97"/>
                          <a:stretch>
                            <a:fillRect/>
                          </a:stretch>
                        </pic:blipFill>
                        <pic:spPr>
                          <a:xfrm>
                            <a:off x="0" y="0"/>
                            <a:ext cx="666750" cy="66611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597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 塑料、金属,包装尺寸：32.5*20.5*17.7cm,内含：磨床×1,可以用来抛光、打磨，也可以手持进行各种角度研磨。轮盘直径：50mm ，中心高：25mm，工作台尺寸：123×100mm，砂纸的粒度一般为100#，可根据不同的工件及加工表面要求选择砂纸可加工任何木材料和软金属（金、银、铝、铜等）。</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F0E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530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0CE8D2B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516E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B40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夹具组（含固定榫）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00B0C">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49376" behindDoc="0" locked="0" layoutInCell="1" allowOverlap="1">
                  <wp:simplePos x="0" y="0"/>
                  <wp:positionH relativeFrom="column">
                    <wp:posOffset>109220</wp:posOffset>
                  </wp:positionH>
                  <wp:positionV relativeFrom="paragraph">
                    <wp:posOffset>85725</wp:posOffset>
                  </wp:positionV>
                  <wp:extent cx="666750" cy="665480"/>
                  <wp:effectExtent l="0" t="0" r="0" b="1270"/>
                  <wp:wrapNone/>
                  <wp:docPr id="118" name="图片_23_SpCnt_1"/>
                  <wp:cNvGraphicFramePr/>
                  <a:graphic xmlns:a="http://schemas.openxmlformats.org/drawingml/2006/main">
                    <a:graphicData uri="http://schemas.openxmlformats.org/drawingml/2006/picture">
                      <pic:pic xmlns:pic="http://schemas.openxmlformats.org/drawingml/2006/picture">
                        <pic:nvPicPr>
                          <pic:cNvPr id="118" name="图片_23_SpCnt_1"/>
                          <pic:cNvPicPr/>
                        </pic:nvPicPr>
                        <pic:blipFill>
                          <a:blip r:embed="rId98"/>
                          <a:stretch>
                            <a:fillRect/>
                          </a:stretch>
                        </pic:blipFill>
                        <pic:spPr>
                          <a:xfrm>
                            <a:off x="0" y="0"/>
                            <a:ext cx="666750" cy="66548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3D1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尺寸：34x26x6cm；材质：橡胶木+金属电镀配件。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0F3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C0C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03003778">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9AEA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79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D22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锯床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3AAD">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50400" behindDoc="0" locked="0" layoutInCell="1" allowOverlap="1">
                  <wp:simplePos x="0" y="0"/>
                  <wp:positionH relativeFrom="column">
                    <wp:posOffset>128270</wp:posOffset>
                  </wp:positionH>
                  <wp:positionV relativeFrom="paragraph">
                    <wp:posOffset>285115</wp:posOffset>
                  </wp:positionV>
                  <wp:extent cx="666750" cy="664210"/>
                  <wp:effectExtent l="0" t="0" r="0" b="2540"/>
                  <wp:wrapNone/>
                  <wp:docPr id="91" name="图片_28_SpCnt_1"/>
                  <wp:cNvGraphicFramePr/>
                  <a:graphic xmlns:a="http://schemas.openxmlformats.org/drawingml/2006/main">
                    <a:graphicData uri="http://schemas.openxmlformats.org/drawingml/2006/picture">
                      <pic:pic xmlns:pic="http://schemas.openxmlformats.org/drawingml/2006/picture">
                        <pic:nvPicPr>
                          <pic:cNvPr id="91" name="图片_28_SpCnt_1"/>
                          <pic:cNvPicPr/>
                        </pic:nvPicPr>
                        <pic:blipFill>
                          <a:blip r:embed="rId99"/>
                          <a:stretch>
                            <a:fillRect/>
                          </a:stretch>
                        </pic:blipFill>
                        <pic:spPr>
                          <a:xfrm>
                            <a:off x="0" y="0"/>
                            <a:ext cx="666750" cy="66421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3C4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 塑料、金属,锯床包装尺寸约：33*18.5*21cm,弓形臂单独包装尺寸约：32.8*25.5*5.1cm,内含：锯床×1,经过特殊设计, 安全不伤手可以直线, 曲线任意切割。工作台面积：90mm×90mm 线锯加工最大的切锯深度硬木为4mm、三夹板7mm、软木18mm、薄铝片为1mm、有机玻璃为2mm。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FF3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842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241C8C40">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C670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140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车床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8925">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51424" behindDoc="0" locked="0" layoutInCell="1" allowOverlap="1">
                  <wp:simplePos x="0" y="0"/>
                  <wp:positionH relativeFrom="column">
                    <wp:posOffset>109220</wp:posOffset>
                  </wp:positionH>
                  <wp:positionV relativeFrom="paragraph">
                    <wp:posOffset>84455</wp:posOffset>
                  </wp:positionV>
                  <wp:extent cx="666750" cy="668020"/>
                  <wp:effectExtent l="0" t="0" r="0" b="17780"/>
                  <wp:wrapNone/>
                  <wp:docPr id="119" name="图片_29_SpCnt_1"/>
                  <wp:cNvGraphicFramePr/>
                  <a:graphic xmlns:a="http://schemas.openxmlformats.org/drawingml/2006/main">
                    <a:graphicData uri="http://schemas.openxmlformats.org/drawingml/2006/picture">
                      <pic:pic xmlns:pic="http://schemas.openxmlformats.org/drawingml/2006/picture">
                        <pic:nvPicPr>
                          <pic:cNvPr id="119" name="图片_29_SpCnt_1"/>
                          <pic:cNvPicPr/>
                        </pic:nvPicPr>
                        <pic:blipFill>
                          <a:blip r:embed="rId100"/>
                          <a:stretch>
                            <a:fillRect/>
                          </a:stretch>
                        </pic:blipFill>
                        <pic:spPr>
                          <a:xfrm>
                            <a:off x="0" y="0"/>
                            <a:ext cx="666750" cy="6680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C8F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 塑料、金属,包装尺寸：32.5*20.5*17.7cm,内含：车床×1,可以使用三爪夹盘或夹头（1~6mm）夹持工件，车床的中心高25mm，可使用中间块加高至50mm。中心距135mm，若使用特长机座可加长至365mm。加工直径最大50mm，使用中间块可增加至100mm。可加工任何木材料。</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FAB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43B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07CCF48C">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837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040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钻床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7FBF">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52448" behindDoc="0" locked="0" layoutInCell="1" allowOverlap="1">
                  <wp:simplePos x="0" y="0"/>
                  <wp:positionH relativeFrom="column">
                    <wp:posOffset>109220</wp:posOffset>
                  </wp:positionH>
                  <wp:positionV relativeFrom="paragraph">
                    <wp:posOffset>87630</wp:posOffset>
                  </wp:positionV>
                  <wp:extent cx="666750" cy="666750"/>
                  <wp:effectExtent l="0" t="0" r="0" b="0"/>
                  <wp:wrapNone/>
                  <wp:docPr id="120" name="图片_30_SpCnt_1"/>
                  <wp:cNvGraphicFramePr/>
                  <a:graphic xmlns:a="http://schemas.openxmlformats.org/drawingml/2006/main">
                    <a:graphicData uri="http://schemas.openxmlformats.org/drawingml/2006/picture">
                      <pic:pic xmlns:pic="http://schemas.openxmlformats.org/drawingml/2006/picture">
                        <pic:nvPicPr>
                          <pic:cNvPr id="120" name="图片_30_SpCnt_1"/>
                          <pic:cNvPicPr/>
                        </pic:nvPicPr>
                        <pic:blipFill>
                          <a:blip r:embed="rId101"/>
                          <a:stretch>
                            <a:fillRect/>
                          </a:stretch>
                        </pic:blipFill>
                        <pic:spPr>
                          <a:xfrm>
                            <a:off x="0" y="0"/>
                            <a:ext cx="666750" cy="66675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53472" behindDoc="0" locked="0" layoutInCell="1" allowOverlap="1">
                  <wp:simplePos x="0" y="0"/>
                  <wp:positionH relativeFrom="column">
                    <wp:posOffset>233045</wp:posOffset>
                  </wp:positionH>
                  <wp:positionV relativeFrom="paragraph">
                    <wp:posOffset>154940</wp:posOffset>
                  </wp:positionV>
                  <wp:extent cx="952500" cy="952500"/>
                  <wp:effectExtent l="0" t="0" r="0" b="0"/>
                  <wp:wrapNone/>
                  <wp:docPr id="121" name="AutoShape_2208"/>
                  <wp:cNvGraphicFramePr/>
                  <a:graphic xmlns:a="http://schemas.openxmlformats.org/drawingml/2006/main">
                    <a:graphicData uri="http://schemas.openxmlformats.org/drawingml/2006/picture">
                      <pic:pic xmlns:pic="http://schemas.openxmlformats.org/drawingml/2006/picture">
                        <pic:nvPicPr>
                          <pic:cNvPr id="121" name="AutoShape_2208"/>
                          <pic:cNvPicPr/>
                        </pic:nvPicPr>
                        <pic:blipFill>
                          <a:blip r:embed="rId102"/>
                          <a:stretch>
                            <a:fillRect/>
                          </a:stretch>
                        </pic:blipFill>
                        <pic:spPr>
                          <a:xfrm>
                            <a:off x="0" y="0"/>
                            <a:ext cx="952500" cy="95250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54496" behindDoc="0" locked="0" layoutInCell="1" allowOverlap="1">
                  <wp:simplePos x="0" y="0"/>
                  <wp:positionH relativeFrom="column">
                    <wp:posOffset>233045</wp:posOffset>
                  </wp:positionH>
                  <wp:positionV relativeFrom="paragraph">
                    <wp:posOffset>154940</wp:posOffset>
                  </wp:positionV>
                  <wp:extent cx="952500" cy="952500"/>
                  <wp:effectExtent l="0" t="0" r="0" b="0"/>
                  <wp:wrapNone/>
                  <wp:docPr id="99" name="AutoShape_2208_SpCnt_1"/>
                  <wp:cNvGraphicFramePr/>
                  <a:graphic xmlns:a="http://schemas.openxmlformats.org/drawingml/2006/main">
                    <a:graphicData uri="http://schemas.openxmlformats.org/drawingml/2006/picture">
                      <pic:pic xmlns:pic="http://schemas.openxmlformats.org/drawingml/2006/picture">
                        <pic:nvPicPr>
                          <pic:cNvPr id="99" name="AutoShape_2208_SpCnt_1"/>
                          <pic:cNvPicPr/>
                        </pic:nvPicPr>
                        <pic:blipFill>
                          <a:blip r:embed="rId102"/>
                          <a:stretch>
                            <a:fillRect/>
                          </a:stretch>
                        </pic:blipFill>
                        <pic:spPr>
                          <a:xfrm>
                            <a:off x="0" y="0"/>
                            <a:ext cx="952500" cy="95250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566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 塑料、金属,包装尺寸：32.5*20.5*17.7cm,内含：钻床×1,操作灵活简便，可改装成手钻或手磨，角度可在180 度范围内调整，配合分度盘使用，可在工件上钻出等分的孔。工作台面积：123mm×100mm，可加工材料：木板、三合板、工程塑料和软金属（金、银、铜、铝等）。</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F68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434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2128EEFB">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226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B18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玩具盒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2F9A">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55520" behindDoc="0" locked="0" layoutInCell="1" allowOverlap="1">
                  <wp:simplePos x="0" y="0"/>
                  <wp:positionH relativeFrom="column">
                    <wp:posOffset>109220</wp:posOffset>
                  </wp:positionH>
                  <wp:positionV relativeFrom="paragraph">
                    <wp:posOffset>85090</wp:posOffset>
                  </wp:positionV>
                  <wp:extent cx="666750" cy="666115"/>
                  <wp:effectExtent l="0" t="0" r="0" b="635"/>
                  <wp:wrapNone/>
                  <wp:docPr id="92" name="图片_31_SpCnt_1"/>
                  <wp:cNvGraphicFramePr/>
                  <a:graphic xmlns:a="http://schemas.openxmlformats.org/drawingml/2006/main">
                    <a:graphicData uri="http://schemas.openxmlformats.org/drawingml/2006/picture">
                      <pic:pic xmlns:pic="http://schemas.openxmlformats.org/drawingml/2006/picture">
                        <pic:nvPicPr>
                          <pic:cNvPr id="92" name="图片_31_SpCnt_1"/>
                          <pic:cNvPicPr/>
                        </pic:nvPicPr>
                        <pic:blipFill>
                          <a:blip r:embed="rId103"/>
                          <a:stretch>
                            <a:fillRect/>
                          </a:stretch>
                        </pic:blipFill>
                        <pic:spPr>
                          <a:xfrm>
                            <a:off x="0" y="0"/>
                            <a:ext cx="666750" cy="66611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48A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尺寸：18x12x8cm；材质：塑料+金属拉片。</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576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429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1B54BA07">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4636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ED3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工具盒B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193A">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56544" behindDoc="0" locked="0" layoutInCell="1" allowOverlap="1">
                  <wp:simplePos x="0" y="0"/>
                  <wp:positionH relativeFrom="column">
                    <wp:posOffset>109220</wp:posOffset>
                  </wp:positionH>
                  <wp:positionV relativeFrom="paragraph">
                    <wp:posOffset>85090</wp:posOffset>
                  </wp:positionV>
                  <wp:extent cx="666750" cy="668020"/>
                  <wp:effectExtent l="0" t="0" r="0" b="17780"/>
                  <wp:wrapNone/>
                  <wp:docPr id="114" name="图片_32_SpCnt_1"/>
                  <wp:cNvGraphicFramePr/>
                  <a:graphic xmlns:a="http://schemas.openxmlformats.org/drawingml/2006/main">
                    <a:graphicData uri="http://schemas.openxmlformats.org/drawingml/2006/picture">
                      <pic:pic xmlns:pic="http://schemas.openxmlformats.org/drawingml/2006/picture">
                        <pic:nvPicPr>
                          <pic:cNvPr id="114" name="图片_32_SpCnt_1"/>
                          <pic:cNvPicPr/>
                        </pic:nvPicPr>
                        <pic:blipFill>
                          <a:blip r:embed="rId104"/>
                          <a:stretch>
                            <a:fillRect/>
                          </a:stretch>
                        </pic:blipFill>
                        <pic:spPr>
                          <a:xfrm>
                            <a:off x="0" y="0"/>
                            <a:ext cx="666750" cy="66802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57568" behindDoc="0" locked="0" layoutInCell="1" allowOverlap="1">
                  <wp:simplePos x="0" y="0"/>
                  <wp:positionH relativeFrom="column">
                    <wp:posOffset>233045</wp:posOffset>
                  </wp:positionH>
                  <wp:positionV relativeFrom="paragraph">
                    <wp:posOffset>157480</wp:posOffset>
                  </wp:positionV>
                  <wp:extent cx="952500" cy="952500"/>
                  <wp:effectExtent l="0" t="0" r="0" b="0"/>
                  <wp:wrapNone/>
                  <wp:docPr id="115" name="AutoShape_2208_SpCnt_2"/>
                  <wp:cNvGraphicFramePr/>
                  <a:graphic xmlns:a="http://schemas.openxmlformats.org/drawingml/2006/main">
                    <a:graphicData uri="http://schemas.openxmlformats.org/drawingml/2006/picture">
                      <pic:pic xmlns:pic="http://schemas.openxmlformats.org/drawingml/2006/picture">
                        <pic:nvPicPr>
                          <pic:cNvPr id="115" name="AutoShape_2208_SpCnt_2"/>
                          <pic:cNvPicPr/>
                        </pic:nvPicPr>
                        <pic:blipFill>
                          <a:blip r:embed="rId102"/>
                          <a:stretch>
                            <a:fillRect/>
                          </a:stretch>
                        </pic:blipFill>
                        <pic:spPr>
                          <a:xfrm>
                            <a:off x="0" y="0"/>
                            <a:ext cx="952500" cy="95250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58592" behindDoc="0" locked="0" layoutInCell="1" allowOverlap="1">
                  <wp:simplePos x="0" y="0"/>
                  <wp:positionH relativeFrom="column">
                    <wp:posOffset>233045</wp:posOffset>
                  </wp:positionH>
                  <wp:positionV relativeFrom="paragraph">
                    <wp:posOffset>157480</wp:posOffset>
                  </wp:positionV>
                  <wp:extent cx="952500" cy="952500"/>
                  <wp:effectExtent l="0" t="0" r="0" b="0"/>
                  <wp:wrapNone/>
                  <wp:docPr id="101" name="AutoShape_2208_SpCnt_3"/>
                  <wp:cNvGraphicFramePr/>
                  <a:graphic xmlns:a="http://schemas.openxmlformats.org/drawingml/2006/main">
                    <a:graphicData uri="http://schemas.openxmlformats.org/drawingml/2006/picture">
                      <pic:pic xmlns:pic="http://schemas.openxmlformats.org/drawingml/2006/picture">
                        <pic:nvPicPr>
                          <pic:cNvPr id="101" name="AutoShape_2208_SpCnt_3"/>
                          <pic:cNvPicPr/>
                        </pic:nvPicPr>
                        <pic:blipFill>
                          <a:blip r:embed="rId102"/>
                          <a:stretch>
                            <a:fillRect/>
                          </a:stretch>
                        </pic:blipFill>
                        <pic:spPr>
                          <a:xfrm>
                            <a:off x="0" y="0"/>
                            <a:ext cx="952500" cy="95250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E90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尺寸：35x20x20cm。采用12mm厚优质环保三聚氰胺双贴面胶合板，甲醛释放量符合 国家标准要求。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47D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30D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771BC73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986E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2227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工具盒C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C924">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59616" behindDoc="0" locked="0" layoutInCell="1" allowOverlap="1">
                  <wp:simplePos x="0" y="0"/>
                  <wp:positionH relativeFrom="column">
                    <wp:posOffset>109220</wp:posOffset>
                  </wp:positionH>
                  <wp:positionV relativeFrom="paragraph">
                    <wp:posOffset>85090</wp:posOffset>
                  </wp:positionV>
                  <wp:extent cx="666750" cy="668020"/>
                  <wp:effectExtent l="0" t="0" r="0" b="17780"/>
                  <wp:wrapNone/>
                  <wp:docPr id="108" name="图片_33_SpCnt_1"/>
                  <wp:cNvGraphicFramePr/>
                  <a:graphic xmlns:a="http://schemas.openxmlformats.org/drawingml/2006/main">
                    <a:graphicData uri="http://schemas.openxmlformats.org/drawingml/2006/picture">
                      <pic:pic xmlns:pic="http://schemas.openxmlformats.org/drawingml/2006/picture">
                        <pic:nvPicPr>
                          <pic:cNvPr id="108" name="图片_33_SpCnt_1"/>
                          <pic:cNvPicPr/>
                        </pic:nvPicPr>
                        <pic:blipFill>
                          <a:blip r:embed="rId105"/>
                          <a:stretch>
                            <a:fillRect/>
                          </a:stretch>
                        </pic:blipFill>
                        <pic:spPr>
                          <a:xfrm>
                            <a:off x="0" y="0"/>
                            <a:ext cx="666750" cy="6680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603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尺寸：35x20x20cm。采用12mm厚优质环保三聚氰胺双贴面胶合板，甲醛释放量符合 国家标准要求。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E96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6D0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6DF5462F">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C8E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C07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网孔展示墙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6938C">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60640" behindDoc="0" locked="0" layoutInCell="1" allowOverlap="1">
                  <wp:simplePos x="0" y="0"/>
                  <wp:positionH relativeFrom="column">
                    <wp:posOffset>210185</wp:posOffset>
                  </wp:positionH>
                  <wp:positionV relativeFrom="paragraph">
                    <wp:posOffset>57785</wp:posOffset>
                  </wp:positionV>
                  <wp:extent cx="668020" cy="618490"/>
                  <wp:effectExtent l="0" t="0" r="17780" b="10160"/>
                  <wp:wrapNone/>
                  <wp:docPr id="109" name="图片_5_SpCnt_2"/>
                  <wp:cNvGraphicFramePr/>
                  <a:graphic xmlns:a="http://schemas.openxmlformats.org/drawingml/2006/main">
                    <a:graphicData uri="http://schemas.openxmlformats.org/drawingml/2006/picture">
                      <pic:pic xmlns:pic="http://schemas.openxmlformats.org/drawingml/2006/picture">
                        <pic:nvPicPr>
                          <pic:cNvPr id="109" name="图片_5_SpCnt_2"/>
                          <pic:cNvPicPr/>
                        </pic:nvPicPr>
                        <pic:blipFill>
                          <a:blip r:embed="rId106"/>
                          <a:stretch>
                            <a:fillRect/>
                          </a:stretch>
                        </pic:blipFill>
                        <pic:spPr>
                          <a:xfrm>
                            <a:off x="0" y="0"/>
                            <a:ext cx="668020" cy="61849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CD5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尺寸：300*30*150cm，材质：桦木多层板</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257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68C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1CFC937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B23D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F7C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木工刨套装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7B35">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61664" behindDoc="0" locked="0" layoutInCell="1" allowOverlap="1">
                  <wp:simplePos x="0" y="0"/>
                  <wp:positionH relativeFrom="column">
                    <wp:posOffset>109220</wp:posOffset>
                  </wp:positionH>
                  <wp:positionV relativeFrom="paragraph">
                    <wp:posOffset>85725</wp:posOffset>
                  </wp:positionV>
                  <wp:extent cx="666750" cy="665480"/>
                  <wp:effectExtent l="0" t="0" r="0" b="1270"/>
                  <wp:wrapNone/>
                  <wp:docPr id="110" name="图片_34_SpCnt_1"/>
                  <wp:cNvGraphicFramePr/>
                  <a:graphic xmlns:a="http://schemas.openxmlformats.org/drawingml/2006/main">
                    <a:graphicData uri="http://schemas.openxmlformats.org/drawingml/2006/picture">
                      <pic:pic xmlns:pic="http://schemas.openxmlformats.org/drawingml/2006/picture">
                        <pic:nvPicPr>
                          <pic:cNvPr id="110" name="图片_34_SpCnt_1"/>
                          <pic:cNvPicPr/>
                        </pic:nvPicPr>
                        <pic:blipFill>
                          <a:blip r:embed="rId107"/>
                          <a:stretch>
                            <a:fillRect/>
                          </a:stretch>
                        </pic:blipFill>
                        <pic:spPr>
                          <a:xfrm>
                            <a:off x="0" y="0"/>
                            <a:ext cx="666750" cy="66548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703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包装尺寸：25.5*17.6*8.8cm；材质：木+钢。木工刨×4</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4B6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E82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026F2292">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013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BA5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儿童电动手钻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BC4F">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62688" behindDoc="0" locked="0" layoutInCell="1" allowOverlap="1">
                  <wp:simplePos x="0" y="0"/>
                  <wp:positionH relativeFrom="column">
                    <wp:posOffset>109220</wp:posOffset>
                  </wp:positionH>
                  <wp:positionV relativeFrom="paragraph">
                    <wp:posOffset>84455</wp:posOffset>
                  </wp:positionV>
                  <wp:extent cx="666750" cy="668020"/>
                  <wp:effectExtent l="0" t="0" r="0" b="17780"/>
                  <wp:wrapNone/>
                  <wp:docPr id="116" name="图片_35_SpCnt_2"/>
                  <wp:cNvGraphicFramePr/>
                  <a:graphic xmlns:a="http://schemas.openxmlformats.org/drawingml/2006/main">
                    <a:graphicData uri="http://schemas.openxmlformats.org/drawingml/2006/picture">
                      <pic:pic xmlns:pic="http://schemas.openxmlformats.org/drawingml/2006/picture">
                        <pic:nvPicPr>
                          <pic:cNvPr id="116" name="图片_35_SpCnt_2"/>
                          <pic:cNvPicPr/>
                        </pic:nvPicPr>
                        <pic:blipFill>
                          <a:blip r:embed="rId108"/>
                          <a:stretch>
                            <a:fillRect/>
                          </a:stretch>
                        </pic:blipFill>
                        <pic:spPr>
                          <a:xfrm>
                            <a:off x="0" y="0"/>
                            <a:ext cx="666750" cy="6680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3B2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 塑料、金属。包装尺寸:约：27×20.5×7cm，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BD8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5D0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8</w:t>
            </w:r>
          </w:p>
        </w:tc>
      </w:tr>
      <w:tr w14:paraId="296AF9C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65A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629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墨斗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D4ADA">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63712" behindDoc="0" locked="0" layoutInCell="1" allowOverlap="1">
                  <wp:simplePos x="0" y="0"/>
                  <wp:positionH relativeFrom="column">
                    <wp:posOffset>118745</wp:posOffset>
                  </wp:positionH>
                  <wp:positionV relativeFrom="paragraph">
                    <wp:posOffset>52705</wp:posOffset>
                  </wp:positionV>
                  <wp:extent cx="571500" cy="533400"/>
                  <wp:effectExtent l="0" t="0" r="0" b="0"/>
                  <wp:wrapNone/>
                  <wp:docPr id="102" name="图片_48"/>
                  <wp:cNvGraphicFramePr/>
                  <a:graphic xmlns:a="http://schemas.openxmlformats.org/drawingml/2006/main">
                    <a:graphicData uri="http://schemas.openxmlformats.org/drawingml/2006/picture">
                      <pic:pic xmlns:pic="http://schemas.openxmlformats.org/drawingml/2006/picture">
                        <pic:nvPicPr>
                          <pic:cNvPr id="102" name="图片_48"/>
                          <pic:cNvPicPr/>
                        </pic:nvPicPr>
                        <pic:blipFill>
                          <a:blip r:embed="rId109"/>
                          <a:stretch>
                            <a:fillRect/>
                          </a:stretch>
                        </pic:blipFill>
                        <pic:spPr>
                          <a:xfrm>
                            <a:off x="0" y="0"/>
                            <a:ext cx="571500" cy="53340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64736" behindDoc="0" locked="0" layoutInCell="1" allowOverlap="1">
                  <wp:simplePos x="0" y="0"/>
                  <wp:positionH relativeFrom="column">
                    <wp:posOffset>461010</wp:posOffset>
                  </wp:positionH>
                  <wp:positionV relativeFrom="paragraph">
                    <wp:posOffset>113665</wp:posOffset>
                  </wp:positionV>
                  <wp:extent cx="791210" cy="783590"/>
                  <wp:effectExtent l="0" t="0" r="0" b="0"/>
                  <wp:wrapNone/>
                  <wp:docPr id="93" name="矩形_39"/>
                  <wp:cNvGraphicFramePr/>
                  <a:graphic xmlns:a="http://schemas.openxmlformats.org/drawingml/2006/main">
                    <a:graphicData uri="http://schemas.openxmlformats.org/drawingml/2006/picture">
                      <pic:pic xmlns:pic="http://schemas.openxmlformats.org/drawingml/2006/picture">
                        <pic:nvPicPr>
                          <pic:cNvPr id="93" name="矩形_39"/>
                          <pic:cNvPicPr/>
                        </pic:nvPicPr>
                        <pic:blipFill>
                          <a:blip r:embed="rId80"/>
                          <a:stretch>
                            <a:fillRect/>
                          </a:stretch>
                        </pic:blipFill>
                        <pic:spPr>
                          <a:xfrm>
                            <a:off x="0" y="0"/>
                            <a:ext cx="791210" cy="78359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65760" behindDoc="0" locked="0" layoutInCell="1" allowOverlap="1">
                  <wp:simplePos x="0" y="0"/>
                  <wp:positionH relativeFrom="column">
                    <wp:posOffset>461010</wp:posOffset>
                  </wp:positionH>
                  <wp:positionV relativeFrom="paragraph">
                    <wp:posOffset>113665</wp:posOffset>
                  </wp:positionV>
                  <wp:extent cx="791210" cy="783590"/>
                  <wp:effectExtent l="0" t="0" r="0" b="0"/>
                  <wp:wrapNone/>
                  <wp:docPr id="94" name="矩形_36"/>
                  <wp:cNvGraphicFramePr/>
                  <a:graphic xmlns:a="http://schemas.openxmlformats.org/drawingml/2006/main">
                    <a:graphicData uri="http://schemas.openxmlformats.org/drawingml/2006/picture">
                      <pic:pic xmlns:pic="http://schemas.openxmlformats.org/drawingml/2006/picture">
                        <pic:nvPicPr>
                          <pic:cNvPr id="94" name="矩形_36"/>
                          <pic:cNvPicPr/>
                        </pic:nvPicPr>
                        <pic:blipFill>
                          <a:blip r:embed="rId80"/>
                          <a:stretch>
                            <a:fillRect/>
                          </a:stretch>
                        </pic:blipFill>
                        <pic:spPr>
                          <a:xfrm>
                            <a:off x="0" y="0"/>
                            <a:ext cx="791210" cy="78359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66784" behindDoc="0" locked="0" layoutInCell="1" allowOverlap="1">
                  <wp:simplePos x="0" y="0"/>
                  <wp:positionH relativeFrom="column">
                    <wp:posOffset>461010</wp:posOffset>
                  </wp:positionH>
                  <wp:positionV relativeFrom="paragraph">
                    <wp:posOffset>113665</wp:posOffset>
                  </wp:positionV>
                  <wp:extent cx="791210" cy="783590"/>
                  <wp:effectExtent l="0" t="0" r="0" b="0"/>
                  <wp:wrapNone/>
                  <wp:docPr id="111" name="矩形_45_SpCnt_1"/>
                  <wp:cNvGraphicFramePr/>
                  <a:graphic xmlns:a="http://schemas.openxmlformats.org/drawingml/2006/main">
                    <a:graphicData uri="http://schemas.openxmlformats.org/drawingml/2006/picture">
                      <pic:pic xmlns:pic="http://schemas.openxmlformats.org/drawingml/2006/picture">
                        <pic:nvPicPr>
                          <pic:cNvPr id="111" name="矩形_45_SpCnt_1"/>
                          <pic:cNvPicPr/>
                        </pic:nvPicPr>
                        <pic:blipFill>
                          <a:blip r:embed="rId80"/>
                          <a:stretch>
                            <a:fillRect/>
                          </a:stretch>
                        </pic:blipFill>
                        <pic:spPr>
                          <a:xfrm>
                            <a:off x="0" y="0"/>
                            <a:ext cx="791210" cy="78359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67808" behindDoc="0" locked="0" layoutInCell="1" allowOverlap="1">
                  <wp:simplePos x="0" y="0"/>
                  <wp:positionH relativeFrom="column">
                    <wp:posOffset>461010</wp:posOffset>
                  </wp:positionH>
                  <wp:positionV relativeFrom="paragraph">
                    <wp:posOffset>113665</wp:posOffset>
                  </wp:positionV>
                  <wp:extent cx="791210" cy="783590"/>
                  <wp:effectExtent l="0" t="0" r="0" b="0"/>
                  <wp:wrapNone/>
                  <wp:docPr id="103" name="矩形_42_SpCnt_1"/>
                  <wp:cNvGraphicFramePr/>
                  <a:graphic xmlns:a="http://schemas.openxmlformats.org/drawingml/2006/main">
                    <a:graphicData uri="http://schemas.openxmlformats.org/drawingml/2006/picture">
                      <pic:pic xmlns:pic="http://schemas.openxmlformats.org/drawingml/2006/picture">
                        <pic:nvPicPr>
                          <pic:cNvPr id="103" name="矩形_42_SpCnt_1"/>
                          <pic:cNvPicPr/>
                        </pic:nvPicPr>
                        <pic:blipFill>
                          <a:blip r:embed="rId80"/>
                          <a:stretch>
                            <a:fillRect/>
                          </a:stretch>
                        </pic:blipFill>
                        <pic:spPr>
                          <a:xfrm>
                            <a:off x="0" y="0"/>
                            <a:ext cx="791210" cy="78359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715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 塑料。包装尺寸：14*11.5*3.8cm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254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31A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7BFF6540">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2FB6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FE4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笔架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19AE">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68832" behindDoc="0" locked="0" layoutInCell="1" allowOverlap="1">
                  <wp:simplePos x="0" y="0"/>
                  <wp:positionH relativeFrom="column">
                    <wp:posOffset>109220</wp:posOffset>
                  </wp:positionH>
                  <wp:positionV relativeFrom="paragraph">
                    <wp:posOffset>83820</wp:posOffset>
                  </wp:positionV>
                  <wp:extent cx="666750" cy="666750"/>
                  <wp:effectExtent l="0" t="0" r="0" b="0"/>
                  <wp:wrapNone/>
                  <wp:docPr id="97" name="图片_49"/>
                  <wp:cNvGraphicFramePr/>
                  <a:graphic xmlns:a="http://schemas.openxmlformats.org/drawingml/2006/main">
                    <a:graphicData uri="http://schemas.openxmlformats.org/drawingml/2006/picture">
                      <pic:pic xmlns:pic="http://schemas.openxmlformats.org/drawingml/2006/picture">
                        <pic:nvPicPr>
                          <pic:cNvPr id="97" name="图片_49"/>
                          <pic:cNvPicPr/>
                        </pic:nvPicPr>
                        <pic:blipFill>
                          <a:blip r:embed="rId110"/>
                          <a:stretch>
                            <a:fillRect/>
                          </a:stretch>
                        </pic:blipFill>
                        <pic:spPr>
                          <a:xfrm>
                            <a:off x="0" y="0"/>
                            <a:ext cx="666750" cy="66675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69856" behindDoc="0" locked="0" layoutInCell="1" allowOverlap="1">
                  <wp:simplePos x="0" y="0"/>
                  <wp:positionH relativeFrom="column">
                    <wp:posOffset>461010</wp:posOffset>
                  </wp:positionH>
                  <wp:positionV relativeFrom="paragraph">
                    <wp:posOffset>111760</wp:posOffset>
                  </wp:positionV>
                  <wp:extent cx="791210" cy="788035"/>
                  <wp:effectExtent l="0" t="0" r="0" b="0"/>
                  <wp:wrapNone/>
                  <wp:docPr id="112" name="矩形_40"/>
                  <wp:cNvGraphicFramePr/>
                  <a:graphic xmlns:a="http://schemas.openxmlformats.org/drawingml/2006/main">
                    <a:graphicData uri="http://schemas.openxmlformats.org/drawingml/2006/picture">
                      <pic:pic xmlns:pic="http://schemas.openxmlformats.org/drawingml/2006/picture">
                        <pic:nvPicPr>
                          <pic:cNvPr id="112" name="矩形_40"/>
                          <pic:cNvPicPr/>
                        </pic:nvPicPr>
                        <pic:blipFill>
                          <a:blip r:embed="rId80"/>
                          <a:stretch>
                            <a:fillRect/>
                          </a:stretch>
                        </pic:blipFill>
                        <pic:spPr>
                          <a:xfrm>
                            <a:off x="0" y="0"/>
                            <a:ext cx="791210" cy="788035"/>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70880" behindDoc="0" locked="0" layoutInCell="1" allowOverlap="1">
                  <wp:simplePos x="0" y="0"/>
                  <wp:positionH relativeFrom="column">
                    <wp:posOffset>461010</wp:posOffset>
                  </wp:positionH>
                  <wp:positionV relativeFrom="paragraph">
                    <wp:posOffset>111760</wp:posOffset>
                  </wp:positionV>
                  <wp:extent cx="791210" cy="788035"/>
                  <wp:effectExtent l="0" t="0" r="0" b="0"/>
                  <wp:wrapNone/>
                  <wp:docPr id="98" name="矩形_37"/>
                  <wp:cNvGraphicFramePr/>
                  <a:graphic xmlns:a="http://schemas.openxmlformats.org/drawingml/2006/main">
                    <a:graphicData uri="http://schemas.openxmlformats.org/drawingml/2006/picture">
                      <pic:pic xmlns:pic="http://schemas.openxmlformats.org/drawingml/2006/picture">
                        <pic:nvPicPr>
                          <pic:cNvPr id="98" name="矩形_37"/>
                          <pic:cNvPicPr/>
                        </pic:nvPicPr>
                        <pic:blipFill>
                          <a:blip r:embed="rId80"/>
                          <a:stretch>
                            <a:fillRect/>
                          </a:stretch>
                        </pic:blipFill>
                        <pic:spPr>
                          <a:xfrm>
                            <a:off x="0" y="0"/>
                            <a:ext cx="791210" cy="788035"/>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71904" behindDoc="0" locked="0" layoutInCell="1" allowOverlap="1">
                  <wp:simplePos x="0" y="0"/>
                  <wp:positionH relativeFrom="column">
                    <wp:posOffset>461010</wp:posOffset>
                  </wp:positionH>
                  <wp:positionV relativeFrom="paragraph">
                    <wp:posOffset>111760</wp:posOffset>
                  </wp:positionV>
                  <wp:extent cx="791210" cy="788035"/>
                  <wp:effectExtent l="0" t="0" r="0" b="0"/>
                  <wp:wrapNone/>
                  <wp:docPr id="117" name="矩形_46"/>
                  <wp:cNvGraphicFramePr/>
                  <a:graphic xmlns:a="http://schemas.openxmlformats.org/drawingml/2006/main">
                    <a:graphicData uri="http://schemas.openxmlformats.org/drawingml/2006/picture">
                      <pic:pic xmlns:pic="http://schemas.openxmlformats.org/drawingml/2006/picture">
                        <pic:nvPicPr>
                          <pic:cNvPr id="117" name="矩形_46"/>
                          <pic:cNvPicPr/>
                        </pic:nvPicPr>
                        <pic:blipFill>
                          <a:blip r:embed="rId80"/>
                          <a:stretch>
                            <a:fillRect/>
                          </a:stretch>
                        </pic:blipFill>
                        <pic:spPr>
                          <a:xfrm>
                            <a:off x="0" y="0"/>
                            <a:ext cx="791210" cy="788035"/>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72928" behindDoc="0" locked="0" layoutInCell="1" allowOverlap="1">
                  <wp:simplePos x="0" y="0"/>
                  <wp:positionH relativeFrom="column">
                    <wp:posOffset>461010</wp:posOffset>
                  </wp:positionH>
                  <wp:positionV relativeFrom="paragraph">
                    <wp:posOffset>111760</wp:posOffset>
                  </wp:positionV>
                  <wp:extent cx="791210" cy="788035"/>
                  <wp:effectExtent l="0" t="0" r="0" b="0"/>
                  <wp:wrapNone/>
                  <wp:docPr id="104" name="矩形_43_SpCnt_1"/>
                  <wp:cNvGraphicFramePr/>
                  <a:graphic xmlns:a="http://schemas.openxmlformats.org/drawingml/2006/main">
                    <a:graphicData uri="http://schemas.openxmlformats.org/drawingml/2006/picture">
                      <pic:pic xmlns:pic="http://schemas.openxmlformats.org/drawingml/2006/picture">
                        <pic:nvPicPr>
                          <pic:cNvPr id="104" name="矩形_43_SpCnt_1"/>
                          <pic:cNvPicPr/>
                        </pic:nvPicPr>
                        <pic:blipFill>
                          <a:blip r:embed="rId80"/>
                          <a:stretch>
                            <a:fillRect/>
                          </a:stretch>
                        </pic:blipFill>
                        <pic:spPr>
                          <a:xfrm>
                            <a:off x="0" y="0"/>
                            <a:ext cx="791210" cy="78803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5C2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☆尺寸：直径23cm，高8.4cm</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1、采用优质环保三聚氰胺贴面胶合板，甲醛释放量符合 国家标准要求。</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 xml:space="preserve">2、表面耐磨、耐污、耐划伤，易清洁，耐磨测试250R无透底现象。    </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3、原生态木蜡油封边，重金属钡、铅、镉、锑、硒、铬、汞、砷等含量符合国家标准规范的要求。</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4、结构稳固，不易倾倒。全面采用圆角设计，安全缝隙和孔洞均符合儿童家具通用技术条件的要求。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4A5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0D7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7DD80DB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BFAF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0B7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颜料架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BE31">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73952" behindDoc="0" locked="0" layoutInCell="1" allowOverlap="1">
                  <wp:simplePos x="0" y="0"/>
                  <wp:positionH relativeFrom="column">
                    <wp:posOffset>109220</wp:posOffset>
                  </wp:positionH>
                  <wp:positionV relativeFrom="paragraph">
                    <wp:posOffset>84455</wp:posOffset>
                  </wp:positionV>
                  <wp:extent cx="666750" cy="668020"/>
                  <wp:effectExtent l="0" t="0" r="0" b="17780"/>
                  <wp:wrapNone/>
                  <wp:docPr id="105" name="图片_50"/>
                  <wp:cNvGraphicFramePr/>
                  <a:graphic xmlns:a="http://schemas.openxmlformats.org/drawingml/2006/main">
                    <a:graphicData uri="http://schemas.openxmlformats.org/drawingml/2006/picture">
                      <pic:pic xmlns:pic="http://schemas.openxmlformats.org/drawingml/2006/picture">
                        <pic:nvPicPr>
                          <pic:cNvPr id="105" name="图片_50"/>
                          <pic:cNvPicPr/>
                        </pic:nvPicPr>
                        <pic:blipFill>
                          <a:blip r:embed="rId111"/>
                          <a:stretch>
                            <a:fillRect/>
                          </a:stretch>
                        </pic:blipFill>
                        <pic:spPr>
                          <a:xfrm>
                            <a:off x="0" y="0"/>
                            <a:ext cx="666750" cy="66802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74976" behindDoc="0" locked="0" layoutInCell="1" allowOverlap="1">
                  <wp:simplePos x="0" y="0"/>
                  <wp:positionH relativeFrom="column">
                    <wp:posOffset>461010</wp:posOffset>
                  </wp:positionH>
                  <wp:positionV relativeFrom="paragraph">
                    <wp:posOffset>111125</wp:posOffset>
                  </wp:positionV>
                  <wp:extent cx="791210" cy="782955"/>
                  <wp:effectExtent l="0" t="0" r="0" b="0"/>
                  <wp:wrapNone/>
                  <wp:docPr id="125" name="矩形_38"/>
                  <wp:cNvGraphicFramePr/>
                  <a:graphic xmlns:a="http://schemas.openxmlformats.org/drawingml/2006/main">
                    <a:graphicData uri="http://schemas.openxmlformats.org/drawingml/2006/picture">
                      <pic:pic xmlns:pic="http://schemas.openxmlformats.org/drawingml/2006/picture">
                        <pic:nvPicPr>
                          <pic:cNvPr id="125" name="矩形_38"/>
                          <pic:cNvPicPr/>
                        </pic:nvPicPr>
                        <pic:blipFill>
                          <a:blip r:embed="rId80"/>
                          <a:stretch>
                            <a:fillRect/>
                          </a:stretch>
                        </pic:blipFill>
                        <pic:spPr>
                          <a:xfrm>
                            <a:off x="0" y="0"/>
                            <a:ext cx="791210" cy="782955"/>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76000" behindDoc="0" locked="0" layoutInCell="1" allowOverlap="1">
                  <wp:simplePos x="0" y="0"/>
                  <wp:positionH relativeFrom="column">
                    <wp:posOffset>461010</wp:posOffset>
                  </wp:positionH>
                  <wp:positionV relativeFrom="paragraph">
                    <wp:posOffset>111125</wp:posOffset>
                  </wp:positionV>
                  <wp:extent cx="791210" cy="782955"/>
                  <wp:effectExtent l="0" t="0" r="0" b="0"/>
                  <wp:wrapNone/>
                  <wp:docPr id="128" name="矩形_44_SpCnt_1"/>
                  <wp:cNvGraphicFramePr/>
                  <a:graphic xmlns:a="http://schemas.openxmlformats.org/drawingml/2006/main">
                    <a:graphicData uri="http://schemas.openxmlformats.org/drawingml/2006/picture">
                      <pic:pic xmlns:pic="http://schemas.openxmlformats.org/drawingml/2006/picture">
                        <pic:nvPicPr>
                          <pic:cNvPr id="128" name="矩形_44_SpCnt_1"/>
                          <pic:cNvPicPr/>
                        </pic:nvPicPr>
                        <pic:blipFill>
                          <a:blip r:embed="rId80"/>
                          <a:stretch>
                            <a:fillRect/>
                          </a:stretch>
                        </pic:blipFill>
                        <pic:spPr>
                          <a:xfrm>
                            <a:off x="0" y="0"/>
                            <a:ext cx="791210" cy="782955"/>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77024" behindDoc="0" locked="0" layoutInCell="1" allowOverlap="1">
                  <wp:simplePos x="0" y="0"/>
                  <wp:positionH relativeFrom="column">
                    <wp:posOffset>461010</wp:posOffset>
                  </wp:positionH>
                  <wp:positionV relativeFrom="paragraph">
                    <wp:posOffset>111125</wp:posOffset>
                  </wp:positionV>
                  <wp:extent cx="791210" cy="782955"/>
                  <wp:effectExtent l="0" t="0" r="0" b="0"/>
                  <wp:wrapNone/>
                  <wp:docPr id="152" name="矩形_47"/>
                  <wp:cNvGraphicFramePr/>
                  <a:graphic xmlns:a="http://schemas.openxmlformats.org/drawingml/2006/main">
                    <a:graphicData uri="http://schemas.openxmlformats.org/drawingml/2006/picture">
                      <pic:pic xmlns:pic="http://schemas.openxmlformats.org/drawingml/2006/picture">
                        <pic:nvPicPr>
                          <pic:cNvPr id="152" name="矩形_47"/>
                          <pic:cNvPicPr/>
                        </pic:nvPicPr>
                        <pic:blipFill>
                          <a:blip r:embed="rId80"/>
                          <a:stretch>
                            <a:fillRect/>
                          </a:stretch>
                        </pic:blipFill>
                        <pic:spPr>
                          <a:xfrm>
                            <a:off x="0" y="0"/>
                            <a:ext cx="791210" cy="782955"/>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778048" behindDoc="0" locked="0" layoutInCell="1" allowOverlap="1">
                  <wp:simplePos x="0" y="0"/>
                  <wp:positionH relativeFrom="column">
                    <wp:posOffset>461010</wp:posOffset>
                  </wp:positionH>
                  <wp:positionV relativeFrom="paragraph">
                    <wp:posOffset>111125</wp:posOffset>
                  </wp:positionV>
                  <wp:extent cx="791210" cy="782955"/>
                  <wp:effectExtent l="0" t="0" r="0" b="0"/>
                  <wp:wrapNone/>
                  <wp:docPr id="151" name="矩形_41"/>
                  <wp:cNvGraphicFramePr/>
                  <a:graphic xmlns:a="http://schemas.openxmlformats.org/drawingml/2006/main">
                    <a:graphicData uri="http://schemas.openxmlformats.org/drawingml/2006/picture">
                      <pic:pic xmlns:pic="http://schemas.openxmlformats.org/drawingml/2006/picture">
                        <pic:nvPicPr>
                          <pic:cNvPr id="151" name="矩形_41"/>
                          <pic:cNvPicPr/>
                        </pic:nvPicPr>
                        <pic:blipFill>
                          <a:blip r:embed="rId80"/>
                          <a:stretch>
                            <a:fillRect/>
                          </a:stretch>
                        </pic:blipFill>
                        <pic:spPr>
                          <a:xfrm>
                            <a:off x="0" y="0"/>
                            <a:ext cx="791210" cy="78295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F71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☆尺寸：33.5×17.5×12cm</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1、采用优质环保三聚氰胺贴面胶合板，甲醛释放量符合国家标准要求。</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 xml:space="preserve">2、表面耐磨、耐污、耐划伤，易清洁，耐磨测试250R无透底现象。    </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 xml:space="preserve">3、原生态木蜡油封边，重金属钡、铅、镉、锑、硒、铬、汞、砷等含量符合国家标准规范的要求。 </w:t>
            </w:r>
            <w:r>
              <w:rPr>
                <w:rFonts w:hint="eastAsia" w:ascii="微软雅黑" w:hAnsi="微软雅黑" w:eastAsia="微软雅黑" w:cs="微软雅黑"/>
                <w:color w:val="auto"/>
                <w:kern w:val="0"/>
                <w:sz w:val="24"/>
                <w:highlight w:val="none"/>
              </w:rPr>
              <w:br w:type="textWrapping"/>
            </w:r>
            <w:r>
              <w:rPr>
                <w:rFonts w:hint="eastAsia" w:ascii="微软雅黑" w:hAnsi="微软雅黑" w:eastAsia="微软雅黑" w:cs="微软雅黑"/>
                <w:color w:val="auto"/>
                <w:kern w:val="0"/>
                <w:sz w:val="24"/>
                <w:highlight w:val="none"/>
              </w:rPr>
              <w:t>4、结构稳固，不易倾倒。全面采用圆角设计，安全缝隙和孔洞均符合童家具通用技术条件的要求。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23A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AF1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2D118EC7">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85CF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3E02">
            <w:pPr>
              <w:widowControl/>
              <w:jc w:val="center"/>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rPr>
              <w:t>材料盒A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33524E">
            <w:pPr>
              <w:widowControl/>
              <w:jc w:val="left"/>
              <w:textAlignment w:val="bottom"/>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79072" behindDoc="0" locked="0" layoutInCell="1" allowOverlap="1">
                  <wp:simplePos x="0" y="0"/>
                  <wp:positionH relativeFrom="column">
                    <wp:posOffset>309880</wp:posOffset>
                  </wp:positionH>
                  <wp:positionV relativeFrom="paragraph">
                    <wp:posOffset>206375</wp:posOffset>
                  </wp:positionV>
                  <wp:extent cx="589915" cy="620395"/>
                  <wp:effectExtent l="0" t="0" r="635" b="8255"/>
                  <wp:wrapNone/>
                  <wp:docPr id="142" name="图片_41"/>
                  <wp:cNvGraphicFramePr/>
                  <a:graphic xmlns:a="http://schemas.openxmlformats.org/drawingml/2006/main">
                    <a:graphicData uri="http://schemas.openxmlformats.org/drawingml/2006/picture">
                      <pic:pic xmlns:pic="http://schemas.openxmlformats.org/drawingml/2006/picture">
                        <pic:nvPicPr>
                          <pic:cNvPr id="142" name="图片_41"/>
                          <pic:cNvPicPr/>
                        </pic:nvPicPr>
                        <pic:blipFill>
                          <a:blip r:embed="rId112"/>
                          <a:stretch>
                            <a:fillRect/>
                          </a:stretch>
                        </pic:blipFill>
                        <pic:spPr>
                          <a:xfrm>
                            <a:off x="0" y="0"/>
                            <a:ext cx="589915" cy="62039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9B1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产品尺寸：33*22*5.5cm，材料盒材质：进口桦木夹板</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1E3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FDD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15 </w:t>
            </w:r>
          </w:p>
        </w:tc>
      </w:tr>
      <w:tr w14:paraId="5563423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60E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45E1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材料盒B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429B69">
            <w:pPr>
              <w:widowControl/>
              <w:jc w:val="left"/>
              <w:textAlignment w:val="bottom"/>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80096" behindDoc="0" locked="0" layoutInCell="1" allowOverlap="1">
                  <wp:simplePos x="0" y="0"/>
                  <wp:positionH relativeFrom="column">
                    <wp:posOffset>238760</wp:posOffset>
                  </wp:positionH>
                  <wp:positionV relativeFrom="paragraph">
                    <wp:posOffset>308610</wp:posOffset>
                  </wp:positionV>
                  <wp:extent cx="711835" cy="481965"/>
                  <wp:effectExtent l="0" t="0" r="12065" b="13335"/>
                  <wp:wrapNone/>
                  <wp:docPr id="129" name="图片_42_SpCnt_1"/>
                  <wp:cNvGraphicFramePr/>
                  <a:graphic xmlns:a="http://schemas.openxmlformats.org/drawingml/2006/main">
                    <a:graphicData uri="http://schemas.openxmlformats.org/drawingml/2006/picture">
                      <pic:pic xmlns:pic="http://schemas.openxmlformats.org/drawingml/2006/picture">
                        <pic:nvPicPr>
                          <pic:cNvPr id="129" name="图片_42_SpCnt_1"/>
                          <pic:cNvPicPr/>
                        </pic:nvPicPr>
                        <pic:blipFill>
                          <a:blip r:embed="rId113"/>
                          <a:stretch>
                            <a:fillRect/>
                          </a:stretch>
                        </pic:blipFill>
                        <pic:spPr>
                          <a:xfrm>
                            <a:off x="0" y="0"/>
                            <a:ext cx="711835" cy="48196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D43E">
            <w:pPr>
              <w:widowControl/>
              <w:jc w:val="left"/>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产品尺寸：45*30*5.5cm材料盒材质：进口桦木夹板，内含不同形状大小的材料</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6D3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740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15 </w:t>
            </w:r>
          </w:p>
        </w:tc>
      </w:tr>
      <w:tr w14:paraId="114C61CD">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2CC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415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护眼罩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97F6">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781120" behindDoc="0" locked="0" layoutInCell="1" allowOverlap="1">
                  <wp:simplePos x="0" y="0"/>
                  <wp:positionH relativeFrom="column">
                    <wp:posOffset>109220</wp:posOffset>
                  </wp:positionH>
                  <wp:positionV relativeFrom="paragraph">
                    <wp:posOffset>85725</wp:posOffset>
                  </wp:positionV>
                  <wp:extent cx="666750" cy="665480"/>
                  <wp:effectExtent l="0" t="0" r="0" b="1270"/>
                  <wp:wrapNone/>
                  <wp:docPr id="139" name="图片_53"/>
                  <wp:cNvGraphicFramePr/>
                  <a:graphic xmlns:a="http://schemas.openxmlformats.org/drawingml/2006/main">
                    <a:graphicData uri="http://schemas.openxmlformats.org/drawingml/2006/picture">
                      <pic:pic xmlns:pic="http://schemas.openxmlformats.org/drawingml/2006/picture">
                        <pic:nvPicPr>
                          <pic:cNvPr id="139" name="图片_53"/>
                          <pic:cNvPicPr/>
                        </pic:nvPicPr>
                        <pic:blipFill>
                          <a:blip r:embed="rId114"/>
                          <a:stretch>
                            <a:fillRect/>
                          </a:stretch>
                        </pic:blipFill>
                        <pic:spPr>
                          <a:xfrm>
                            <a:off x="0" y="0"/>
                            <a:ext cx="666750" cy="66548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12A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材质：塑料,包装尺寸：护眼罩:约15×5cm,内含：护眼罩×1,安全护目镜，有效的防护幼儿的眼睛不被意外所伤。</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022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副</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9E2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20</w:t>
            </w:r>
          </w:p>
        </w:tc>
      </w:tr>
      <w:tr w14:paraId="3460F66B">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2FB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482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沙水趣味组</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B38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82144" behindDoc="0" locked="0" layoutInCell="1" allowOverlap="1">
                  <wp:simplePos x="0" y="0"/>
                  <wp:positionH relativeFrom="column">
                    <wp:posOffset>200025</wp:posOffset>
                  </wp:positionH>
                  <wp:positionV relativeFrom="paragraph">
                    <wp:posOffset>1755140</wp:posOffset>
                  </wp:positionV>
                  <wp:extent cx="1120775" cy="1035685"/>
                  <wp:effectExtent l="0" t="0" r="3175" b="12065"/>
                  <wp:wrapNone/>
                  <wp:docPr id="143" name="图片_53_SpCnt_1"/>
                  <wp:cNvGraphicFramePr/>
                  <a:graphic xmlns:a="http://schemas.openxmlformats.org/drawingml/2006/main">
                    <a:graphicData uri="http://schemas.openxmlformats.org/drawingml/2006/picture">
                      <pic:pic xmlns:pic="http://schemas.openxmlformats.org/drawingml/2006/picture">
                        <pic:nvPicPr>
                          <pic:cNvPr id="143" name="图片_53_SpCnt_1"/>
                          <pic:cNvPicPr/>
                        </pic:nvPicPr>
                        <pic:blipFill>
                          <a:blip r:embed="rId115"/>
                          <a:stretch>
                            <a:fillRect/>
                          </a:stretch>
                        </pic:blipFill>
                        <pic:spPr>
                          <a:xfrm>
                            <a:off x="0" y="0"/>
                            <a:ext cx="1120775" cy="103568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5AF5">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水舀，尺寸：28×17×8.5cm，12把；</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水桶：尺寸：约16*12cm，1套；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接水盒-低，尺寸：38×31×7.8cm，8个；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易抓握沙筛，尺寸：约25x22x3.5cm，2组；</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沙漏，尺寸：约13*12*14cm，3套；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透明细圆直管50*98，尺寸：直径5×7 cm，30根；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透明细圆直管50*980，尺寸：直径5×98 cm，2根；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透明细圆直管50*198，尺寸：直径5×19.8 cm，30根；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透明细圆直管50*298，尺寸：直径5×29.8 cm，20根；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多孔透明细圆直管50*298，尺寸：直径5×29.8 cm，10根；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透明粗圆直管75*980，尺寸：直径7.5×98 cm，12根；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软管50*980，尺寸：直径5×98 cm，20根；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剖面直管107*980mm，尺寸：10.8×5.4×98cm，6根；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剖面直管75*980mm，尺寸：98×7.5×3.6 cm，18根；</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组合墙单元，132×72.7×137.83cm,2个；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经典水架-单片底座，尺寸：24.5×16.5×7.8cm，30个；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经典水架-单片连接件，尺寸：18.8×15.5×3.3 cm，110个；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城堡水架-四方底座，尺寸：32×32×6cm，2个；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城堡水架-四方连接件，材质：安全塑料，尺寸：19.1×19.1×15，6个；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城堡十字支架-转角，尺寸：25×18.5×6.5 cm，1个；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T字型转弯道，尺寸：18.5*18.5cm，1个；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城堡水架-四方顶盖，尺寸：26×26×10 cm，2个；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卡槽 -50 管（L70XH140XW150），尺寸：4×7×6.3 cm，50个；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90°弯头（50），尺寸：9×9×5.5 cm，20个；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90°弯头（75），尺寸：12.5×12.5×8cm，3个；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变径直通 (50/75)，尺寸：10×10×8 cm，10个；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变径接头-木色，尺寸：5.5×5.5×5 cm，6个；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直通接头（75），尺寸：8×8×9.5cm，2个；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45°弯头（50），尺寸：12×9×5.5cm，25个；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45°弯头（75），尺寸：14×11.5×8cm，3个；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等径三通 (50)，尺寸：12×9×5.5 cm，15个；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等径三通 (75)，尺寸：16.5×12.5×8cm，3个；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阀门，尺寸：9×8.5×6.5 cm，10个；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管帽50mm，尺寸：7×3.5×2cm，10个；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阻流片，尺寸：75阻流片8.5×5×1.5cm，108阻流片11.8×6.8×1.7cm，8个；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水车，尺寸：11×11×5 cm，10个；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水涡轮，尺寸：7×7×5 cm，3个；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小船-绿色，尺寸：8×5×3 cm，12艘；</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实心小球，尺寸：直径4cm*4个，直径3cm*16个，颜色随机，1包 ；</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空心小球，尺寸：3种直径，4cm*10个、5.5cm*5个、6.5cm*5个，1包；</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挖铲车，尺寸：约40*21*28cm，1个；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搅拌车，尺寸：约40*21*28cm，1个；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翻斗车，尺寸：约40*21*28cm，1个；</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量杯，尺寸：约12*7*12cm，1套；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动物沙模，尺寸：约兔子12*15cm 贝壳10.5*10cm 青蛙12*11.5cm 海星11.5*11.5cm 螃蟹12*8.5cm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配置数量：绿、红、蓝、黄，每套五款共计十个，颜色随机，3套；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城堡沙模3：大城堡约20.5cm，小城堡约11cm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配置数量：红、黄、蓝、绿，共计八个，颜色随机，3套；</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收纳筐10个；幼儿园沙水活动玩法手册（小班）1个；幼儿园沙水活动玩法手册（中班）1个；幼儿园沙水活动玩法手册（大班）1个（提供沙水趣味组套装符合GB6675-2014国家标准规范要求的检测报告</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895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E3E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r>
      <w:tr w14:paraId="5ACE118E">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DDC5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E57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连体沙水服</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F2C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83168" behindDoc="0" locked="0" layoutInCell="1" allowOverlap="1">
                  <wp:simplePos x="0" y="0"/>
                  <wp:positionH relativeFrom="column">
                    <wp:posOffset>409575</wp:posOffset>
                  </wp:positionH>
                  <wp:positionV relativeFrom="paragraph">
                    <wp:posOffset>107950</wp:posOffset>
                  </wp:positionV>
                  <wp:extent cx="592455" cy="753110"/>
                  <wp:effectExtent l="0" t="0" r="17145" b="8890"/>
                  <wp:wrapNone/>
                  <wp:docPr id="130" name="图片_7_SpCnt_1"/>
                  <wp:cNvGraphicFramePr/>
                  <a:graphic xmlns:a="http://schemas.openxmlformats.org/drawingml/2006/main">
                    <a:graphicData uri="http://schemas.openxmlformats.org/drawingml/2006/picture">
                      <pic:pic xmlns:pic="http://schemas.openxmlformats.org/drawingml/2006/picture">
                        <pic:nvPicPr>
                          <pic:cNvPr id="130" name="图片_7_SpCnt_1"/>
                          <pic:cNvPicPr/>
                        </pic:nvPicPr>
                        <pic:blipFill>
                          <a:blip r:embed="rId116"/>
                          <a:stretch>
                            <a:fillRect/>
                          </a:stretch>
                        </pic:blipFill>
                        <pic:spPr>
                          <a:xfrm>
                            <a:off x="0" y="0"/>
                            <a:ext cx="592455" cy="75311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4A09">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连体背带，套鞋，防水，分大，中，小号，</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3C0B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05CD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30</w:t>
            </w:r>
          </w:p>
        </w:tc>
      </w:tr>
      <w:tr w14:paraId="2DCDBB5C">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85B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ACE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轮胎架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B15C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84192" behindDoc="0" locked="0" layoutInCell="1" allowOverlap="1">
                  <wp:simplePos x="0" y="0"/>
                  <wp:positionH relativeFrom="column">
                    <wp:posOffset>582930</wp:posOffset>
                  </wp:positionH>
                  <wp:positionV relativeFrom="paragraph">
                    <wp:posOffset>160655</wp:posOffset>
                  </wp:positionV>
                  <wp:extent cx="952500" cy="448310"/>
                  <wp:effectExtent l="0" t="0" r="0" b="8890"/>
                  <wp:wrapNone/>
                  <wp:docPr id="141" name="图片_20_SpCnt_1"/>
                  <wp:cNvGraphicFramePr/>
                  <a:graphic xmlns:a="http://schemas.openxmlformats.org/drawingml/2006/main">
                    <a:graphicData uri="http://schemas.openxmlformats.org/drawingml/2006/picture">
                      <pic:pic xmlns:pic="http://schemas.openxmlformats.org/drawingml/2006/picture">
                        <pic:nvPicPr>
                          <pic:cNvPr id="141" name="图片_20_SpCnt_1"/>
                          <pic:cNvPicPr/>
                        </pic:nvPicPr>
                        <pic:blipFill>
                          <a:blip r:embed="rId117"/>
                          <a:stretch>
                            <a:fillRect/>
                          </a:stretch>
                        </pic:blipFill>
                        <pic:spPr>
                          <a:xfrm>
                            <a:off x="0" y="0"/>
                            <a:ext cx="952500" cy="44831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5E62">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规格：255*53*53cm材质：管子：PPRT增强型，防紫外线处理，壁厚3MM；。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68F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927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3</w:t>
            </w:r>
          </w:p>
        </w:tc>
      </w:tr>
      <w:tr w14:paraId="0C329002">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F2B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415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轮胎架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709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85216" behindDoc="0" locked="0" layoutInCell="1" allowOverlap="1">
                  <wp:simplePos x="0" y="0"/>
                  <wp:positionH relativeFrom="column">
                    <wp:posOffset>410845</wp:posOffset>
                  </wp:positionH>
                  <wp:positionV relativeFrom="paragraph">
                    <wp:posOffset>227330</wp:posOffset>
                  </wp:positionV>
                  <wp:extent cx="1012825" cy="541655"/>
                  <wp:effectExtent l="0" t="0" r="15875" b="10795"/>
                  <wp:wrapNone/>
                  <wp:docPr id="140" name="图片_7_SpCnt_2"/>
                  <wp:cNvGraphicFramePr/>
                  <a:graphic xmlns:a="http://schemas.openxmlformats.org/drawingml/2006/main">
                    <a:graphicData uri="http://schemas.openxmlformats.org/drawingml/2006/picture">
                      <pic:pic xmlns:pic="http://schemas.openxmlformats.org/drawingml/2006/picture">
                        <pic:nvPicPr>
                          <pic:cNvPr id="140" name="图片_7_SpCnt_2"/>
                          <pic:cNvPicPr/>
                        </pic:nvPicPr>
                        <pic:blipFill>
                          <a:blip r:embed="rId118"/>
                          <a:stretch>
                            <a:fillRect/>
                          </a:stretch>
                        </pic:blipFill>
                        <pic:spPr>
                          <a:xfrm>
                            <a:off x="0" y="0"/>
                            <a:ext cx="1012825" cy="54165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DAF3">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内含2100片,单片尺寸：12*2.4*0.8CM；厚度0.8cm，松木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CC8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423E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5947B6BA">
        <w:tblPrEx>
          <w:tblCellMar>
            <w:top w:w="0" w:type="dxa"/>
            <w:left w:w="108" w:type="dxa"/>
            <w:bottom w:w="0" w:type="dxa"/>
            <w:right w:w="108" w:type="dxa"/>
          </w:tblCellMar>
        </w:tblPrEx>
        <w:trPr>
          <w:trHeight w:val="1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848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F24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篮球架组合</w:t>
            </w:r>
          </w:p>
        </w:tc>
        <w:tc>
          <w:tcPr>
            <w:tcW w:w="2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1F2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86240" behindDoc="0" locked="0" layoutInCell="1" allowOverlap="1">
                  <wp:simplePos x="0" y="0"/>
                  <wp:positionH relativeFrom="column">
                    <wp:posOffset>312420</wp:posOffset>
                  </wp:positionH>
                  <wp:positionV relativeFrom="paragraph">
                    <wp:posOffset>247015</wp:posOffset>
                  </wp:positionV>
                  <wp:extent cx="687705" cy="855980"/>
                  <wp:effectExtent l="0" t="0" r="17145" b="1270"/>
                  <wp:wrapNone/>
                  <wp:docPr id="131" name="图片_1_SpCnt_9"/>
                  <wp:cNvGraphicFramePr/>
                  <a:graphic xmlns:a="http://schemas.openxmlformats.org/drawingml/2006/main">
                    <a:graphicData uri="http://schemas.openxmlformats.org/drawingml/2006/picture">
                      <pic:pic xmlns:pic="http://schemas.openxmlformats.org/drawingml/2006/picture">
                        <pic:nvPicPr>
                          <pic:cNvPr id="131" name="图片_1_SpCnt_9"/>
                          <pic:cNvPicPr/>
                        </pic:nvPicPr>
                        <pic:blipFill>
                          <a:blip r:embed="rId119"/>
                          <a:stretch>
                            <a:fillRect/>
                          </a:stretch>
                        </pic:blipFill>
                        <pic:spPr>
                          <a:xfrm>
                            <a:off x="0" y="0"/>
                            <a:ext cx="687705" cy="85598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EC1D">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规格;1300*800*1700mm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采用聚乙烯工程塑料为原料，加入抗紫外线、耐风化稳定剂；采用6级标准色母，滚塑工艺一次成型。具有抗冲击性、抗UV六级以上、防静电、耐低温、耐磨性、不脆化。耐老化、色泽稳定；确保户外使用7年以上。2，钢管采用镀锌钢管φ32mm、厚度2.5mm，焊接工艺采用C02气体保护焊。表面采用低金属静电粉末喷涂处理，粉末喷涂材料添加抗紫外线稳定剂，达到五级抗紫外线标准，颜色保持长久鲜艳.,3、坚固件：304不锈钢材质；种类：采用半圆头内六角安全螺丝与T型平头六角螺丝。螺丝要求一般工具无法松动，可预防任意调整功能。4,篮球网采用锦纶材料，具有抗紫外线、抗老化性能。 </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7BC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B69D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r>
      <w:tr w14:paraId="25F3F15A">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33C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99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B89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篮球架组合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A45E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87264" behindDoc="0" locked="0" layoutInCell="1" allowOverlap="1">
                  <wp:simplePos x="0" y="0"/>
                  <wp:positionH relativeFrom="column">
                    <wp:posOffset>563245</wp:posOffset>
                  </wp:positionH>
                  <wp:positionV relativeFrom="paragraph">
                    <wp:posOffset>160655</wp:posOffset>
                  </wp:positionV>
                  <wp:extent cx="667385" cy="671195"/>
                  <wp:effectExtent l="0" t="0" r="18415" b="14605"/>
                  <wp:wrapNone/>
                  <wp:docPr id="133" name="图片_5_SpCnt_3"/>
                  <wp:cNvGraphicFramePr/>
                  <a:graphic xmlns:a="http://schemas.openxmlformats.org/drawingml/2006/main">
                    <a:graphicData uri="http://schemas.openxmlformats.org/drawingml/2006/picture">
                      <pic:pic xmlns:pic="http://schemas.openxmlformats.org/drawingml/2006/picture">
                        <pic:nvPicPr>
                          <pic:cNvPr id="133" name="图片_5_SpCnt_3"/>
                          <pic:cNvPicPr/>
                        </pic:nvPicPr>
                        <pic:blipFill>
                          <a:blip r:embed="rId120"/>
                          <a:stretch>
                            <a:fillRect/>
                          </a:stretch>
                        </pic:blipFill>
                        <pic:spPr>
                          <a:xfrm>
                            <a:off x="0" y="0"/>
                            <a:ext cx="667385" cy="671195"/>
                          </a:xfrm>
                          <a:prstGeom prst="rect">
                            <a:avLst/>
                          </a:prstGeom>
                          <a:noFill/>
                          <a:ln>
                            <a:noFill/>
                          </a:ln>
                        </pic:spPr>
                      </pic:pic>
                    </a:graphicData>
                  </a:graphic>
                </wp:anchor>
              </w:drawing>
            </w: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88288" behindDoc="0" locked="0" layoutInCell="1" allowOverlap="1">
                  <wp:simplePos x="0" y="0"/>
                  <wp:positionH relativeFrom="column">
                    <wp:posOffset>247015</wp:posOffset>
                  </wp:positionH>
                  <wp:positionV relativeFrom="paragraph">
                    <wp:posOffset>0</wp:posOffset>
                  </wp:positionV>
                  <wp:extent cx="1313815" cy="9525"/>
                  <wp:effectExtent l="0" t="0" r="0" b="0"/>
                  <wp:wrapNone/>
                  <wp:docPr id="150" name="Picture_103"/>
                  <wp:cNvGraphicFramePr/>
                  <a:graphic xmlns:a="http://schemas.openxmlformats.org/drawingml/2006/main">
                    <a:graphicData uri="http://schemas.openxmlformats.org/drawingml/2006/picture">
                      <pic:pic xmlns:pic="http://schemas.openxmlformats.org/drawingml/2006/picture">
                        <pic:nvPicPr>
                          <pic:cNvPr id="150" name="Picture_103"/>
                          <pic:cNvPicPr/>
                        </pic:nvPicPr>
                        <pic:blipFill>
                          <a:blip r:embed="rId121"/>
                          <a:stretch>
                            <a:fillRect/>
                          </a:stretch>
                        </pic:blipFill>
                        <pic:spPr>
                          <a:xfrm>
                            <a:off x="0" y="0"/>
                            <a:ext cx="1313815" cy="952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2E64">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材质：TPU，尺寸：足球直径约18cm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内含3号足球×6PCS+1气针。共计7pcs。足球</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游戏与足球的训练活动，可以发展幼儿的协调性、</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灵活性和平衡能力。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854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A2DD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15</w:t>
            </w:r>
          </w:p>
        </w:tc>
      </w:tr>
      <w:tr w14:paraId="2880AE40">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84F2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661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篮球，皮球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D16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89312" behindDoc="0" locked="0" layoutInCell="1" allowOverlap="1">
                  <wp:simplePos x="0" y="0"/>
                  <wp:positionH relativeFrom="column">
                    <wp:posOffset>572135</wp:posOffset>
                  </wp:positionH>
                  <wp:positionV relativeFrom="paragraph">
                    <wp:posOffset>121285</wp:posOffset>
                  </wp:positionV>
                  <wp:extent cx="685800" cy="678815"/>
                  <wp:effectExtent l="0" t="0" r="0" b="6985"/>
                  <wp:wrapNone/>
                  <wp:docPr id="146" name="Picture_6"/>
                  <wp:cNvGraphicFramePr/>
                  <a:graphic xmlns:a="http://schemas.openxmlformats.org/drawingml/2006/main">
                    <a:graphicData uri="http://schemas.openxmlformats.org/drawingml/2006/picture">
                      <pic:pic xmlns:pic="http://schemas.openxmlformats.org/drawingml/2006/picture">
                        <pic:nvPicPr>
                          <pic:cNvPr id="146" name="Picture_6"/>
                          <pic:cNvPicPr/>
                        </pic:nvPicPr>
                        <pic:blipFill>
                          <a:blip r:embed="rId122"/>
                          <a:stretch>
                            <a:fillRect/>
                          </a:stretch>
                        </pic:blipFill>
                        <pic:spPr>
                          <a:xfrm>
                            <a:off x="0" y="0"/>
                            <a:ext cx="685800" cy="67881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25CD">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橡胶，尺寸3号球，高弹耐磨，易操作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7EB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5B0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30</w:t>
            </w:r>
          </w:p>
        </w:tc>
      </w:tr>
      <w:tr w14:paraId="290A040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764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077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双排置球架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FDA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0336" behindDoc="0" locked="0" layoutInCell="1" allowOverlap="1">
                  <wp:simplePos x="0" y="0"/>
                  <wp:positionH relativeFrom="column">
                    <wp:posOffset>600710</wp:posOffset>
                  </wp:positionH>
                  <wp:positionV relativeFrom="paragraph">
                    <wp:posOffset>107315</wp:posOffset>
                  </wp:positionV>
                  <wp:extent cx="651510" cy="782320"/>
                  <wp:effectExtent l="0" t="0" r="15240" b="17780"/>
                  <wp:wrapNone/>
                  <wp:docPr id="153" name="Picture_12"/>
                  <wp:cNvGraphicFramePr/>
                  <a:graphic xmlns:a="http://schemas.openxmlformats.org/drawingml/2006/main">
                    <a:graphicData uri="http://schemas.openxmlformats.org/drawingml/2006/picture">
                      <pic:pic xmlns:pic="http://schemas.openxmlformats.org/drawingml/2006/picture">
                        <pic:nvPicPr>
                          <pic:cNvPr id="153" name="Picture_12"/>
                          <pic:cNvPicPr/>
                        </pic:nvPicPr>
                        <pic:blipFill>
                          <a:blip r:embed="rId123"/>
                          <a:stretch>
                            <a:fillRect/>
                          </a:stretch>
                        </pic:blipFill>
                        <pic:spPr>
                          <a:xfrm>
                            <a:off x="0" y="0"/>
                            <a:ext cx="651510" cy="7823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4F1D">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尺寸：119*50*121cm，材质：烤漆钢结构的材质，底部带轮子。方便移动，结实耐用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B4F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9853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440B6281">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72C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BA9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可折叠篮球车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F51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1360" behindDoc="0" locked="0" layoutInCell="1" allowOverlap="1">
                  <wp:simplePos x="0" y="0"/>
                  <wp:positionH relativeFrom="column">
                    <wp:posOffset>610235</wp:posOffset>
                  </wp:positionH>
                  <wp:positionV relativeFrom="paragraph">
                    <wp:posOffset>92710</wp:posOffset>
                  </wp:positionV>
                  <wp:extent cx="710565" cy="533400"/>
                  <wp:effectExtent l="0" t="0" r="13335" b="0"/>
                  <wp:wrapNone/>
                  <wp:docPr id="145" name="图片_4_SpCnt_3"/>
                  <wp:cNvGraphicFramePr/>
                  <a:graphic xmlns:a="http://schemas.openxmlformats.org/drawingml/2006/main">
                    <a:graphicData uri="http://schemas.openxmlformats.org/drawingml/2006/picture">
                      <pic:pic xmlns:pic="http://schemas.openxmlformats.org/drawingml/2006/picture">
                        <pic:nvPicPr>
                          <pic:cNvPr id="145" name="图片_4_SpCnt_3"/>
                          <pic:cNvPicPr/>
                        </pic:nvPicPr>
                        <pic:blipFill>
                          <a:blip r:embed="rId124"/>
                          <a:stretch>
                            <a:fillRect/>
                          </a:stretch>
                        </pic:blipFill>
                        <pic:spPr>
                          <a:xfrm>
                            <a:off x="0" y="0"/>
                            <a:ext cx="710565" cy="53340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7C77">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规格：80*85*90CM，不锈钢带万向轮，上部做翻盖设计，方便存放玩具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E4C1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0F7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715AA969">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465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76D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滚筒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978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2384" behindDoc="0" locked="0" layoutInCell="1" allowOverlap="1">
                  <wp:simplePos x="0" y="0"/>
                  <wp:positionH relativeFrom="column">
                    <wp:posOffset>334010</wp:posOffset>
                  </wp:positionH>
                  <wp:positionV relativeFrom="paragraph">
                    <wp:posOffset>85725</wp:posOffset>
                  </wp:positionV>
                  <wp:extent cx="1125855" cy="629920"/>
                  <wp:effectExtent l="0" t="0" r="17145" b="17780"/>
                  <wp:wrapNone/>
                  <wp:docPr id="134" name="图片_37"/>
                  <wp:cNvGraphicFramePr/>
                  <a:graphic xmlns:a="http://schemas.openxmlformats.org/drawingml/2006/main">
                    <a:graphicData uri="http://schemas.openxmlformats.org/drawingml/2006/picture">
                      <pic:pic xmlns:pic="http://schemas.openxmlformats.org/drawingml/2006/picture">
                        <pic:nvPicPr>
                          <pic:cNvPr id="134" name="图片_37"/>
                          <pic:cNvPicPr/>
                        </pic:nvPicPr>
                        <pic:blipFill>
                          <a:blip r:embed="rId125"/>
                          <a:stretch>
                            <a:fillRect/>
                          </a:stretch>
                        </pic:blipFill>
                        <pic:spPr>
                          <a:xfrm>
                            <a:off x="0" y="0"/>
                            <a:ext cx="1125855" cy="6299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79F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材质：pp,直径50，长60，厚度1.2cm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直径56，长60，厚度1.2cm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直径56，长90，厚度1.2cm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直径56，长120，厚度1.2cm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各1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EE93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D5CC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4BA9BAC0">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6FD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263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独轮翻斗车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82DA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3408" behindDoc="0" locked="0" layoutInCell="1" allowOverlap="1">
                  <wp:simplePos x="0" y="0"/>
                  <wp:positionH relativeFrom="column">
                    <wp:posOffset>436880</wp:posOffset>
                  </wp:positionH>
                  <wp:positionV relativeFrom="paragraph">
                    <wp:posOffset>281940</wp:posOffset>
                  </wp:positionV>
                  <wp:extent cx="970915" cy="10795"/>
                  <wp:effectExtent l="0" t="0" r="0" b="0"/>
                  <wp:wrapNone/>
                  <wp:docPr id="132" name="Picture_8600"/>
                  <wp:cNvGraphicFramePr/>
                  <a:graphic xmlns:a="http://schemas.openxmlformats.org/drawingml/2006/main">
                    <a:graphicData uri="http://schemas.openxmlformats.org/drawingml/2006/picture">
                      <pic:pic xmlns:pic="http://schemas.openxmlformats.org/drawingml/2006/picture">
                        <pic:nvPicPr>
                          <pic:cNvPr id="132" name="Picture_8600"/>
                          <pic:cNvPicPr/>
                        </pic:nvPicPr>
                        <pic:blipFill>
                          <a:blip r:embed="rId126"/>
                          <a:stretch>
                            <a:fillRect/>
                          </a:stretch>
                        </pic:blipFill>
                        <pic:spPr>
                          <a:xfrm>
                            <a:off x="0" y="0"/>
                            <a:ext cx="970915" cy="10795"/>
                          </a:xfrm>
                          <a:prstGeom prst="rect">
                            <a:avLst/>
                          </a:prstGeom>
                          <a:noFill/>
                          <a:ln>
                            <a:noFill/>
                          </a:ln>
                        </pic:spPr>
                      </pic:pic>
                    </a:graphicData>
                  </a:graphic>
                </wp:anchor>
              </w:drawing>
            </w: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4432" behindDoc="0" locked="0" layoutInCell="1" allowOverlap="1">
                  <wp:simplePos x="0" y="0"/>
                  <wp:positionH relativeFrom="column">
                    <wp:posOffset>495935</wp:posOffset>
                  </wp:positionH>
                  <wp:positionV relativeFrom="paragraph">
                    <wp:posOffset>170180</wp:posOffset>
                  </wp:positionV>
                  <wp:extent cx="892810" cy="646430"/>
                  <wp:effectExtent l="0" t="0" r="2540" b="1270"/>
                  <wp:wrapNone/>
                  <wp:docPr id="147" name="Picture_8600_SpCnt_1"/>
                  <wp:cNvGraphicFramePr/>
                  <a:graphic xmlns:a="http://schemas.openxmlformats.org/drawingml/2006/main">
                    <a:graphicData uri="http://schemas.openxmlformats.org/drawingml/2006/picture">
                      <pic:pic xmlns:pic="http://schemas.openxmlformats.org/drawingml/2006/picture">
                        <pic:nvPicPr>
                          <pic:cNvPr id="147" name="Picture_8600_SpCnt_1"/>
                          <pic:cNvPicPr/>
                        </pic:nvPicPr>
                        <pic:blipFill>
                          <a:blip r:embed="rId127"/>
                          <a:stretch>
                            <a:fillRect/>
                          </a:stretch>
                        </pic:blipFill>
                        <pic:spPr>
                          <a:xfrm>
                            <a:off x="0" y="0"/>
                            <a:ext cx="892810" cy="64643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5FBA">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规格</w:t>
            </w:r>
            <w:r>
              <w:rPr>
                <w:rStyle w:val="988"/>
                <w:rFonts w:hint="default"/>
                <w:color w:val="auto"/>
                <w:sz w:val="24"/>
                <w:szCs w:val="24"/>
                <w:highlight w:val="none"/>
              </w:rPr>
              <w:t>:85x35x40CM</w:t>
            </w:r>
            <w:r>
              <w:rPr>
                <w:rFonts w:hint="eastAsia" w:ascii="宋体" w:hAnsi="宋体" w:cs="宋体"/>
                <w:color w:val="auto"/>
                <w:kern w:val="0"/>
                <w:sz w:val="24"/>
                <w:highlight w:val="none"/>
              </w:rPr>
              <w:t>滚塑</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产品材料；进口工程塑料</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无毒无味</w:t>
            </w:r>
            <w:r>
              <w:rPr>
                <w:rStyle w:val="988"/>
                <w:rFonts w:hint="default"/>
                <w:color w:val="auto"/>
                <w:sz w:val="24"/>
                <w:szCs w:val="24"/>
                <w:highlight w:val="none"/>
              </w:rPr>
              <w:t>,</w:t>
            </w:r>
            <w:r>
              <w:rPr>
                <w:rFonts w:hint="eastAsia" w:ascii="宋体" w:hAnsi="宋体" w:cs="宋体"/>
                <w:color w:val="auto"/>
                <w:kern w:val="0"/>
                <w:sz w:val="24"/>
                <w:highlight w:val="none"/>
              </w:rPr>
              <w:t>颜色鲜艳</w:t>
            </w:r>
            <w:r>
              <w:rPr>
                <w:rStyle w:val="988"/>
                <w:rFonts w:hint="default"/>
                <w:color w:val="auto"/>
                <w:sz w:val="24"/>
                <w:szCs w:val="24"/>
                <w:highlight w:val="none"/>
              </w:rPr>
              <w:t>.</w:t>
            </w:r>
            <w:r>
              <w:rPr>
                <w:rStyle w:val="988"/>
                <w:rFonts w:hint="default"/>
                <w:color w:val="auto"/>
                <w:sz w:val="24"/>
                <w:szCs w:val="24"/>
                <w:highlight w:val="none"/>
              </w:rPr>
              <w:br w:type="textWrapping"/>
            </w:r>
            <w:r>
              <w:rPr>
                <w:rFonts w:hint="eastAsia" w:ascii="宋体" w:hAnsi="宋体" w:cs="宋体"/>
                <w:color w:val="auto"/>
                <w:kern w:val="0"/>
                <w:sz w:val="24"/>
                <w:highlight w:val="none"/>
              </w:rPr>
              <w:t>适合幼儿感觉统合训练器材，煅炼宝宝的身体平衡能力，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91D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BC4F">
            <w:pPr>
              <w:widowControl/>
              <w:jc w:val="center"/>
              <w:textAlignment w:val="center"/>
              <w:rPr>
                <w:rFonts w:ascii="Arial" w:hAnsi="Arial" w:eastAsia="等线" w:cs="Arial"/>
                <w:color w:val="auto"/>
                <w:sz w:val="24"/>
                <w:highlight w:val="none"/>
              </w:rPr>
            </w:pPr>
            <w:r>
              <w:rPr>
                <w:rFonts w:ascii="Arial" w:hAnsi="Arial" w:eastAsia="等线" w:cs="Arial"/>
                <w:color w:val="auto"/>
                <w:kern w:val="0"/>
                <w:sz w:val="24"/>
                <w:highlight w:val="none"/>
              </w:rPr>
              <w:t>4</w:t>
            </w:r>
          </w:p>
        </w:tc>
      </w:tr>
      <w:tr w14:paraId="4F5C3559">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129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56D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大停车架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413F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5456" behindDoc="0" locked="0" layoutInCell="1" allowOverlap="1">
                  <wp:simplePos x="0" y="0"/>
                  <wp:positionH relativeFrom="column">
                    <wp:posOffset>474980</wp:posOffset>
                  </wp:positionH>
                  <wp:positionV relativeFrom="paragraph">
                    <wp:posOffset>224790</wp:posOffset>
                  </wp:positionV>
                  <wp:extent cx="861060" cy="607695"/>
                  <wp:effectExtent l="0" t="0" r="15240" b="1905"/>
                  <wp:wrapNone/>
                  <wp:docPr id="135" name="图片_16"/>
                  <wp:cNvGraphicFramePr/>
                  <a:graphic xmlns:a="http://schemas.openxmlformats.org/drawingml/2006/main">
                    <a:graphicData uri="http://schemas.openxmlformats.org/drawingml/2006/picture">
                      <pic:pic xmlns:pic="http://schemas.openxmlformats.org/drawingml/2006/picture">
                        <pic:nvPicPr>
                          <pic:cNvPr id="135" name="图片_16"/>
                          <pic:cNvPicPr/>
                        </pic:nvPicPr>
                        <pic:blipFill>
                          <a:blip r:embed="rId128"/>
                          <a:stretch>
                            <a:fillRect/>
                          </a:stretch>
                        </pic:blipFill>
                        <pic:spPr>
                          <a:xfrm>
                            <a:off x="0" y="0"/>
                            <a:ext cx="861060" cy="60769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28A27">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1、产品材质：金属。</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2、产品尺寸：1200x210x130H 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3、产品配件：1个停车架、4个停车位。</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4、产品介绍：用来停放和支撑两轮的童车，能够让儿童童车的摆放更加整齐，养成良好的秩序感。</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007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CF3C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43568526">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2F4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136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双人脚踏车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D06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6480" behindDoc="0" locked="0" layoutInCell="1" allowOverlap="1">
                  <wp:simplePos x="0" y="0"/>
                  <wp:positionH relativeFrom="column">
                    <wp:posOffset>563245</wp:posOffset>
                  </wp:positionH>
                  <wp:positionV relativeFrom="paragraph">
                    <wp:posOffset>255270</wp:posOffset>
                  </wp:positionV>
                  <wp:extent cx="833755" cy="561340"/>
                  <wp:effectExtent l="0" t="0" r="4445" b="10160"/>
                  <wp:wrapNone/>
                  <wp:docPr id="136" name="Picture_209"/>
                  <wp:cNvGraphicFramePr/>
                  <a:graphic xmlns:a="http://schemas.openxmlformats.org/drawingml/2006/main">
                    <a:graphicData uri="http://schemas.openxmlformats.org/drawingml/2006/picture">
                      <pic:pic xmlns:pic="http://schemas.openxmlformats.org/drawingml/2006/picture">
                        <pic:nvPicPr>
                          <pic:cNvPr id="136" name="Picture_209"/>
                          <pic:cNvPicPr/>
                        </pic:nvPicPr>
                        <pic:blipFill>
                          <a:blip r:embed="rId129"/>
                          <a:stretch>
                            <a:fillRect/>
                          </a:stretch>
                        </pic:blipFill>
                        <pic:spPr>
                          <a:xfrm>
                            <a:off x="0" y="0"/>
                            <a:ext cx="833755" cy="5613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3875">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尺寸：110x55x65cm，材质：铁件，适合各种角色扮演游戏能创造不同的角色扮演游戏，坚固把手让小朋友更安全。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A76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D5A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2</w:t>
            </w:r>
          </w:p>
        </w:tc>
      </w:tr>
      <w:tr w14:paraId="08060A7D">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056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3CE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幼儿货运车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88E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7504" behindDoc="0" locked="0" layoutInCell="1" allowOverlap="1">
                  <wp:simplePos x="0" y="0"/>
                  <wp:positionH relativeFrom="column">
                    <wp:posOffset>542925</wp:posOffset>
                  </wp:positionH>
                  <wp:positionV relativeFrom="paragraph">
                    <wp:posOffset>429895</wp:posOffset>
                  </wp:positionV>
                  <wp:extent cx="819785" cy="553085"/>
                  <wp:effectExtent l="0" t="0" r="18415" b="18415"/>
                  <wp:wrapNone/>
                  <wp:docPr id="122" name="Picture_391"/>
                  <wp:cNvGraphicFramePr/>
                  <a:graphic xmlns:a="http://schemas.openxmlformats.org/drawingml/2006/main">
                    <a:graphicData uri="http://schemas.openxmlformats.org/drawingml/2006/picture">
                      <pic:pic xmlns:pic="http://schemas.openxmlformats.org/drawingml/2006/picture">
                        <pic:nvPicPr>
                          <pic:cNvPr id="122" name="Picture_391"/>
                          <pic:cNvPicPr/>
                        </pic:nvPicPr>
                        <pic:blipFill>
                          <a:blip r:embed="rId130"/>
                          <a:stretch>
                            <a:fillRect/>
                          </a:stretch>
                        </pic:blipFill>
                        <pic:spPr>
                          <a:xfrm>
                            <a:off x="0" y="0"/>
                            <a:ext cx="819785" cy="55308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EF54">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尺寸：93x56x33cm/0.17m3，材质：铁件，适合各种角色扮演游戏能创造不同的角色扮演游戏，坚固把手让小朋友更安全。</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A5E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92E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640AD0A7">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B6BA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055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三轮车-中号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C027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8528" behindDoc="0" locked="0" layoutInCell="1" allowOverlap="1">
                  <wp:simplePos x="0" y="0"/>
                  <wp:positionH relativeFrom="column">
                    <wp:posOffset>485775</wp:posOffset>
                  </wp:positionH>
                  <wp:positionV relativeFrom="paragraph">
                    <wp:posOffset>239395</wp:posOffset>
                  </wp:positionV>
                  <wp:extent cx="876935" cy="857250"/>
                  <wp:effectExtent l="0" t="0" r="18415" b="0"/>
                  <wp:wrapNone/>
                  <wp:docPr id="149" name="Picture_2473"/>
                  <wp:cNvGraphicFramePr/>
                  <a:graphic xmlns:a="http://schemas.openxmlformats.org/drawingml/2006/main">
                    <a:graphicData uri="http://schemas.openxmlformats.org/drawingml/2006/picture">
                      <pic:pic xmlns:pic="http://schemas.openxmlformats.org/drawingml/2006/picture">
                        <pic:nvPicPr>
                          <pic:cNvPr id="149" name="Picture_2473"/>
                          <pic:cNvPicPr/>
                        </pic:nvPicPr>
                        <pic:blipFill>
                          <a:blip r:embed="rId131"/>
                          <a:stretch>
                            <a:fillRect/>
                          </a:stretch>
                        </pic:blipFill>
                        <pic:spPr>
                          <a:xfrm>
                            <a:off x="0" y="0"/>
                            <a:ext cx="876935" cy="85725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F96E">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材质：铁件。尺寸：79×52×60cm。，单人骑乘，后车杆可搭载站立乘客，有站立防滑设计。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C4B5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B41BA">
            <w:pPr>
              <w:widowControl/>
              <w:jc w:val="center"/>
              <w:textAlignment w:val="center"/>
              <w:rPr>
                <w:rFonts w:ascii="Arial" w:hAnsi="Arial" w:eastAsia="等线" w:cs="Arial"/>
                <w:color w:val="auto"/>
                <w:sz w:val="24"/>
                <w:highlight w:val="none"/>
              </w:rPr>
            </w:pPr>
            <w:r>
              <w:rPr>
                <w:rFonts w:ascii="Arial" w:hAnsi="Arial" w:eastAsia="等线" w:cs="Arial"/>
                <w:color w:val="auto"/>
                <w:kern w:val="0"/>
                <w:sz w:val="24"/>
                <w:highlight w:val="none"/>
              </w:rPr>
              <w:t>2</w:t>
            </w:r>
          </w:p>
        </w:tc>
      </w:tr>
      <w:tr w14:paraId="610206F9">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7E83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173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乐动边三轮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2D1C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799552" behindDoc="0" locked="0" layoutInCell="1" allowOverlap="1">
                  <wp:simplePos x="0" y="0"/>
                  <wp:positionH relativeFrom="column">
                    <wp:posOffset>517525</wp:posOffset>
                  </wp:positionH>
                  <wp:positionV relativeFrom="paragraph">
                    <wp:posOffset>534670</wp:posOffset>
                  </wp:positionV>
                  <wp:extent cx="838835" cy="503555"/>
                  <wp:effectExtent l="0" t="0" r="18415" b="10795"/>
                  <wp:wrapNone/>
                  <wp:docPr id="126" name="Picture_1966"/>
                  <wp:cNvGraphicFramePr/>
                  <a:graphic xmlns:a="http://schemas.openxmlformats.org/drawingml/2006/main">
                    <a:graphicData uri="http://schemas.openxmlformats.org/drawingml/2006/picture">
                      <pic:pic xmlns:pic="http://schemas.openxmlformats.org/drawingml/2006/picture">
                        <pic:nvPicPr>
                          <pic:cNvPr id="126" name="Picture_1966"/>
                          <pic:cNvPicPr/>
                        </pic:nvPicPr>
                        <pic:blipFill>
                          <a:blip r:embed="rId132"/>
                          <a:stretch>
                            <a:fillRect/>
                          </a:stretch>
                        </pic:blipFill>
                        <pic:spPr>
                          <a:xfrm>
                            <a:off x="0" y="0"/>
                            <a:ext cx="838835" cy="50355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883B">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材质：铁件，90X64X39cm，适合各种角色扮演游戏能创造不同的角色扮演游戏，坚固把手让小朋友更安全。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578F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62A1F">
            <w:pPr>
              <w:widowControl/>
              <w:jc w:val="center"/>
              <w:textAlignment w:val="center"/>
              <w:rPr>
                <w:rFonts w:ascii="Arial" w:hAnsi="Arial" w:eastAsia="等线" w:cs="Arial"/>
                <w:color w:val="auto"/>
                <w:sz w:val="24"/>
                <w:highlight w:val="none"/>
              </w:rPr>
            </w:pPr>
            <w:r>
              <w:rPr>
                <w:rFonts w:ascii="Arial" w:hAnsi="Arial" w:eastAsia="等线" w:cs="Arial"/>
                <w:color w:val="auto"/>
                <w:kern w:val="0"/>
                <w:sz w:val="24"/>
                <w:highlight w:val="none"/>
              </w:rPr>
              <w:t>2</w:t>
            </w:r>
          </w:p>
        </w:tc>
      </w:tr>
      <w:tr w14:paraId="5352B58C">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08F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876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平衡车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587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800576" behindDoc="0" locked="0" layoutInCell="1" allowOverlap="1">
                  <wp:simplePos x="0" y="0"/>
                  <wp:positionH relativeFrom="column">
                    <wp:posOffset>390525</wp:posOffset>
                  </wp:positionH>
                  <wp:positionV relativeFrom="paragraph">
                    <wp:posOffset>550545</wp:posOffset>
                  </wp:positionV>
                  <wp:extent cx="723900" cy="518795"/>
                  <wp:effectExtent l="0" t="0" r="0" b="14605"/>
                  <wp:wrapNone/>
                  <wp:docPr id="127" name="Picture_12250"/>
                  <wp:cNvGraphicFramePr/>
                  <a:graphic xmlns:a="http://schemas.openxmlformats.org/drawingml/2006/main">
                    <a:graphicData uri="http://schemas.openxmlformats.org/drawingml/2006/picture">
                      <pic:pic xmlns:pic="http://schemas.openxmlformats.org/drawingml/2006/picture">
                        <pic:nvPicPr>
                          <pic:cNvPr id="127" name="Picture_12250"/>
                          <pic:cNvPicPr/>
                        </pic:nvPicPr>
                        <pic:blipFill>
                          <a:blip r:embed="rId133"/>
                          <a:stretch>
                            <a:fillRect/>
                          </a:stretch>
                        </pic:blipFill>
                        <pic:spPr>
                          <a:xfrm>
                            <a:off x="0" y="0"/>
                            <a:ext cx="723900" cy="51879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A8D4">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材质：铁件，尺寸：123x47x93cm，适合各种角色扮演游戏能创造不同的角色扮演游戏，坚固把手让小朋友更安全。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60A3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E05D">
            <w:pPr>
              <w:widowControl/>
              <w:jc w:val="center"/>
              <w:textAlignment w:val="center"/>
              <w:rPr>
                <w:rFonts w:ascii="Arial" w:hAnsi="Arial" w:eastAsia="等线" w:cs="Arial"/>
                <w:color w:val="auto"/>
                <w:sz w:val="24"/>
                <w:highlight w:val="none"/>
              </w:rPr>
            </w:pPr>
            <w:r>
              <w:rPr>
                <w:rFonts w:ascii="Arial" w:hAnsi="Arial" w:eastAsia="等线" w:cs="Arial"/>
                <w:color w:val="auto"/>
                <w:kern w:val="0"/>
                <w:sz w:val="24"/>
                <w:highlight w:val="none"/>
              </w:rPr>
              <w:t>4</w:t>
            </w:r>
          </w:p>
        </w:tc>
      </w:tr>
      <w:tr w14:paraId="0BFDA76D">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E98D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CE3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人力三轮车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785E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801600" behindDoc="0" locked="0" layoutInCell="1" allowOverlap="1">
                  <wp:simplePos x="0" y="0"/>
                  <wp:positionH relativeFrom="column">
                    <wp:posOffset>371475</wp:posOffset>
                  </wp:positionH>
                  <wp:positionV relativeFrom="paragraph">
                    <wp:posOffset>379730</wp:posOffset>
                  </wp:positionV>
                  <wp:extent cx="752475" cy="562610"/>
                  <wp:effectExtent l="0" t="0" r="9525" b="8890"/>
                  <wp:wrapNone/>
                  <wp:docPr id="148" name="图片_641"/>
                  <wp:cNvGraphicFramePr/>
                  <a:graphic xmlns:a="http://schemas.openxmlformats.org/drawingml/2006/main">
                    <a:graphicData uri="http://schemas.openxmlformats.org/drawingml/2006/picture">
                      <pic:pic xmlns:pic="http://schemas.openxmlformats.org/drawingml/2006/picture">
                        <pic:nvPicPr>
                          <pic:cNvPr id="148" name="图片_641"/>
                          <pic:cNvPicPr/>
                        </pic:nvPicPr>
                        <pic:blipFill>
                          <a:blip r:embed="rId134"/>
                          <a:stretch>
                            <a:fillRect/>
                          </a:stretch>
                        </pic:blipFill>
                        <pic:spPr>
                          <a:xfrm>
                            <a:off x="0" y="0"/>
                            <a:ext cx="752475" cy="56261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2E2F">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材质：铁件。尺寸：93×53×60cm。适合各种角色扮演游戏，可以2人骑，可搭载一名站立乘客，有站立防滑垫，能创造不同的角色扮演游戏，坚固把手让小朋友更安全。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15F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ACCA">
            <w:pPr>
              <w:widowControl/>
              <w:jc w:val="center"/>
              <w:textAlignment w:val="center"/>
              <w:rPr>
                <w:rFonts w:ascii="Arial" w:hAnsi="Arial" w:eastAsia="等线" w:cs="Arial"/>
                <w:color w:val="auto"/>
                <w:sz w:val="24"/>
                <w:highlight w:val="none"/>
              </w:rPr>
            </w:pPr>
            <w:r>
              <w:rPr>
                <w:rFonts w:ascii="Arial" w:hAnsi="Arial" w:eastAsia="等线" w:cs="Arial"/>
                <w:color w:val="auto"/>
                <w:kern w:val="0"/>
                <w:sz w:val="24"/>
                <w:highlight w:val="none"/>
              </w:rPr>
              <w:t>1</w:t>
            </w:r>
          </w:p>
        </w:tc>
      </w:tr>
      <w:tr w14:paraId="48A25CDF">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8591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943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两轮滑板车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F56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bdr w:val="single" w:color="000000" w:sz="4" w:space="0"/>
              </w:rPr>
              <w:drawing>
                <wp:anchor distT="0" distB="0" distL="114300" distR="114300" simplePos="0" relativeHeight="251802624" behindDoc="0" locked="0" layoutInCell="1" allowOverlap="1">
                  <wp:simplePos x="0" y="0"/>
                  <wp:positionH relativeFrom="column">
                    <wp:posOffset>266700</wp:posOffset>
                  </wp:positionH>
                  <wp:positionV relativeFrom="paragraph">
                    <wp:posOffset>219075</wp:posOffset>
                  </wp:positionV>
                  <wp:extent cx="1028700" cy="674370"/>
                  <wp:effectExtent l="0" t="0" r="0" b="11430"/>
                  <wp:wrapNone/>
                  <wp:docPr id="137" name="Picture_2465"/>
                  <wp:cNvGraphicFramePr/>
                  <a:graphic xmlns:a="http://schemas.openxmlformats.org/drawingml/2006/main">
                    <a:graphicData uri="http://schemas.openxmlformats.org/drawingml/2006/picture">
                      <pic:pic xmlns:pic="http://schemas.openxmlformats.org/drawingml/2006/picture">
                        <pic:nvPicPr>
                          <pic:cNvPr id="137" name="Picture_2465"/>
                          <pic:cNvPicPr/>
                        </pic:nvPicPr>
                        <pic:blipFill>
                          <a:blip r:embed="rId135"/>
                          <a:stretch>
                            <a:fillRect/>
                          </a:stretch>
                        </pic:blipFill>
                        <pic:spPr>
                          <a:xfrm>
                            <a:off x="0" y="0"/>
                            <a:ext cx="1028700" cy="67437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9B4C">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尺寸：90×47×65cm材质：铁件。适合各种角色扮演游戏能创造不同的角色扮演游戏，坚固把手让小朋友更安全。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A820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F001">
            <w:pPr>
              <w:widowControl/>
              <w:jc w:val="center"/>
              <w:textAlignment w:val="center"/>
              <w:rPr>
                <w:rFonts w:ascii="Arial" w:hAnsi="Arial" w:eastAsia="等线" w:cs="Arial"/>
                <w:color w:val="auto"/>
                <w:sz w:val="24"/>
                <w:highlight w:val="none"/>
              </w:rPr>
            </w:pPr>
            <w:r>
              <w:rPr>
                <w:rFonts w:ascii="Arial" w:hAnsi="Arial" w:eastAsia="等线" w:cs="Arial"/>
                <w:color w:val="auto"/>
                <w:kern w:val="0"/>
                <w:sz w:val="24"/>
                <w:highlight w:val="none"/>
              </w:rPr>
              <w:t>2</w:t>
            </w:r>
          </w:p>
        </w:tc>
      </w:tr>
      <w:tr w14:paraId="2CCE81E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58D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D88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沙滩道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07D96">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803648" behindDoc="0" locked="0" layoutInCell="1" allowOverlap="1">
                  <wp:simplePos x="0" y="0"/>
                  <wp:positionH relativeFrom="column">
                    <wp:posOffset>415290</wp:posOffset>
                  </wp:positionH>
                  <wp:positionV relativeFrom="paragraph">
                    <wp:posOffset>118110</wp:posOffset>
                  </wp:positionV>
                  <wp:extent cx="665480" cy="668020"/>
                  <wp:effectExtent l="0" t="0" r="1270" b="17780"/>
                  <wp:wrapNone/>
                  <wp:docPr id="138" name="图片_86"/>
                  <wp:cNvGraphicFramePr/>
                  <a:graphic xmlns:a="http://schemas.openxmlformats.org/drawingml/2006/main">
                    <a:graphicData uri="http://schemas.openxmlformats.org/drawingml/2006/picture">
                      <pic:pic xmlns:pic="http://schemas.openxmlformats.org/drawingml/2006/picture">
                        <pic:nvPicPr>
                          <pic:cNvPr id="138" name="图片_86"/>
                          <pic:cNvPicPr/>
                        </pic:nvPicPr>
                        <pic:blipFill>
                          <a:blip r:embed="rId136"/>
                          <a:stretch>
                            <a:fillRect/>
                          </a:stretch>
                        </pic:blipFill>
                        <pic:spPr>
                          <a:xfrm>
                            <a:off x="0" y="0"/>
                            <a:ext cx="665480" cy="6680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021B">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L95xW100xH9cm。采用23mm厚实木防腐木板，表面刷涂环保木蜡油两遍，甲醛释放量符合国家标准规范要求，重金属钡、铅、镉、锑、硒、铬、汞、砷等含量符合国家标准规范的要求。塑料指示牌采用户外PP材质，结构安全稳固，圆角设计，不易倾倒，符合国家标准规范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8AB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397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13580379">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FA6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9BE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减速道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9A0C">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804672" behindDoc="0" locked="0" layoutInCell="1" allowOverlap="1">
                  <wp:simplePos x="0" y="0"/>
                  <wp:positionH relativeFrom="column">
                    <wp:posOffset>481330</wp:posOffset>
                  </wp:positionH>
                  <wp:positionV relativeFrom="paragraph">
                    <wp:posOffset>176530</wp:posOffset>
                  </wp:positionV>
                  <wp:extent cx="665480" cy="668020"/>
                  <wp:effectExtent l="0" t="0" r="1270" b="17780"/>
                  <wp:wrapNone/>
                  <wp:docPr id="144" name="图片_87"/>
                  <wp:cNvGraphicFramePr/>
                  <a:graphic xmlns:a="http://schemas.openxmlformats.org/drawingml/2006/main">
                    <a:graphicData uri="http://schemas.openxmlformats.org/drawingml/2006/picture">
                      <pic:pic xmlns:pic="http://schemas.openxmlformats.org/drawingml/2006/picture">
                        <pic:nvPicPr>
                          <pic:cNvPr id="144" name="图片_87"/>
                          <pic:cNvPicPr/>
                        </pic:nvPicPr>
                        <pic:blipFill>
                          <a:blip r:embed="rId137"/>
                          <a:stretch>
                            <a:fillRect/>
                          </a:stretch>
                        </pic:blipFill>
                        <pic:spPr>
                          <a:xfrm>
                            <a:off x="0" y="0"/>
                            <a:ext cx="665480" cy="6680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6BF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L95xW100xH9cm。采用23mm厚实木防腐木板，表面刷涂环保木蜡油两遍，甲醛释放量符合国家标准规范的要求，重金属钡、铅、镉、锑、硒、铬、汞、砷等含量符合国家标准规范的要求。塑料指示牌采用户外PP材质，减速带采用安全塑料。结构安全稳固，圆角设计，不易倾倒，符合国家标准规范的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D2D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46B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35BCBF2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B54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8E0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左右坡道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D65F">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805696" behindDoc="0" locked="0" layoutInCell="1" allowOverlap="1">
                  <wp:simplePos x="0" y="0"/>
                  <wp:positionH relativeFrom="column">
                    <wp:posOffset>519430</wp:posOffset>
                  </wp:positionH>
                  <wp:positionV relativeFrom="paragraph">
                    <wp:posOffset>113030</wp:posOffset>
                  </wp:positionV>
                  <wp:extent cx="665480" cy="668020"/>
                  <wp:effectExtent l="0" t="0" r="1270" b="17780"/>
                  <wp:wrapNone/>
                  <wp:docPr id="123" name="图片_88"/>
                  <wp:cNvGraphicFramePr/>
                  <a:graphic xmlns:a="http://schemas.openxmlformats.org/drawingml/2006/main">
                    <a:graphicData uri="http://schemas.openxmlformats.org/drawingml/2006/picture">
                      <pic:pic xmlns:pic="http://schemas.openxmlformats.org/drawingml/2006/picture">
                        <pic:nvPicPr>
                          <pic:cNvPr id="123" name="图片_88"/>
                          <pic:cNvPicPr/>
                        </pic:nvPicPr>
                        <pic:blipFill>
                          <a:blip r:embed="rId138"/>
                          <a:stretch>
                            <a:fillRect/>
                          </a:stretch>
                        </pic:blipFill>
                        <pic:spPr>
                          <a:xfrm>
                            <a:off x="0" y="0"/>
                            <a:ext cx="665480" cy="6680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58B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L95xW100xH13.5cm。采用23mm厚实木防腐木板，表面刷涂环保木蜡油两遍，甲醛释放量符合国家标准规范的要求，重金属钡、铅、镉、锑、硒、铬、汞、砷等含量符合国家标准规范的要求。塑料指示牌采用户外PP材质，减速带采用安全塑料。结构安全稳固，圆角设计，不易倾倒，符合国家标准规范的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574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3F8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712FC06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C98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D108">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拱桥道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6D5D">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806720" behindDoc="0" locked="0" layoutInCell="1" allowOverlap="1">
                  <wp:simplePos x="0" y="0"/>
                  <wp:positionH relativeFrom="column">
                    <wp:posOffset>377190</wp:posOffset>
                  </wp:positionH>
                  <wp:positionV relativeFrom="paragraph">
                    <wp:posOffset>170180</wp:posOffset>
                  </wp:positionV>
                  <wp:extent cx="666115" cy="668020"/>
                  <wp:effectExtent l="0" t="0" r="0" b="0"/>
                  <wp:wrapNone/>
                  <wp:docPr id="124" name="AutoShape_883_SpCnt_1"/>
                  <wp:cNvGraphicFramePr/>
                  <a:graphic xmlns:a="http://schemas.openxmlformats.org/drawingml/2006/main">
                    <a:graphicData uri="http://schemas.openxmlformats.org/drawingml/2006/picture">
                      <pic:pic xmlns:pic="http://schemas.openxmlformats.org/drawingml/2006/picture">
                        <pic:nvPicPr>
                          <pic:cNvPr id="124" name="AutoShape_883_SpCnt_1"/>
                          <pic:cNvPicPr/>
                        </pic:nvPicPr>
                        <pic:blipFill>
                          <a:blip r:embed="rId75"/>
                          <a:stretch>
                            <a:fillRect/>
                          </a:stretch>
                        </pic:blipFill>
                        <pic:spPr>
                          <a:xfrm>
                            <a:off x="0" y="0"/>
                            <a:ext cx="666115" cy="668020"/>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807744" behindDoc="0" locked="0" layoutInCell="1" allowOverlap="1">
                  <wp:simplePos x="0" y="0"/>
                  <wp:positionH relativeFrom="column">
                    <wp:posOffset>611505</wp:posOffset>
                  </wp:positionH>
                  <wp:positionV relativeFrom="paragraph">
                    <wp:posOffset>123190</wp:posOffset>
                  </wp:positionV>
                  <wp:extent cx="666115" cy="664845"/>
                  <wp:effectExtent l="0" t="0" r="635" b="1905"/>
                  <wp:wrapNone/>
                  <wp:docPr id="179" name="图片_89"/>
                  <wp:cNvGraphicFramePr/>
                  <a:graphic xmlns:a="http://schemas.openxmlformats.org/drawingml/2006/main">
                    <a:graphicData uri="http://schemas.openxmlformats.org/drawingml/2006/picture">
                      <pic:pic xmlns:pic="http://schemas.openxmlformats.org/drawingml/2006/picture">
                        <pic:nvPicPr>
                          <pic:cNvPr id="179" name="图片_89"/>
                          <pic:cNvPicPr/>
                        </pic:nvPicPr>
                        <pic:blipFill>
                          <a:blip r:embed="rId139"/>
                          <a:stretch>
                            <a:fillRect/>
                          </a:stretch>
                        </pic:blipFill>
                        <pic:spPr>
                          <a:xfrm>
                            <a:off x="0" y="0"/>
                            <a:ext cx="666115" cy="66484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48CB">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材质：防腐松木+铁件+PE板</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尺寸：L120xW100xH32cm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采用22mm厚防腐松木，表面刷涂环保木蜡油两遍，甲醛释放量符合国家标准规范的要求，重金属钡、铅、镉、锑、硒、铬、汞、砷等含量符合国家标准规范的要求。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C1A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73C6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1F0E2A4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C4CC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780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隧道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0F216">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808768" behindDoc="0" locked="0" layoutInCell="1" allowOverlap="1">
                  <wp:simplePos x="0" y="0"/>
                  <wp:positionH relativeFrom="column">
                    <wp:posOffset>595630</wp:posOffset>
                  </wp:positionH>
                  <wp:positionV relativeFrom="paragraph">
                    <wp:posOffset>186690</wp:posOffset>
                  </wp:positionV>
                  <wp:extent cx="666115" cy="664845"/>
                  <wp:effectExtent l="0" t="0" r="635" b="1905"/>
                  <wp:wrapNone/>
                  <wp:docPr id="157" name="图片_90"/>
                  <wp:cNvGraphicFramePr/>
                  <a:graphic xmlns:a="http://schemas.openxmlformats.org/drawingml/2006/main">
                    <a:graphicData uri="http://schemas.openxmlformats.org/drawingml/2006/picture">
                      <pic:pic xmlns:pic="http://schemas.openxmlformats.org/drawingml/2006/picture">
                        <pic:nvPicPr>
                          <pic:cNvPr id="157" name="图片_90"/>
                          <pic:cNvPicPr/>
                        </pic:nvPicPr>
                        <pic:blipFill>
                          <a:blip r:embed="rId140"/>
                          <a:stretch>
                            <a:fillRect/>
                          </a:stretch>
                        </pic:blipFill>
                        <pic:spPr>
                          <a:xfrm>
                            <a:off x="0" y="0"/>
                            <a:ext cx="666115" cy="66484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5069">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95×106×130cm。采用23mm厚实木防腐木板，表面刷涂环保木蜡油两遍，甲醛释放量符合国家标准规范的要求，重金属钡、铅、镉、锑、硒、铬、汞、砷等含量符合国家标准规范的要求。隧道顶棚采用镀锌管烤漆弯制而成，上覆盖户外抗紫外防雨布。结构安全稳固，圆角设计，不易倾倒，符合国家标准规范的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22F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1D5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60DA2356">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0EC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7CD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户外亭子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E4BF">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809792" behindDoc="0" locked="0" layoutInCell="1" allowOverlap="1">
                  <wp:simplePos x="0" y="0"/>
                  <wp:positionH relativeFrom="column">
                    <wp:posOffset>669925</wp:posOffset>
                  </wp:positionH>
                  <wp:positionV relativeFrom="paragraph">
                    <wp:posOffset>174625</wp:posOffset>
                  </wp:positionV>
                  <wp:extent cx="619125" cy="622300"/>
                  <wp:effectExtent l="0" t="0" r="9525" b="6350"/>
                  <wp:wrapNone/>
                  <wp:docPr id="172" name="Picture_2943"/>
                  <wp:cNvGraphicFramePr/>
                  <a:graphic xmlns:a="http://schemas.openxmlformats.org/drawingml/2006/main">
                    <a:graphicData uri="http://schemas.openxmlformats.org/drawingml/2006/picture">
                      <pic:pic xmlns:pic="http://schemas.openxmlformats.org/drawingml/2006/picture">
                        <pic:nvPicPr>
                          <pic:cNvPr id="172" name="Picture_2943"/>
                          <pic:cNvPicPr/>
                        </pic:nvPicPr>
                        <pic:blipFill>
                          <a:blip r:embed="rId141"/>
                          <a:stretch>
                            <a:fillRect/>
                          </a:stretch>
                        </pic:blipFill>
                        <pic:spPr>
                          <a:xfrm>
                            <a:off x="0" y="0"/>
                            <a:ext cx="619125" cy="62230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C920">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120×80×185cm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采用23mm厚实木防腐木板，表面刷涂环保木蜡油两遍，甲醛释放量符合国家标准规范的要求，重金属钡、铅、镉、锑、硒、铬、汞、砷等含量符合国家标准规范的要求。塑料指示牌采用户外PP材质，减速带采用安全塑料。结构安全稳固，圆角设计，不易倾倒，符合国家标准规范的要求。</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C6E3">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4DE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1E3E43DA">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43AD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119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FDC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户外亭子顶棚（停车场）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8FD9D">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810816" behindDoc="0" locked="0" layoutInCell="1" allowOverlap="1">
                  <wp:simplePos x="0" y="0"/>
                  <wp:positionH relativeFrom="column">
                    <wp:posOffset>680085</wp:posOffset>
                  </wp:positionH>
                  <wp:positionV relativeFrom="paragraph">
                    <wp:posOffset>295910</wp:posOffset>
                  </wp:positionV>
                  <wp:extent cx="571500" cy="572135"/>
                  <wp:effectExtent l="0" t="0" r="0" b="18415"/>
                  <wp:wrapNone/>
                  <wp:docPr id="154" name="Picture_2944"/>
                  <wp:cNvGraphicFramePr/>
                  <a:graphic xmlns:a="http://schemas.openxmlformats.org/drawingml/2006/main">
                    <a:graphicData uri="http://schemas.openxmlformats.org/drawingml/2006/picture">
                      <pic:pic xmlns:pic="http://schemas.openxmlformats.org/drawingml/2006/picture">
                        <pic:nvPicPr>
                          <pic:cNvPr id="154" name="Picture_2944"/>
                          <pic:cNvPicPr/>
                        </pic:nvPicPr>
                        <pic:blipFill>
                          <a:blip r:embed="rId142"/>
                          <a:stretch>
                            <a:fillRect/>
                          </a:stretch>
                        </pic:blipFill>
                        <pic:spPr>
                          <a:xfrm>
                            <a:off x="0" y="0"/>
                            <a:ext cx="571500" cy="57213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A04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材质：防水布，130*90*195cm，色彩艳丽，抗紫外光（UV）能力达到8级，抗静电能力强，安全环保，耐候性好，强度高。</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B5B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18A9">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1115752E">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82F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D25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户外充电装置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6F77">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bdr w:val="single" w:color="000000" w:sz="4" w:space="0"/>
              </w:rPr>
              <w:drawing>
                <wp:anchor distT="0" distB="0" distL="114300" distR="114300" simplePos="0" relativeHeight="251811840" behindDoc="0" locked="0" layoutInCell="1" allowOverlap="1">
                  <wp:simplePos x="0" y="0"/>
                  <wp:positionH relativeFrom="column">
                    <wp:posOffset>233045</wp:posOffset>
                  </wp:positionH>
                  <wp:positionV relativeFrom="paragraph">
                    <wp:posOffset>154940</wp:posOffset>
                  </wp:positionV>
                  <wp:extent cx="952500" cy="954405"/>
                  <wp:effectExtent l="0" t="0" r="0" b="0"/>
                  <wp:wrapNone/>
                  <wp:docPr id="176" name="AutoShape_2208_SpCnt_4"/>
                  <wp:cNvGraphicFramePr/>
                  <a:graphic xmlns:a="http://schemas.openxmlformats.org/drawingml/2006/main">
                    <a:graphicData uri="http://schemas.openxmlformats.org/drawingml/2006/picture">
                      <pic:pic xmlns:pic="http://schemas.openxmlformats.org/drawingml/2006/picture">
                        <pic:nvPicPr>
                          <pic:cNvPr id="176" name="AutoShape_2208_SpCnt_4"/>
                          <pic:cNvPicPr/>
                        </pic:nvPicPr>
                        <pic:blipFill>
                          <a:blip r:embed="rId143"/>
                          <a:stretch>
                            <a:fillRect/>
                          </a:stretch>
                        </pic:blipFill>
                        <pic:spPr>
                          <a:xfrm>
                            <a:off x="0" y="0"/>
                            <a:ext cx="952500" cy="954405"/>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812864" behindDoc="0" locked="0" layoutInCell="1" allowOverlap="1">
                  <wp:simplePos x="0" y="0"/>
                  <wp:positionH relativeFrom="column">
                    <wp:posOffset>233045</wp:posOffset>
                  </wp:positionH>
                  <wp:positionV relativeFrom="paragraph">
                    <wp:posOffset>154940</wp:posOffset>
                  </wp:positionV>
                  <wp:extent cx="952500" cy="954405"/>
                  <wp:effectExtent l="0" t="0" r="0" b="0"/>
                  <wp:wrapNone/>
                  <wp:docPr id="161" name="AutoShape_2208_SpCnt_5"/>
                  <wp:cNvGraphicFramePr/>
                  <a:graphic xmlns:a="http://schemas.openxmlformats.org/drawingml/2006/main">
                    <a:graphicData uri="http://schemas.openxmlformats.org/drawingml/2006/picture">
                      <pic:pic xmlns:pic="http://schemas.openxmlformats.org/drawingml/2006/picture">
                        <pic:nvPicPr>
                          <pic:cNvPr id="161" name="AutoShape_2208_SpCnt_5"/>
                          <pic:cNvPicPr/>
                        </pic:nvPicPr>
                        <pic:blipFill>
                          <a:blip r:embed="rId143"/>
                          <a:stretch>
                            <a:fillRect/>
                          </a:stretch>
                        </pic:blipFill>
                        <pic:spPr>
                          <a:xfrm>
                            <a:off x="0" y="0"/>
                            <a:ext cx="952500" cy="954405"/>
                          </a:xfrm>
                          <a:prstGeom prst="rect">
                            <a:avLst/>
                          </a:prstGeom>
                          <a:noFill/>
                          <a:ln>
                            <a:noFill/>
                          </a:ln>
                        </pic:spPr>
                      </pic:pic>
                    </a:graphicData>
                  </a:graphic>
                </wp:anchor>
              </w:drawing>
            </w:r>
            <w:r>
              <w:rPr>
                <w:rFonts w:hint="eastAsia" w:ascii="等线" w:hAnsi="等线" w:eastAsia="等线" w:cs="等线"/>
                <w:color w:val="auto"/>
                <w:kern w:val="0"/>
                <w:sz w:val="24"/>
                <w:highlight w:val="none"/>
                <w:bdr w:val="single" w:color="000000" w:sz="4" w:space="0"/>
              </w:rPr>
              <w:drawing>
                <wp:anchor distT="0" distB="0" distL="114300" distR="114300" simplePos="0" relativeHeight="251813888" behindDoc="0" locked="0" layoutInCell="1" allowOverlap="1">
                  <wp:simplePos x="0" y="0"/>
                  <wp:positionH relativeFrom="column">
                    <wp:posOffset>393700</wp:posOffset>
                  </wp:positionH>
                  <wp:positionV relativeFrom="paragraph">
                    <wp:posOffset>324485</wp:posOffset>
                  </wp:positionV>
                  <wp:extent cx="768350" cy="491490"/>
                  <wp:effectExtent l="0" t="0" r="12700" b="3810"/>
                  <wp:wrapNone/>
                  <wp:docPr id="156" name="图片_93"/>
                  <wp:cNvGraphicFramePr/>
                  <a:graphic xmlns:a="http://schemas.openxmlformats.org/drawingml/2006/main">
                    <a:graphicData uri="http://schemas.openxmlformats.org/drawingml/2006/picture">
                      <pic:pic xmlns:pic="http://schemas.openxmlformats.org/drawingml/2006/picture">
                        <pic:nvPicPr>
                          <pic:cNvPr id="156" name="图片_93"/>
                          <pic:cNvPicPr/>
                        </pic:nvPicPr>
                        <pic:blipFill>
                          <a:blip r:embed="rId144"/>
                          <a:stretch>
                            <a:fillRect/>
                          </a:stretch>
                        </pic:blipFill>
                        <pic:spPr>
                          <a:xfrm>
                            <a:off x="0" y="0"/>
                            <a:ext cx="768350" cy="49149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2619">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L83xW38xH60cm；材质：防腐松木+安全塑料。采用23mm厚防腐松木，表面刷涂环保木蜡油两遍，五金件选用环保五金，安全无毒。重金属钡、铅、镉、锑、硒、铬、汞、砷等含量符合国家标准规范4的要求。结构安全稳固，圆角设计，不易倾倒。</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163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A07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1</w:t>
            </w:r>
          </w:p>
        </w:tc>
      </w:tr>
      <w:tr w14:paraId="690642EF">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FB9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648B">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组合爬梯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549C">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14912" behindDoc="0" locked="0" layoutInCell="1" allowOverlap="1">
                  <wp:simplePos x="0" y="0"/>
                  <wp:positionH relativeFrom="column">
                    <wp:posOffset>266700</wp:posOffset>
                  </wp:positionH>
                  <wp:positionV relativeFrom="paragraph">
                    <wp:posOffset>195580</wp:posOffset>
                  </wp:positionV>
                  <wp:extent cx="1036320" cy="657225"/>
                  <wp:effectExtent l="0" t="0" r="11430" b="9525"/>
                  <wp:wrapNone/>
                  <wp:docPr id="162" name="图片_24_SpCnt_1"/>
                  <wp:cNvGraphicFramePr/>
                  <a:graphic xmlns:a="http://schemas.openxmlformats.org/drawingml/2006/main">
                    <a:graphicData uri="http://schemas.openxmlformats.org/drawingml/2006/picture">
                      <pic:pic xmlns:pic="http://schemas.openxmlformats.org/drawingml/2006/picture">
                        <pic:nvPicPr>
                          <pic:cNvPr id="162" name="图片_24_SpCnt_1"/>
                          <pic:cNvPicPr/>
                        </pic:nvPicPr>
                        <pic:blipFill>
                          <a:blip r:embed="rId145"/>
                          <a:stretch>
                            <a:fillRect/>
                          </a:stretch>
                        </pic:blipFill>
                        <pic:spPr>
                          <a:xfrm>
                            <a:off x="0" y="0"/>
                            <a:ext cx="1036320" cy="65722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2057">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规格：16件/套。大A型架67*40*100cm,小A型架57*35*80cm,走梯：180*35cm,独木桥：180*18cm,材质：碳化木，木油浸泡，表面PU封固，</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均经过刨光、砂光、倒角、圆角处理，成品无毛刺、无裂纹，接缝自然，无明显缺口和缝隙；喷漆均匀，表面漆膜平整光亮、无皱皮、发粘和漏漆 现象。油漆采用环保净味油漆，三底两面，均为整体喷涂漆面，榫接部分采用环保白乳胶做加固处理。环保要求：甲醛释放≤1.5mg/L。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E754">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94BE3">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1</w:t>
            </w:r>
          </w:p>
        </w:tc>
      </w:tr>
      <w:tr w14:paraId="20F090F9">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4B5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C74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动力火车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89460">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15936" behindDoc="0" locked="0" layoutInCell="1" allowOverlap="1">
                  <wp:simplePos x="0" y="0"/>
                  <wp:positionH relativeFrom="column">
                    <wp:posOffset>200025</wp:posOffset>
                  </wp:positionH>
                  <wp:positionV relativeFrom="paragraph">
                    <wp:posOffset>128905</wp:posOffset>
                  </wp:positionV>
                  <wp:extent cx="1263015" cy="710565"/>
                  <wp:effectExtent l="0" t="0" r="13335" b="13335"/>
                  <wp:wrapNone/>
                  <wp:docPr id="173" name="图片_3_SpCnt_3"/>
                  <wp:cNvGraphicFramePr/>
                  <a:graphic xmlns:a="http://schemas.openxmlformats.org/drawingml/2006/main">
                    <a:graphicData uri="http://schemas.openxmlformats.org/drawingml/2006/picture">
                      <pic:pic xmlns:pic="http://schemas.openxmlformats.org/drawingml/2006/picture">
                        <pic:nvPicPr>
                          <pic:cNvPr id="173" name="图片_3_SpCnt_3"/>
                          <pic:cNvPicPr/>
                        </pic:nvPicPr>
                        <pic:blipFill>
                          <a:blip r:embed="rId146"/>
                          <a:stretch>
                            <a:fillRect/>
                          </a:stretch>
                        </pic:blipFill>
                        <pic:spPr>
                          <a:xfrm>
                            <a:off x="0" y="0"/>
                            <a:ext cx="1263015" cy="71056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D702">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材质: pe板材、</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尺寸：车60＊40cm：2个，车80＊40cm：2个，车80＊60cm：1个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B0215">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8A75">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1</w:t>
            </w:r>
          </w:p>
        </w:tc>
      </w:tr>
      <w:tr w14:paraId="2D3D9F16">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262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C6A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汽修工厂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7F47">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16960" behindDoc="0" locked="0" layoutInCell="1" allowOverlap="1">
                  <wp:simplePos x="0" y="0"/>
                  <wp:positionH relativeFrom="column">
                    <wp:posOffset>379730</wp:posOffset>
                  </wp:positionH>
                  <wp:positionV relativeFrom="paragraph">
                    <wp:posOffset>98425</wp:posOffset>
                  </wp:positionV>
                  <wp:extent cx="922655" cy="913130"/>
                  <wp:effectExtent l="0" t="0" r="10795" b="1270"/>
                  <wp:wrapNone/>
                  <wp:docPr id="180" name="Picture_25309"/>
                  <wp:cNvGraphicFramePr/>
                  <a:graphic xmlns:a="http://schemas.openxmlformats.org/drawingml/2006/main">
                    <a:graphicData uri="http://schemas.openxmlformats.org/drawingml/2006/picture">
                      <pic:pic xmlns:pic="http://schemas.openxmlformats.org/drawingml/2006/picture">
                        <pic:nvPicPr>
                          <pic:cNvPr id="180" name="Picture_25309"/>
                          <pic:cNvPicPr/>
                        </pic:nvPicPr>
                        <pic:blipFill>
                          <a:blip r:embed="rId147"/>
                          <a:stretch>
                            <a:fillRect/>
                          </a:stretch>
                        </pic:blipFill>
                        <pic:spPr>
                          <a:xfrm>
                            <a:off x="0" y="0"/>
                            <a:ext cx="922655" cy="91313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36E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汽车工厂：材质：荷木+榉木  ，可组装成货车、吉普车、消防车、敞篷车、警车、救护车、校车、工程车。  </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蓝色木片带弧度*2片 124*74mm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绿色木片带弧度*2片 124*74mm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黄色木片带弧度*2片 124*74mm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橙色木片带弧度*2片 124*74mm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蓝色木片*1片 124*74mm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绿色木片*1片 124*74mm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黄色木片*1片 124*74mm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橙色木片*1片 124*74mm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圆形木扣*4  D35，厚度9mm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螺母连接杆五孔*4根  178*30*10mm </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汽车木质轮胎*8   D58 厚度9cm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木质螺丝*6  25*29*75mm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木质螺帽*6 25*29*15mm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底板*1   300*220mm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层板*1  300*220mm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工具收纳板一号*1  145*220*10mm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工具收纳板二号*1  145*220*15mm</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xml:space="preserve">六角螺丝起*1  50*125*23*9mm </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十字螺丝起*1  16*115mm D25mm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E6EE">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9E113">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4</w:t>
            </w:r>
          </w:p>
        </w:tc>
      </w:tr>
      <w:tr w14:paraId="52694129">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B1D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132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275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幼儿四色跳箱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0AF5">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17984" behindDoc="0" locked="0" layoutInCell="1" allowOverlap="1">
                  <wp:simplePos x="0" y="0"/>
                  <wp:positionH relativeFrom="column">
                    <wp:posOffset>187960</wp:posOffset>
                  </wp:positionH>
                  <wp:positionV relativeFrom="paragraph">
                    <wp:posOffset>325755</wp:posOffset>
                  </wp:positionV>
                  <wp:extent cx="1028700" cy="693420"/>
                  <wp:effectExtent l="0" t="0" r="0" b="11430"/>
                  <wp:wrapNone/>
                  <wp:docPr id="163" name="图片_24_SpCnt_2"/>
                  <wp:cNvGraphicFramePr/>
                  <a:graphic xmlns:a="http://schemas.openxmlformats.org/drawingml/2006/main">
                    <a:graphicData uri="http://schemas.openxmlformats.org/drawingml/2006/picture">
                      <pic:pic xmlns:pic="http://schemas.openxmlformats.org/drawingml/2006/picture">
                        <pic:nvPicPr>
                          <pic:cNvPr id="163" name="图片_24_SpCnt_2"/>
                          <pic:cNvPicPr/>
                        </pic:nvPicPr>
                        <pic:blipFill>
                          <a:blip r:embed="rId148"/>
                          <a:stretch>
                            <a:fillRect/>
                          </a:stretch>
                        </pic:blipFill>
                        <pic:spPr>
                          <a:xfrm>
                            <a:off x="0" y="0"/>
                            <a:ext cx="1028700" cy="69342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5EEA">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一套包含4块垫子，分为黄色、蓝色、绿色和灰色，高度分别是10cm、20cm、30cm、40cm、每一只垫子上有大大的白色数字，代表不同的高度，小朋友们可以根据跳跃能力选择不同的跳箱，并激励孩子向更高的箱子上进行跳跃。跳箱两边有把手以及两条魔术粘，可以让任意两个跳箱叠加固定，进行攀爬游戏或团队游戏都是不错的选择。尺寸75*60*10/20/30/40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7441">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41B8">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1</w:t>
            </w:r>
          </w:p>
        </w:tc>
      </w:tr>
      <w:tr w14:paraId="7328BFA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1ED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133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729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长条木板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0E2C">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19008" behindDoc="0" locked="0" layoutInCell="1" allowOverlap="1">
                  <wp:simplePos x="0" y="0"/>
                  <wp:positionH relativeFrom="column">
                    <wp:posOffset>212725</wp:posOffset>
                  </wp:positionH>
                  <wp:positionV relativeFrom="paragraph">
                    <wp:posOffset>512445</wp:posOffset>
                  </wp:positionV>
                  <wp:extent cx="1098550" cy="251460"/>
                  <wp:effectExtent l="0" t="0" r="6350" b="15240"/>
                  <wp:wrapNone/>
                  <wp:docPr id="178" name="图片_5_SpCnt_4"/>
                  <wp:cNvGraphicFramePr/>
                  <a:graphic xmlns:a="http://schemas.openxmlformats.org/drawingml/2006/main">
                    <a:graphicData uri="http://schemas.openxmlformats.org/drawingml/2006/picture">
                      <pic:pic xmlns:pic="http://schemas.openxmlformats.org/drawingml/2006/picture">
                        <pic:nvPicPr>
                          <pic:cNvPr id="178" name="图片_5_SpCnt_4"/>
                          <pic:cNvPicPr/>
                        </pic:nvPicPr>
                        <pic:blipFill>
                          <a:blip r:embed="rId149"/>
                          <a:stretch>
                            <a:fillRect/>
                          </a:stretch>
                        </pic:blipFill>
                        <pic:spPr>
                          <a:xfrm>
                            <a:off x="0" y="0"/>
                            <a:ext cx="1098550" cy="2514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A128">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rPr>
              <w:t>1200×190×25新西兰松木清漆，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585EB">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05D1">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2</w:t>
            </w:r>
          </w:p>
        </w:tc>
      </w:tr>
      <w:tr w14:paraId="42CC9381">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630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134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032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长条木板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E832">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0032" behindDoc="0" locked="0" layoutInCell="1" allowOverlap="1">
                  <wp:simplePos x="0" y="0"/>
                  <wp:positionH relativeFrom="column">
                    <wp:posOffset>301625</wp:posOffset>
                  </wp:positionH>
                  <wp:positionV relativeFrom="paragraph">
                    <wp:posOffset>521335</wp:posOffset>
                  </wp:positionV>
                  <wp:extent cx="1003300" cy="299085"/>
                  <wp:effectExtent l="0" t="0" r="6350" b="5715"/>
                  <wp:wrapNone/>
                  <wp:docPr id="174" name="图片_7_SpCnt_3"/>
                  <wp:cNvGraphicFramePr/>
                  <a:graphic xmlns:a="http://schemas.openxmlformats.org/drawingml/2006/main">
                    <a:graphicData uri="http://schemas.openxmlformats.org/drawingml/2006/picture">
                      <pic:pic xmlns:pic="http://schemas.openxmlformats.org/drawingml/2006/picture">
                        <pic:nvPicPr>
                          <pic:cNvPr id="174" name="图片_7_SpCnt_3"/>
                          <pic:cNvPicPr/>
                        </pic:nvPicPr>
                        <pic:blipFill>
                          <a:blip r:embed="rId149"/>
                          <a:stretch>
                            <a:fillRect/>
                          </a:stretch>
                        </pic:blipFill>
                        <pic:spPr>
                          <a:xfrm>
                            <a:off x="0" y="0"/>
                            <a:ext cx="1003300" cy="29908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4B2C6">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rPr>
              <w:t>1400×190×25新西兰松木清漆，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9571">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4953F">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3</w:t>
            </w:r>
          </w:p>
        </w:tc>
      </w:tr>
      <w:tr w14:paraId="3D6FBFD6">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E3D6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135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56E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长条木板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59D4">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1056" behindDoc="0" locked="0" layoutInCell="1" allowOverlap="1">
                  <wp:simplePos x="0" y="0"/>
                  <wp:positionH relativeFrom="column">
                    <wp:posOffset>234315</wp:posOffset>
                  </wp:positionH>
                  <wp:positionV relativeFrom="paragraph">
                    <wp:posOffset>385445</wp:posOffset>
                  </wp:positionV>
                  <wp:extent cx="869950" cy="410845"/>
                  <wp:effectExtent l="0" t="0" r="6350" b="8255"/>
                  <wp:wrapNone/>
                  <wp:docPr id="175" name="图片_9"/>
                  <wp:cNvGraphicFramePr/>
                  <a:graphic xmlns:a="http://schemas.openxmlformats.org/drawingml/2006/main">
                    <a:graphicData uri="http://schemas.openxmlformats.org/drawingml/2006/picture">
                      <pic:pic xmlns:pic="http://schemas.openxmlformats.org/drawingml/2006/picture">
                        <pic:nvPicPr>
                          <pic:cNvPr id="175" name="图片_9"/>
                          <pic:cNvPicPr/>
                        </pic:nvPicPr>
                        <pic:blipFill>
                          <a:blip r:embed="rId150"/>
                          <a:stretch>
                            <a:fillRect/>
                          </a:stretch>
                        </pic:blipFill>
                        <pic:spPr>
                          <a:xfrm>
                            <a:off x="0" y="0"/>
                            <a:ext cx="869950" cy="41084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6987">
            <w:pPr>
              <w:widowControl/>
              <w:jc w:val="left"/>
              <w:textAlignment w:val="center"/>
              <w:rPr>
                <w:rFonts w:ascii="等线" w:hAnsi="等线" w:eastAsia="等线" w:cs="等线"/>
                <w:color w:val="auto"/>
                <w:sz w:val="24"/>
                <w:highlight w:val="none"/>
              </w:rPr>
            </w:pPr>
            <w:r>
              <w:rPr>
                <w:rFonts w:hint="eastAsia" w:ascii="等线" w:hAnsi="等线" w:eastAsia="等线" w:cs="等线"/>
                <w:color w:val="auto"/>
                <w:kern w:val="0"/>
                <w:sz w:val="24"/>
                <w:highlight w:val="none"/>
              </w:rPr>
              <w:t>1980×190×25新西兰松木清漆，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5505">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CAC7">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2</w:t>
            </w:r>
          </w:p>
        </w:tc>
      </w:tr>
      <w:tr w14:paraId="33358C7B">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3FC1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136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72B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梯子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EE6CD">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2080" behindDoc="0" locked="0" layoutInCell="1" allowOverlap="1">
                  <wp:simplePos x="0" y="0"/>
                  <wp:positionH relativeFrom="column">
                    <wp:posOffset>234315</wp:posOffset>
                  </wp:positionH>
                  <wp:positionV relativeFrom="paragraph">
                    <wp:posOffset>168910</wp:posOffset>
                  </wp:positionV>
                  <wp:extent cx="1002030" cy="730250"/>
                  <wp:effectExtent l="0" t="0" r="7620" b="12700"/>
                  <wp:wrapNone/>
                  <wp:docPr id="159" name="图片_10_SpCnt_2"/>
                  <wp:cNvGraphicFramePr/>
                  <a:graphic xmlns:a="http://schemas.openxmlformats.org/drawingml/2006/main">
                    <a:graphicData uri="http://schemas.openxmlformats.org/drawingml/2006/picture">
                      <pic:pic xmlns:pic="http://schemas.openxmlformats.org/drawingml/2006/picture">
                        <pic:nvPicPr>
                          <pic:cNvPr id="159" name="图片_10_SpCnt_2"/>
                          <pic:cNvPicPr/>
                        </pic:nvPicPr>
                        <pic:blipFill>
                          <a:blip r:embed="rId151"/>
                          <a:stretch>
                            <a:fillRect/>
                          </a:stretch>
                        </pic:blipFill>
                        <pic:spPr>
                          <a:xfrm>
                            <a:off x="0" y="0"/>
                            <a:ext cx="1002030" cy="73025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E6CC">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高:1000，高:600cm、材质：新西兰松、清漆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D9C0F">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05786">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2</w:t>
            </w:r>
          </w:p>
        </w:tc>
      </w:tr>
      <w:tr w14:paraId="5FD6D16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B221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137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E607">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梯子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5D0D">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3104" behindDoc="0" locked="0" layoutInCell="1" allowOverlap="1">
                  <wp:simplePos x="0" y="0"/>
                  <wp:positionH relativeFrom="column">
                    <wp:posOffset>245745</wp:posOffset>
                  </wp:positionH>
                  <wp:positionV relativeFrom="paragraph">
                    <wp:posOffset>572770</wp:posOffset>
                  </wp:positionV>
                  <wp:extent cx="1286510" cy="382905"/>
                  <wp:effectExtent l="0" t="0" r="8890" b="17145"/>
                  <wp:wrapNone/>
                  <wp:docPr id="177" name="图片_13_SpCnt_2"/>
                  <wp:cNvGraphicFramePr/>
                  <a:graphic xmlns:a="http://schemas.openxmlformats.org/drawingml/2006/main">
                    <a:graphicData uri="http://schemas.openxmlformats.org/drawingml/2006/picture">
                      <pic:pic xmlns:pic="http://schemas.openxmlformats.org/drawingml/2006/picture">
                        <pic:nvPicPr>
                          <pic:cNvPr id="177" name="图片_13_SpCnt_2"/>
                          <pic:cNvPicPr/>
                        </pic:nvPicPr>
                        <pic:blipFill>
                          <a:blip r:embed="rId152"/>
                          <a:stretch>
                            <a:fillRect/>
                          </a:stretch>
                        </pic:blipFill>
                        <pic:spPr>
                          <a:xfrm>
                            <a:off x="0" y="0"/>
                            <a:ext cx="1286510" cy="38290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C982">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尺寸是195*35*7CM，碳化新西兰松木水清漆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47B81">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53DC">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2</w:t>
            </w:r>
          </w:p>
        </w:tc>
      </w:tr>
      <w:tr w14:paraId="7BBEDB0B">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A2D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138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C1E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单梯1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1697">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4128" behindDoc="0" locked="0" layoutInCell="1" allowOverlap="1">
                  <wp:simplePos x="0" y="0"/>
                  <wp:positionH relativeFrom="column">
                    <wp:posOffset>223520</wp:posOffset>
                  </wp:positionH>
                  <wp:positionV relativeFrom="paragraph">
                    <wp:posOffset>135890</wp:posOffset>
                  </wp:positionV>
                  <wp:extent cx="958850" cy="901700"/>
                  <wp:effectExtent l="0" t="0" r="12700" b="12700"/>
                  <wp:wrapNone/>
                  <wp:docPr id="181" name="图片_14"/>
                  <wp:cNvGraphicFramePr/>
                  <a:graphic xmlns:a="http://schemas.openxmlformats.org/drawingml/2006/main">
                    <a:graphicData uri="http://schemas.openxmlformats.org/drawingml/2006/picture">
                      <pic:pic xmlns:pic="http://schemas.openxmlformats.org/drawingml/2006/picture">
                        <pic:nvPicPr>
                          <pic:cNvPr id="181" name="图片_14"/>
                          <pic:cNvPicPr/>
                        </pic:nvPicPr>
                        <pic:blipFill>
                          <a:blip r:embed="rId153"/>
                          <a:stretch>
                            <a:fillRect/>
                          </a:stretch>
                        </pic:blipFill>
                        <pic:spPr>
                          <a:xfrm>
                            <a:off x="0" y="0"/>
                            <a:ext cx="958850" cy="90170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0CB0">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H600材质：新西兰松、清漆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6889B">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FBA3">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3</w:t>
            </w:r>
          </w:p>
        </w:tc>
      </w:tr>
      <w:tr w14:paraId="4F94AC58">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A28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139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1AF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单梯2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B395">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5152" behindDoc="0" locked="0" layoutInCell="1" allowOverlap="1">
                  <wp:simplePos x="0" y="0"/>
                  <wp:positionH relativeFrom="column">
                    <wp:posOffset>481330</wp:posOffset>
                  </wp:positionH>
                  <wp:positionV relativeFrom="paragraph">
                    <wp:posOffset>347980</wp:posOffset>
                  </wp:positionV>
                  <wp:extent cx="657225" cy="619125"/>
                  <wp:effectExtent l="0" t="0" r="9525" b="9525"/>
                  <wp:wrapNone/>
                  <wp:docPr id="182" name="图片_17"/>
                  <wp:cNvGraphicFramePr/>
                  <a:graphic xmlns:a="http://schemas.openxmlformats.org/drawingml/2006/main">
                    <a:graphicData uri="http://schemas.openxmlformats.org/drawingml/2006/picture">
                      <pic:pic xmlns:pic="http://schemas.openxmlformats.org/drawingml/2006/picture">
                        <pic:nvPicPr>
                          <pic:cNvPr id="182" name="图片_17"/>
                          <pic:cNvPicPr/>
                        </pic:nvPicPr>
                        <pic:blipFill>
                          <a:blip r:embed="rId154"/>
                          <a:stretch>
                            <a:fillRect/>
                          </a:stretch>
                        </pic:blipFill>
                        <pic:spPr>
                          <a:xfrm>
                            <a:off x="0" y="0"/>
                            <a:ext cx="657225" cy="61912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02F7">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H1000材质：新西兰松、清漆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5EB1">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6F9F">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3</w:t>
            </w:r>
          </w:p>
        </w:tc>
      </w:tr>
      <w:tr w14:paraId="63380207">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354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BB21">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单梯3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F5E8F">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6176" behindDoc="0" locked="0" layoutInCell="1" allowOverlap="1">
                  <wp:simplePos x="0" y="0"/>
                  <wp:positionH relativeFrom="column">
                    <wp:posOffset>604520</wp:posOffset>
                  </wp:positionH>
                  <wp:positionV relativeFrom="paragraph">
                    <wp:posOffset>359410</wp:posOffset>
                  </wp:positionV>
                  <wp:extent cx="657225" cy="619125"/>
                  <wp:effectExtent l="0" t="0" r="9525" b="9525"/>
                  <wp:wrapNone/>
                  <wp:docPr id="183" name="图片_18_SpCnt_2"/>
                  <wp:cNvGraphicFramePr/>
                  <a:graphic xmlns:a="http://schemas.openxmlformats.org/drawingml/2006/main">
                    <a:graphicData uri="http://schemas.openxmlformats.org/drawingml/2006/picture">
                      <pic:pic xmlns:pic="http://schemas.openxmlformats.org/drawingml/2006/picture">
                        <pic:nvPicPr>
                          <pic:cNvPr id="183" name="图片_18_SpCnt_2"/>
                          <pic:cNvPicPr/>
                        </pic:nvPicPr>
                        <pic:blipFill>
                          <a:blip r:embed="rId154"/>
                          <a:stretch>
                            <a:fillRect/>
                          </a:stretch>
                        </pic:blipFill>
                        <pic:spPr>
                          <a:xfrm>
                            <a:off x="0" y="0"/>
                            <a:ext cx="657225" cy="61912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A2F5">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H1200材质：新西兰松、清漆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7A0B">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A0E7">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3</w:t>
            </w:r>
          </w:p>
        </w:tc>
      </w:tr>
      <w:tr w14:paraId="0AC9DD8A">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0B6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68CD">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单梯4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AF2A4">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7200" behindDoc="0" locked="0" layoutInCell="1" allowOverlap="1">
                  <wp:simplePos x="0" y="0"/>
                  <wp:positionH relativeFrom="column">
                    <wp:posOffset>425450</wp:posOffset>
                  </wp:positionH>
                  <wp:positionV relativeFrom="paragraph">
                    <wp:posOffset>281305</wp:posOffset>
                  </wp:positionV>
                  <wp:extent cx="657225" cy="619125"/>
                  <wp:effectExtent l="0" t="0" r="9525" b="9525"/>
                  <wp:wrapNone/>
                  <wp:docPr id="158" name="图片_19"/>
                  <wp:cNvGraphicFramePr/>
                  <a:graphic xmlns:a="http://schemas.openxmlformats.org/drawingml/2006/main">
                    <a:graphicData uri="http://schemas.openxmlformats.org/drawingml/2006/picture">
                      <pic:pic xmlns:pic="http://schemas.openxmlformats.org/drawingml/2006/picture">
                        <pic:nvPicPr>
                          <pic:cNvPr id="158" name="图片_19"/>
                          <pic:cNvPicPr/>
                        </pic:nvPicPr>
                        <pic:blipFill>
                          <a:blip r:embed="rId154"/>
                          <a:stretch>
                            <a:fillRect/>
                          </a:stretch>
                        </pic:blipFill>
                        <pic:spPr>
                          <a:xfrm>
                            <a:off x="0" y="0"/>
                            <a:ext cx="657225" cy="61912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894D">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H1500材质：新西兰松、清漆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9E809">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FD790">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3</w:t>
            </w:r>
          </w:p>
        </w:tc>
      </w:tr>
      <w:tr w14:paraId="0C916AEA">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81C2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ECE2">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双梯1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EE2B">
            <w:pPr>
              <w:widowControl/>
              <w:jc w:val="center"/>
              <w:textAlignment w:val="center"/>
              <w:rPr>
                <w:rFonts w:hint="eastAsia" w:ascii="华文中宋" w:hAnsi="华文中宋" w:eastAsia="华文中宋" w:cs="华文中宋"/>
                <w:color w:val="auto"/>
                <w:sz w:val="24"/>
                <w:highlight w:val="none"/>
                <w:lang w:eastAsia="zh-CN"/>
              </w:rPr>
            </w:pPr>
            <w:r>
              <w:rPr>
                <w:rFonts w:hint="eastAsia" w:ascii="华文中宋" w:hAnsi="华文中宋" w:eastAsia="华文中宋" w:cs="华文中宋"/>
                <w:color w:val="auto"/>
                <w:sz w:val="24"/>
                <w:highlight w:val="none"/>
                <w:lang w:eastAsia="zh-CN"/>
              </w:rPr>
              <w:drawing>
                <wp:inline distT="0" distB="0" distL="114300" distR="114300">
                  <wp:extent cx="765810" cy="581025"/>
                  <wp:effectExtent l="0" t="0" r="15240" b="9525"/>
                  <wp:docPr id="1" name="图片 1" descr="172111357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1113570531"/>
                          <pic:cNvPicPr>
                            <a:picLocks noChangeAspect="1"/>
                          </pic:cNvPicPr>
                        </pic:nvPicPr>
                        <pic:blipFill>
                          <a:blip r:embed="rId155"/>
                          <a:stretch>
                            <a:fillRect/>
                          </a:stretch>
                        </pic:blipFill>
                        <pic:spPr>
                          <a:xfrm>
                            <a:off x="0" y="0"/>
                            <a:ext cx="765810" cy="581025"/>
                          </a:xfrm>
                          <a:prstGeom prst="rect">
                            <a:avLst/>
                          </a:prstGeom>
                        </pic:spPr>
                      </pic:pic>
                    </a:graphicData>
                  </a:graphic>
                </wp:inline>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538A">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H600材质：新西兰松、清漆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57F9">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268E4">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2</w:t>
            </w:r>
          </w:p>
        </w:tc>
      </w:tr>
      <w:tr w14:paraId="2F027EC9">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787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143</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19C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双梯1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DFC5">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8224" behindDoc="0" locked="0" layoutInCell="1" allowOverlap="1">
                  <wp:simplePos x="0" y="0"/>
                  <wp:positionH relativeFrom="column">
                    <wp:posOffset>414655</wp:posOffset>
                  </wp:positionH>
                  <wp:positionV relativeFrom="paragraph">
                    <wp:posOffset>153670</wp:posOffset>
                  </wp:positionV>
                  <wp:extent cx="847725" cy="828675"/>
                  <wp:effectExtent l="0" t="0" r="9525" b="9525"/>
                  <wp:wrapNone/>
                  <wp:docPr id="170" name="图片_21"/>
                  <wp:cNvGraphicFramePr/>
                  <a:graphic xmlns:a="http://schemas.openxmlformats.org/drawingml/2006/main">
                    <a:graphicData uri="http://schemas.openxmlformats.org/drawingml/2006/picture">
                      <pic:pic xmlns:pic="http://schemas.openxmlformats.org/drawingml/2006/picture">
                        <pic:nvPicPr>
                          <pic:cNvPr id="170" name="图片_21"/>
                          <pic:cNvPicPr/>
                        </pic:nvPicPr>
                        <pic:blipFill>
                          <a:blip r:embed="rId156"/>
                          <a:stretch>
                            <a:fillRect/>
                          </a:stretch>
                        </pic:blipFill>
                        <pic:spPr>
                          <a:xfrm>
                            <a:off x="0" y="0"/>
                            <a:ext cx="847725" cy="8286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CB0F">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H1000材质：新西兰松、清漆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0BA6">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F040">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2</w:t>
            </w:r>
          </w:p>
        </w:tc>
      </w:tr>
      <w:tr w14:paraId="37C5D42E">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AC8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144</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DC25">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双梯1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95AA">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29248" behindDoc="0" locked="0" layoutInCell="1" allowOverlap="1">
                  <wp:simplePos x="0" y="0"/>
                  <wp:positionH relativeFrom="column">
                    <wp:posOffset>356870</wp:posOffset>
                  </wp:positionH>
                  <wp:positionV relativeFrom="paragraph">
                    <wp:posOffset>103505</wp:posOffset>
                  </wp:positionV>
                  <wp:extent cx="847725" cy="828675"/>
                  <wp:effectExtent l="0" t="0" r="9525" b="9525"/>
                  <wp:wrapNone/>
                  <wp:docPr id="171" name="图片_22_SpCnt_2"/>
                  <wp:cNvGraphicFramePr/>
                  <a:graphic xmlns:a="http://schemas.openxmlformats.org/drawingml/2006/main">
                    <a:graphicData uri="http://schemas.openxmlformats.org/drawingml/2006/picture">
                      <pic:pic xmlns:pic="http://schemas.openxmlformats.org/drawingml/2006/picture">
                        <pic:nvPicPr>
                          <pic:cNvPr id="171" name="图片_22_SpCnt_2"/>
                          <pic:cNvPicPr/>
                        </pic:nvPicPr>
                        <pic:blipFill>
                          <a:blip r:embed="rId156"/>
                          <a:stretch>
                            <a:fillRect/>
                          </a:stretch>
                        </pic:blipFill>
                        <pic:spPr>
                          <a:xfrm>
                            <a:off x="0" y="0"/>
                            <a:ext cx="847725" cy="8286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2A3C">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H1200材质：新西兰松、清漆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F2C06">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C4910">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2</w:t>
            </w:r>
          </w:p>
        </w:tc>
      </w:tr>
      <w:tr w14:paraId="59489FE3">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120F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145</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085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双梯1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68E8">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30272" behindDoc="0" locked="0" layoutInCell="1" allowOverlap="1">
                  <wp:simplePos x="0" y="0"/>
                  <wp:positionH relativeFrom="column">
                    <wp:posOffset>307340</wp:posOffset>
                  </wp:positionH>
                  <wp:positionV relativeFrom="paragraph">
                    <wp:posOffset>136525</wp:posOffset>
                  </wp:positionV>
                  <wp:extent cx="847725" cy="828675"/>
                  <wp:effectExtent l="0" t="0" r="9525" b="9525"/>
                  <wp:wrapNone/>
                  <wp:docPr id="160" name="图片_23_SpCnt_2"/>
                  <wp:cNvGraphicFramePr/>
                  <a:graphic xmlns:a="http://schemas.openxmlformats.org/drawingml/2006/main">
                    <a:graphicData uri="http://schemas.openxmlformats.org/drawingml/2006/picture">
                      <pic:pic xmlns:pic="http://schemas.openxmlformats.org/drawingml/2006/picture">
                        <pic:nvPicPr>
                          <pic:cNvPr id="160" name="图片_23_SpCnt_2"/>
                          <pic:cNvPicPr/>
                        </pic:nvPicPr>
                        <pic:blipFill>
                          <a:blip r:embed="rId156"/>
                          <a:stretch>
                            <a:fillRect/>
                          </a:stretch>
                        </pic:blipFill>
                        <pic:spPr>
                          <a:xfrm>
                            <a:off x="0" y="0"/>
                            <a:ext cx="847725" cy="8286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E897">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H1500材质：新西兰松、清漆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3D906">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028AD">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2</w:t>
            </w:r>
          </w:p>
        </w:tc>
      </w:tr>
      <w:tr w14:paraId="604F50F5">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334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146</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E336">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体操垫1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95EC">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31296" behindDoc="0" locked="0" layoutInCell="1" allowOverlap="1">
                  <wp:simplePos x="0" y="0"/>
                  <wp:positionH relativeFrom="column">
                    <wp:posOffset>402590</wp:posOffset>
                  </wp:positionH>
                  <wp:positionV relativeFrom="paragraph">
                    <wp:posOffset>314960</wp:posOffset>
                  </wp:positionV>
                  <wp:extent cx="800100" cy="523875"/>
                  <wp:effectExtent l="0" t="0" r="0" b="9525"/>
                  <wp:wrapNone/>
                  <wp:docPr id="184" name="图片_25"/>
                  <wp:cNvGraphicFramePr/>
                  <a:graphic xmlns:a="http://schemas.openxmlformats.org/drawingml/2006/main">
                    <a:graphicData uri="http://schemas.openxmlformats.org/drawingml/2006/picture">
                      <pic:pic xmlns:pic="http://schemas.openxmlformats.org/drawingml/2006/picture">
                        <pic:nvPicPr>
                          <pic:cNvPr id="184" name="图片_25"/>
                          <pic:cNvPicPr/>
                        </pic:nvPicPr>
                        <pic:blipFill>
                          <a:blip r:embed="rId157"/>
                          <a:stretch>
                            <a:fillRect/>
                          </a:stretch>
                        </pic:blipFill>
                        <pic:spPr>
                          <a:xfrm>
                            <a:off x="0" y="0"/>
                            <a:ext cx="800100" cy="5238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CA48E">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帆布，软海绵，1000*2000mm，厚度10mm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8B16">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5D87">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3</w:t>
            </w:r>
          </w:p>
        </w:tc>
      </w:tr>
      <w:tr w14:paraId="11124FE5">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4C26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147</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700C">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体操垫2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4B82D">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32320" behindDoc="0" locked="0" layoutInCell="1" allowOverlap="1">
                  <wp:simplePos x="0" y="0"/>
                  <wp:positionH relativeFrom="column">
                    <wp:posOffset>459105</wp:posOffset>
                  </wp:positionH>
                  <wp:positionV relativeFrom="paragraph">
                    <wp:posOffset>314325</wp:posOffset>
                  </wp:positionV>
                  <wp:extent cx="800100" cy="523875"/>
                  <wp:effectExtent l="0" t="0" r="0" b="9525"/>
                  <wp:wrapNone/>
                  <wp:docPr id="168" name="图片_54"/>
                  <wp:cNvGraphicFramePr/>
                  <a:graphic xmlns:a="http://schemas.openxmlformats.org/drawingml/2006/main">
                    <a:graphicData uri="http://schemas.openxmlformats.org/drawingml/2006/picture">
                      <pic:pic xmlns:pic="http://schemas.openxmlformats.org/drawingml/2006/picture">
                        <pic:nvPicPr>
                          <pic:cNvPr id="168" name="图片_54"/>
                          <pic:cNvPicPr/>
                        </pic:nvPicPr>
                        <pic:blipFill>
                          <a:blip r:embed="rId157"/>
                          <a:stretch>
                            <a:fillRect/>
                          </a:stretch>
                        </pic:blipFill>
                        <pic:spPr>
                          <a:xfrm>
                            <a:off x="0" y="0"/>
                            <a:ext cx="800100" cy="5238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638E">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帆布，软海绵，600*1800mm，厚度11mm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D766">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AB64">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3</w:t>
            </w:r>
          </w:p>
        </w:tc>
      </w:tr>
      <w:tr w14:paraId="018E9B99">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8A0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148</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0D64">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体操垫3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5120">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33344" behindDoc="0" locked="0" layoutInCell="1" allowOverlap="1">
                  <wp:simplePos x="0" y="0"/>
                  <wp:positionH relativeFrom="column">
                    <wp:posOffset>425450</wp:posOffset>
                  </wp:positionH>
                  <wp:positionV relativeFrom="paragraph">
                    <wp:posOffset>303530</wp:posOffset>
                  </wp:positionV>
                  <wp:extent cx="800100" cy="523875"/>
                  <wp:effectExtent l="0" t="0" r="0" b="9525"/>
                  <wp:wrapNone/>
                  <wp:docPr id="165" name="图片_56"/>
                  <wp:cNvGraphicFramePr/>
                  <a:graphic xmlns:a="http://schemas.openxmlformats.org/drawingml/2006/main">
                    <a:graphicData uri="http://schemas.openxmlformats.org/drawingml/2006/picture">
                      <pic:pic xmlns:pic="http://schemas.openxmlformats.org/drawingml/2006/picture">
                        <pic:nvPicPr>
                          <pic:cNvPr id="165" name="图片_56"/>
                          <pic:cNvPicPr/>
                        </pic:nvPicPr>
                        <pic:blipFill>
                          <a:blip r:embed="rId157"/>
                          <a:stretch>
                            <a:fillRect/>
                          </a:stretch>
                        </pic:blipFill>
                        <pic:spPr>
                          <a:xfrm>
                            <a:off x="0" y="0"/>
                            <a:ext cx="800100" cy="523875"/>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EEEC">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帆布，软海绵，500*1000mm，厚度12mm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2007">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531F">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3</w:t>
            </w:r>
          </w:p>
        </w:tc>
      </w:tr>
      <w:tr w14:paraId="690B9F05">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787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149</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78DE">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安吉游戏箱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DFE5B">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34368" behindDoc="0" locked="0" layoutInCell="1" allowOverlap="1">
                  <wp:simplePos x="0" y="0"/>
                  <wp:positionH relativeFrom="column">
                    <wp:posOffset>223520</wp:posOffset>
                  </wp:positionH>
                  <wp:positionV relativeFrom="paragraph">
                    <wp:posOffset>259080</wp:posOffset>
                  </wp:positionV>
                  <wp:extent cx="1081405" cy="844550"/>
                  <wp:effectExtent l="0" t="0" r="0" b="12700"/>
                  <wp:wrapNone/>
                  <wp:docPr id="169" name="图片_60"/>
                  <wp:cNvGraphicFramePr/>
                  <a:graphic xmlns:a="http://schemas.openxmlformats.org/drawingml/2006/main">
                    <a:graphicData uri="http://schemas.openxmlformats.org/drawingml/2006/picture">
                      <pic:pic xmlns:pic="http://schemas.openxmlformats.org/drawingml/2006/picture">
                        <pic:nvPicPr>
                          <pic:cNvPr id="169" name="图片_60"/>
                          <pic:cNvPicPr/>
                        </pic:nvPicPr>
                        <pic:blipFill>
                          <a:blip r:embed="rId158"/>
                          <a:stretch>
                            <a:fillRect/>
                          </a:stretch>
                        </pic:blipFill>
                        <pic:spPr>
                          <a:xfrm>
                            <a:off x="0" y="0"/>
                            <a:ext cx="1081405" cy="84455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6857">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60*60*60cmPE板材,厚度1.5cm，铝合金型材，壁厚1.8mm，ABS塑料角码，抗氧化、抗高温、耐低温、不褪色、不怕水。圆角处理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A827">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4A6B">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1</w:t>
            </w:r>
          </w:p>
        </w:tc>
      </w:tr>
      <w:tr w14:paraId="7D04F94C">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2DC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150</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F7BF">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安吉游戏箱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9E0E">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35392" behindDoc="0" locked="0" layoutInCell="1" allowOverlap="1">
                  <wp:simplePos x="0" y="0"/>
                  <wp:positionH relativeFrom="column">
                    <wp:posOffset>290830</wp:posOffset>
                  </wp:positionH>
                  <wp:positionV relativeFrom="paragraph">
                    <wp:posOffset>191770</wp:posOffset>
                  </wp:positionV>
                  <wp:extent cx="1081405" cy="844550"/>
                  <wp:effectExtent l="0" t="0" r="0" b="12700"/>
                  <wp:wrapNone/>
                  <wp:docPr id="155" name="图片_61"/>
                  <wp:cNvGraphicFramePr/>
                  <a:graphic xmlns:a="http://schemas.openxmlformats.org/drawingml/2006/main">
                    <a:graphicData uri="http://schemas.openxmlformats.org/drawingml/2006/picture">
                      <pic:pic xmlns:pic="http://schemas.openxmlformats.org/drawingml/2006/picture">
                        <pic:nvPicPr>
                          <pic:cNvPr id="155" name="图片_61"/>
                          <pic:cNvPicPr/>
                        </pic:nvPicPr>
                        <pic:blipFill>
                          <a:blip r:embed="rId158"/>
                          <a:stretch>
                            <a:fillRect/>
                          </a:stretch>
                        </pic:blipFill>
                        <pic:spPr>
                          <a:xfrm>
                            <a:off x="0" y="0"/>
                            <a:ext cx="1081405" cy="84455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4A45">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80*80*80cmPE板材,厚度1.5cm，铝合金型材，壁厚1.8mm，ABS塑料角码，抗氧化、抗高温、耐低温、不褪色、不怕水。圆角处理、符合幼儿安全使用规范.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B109">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2B95">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1</w:t>
            </w:r>
          </w:p>
        </w:tc>
      </w:tr>
      <w:tr w14:paraId="73FED1F4">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4AB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151</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5590">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安吉游戏箱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73DA">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36416" behindDoc="0" locked="0" layoutInCell="1" allowOverlap="1">
                  <wp:simplePos x="0" y="0"/>
                  <wp:positionH relativeFrom="column">
                    <wp:posOffset>335280</wp:posOffset>
                  </wp:positionH>
                  <wp:positionV relativeFrom="paragraph">
                    <wp:posOffset>79375</wp:posOffset>
                  </wp:positionV>
                  <wp:extent cx="1081405" cy="844550"/>
                  <wp:effectExtent l="0" t="0" r="0" b="12700"/>
                  <wp:wrapNone/>
                  <wp:docPr id="166" name="图片_62"/>
                  <wp:cNvGraphicFramePr/>
                  <a:graphic xmlns:a="http://schemas.openxmlformats.org/drawingml/2006/main">
                    <a:graphicData uri="http://schemas.openxmlformats.org/drawingml/2006/picture">
                      <pic:pic xmlns:pic="http://schemas.openxmlformats.org/drawingml/2006/picture">
                        <pic:nvPicPr>
                          <pic:cNvPr id="166" name="图片_62"/>
                          <pic:cNvPicPr/>
                        </pic:nvPicPr>
                        <pic:blipFill>
                          <a:blip r:embed="rId158"/>
                          <a:stretch>
                            <a:fillRect/>
                          </a:stretch>
                        </pic:blipFill>
                        <pic:spPr>
                          <a:xfrm>
                            <a:off x="0" y="0"/>
                            <a:ext cx="1081405" cy="84455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7221">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100*100*100cmPE板材,厚度1.5cm，铝合金型材，壁厚1.8mm，ABS塑料角码，抗氧化、抗高温、耐低温、不褪色、不怕水。圆角处理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6B69">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BDECE">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1</w:t>
            </w:r>
          </w:p>
        </w:tc>
      </w:tr>
      <w:tr w14:paraId="2B364C05">
        <w:tblPrEx>
          <w:tblCellMar>
            <w:top w:w="0" w:type="dxa"/>
            <w:left w:w="108" w:type="dxa"/>
            <w:bottom w:w="0" w:type="dxa"/>
            <w:right w:w="108" w:type="dxa"/>
          </w:tblCellMar>
        </w:tblPrEx>
        <w:trPr>
          <w:trHeight w:val="1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A568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152</w:t>
            </w:r>
          </w:p>
        </w:tc>
        <w:tc>
          <w:tcPr>
            <w:tcW w:w="2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6A2A">
            <w:pPr>
              <w:widowControl/>
              <w:jc w:val="center"/>
              <w:textAlignment w:val="center"/>
              <w:rPr>
                <w:rFonts w:ascii="微软雅黑" w:hAnsi="微软雅黑" w:eastAsia="微软雅黑" w:cs="微软雅黑"/>
                <w:color w:val="auto"/>
                <w:sz w:val="24"/>
                <w:highlight w:val="none"/>
              </w:rPr>
            </w:pPr>
            <w:r>
              <w:rPr>
                <w:rFonts w:hint="eastAsia" w:ascii="微软雅黑" w:hAnsi="微软雅黑" w:eastAsia="微软雅黑" w:cs="微软雅黑"/>
                <w:color w:val="auto"/>
                <w:kern w:val="0"/>
                <w:sz w:val="24"/>
                <w:highlight w:val="none"/>
              </w:rPr>
              <w:t>趣味划船10件套碳化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DF5B">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bdr w:val="single" w:color="000000" w:sz="4" w:space="0"/>
              </w:rPr>
              <w:drawing>
                <wp:anchor distT="0" distB="0" distL="114300" distR="114300" simplePos="0" relativeHeight="251837440" behindDoc="0" locked="0" layoutInCell="1" allowOverlap="1">
                  <wp:simplePos x="0" y="0"/>
                  <wp:positionH relativeFrom="column">
                    <wp:posOffset>462280</wp:posOffset>
                  </wp:positionH>
                  <wp:positionV relativeFrom="paragraph">
                    <wp:posOffset>168910</wp:posOffset>
                  </wp:positionV>
                  <wp:extent cx="923290" cy="815340"/>
                  <wp:effectExtent l="0" t="0" r="10160" b="3810"/>
                  <wp:wrapNone/>
                  <wp:docPr id="167" name="图片_55"/>
                  <wp:cNvGraphicFramePr/>
                  <a:graphic xmlns:a="http://schemas.openxmlformats.org/drawingml/2006/main">
                    <a:graphicData uri="http://schemas.openxmlformats.org/drawingml/2006/picture">
                      <pic:pic xmlns:pic="http://schemas.openxmlformats.org/drawingml/2006/picture">
                        <pic:nvPicPr>
                          <pic:cNvPr id="167" name="图片_55"/>
                          <pic:cNvPicPr/>
                        </pic:nvPicPr>
                        <pic:blipFill>
                          <a:blip r:embed="rId159"/>
                          <a:stretch>
                            <a:fillRect/>
                          </a:stretch>
                        </pic:blipFill>
                        <pic:spPr>
                          <a:xfrm>
                            <a:off x="0" y="0"/>
                            <a:ext cx="923290" cy="815340"/>
                          </a:xfrm>
                          <a:prstGeom prst="rect">
                            <a:avLst/>
                          </a:prstGeom>
                          <a:noFill/>
                          <a:ln>
                            <a:noFill/>
                          </a:ln>
                        </pic:spPr>
                      </pic:pic>
                    </a:graphicData>
                  </a:graphic>
                </wp:anchor>
              </w:drawing>
            </w:r>
          </w:p>
        </w:tc>
        <w:tc>
          <w:tcPr>
            <w:tcW w:w="13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BCC0">
            <w:pPr>
              <w:widowControl/>
              <w:jc w:val="left"/>
              <w:textAlignment w:val="center"/>
              <w:rPr>
                <w:rFonts w:ascii="宋体" w:hAnsi="宋体" w:cs="宋体"/>
                <w:color w:val="auto"/>
                <w:sz w:val="24"/>
                <w:highlight w:val="none"/>
              </w:rPr>
            </w:pPr>
            <w:r>
              <w:rPr>
                <w:rFonts w:hint="eastAsia" w:ascii="宋体" w:hAnsi="宋体" w:cs="宋体"/>
                <w:color w:val="auto"/>
                <w:kern w:val="0"/>
                <w:sz w:val="24"/>
                <w:highlight w:val="none"/>
              </w:rPr>
              <w:t>一、材质：采用新西兰松木，EVA，含有部分金属配件</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二、工艺：高温碳化，喷涂环保水性漆，边角磨圆，表面光滑，直梯长板背面做有固定卡扣。</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产品配有：</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平衡板：180*20*3.5CM，材料：新西兰松木，数量1块；碳化直梯：180*35*7CM，材质：新西兰松木，数量1张；碳化支撑杆：120*3*3CM，材质：松木，数量6根；小轮胎：75*35*35CM，材质：EVA实心轮胎，金属链接杆，数量2对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5DF1">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FC4A4">
            <w:pPr>
              <w:widowControl/>
              <w:jc w:val="center"/>
              <w:textAlignment w:val="center"/>
              <w:rPr>
                <w:rFonts w:ascii="华文中宋" w:hAnsi="华文中宋" w:eastAsia="华文中宋" w:cs="华文中宋"/>
                <w:color w:val="auto"/>
                <w:sz w:val="24"/>
                <w:highlight w:val="none"/>
              </w:rPr>
            </w:pPr>
            <w:r>
              <w:rPr>
                <w:rFonts w:ascii="华文中宋" w:hAnsi="华文中宋" w:eastAsia="华文中宋" w:cs="华文中宋"/>
                <w:color w:val="auto"/>
                <w:kern w:val="0"/>
                <w:sz w:val="24"/>
                <w:highlight w:val="none"/>
              </w:rPr>
              <w:t>1</w:t>
            </w:r>
          </w:p>
        </w:tc>
      </w:tr>
      <w:tr w14:paraId="04C6EE07">
        <w:tblPrEx>
          <w:tblCellMar>
            <w:top w:w="0" w:type="dxa"/>
            <w:left w:w="108" w:type="dxa"/>
            <w:bottom w:w="0" w:type="dxa"/>
            <w:right w:w="108" w:type="dxa"/>
          </w:tblCellMar>
        </w:tblPrEx>
        <w:trPr>
          <w:trHeight w:val="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1C607">
            <w:pPr>
              <w:jc w:val="center"/>
              <w:rPr>
                <w:rFonts w:ascii="黑体" w:hAnsi="宋体" w:eastAsia="黑体" w:cs="黑体"/>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421DF">
            <w:pPr>
              <w:jc w:val="center"/>
              <w:rPr>
                <w:rFonts w:ascii="宋体" w:hAnsi="宋体" w:cs="宋体"/>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62735">
            <w:pPr>
              <w:jc w:val="center"/>
              <w:rPr>
                <w:rFonts w:ascii="宋体" w:hAnsi="宋体" w:cs="宋体"/>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9331E">
            <w:pPr>
              <w:jc w:val="center"/>
              <w:rPr>
                <w:rFonts w:ascii="宋体" w:hAnsi="宋体" w:cs="宋体"/>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1F8E">
            <w:pPr>
              <w:jc w:val="center"/>
              <w:rPr>
                <w:rFonts w:ascii="宋体" w:hAnsi="宋体" w:cs="宋体"/>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4AEC">
            <w:pPr>
              <w:jc w:val="center"/>
              <w:rPr>
                <w:rFonts w:ascii="宋体" w:hAnsi="宋体" w:cs="宋体"/>
                <w:color w:val="auto"/>
                <w:sz w:val="24"/>
                <w:highlight w:val="none"/>
              </w:rPr>
            </w:pPr>
          </w:p>
        </w:tc>
      </w:tr>
    </w:tbl>
    <w:p w14:paraId="07D9A190">
      <w:pPr>
        <w:pStyle w:val="25"/>
        <w:spacing w:line="240" w:lineRule="auto"/>
        <w:rPr>
          <w:color w:val="auto"/>
          <w:highlight w:val="none"/>
          <w:lang w:val="en-US"/>
        </w:rPr>
      </w:pPr>
    </w:p>
    <w:p w14:paraId="4AA0E8DC">
      <w:pPr>
        <w:pStyle w:val="25"/>
        <w:spacing w:line="240" w:lineRule="auto"/>
        <w:rPr>
          <w:color w:val="auto"/>
          <w:highlight w:val="none"/>
          <w:lang w:val="en-US"/>
        </w:rPr>
      </w:pPr>
    </w:p>
    <w:p w14:paraId="4CA43605">
      <w:pPr>
        <w:pStyle w:val="25"/>
        <w:rPr>
          <w:color w:val="auto"/>
          <w:highlight w:val="none"/>
          <w:lang w:val="en-US"/>
        </w:rPr>
      </w:pPr>
      <w:r>
        <w:rPr>
          <w:rFonts w:hint="eastAsia"/>
          <w:color w:val="auto"/>
          <w:highlight w:val="none"/>
          <w:lang w:val="en-US"/>
        </w:rPr>
        <w:t>注：1、采购清单内的玩具和设备的数量是采购人暂定的数量，采购人有权按实际需要进行调整，结算以实际采购玩具和设备的数量为准</w:t>
      </w:r>
    </w:p>
    <w:p w14:paraId="395E914B">
      <w:pPr>
        <w:pStyle w:val="25"/>
        <w:rPr>
          <w:color w:val="auto"/>
          <w:highlight w:val="none"/>
          <w:lang w:val="en-US"/>
        </w:rPr>
      </w:pPr>
      <w:r>
        <w:rPr>
          <w:rFonts w:hint="eastAsia"/>
          <w:color w:val="auto"/>
          <w:highlight w:val="none"/>
          <w:lang w:val="en-US"/>
        </w:rPr>
        <w:t>2、</w:t>
      </w:r>
      <w:r>
        <w:rPr>
          <w:rFonts w:hint="eastAsia"/>
          <w:b/>
          <w:bCs/>
          <w:color w:val="auto"/>
          <w:highlight w:val="none"/>
          <w:lang w:val="en-US"/>
        </w:rPr>
        <w:t>样品要求：</w:t>
      </w:r>
      <w:r>
        <w:rPr>
          <w:rFonts w:hint="eastAsia"/>
          <w:color w:val="auto"/>
          <w:highlight w:val="none"/>
          <w:lang w:val="en-US"/>
        </w:rPr>
        <w:t>投标人须提供</w:t>
      </w:r>
      <w:r>
        <w:rPr>
          <w:rFonts w:hint="eastAsia"/>
          <w:color w:val="auto"/>
          <w:highlight w:val="none"/>
          <w:lang w:val="en-US" w:eastAsia="zh-CN"/>
        </w:rPr>
        <w:t xml:space="preserve"> </w:t>
      </w:r>
      <w:r>
        <w:rPr>
          <w:rFonts w:hint="eastAsia"/>
          <w:b/>
          <w:bCs/>
          <w:color w:val="auto"/>
          <w:highlight w:val="none"/>
          <w:lang w:val="en-US" w:eastAsia="zh-CN"/>
        </w:rPr>
        <w:t>建构（小班）</w:t>
      </w:r>
      <w:r>
        <w:rPr>
          <w:rFonts w:hint="eastAsia" w:ascii="宋体" w:hAnsi="宋体" w:cs="宋体"/>
          <w:b/>
          <w:bCs/>
          <w:color w:val="auto"/>
          <w:kern w:val="0"/>
          <w:sz w:val="24"/>
          <w:highlight w:val="none"/>
        </w:rPr>
        <w:t>原木色新西兰无结松木小三角形积木1块尺寸70*70*35mm（公差±3mm）</w:t>
      </w:r>
      <w:r>
        <w:rPr>
          <w:rFonts w:hint="eastAsia" w:hAnsi="宋体" w:cs="宋体"/>
          <w:b/>
          <w:bCs/>
          <w:color w:val="auto"/>
          <w:kern w:val="0"/>
          <w:sz w:val="24"/>
          <w:highlight w:val="none"/>
          <w:lang w:val="en-US" w:eastAsia="zh-CN"/>
        </w:rPr>
        <w:t>,</w:t>
      </w:r>
      <w:r>
        <w:rPr>
          <w:rFonts w:hint="eastAsia"/>
          <w:b/>
          <w:bCs/>
          <w:color w:val="auto"/>
          <w:highlight w:val="none"/>
          <w:lang w:val="en-US"/>
        </w:rPr>
        <w:t>包罗万象游戏运动搭建：墨绿色砖1块</w:t>
      </w:r>
      <w:r>
        <w:rPr>
          <w:rFonts w:hint="eastAsia"/>
          <w:b/>
          <w:bCs/>
          <w:color w:val="auto"/>
          <w:highlight w:val="none"/>
          <w:lang w:val="en-US" w:eastAsia="zh-CN"/>
        </w:rPr>
        <w:t>，</w:t>
      </w:r>
      <w:r>
        <w:rPr>
          <w:rFonts w:hint="eastAsia"/>
          <w:b/>
          <w:bCs/>
          <w:color w:val="auto"/>
          <w:highlight w:val="none"/>
          <w:lang w:val="en-US"/>
        </w:rPr>
        <w:t>触摸游戏1套</w:t>
      </w:r>
      <w:r>
        <w:rPr>
          <w:rFonts w:hint="eastAsia"/>
          <w:b/>
          <w:bCs/>
          <w:color w:val="auto"/>
          <w:highlight w:val="none"/>
          <w:lang w:val="en-US" w:eastAsia="zh-CN"/>
        </w:rPr>
        <w:t>，</w:t>
      </w:r>
      <w:r>
        <w:rPr>
          <w:rFonts w:hint="eastAsia"/>
          <w:b/>
          <w:bCs/>
          <w:color w:val="auto"/>
          <w:highlight w:val="none"/>
          <w:lang w:val="en-US"/>
        </w:rPr>
        <w:t>篮球架组合1套</w:t>
      </w:r>
      <w:r>
        <w:rPr>
          <w:rFonts w:hint="eastAsia"/>
          <w:b/>
          <w:bCs/>
          <w:color w:val="auto"/>
          <w:highlight w:val="none"/>
          <w:lang w:val="en-US" w:eastAsia="zh-CN"/>
        </w:rPr>
        <w:t>,</w:t>
      </w:r>
      <w:r>
        <w:rPr>
          <w:rFonts w:hint="eastAsia"/>
          <w:b/>
          <w:bCs/>
          <w:color w:val="auto"/>
          <w:highlight w:val="none"/>
          <w:lang w:val="en-US"/>
        </w:rPr>
        <w:t>作为样品</w:t>
      </w:r>
      <w:r>
        <w:rPr>
          <w:rFonts w:hint="eastAsia"/>
          <w:b/>
          <w:bCs/>
          <w:color w:val="auto"/>
          <w:highlight w:val="none"/>
          <w:lang w:val="en-US" w:eastAsia="zh-CN"/>
        </w:rPr>
        <w:t>。若样品需要组装，请各投标人组装完毕后再送至浙江正大工程管理咨询有限公司（嘉善县晋阳东路457号4楼）。</w:t>
      </w:r>
      <w:r>
        <w:rPr>
          <w:rFonts w:hint="eastAsia"/>
          <w:color w:val="auto"/>
          <w:highlight w:val="none"/>
          <w:lang w:val="en-US"/>
        </w:rPr>
        <w:t>样品必须在投标截止时间前送达至浙江正大工程管理咨询有限公司（嘉善县晋阳东路457号4楼），接收人：吴女士，联系电话：18268330569。采购活动结束后，采购人将对本项目中标人的所有样品进行封存，作为验收的参考。其他投标人的样品在采购活动结束后1-3个工作日内自行取回。逾期未取回的样品由采购人自行处理。</w:t>
      </w:r>
      <w:r>
        <w:rPr>
          <w:rFonts w:hint="eastAsia"/>
          <w:b/>
          <w:bCs/>
          <w:color w:val="auto"/>
          <w:highlight w:val="none"/>
          <w:lang w:val="en-US"/>
        </w:rPr>
        <w:t>样品不得显示生产厂家名称、地址、商标（品牌）、供应商名称等供应商特有的标识。未提供样品或样品提供不全的，作无效标处理</w:t>
      </w:r>
      <w:r>
        <w:rPr>
          <w:rFonts w:hint="eastAsia"/>
          <w:color w:val="auto"/>
          <w:highlight w:val="none"/>
          <w:lang w:val="en-US"/>
        </w:rPr>
        <w:t>。</w:t>
      </w:r>
    </w:p>
    <w:p w14:paraId="0553C78C">
      <w:pPr>
        <w:pStyle w:val="25"/>
        <w:rPr>
          <w:color w:val="auto"/>
          <w:highlight w:val="none"/>
          <w:lang w:val="en-US"/>
        </w:rPr>
      </w:pPr>
    </w:p>
    <w:p w14:paraId="1D3941D3">
      <w:pPr>
        <w:pStyle w:val="25"/>
        <w:rPr>
          <w:color w:val="auto"/>
          <w:highlight w:val="none"/>
          <w:lang w:val="en-US"/>
        </w:rPr>
      </w:pPr>
      <w:r>
        <w:rPr>
          <w:rFonts w:hint="eastAsia"/>
          <w:color w:val="auto"/>
          <w:highlight w:val="none"/>
          <w:lang w:val="en-US"/>
        </w:rPr>
        <w:t>二、商务要求</w:t>
      </w:r>
    </w:p>
    <w:p w14:paraId="7884310B">
      <w:pPr>
        <w:autoSpaceDE w:val="0"/>
        <w:autoSpaceDN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采购的总体要求：</w:t>
      </w:r>
    </w:p>
    <w:p w14:paraId="25D46E1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1、供应商提供的产品须为原装合格产品；</w:t>
      </w:r>
    </w:p>
    <w:p w14:paraId="60211A3C">
      <w:pPr>
        <w:autoSpaceDE w:val="0"/>
        <w:autoSpaceDN w:val="0"/>
        <w:snapToGrid w:val="0"/>
        <w:spacing w:line="360" w:lineRule="auto"/>
        <w:ind w:left="-181" w:leftChars="-86" w:right="-178" w:rightChars="-85" w:firstLine="720" w:firstLineChars="300"/>
        <w:textAlignment w:val="bottom"/>
        <w:rPr>
          <w:rFonts w:ascii="仿宋" w:hAnsi="仿宋" w:eastAsia="仿宋" w:cs="仿宋"/>
          <w:bCs/>
          <w:color w:val="auto"/>
          <w:sz w:val="24"/>
          <w:highlight w:val="none"/>
        </w:rPr>
      </w:pPr>
      <w:r>
        <w:rPr>
          <w:rFonts w:hint="eastAsia" w:ascii="仿宋" w:hAnsi="仿宋" w:eastAsia="仿宋" w:cs="仿宋"/>
          <w:color w:val="auto"/>
          <w:sz w:val="24"/>
          <w:highlight w:val="none"/>
        </w:rPr>
        <w:t>2、售后服务按国家市场监督管理总局和国家其他有关规定执行。</w:t>
      </w:r>
    </w:p>
    <w:p w14:paraId="3D01E546">
      <w:pPr>
        <w:autoSpaceDE w:val="0"/>
        <w:autoSpaceDN w:val="0"/>
        <w:snapToGrid w:val="0"/>
        <w:spacing w:line="360" w:lineRule="auto"/>
        <w:ind w:firstLine="354" w:firstLineChars="147"/>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售后服务</w:t>
      </w:r>
    </w:p>
    <w:p w14:paraId="537CA5A7">
      <w:pPr>
        <w:widowControl/>
        <w:autoSpaceDE w:val="0"/>
        <w:autoSpaceDN w:val="0"/>
        <w:spacing w:line="360" w:lineRule="auto"/>
        <w:ind w:left="-181" w:leftChars="-86" w:right="-178" w:rightChars="-85" w:firstLine="600" w:firstLineChars="250"/>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1、提供所有玩具和设备不少于2年的质保期。质保期从验收合格交付使用之日起算；质保期内因不能排除的故障而影响工作的情况每发生一次，其质保期相应延长60天，质保期内因设备本身缺陷造成各种故障应由卖方免费提供技术服务和维修。</w:t>
      </w:r>
    </w:p>
    <w:p w14:paraId="46A8BCB3">
      <w:pPr>
        <w:autoSpaceDE w:val="0"/>
        <w:autoSpaceDN w:val="0"/>
        <w:snapToGrid w:val="0"/>
        <w:spacing w:line="360" w:lineRule="auto"/>
        <w:ind w:left="-181" w:leftChars="-86" w:right="-178" w:rightChars="-85" w:firstLine="597" w:firstLineChars="249"/>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2、在质保期内，卖方应确保正常使用，在接到用户维修要求后在1小时内响应并提出解决方案，4小时内到达现场对故障进行处理，维修过程中所需材料中标供应商在接到通知后应及时提供，最长不超过24小时必须送达买方。若24小时内无法修复的，应48小时内提供相应备用玩具和设备并负责安装调试，为此，投标供应商应在签署合同前提供相应承诺书。</w:t>
      </w:r>
    </w:p>
    <w:p w14:paraId="13522FBA">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bCs/>
          <w:color w:val="auto"/>
          <w:sz w:val="24"/>
          <w:highlight w:val="none"/>
        </w:rPr>
        <w:t>质保期内免收包括材料费在内的各种费用及相关服务费用。质保期满后，供应商提供跟踪服务，若需更换零配件，采购方只承担更换零配件的成本费，其余费用均由中标人承担。</w:t>
      </w:r>
    </w:p>
    <w:p w14:paraId="648B4CB5">
      <w:pPr>
        <w:rPr>
          <w:rFonts w:ascii="仿宋" w:hAnsi="仿宋" w:eastAsia="仿宋" w:cs="仿宋"/>
          <w:bCs/>
          <w:color w:val="auto"/>
          <w:sz w:val="24"/>
          <w:highlight w:val="none"/>
        </w:rPr>
      </w:pPr>
      <w:r>
        <w:rPr>
          <w:rFonts w:hint="eastAsia" w:ascii="仿宋" w:hAnsi="仿宋" w:eastAsia="仿宋" w:cs="仿宋"/>
          <w:bCs/>
          <w:color w:val="auto"/>
          <w:sz w:val="24"/>
          <w:highlight w:val="none"/>
        </w:rPr>
        <w:br w:type="page"/>
      </w:r>
    </w:p>
    <w:p w14:paraId="6927CDC1">
      <w:pPr>
        <w:spacing w:line="360" w:lineRule="auto"/>
        <w:ind w:firstLine="480" w:firstLineChars="200"/>
        <w:rPr>
          <w:rFonts w:ascii="仿宋" w:hAnsi="仿宋" w:eastAsia="仿宋" w:cs="仿宋"/>
          <w:bCs/>
          <w:color w:val="auto"/>
          <w:sz w:val="24"/>
          <w:highlight w:val="none"/>
        </w:rPr>
      </w:pPr>
    </w:p>
    <w:p w14:paraId="3E46DBA9">
      <w:pPr>
        <w:spacing w:line="360" w:lineRule="auto"/>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4、对提供的玩具和设备，供应商产品更新换代，不再批量生产该产品，也必须随时有备品零配件供应，并提供终身技术服务。</w:t>
      </w:r>
    </w:p>
    <w:p w14:paraId="3EF9A39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5、如供应商未达到以上要求，视为违约，采购方有权要求无条件退货，一切费用将由供应商承担。</w:t>
      </w:r>
    </w:p>
    <w:p w14:paraId="21C1693A">
      <w:pPr>
        <w:adjustRightInd/>
        <w:spacing w:line="360" w:lineRule="auto"/>
        <w:ind w:firstLine="482" w:firstLineChars="200"/>
        <w:rPr>
          <w:rFonts w:ascii="仿宋" w:hAnsi="仿宋" w:eastAsia="仿宋" w:cs="仿宋"/>
          <w:color w:val="auto"/>
          <w:sz w:val="24"/>
          <w:highlight w:val="none"/>
        </w:rPr>
      </w:pPr>
      <w:r>
        <w:rPr>
          <w:rFonts w:hint="eastAsia" w:ascii="仿宋" w:hAnsi="仿宋" w:eastAsia="仿宋" w:cs="仿宋"/>
          <w:b/>
          <w:bCs/>
          <w:color w:val="auto"/>
          <w:sz w:val="24"/>
          <w:highlight w:val="none"/>
        </w:rPr>
        <w:t>交货期限、地点及方式</w:t>
      </w:r>
    </w:p>
    <w:p w14:paraId="7C2B9886">
      <w:pPr>
        <w:adjustRightInd/>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交货期限：合同签订后待采购人发出供货通知单起20日历天内送货到采购人指定地点并完成安装调试工作且经采购人或采购人委托的第三方验收单位验收合格，如在规定的时间内由于卖方的原因不能送达货物并安装调试完成通过验收的，中标方应承担由此给采购人造成的损失。</w:t>
      </w:r>
    </w:p>
    <w:p w14:paraId="442A5ED2">
      <w:pPr>
        <w:pStyle w:val="26"/>
        <w:autoSpaceDE/>
        <w:autoSpaceDN/>
        <w:adjustRightInd/>
        <w:rPr>
          <w:rFonts w:ascii="仿宋" w:hAnsi="仿宋" w:eastAsia="仿宋" w:cs="仿宋"/>
          <w:color w:val="auto"/>
          <w:szCs w:val="24"/>
          <w:highlight w:val="none"/>
        </w:rPr>
      </w:pPr>
      <w:r>
        <w:rPr>
          <w:rFonts w:hint="eastAsia" w:ascii="仿宋" w:hAnsi="仿宋" w:eastAsia="仿宋" w:cs="仿宋"/>
          <w:color w:val="auto"/>
          <w:highlight w:val="none"/>
        </w:rPr>
        <w:t>交货地点：</w:t>
      </w:r>
      <w:r>
        <w:rPr>
          <w:rFonts w:hint="eastAsia" w:ascii="仿宋" w:hAnsi="仿宋" w:eastAsia="仿宋" w:cs="仿宋"/>
          <w:color w:val="auto"/>
          <w:szCs w:val="24"/>
          <w:highlight w:val="none"/>
          <w:lang w:val="en-US"/>
        </w:rPr>
        <w:t>采购人指定地点</w:t>
      </w:r>
      <w:r>
        <w:rPr>
          <w:rFonts w:hint="eastAsia" w:ascii="仿宋" w:hAnsi="仿宋" w:eastAsia="仿宋" w:cs="仿宋"/>
          <w:color w:val="auto"/>
          <w:szCs w:val="24"/>
          <w:highlight w:val="none"/>
        </w:rPr>
        <w:t>。</w:t>
      </w:r>
    </w:p>
    <w:p w14:paraId="0005514B">
      <w:pPr>
        <w:pStyle w:val="26"/>
        <w:autoSpaceDE/>
        <w:autoSpaceDN/>
        <w:adjustRightInd/>
        <w:rPr>
          <w:rFonts w:ascii="仿宋" w:hAnsi="仿宋" w:eastAsia="仿宋" w:cs="仿宋"/>
          <w:color w:val="auto"/>
          <w:szCs w:val="24"/>
          <w:highlight w:val="none"/>
        </w:rPr>
      </w:pPr>
      <w:r>
        <w:rPr>
          <w:rFonts w:hint="eastAsia" w:ascii="仿宋" w:hAnsi="仿宋" w:eastAsia="仿宋" w:cs="仿宋"/>
          <w:color w:val="auto"/>
          <w:highlight w:val="none"/>
        </w:rPr>
        <w:t>交货方式：</w:t>
      </w:r>
      <w:r>
        <w:rPr>
          <w:rFonts w:hint="eastAsia" w:ascii="仿宋" w:hAnsi="仿宋" w:eastAsia="仿宋" w:cs="仿宋"/>
          <w:color w:val="auto"/>
          <w:szCs w:val="24"/>
          <w:highlight w:val="none"/>
        </w:rPr>
        <w:t>中标方提供中标货物的安装、培训和技术指导。</w:t>
      </w:r>
    </w:p>
    <w:p w14:paraId="2BACB0E2">
      <w:pPr>
        <w:widowControl/>
        <w:autoSpaceDE w:val="0"/>
        <w:autoSpaceDN w:val="0"/>
        <w:spacing w:line="360" w:lineRule="auto"/>
        <w:ind w:firstLine="482" w:firstLineChars="200"/>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验收方式及标准</w:t>
      </w:r>
    </w:p>
    <w:p w14:paraId="1C0F7078">
      <w:pPr>
        <w:widowControl/>
        <w:autoSpaceDE w:val="0"/>
        <w:autoSpaceDN w:val="0"/>
        <w:spacing w:line="360" w:lineRule="auto"/>
        <w:ind w:firstLine="480" w:firstLineChars="200"/>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1、中标单位应在接采购人验收通知后7个自然日内提供合同货物的有效检验材料，经采购人认可后，与合同的技术指标一起作为验收标准。验收中发现货物达不到验收标准或合同规定的技术指标，中标供应商必须更换合同货物，并负担由此给采购人造成的损失，直到验收合格为止。</w:t>
      </w:r>
    </w:p>
    <w:p w14:paraId="2E24B87D">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违约责任</w:t>
      </w:r>
    </w:p>
    <w:p w14:paraId="7BBDC52B">
      <w:pPr>
        <w:spacing w:line="360" w:lineRule="auto"/>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签订合同后，如乙方不按双方签订合同约定履约，则应按甲方实际损失赔偿给甲方。</w:t>
      </w:r>
    </w:p>
    <w:p w14:paraId="17414FA0">
      <w:pPr>
        <w:pStyle w:val="25"/>
        <w:spacing w:line="240" w:lineRule="auto"/>
        <w:rPr>
          <w:color w:val="auto"/>
          <w:highlight w:val="none"/>
          <w:lang w:val="en-US"/>
        </w:rPr>
      </w:pPr>
    </w:p>
    <w:p w14:paraId="7BB79351">
      <w:pPr>
        <w:jc w:val="center"/>
        <w:rPr>
          <w:rFonts w:ascii="仿宋" w:hAnsi="仿宋" w:eastAsia="仿宋" w:cs="仿宋_GB2312"/>
          <w:b/>
          <w:color w:val="auto"/>
          <w:sz w:val="36"/>
          <w:szCs w:val="20"/>
          <w:highlight w:val="none"/>
        </w:rPr>
      </w:pPr>
    </w:p>
    <w:p w14:paraId="3DE7B560">
      <w:pPr>
        <w:jc w:val="center"/>
        <w:rPr>
          <w:rFonts w:ascii="仿宋" w:hAnsi="仿宋" w:eastAsia="仿宋" w:cs="仿宋_GB2312"/>
          <w:b/>
          <w:color w:val="auto"/>
          <w:sz w:val="36"/>
          <w:szCs w:val="20"/>
          <w:highlight w:val="none"/>
        </w:rPr>
      </w:pPr>
    </w:p>
    <w:p w14:paraId="79B9532F">
      <w:pPr>
        <w:jc w:val="center"/>
        <w:rPr>
          <w:rFonts w:ascii="仿宋" w:hAnsi="仿宋" w:eastAsia="仿宋" w:cs="仿宋_GB2312"/>
          <w:b/>
          <w:color w:val="auto"/>
          <w:sz w:val="36"/>
          <w:szCs w:val="20"/>
          <w:highlight w:val="none"/>
        </w:rPr>
      </w:pPr>
    </w:p>
    <w:p w14:paraId="7DD8B49E">
      <w:pPr>
        <w:jc w:val="center"/>
        <w:rPr>
          <w:rFonts w:ascii="仿宋" w:hAnsi="仿宋" w:eastAsia="仿宋" w:cs="仿宋_GB2312"/>
          <w:b/>
          <w:color w:val="auto"/>
          <w:sz w:val="36"/>
          <w:szCs w:val="20"/>
          <w:highlight w:val="none"/>
        </w:rPr>
      </w:pPr>
    </w:p>
    <w:p w14:paraId="5926AD95">
      <w:pPr>
        <w:rPr>
          <w:rFonts w:ascii="仿宋" w:hAnsi="仿宋" w:eastAsia="仿宋" w:cs="仿宋_GB2312"/>
          <w:b/>
          <w:color w:val="auto"/>
          <w:sz w:val="36"/>
          <w:szCs w:val="20"/>
          <w:highlight w:val="none"/>
        </w:rPr>
      </w:pPr>
    </w:p>
    <w:p w14:paraId="3A3F6A53">
      <w:pPr>
        <w:rPr>
          <w:rFonts w:ascii="仿宋" w:hAnsi="仿宋" w:eastAsia="仿宋" w:cs="仿宋_GB2312"/>
          <w:b/>
          <w:color w:val="auto"/>
          <w:sz w:val="36"/>
          <w:szCs w:val="20"/>
          <w:highlight w:val="none"/>
        </w:rPr>
      </w:pPr>
      <w:r>
        <w:rPr>
          <w:rFonts w:hint="eastAsia" w:ascii="仿宋" w:hAnsi="仿宋" w:eastAsia="仿宋" w:cs="仿宋_GB2312"/>
          <w:b/>
          <w:color w:val="auto"/>
          <w:sz w:val="36"/>
          <w:szCs w:val="20"/>
          <w:highlight w:val="none"/>
        </w:rPr>
        <w:br w:type="page"/>
      </w:r>
    </w:p>
    <w:p w14:paraId="27B6090A">
      <w:pPr>
        <w:rPr>
          <w:rFonts w:ascii="仿宋" w:hAnsi="仿宋" w:eastAsia="仿宋" w:cs="仿宋_GB2312"/>
          <w:b/>
          <w:color w:val="auto"/>
          <w:sz w:val="36"/>
          <w:szCs w:val="20"/>
          <w:highlight w:val="none"/>
        </w:rPr>
        <w:sectPr>
          <w:pgSz w:w="23811" w:h="16838" w:orient="landscape"/>
          <w:pgMar w:top="1418" w:right="680" w:bottom="1418" w:left="468" w:header="851" w:footer="992" w:gutter="0"/>
          <w:cols w:space="720" w:num="1"/>
          <w:titlePg/>
          <w:docGrid w:linePitch="312" w:charSpace="0"/>
        </w:sectPr>
      </w:pPr>
    </w:p>
    <w:p w14:paraId="1FAB7489">
      <w:pPr>
        <w:rPr>
          <w:rFonts w:ascii="仿宋" w:hAnsi="仿宋" w:eastAsia="仿宋" w:cs="仿宋_GB2312"/>
          <w:b/>
          <w:color w:val="auto"/>
          <w:sz w:val="36"/>
          <w:szCs w:val="20"/>
          <w:highlight w:val="none"/>
        </w:rPr>
      </w:pPr>
    </w:p>
    <w:p w14:paraId="35DE8868">
      <w:pPr>
        <w:jc w:val="center"/>
        <w:rPr>
          <w:rFonts w:ascii="仿宋" w:hAnsi="仿宋" w:eastAsia="仿宋" w:cs="仿宋_GB2312"/>
          <w:b/>
          <w:color w:val="auto"/>
          <w:sz w:val="36"/>
          <w:szCs w:val="20"/>
          <w:highlight w:val="none"/>
        </w:rPr>
      </w:pPr>
      <w:r>
        <w:rPr>
          <w:rFonts w:hint="eastAsia" w:ascii="仿宋" w:hAnsi="仿宋" w:eastAsia="仿宋" w:cs="仿宋_GB2312"/>
          <w:b/>
          <w:color w:val="auto"/>
          <w:sz w:val="36"/>
          <w:szCs w:val="20"/>
          <w:highlight w:val="none"/>
        </w:rPr>
        <w:t>第</w:t>
      </w:r>
      <w:bookmarkEnd w:id="11"/>
      <w:r>
        <w:rPr>
          <w:rFonts w:hint="eastAsia" w:ascii="仿宋" w:hAnsi="仿宋" w:eastAsia="仿宋" w:cs="仿宋_GB2312"/>
          <w:b/>
          <w:color w:val="auto"/>
          <w:sz w:val="36"/>
          <w:szCs w:val="20"/>
          <w:highlight w:val="none"/>
        </w:rPr>
        <w:t>三章</w:t>
      </w:r>
      <w:r>
        <w:rPr>
          <w:rFonts w:ascii="仿宋" w:hAnsi="仿宋" w:eastAsia="仿宋" w:cs="仿宋_GB2312"/>
          <w:b/>
          <w:color w:val="auto"/>
          <w:sz w:val="36"/>
          <w:szCs w:val="20"/>
          <w:highlight w:val="none"/>
        </w:rPr>
        <w:t xml:space="preserve"> 投标人须知</w:t>
      </w:r>
      <w:bookmarkEnd w:id="12"/>
    </w:p>
    <w:bookmarkEnd w:id="13"/>
    <w:p w14:paraId="690B3960">
      <w:pPr>
        <w:wordWrap w:val="0"/>
        <w:overflowPunct w:val="0"/>
        <w:autoSpaceDE w:val="0"/>
        <w:autoSpaceDN w:val="0"/>
        <w:adjustRightInd/>
        <w:spacing w:beforeLines="100" w:afterLines="100" w:line="360" w:lineRule="atLeast"/>
        <w:jc w:val="center"/>
        <w:rPr>
          <w:rFonts w:ascii="宋体" w:hAnsi="宋体" w:cs="宋体"/>
          <w:b/>
          <w:bCs/>
          <w:color w:val="auto"/>
          <w:sz w:val="28"/>
          <w:szCs w:val="28"/>
          <w:highlight w:val="none"/>
        </w:rPr>
      </w:pPr>
      <w:bookmarkStart w:id="14" w:name="_Toc91899903"/>
      <w:bookmarkStart w:id="15" w:name="第三部分"/>
      <w:bookmarkStart w:id="16" w:name="_Toc164416483"/>
      <w:r>
        <w:rPr>
          <w:rFonts w:hint="eastAsia" w:ascii="宋体" w:hAnsi="宋体" w:cs="宋体"/>
          <w:b/>
          <w:bCs/>
          <w:color w:val="auto"/>
          <w:sz w:val="28"/>
          <w:szCs w:val="28"/>
          <w:highlight w:val="none"/>
        </w:rPr>
        <w:t>电子交易注意事项</w:t>
      </w:r>
    </w:p>
    <w:p w14:paraId="4433550A">
      <w:pPr>
        <w:wordWrap w:val="0"/>
        <w:overflowPunct w:val="0"/>
        <w:autoSpaceDE w:val="0"/>
        <w:autoSpaceDN w:val="0"/>
        <w:adjustRightInd/>
        <w:spacing w:line="400" w:lineRule="exact"/>
        <w:ind w:firstLine="240" w:firstLineChars="100"/>
        <w:jc w:val="left"/>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　政府采购项目电子交易活动适用《浙江省政府采购项目电子交易管理暂行办法》，现将相关注意事项告知如下：</w:t>
      </w:r>
    </w:p>
    <w:p w14:paraId="52B79E24">
      <w:pPr>
        <w:wordWrap w:val="0"/>
        <w:overflowPunct w:val="0"/>
        <w:autoSpaceDE w:val="0"/>
        <w:autoSpaceDN w:val="0"/>
        <w:adjustRightInd/>
        <w:spacing w:line="400" w:lineRule="exact"/>
        <w:ind w:firstLine="240" w:firstLineChars="100"/>
        <w:jc w:val="left"/>
        <w:rPr>
          <w:rFonts w:ascii="宋体" w:hAnsi="宋体" w:cs="宋体"/>
          <w:color w:val="auto"/>
          <w:sz w:val="24"/>
          <w:highlight w:val="none"/>
        </w:rPr>
      </w:pPr>
      <w:r>
        <w:rPr>
          <w:rFonts w:hint="eastAsia" w:ascii="宋体" w:hAnsi="宋体" w:cs="宋体"/>
          <w:color w:val="auto"/>
          <w:sz w:val="24"/>
          <w:highlight w:val="none"/>
        </w:rPr>
        <w:t>　1.采购代理机构按照招标文件规定的时间通过电子交易平台组织开标、开启投标文件，所有供应商均应当准时在线参加，直至评审结束。</w:t>
      </w:r>
    </w:p>
    <w:p w14:paraId="3BCAEB99">
      <w:pPr>
        <w:pStyle w:val="60"/>
        <w:widowControl w:val="0"/>
        <w:wordWrap w:val="0"/>
        <w:overflowPunct w:val="0"/>
        <w:autoSpaceDE w:val="0"/>
        <w:autoSpaceDN w:val="0"/>
        <w:adjustRightInd/>
        <w:spacing w:before="0" w:beforeAutospacing="0" w:after="0" w:afterAutospacing="0" w:line="400" w:lineRule="exact"/>
        <w:ind w:firstLine="240" w:firstLineChars="100"/>
        <w:rPr>
          <w:rFonts w:cs="宋体"/>
          <w:color w:val="auto"/>
          <w:kern w:val="2"/>
          <w:highlight w:val="none"/>
        </w:rPr>
      </w:pPr>
      <w:r>
        <w:rPr>
          <w:rFonts w:hint="eastAsia" w:cs="宋体"/>
          <w:color w:val="auto"/>
          <w:kern w:val="2"/>
          <w:highlight w:val="none"/>
        </w:rPr>
        <w:t>　2.采购过程中出现以下情形，导致电子交易平台无法正常运行，或者无法保证电子交易的公平、公正和安全时，采购代理机构可中止电子交易活动：</w:t>
      </w:r>
    </w:p>
    <w:p w14:paraId="00E96D9C">
      <w:pPr>
        <w:pStyle w:val="60"/>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（一）电子交易平台发生故障而无法登录访问的； </w:t>
      </w:r>
    </w:p>
    <w:p w14:paraId="02F00B8C">
      <w:pPr>
        <w:pStyle w:val="60"/>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（二）电子交易平台应用或数据库出现错误，不能进行正常操作的；</w:t>
      </w:r>
    </w:p>
    <w:p w14:paraId="011B9372">
      <w:pPr>
        <w:pStyle w:val="60"/>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（三）电子交易平台发现严重安全漏洞，有潜在泄密危险的；</w:t>
      </w:r>
    </w:p>
    <w:p w14:paraId="023044DD">
      <w:pPr>
        <w:pStyle w:val="60"/>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（四）病毒发作导致不能进行正常操作的； </w:t>
      </w:r>
    </w:p>
    <w:p w14:paraId="42394E34">
      <w:pPr>
        <w:pStyle w:val="60"/>
        <w:widowControl w:val="0"/>
        <w:wordWrap w:val="0"/>
        <w:overflowPunct w:val="0"/>
        <w:autoSpaceDE w:val="0"/>
        <w:autoSpaceDN w:val="0"/>
        <w:adjustRightInd/>
        <w:spacing w:before="0" w:beforeAutospacing="0" w:after="0" w:afterAutospacing="0" w:line="400" w:lineRule="exact"/>
        <w:ind w:firstLine="645"/>
        <w:rPr>
          <w:rFonts w:cs="宋体"/>
          <w:color w:val="auto"/>
          <w:kern w:val="2"/>
          <w:highlight w:val="none"/>
        </w:rPr>
      </w:pPr>
      <w:r>
        <w:rPr>
          <w:rFonts w:hint="eastAsia" w:cs="宋体"/>
          <w:color w:val="auto"/>
          <w:kern w:val="2"/>
          <w:highlight w:val="none"/>
        </w:rPr>
        <w:t>（五）其他无法保证电子交易的公平、公正和安全的情况。</w:t>
      </w:r>
    </w:p>
    <w:p w14:paraId="4E600EF4">
      <w:pPr>
        <w:pStyle w:val="60"/>
        <w:widowControl w:val="0"/>
        <w:wordWrap w:val="0"/>
        <w:overflowPunct w:val="0"/>
        <w:autoSpaceDE w:val="0"/>
        <w:autoSpaceDN w:val="0"/>
        <w:adjustRightInd/>
        <w:spacing w:before="0" w:beforeAutospacing="0" w:after="0" w:afterAutospacing="0" w:line="400" w:lineRule="exact"/>
        <w:ind w:firstLine="480"/>
        <w:rPr>
          <w:rFonts w:cs="宋体"/>
          <w:color w:val="auto"/>
          <w:kern w:val="2"/>
          <w:highlight w:val="none"/>
        </w:rPr>
      </w:pPr>
      <w:r>
        <w:rPr>
          <w:rFonts w:hint="eastAsia" w:cs="宋体"/>
          <w:color w:val="auto"/>
          <w:kern w:val="2"/>
          <w:highlight w:val="none"/>
        </w:rPr>
        <w:t>出现前款规定情形，不影响采购公平、公正性的，采购代理机构可以待上述情形消除后继续组织电子交易活动，也可以决定某些环节以纸质形式进行；影响或可能影响采购公平、公正性的，应当重新采购。</w:t>
      </w:r>
    </w:p>
    <w:p w14:paraId="7BC66D02">
      <w:pPr>
        <w:pStyle w:val="60"/>
        <w:widowControl w:val="0"/>
        <w:wordWrap w:val="0"/>
        <w:overflowPunct w:val="0"/>
        <w:autoSpaceDE w:val="0"/>
        <w:autoSpaceDN w:val="0"/>
        <w:adjustRightInd/>
        <w:spacing w:before="0" w:beforeAutospacing="0" w:after="0" w:afterAutospacing="0" w:line="400" w:lineRule="exact"/>
        <w:ind w:firstLine="480"/>
        <w:rPr>
          <w:rFonts w:cs="宋体"/>
          <w:color w:val="auto"/>
          <w:highlight w:val="none"/>
          <w:shd w:val="clear" w:color="auto" w:fill="FFFFFF"/>
        </w:rPr>
      </w:pPr>
      <w:r>
        <w:rPr>
          <w:rFonts w:hint="eastAsia" w:cs="宋体"/>
          <w:color w:val="auto"/>
          <w:highlight w:val="none"/>
          <w:shd w:val="clear" w:color="auto" w:fill="FFFFFF"/>
        </w:rPr>
        <w:t>3.评审中需要供应商对投标文件作出澄清、说明或者补正的，评审小组和供应商应当通过电子交易平台交换数据电文。供应商需在半小时内提交澄清说明或补正，供应商已经明确表示澄清说明或补正完毕的除外。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71ECACBA">
      <w:pPr>
        <w:pStyle w:val="26"/>
        <w:wordWrap w:val="0"/>
        <w:overflowPunct w:val="0"/>
        <w:adjustRightInd/>
        <w:spacing w:line="400" w:lineRule="exact"/>
        <w:ind w:firstLine="487"/>
        <w:rPr>
          <w:rFonts w:hAnsi="宋体" w:cs="宋体"/>
          <w:color w:val="auto"/>
          <w:kern w:val="0"/>
          <w:szCs w:val="24"/>
          <w:highlight w:val="none"/>
          <w:shd w:val="clear" w:color="auto" w:fill="FFFFFF"/>
        </w:rPr>
      </w:pPr>
      <w:r>
        <w:rPr>
          <w:rFonts w:hint="eastAsia" w:hAnsi="宋体" w:cs="宋体"/>
          <w:color w:val="auto"/>
          <w:kern w:val="0"/>
          <w:szCs w:val="24"/>
          <w:highlight w:val="none"/>
          <w:shd w:val="clear" w:color="auto" w:fill="FFFFFF"/>
          <w:lang w:val="en-US"/>
        </w:rPr>
        <w:t>4</w:t>
      </w:r>
      <w:r>
        <w:rPr>
          <w:rFonts w:hint="eastAsia" w:hAnsi="宋体" w:cs="宋体"/>
          <w:color w:val="auto"/>
          <w:kern w:val="0"/>
          <w:szCs w:val="24"/>
          <w:highlight w:val="none"/>
          <w:shd w:val="clear" w:color="auto" w:fill="FFFFFF"/>
        </w:rPr>
        <w:t>.供应商须在采购代理机构宣布评审结束、产生中标候选人前时刻关注，配合专家组工作，如有询标（澄清、质疑），在约定时间内（具体时间以询标函上规定的时间为准备）通过</w:t>
      </w:r>
      <w:r>
        <w:rPr>
          <w:rFonts w:hint="eastAsia" w:hAnsi="宋体" w:cs="宋体"/>
          <w:color w:val="auto"/>
          <w:kern w:val="0"/>
          <w:szCs w:val="24"/>
          <w:highlight w:val="none"/>
          <w:shd w:val="clear" w:color="auto" w:fill="FFFFFF"/>
          <w:lang w:val="en-US"/>
        </w:rPr>
        <w:t>CA</w:t>
      </w:r>
      <w:r>
        <w:rPr>
          <w:rFonts w:hint="eastAsia" w:hAnsi="宋体" w:cs="宋体"/>
          <w:color w:val="auto"/>
          <w:kern w:val="0"/>
          <w:szCs w:val="24"/>
          <w:highlight w:val="none"/>
          <w:shd w:val="clear" w:color="auto" w:fill="FFFFFF"/>
        </w:rPr>
        <w:t>进行回复。未按要求回复的，视为放弃澄清。</w:t>
      </w:r>
    </w:p>
    <w:p w14:paraId="7530CD96">
      <w:pPr>
        <w:rPr>
          <w:color w:val="auto"/>
          <w:highlight w:val="none"/>
        </w:rPr>
      </w:pPr>
    </w:p>
    <w:p w14:paraId="46C55088">
      <w:pPr>
        <w:pStyle w:val="26"/>
        <w:wordWrap w:val="0"/>
        <w:overflowPunct w:val="0"/>
        <w:adjustRightInd/>
        <w:spacing w:beforeLines="10"/>
        <w:ind w:firstLine="487"/>
        <w:rPr>
          <w:rFonts w:hAnsi="宋体" w:cs="宋体"/>
          <w:color w:val="auto"/>
          <w:kern w:val="0"/>
          <w:highlight w:val="none"/>
          <w:shd w:val="clear" w:color="auto" w:fill="FFFFFF"/>
        </w:rPr>
      </w:pPr>
    </w:p>
    <w:p w14:paraId="45E06E9D">
      <w:pPr>
        <w:wordWrap w:val="0"/>
        <w:overflowPunct w:val="0"/>
        <w:autoSpaceDE w:val="0"/>
        <w:autoSpaceDN w:val="0"/>
        <w:snapToGrid w:val="0"/>
        <w:spacing w:line="360" w:lineRule="auto"/>
        <w:jc w:val="center"/>
        <w:rPr>
          <w:rFonts w:ascii="宋体" w:hAnsi="宋体" w:cs="宋体"/>
          <w:b/>
          <w:bCs/>
          <w:color w:val="auto"/>
          <w:sz w:val="28"/>
          <w:highlight w:val="none"/>
        </w:rPr>
      </w:pPr>
      <w:r>
        <w:rPr>
          <w:rFonts w:hint="eastAsia" w:ascii="宋体" w:hAnsi="宋体" w:cs="宋体"/>
          <w:b/>
          <w:bCs/>
          <w:color w:val="auto"/>
          <w:sz w:val="28"/>
          <w:highlight w:val="none"/>
        </w:rPr>
        <w:t>前附表</w:t>
      </w:r>
    </w:p>
    <w:tbl>
      <w:tblPr>
        <w:tblStyle w:val="64"/>
        <w:tblW w:w="0" w:type="auto"/>
        <w:tblInd w:w="142" w:type="dxa"/>
        <w:tblLayout w:type="fixed"/>
        <w:tblCellMar>
          <w:top w:w="0" w:type="dxa"/>
          <w:left w:w="108" w:type="dxa"/>
          <w:bottom w:w="0" w:type="dxa"/>
          <w:right w:w="108" w:type="dxa"/>
        </w:tblCellMar>
      </w:tblPr>
      <w:tblGrid>
        <w:gridCol w:w="744"/>
        <w:gridCol w:w="8399"/>
      </w:tblGrid>
      <w:tr w14:paraId="1804A50A">
        <w:tblPrEx>
          <w:tblCellMar>
            <w:top w:w="0" w:type="dxa"/>
            <w:left w:w="108" w:type="dxa"/>
            <w:bottom w:w="0" w:type="dxa"/>
            <w:right w:w="108" w:type="dxa"/>
          </w:tblCellMar>
        </w:tblPrEx>
        <w:trPr>
          <w:trHeight w:val="618" w:hRule="atLeast"/>
        </w:trPr>
        <w:tc>
          <w:tcPr>
            <w:tcW w:w="744" w:type="dxa"/>
            <w:tcBorders>
              <w:top w:val="single" w:color="auto" w:sz="4" w:space="0"/>
              <w:left w:val="single" w:color="auto" w:sz="4" w:space="0"/>
              <w:bottom w:val="single" w:color="auto" w:sz="4" w:space="0"/>
              <w:right w:val="single" w:color="auto" w:sz="4" w:space="0"/>
            </w:tcBorders>
            <w:shd w:val="clear" w:color="auto" w:fill="EEECE1"/>
            <w:vAlign w:val="center"/>
          </w:tcPr>
          <w:p w14:paraId="3252BC89">
            <w:pPr>
              <w:wordWrap w:val="0"/>
              <w:overflowPunct w:val="0"/>
              <w:autoSpaceDE w:val="0"/>
              <w:autoSpaceDN w:val="0"/>
              <w:snapToGrid w:val="0"/>
              <w:spacing w:beforeLines="10" w:afterLines="10" w:line="400" w:lineRule="exac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8399" w:type="dxa"/>
            <w:tcBorders>
              <w:top w:val="single" w:color="auto" w:sz="4" w:space="0"/>
              <w:left w:val="nil"/>
              <w:bottom w:val="single" w:color="auto" w:sz="4" w:space="0"/>
              <w:right w:val="single" w:color="auto" w:sz="4" w:space="0"/>
            </w:tcBorders>
            <w:shd w:val="clear" w:color="auto" w:fill="EEECE1"/>
            <w:vAlign w:val="center"/>
          </w:tcPr>
          <w:p w14:paraId="2F927B33">
            <w:pPr>
              <w:wordWrap w:val="0"/>
              <w:overflowPunct w:val="0"/>
              <w:autoSpaceDE w:val="0"/>
              <w:autoSpaceDN w:val="0"/>
              <w:snapToGrid w:val="0"/>
              <w:spacing w:beforeLines="10" w:afterLines="10" w:line="400" w:lineRule="exact"/>
              <w:jc w:val="center"/>
              <w:rPr>
                <w:rFonts w:ascii="宋体" w:hAnsi="宋体" w:cs="宋体"/>
                <w:b/>
                <w:color w:val="auto"/>
                <w:sz w:val="24"/>
                <w:highlight w:val="none"/>
              </w:rPr>
            </w:pPr>
            <w:r>
              <w:rPr>
                <w:rFonts w:hint="eastAsia" w:ascii="宋体" w:hAnsi="宋体" w:cs="宋体"/>
                <w:b/>
                <w:color w:val="auto"/>
                <w:sz w:val="24"/>
                <w:highlight w:val="none"/>
              </w:rPr>
              <w:t>内容、要求</w:t>
            </w:r>
          </w:p>
        </w:tc>
      </w:tr>
      <w:tr w14:paraId="3DF63503">
        <w:tblPrEx>
          <w:tblCellMar>
            <w:top w:w="0" w:type="dxa"/>
            <w:left w:w="108" w:type="dxa"/>
            <w:bottom w:w="0" w:type="dxa"/>
            <w:right w:w="108" w:type="dxa"/>
          </w:tblCellMar>
        </w:tblPrEx>
        <w:trPr>
          <w:trHeight w:val="415" w:hRule="atLeast"/>
        </w:trPr>
        <w:tc>
          <w:tcPr>
            <w:tcW w:w="744" w:type="dxa"/>
            <w:tcBorders>
              <w:top w:val="single" w:color="auto" w:sz="4" w:space="0"/>
              <w:left w:val="single" w:color="auto" w:sz="4" w:space="0"/>
              <w:bottom w:val="single" w:color="auto" w:sz="4" w:space="0"/>
              <w:right w:val="single" w:color="auto" w:sz="4" w:space="0"/>
            </w:tcBorders>
            <w:vAlign w:val="center"/>
          </w:tcPr>
          <w:p w14:paraId="104FF6CA">
            <w:pPr>
              <w:wordWrap w:val="0"/>
              <w:overflowPunct w:val="0"/>
              <w:autoSpaceDE w:val="0"/>
              <w:autoSpaceDN w:val="0"/>
              <w:adjustRightInd/>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8399" w:type="dxa"/>
            <w:tcBorders>
              <w:top w:val="single" w:color="auto" w:sz="4" w:space="0"/>
              <w:left w:val="nil"/>
              <w:bottom w:val="single" w:color="auto" w:sz="4" w:space="0"/>
              <w:right w:val="single" w:color="auto" w:sz="4" w:space="0"/>
            </w:tcBorders>
            <w:vAlign w:val="center"/>
          </w:tcPr>
          <w:p w14:paraId="29A65F2A">
            <w:pPr>
              <w:pStyle w:val="35"/>
              <w:wordWrap w:val="0"/>
              <w:overflowPunct w:val="0"/>
              <w:autoSpaceDE w:val="0"/>
              <w:autoSpaceDN w:val="0"/>
              <w:adjustRightInd/>
              <w:snapToGrid w:val="0"/>
              <w:spacing w:beforeLines="10" w:afterLines="10" w:line="400" w:lineRule="exact"/>
              <w:rPr>
                <w:rFonts w:hAnsi="宋体" w:cs="宋体"/>
                <w:color w:val="auto"/>
                <w:sz w:val="24"/>
                <w:szCs w:val="24"/>
                <w:highlight w:val="none"/>
              </w:rPr>
            </w:pPr>
            <w:r>
              <w:rPr>
                <w:rFonts w:hint="eastAsia" w:hAnsi="宋体" w:cs="宋体"/>
                <w:color w:val="auto"/>
                <w:sz w:val="24"/>
                <w:szCs w:val="24"/>
                <w:highlight w:val="none"/>
              </w:rPr>
              <w:t xml:space="preserve">    项目名称：嘉善县实验幼儿园（兴贤）玩具采购</w:t>
            </w:r>
          </w:p>
        </w:tc>
      </w:tr>
      <w:tr w14:paraId="5D14498E">
        <w:tblPrEx>
          <w:tblCellMar>
            <w:top w:w="0" w:type="dxa"/>
            <w:left w:w="108" w:type="dxa"/>
            <w:bottom w:w="0" w:type="dxa"/>
            <w:right w:w="108" w:type="dxa"/>
          </w:tblCellMar>
        </w:tblPrEx>
        <w:trPr>
          <w:trHeight w:val="277" w:hRule="atLeast"/>
        </w:trPr>
        <w:tc>
          <w:tcPr>
            <w:tcW w:w="744" w:type="dxa"/>
            <w:tcBorders>
              <w:top w:val="single" w:color="auto" w:sz="4" w:space="0"/>
              <w:left w:val="single" w:color="auto" w:sz="4" w:space="0"/>
              <w:bottom w:val="single" w:color="auto" w:sz="4" w:space="0"/>
              <w:right w:val="single" w:color="auto" w:sz="4" w:space="0"/>
            </w:tcBorders>
            <w:vAlign w:val="center"/>
          </w:tcPr>
          <w:p w14:paraId="3FD59850">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8399" w:type="dxa"/>
            <w:tcBorders>
              <w:top w:val="single" w:color="auto" w:sz="4" w:space="0"/>
              <w:left w:val="nil"/>
              <w:bottom w:val="single" w:color="auto" w:sz="4" w:space="0"/>
              <w:right w:val="single" w:color="auto" w:sz="4" w:space="0"/>
            </w:tcBorders>
            <w:vAlign w:val="center"/>
          </w:tcPr>
          <w:p w14:paraId="7146B744">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采购内容：详见第二章。</w:t>
            </w:r>
          </w:p>
        </w:tc>
      </w:tr>
      <w:tr w14:paraId="0BEFE592">
        <w:tblPrEx>
          <w:tblCellMar>
            <w:top w:w="0" w:type="dxa"/>
            <w:left w:w="108" w:type="dxa"/>
            <w:bottom w:w="0" w:type="dxa"/>
            <w:right w:w="108" w:type="dxa"/>
          </w:tblCellMar>
        </w:tblPrEx>
        <w:trPr>
          <w:trHeight w:val="413" w:hRule="atLeast"/>
        </w:trPr>
        <w:tc>
          <w:tcPr>
            <w:tcW w:w="744" w:type="dxa"/>
            <w:tcBorders>
              <w:top w:val="single" w:color="auto" w:sz="4" w:space="0"/>
              <w:left w:val="single" w:color="auto" w:sz="4" w:space="0"/>
              <w:bottom w:val="single" w:color="auto" w:sz="4" w:space="0"/>
              <w:right w:val="single" w:color="auto" w:sz="4" w:space="0"/>
            </w:tcBorders>
            <w:vAlign w:val="center"/>
          </w:tcPr>
          <w:p w14:paraId="6DA09345">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399" w:type="dxa"/>
            <w:tcBorders>
              <w:top w:val="single" w:color="auto" w:sz="4" w:space="0"/>
              <w:left w:val="nil"/>
              <w:bottom w:val="single" w:color="auto" w:sz="4" w:space="0"/>
              <w:right w:val="single" w:color="auto" w:sz="4" w:space="0"/>
            </w:tcBorders>
            <w:vAlign w:val="center"/>
          </w:tcPr>
          <w:p w14:paraId="12753745">
            <w:pPr>
              <w:pStyle w:val="60"/>
              <w:widowControl w:val="0"/>
              <w:overflowPunct w:val="0"/>
              <w:topLinePunct/>
              <w:autoSpaceDE w:val="0"/>
              <w:autoSpaceDN w:val="0"/>
              <w:spacing w:beforeLines="10" w:beforeAutospacing="0" w:afterLines="10" w:afterAutospacing="0" w:line="400" w:lineRule="exact"/>
              <w:ind w:firstLine="480" w:firstLineChars="200"/>
              <w:rPr>
                <w:rFonts w:cs="宋体"/>
                <w:color w:val="auto"/>
                <w:highlight w:val="none"/>
              </w:rPr>
            </w:pPr>
            <w:r>
              <w:rPr>
                <w:rFonts w:hint="eastAsia" w:cs="宋体"/>
                <w:color w:val="auto"/>
                <w:highlight w:val="none"/>
              </w:rPr>
              <w:t>项目预算：</w:t>
            </w:r>
            <w:r>
              <w:rPr>
                <w:rFonts w:hint="eastAsia" w:cs="宋体"/>
                <w:color w:val="auto"/>
                <w:highlight w:val="none"/>
                <w:u w:val="single"/>
              </w:rPr>
              <w:t>105.4464万元</w:t>
            </w:r>
            <w:r>
              <w:rPr>
                <w:rFonts w:hint="eastAsia" w:cs="宋体"/>
                <w:color w:val="auto"/>
                <w:highlight w:val="none"/>
              </w:rPr>
              <w:t>。</w:t>
            </w:r>
          </w:p>
          <w:p w14:paraId="5C0D2587">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最高限价：</w:t>
            </w:r>
            <w:r>
              <w:rPr>
                <w:rFonts w:hint="eastAsia" w:ascii="宋体" w:hAnsi="宋体" w:cs="宋体"/>
                <w:color w:val="auto"/>
                <w:sz w:val="24"/>
                <w:highlight w:val="none"/>
                <w:u w:val="single"/>
              </w:rPr>
              <w:t>105.4464万元</w:t>
            </w:r>
            <w:r>
              <w:rPr>
                <w:rFonts w:hint="eastAsia" w:ascii="宋体" w:hAnsi="宋体" w:cs="宋体"/>
                <w:color w:val="auto"/>
                <w:sz w:val="24"/>
                <w:highlight w:val="none"/>
              </w:rPr>
              <w:t>，超最高限价的投标文件无效。</w:t>
            </w:r>
          </w:p>
        </w:tc>
      </w:tr>
      <w:tr w14:paraId="44F55CDA">
        <w:tblPrEx>
          <w:tblCellMar>
            <w:top w:w="0" w:type="dxa"/>
            <w:left w:w="108" w:type="dxa"/>
            <w:bottom w:w="0" w:type="dxa"/>
            <w:right w:w="108" w:type="dxa"/>
          </w:tblCellMar>
        </w:tblPrEx>
        <w:trPr>
          <w:trHeight w:val="254" w:hRule="atLeast"/>
        </w:trPr>
        <w:tc>
          <w:tcPr>
            <w:tcW w:w="744" w:type="dxa"/>
            <w:tcBorders>
              <w:top w:val="single" w:color="auto" w:sz="4" w:space="0"/>
              <w:left w:val="single" w:color="auto" w:sz="4" w:space="0"/>
              <w:bottom w:val="single" w:color="auto" w:sz="4" w:space="0"/>
              <w:right w:val="single" w:color="auto" w:sz="4" w:space="0"/>
            </w:tcBorders>
            <w:vAlign w:val="center"/>
          </w:tcPr>
          <w:p w14:paraId="41E0052E">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8399" w:type="dxa"/>
            <w:tcBorders>
              <w:top w:val="single" w:color="auto" w:sz="4" w:space="0"/>
              <w:left w:val="nil"/>
              <w:bottom w:val="single" w:color="auto" w:sz="4" w:space="0"/>
              <w:right w:val="single" w:color="auto" w:sz="4" w:space="0"/>
            </w:tcBorders>
            <w:vAlign w:val="center"/>
          </w:tcPr>
          <w:p w14:paraId="08C9FA54">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投标报价及费用：</w:t>
            </w:r>
          </w:p>
          <w:p w14:paraId="70059894">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1.本项目投标应以人民币报价；</w:t>
            </w:r>
          </w:p>
          <w:p w14:paraId="1E64F944">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2.不论投标结果如何，投标人均应自行承担所有与投标有关的全部费用。</w:t>
            </w:r>
          </w:p>
        </w:tc>
      </w:tr>
      <w:tr w14:paraId="0857DED4">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714DB31D">
            <w:pPr>
              <w:wordWrap w:val="0"/>
              <w:overflowPunct w:val="0"/>
              <w:autoSpaceDE w:val="0"/>
              <w:autoSpaceDN w:val="0"/>
              <w:adjustRightInd/>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8399" w:type="dxa"/>
            <w:tcBorders>
              <w:top w:val="single" w:color="auto" w:sz="4" w:space="0"/>
              <w:left w:val="nil"/>
              <w:bottom w:val="single" w:color="auto" w:sz="4" w:space="0"/>
              <w:right w:val="single" w:color="auto" w:sz="4" w:space="0"/>
            </w:tcBorders>
            <w:vAlign w:val="center"/>
          </w:tcPr>
          <w:p w14:paraId="0753F552">
            <w:pPr>
              <w:wordWrap w:val="0"/>
              <w:overflowPunct w:val="0"/>
              <w:autoSpaceDE w:val="0"/>
              <w:autoSpaceDN w:val="0"/>
              <w:adjustRightInd/>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投标保证金：无。</w:t>
            </w:r>
          </w:p>
        </w:tc>
      </w:tr>
      <w:tr w14:paraId="2B56FA3A">
        <w:tblPrEx>
          <w:tblCellMar>
            <w:top w:w="0" w:type="dxa"/>
            <w:left w:w="108" w:type="dxa"/>
            <w:bottom w:w="0" w:type="dxa"/>
            <w:right w:w="108" w:type="dxa"/>
          </w:tblCellMar>
        </w:tblPrEx>
        <w:trPr>
          <w:trHeight w:val="828" w:hRule="atLeast"/>
        </w:trPr>
        <w:tc>
          <w:tcPr>
            <w:tcW w:w="744" w:type="dxa"/>
            <w:tcBorders>
              <w:top w:val="single" w:color="auto" w:sz="4" w:space="0"/>
              <w:left w:val="single" w:color="auto" w:sz="4" w:space="0"/>
              <w:bottom w:val="single" w:color="auto" w:sz="4" w:space="0"/>
              <w:right w:val="single" w:color="auto" w:sz="4" w:space="0"/>
            </w:tcBorders>
            <w:vAlign w:val="center"/>
          </w:tcPr>
          <w:p w14:paraId="76679A30">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6</w:t>
            </w:r>
          </w:p>
        </w:tc>
        <w:tc>
          <w:tcPr>
            <w:tcW w:w="8399" w:type="dxa"/>
            <w:tcBorders>
              <w:top w:val="single" w:color="auto" w:sz="4" w:space="0"/>
              <w:left w:val="nil"/>
              <w:bottom w:val="single" w:color="auto" w:sz="4" w:space="0"/>
              <w:right w:val="single" w:color="auto" w:sz="4" w:space="0"/>
            </w:tcBorders>
            <w:vAlign w:val="center"/>
          </w:tcPr>
          <w:p w14:paraId="2768E824">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答疑与澄清：投标人应认真阅读本招标文件，发现其中有误或有不合理要求的，投标人必须在知道或者应当知道之日起七个工作日内以书面形式向采购人一次性提出。采购代理机构对已发出的招标文件进行必要澄清、答复、修改或补充的，应当在招标文件要求提交投标文件截止时间十五日前，在浙江政府采购网(https://zfcg.czt.zj.gov.cn/)上发布更正公告，请投标人在投标截止前及时关注。招标文件的要澄清、答复、修改或补充，一经在上述媒体发布，即视所有投标人都已经收到相关文件。</w:t>
            </w:r>
          </w:p>
        </w:tc>
      </w:tr>
      <w:tr w14:paraId="67BA88D5">
        <w:tblPrEx>
          <w:tblCellMar>
            <w:top w:w="0" w:type="dxa"/>
            <w:left w:w="108" w:type="dxa"/>
            <w:bottom w:w="0" w:type="dxa"/>
            <w:right w:w="108" w:type="dxa"/>
          </w:tblCellMar>
        </w:tblPrEx>
        <w:trPr>
          <w:trHeight w:val="586" w:hRule="atLeast"/>
        </w:trPr>
        <w:tc>
          <w:tcPr>
            <w:tcW w:w="744" w:type="dxa"/>
            <w:tcBorders>
              <w:top w:val="single" w:color="auto" w:sz="4" w:space="0"/>
              <w:left w:val="single" w:color="auto" w:sz="4" w:space="0"/>
              <w:bottom w:val="single" w:color="auto" w:sz="4" w:space="0"/>
              <w:right w:val="single" w:color="auto" w:sz="4" w:space="0"/>
            </w:tcBorders>
            <w:vAlign w:val="center"/>
          </w:tcPr>
          <w:p w14:paraId="779C08DF">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7</w:t>
            </w:r>
          </w:p>
        </w:tc>
        <w:tc>
          <w:tcPr>
            <w:tcW w:w="8399" w:type="dxa"/>
            <w:tcBorders>
              <w:top w:val="single" w:color="auto" w:sz="4" w:space="0"/>
              <w:left w:val="nil"/>
              <w:bottom w:val="single" w:color="auto" w:sz="4" w:space="0"/>
              <w:right w:val="single" w:color="auto" w:sz="4" w:space="0"/>
            </w:tcBorders>
            <w:vAlign w:val="center"/>
          </w:tcPr>
          <w:p w14:paraId="0D230279">
            <w:pPr>
              <w:wordWrap w:val="0"/>
              <w:overflowPunct w:val="0"/>
              <w:autoSpaceDE w:val="0"/>
              <w:autoSpaceDN w:val="0"/>
              <w:snapToGrid w:val="0"/>
              <w:spacing w:beforeLines="10" w:afterLines="10" w:line="400" w:lineRule="exact"/>
              <w:rPr>
                <w:rFonts w:ascii="宋体" w:hAnsi="宋体" w:cs="宋体"/>
                <w:bCs/>
                <w:color w:val="auto"/>
                <w:sz w:val="24"/>
                <w:highlight w:val="none"/>
              </w:rPr>
            </w:pPr>
            <w:r>
              <w:rPr>
                <w:rFonts w:hint="eastAsia" w:ascii="宋体" w:hAnsi="宋体" w:cs="宋体"/>
                <w:bCs/>
                <w:color w:val="auto"/>
                <w:sz w:val="24"/>
                <w:highlight w:val="none"/>
              </w:rPr>
              <w:t xml:space="preserve">    采购公告发布后，在政采云平台已完成注册的供应商登录系统，申请获取采购文件，待审核通过后，可下载采购文件。如果“已申请”标签页显示状态为“审核通过”即为报名成功。</w:t>
            </w:r>
          </w:p>
          <w:p w14:paraId="6E4ECA78">
            <w:pPr>
              <w:wordWrap w:val="0"/>
              <w:overflowPunct w:val="0"/>
              <w:autoSpaceDE w:val="0"/>
              <w:autoSpaceDN w:val="0"/>
              <w:snapToGrid w:val="0"/>
              <w:spacing w:beforeLines="10" w:afterLines="10" w:line="400" w:lineRule="exact"/>
              <w:rPr>
                <w:rFonts w:ascii="宋体" w:hAnsi="宋体" w:cs="宋体"/>
                <w:bCs/>
                <w:color w:val="auto"/>
                <w:sz w:val="24"/>
                <w:highlight w:val="none"/>
              </w:rPr>
            </w:pPr>
            <w:r>
              <w:rPr>
                <w:rFonts w:hint="eastAsia" w:ascii="宋体" w:hAnsi="宋体" w:cs="宋体"/>
                <w:bCs/>
                <w:color w:val="auto"/>
                <w:sz w:val="24"/>
                <w:highlight w:val="none"/>
              </w:rPr>
              <w:t xml:space="preserve">    路径：用户中心——项目采购——获取采购文件管理。</w:t>
            </w:r>
          </w:p>
          <w:p w14:paraId="47922E3B">
            <w:pPr>
              <w:wordWrap w:val="0"/>
              <w:overflowPunct w:val="0"/>
              <w:autoSpaceDE w:val="0"/>
              <w:autoSpaceDN w:val="0"/>
              <w:snapToGrid w:val="0"/>
              <w:spacing w:beforeLines="10" w:afterLines="10" w:line="400" w:lineRule="exact"/>
              <w:rPr>
                <w:rFonts w:ascii="宋体" w:hAnsi="宋体" w:cs="宋体"/>
                <w:bCs/>
                <w:color w:val="auto"/>
                <w:sz w:val="24"/>
                <w:highlight w:val="none"/>
              </w:rPr>
            </w:pPr>
            <w:r>
              <w:rPr>
                <w:rFonts w:hint="eastAsia" w:ascii="宋体" w:hAnsi="宋体" w:cs="宋体"/>
                <w:bCs/>
                <w:color w:val="auto"/>
                <w:sz w:val="24"/>
                <w:highlight w:val="none"/>
              </w:rPr>
              <w:t xml:space="preserve">    在“已获取”的状态下，供应商可下载查看招标文件。</w:t>
            </w:r>
          </w:p>
          <w:p w14:paraId="7BB7CC04">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bCs/>
                <w:color w:val="auto"/>
                <w:sz w:val="24"/>
                <w:highlight w:val="none"/>
              </w:rPr>
              <w:t xml:space="preserve">    获取采购文件网址：浙江政府采购网（https://zfcg.czt.zj.gov.cn/）</w:t>
            </w:r>
          </w:p>
        </w:tc>
      </w:tr>
      <w:tr w14:paraId="677993B3">
        <w:tblPrEx>
          <w:tblCellMar>
            <w:top w:w="0" w:type="dxa"/>
            <w:left w:w="108" w:type="dxa"/>
            <w:bottom w:w="0" w:type="dxa"/>
            <w:right w:w="108" w:type="dxa"/>
          </w:tblCellMar>
        </w:tblPrEx>
        <w:trPr>
          <w:trHeight w:val="204" w:hRule="atLeast"/>
        </w:trPr>
        <w:tc>
          <w:tcPr>
            <w:tcW w:w="744" w:type="dxa"/>
            <w:tcBorders>
              <w:top w:val="single" w:color="auto" w:sz="4" w:space="0"/>
              <w:left w:val="single" w:color="auto" w:sz="4" w:space="0"/>
              <w:bottom w:val="single" w:color="auto" w:sz="4" w:space="0"/>
              <w:right w:val="single" w:color="auto" w:sz="4" w:space="0"/>
            </w:tcBorders>
            <w:vAlign w:val="center"/>
          </w:tcPr>
          <w:p w14:paraId="42458932">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8399" w:type="dxa"/>
            <w:tcBorders>
              <w:top w:val="single" w:color="auto" w:sz="4" w:space="0"/>
              <w:left w:val="nil"/>
              <w:bottom w:val="single" w:color="auto" w:sz="4" w:space="0"/>
              <w:right w:val="single" w:color="auto" w:sz="4" w:space="0"/>
            </w:tcBorders>
            <w:vAlign w:val="center"/>
          </w:tcPr>
          <w:p w14:paraId="16A37C99">
            <w:pPr>
              <w:wordWrap w:val="0"/>
              <w:overflowPunct w:val="0"/>
              <w:autoSpaceDE w:val="0"/>
              <w:autoSpaceDN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投标文件形式、制作及组成：</w:t>
            </w:r>
          </w:p>
          <w:p w14:paraId="118F91F6">
            <w:pPr>
              <w:wordWrap w:val="0"/>
              <w:overflowPunct w:val="0"/>
              <w:autoSpaceDE w:val="0"/>
              <w:autoSpaceDN w:val="0"/>
              <w:snapToGrid w:val="0"/>
              <w:spacing w:beforeLines="10" w:afterLines="10" w:line="400" w:lineRule="exact"/>
              <w:rPr>
                <w:rFonts w:ascii="宋体" w:hAnsi="宋体" w:cs="宋体"/>
                <w:color w:val="auto"/>
                <w:kern w:val="0"/>
                <w:sz w:val="24"/>
                <w:highlight w:val="none"/>
              </w:rPr>
            </w:pPr>
            <w:r>
              <w:rPr>
                <w:rFonts w:hint="eastAsia" w:ascii="宋体" w:hAnsi="宋体" w:cs="宋体"/>
                <w:color w:val="auto"/>
                <w:kern w:val="0"/>
                <w:sz w:val="24"/>
                <w:highlight w:val="none"/>
              </w:rPr>
              <w:t xml:space="preserve">    投标人应准备电子加密投标文件，按政采云平台供应商项目采购-电子招投标操作指南（网址：https://service.zcygov.cn/#/knowledges/CW1EtGwBFdiHxlNd6I3m/6IMVAG0BFdiHxlNdQ8Na?keyword）及本招标文件要求递交。</w:t>
            </w:r>
          </w:p>
          <w:p w14:paraId="6F53A4D4">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投标文件均由资格文件、商务技术文件、报价文件组成。</w:t>
            </w:r>
          </w:p>
        </w:tc>
      </w:tr>
      <w:tr w14:paraId="13DC3FAB">
        <w:tblPrEx>
          <w:tblCellMar>
            <w:top w:w="0" w:type="dxa"/>
            <w:left w:w="108" w:type="dxa"/>
            <w:bottom w:w="0" w:type="dxa"/>
            <w:right w:w="108" w:type="dxa"/>
          </w:tblCellMar>
        </w:tblPrEx>
        <w:trPr>
          <w:trHeight w:val="346" w:hRule="atLeast"/>
        </w:trPr>
        <w:tc>
          <w:tcPr>
            <w:tcW w:w="744" w:type="dxa"/>
            <w:tcBorders>
              <w:top w:val="single" w:color="auto" w:sz="4" w:space="0"/>
              <w:left w:val="single" w:color="auto" w:sz="4" w:space="0"/>
              <w:bottom w:val="single" w:color="auto" w:sz="4" w:space="0"/>
              <w:right w:val="single" w:color="auto" w:sz="4" w:space="0"/>
            </w:tcBorders>
            <w:vAlign w:val="center"/>
          </w:tcPr>
          <w:p w14:paraId="3AF83AC8">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9</w:t>
            </w:r>
          </w:p>
        </w:tc>
        <w:tc>
          <w:tcPr>
            <w:tcW w:w="8399" w:type="dxa"/>
            <w:tcBorders>
              <w:top w:val="single" w:color="auto" w:sz="4" w:space="0"/>
              <w:left w:val="nil"/>
              <w:bottom w:val="single" w:color="auto" w:sz="4" w:space="0"/>
              <w:right w:val="single" w:color="auto" w:sz="4" w:space="0"/>
            </w:tcBorders>
            <w:vAlign w:val="center"/>
          </w:tcPr>
          <w:p w14:paraId="0141A21F">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投标截止时间：</w:t>
            </w:r>
            <w:r>
              <w:rPr>
                <w:rFonts w:hint="eastAsia" w:ascii="仿宋_GB2312" w:hAnsi="仿宋" w:eastAsia="仿宋_GB2312"/>
                <w:color w:val="auto"/>
                <w:sz w:val="24"/>
                <w:highlight w:val="none"/>
                <w:u w:val="single"/>
              </w:rPr>
              <w:t>2024年</w:t>
            </w:r>
            <w:r>
              <w:rPr>
                <w:rFonts w:hint="eastAsia" w:ascii="仿宋_GB2312" w:hAnsi="仿宋" w:eastAsia="仿宋_GB2312"/>
                <w:color w:val="auto"/>
                <w:sz w:val="24"/>
                <w:highlight w:val="none"/>
                <w:u w:val="single"/>
                <w:lang w:eastAsia="zh-CN"/>
              </w:rPr>
              <w:t>8月14日</w:t>
            </w:r>
            <w:r>
              <w:rPr>
                <w:rFonts w:hint="eastAsia" w:ascii="仿宋_GB2312" w:hAnsi="仿宋" w:eastAsia="仿宋_GB2312"/>
                <w:color w:val="auto"/>
                <w:sz w:val="24"/>
                <w:highlight w:val="none"/>
                <w:u w:val="single"/>
              </w:rPr>
              <w:t>9点30分</w:t>
            </w:r>
          </w:p>
          <w:p w14:paraId="6AA8FC4D">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投标地点：政采云平台（https://www.zcygov.cn/）</w:t>
            </w:r>
          </w:p>
        </w:tc>
      </w:tr>
      <w:tr w14:paraId="023AFBBB">
        <w:tblPrEx>
          <w:tblCellMar>
            <w:top w:w="0" w:type="dxa"/>
            <w:left w:w="108" w:type="dxa"/>
            <w:bottom w:w="0" w:type="dxa"/>
            <w:right w:w="108" w:type="dxa"/>
          </w:tblCellMar>
        </w:tblPrEx>
        <w:trPr>
          <w:trHeight w:val="313" w:hRule="atLeast"/>
        </w:trPr>
        <w:tc>
          <w:tcPr>
            <w:tcW w:w="744" w:type="dxa"/>
            <w:tcBorders>
              <w:top w:val="single" w:color="auto" w:sz="4" w:space="0"/>
              <w:left w:val="single" w:color="auto" w:sz="4" w:space="0"/>
              <w:bottom w:val="single" w:color="auto" w:sz="4" w:space="0"/>
              <w:right w:val="single" w:color="auto" w:sz="4" w:space="0"/>
            </w:tcBorders>
            <w:vAlign w:val="center"/>
          </w:tcPr>
          <w:p w14:paraId="748FECAB">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10</w:t>
            </w:r>
          </w:p>
        </w:tc>
        <w:tc>
          <w:tcPr>
            <w:tcW w:w="8399" w:type="dxa"/>
            <w:tcBorders>
              <w:top w:val="single" w:color="auto" w:sz="4" w:space="0"/>
              <w:left w:val="nil"/>
              <w:bottom w:val="single" w:color="auto" w:sz="4" w:space="0"/>
              <w:right w:val="single" w:color="auto" w:sz="4" w:space="0"/>
            </w:tcBorders>
            <w:vAlign w:val="center"/>
          </w:tcPr>
          <w:p w14:paraId="07CFE381">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kern w:val="0"/>
                <w:sz w:val="24"/>
                <w:highlight w:val="none"/>
              </w:rPr>
              <w:t>电子加密投标文件的传输递交：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tc>
      </w:tr>
      <w:tr w14:paraId="3BF7F356">
        <w:tblPrEx>
          <w:tblCellMar>
            <w:top w:w="0" w:type="dxa"/>
            <w:left w:w="108" w:type="dxa"/>
            <w:bottom w:w="0" w:type="dxa"/>
            <w:right w:w="108" w:type="dxa"/>
          </w:tblCellMar>
        </w:tblPrEx>
        <w:trPr>
          <w:trHeight w:val="598" w:hRule="atLeast"/>
        </w:trPr>
        <w:tc>
          <w:tcPr>
            <w:tcW w:w="744" w:type="dxa"/>
            <w:tcBorders>
              <w:top w:val="single" w:color="auto" w:sz="4" w:space="0"/>
              <w:left w:val="single" w:color="auto" w:sz="4" w:space="0"/>
              <w:bottom w:val="single" w:color="auto" w:sz="4" w:space="0"/>
              <w:right w:val="single" w:color="auto" w:sz="4" w:space="0"/>
            </w:tcBorders>
            <w:vAlign w:val="center"/>
          </w:tcPr>
          <w:p w14:paraId="46D9F3B6">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11</w:t>
            </w:r>
          </w:p>
        </w:tc>
        <w:tc>
          <w:tcPr>
            <w:tcW w:w="8399" w:type="dxa"/>
            <w:tcBorders>
              <w:top w:val="single" w:color="auto" w:sz="4" w:space="0"/>
              <w:left w:val="nil"/>
              <w:bottom w:val="single" w:color="auto" w:sz="4" w:space="0"/>
              <w:right w:val="single" w:color="auto" w:sz="4" w:space="0"/>
            </w:tcBorders>
            <w:vAlign w:val="center"/>
          </w:tcPr>
          <w:p w14:paraId="3CB2B395">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开标时间：</w:t>
            </w:r>
            <w:r>
              <w:rPr>
                <w:rFonts w:hint="eastAsia" w:ascii="仿宋_GB2312" w:hAnsi="仿宋" w:eastAsia="仿宋_GB2312"/>
                <w:color w:val="auto"/>
                <w:sz w:val="24"/>
                <w:highlight w:val="none"/>
                <w:u w:val="single"/>
              </w:rPr>
              <w:t>2024年</w:t>
            </w:r>
            <w:r>
              <w:rPr>
                <w:rFonts w:hint="eastAsia" w:ascii="仿宋_GB2312" w:hAnsi="仿宋" w:eastAsia="仿宋_GB2312"/>
                <w:color w:val="auto"/>
                <w:sz w:val="24"/>
                <w:highlight w:val="none"/>
                <w:u w:val="single"/>
                <w:lang w:eastAsia="zh-CN"/>
              </w:rPr>
              <w:t>8月14日</w:t>
            </w:r>
            <w:r>
              <w:rPr>
                <w:rFonts w:hint="eastAsia" w:ascii="仿宋_GB2312" w:hAnsi="仿宋" w:eastAsia="仿宋_GB2312"/>
                <w:color w:val="auto"/>
                <w:sz w:val="24"/>
                <w:highlight w:val="none"/>
                <w:u w:val="single"/>
              </w:rPr>
              <w:t>9点30分</w:t>
            </w:r>
          </w:p>
          <w:p w14:paraId="3C5734A6">
            <w:pPr>
              <w:wordWrap w:val="0"/>
              <w:overflowPunct w:val="0"/>
              <w:autoSpaceDE w:val="0"/>
              <w:autoSpaceDN w:val="0"/>
              <w:snapToGrid w:val="0"/>
              <w:spacing w:beforeLines="10" w:afterLines="10" w:line="400" w:lineRule="exact"/>
              <w:rPr>
                <w:rFonts w:ascii="宋体" w:hAnsi="宋体" w:cs="宋体"/>
                <w:color w:val="auto"/>
                <w:sz w:val="24"/>
                <w:highlight w:val="none"/>
                <w:shd w:val="clear" w:color="auto" w:fill="FFFFFF"/>
              </w:rPr>
            </w:pPr>
            <w:r>
              <w:rPr>
                <w:rFonts w:hint="eastAsia" w:ascii="宋体" w:hAnsi="宋体" w:cs="宋体"/>
                <w:color w:val="auto"/>
                <w:sz w:val="24"/>
                <w:highlight w:val="none"/>
              </w:rPr>
              <w:t xml:space="preserve">    开标地点：政采云平台（https://www.zcygov.cn/）</w:t>
            </w:r>
          </w:p>
          <w:p w14:paraId="57A4B4D8">
            <w:pPr>
              <w:wordWrap w:val="0"/>
              <w:overflowPunct w:val="0"/>
              <w:autoSpaceDE w:val="0"/>
              <w:autoSpaceDN w:val="0"/>
              <w:snapToGrid w:val="0"/>
              <w:spacing w:beforeLines="10" w:afterLines="10" w:line="400" w:lineRule="exact"/>
              <w:rPr>
                <w:rFonts w:ascii="宋体" w:hAnsi="宋体" w:cs="宋体"/>
                <w:b/>
                <w:color w:val="auto"/>
                <w:sz w:val="24"/>
                <w:highlight w:val="none"/>
              </w:rPr>
            </w:pPr>
            <w:r>
              <w:rPr>
                <w:rFonts w:hint="eastAsia" w:ascii="宋体" w:hAnsi="宋体" w:cs="宋体"/>
                <w:b/>
                <w:bCs/>
                <w:color w:val="auto"/>
                <w:sz w:val="24"/>
                <w:highlight w:val="none"/>
                <w:shd w:val="clear" w:color="auto" w:fill="FFFFFF"/>
              </w:rPr>
              <w:t xml:space="preserve">    供应商无需到开标现场，但须准时在线参加，直至评审结束。</w:t>
            </w:r>
          </w:p>
        </w:tc>
      </w:tr>
      <w:tr w14:paraId="4EB1299B">
        <w:tblPrEx>
          <w:tblCellMar>
            <w:top w:w="0" w:type="dxa"/>
            <w:left w:w="108" w:type="dxa"/>
            <w:bottom w:w="0" w:type="dxa"/>
            <w:right w:w="108" w:type="dxa"/>
          </w:tblCellMar>
        </w:tblPrEx>
        <w:trPr>
          <w:trHeight w:val="350" w:hRule="atLeast"/>
        </w:trPr>
        <w:tc>
          <w:tcPr>
            <w:tcW w:w="744" w:type="dxa"/>
            <w:tcBorders>
              <w:top w:val="single" w:color="auto" w:sz="4" w:space="0"/>
              <w:left w:val="single" w:color="auto" w:sz="4" w:space="0"/>
              <w:bottom w:val="single" w:color="auto" w:sz="4" w:space="0"/>
              <w:right w:val="single" w:color="auto" w:sz="4" w:space="0"/>
            </w:tcBorders>
            <w:vAlign w:val="center"/>
          </w:tcPr>
          <w:p w14:paraId="01BE5C5C">
            <w:pPr>
              <w:wordWrap w:val="0"/>
              <w:overflowPunct w:val="0"/>
              <w:autoSpaceDE w:val="0"/>
              <w:autoSpaceDN w:val="0"/>
              <w:adjustRightInd/>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12</w:t>
            </w:r>
          </w:p>
        </w:tc>
        <w:tc>
          <w:tcPr>
            <w:tcW w:w="8399" w:type="dxa"/>
            <w:tcBorders>
              <w:top w:val="single" w:color="auto" w:sz="4" w:space="0"/>
              <w:left w:val="nil"/>
              <w:bottom w:val="single" w:color="auto" w:sz="4" w:space="0"/>
              <w:right w:val="single" w:color="auto" w:sz="4" w:space="0"/>
            </w:tcBorders>
            <w:vAlign w:val="center"/>
          </w:tcPr>
          <w:p w14:paraId="61DF98DA">
            <w:pPr>
              <w:wordWrap w:val="0"/>
              <w:overflowPunct w:val="0"/>
              <w:autoSpaceDE w:val="0"/>
              <w:autoSpaceDN w:val="0"/>
              <w:adjustRightInd/>
              <w:snapToGrid w:val="0"/>
              <w:spacing w:beforeLines="10" w:afterLines="10" w:line="400" w:lineRule="exact"/>
              <w:textAlignment w:val="bottom"/>
              <w:rPr>
                <w:rFonts w:ascii="宋体" w:hAnsi="宋体" w:cs="宋体"/>
                <w:color w:val="auto"/>
                <w:sz w:val="24"/>
                <w:highlight w:val="none"/>
              </w:rPr>
            </w:pPr>
            <w:r>
              <w:rPr>
                <w:rFonts w:hint="eastAsia" w:ascii="宋体" w:hAnsi="宋体" w:cs="宋体"/>
                <w:color w:val="auto"/>
                <w:sz w:val="24"/>
                <w:highlight w:val="none"/>
              </w:rPr>
              <w:t xml:space="preserve">    评标办法及评分标准：详见第四章。</w:t>
            </w:r>
          </w:p>
        </w:tc>
      </w:tr>
      <w:tr w14:paraId="14D057A2">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0F153E4C">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13</w:t>
            </w:r>
          </w:p>
        </w:tc>
        <w:tc>
          <w:tcPr>
            <w:tcW w:w="8399" w:type="dxa"/>
            <w:tcBorders>
              <w:top w:val="single" w:color="auto" w:sz="4" w:space="0"/>
              <w:left w:val="nil"/>
              <w:bottom w:val="single" w:color="auto" w:sz="4" w:space="0"/>
              <w:right w:val="single" w:color="auto" w:sz="4" w:space="0"/>
            </w:tcBorders>
            <w:vAlign w:val="center"/>
          </w:tcPr>
          <w:p w14:paraId="784DA627">
            <w:pPr>
              <w:wordWrap w:val="0"/>
              <w:overflowPunct w:val="0"/>
              <w:autoSpaceDE w:val="0"/>
              <w:autoSpaceDN w:val="0"/>
              <w:snapToGrid w:val="0"/>
              <w:spacing w:beforeLines="10" w:afterLines="10" w:line="400" w:lineRule="exact"/>
              <w:textAlignment w:val="bottom"/>
              <w:rPr>
                <w:rFonts w:ascii="宋体" w:hAnsi="宋体" w:cs="宋体"/>
                <w:color w:val="auto"/>
                <w:sz w:val="24"/>
                <w:highlight w:val="none"/>
              </w:rPr>
            </w:pPr>
            <w:r>
              <w:rPr>
                <w:rFonts w:hint="eastAsia" w:ascii="宋体" w:hAnsi="宋体" w:cs="宋体"/>
                <w:color w:val="auto"/>
                <w:sz w:val="24"/>
                <w:highlight w:val="none"/>
              </w:rPr>
              <w:t xml:space="preserve">    中标公告及中标通知书：中标、成交供应商确定之日起2个工作日内，中标公告发布于浙江省政府采购网(http://zfcg.czt.zj.gov.cn/)等网站或媒体，公告期限为1个工作日。各参加政府采购活动的供应商认为该中标结果和采购过程等使自己的权益受到损害的，可以自本公告期限届满之日（本公告发布之日后第2个工作日）起7个工作日内，以书面形式向采购人或受其委托的采购代理机构提出质疑。质疑供应商对采购人、采购代理机构的答复不满意或者采购人、采购代理机构未在规定的时间内作出答复的，可以再答复期满后十五个工作日内向同级政府采购监督管理部门投诉。质疑函范本、投诉书范本请到浙江政府采购网下载专区下载。在公告中标结果的同时，向中标人发出中标通知书。</w:t>
            </w:r>
          </w:p>
        </w:tc>
      </w:tr>
      <w:tr w14:paraId="3182257B">
        <w:tblPrEx>
          <w:tblCellMar>
            <w:top w:w="0" w:type="dxa"/>
            <w:left w:w="108" w:type="dxa"/>
            <w:bottom w:w="0" w:type="dxa"/>
            <w:right w:w="108" w:type="dxa"/>
          </w:tblCellMar>
        </w:tblPrEx>
        <w:trPr>
          <w:trHeight w:val="70" w:hRule="atLeast"/>
        </w:trPr>
        <w:tc>
          <w:tcPr>
            <w:tcW w:w="744" w:type="dxa"/>
            <w:tcBorders>
              <w:top w:val="single" w:color="auto" w:sz="4" w:space="0"/>
              <w:left w:val="single" w:color="auto" w:sz="4" w:space="0"/>
              <w:bottom w:val="single" w:color="auto" w:sz="4" w:space="0"/>
              <w:right w:val="single" w:color="auto" w:sz="4" w:space="0"/>
            </w:tcBorders>
            <w:vAlign w:val="center"/>
          </w:tcPr>
          <w:p w14:paraId="5E28D337">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14</w:t>
            </w:r>
          </w:p>
        </w:tc>
        <w:tc>
          <w:tcPr>
            <w:tcW w:w="8399" w:type="dxa"/>
            <w:tcBorders>
              <w:top w:val="single" w:color="auto" w:sz="4" w:space="0"/>
              <w:left w:val="nil"/>
              <w:bottom w:val="single" w:color="auto" w:sz="4" w:space="0"/>
              <w:right w:val="single" w:color="auto" w:sz="4" w:space="0"/>
            </w:tcBorders>
            <w:vAlign w:val="center"/>
          </w:tcPr>
          <w:p w14:paraId="68CAE747">
            <w:pPr>
              <w:wordWrap w:val="0"/>
              <w:overflowPunct w:val="0"/>
              <w:autoSpaceDE w:val="0"/>
              <w:autoSpaceDN w:val="0"/>
              <w:snapToGrid w:val="0"/>
              <w:spacing w:beforeLines="10" w:afterLines="10" w:line="400" w:lineRule="exact"/>
              <w:textAlignment w:val="bottom"/>
              <w:rPr>
                <w:rFonts w:ascii="宋体" w:hAnsi="宋体" w:cs="宋体"/>
                <w:color w:val="auto"/>
                <w:sz w:val="24"/>
                <w:highlight w:val="none"/>
              </w:rPr>
            </w:pPr>
            <w:r>
              <w:rPr>
                <w:rFonts w:hint="eastAsia" w:ascii="宋体" w:hAnsi="宋体" w:cs="宋体"/>
                <w:color w:val="auto"/>
                <w:sz w:val="24"/>
                <w:highlight w:val="none"/>
              </w:rPr>
              <w:t xml:space="preserve">    合同公告：本项目政府采购合同将于签订之日起2个工作日内发布于上述媒体，但政府采购合同中涉及国家秘密、商业秘密的内容除外。</w:t>
            </w:r>
          </w:p>
        </w:tc>
      </w:tr>
      <w:tr w14:paraId="5182C273">
        <w:tblPrEx>
          <w:tblCellMar>
            <w:top w:w="0" w:type="dxa"/>
            <w:left w:w="108" w:type="dxa"/>
            <w:bottom w:w="0" w:type="dxa"/>
            <w:right w:w="108" w:type="dxa"/>
          </w:tblCellMar>
        </w:tblPrEx>
        <w:trPr>
          <w:trHeight w:val="285" w:hRule="atLeast"/>
        </w:trPr>
        <w:tc>
          <w:tcPr>
            <w:tcW w:w="744" w:type="dxa"/>
            <w:tcBorders>
              <w:top w:val="single" w:color="auto" w:sz="4" w:space="0"/>
              <w:left w:val="single" w:color="auto" w:sz="4" w:space="0"/>
              <w:bottom w:val="single" w:color="auto" w:sz="4" w:space="0"/>
              <w:right w:val="single" w:color="auto" w:sz="4" w:space="0"/>
            </w:tcBorders>
            <w:vAlign w:val="center"/>
          </w:tcPr>
          <w:p w14:paraId="03E17AFE">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15</w:t>
            </w:r>
          </w:p>
        </w:tc>
        <w:tc>
          <w:tcPr>
            <w:tcW w:w="8399" w:type="dxa"/>
            <w:tcBorders>
              <w:top w:val="single" w:color="auto" w:sz="4" w:space="0"/>
              <w:left w:val="nil"/>
              <w:bottom w:val="single" w:color="auto" w:sz="4" w:space="0"/>
              <w:right w:val="single" w:color="auto" w:sz="4" w:space="0"/>
            </w:tcBorders>
            <w:vAlign w:val="center"/>
          </w:tcPr>
          <w:p w14:paraId="635B4C2D">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履约保证金:签订合同前中标人应向采购人交纳合同金额的1%作为履约保证金，履约保证金在合同履行完毕后一个月内无息退还。</w:t>
            </w:r>
          </w:p>
        </w:tc>
      </w:tr>
      <w:tr w14:paraId="7F54F0AD">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44C997AA">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16</w:t>
            </w:r>
          </w:p>
        </w:tc>
        <w:tc>
          <w:tcPr>
            <w:tcW w:w="8399" w:type="dxa"/>
            <w:tcBorders>
              <w:top w:val="single" w:color="auto" w:sz="4" w:space="0"/>
              <w:left w:val="nil"/>
              <w:bottom w:val="single" w:color="auto" w:sz="4" w:space="0"/>
              <w:right w:val="single" w:color="auto" w:sz="4" w:space="0"/>
            </w:tcBorders>
            <w:vAlign w:val="center"/>
          </w:tcPr>
          <w:p w14:paraId="63F561BA">
            <w:pPr>
              <w:wordWrap w:val="0"/>
              <w:overflowPunct w:val="0"/>
              <w:autoSpaceDE w:val="0"/>
              <w:autoSpaceDN w:val="0"/>
              <w:adjustRightInd/>
              <w:snapToGrid w:val="0"/>
              <w:spacing w:beforeLines="10" w:afterLines="10" w:line="400" w:lineRule="exact"/>
              <w:ind w:firstLine="420"/>
              <w:rPr>
                <w:rFonts w:ascii="宋体" w:hAnsi="宋体" w:cs="宋体"/>
                <w:color w:val="auto"/>
                <w:sz w:val="24"/>
                <w:highlight w:val="none"/>
              </w:rPr>
            </w:pPr>
            <w:r>
              <w:rPr>
                <w:rFonts w:hint="eastAsia" w:ascii="宋体" w:hAnsi="宋体" w:cs="宋体"/>
                <w:color w:val="auto"/>
                <w:sz w:val="24"/>
                <w:highlight w:val="none"/>
              </w:rPr>
              <w:t>付款方式：</w:t>
            </w:r>
          </w:p>
          <w:p w14:paraId="0842E217">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玩具和设备全部安装调试完毕，项目验收合格后7个工作日内付至审定价的98.5%；工程结算审定价的1.5%留作质保金，质保期满两年后一个月内退还(无息)。</w:t>
            </w:r>
          </w:p>
          <w:p w14:paraId="7A6F5393">
            <w:pPr>
              <w:wordWrap w:val="0"/>
              <w:overflowPunct w:val="0"/>
              <w:autoSpaceDE w:val="0"/>
              <w:autoSpaceDN w:val="0"/>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注：付款前中标单位应按规定向采购人开具正规发票。在签订合同时，供应商明确表示无需预付款或者主动要求降低预付款比例的，采购单位可不适用前述规定</w:t>
            </w:r>
          </w:p>
        </w:tc>
      </w:tr>
      <w:tr w14:paraId="505F4B06">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0F2C9346">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17</w:t>
            </w:r>
          </w:p>
        </w:tc>
        <w:tc>
          <w:tcPr>
            <w:tcW w:w="8399" w:type="dxa"/>
            <w:tcBorders>
              <w:top w:val="single" w:color="auto" w:sz="4" w:space="0"/>
              <w:left w:val="nil"/>
              <w:bottom w:val="single" w:color="auto" w:sz="4" w:space="0"/>
              <w:right w:val="single" w:color="auto" w:sz="4" w:space="0"/>
            </w:tcBorders>
            <w:vAlign w:val="center"/>
          </w:tcPr>
          <w:p w14:paraId="596AC5CE">
            <w:pPr>
              <w:wordWrap w:val="0"/>
              <w:overflowPunct w:val="0"/>
              <w:autoSpaceDE w:val="0"/>
              <w:autoSpaceDN w:val="0"/>
              <w:snapToGrid w:val="0"/>
              <w:spacing w:beforeLines="10" w:afterLines="10"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现场踏勘：投标人根据自身情况自行踏勘（费用自理）</w:t>
            </w:r>
          </w:p>
        </w:tc>
      </w:tr>
      <w:tr w14:paraId="4A1042CE">
        <w:tblPrEx>
          <w:tblCellMar>
            <w:top w:w="0" w:type="dxa"/>
            <w:left w:w="108" w:type="dxa"/>
            <w:bottom w:w="0" w:type="dxa"/>
            <w:right w:w="108" w:type="dxa"/>
          </w:tblCellMar>
        </w:tblPrEx>
        <w:trPr>
          <w:trHeight w:val="260" w:hRule="atLeast"/>
        </w:trPr>
        <w:tc>
          <w:tcPr>
            <w:tcW w:w="744" w:type="dxa"/>
            <w:tcBorders>
              <w:top w:val="single" w:color="auto" w:sz="4" w:space="0"/>
              <w:left w:val="single" w:color="auto" w:sz="4" w:space="0"/>
              <w:bottom w:val="single" w:color="auto" w:sz="4" w:space="0"/>
              <w:right w:val="single" w:color="auto" w:sz="4" w:space="0"/>
            </w:tcBorders>
            <w:vAlign w:val="center"/>
          </w:tcPr>
          <w:p w14:paraId="631E9782">
            <w:pPr>
              <w:wordWrap w:val="0"/>
              <w:overflowPunct w:val="0"/>
              <w:autoSpaceDE w:val="0"/>
              <w:autoSpaceDN w:val="0"/>
              <w:adjustRightInd/>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18</w:t>
            </w:r>
          </w:p>
        </w:tc>
        <w:tc>
          <w:tcPr>
            <w:tcW w:w="8399" w:type="dxa"/>
            <w:tcBorders>
              <w:top w:val="single" w:color="auto" w:sz="4" w:space="0"/>
              <w:left w:val="nil"/>
              <w:bottom w:val="single" w:color="auto" w:sz="4" w:space="0"/>
              <w:right w:val="single" w:color="auto" w:sz="4" w:space="0"/>
            </w:tcBorders>
            <w:vAlign w:val="center"/>
          </w:tcPr>
          <w:p w14:paraId="40D76401">
            <w:pPr>
              <w:wordWrap w:val="0"/>
              <w:overflowPunct w:val="0"/>
              <w:autoSpaceDE w:val="0"/>
              <w:autoSpaceDN w:val="0"/>
              <w:adjustRightInd/>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投标文件有效期：</w:t>
            </w:r>
            <w:r>
              <w:rPr>
                <w:rFonts w:hint="eastAsia" w:ascii="宋体" w:hAnsi="宋体" w:cs="宋体"/>
                <w:color w:val="auto"/>
                <w:sz w:val="24"/>
                <w:highlight w:val="none"/>
                <w:u w:val="single"/>
              </w:rPr>
              <w:t xml:space="preserve"> 90 </w:t>
            </w:r>
            <w:r>
              <w:rPr>
                <w:rFonts w:hint="eastAsia" w:ascii="宋体" w:hAnsi="宋体" w:cs="宋体"/>
                <w:color w:val="auto"/>
                <w:sz w:val="24"/>
                <w:highlight w:val="none"/>
              </w:rPr>
              <w:t>天。</w:t>
            </w:r>
          </w:p>
        </w:tc>
      </w:tr>
      <w:tr w14:paraId="6F7186B6">
        <w:tblPrEx>
          <w:tblCellMar>
            <w:top w:w="0" w:type="dxa"/>
            <w:left w:w="108" w:type="dxa"/>
            <w:bottom w:w="0" w:type="dxa"/>
            <w:right w:w="108" w:type="dxa"/>
          </w:tblCellMar>
        </w:tblPrEx>
        <w:trPr>
          <w:trHeight w:val="260" w:hRule="atLeast"/>
        </w:trPr>
        <w:tc>
          <w:tcPr>
            <w:tcW w:w="744" w:type="dxa"/>
            <w:tcBorders>
              <w:top w:val="single" w:color="auto" w:sz="4" w:space="0"/>
              <w:left w:val="single" w:color="auto" w:sz="4" w:space="0"/>
              <w:bottom w:val="single" w:color="auto" w:sz="4" w:space="0"/>
              <w:right w:val="single" w:color="auto" w:sz="4" w:space="0"/>
            </w:tcBorders>
            <w:vAlign w:val="center"/>
          </w:tcPr>
          <w:p w14:paraId="44242FD9">
            <w:pPr>
              <w:wordWrap w:val="0"/>
              <w:overflowPunct w:val="0"/>
              <w:autoSpaceDE w:val="0"/>
              <w:autoSpaceDN w:val="0"/>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19</w:t>
            </w:r>
          </w:p>
        </w:tc>
        <w:tc>
          <w:tcPr>
            <w:tcW w:w="8399" w:type="dxa"/>
            <w:tcBorders>
              <w:top w:val="single" w:color="auto" w:sz="4" w:space="0"/>
              <w:left w:val="nil"/>
              <w:bottom w:val="single" w:color="auto" w:sz="4" w:space="0"/>
              <w:right w:val="single" w:color="auto" w:sz="4" w:space="0"/>
            </w:tcBorders>
            <w:vAlign w:val="center"/>
          </w:tcPr>
          <w:p w14:paraId="0CA4811E">
            <w:pPr>
              <w:pStyle w:val="35"/>
              <w:wordWrap w:val="0"/>
              <w:overflowPunct w:val="0"/>
              <w:autoSpaceDE w:val="0"/>
              <w:autoSpaceDN w:val="0"/>
              <w:snapToGrid w:val="0"/>
              <w:spacing w:beforeLines="10" w:afterLines="10" w:line="400" w:lineRule="exact"/>
              <w:rPr>
                <w:rFonts w:hAnsi="宋体" w:cs="宋体"/>
                <w:color w:val="auto"/>
                <w:sz w:val="24"/>
                <w:szCs w:val="24"/>
                <w:highlight w:val="none"/>
              </w:rPr>
            </w:pPr>
            <w:r>
              <w:rPr>
                <w:rFonts w:hint="eastAsia" w:hAnsi="宋体" w:cs="宋体"/>
                <w:color w:val="auto"/>
                <w:sz w:val="24"/>
                <w:szCs w:val="24"/>
                <w:highlight w:val="none"/>
              </w:rPr>
              <w:t xml:space="preserve">    承诺符合浙财采监【2013】24号《关于规范政府采购供应商资格设定及资格审查的通知》第六条规定，且未被“信用中国”（www.creditchina.gov.cn）和中国政府采购网（www.ccgp.gov.cn）列入失信被执行人、重大税收违法案件当事人名单、政府采购严重违法失信行为记录名单。</w:t>
            </w:r>
          </w:p>
        </w:tc>
      </w:tr>
      <w:tr w14:paraId="50E48187">
        <w:tblPrEx>
          <w:tblCellMar>
            <w:top w:w="0" w:type="dxa"/>
            <w:left w:w="108" w:type="dxa"/>
            <w:bottom w:w="0" w:type="dxa"/>
            <w:right w:w="108" w:type="dxa"/>
          </w:tblCellMar>
        </w:tblPrEx>
        <w:trPr>
          <w:trHeight w:val="279" w:hRule="atLeast"/>
        </w:trPr>
        <w:tc>
          <w:tcPr>
            <w:tcW w:w="744" w:type="dxa"/>
            <w:tcBorders>
              <w:top w:val="single" w:color="auto" w:sz="4" w:space="0"/>
              <w:left w:val="single" w:color="auto" w:sz="4" w:space="0"/>
              <w:bottom w:val="single" w:color="auto" w:sz="4" w:space="0"/>
              <w:right w:val="single" w:color="auto" w:sz="4" w:space="0"/>
            </w:tcBorders>
            <w:vAlign w:val="center"/>
          </w:tcPr>
          <w:p w14:paraId="6A088A61">
            <w:pPr>
              <w:wordWrap w:val="0"/>
              <w:overflowPunct w:val="0"/>
              <w:autoSpaceDE w:val="0"/>
              <w:autoSpaceDN w:val="0"/>
              <w:adjustRightInd/>
              <w:snapToGrid w:val="0"/>
              <w:spacing w:beforeLines="10" w:afterLines="10" w:line="400" w:lineRule="exact"/>
              <w:jc w:val="center"/>
              <w:rPr>
                <w:rFonts w:ascii="宋体" w:hAnsi="宋体" w:cs="宋体"/>
                <w:color w:val="auto"/>
                <w:sz w:val="24"/>
                <w:highlight w:val="none"/>
              </w:rPr>
            </w:pPr>
            <w:r>
              <w:rPr>
                <w:rFonts w:hint="eastAsia" w:ascii="宋体" w:hAnsi="宋体" w:cs="宋体"/>
                <w:color w:val="auto"/>
                <w:sz w:val="24"/>
                <w:highlight w:val="none"/>
              </w:rPr>
              <w:t>20</w:t>
            </w:r>
          </w:p>
        </w:tc>
        <w:tc>
          <w:tcPr>
            <w:tcW w:w="8399" w:type="dxa"/>
            <w:tcBorders>
              <w:top w:val="single" w:color="auto" w:sz="4" w:space="0"/>
              <w:left w:val="nil"/>
              <w:bottom w:val="single" w:color="auto" w:sz="4" w:space="0"/>
              <w:right w:val="single" w:color="auto" w:sz="4" w:space="0"/>
            </w:tcBorders>
            <w:vAlign w:val="center"/>
          </w:tcPr>
          <w:p w14:paraId="48DC5313">
            <w:pPr>
              <w:wordWrap w:val="0"/>
              <w:overflowPunct w:val="0"/>
              <w:autoSpaceDE w:val="0"/>
              <w:autoSpaceDN w:val="0"/>
              <w:adjustRightInd/>
              <w:snapToGrid w:val="0"/>
              <w:spacing w:beforeLines="10" w:afterLines="10" w:line="400" w:lineRule="exact"/>
              <w:rPr>
                <w:rFonts w:ascii="宋体" w:hAnsi="宋体" w:cs="宋体"/>
                <w:color w:val="auto"/>
                <w:sz w:val="24"/>
                <w:highlight w:val="none"/>
              </w:rPr>
            </w:pPr>
            <w:r>
              <w:rPr>
                <w:rFonts w:hint="eastAsia" w:ascii="宋体" w:hAnsi="宋体" w:cs="宋体"/>
                <w:color w:val="auto"/>
                <w:sz w:val="24"/>
                <w:highlight w:val="none"/>
              </w:rPr>
              <w:t xml:space="preserve">    解释：本招标文件的解释权属于采购单位和浙江正大工程管理咨询有限公司。</w:t>
            </w:r>
          </w:p>
        </w:tc>
      </w:tr>
    </w:tbl>
    <w:p w14:paraId="53CFAD48">
      <w:pPr>
        <w:pStyle w:val="35"/>
        <w:wordWrap w:val="0"/>
        <w:overflowPunct w:val="0"/>
        <w:autoSpaceDE w:val="0"/>
        <w:autoSpaceDN w:val="0"/>
        <w:snapToGrid w:val="0"/>
        <w:spacing w:line="400" w:lineRule="exact"/>
        <w:outlineLvl w:val="0"/>
        <w:rPr>
          <w:rFonts w:hAnsi="宋体" w:cs="宋体"/>
          <w:b/>
          <w:color w:val="auto"/>
          <w:sz w:val="24"/>
          <w:szCs w:val="24"/>
          <w:highlight w:val="none"/>
        </w:rPr>
      </w:pPr>
    </w:p>
    <w:p w14:paraId="470F106D">
      <w:pPr>
        <w:pStyle w:val="35"/>
        <w:numPr>
          <w:ilvl w:val="0"/>
          <w:numId w:val="3"/>
        </w:numPr>
        <w:wordWrap w:val="0"/>
        <w:overflowPunct w:val="0"/>
        <w:autoSpaceDE w:val="0"/>
        <w:autoSpaceDN w:val="0"/>
        <w:snapToGrid w:val="0"/>
        <w:spacing w:line="360" w:lineRule="auto"/>
        <w:outlineLvl w:val="0"/>
        <w:rPr>
          <w:rFonts w:hAnsi="宋体" w:cs="宋体"/>
          <w:b/>
          <w:color w:val="auto"/>
          <w:sz w:val="28"/>
          <w:szCs w:val="28"/>
          <w:highlight w:val="none"/>
        </w:rPr>
      </w:pPr>
      <w:r>
        <w:rPr>
          <w:rFonts w:hint="eastAsia" w:hAnsi="宋体" w:cs="宋体"/>
          <w:b/>
          <w:color w:val="auto"/>
          <w:sz w:val="28"/>
          <w:szCs w:val="28"/>
          <w:highlight w:val="none"/>
        </w:rPr>
        <w:t>总  则</w:t>
      </w:r>
    </w:p>
    <w:p w14:paraId="5A0333FD">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（一）适用范围</w:t>
      </w:r>
    </w:p>
    <w:p w14:paraId="0442B9CA">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本招标文件适用于本项目的招标、投标、评标、定标、验收、合同履约、付款等行为（法律、法规另有规定的，从其规定）。</w:t>
      </w:r>
    </w:p>
    <w:p w14:paraId="19A66E49">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（二）定义</w:t>
      </w:r>
    </w:p>
    <w:p w14:paraId="73A58E57">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1.招标采购单位系指组织本次招标的代理机构（“采购人”）和采购单位。</w:t>
      </w:r>
    </w:p>
    <w:p w14:paraId="04150764">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2.“投标人”系指向招标方提交投标文件的单位或个人。</w:t>
      </w:r>
    </w:p>
    <w:p w14:paraId="1DBF0245">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3.“产品”系指供方按招标文件规定，须向采购人提供的一切设备、保险、税金、备品备件、工具、手册及其它有关技术资料和材料。</w:t>
      </w:r>
    </w:p>
    <w:p w14:paraId="568EAB27">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4.“服务”系指招标文件规定投标人须承担的设计、安装、调试、技术协助、校准、培训、技术指导以及其他类似的义务。</w:t>
      </w:r>
    </w:p>
    <w:p w14:paraId="01FFE8E1">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5.“项目”系指投标人按招标文件规定向采购人提供的产品和服务。</w:t>
      </w:r>
    </w:p>
    <w:p w14:paraId="3DD2BC61">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6.“书面形式”包括信函、传真、电报等。</w:t>
      </w:r>
    </w:p>
    <w:p w14:paraId="5E0C7798">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7.“▲”系指实质性要求条款。不满足实质性要求条款的投标文件无效</w:t>
      </w:r>
    </w:p>
    <w:p w14:paraId="066DE9AA">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8.“★”系指重要技术指标。</w:t>
      </w:r>
    </w:p>
    <w:p w14:paraId="409DA4F1">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（三）招标方式</w:t>
      </w:r>
    </w:p>
    <w:p w14:paraId="27795DAB">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本次招标采用公开招标方式进行。</w:t>
      </w:r>
    </w:p>
    <w:p w14:paraId="472C2BAF">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（四）投标委托</w:t>
      </w:r>
    </w:p>
    <w:p w14:paraId="77E90F89">
      <w:pPr>
        <w:pStyle w:val="27"/>
        <w:wordWrap w:val="0"/>
        <w:overflowPunct w:val="0"/>
        <w:autoSpaceDE w:val="0"/>
        <w:autoSpaceDN w:val="0"/>
        <w:snapToGrid w:val="0"/>
        <w:spacing w:line="360" w:lineRule="auto"/>
        <w:jc w:val="left"/>
        <w:rPr>
          <w:rFonts w:cs="宋体"/>
          <w:color w:val="auto"/>
          <w:highlight w:val="none"/>
        </w:rPr>
      </w:pPr>
      <w:r>
        <w:rPr>
          <w:rFonts w:hint="eastAsia" w:cs="宋体"/>
          <w:color w:val="auto"/>
          <w:highlight w:val="none"/>
        </w:rPr>
        <w:t>供应商无需到开标现场，但须准时在线参加，直至评审结束。</w:t>
      </w:r>
    </w:p>
    <w:p w14:paraId="5F0C55B0">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（五）投标费用</w:t>
      </w:r>
    </w:p>
    <w:p w14:paraId="5A1B75A0">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不论投标结果如何，投标人均应自行承担所有与投标有关的全部费用（招标文件有相反规定除外）。</w:t>
      </w:r>
    </w:p>
    <w:p w14:paraId="34693848">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（六）联合体投标</w:t>
      </w:r>
    </w:p>
    <w:p w14:paraId="77C9E376">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本项目不接受联合体投标。</w:t>
      </w:r>
    </w:p>
    <w:p w14:paraId="431EFF59">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（七）转包与分包</w:t>
      </w:r>
    </w:p>
    <w:p w14:paraId="6C4906BE">
      <w:pPr>
        <w:wordWrap w:val="0"/>
        <w:overflowPunct w:val="0"/>
        <w:autoSpaceDE w:val="0"/>
        <w:autoSpaceDN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1.本项目不允许转包。</w:t>
      </w:r>
    </w:p>
    <w:p w14:paraId="30EDFCF0">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2.本项目不可以分包。</w:t>
      </w:r>
    </w:p>
    <w:p w14:paraId="31476234">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（八）是否允许采购进口产品</w:t>
      </w:r>
    </w:p>
    <w:p w14:paraId="3390A37A">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本项目不允许采购进口产品。</w:t>
      </w:r>
    </w:p>
    <w:p w14:paraId="39ADBF0D">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 xml:space="preserve"> ▲（九）特别说明：</w:t>
      </w:r>
    </w:p>
    <w:p w14:paraId="1F55D501">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6F8A88F7">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904277A">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非单一产品采购项目，采购人应当根据采购项目技术构成、产品价格比重等合理确定核心产品，并在招标文件中载明。多家投标人提供的核心产品品牌相同的，按前两款规定处理。</w:t>
      </w:r>
    </w:p>
    <w:p w14:paraId="63A274F2">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2.投标人投标所使用的资格、信誉、荣誉、业绩与企业认证必须为本投标人所拥有。</w:t>
      </w:r>
    </w:p>
    <w:p w14:paraId="1B1E589A">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3.投标人应仔细阅读招标文件的所有内容，按照招标文件的要求提交投标文件，并对所提供的全部资料的真实性承担法律责任。</w:t>
      </w:r>
    </w:p>
    <w:p w14:paraId="20C570EB">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14:paraId="03471A07">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（十）质疑和投诉</w:t>
      </w:r>
    </w:p>
    <w:p w14:paraId="7725C637">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投标人认为招标文件、招标过程或中标结果使自己的合法权益受到损害的，应当在知道或者应知其权益受到损害之日起七个工作日内，以书面形式向采购人、采购代理机构提出质疑。投标人对招标采购单位的质疑答复不满意或者招标采购单位未在规定时间内作出答复的，可以在答复期满后十五个工作日内向同级采购监管部门投诉。</w:t>
      </w:r>
    </w:p>
    <w:p w14:paraId="1808CEB6">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5B4B94">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质疑、投诉应当采用书面形式，质疑书、投诉书均应明确阐述招标文件、招标过程或中标结果中使自己合法权益受到损害的实质性内容，提供相关事实、依据和证据及其来源或线索，便于有关单位调查、答复和处理。</w:t>
      </w:r>
    </w:p>
    <w:p w14:paraId="6AA423D7">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3.供应商须在法定质疑期内一次性提出针对同一采购程序环节的质疑。</w:t>
      </w:r>
    </w:p>
    <w:p w14:paraId="5BE5EA5E">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4.供应商认为采购代理机构在质疑答复程序中启用的调查和复评等程序，在该程序操作过程未明显违反法律禁止性规定时，不得提出疑义。</w:t>
      </w:r>
    </w:p>
    <w:p w14:paraId="1929742B">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5.质疑函须采用财政部发布的政府采购供应商质疑函范本（参考样式可从浙江政府采购网下载专区下载），否则采购代理机构有权要求质疑供应商改正后重新提出。</w:t>
      </w:r>
    </w:p>
    <w:p w14:paraId="75DE8347">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6.政府采购供应商可以通过登录“浙江政务服务网”（http://www.zjzwfw.gov.cn/），搜索关键字“政府采购投诉处理”，或者选择“部门窗口—省财政厅—行政裁决—政府采购投诉处理”，点击“在线办理”，即可进行在线投诉。财政部门审查受理、处理决定等政府采购投诉处理相关文书均在线送达，政府采购投诉供应商明确表示需要邮寄的除外。</w:t>
      </w:r>
    </w:p>
    <w:p w14:paraId="2BC400B7">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7.供应商也可通过邮寄方式寄递政府采购投诉材料，邮寄地址为涉及政府采购项目采购人预算级次相应的财政部门。政府采购投诉材料中须写明邮箱地址、传真号码，财政部门审查受理、处理决定等相关文书可通过电子邮件、传真等形式送达，供应商明确表示需要邮寄的除外。</w:t>
      </w:r>
    </w:p>
    <w:p w14:paraId="101DFD5B">
      <w:pPr>
        <w:wordWrap w:val="0"/>
        <w:overflowPunct w:val="0"/>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8.在线或者邮寄政府采购投诉材料当日下班时间点后收到的视为下一个工作日收到。</w:t>
      </w:r>
    </w:p>
    <w:p w14:paraId="1B8D47D7">
      <w:pPr>
        <w:pStyle w:val="35"/>
        <w:wordWrap w:val="0"/>
        <w:overflowPunct w:val="0"/>
        <w:autoSpaceDE w:val="0"/>
        <w:autoSpaceDN w:val="0"/>
        <w:snapToGrid w:val="0"/>
        <w:spacing w:line="360" w:lineRule="auto"/>
        <w:outlineLvl w:val="0"/>
        <w:rPr>
          <w:rFonts w:hAnsi="宋体" w:cs="宋体"/>
          <w:b/>
          <w:color w:val="auto"/>
          <w:sz w:val="28"/>
          <w:szCs w:val="28"/>
          <w:highlight w:val="none"/>
        </w:rPr>
      </w:pPr>
      <w:r>
        <w:rPr>
          <w:rFonts w:hint="eastAsia" w:hAnsi="宋体" w:cs="宋体"/>
          <w:b/>
          <w:color w:val="auto"/>
          <w:sz w:val="28"/>
          <w:szCs w:val="28"/>
          <w:highlight w:val="none"/>
        </w:rPr>
        <w:t>二、招标文件</w:t>
      </w:r>
    </w:p>
    <w:p w14:paraId="47079256">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（一）招标文件的构成。本招标文件由以下部份组成：</w:t>
      </w:r>
    </w:p>
    <w:p w14:paraId="11589D14">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1.招标公告</w:t>
      </w:r>
    </w:p>
    <w:p w14:paraId="7FABD63E">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2.招标需求</w:t>
      </w:r>
    </w:p>
    <w:p w14:paraId="5356CC55">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3.投标人须知</w:t>
      </w:r>
    </w:p>
    <w:p w14:paraId="56742F1C">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4.评标办法及标准</w:t>
      </w:r>
    </w:p>
    <w:p w14:paraId="1A5DBA78">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5.合同主要条款</w:t>
      </w:r>
    </w:p>
    <w:p w14:paraId="4EDCC68A">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6.投标文件格式</w:t>
      </w:r>
    </w:p>
    <w:p w14:paraId="4EA61B57">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7.本项目招标文件的澄清、答复、修改、补充的内容</w:t>
      </w:r>
    </w:p>
    <w:p w14:paraId="121CA42F">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（二）投标人的风险</w:t>
      </w:r>
    </w:p>
    <w:p w14:paraId="4B61E55D">
      <w:pPr>
        <w:pStyle w:val="55"/>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投标人没有按照招标文件要求提供全部资料，或者投标人没有对招标文件在各方面作出实质性响应是投标人的风险，并可能导致其投标为无效标。</w:t>
      </w:r>
    </w:p>
    <w:p w14:paraId="447DBA6F">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 xml:space="preserve">（三）招标文件的澄清与修改 </w:t>
      </w:r>
    </w:p>
    <w:p w14:paraId="046143A6">
      <w:pPr>
        <w:pStyle w:val="55"/>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1.投标人应认真阅读本招标文件，发现其中有误或有不合理要求的，投标人必须在知道或者应当知道之日起七个工作日内以书面形式向采购人一次性提出。采购代理机构对已发出的招标文件进行必要澄清、答复、修改或补充的，应当在招标文件要求提交投标文件截止时间十五日前，在浙江政府采购网(https://zfcg.czt.zj.gov.cn/)上发布更正公告，请投标人在投标截止前及时关注。招标文件的要澄清、答复、修改或补充，一经在上述媒体发布，即视所有投标人都已经收到相关文件。</w:t>
      </w:r>
    </w:p>
    <w:p w14:paraId="0BEA7011">
      <w:pPr>
        <w:pStyle w:val="55"/>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2.采购代理机构以公告形式答复投标人要求澄清的问题，但不包含问题来源；除上述媒体发布的答复以外的其他澄清方式及澄清内容均无效。</w:t>
      </w:r>
    </w:p>
    <w:p w14:paraId="1AD1B631">
      <w:pPr>
        <w:pStyle w:val="55"/>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3.招标文件澄清、答复、修改、补充的内容为招标文件的组成部分。当招标文件与招标文件的答复、澄清、修改、补充通知就同一内容的表述不一致时，以最后发出的文件为准。</w:t>
      </w:r>
    </w:p>
    <w:p w14:paraId="06B6B08D">
      <w:pPr>
        <w:pStyle w:val="55"/>
        <w:wordWrap w:val="0"/>
        <w:overflowPunct w:val="0"/>
        <w:autoSpaceDE w:val="0"/>
        <w:autoSpaceDN w:val="0"/>
        <w:rPr>
          <w:rFonts w:ascii="宋体" w:hAnsi="宋体" w:cs="宋体"/>
          <w:color w:val="auto"/>
          <w:szCs w:val="24"/>
          <w:highlight w:val="none"/>
        </w:rPr>
      </w:pPr>
      <w:r>
        <w:rPr>
          <w:rFonts w:hint="eastAsia" w:ascii="宋体" w:hAnsi="宋体" w:cs="宋体"/>
          <w:color w:val="auto"/>
          <w:szCs w:val="24"/>
          <w:highlight w:val="none"/>
        </w:rPr>
        <w:t>4.招标文件的澄清、答复、修改或补充都应该通过本代理机构以法定形式发布，采购人非通过本机构，不得擅自澄清、答复、修改或补充招标文件。</w:t>
      </w:r>
    </w:p>
    <w:p w14:paraId="17744F0C">
      <w:pPr>
        <w:pStyle w:val="35"/>
        <w:wordWrap w:val="0"/>
        <w:overflowPunct w:val="0"/>
        <w:autoSpaceDE w:val="0"/>
        <w:autoSpaceDN w:val="0"/>
        <w:snapToGrid w:val="0"/>
        <w:spacing w:line="360" w:lineRule="auto"/>
        <w:outlineLvl w:val="0"/>
        <w:rPr>
          <w:rFonts w:hAnsi="宋体" w:cs="宋体"/>
          <w:b/>
          <w:color w:val="auto"/>
          <w:sz w:val="28"/>
          <w:szCs w:val="28"/>
          <w:highlight w:val="none"/>
        </w:rPr>
      </w:pPr>
      <w:r>
        <w:rPr>
          <w:rFonts w:hint="eastAsia" w:hAnsi="宋体" w:cs="宋体"/>
          <w:b/>
          <w:color w:val="auto"/>
          <w:sz w:val="28"/>
          <w:szCs w:val="28"/>
          <w:highlight w:val="none"/>
        </w:rPr>
        <w:t>三、投标文件的编制</w:t>
      </w:r>
    </w:p>
    <w:p w14:paraId="192DA802">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(一)总体要求</w:t>
      </w:r>
    </w:p>
    <w:p w14:paraId="2A3C2717">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1.投标人应仔细阅读招标文件的所有内容，按本文件的要求提供投标文件，并保证所提供的全部资料的真实性，以使其投标文件对招标文件作出实质性响应，否则，投标文件可能视为无效投标文件。</w:t>
      </w:r>
    </w:p>
    <w:p w14:paraId="39351392">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2.投标文件及投标人与采购有关的来往通知，函件和文件均应使用中文。</w:t>
      </w:r>
    </w:p>
    <w:p w14:paraId="7CED2170">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3.投标文件的形式：投标文件为电子加密投标文件，按“政府采购项目电子交易管理操作指南-供应商”及本招标文件要求制作、加密并递交。</w:t>
      </w:r>
    </w:p>
    <w:p w14:paraId="4BE4565D">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（二）投标文件的组成</w:t>
      </w:r>
    </w:p>
    <w:p w14:paraId="6A8A4ADA">
      <w:pPr>
        <w:pStyle w:val="35"/>
        <w:wordWrap w:val="0"/>
        <w:overflowPunct w:val="0"/>
        <w:autoSpaceDE w:val="0"/>
        <w:autoSpaceDN w:val="0"/>
        <w:snapToGrid w:val="0"/>
        <w:spacing w:line="360" w:lineRule="auto"/>
        <w:ind w:firstLine="482" w:firstLineChars="200"/>
        <w:outlineLvl w:val="0"/>
        <w:rPr>
          <w:rFonts w:hAnsi="宋体" w:cs="宋体"/>
          <w:b/>
          <w:color w:val="auto"/>
          <w:sz w:val="24"/>
          <w:szCs w:val="24"/>
          <w:highlight w:val="none"/>
        </w:rPr>
      </w:pPr>
      <w:r>
        <w:rPr>
          <w:rFonts w:hint="eastAsia" w:hAnsi="宋体" w:cs="宋体"/>
          <w:b/>
          <w:color w:val="auto"/>
          <w:sz w:val="24"/>
          <w:szCs w:val="24"/>
          <w:highlight w:val="none"/>
        </w:rPr>
        <w:t>本项目所涉投标文件格式请详见第六章，未给出的格式请自拟。资格文件及商务技术文件中不得出现报价，否则投标文件将被视为无效。投标文件中所须加盖公章部分均采用CA签章。</w:t>
      </w:r>
    </w:p>
    <w:p w14:paraId="4C68D34A">
      <w:pPr>
        <w:pStyle w:val="35"/>
        <w:wordWrap w:val="0"/>
        <w:overflowPunct w:val="0"/>
        <w:autoSpaceDE w:val="0"/>
        <w:autoSpaceDN w:val="0"/>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投标文件由资格文件、商务技术文件、报价文件三部分组成。</w:t>
      </w:r>
    </w:p>
    <w:p w14:paraId="009D9008">
      <w:pPr>
        <w:pStyle w:val="35"/>
        <w:wordWrap w:val="0"/>
        <w:overflowPunct w:val="0"/>
        <w:autoSpaceDE w:val="0"/>
        <w:autoSpaceDN w:val="0"/>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1.资格文件（资格文件所需的证明材料均需加盖供应商公章）：</w:t>
      </w:r>
    </w:p>
    <w:p w14:paraId="390E57F7">
      <w:pPr>
        <w:numPr>
          <w:ilvl w:val="0"/>
          <w:numId w:val="4"/>
        </w:numPr>
        <w:tabs>
          <w:tab w:val="left" w:pos="1418"/>
        </w:tabs>
        <w:snapToGrid w:val="0"/>
        <w:spacing w:line="360" w:lineRule="auto"/>
        <w:ind w:left="0" w:firstLine="705" w:firstLineChars="294"/>
        <w:jc w:val="left"/>
        <w:rPr>
          <w:rFonts w:ascii="宋体" w:hAnsi="宋体"/>
          <w:color w:val="auto"/>
          <w:sz w:val="24"/>
          <w:highlight w:val="none"/>
        </w:rPr>
      </w:pPr>
      <w:r>
        <w:rPr>
          <w:rFonts w:hint="eastAsia" w:cs="宋体"/>
          <w:color w:val="auto"/>
          <w:sz w:val="24"/>
          <w:highlight w:val="none"/>
        </w:rPr>
        <w:t>营业执照</w:t>
      </w:r>
    </w:p>
    <w:p w14:paraId="359AEA50">
      <w:pPr>
        <w:numPr>
          <w:ilvl w:val="0"/>
          <w:numId w:val="4"/>
        </w:numPr>
        <w:tabs>
          <w:tab w:val="left" w:pos="1418"/>
        </w:tabs>
        <w:snapToGrid w:val="0"/>
        <w:spacing w:line="360" w:lineRule="auto"/>
        <w:ind w:left="0" w:firstLine="705" w:firstLineChars="294"/>
        <w:jc w:val="left"/>
        <w:rPr>
          <w:rFonts w:ascii="宋体" w:hAnsi="宋体"/>
          <w:color w:val="auto"/>
          <w:sz w:val="24"/>
          <w:highlight w:val="none"/>
        </w:rPr>
      </w:pPr>
      <w:r>
        <w:rPr>
          <w:rFonts w:hint="eastAsia" w:ascii="宋体" w:hAnsi="宋体"/>
          <w:color w:val="auto"/>
          <w:sz w:val="24"/>
          <w:highlight w:val="none"/>
        </w:rPr>
        <w:t>符合参加政府采购活动应当具备的一般条件的承诺函（格式见第六章）</w:t>
      </w:r>
    </w:p>
    <w:p w14:paraId="490D5C3C">
      <w:pPr>
        <w:numPr>
          <w:ilvl w:val="0"/>
          <w:numId w:val="4"/>
        </w:numPr>
        <w:tabs>
          <w:tab w:val="left" w:pos="1418"/>
        </w:tabs>
        <w:snapToGrid w:val="0"/>
        <w:spacing w:line="360" w:lineRule="auto"/>
        <w:ind w:left="0" w:firstLine="705" w:firstLineChars="294"/>
        <w:jc w:val="left"/>
        <w:rPr>
          <w:rFonts w:ascii="宋体" w:hAnsi="宋体"/>
          <w:color w:val="auto"/>
          <w:sz w:val="24"/>
          <w:highlight w:val="none"/>
        </w:rPr>
      </w:pPr>
      <w:r>
        <w:rPr>
          <w:rFonts w:hint="eastAsia" w:ascii="宋体" w:hAnsi="宋体"/>
          <w:color w:val="auto"/>
          <w:sz w:val="24"/>
          <w:highlight w:val="none"/>
        </w:rPr>
        <w:t>中小企业声明函或监狱和戒毒企业企业证明材料或残疾人福利性单位声明函（格式见第六章）</w:t>
      </w:r>
    </w:p>
    <w:p w14:paraId="040DA77E">
      <w:pPr>
        <w:pStyle w:val="60"/>
        <w:widowControl w:val="0"/>
        <w:overflowPunct w:val="0"/>
        <w:autoSpaceDE w:val="0"/>
        <w:autoSpaceDN w:val="0"/>
        <w:adjustRightInd/>
        <w:spacing w:before="0" w:beforeAutospacing="0" w:after="0" w:afterAutospacing="0" w:line="360" w:lineRule="auto"/>
        <w:ind w:firstLine="481"/>
        <w:rPr>
          <w:rFonts w:cs="宋体"/>
          <w:b/>
          <w:bCs/>
          <w:color w:val="auto"/>
          <w:highlight w:val="none"/>
        </w:rPr>
      </w:pPr>
      <w:r>
        <w:rPr>
          <w:rFonts w:hint="eastAsia" w:cs="宋体"/>
          <w:b/>
          <w:bCs/>
          <w:color w:val="auto"/>
          <w:highlight w:val="none"/>
        </w:rPr>
        <w:t>2.商务技术文件</w:t>
      </w:r>
    </w:p>
    <w:p w14:paraId="4100598D">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自评表（格式见第六章）</w:t>
      </w:r>
    </w:p>
    <w:p w14:paraId="3A92CB2F">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投标声明书（格式见第六章）</w:t>
      </w:r>
    </w:p>
    <w:p w14:paraId="4813C114">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法定代表人授权委托书（格式见第六章）</w:t>
      </w:r>
    </w:p>
    <w:p w14:paraId="42EBDBBC">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诚信承诺书（格式见第六章）</w:t>
      </w:r>
    </w:p>
    <w:p w14:paraId="77254BC2">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投标人基本情况表（格式见第六章）</w:t>
      </w:r>
    </w:p>
    <w:p w14:paraId="7BA01375">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项目实施人员表（格式见第六章）</w:t>
      </w:r>
    </w:p>
    <w:p w14:paraId="0FC4AEA2">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商务响应（偏离）表（格式见第六章）</w:t>
      </w:r>
    </w:p>
    <w:p w14:paraId="419CB1EB">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同类项目业绩（格式见第六章同类项目业绩一览表）</w:t>
      </w:r>
    </w:p>
    <w:p w14:paraId="71CA730B">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优惠条件</w:t>
      </w:r>
    </w:p>
    <w:p w14:paraId="06174621">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技术指标偏离情况（格式见第六章技术响应（偏离）表）</w:t>
      </w:r>
    </w:p>
    <w:p w14:paraId="4891D787">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项目实施方案</w:t>
      </w:r>
    </w:p>
    <w:p w14:paraId="0F7E64B2">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安装实施方案</w:t>
      </w:r>
    </w:p>
    <w:p w14:paraId="5A06CDA3">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售后服务方案</w:t>
      </w:r>
    </w:p>
    <w:p w14:paraId="051ADDE3">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投标样品</w:t>
      </w:r>
    </w:p>
    <w:p w14:paraId="2E20BD92">
      <w:pPr>
        <w:numPr>
          <w:ilvl w:val="0"/>
          <w:numId w:val="5"/>
        </w:numPr>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投标人根据评标办法及采购需求需要提供的其他资料（如有）</w:t>
      </w:r>
    </w:p>
    <w:p w14:paraId="11628C24">
      <w:pPr>
        <w:pStyle w:val="35"/>
        <w:wordWrap w:val="0"/>
        <w:overflowPunct w:val="0"/>
        <w:autoSpaceDE w:val="0"/>
        <w:autoSpaceDN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3.报价文件：</w:t>
      </w:r>
    </w:p>
    <w:p w14:paraId="14FB72F8">
      <w:pPr>
        <w:numPr>
          <w:ilvl w:val="0"/>
          <w:numId w:val="6"/>
        </w:numPr>
        <w:tabs>
          <w:tab w:val="left" w:pos="851"/>
          <w:tab w:val="left" w:pos="1134"/>
        </w:tabs>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hAnsi="宋体" w:cs="宋体"/>
          <w:color w:val="auto"/>
          <w:sz w:val="24"/>
          <w:highlight w:val="none"/>
        </w:rPr>
        <w:t>投标函（格式见第六章）</w:t>
      </w:r>
    </w:p>
    <w:p w14:paraId="16D09899">
      <w:pPr>
        <w:numPr>
          <w:ilvl w:val="0"/>
          <w:numId w:val="6"/>
        </w:numPr>
        <w:tabs>
          <w:tab w:val="left" w:pos="851"/>
          <w:tab w:val="left" w:pos="1134"/>
        </w:tabs>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hAnsi="宋体" w:cs="宋体"/>
          <w:color w:val="auto"/>
          <w:sz w:val="24"/>
          <w:highlight w:val="none"/>
        </w:rPr>
        <w:t>开标一览表（格式见第六章）</w:t>
      </w:r>
    </w:p>
    <w:p w14:paraId="27793673">
      <w:pPr>
        <w:numPr>
          <w:ilvl w:val="0"/>
          <w:numId w:val="6"/>
        </w:numPr>
        <w:tabs>
          <w:tab w:val="left" w:pos="851"/>
          <w:tab w:val="left" w:pos="1134"/>
        </w:tabs>
        <w:snapToGrid w:val="0"/>
        <w:spacing w:line="360" w:lineRule="auto"/>
        <w:ind w:left="0" w:firstLine="480" w:firstLineChars="200"/>
        <w:jc w:val="left"/>
        <w:rPr>
          <w:rFonts w:asciiTheme="minorEastAsia" w:hAnsiTheme="minorEastAsia" w:eastAsiaTheme="minorEastAsia" w:cstheme="minorEastAsia"/>
          <w:color w:val="auto"/>
          <w:sz w:val="24"/>
          <w:highlight w:val="none"/>
        </w:rPr>
      </w:pPr>
      <w:r>
        <w:rPr>
          <w:rFonts w:hint="eastAsia" w:ascii="宋体" w:hAnsi="宋体" w:cs="宋体"/>
          <w:color w:val="auto"/>
          <w:sz w:val="24"/>
          <w:highlight w:val="none"/>
        </w:rPr>
        <w:t>投标报价明细表（格式见第六章</w:t>
      </w:r>
      <w:r>
        <w:rPr>
          <w:rFonts w:hint="eastAsia" w:hAnsi="宋体" w:cs="宋体"/>
          <w:color w:val="auto"/>
          <w:sz w:val="24"/>
          <w:highlight w:val="none"/>
        </w:rPr>
        <w:t>）</w:t>
      </w:r>
    </w:p>
    <w:p w14:paraId="31F01037">
      <w:pPr>
        <w:numPr>
          <w:ilvl w:val="0"/>
          <w:numId w:val="6"/>
        </w:numPr>
        <w:tabs>
          <w:tab w:val="left" w:pos="851"/>
          <w:tab w:val="left" w:pos="1134"/>
        </w:tabs>
        <w:snapToGrid w:val="0"/>
        <w:spacing w:line="360" w:lineRule="auto"/>
        <w:ind w:left="0" w:firstLine="480" w:firstLineChars="200"/>
        <w:jc w:val="left"/>
        <w:rPr>
          <w:rFonts w:ascii="宋体" w:hAnsi="宋体" w:cs="宋体"/>
          <w:color w:val="auto"/>
          <w:sz w:val="24"/>
          <w:highlight w:val="none"/>
        </w:rPr>
      </w:pPr>
      <w:r>
        <w:rPr>
          <w:rFonts w:hint="eastAsia" w:ascii="宋体" w:hAnsi="宋体" w:cs="宋体"/>
          <w:color w:val="auto"/>
          <w:sz w:val="24"/>
          <w:highlight w:val="none"/>
        </w:rPr>
        <w:t>投标人针对报价需要说明的其他文件和说明（如有）</w:t>
      </w:r>
    </w:p>
    <w:p w14:paraId="169F6A9E">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4.投标文件内容填写说明 </w:t>
      </w:r>
    </w:p>
    <w:p w14:paraId="58CD16F6">
      <w:pPr>
        <w:wordWrap w:val="0"/>
        <w:overflowPunct w:val="0"/>
        <w:autoSpaceDE w:val="0"/>
        <w:autoSpaceDN w:val="0"/>
        <w:snapToGrid w:val="0"/>
        <w:spacing w:line="360" w:lineRule="auto"/>
        <w:jc w:val="left"/>
        <w:rPr>
          <w:rFonts w:ascii="宋体" w:hAnsi="宋体" w:cs="宋体"/>
          <w:bCs/>
          <w:color w:val="auto"/>
          <w:sz w:val="24"/>
          <w:highlight w:val="none"/>
        </w:rPr>
      </w:pPr>
      <w:r>
        <w:rPr>
          <w:rFonts w:hint="eastAsia" w:ascii="宋体" w:hAnsi="宋体" w:cs="宋体"/>
          <w:color w:val="auto"/>
          <w:sz w:val="24"/>
          <w:highlight w:val="none"/>
        </w:rPr>
        <w:t xml:space="preserve">   （1）投标人应在认真阅读招标文件所有内容的基础上，按照招标文件的要求编制完整的投标文件。投标文件应按照招标文件中规定的统一格式填写：</w:t>
      </w:r>
      <w:r>
        <w:rPr>
          <w:rFonts w:hint="eastAsia" w:ascii="宋体" w:hAnsi="宋体" w:cs="宋体"/>
          <w:bCs/>
          <w:color w:val="auto"/>
          <w:sz w:val="24"/>
          <w:highlight w:val="none"/>
        </w:rPr>
        <w:t>电子投标文件按政采云平台供应商项目采购-电子招投标操作指南（网址：https://service.zcygov.cn/#/knowledges/CW1EtGwBFdiHxlNd6I3m/6IMVAG0BFdiHxlNdQ8Na?keyword）及本招标文件要求制作、加密。</w:t>
      </w:r>
    </w:p>
    <w:p w14:paraId="3F69BB9D">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（2）招标文件对投标文件格式有要求的应按格式逐项填写内容，不准有空项；无相应内容可填的项应填写“无”、“未测试”、“没有相应指标”等明确的回答文字。</w:t>
      </w:r>
    </w:p>
    <w:p w14:paraId="201C3F95">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（3）投标人必须保证投标文件所提供的全部资料真实可靠，并接受采购人对其中任何资料进一步审查的要求。</w:t>
      </w:r>
    </w:p>
    <w:p w14:paraId="32A81069">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（4）《开标一览表》为在开标仪式上唱标的内容，要求按格式填写、统一规范，不得自行增减内容。</w:t>
      </w:r>
    </w:p>
    <w:p w14:paraId="1F4B0A4A">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（5）投标文件须对招标文件中的内容做出实质性的和完整的响应，否则其投标将被拒绝。如果投标文件填报的内容资料不详，或没有提供招标文件中所要求的全部资料及数据，将会导致投标被拒绝。</w:t>
      </w:r>
    </w:p>
    <w:p w14:paraId="52320DC1">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6）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采购人可以拒绝其投标文件。</w:t>
      </w:r>
    </w:p>
    <w:p w14:paraId="4CE9370C">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（7）投标响应文件不得涂改和增删，如有错漏必须修改。</w:t>
      </w:r>
    </w:p>
    <w:p w14:paraId="0B1A29F7">
      <w:pPr>
        <w:wordWrap w:val="0"/>
        <w:overflowPunct w:val="0"/>
        <w:autoSpaceDE w:val="0"/>
        <w:autoSpaceDN w:val="0"/>
        <w:snapToGrid w:val="0"/>
        <w:spacing w:line="360" w:lineRule="auto"/>
        <w:rPr>
          <w:rFonts w:ascii="宋体" w:hAnsi="宋体" w:cs="宋体"/>
          <w:b/>
          <w:bCs/>
          <w:color w:val="auto"/>
          <w:sz w:val="24"/>
          <w:highlight w:val="none"/>
        </w:rPr>
      </w:pPr>
      <w:r>
        <w:rPr>
          <w:rFonts w:hint="eastAsia" w:ascii="宋体" w:hAnsi="宋体" w:cs="宋体"/>
          <w:color w:val="auto"/>
          <w:sz w:val="24"/>
          <w:highlight w:val="none"/>
        </w:rPr>
        <w:t xml:space="preserve">    （8）由于字迹模糊或表达不清引起的后果由供应商负责。</w:t>
      </w:r>
    </w:p>
    <w:p w14:paraId="67625B60">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（三）投标文件的语言及计量</w:t>
      </w:r>
    </w:p>
    <w:p w14:paraId="24A01A98">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▲1投标文件以及投标方与招标方就有关投标事宜的所有来往函电，均应以中文汉语书写。除签名、盖章、专用名称等特殊情形外，以中文汉语以外的文字表述的投标文件视同未提供。</w:t>
      </w:r>
    </w:p>
    <w:p w14:paraId="09E7F052">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▲2投标计量单位，招标文件已有明确规定的，使用招标文件规定的计量单位；招标文件没有规定的，应采用中华人民共和国法定计量单位（货币单位：人民币元），否则视同未响应。</w:t>
      </w:r>
    </w:p>
    <w:p w14:paraId="7F7908E6">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（四）投标报价</w:t>
      </w:r>
    </w:p>
    <w:p w14:paraId="76BE890F">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1.投标报价应按招标文件中相关附表格式填写。</w:t>
      </w:r>
    </w:p>
    <w:p w14:paraId="228E022D">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▲2.投标报价是履行合同的最终价格，报价采用固定单价方式进行报价，</w:t>
      </w:r>
      <w:r>
        <w:rPr>
          <w:rFonts w:hint="eastAsia" w:ascii="宋体" w:hAnsi="宋体"/>
          <w:color w:val="auto"/>
          <w:sz w:val="24"/>
          <w:highlight w:val="none"/>
        </w:rPr>
        <w:t>最终结算总价=中标单价*实际采购设备数量</w:t>
      </w:r>
      <w:r>
        <w:rPr>
          <w:rFonts w:hint="eastAsia" w:ascii="宋体" w:hAnsi="宋体" w:cs="宋体"/>
          <w:color w:val="auto"/>
          <w:sz w:val="24"/>
          <w:highlight w:val="none"/>
        </w:rPr>
        <w:t>，报价包括设计、生产、供货、运输、装卸、安装调试、税金、保险、备品备件、配件、附件、培训、验收、辅助工作及售后服务等完成本项目的所有费用。</w:t>
      </w:r>
    </w:p>
    <w:p w14:paraId="22173878">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▲3.投标文件只允许有一个报价，有选择的或有条件的报价将不予接受。</w:t>
      </w:r>
    </w:p>
    <w:p w14:paraId="1A7EA750">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（五）投标文件的有效期</w:t>
      </w:r>
    </w:p>
    <w:p w14:paraId="7467F761">
      <w:pPr>
        <w:pStyle w:val="14"/>
        <w:widowControl w:val="0"/>
        <w:tabs>
          <w:tab w:val="left" w:pos="720"/>
          <w:tab w:val="clear" w:pos="390"/>
        </w:tabs>
        <w:wordWrap w:val="0"/>
        <w:overflowPunct w:val="0"/>
        <w:autoSpaceDE w:val="0"/>
        <w:autoSpaceDN w:val="0"/>
        <w:snapToGrid w:val="0"/>
        <w:spacing w:afterLines="0" w:line="360"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▲1.自投标截止日起</w:t>
      </w:r>
      <w:r>
        <w:rPr>
          <w:rFonts w:hint="eastAsia" w:ascii="宋体" w:hAnsi="宋体" w:cs="宋体"/>
          <w:color w:val="auto"/>
          <w:szCs w:val="24"/>
          <w:highlight w:val="none"/>
          <w:u w:val="single"/>
        </w:rPr>
        <w:t xml:space="preserve"> 90</w:t>
      </w:r>
      <w:r>
        <w:rPr>
          <w:rFonts w:hint="eastAsia" w:ascii="宋体" w:hAnsi="宋体" w:cs="宋体"/>
          <w:color w:val="auto"/>
          <w:szCs w:val="24"/>
          <w:highlight w:val="none"/>
        </w:rPr>
        <w:t>天投标文件应保持有效。有效期不足的投标文件将被拒绝。</w:t>
      </w:r>
    </w:p>
    <w:p w14:paraId="5B0E7ACB">
      <w:pPr>
        <w:pStyle w:val="14"/>
        <w:widowControl w:val="0"/>
        <w:tabs>
          <w:tab w:val="left" w:pos="720"/>
          <w:tab w:val="clear" w:pos="390"/>
        </w:tabs>
        <w:wordWrap w:val="0"/>
        <w:overflowPunct w:val="0"/>
        <w:autoSpaceDE w:val="0"/>
        <w:autoSpaceDN w:val="0"/>
        <w:snapToGrid w:val="0"/>
        <w:spacing w:afterLines="0" w:line="360"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2.在特殊情况下，采购人可与投标人协商延长投标书的有效期，这种要求和答复均以书面形式进行。</w:t>
      </w:r>
    </w:p>
    <w:p w14:paraId="78FCB6A3">
      <w:pPr>
        <w:wordWrap w:val="0"/>
        <w:overflowPunct w:val="0"/>
        <w:autoSpaceDE w:val="0"/>
        <w:autoSpaceDN w:val="0"/>
        <w:snapToGrid w:val="0"/>
        <w:spacing w:line="360" w:lineRule="auto"/>
        <w:ind w:firstLine="480" w:firstLineChars="200"/>
        <w:jc w:val="left"/>
        <w:outlineLvl w:val="0"/>
        <w:rPr>
          <w:rFonts w:ascii="宋体" w:hAnsi="宋体" w:cs="宋体"/>
          <w:color w:val="auto"/>
          <w:sz w:val="24"/>
          <w:highlight w:val="none"/>
        </w:rPr>
      </w:pPr>
      <w:r>
        <w:rPr>
          <w:rFonts w:hint="eastAsia" w:ascii="宋体" w:hAnsi="宋体" w:cs="宋体"/>
          <w:color w:val="auto"/>
          <w:sz w:val="24"/>
          <w:highlight w:val="none"/>
        </w:rPr>
        <w:t>3.中标人的投标文件自开标之日起至合同履行完毕止均应保持有效。</w:t>
      </w:r>
    </w:p>
    <w:p w14:paraId="0B47D9EB">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（六）投标保证金：无</w:t>
      </w:r>
    </w:p>
    <w:p w14:paraId="20FC252E">
      <w:pPr>
        <w:pStyle w:val="35"/>
        <w:wordWrap w:val="0"/>
        <w:overflowPunct w:val="0"/>
        <w:autoSpaceDE w:val="0"/>
        <w:autoSpaceDN w:val="0"/>
        <w:snapToGrid w:val="0"/>
        <w:spacing w:line="360" w:lineRule="auto"/>
        <w:outlineLvl w:val="0"/>
        <w:rPr>
          <w:rFonts w:hAnsi="宋体" w:cs="宋体"/>
          <w:b/>
          <w:color w:val="auto"/>
          <w:sz w:val="24"/>
          <w:szCs w:val="24"/>
          <w:highlight w:val="none"/>
        </w:rPr>
      </w:pPr>
      <w:bookmarkStart w:id="17" w:name="_Toc359856802"/>
      <w:r>
        <w:rPr>
          <w:rFonts w:hint="eastAsia" w:hAnsi="宋体" w:cs="宋体"/>
          <w:b/>
          <w:color w:val="auto"/>
          <w:sz w:val="24"/>
          <w:szCs w:val="24"/>
          <w:highlight w:val="none"/>
        </w:rPr>
        <w:t>（七）投标文件的签署及规定</w:t>
      </w:r>
      <w:bookmarkEnd w:id="17"/>
    </w:p>
    <w:p w14:paraId="683CC6C1">
      <w:pPr>
        <w:wordWrap w:val="0"/>
        <w:overflowPunct w:val="0"/>
        <w:autoSpaceDE w:val="0"/>
        <w:autoSpaceDN w:val="0"/>
        <w:snapToGrid w:val="0"/>
        <w:spacing w:line="360" w:lineRule="auto"/>
        <w:ind w:firstLine="480" w:firstLineChars="200"/>
        <w:jc w:val="left"/>
        <w:outlineLvl w:val="1"/>
        <w:rPr>
          <w:rFonts w:ascii="宋体" w:hAnsi="宋体" w:cs="宋体"/>
          <w:bCs/>
          <w:color w:val="auto"/>
          <w:sz w:val="24"/>
          <w:highlight w:val="none"/>
        </w:rPr>
      </w:pPr>
      <w:r>
        <w:rPr>
          <w:rFonts w:hint="eastAsia" w:ascii="宋体" w:hAnsi="宋体" w:cs="宋体"/>
          <w:bCs/>
          <w:color w:val="auto"/>
          <w:sz w:val="24"/>
          <w:highlight w:val="none"/>
        </w:rPr>
        <w:t>电子投标文件按政采云平台供应商项目采购-电子招投标操作指南（网址：</w:t>
      </w:r>
      <w:r>
        <w:rPr>
          <w:color w:val="auto"/>
          <w:highlight w:val="none"/>
        </w:rPr>
        <w:fldChar w:fldCharType="begin"/>
      </w:r>
      <w:r>
        <w:rPr>
          <w:color w:val="auto"/>
          <w:highlight w:val="none"/>
        </w:rPr>
        <w:instrText xml:space="preserve"> HYPERLINK "https://help.zcy.gov.cn/web/site_2/2018/12-28/2573.html）及本招标文件规定的格式和顺序编制电子投标文件并进行关联定位。" </w:instrText>
      </w:r>
      <w:r>
        <w:rPr>
          <w:color w:val="auto"/>
          <w:highlight w:val="none"/>
        </w:rPr>
        <w:fldChar w:fldCharType="separate"/>
      </w:r>
      <w:r>
        <w:rPr>
          <w:rFonts w:hint="eastAsia" w:ascii="宋体" w:hAnsi="宋体" w:cs="宋体"/>
          <w:bCs/>
          <w:color w:val="auto"/>
          <w:sz w:val="24"/>
          <w:highlight w:val="none"/>
        </w:rPr>
        <w:t>https://service.zcygov.cn/#/knowledges/CW1EtGwBFdiHxlNd6I3m/6IMVAG0BFdiHxlNdQ8Na?keyword</w:t>
      </w:r>
      <w:r>
        <w:rPr>
          <w:rStyle w:val="78"/>
          <w:rFonts w:hint="eastAsia" w:ascii="宋体" w:hAnsi="宋体" w:cs="宋体"/>
          <w:bCs/>
          <w:color w:val="auto"/>
          <w:sz w:val="24"/>
          <w:highlight w:val="none"/>
        </w:rPr>
        <w:t>）及本招标文件规定的格式和顺序编制电子投标文件并进行关联定位。</w:t>
      </w:r>
      <w:r>
        <w:rPr>
          <w:rStyle w:val="78"/>
          <w:rFonts w:hint="eastAsia" w:ascii="宋体" w:hAnsi="宋体" w:cs="宋体"/>
          <w:bCs/>
          <w:color w:val="auto"/>
          <w:sz w:val="24"/>
          <w:highlight w:val="none"/>
        </w:rPr>
        <w:fldChar w:fldCharType="end"/>
      </w:r>
    </w:p>
    <w:p w14:paraId="514FA115">
      <w:pPr>
        <w:pStyle w:val="35"/>
        <w:wordWrap w:val="0"/>
        <w:overflowPunct w:val="0"/>
        <w:autoSpaceDE w:val="0"/>
        <w:autoSpaceDN w:val="0"/>
        <w:snapToGrid w:val="0"/>
        <w:spacing w:line="360" w:lineRule="auto"/>
        <w:outlineLvl w:val="0"/>
        <w:rPr>
          <w:rFonts w:hAnsi="宋体" w:cs="宋体"/>
          <w:b/>
          <w:color w:val="auto"/>
          <w:sz w:val="24"/>
          <w:szCs w:val="24"/>
          <w:highlight w:val="none"/>
        </w:rPr>
      </w:pPr>
      <w:bookmarkStart w:id="18" w:name="_Toc359856803"/>
      <w:bookmarkStart w:id="19" w:name="_Toc356371437"/>
      <w:r>
        <w:rPr>
          <w:rFonts w:hint="eastAsia" w:hAnsi="宋体" w:cs="宋体"/>
          <w:b/>
          <w:color w:val="auto"/>
          <w:sz w:val="24"/>
          <w:szCs w:val="24"/>
          <w:highlight w:val="none"/>
        </w:rPr>
        <w:t>（八）投标文件的递交</w:t>
      </w:r>
      <w:bookmarkEnd w:id="18"/>
      <w:bookmarkEnd w:id="19"/>
    </w:p>
    <w:p w14:paraId="33A7A2BF">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1.递交投标文件截止期</w:t>
      </w:r>
    </w:p>
    <w:p w14:paraId="7E8E6469">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p>
    <w:p w14:paraId="0BDFE66B">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2.投标文件的修改和撤销</w:t>
      </w:r>
    </w:p>
    <w:p w14:paraId="27350FD1">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（1）投标人在递交投标文件后，可以修改或撤回其投标文件：递交投标文件截止时间之前补充或者修改电子投标文件的，应当先行撤回原文件，补充、修改后重新传输递交。</w:t>
      </w:r>
    </w:p>
    <w:p w14:paraId="0EEE59A0">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（2）投标人修改后的投标文件应按原来的规定编制、密封、标记和递交。</w:t>
      </w:r>
    </w:p>
    <w:p w14:paraId="4FC93D36">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（3）在递交投标文件截止期之后，投标人不得对其投标文件做任何修改。</w:t>
      </w:r>
    </w:p>
    <w:p w14:paraId="10ED079B">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（4）递交投标文件截止期后，投标人不得撤回其投标文件。</w:t>
      </w:r>
    </w:p>
    <w:p w14:paraId="2800B38C">
      <w:pPr>
        <w:wordWrap w:val="0"/>
        <w:overflowPunct w:val="0"/>
        <w:autoSpaceDE w:val="0"/>
        <w:autoSpaceDN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（5）实质上没有响应本文件要求的投标文件将被拒绝。投标人不得通过修正或撤销不合要求的偏离或保留从而使其投标文件成为实质上响应的文件。</w:t>
      </w:r>
    </w:p>
    <w:p w14:paraId="484E8B75">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3.备份投标文件</w:t>
      </w:r>
    </w:p>
    <w:p w14:paraId="2C7F8DA3">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（1）</w:t>
      </w:r>
      <w:r>
        <w:rPr>
          <w:rFonts w:hint="eastAsia" w:ascii="宋体" w:hAnsi="宋体" w:cs="宋体"/>
          <w:color w:val="auto"/>
          <w:sz w:val="24"/>
          <w:highlight w:val="none"/>
        </w:rPr>
        <w:t>投标人在电子交易平台传输递交投标文件后，还可以在投标截止时间前直接提交或者以邮政快递方式递交备份投标文件1份，但采购人、采购机构不强制或变相强制投标人提交备份投标文件。</w:t>
      </w:r>
    </w:p>
    <w:p w14:paraId="16054076">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（2）</w:t>
      </w:r>
      <w:r>
        <w:rPr>
          <w:rFonts w:hint="eastAsia" w:ascii="宋体" w:hAnsi="宋体" w:cs="宋体"/>
          <w:color w:val="auto"/>
          <w:sz w:val="24"/>
          <w:highlight w:val="none"/>
        </w:rPr>
        <w:t>备份投标文件须在“政采云投标客户端”制作生成，并储存在</w:t>
      </w:r>
      <w:r>
        <w:rPr>
          <w:rFonts w:hint="eastAsia" w:ascii="宋体" w:hAnsi="宋体" w:cs="宋体"/>
          <w:b/>
          <w:bCs/>
          <w:color w:val="auto"/>
          <w:sz w:val="24"/>
          <w:highlight w:val="none"/>
        </w:rPr>
        <w:t>（U盘）</w:t>
      </w:r>
      <w:r>
        <w:rPr>
          <w:rFonts w:hint="eastAsia" w:ascii="宋体" w:hAnsi="宋体" w:cs="宋体"/>
          <w:color w:val="auto"/>
          <w:sz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14:paraId="75B22DBA">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（3）</w:t>
      </w:r>
      <w:r>
        <w:rPr>
          <w:rFonts w:hint="eastAsia" w:ascii="宋体" w:hAnsi="宋体" w:cs="宋体"/>
          <w:color w:val="auto"/>
          <w:sz w:val="24"/>
          <w:highlight w:val="none"/>
        </w:rPr>
        <w:t>直接提交备份投标文件的，投标人应于投标截止时间前在招标公告中载明的开标地点将备份投标文件提交给采购机构，采购机构将拒绝接受逾期送达的备份投标文件。</w:t>
      </w:r>
    </w:p>
    <w:p w14:paraId="7C8E6A60">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（4）</w:t>
      </w:r>
      <w:r>
        <w:rPr>
          <w:rFonts w:hint="eastAsia" w:ascii="宋体" w:hAnsi="宋体" w:cs="宋体"/>
          <w:color w:val="auto"/>
          <w:sz w:val="24"/>
          <w:highlight w:val="none"/>
        </w:rPr>
        <w:t>以邮政快递方式递交备份投标文件的，投标人应先将备份投标文件按要求密封和标记，再进行邮政快递包装后邮寄。</w:t>
      </w:r>
    </w:p>
    <w:p w14:paraId="3FAD52EA">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（5）</w:t>
      </w:r>
      <w:r>
        <w:rPr>
          <w:rFonts w:hint="eastAsia" w:ascii="宋体" w:hAnsi="宋体" w:cs="宋体"/>
          <w:color w:val="auto"/>
          <w:sz w:val="24"/>
          <w:highlight w:val="none"/>
        </w:rPr>
        <w:t>投标人仅提交备份投标文件，没有在电子交易平台传输递交投标文件的，投标无效。</w:t>
      </w:r>
    </w:p>
    <w:p w14:paraId="1743FF08">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（九）投标无效的情形</w:t>
      </w:r>
    </w:p>
    <w:p w14:paraId="72CDC5F3">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根据《政府采购货物和服务招标投标管理办法》有下列情形之一的，视为投标人串通投标，其投标无效：</w:t>
      </w:r>
    </w:p>
    <w:p w14:paraId="3006C4ED">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(一)不同投标人的投标文件由同一单位或者个人编制；</w:t>
      </w:r>
    </w:p>
    <w:p w14:paraId="4781FF2A">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(二)不同投标人委托同一单位或者个人办理投标事宜；</w:t>
      </w:r>
    </w:p>
    <w:p w14:paraId="3DC80871">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(三)不同投标人的投标文件载明的项目管理成员或者联系人员为同一人；</w:t>
      </w:r>
    </w:p>
    <w:p w14:paraId="3BC57C35">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(四)不同投标人的投标文件异常一致或者投标报价呈规律性差异；</w:t>
      </w:r>
    </w:p>
    <w:p w14:paraId="41F4B3E1">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(五)不同投标人的投标文件相互混装；</w:t>
      </w:r>
    </w:p>
    <w:p w14:paraId="34DF8369">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(六)不同投标人的投标保证金从同一单位或者个人的账户转出。</w:t>
      </w:r>
    </w:p>
    <w:p w14:paraId="50C7ACC1">
      <w:pPr>
        <w:wordWrap w:val="0"/>
        <w:overflowPunct w:val="0"/>
        <w:autoSpaceDE w:val="0"/>
        <w:autoSpaceDN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4F379F91">
      <w:pPr>
        <w:wordWrap w:val="0"/>
        <w:overflowPunct w:val="0"/>
        <w:autoSpaceDE w:val="0"/>
        <w:autoSpaceDN w:val="0"/>
        <w:snapToGrid w:val="0"/>
        <w:spacing w:line="360" w:lineRule="auto"/>
        <w:ind w:firstLine="482" w:firstLineChars="200"/>
        <w:jc w:val="left"/>
        <w:rPr>
          <w:rFonts w:ascii="宋体" w:hAnsi="宋体" w:cs="宋体"/>
          <w:b/>
          <w:bCs/>
          <w:color w:val="auto"/>
          <w:sz w:val="24"/>
          <w:highlight w:val="none"/>
        </w:rPr>
      </w:pPr>
      <w:r>
        <w:rPr>
          <w:rFonts w:ascii="宋体" w:hAnsi="宋体" w:cs="宋体"/>
          <w:b/>
          <w:bCs/>
          <w:color w:val="auto"/>
          <w:sz w:val="24"/>
          <w:highlight w:val="none"/>
        </w:rPr>
        <w:t>1.</w:t>
      </w:r>
      <w:r>
        <w:rPr>
          <w:rFonts w:hint="eastAsia" w:ascii="宋体" w:hAnsi="宋体" w:cs="宋体"/>
          <w:b/>
          <w:bCs/>
          <w:color w:val="auto"/>
          <w:spacing w:val="-4"/>
          <w:sz w:val="24"/>
          <w:highlight w:val="none"/>
        </w:rPr>
        <w:t>电</w:t>
      </w:r>
      <w:r>
        <w:rPr>
          <w:rFonts w:hint="eastAsia" w:ascii="宋体" w:hAnsi="宋体" w:cs="宋体"/>
          <w:b/>
          <w:bCs/>
          <w:color w:val="auto"/>
          <w:sz w:val="24"/>
          <w:highlight w:val="none"/>
        </w:rPr>
        <w:t xml:space="preserve">子加密投标文件解密失败的；   </w:t>
      </w:r>
    </w:p>
    <w:p w14:paraId="0B5939A2">
      <w:pPr>
        <w:wordWrap w:val="0"/>
        <w:overflowPunct w:val="0"/>
        <w:autoSpaceDE w:val="0"/>
        <w:autoSpaceDN w:val="0"/>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 xml:space="preserve">    2.资格证明文件不全的，或者不符合招标文件标明的资格要求的，投标文件将被视为无效。</w:t>
      </w:r>
    </w:p>
    <w:p w14:paraId="4DBA5297">
      <w:pPr>
        <w:wordWrap w:val="0"/>
        <w:overflowPunct w:val="0"/>
        <w:autoSpaceDE w:val="0"/>
        <w:autoSpaceDN w:val="0"/>
        <w:snapToGrid w:val="0"/>
        <w:spacing w:line="360"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3.在符合性审查和资信商务评审时，如发现下列情形之一的，投标文件将被视为无效：</w:t>
      </w:r>
    </w:p>
    <w:p w14:paraId="7DC8CF78">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（1）电子投标文件未按规定要求提供电子签章的。</w:t>
      </w:r>
    </w:p>
    <w:p w14:paraId="5C3D8475">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（2）在资格文件或商务技术文件中出现报价的；</w:t>
      </w:r>
    </w:p>
    <w:p w14:paraId="36463789">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（3）投标文件无法定代表人签字（或盖章）,或未</w:t>
      </w:r>
      <w:r>
        <w:rPr>
          <w:rFonts w:hint="eastAsia" w:ascii="宋体" w:hAnsi="宋体" w:cs="宋体"/>
          <w:bCs/>
          <w:color w:val="auto"/>
          <w:kern w:val="0"/>
          <w:sz w:val="24"/>
          <w:highlight w:val="none"/>
        </w:rPr>
        <w:t>提供法定代表人授权委托书、投标声明书或者填写项目不齐全的；</w:t>
      </w:r>
    </w:p>
    <w:p w14:paraId="1F1AD217">
      <w:pPr>
        <w:wordWrap w:val="0"/>
        <w:overflowPunct w:val="0"/>
        <w:autoSpaceDE w:val="0"/>
        <w:autoSpaceDN w:val="0"/>
        <w:snapToGrid w:val="0"/>
        <w:spacing w:line="360" w:lineRule="auto"/>
        <w:ind w:firstLine="480" w:firstLineChars="200"/>
        <w:rPr>
          <w:rFonts w:ascii="宋体" w:hAnsi="宋体" w:cs="宋体"/>
          <w:bCs/>
          <w:color w:val="auto"/>
          <w:kern w:val="0"/>
          <w:sz w:val="24"/>
          <w:highlight w:val="none"/>
        </w:rPr>
      </w:pPr>
      <w:r>
        <w:rPr>
          <w:rFonts w:hint="eastAsia" w:ascii="宋体" w:hAnsi="宋体" w:cs="宋体"/>
          <w:color w:val="auto"/>
          <w:sz w:val="24"/>
          <w:highlight w:val="none"/>
        </w:rPr>
        <w:t>（4）投标代表人未能出具身份证明或与法定代表人授权委托人身份不符的；</w:t>
      </w:r>
    </w:p>
    <w:p w14:paraId="057F0DCF">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（5）投标文件项目不齐全或者内容虚假的；</w:t>
      </w:r>
    </w:p>
    <w:p w14:paraId="6EF7D8CA">
      <w:pPr>
        <w:pStyle w:val="27"/>
        <w:wordWrap w:val="0"/>
        <w:overflowPunct w:val="0"/>
        <w:autoSpaceDE w:val="0"/>
        <w:autoSpaceDN w:val="0"/>
        <w:snapToGrid w:val="0"/>
        <w:spacing w:line="360" w:lineRule="auto"/>
        <w:rPr>
          <w:rFonts w:cs="宋体"/>
          <w:snapToGrid w:val="0"/>
          <w:color w:val="auto"/>
          <w:highlight w:val="none"/>
        </w:rPr>
      </w:pPr>
      <w:r>
        <w:rPr>
          <w:rFonts w:hint="eastAsia" w:cs="宋体"/>
          <w:color w:val="auto"/>
          <w:highlight w:val="none"/>
        </w:rPr>
        <w:t>（</w:t>
      </w:r>
      <w:r>
        <w:rPr>
          <w:rFonts w:hint="eastAsia" w:cs="宋体"/>
          <w:snapToGrid w:val="0"/>
          <w:color w:val="auto"/>
          <w:highlight w:val="none"/>
        </w:rPr>
        <w:t>6）</w:t>
      </w:r>
      <w:r>
        <w:rPr>
          <w:rFonts w:hint="eastAsia" w:cs="宋体"/>
          <w:color w:val="auto"/>
          <w:highlight w:val="none"/>
        </w:rPr>
        <w:t>投标文件的实质性内容未使用中文表述、意思表述不明确、前后矛盾或者使用计量单位不符合招标文件要求的（经评标委员会认定并允许其当场更正的笔误除外）；</w:t>
      </w:r>
    </w:p>
    <w:p w14:paraId="57681B0A">
      <w:pPr>
        <w:pStyle w:val="27"/>
        <w:wordWrap w:val="0"/>
        <w:overflowPunct w:val="0"/>
        <w:autoSpaceDE w:val="0"/>
        <w:autoSpaceDN w:val="0"/>
        <w:snapToGrid w:val="0"/>
        <w:spacing w:line="360" w:lineRule="auto"/>
        <w:rPr>
          <w:rFonts w:cs="宋体"/>
          <w:snapToGrid w:val="0"/>
          <w:color w:val="auto"/>
          <w:highlight w:val="none"/>
        </w:rPr>
      </w:pPr>
      <w:r>
        <w:rPr>
          <w:rFonts w:hint="eastAsia" w:cs="宋体"/>
          <w:color w:val="auto"/>
          <w:highlight w:val="none"/>
        </w:rPr>
        <w:t>（7）</w:t>
      </w:r>
      <w:r>
        <w:rPr>
          <w:rFonts w:hint="eastAsia" w:cs="宋体"/>
          <w:snapToGrid w:val="0"/>
          <w:color w:val="auto"/>
          <w:highlight w:val="none"/>
        </w:rPr>
        <w:t>投标有效期、交货期限、质保期等商务条款不能满足招标文件要求的；</w:t>
      </w:r>
    </w:p>
    <w:p w14:paraId="16DCE1F7">
      <w:pPr>
        <w:pStyle w:val="27"/>
        <w:wordWrap w:val="0"/>
        <w:overflowPunct w:val="0"/>
        <w:autoSpaceDE w:val="0"/>
        <w:autoSpaceDN w:val="0"/>
        <w:snapToGrid w:val="0"/>
        <w:spacing w:line="360" w:lineRule="auto"/>
        <w:rPr>
          <w:rFonts w:cs="宋体"/>
          <w:snapToGrid w:val="0"/>
          <w:color w:val="auto"/>
          <w:highlight w:val="none"/>
        </w:rPr>
      </w:pPr>
      <w:r>
        <w:rPr>
          <w:rFonts w:hint="eastAsia" w:cs="宋体"/>
          <w:color w:val="auto"/>
          <w:highlight w:val="none"/>
        </w:rPr>
        <w:t>（</w:t>
      </w:r>
      <w:r>
        <w:rPr>
          <w:rFonts w:hint="eastAsia" w:cs="宋体"/>
          <w:snapToGrid w:val="0"/>
          <w:color w:val="auto"/>
          <w:highlight w:val="none"/>
        </w:rPr>
        <w:t>8）</w:t>
      </w:r>
      <w:r>
        <w:rPr>
          <w:rFonts w:hint="eastAsia" w:cs="宋体"/>
          <w:color w:val="auto"/>
          <w:highlight w:val="none"/>
        </w:rPr>
        <w:t>未实质性响应招标文件要求或者投标文件有招标方不能接受的附加条件的</w:t>
      </w:r>
      <w:r>
        <w:rPr>
          <w:rFonts w:hint="eastAsia" w:cs="宋体"/>
          <w:snapToGrid w:val="0"/>
          <w:color w:val="auto"/>
          <w:highlight w:val="none"/>
        </w:rPr>
        <w:t>；</w:t>
      </w:r>
    </w:p>
    <w:p w14:paraId="1A5A2C9B">
      <w:pPr>
        <w:pStyle w:val="27"/>
        <w:wordWrap w:val="0"/>
        <w:overflowPunct w:val="0"/>
        <w:autoSpaceDE w:val="0"/>
        <w:autoSpaceDN w:val="0"/>
        <w:snapToGrid w:val="0"/>
        <w:spacing w:line="360" w:lineRule="auto"/>
        <w:rPr>
          <w:rFonts w:cs="宋体"/>
          <w:color w:val="auto"/>
          <w:highlight w:val="none"/>
        </w:rPr>
      </w:pPr>
      <w:r>
        <w:rPr>
          <w:rFonts w:hint="eastAsia" w:cs="宋体"/>
          <w:color w:val="auto"/>
          <w:highlight w:val="none"/>
        </w:rPr>
        <w:t>（9）</w:t>
      </w:r>
      <w:r>
        <w:rPr>
          <w:rFonts w:hint="eastAsia" w:cs="宋体"/>
          <w:b/>
          <w:color w:val="auto"/>
          <w:kern w:val="0"/>
          <w:highlight w:val="none"/>
        </w:rPr>
        <w:t>未提供样品或样品提供不全的；</w:t>
      </w:r>
    </w:p>
    <w:p w14:paraId="20A9C1B9">
      <w:pPr>
        <w:pStyle w:val="27"/>
        <w:wordWrap w:val="0"/>
        <w:overflowPunct w:val="0"/>
        <w:autoSpaceDE w:val="0"/>
        <w:autoSpaceDN w:val="0"/>
        <w:snapToGrid w:val="0"/>
        <w:spacing w:line="360" w:lineRule="auto"/>
        <w:rPr>
          <w:rFonts w:cs="宋体"/>
          <w:color w:val="auto"/>
          <w:highlight w:val="none"/>
        </w:rPr>
      </w:pPr>
      <w:r>
        <w:rPr>
          <w:rFonts w:hint="eastAsia" w:cs="宋体"/>
          <w:color w:val="auto"/>
          <w:highlight w:val="none"/>
        </w:rPr>
        <w:t>（10）不符合本采购文件中的实质性要求条款；</w:t>
      </w:r>
    </w:p>
    <w:p w14:paraId="47781579">
      <w:pPr>
        <w:pStyle w:val="27"/>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4.在技术评审时，如发现下列情形之一的，投标文件将被视为无效：</w:t>
      </w:r>
    </w:p>
    <w:p w14:paraId="48C2ED94">
      <w:pPr>
        <w:pStyle w:val="27"/>
        <w:snapToGrid w:val="0"/>
        <w:spacing w:line="360" w:lineRule="auto"/>
        <w:ind w:firstLine="470" w:firstLineChars="196"/>
        <w:rPr>
          <w:rFonts w:cs="宋体"/>
          <w:color w:val="auto"/>
          <w:highlight w:val="none"/>
        </w:rPr>
      </w:pPr>
      <w:r>
        <w:rPr>
          <w:rFonts w:hint="eastAsia" w:cs="宋体"/>
          <w:color w:val="auto"/>
          <w:highlight w:val="none"/>
        </w:rPr>
        <w:t>（1）投标文件标明的响应或偏离与事实不符或虚假投标的；</w:t>
      </w:r>
    </w:p>
    <w:p w14:paraId="2B5E1C5F">
      <w:pPr>
        <w:pStyle w:val="27"/>
        <w:snapToGrid w:val="0"/>
        <w:spacing w:line="360" w:lineRule="auto"/>
        <w:ind w:firstLine="470" w:firstLineChars="196"/>
        <w:rPr>
          <w:rFonts w:cs="宋体"/>
          <w:color w:val="auto"/>
          <w:highlight w:val="none"/>
        </w:rPr>
      </w:pPr>
      <w:r>
        <w:rPr>
          <w:rFonts w:hint="eastAsia" w:cs="宋体"/>
          <w:color w:val="auto"/>
          <w:highlight w:val="none"/>
        </w:rPr>
        <w:t>（2）明显不符合采购文件要求的服务内容，或者与采购文件中标“▲”的服务需求、主要功能项目发生实质性偏离的；</w:t>
      </w:r>
    </w:p>
    <w:p w14:paraId="2FD474F2">
      <w:pPr>
        <w:pStyle w:val="27"/>
        <w:snapToGrid w:val="0"/>
        <w:spacing w:line="360" w:lineRule="auto"/>
        <w:ind w:firstLine="470" w:firstLineChars="196"/>
        <w:rPr>
          <w:rFonts w:cs="宋体"/>
          <w:color w:val="auto"/>
          <w:highlight w:val="none"/>
        </w:rPr>
      </w:pPr>
      <w:r>
        <w:rPr>
          <w:rFonts w:hint="eastAsia" w:cs="宋体"/>
          <w:color w:val="auto"/>
          <w:highlight w:val="none"/>
        </w:rPr>
        <w:t>（3）投标技术方案不明确，存在一个或一个以上备选（替代）投标方案的；</w:t>
      </w:r>
    </w:p>
    <w:p w14:paraId="20A2F7E3">
      <w:pPr>
        <w:pStyle w:val="27"/>
        <w:snapToGrid w:val="0"/>
        <w:spacing w:line="360" w:lineRule="auto"/>
        <w:ind w:firstLine="470" w:firstLineChars="196"/>
        <w:rPr>
          <w:color w:val="auto"/>
          <w:highlight w:val="none"/>
        </w:rPr>
      </w:pPr>
      <w:r>
        <w:rPr>
          <w:rFonts w:hint="eastAsia" w:cs="宋体"/>
          <w:color w:val="auto"/>
          <w:highlight w:val="none"/>
        </w:rPr>
        <w:t>（4）与其他参加本次投标供应商的投标文件（技术文件）的文字表述内容相同连续20行以上或者差错相同2处以上的</w:t>
      </w:r>
      <w:r>
        <w:rPr>
          <w:rFonts w:hint="eastAsia"/>
          <w:color w:val="auto"/>
          <w:highlight w:val="none"/>
        </w:rPr>
        <w:t>。</w:t>
      </w:r>
    </w:p>
    <w:p w14:paraId="0AAC1854">
      <w:pPr>
        <w:pStyle w:val="27"/>
        <w:wordWrap w:val="0"/>
        <w:overflowPunct w:val="0"/>
        <w:autoSpaceDE w:val="0"/>
        <w:autoSpaceDN w:val="0"/>
        <w:snapToGrid w:val="0"/>
        <w:spacing w:line="360" w:lineRule="auto"/>
        <w:rPr>
          <w:rFonts w:cs="宋体"/>
          <w:color w:val="auto"/>
          <w:highlight w:val="none"/>
        </w:rPr>
      </w:pPr>
      <w:r>
        <w:rPr>
          <w:rFonts w:hint="eastAsia"/>
          <w:color w:val="auto"/>
          <w:highlight w:val="none"/>
        </w:rPr>
        <w:t>（5）不符合本采购文件中的实质性要求条款</w:t>
      </w:r>
      <w:r>
        <w:rPr>
          <w:rFonts w:hint="eastAsia" w:cs="宋体"/>
          <w:color w:val="auto"/>
          <w:highlight w:val="none"/>
        </w:rPr>
        <w:t>；</w:t>
      </w:r>
    </w:p>
    <w:p w14:paraId="7468F0DA">
      <w:pPr>
        <w:pStyle w:val="27"/>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5.在报价评审时，如发现下列情形之一的，投标文件将被视为无效：</w:t>
      </w:r>
    </w:p>
    <w:p w14:paraId="39B182C9">
      <w:pPr>
        <w:pStyle w:val="27"/>
        <w:snapToGrid w:val="0"/>
        <w:spacing w:line="360" w:lineRule="auto"/>
        <w:rPr>
          <w:color w:val="auto"/>
          <w:highlight w:val="none"/>
        </w:rPr>
      </w:pPr>
      <w:r>
        <w:rPr>
          <w:rFonts w:hint="eastAsia"/>
          <w:color w:val="auto"/>
          <w:highlight w:val="none"/>
        </w:rPr>
        <w:t>（1）未采用人民币报价或者未按照采购文件标明的币种报价的；</w:t>
      </w:r>
    </w:p>
    <w:p w14:paraId="173DC5F3">
      <w:pPr>
        <w:pStyle w:val="27"/>
        <w:snapToGrid w:val="0"/>
        <w:spacing w:line="360" w:lineRule="auto"/>
        <w:rPr>
          <w:color w:val="auto"/>
          <w:highlight w:val="none"/>
        </w:rPr>
      </w:pPr>
      <w:r>
        <w:rPr>
          <w:rFonts w:hint="eastAsia"/>
          <w:color w:val="auto"/>
          <w:highlight w:val="none"/>
        </w:rPr>
        <w:t>（2）投标报价具有选择性，或者开标价格与投标文件承诺的优惠（折扣）价格不一致的；</w:t>
      </w:r>
    </w:p>
    <w:p w14:paraId="241EC067">
      <w:pPr>
        <w:pStyle w:val="27"/>
        <w:snapToGrid w:val="0"/>
        <w:spacing w:line="360" w:lineRule="auto"/>
        <w:rPr>
          <w:color w:val="auto"/>
          <w:highlight w:val="none"/>
        </w:rPr>
      </w:pPr>
      <w:r>
        <w:rPr>
          <w:rFonts w:hint="eastAsia"/>
          <w:color w:val="auto"/>
          <w:highlight w:val="none"/>
        </w:rPr>
        <w:t>（3）报价文件内容与商务、技术文件内容严重不一致，评标委员会无法评审的；</w:t>
      </w:r>
    </w:p>
    <w:p w14:paraId="3068BCB1">
      <w:pPr>
        <w:pStyle w:val="27"/>
        <w:snapToGrid w:val="0"/>
        <w:spacing w:line="360" w:lineRule="auto"/>
        <w:rPr>
          <w:color w:val="auto"/>
          <w:highlight w:val="none"/>
        </w:rPr>
      </w:pPr>
      <w:r>
        <w:rPr>
          <w:rFonts w:hint="eastAsia"/>
          <w:color w:val="auto"/>
          <w:highlight w:val="none"/>
        </w:rPr>
        <w:t>（4）评标委员会认定属投标人自身原因有重大漏项的。</w:t>
      </w:r>
    </w:p>
    <w:p w14:paraId="47A4A2D1">
      <w:pPr>
        <w:pStyle w:val="27"/>
        <w:snapToGrid w:val="0"/>
        <w:spacing w:line="360" w:lineRule="auto"/>
        <w:rPr>
          <w:color w:val="auto"/>
          <w:highlight w:val="none"/>
        </w:rPr>
      </w:pPr>
      <w:r>
        <w:rPr>
          <w:rFonts w:hint="eastAsia"/>
          <w:color w:val="auto"/>
          <w:highlight w:val="none"/>
        </w:rPr>
        <w:t>（5）评标委员会认为投标人的报价明显低于其他通过符合性审查投标人的报价，有可能影响产品质量或者不能诚信履约，要求其通过“政采云”平台在规定的时间内提供经CA签章的材料，投标人不能提供证明其报价合理性材料的。</w:t>
      </w:r>
    </w:p>
    <w:p w14:paraId="0C7DD697">
      <w:pPr>
        <w:pStyle w:val="27"/>
        <w:snapToGrid w:val="0"/>
        <w:spacing w:line="360" w:lineRule="auto"/>
        <w:rPr>
          <w:color w:val="auto"/>
          <w:highlight w:val="none"/>
        </w:rPr>
      </w:pPr>
      <w:r>
        <w:rPr>
          <w:rFonts w:hint="eastAsia"/>
          <w:color w:val="auto"/>
          <w:highlight w:val="none"/>
        </w:rPr>
        <w:t>（6）报价超过采购文件中规定的预算金额或者最高限价的。</w:t>
      </w:r>
    </w:p>
    <w:p w14:paraId="29F40565">
      <w:pPr>
        <w:pStyle w:val="27"/>
        <w:snapToGrid w:val="0"/>
        <w:spacing w:line="360" w:lineRule="auto"/>
        <w:rPr>
          <w:color w:val="auto"/>
          <w:highlight w:val="none"/>
        </w:rPr>
      </w:pPr>
      <w:r>
        <w:rPr>
          <w:rFonts w:hint="eastAsia"/>
          <w:color w:val="auto"/>
          <w:highlight w:val="none"/>
        </w:rPr>
        <w:t>（7）报价文件无法定代表人或授权代表签字（或盖章）的；</w:t>
      </w:r>
    </w:p>
    <w:p w14:paraId="4BC33258">
      <w:pPr>
        <w:pStyle w:val="27"/>
        <w:snapToGrid w:val="0"/>
        <w:spacing w:line="360" w:lineRule="auto"/>
        <w:rPr>
          <w:color w:val="auto"/>
          <w:highlight w:val="none"/>
        </w:rPr>
      </w:pPr>
      <w:r>
        <w:rPr>
          <w:rFonts w:hint="eastAsia"/>
          <w:color w:val="auto"/>
          <w:highlight w:val="none"/>
        </w:rPr>
        <w:t>（8）报价文件格式不规范、项目不齐全或者内容虚假的；</w:t>
      </w:r>
    </w:p>
    <w:p w14:paraId="2F957BDD">
      <w:pPr>
        <w:pStyle w:val="27"/>
        <w:snapToGrid w:val="0"/>
        <w:spacing w:line="360" w:lineRule="auto"/>
        <w:rPr>
          <w:color w:val="auto"/>
          <w:highlight w:val="none"/>
        </w:rPr>
      </w:pPr>
      <w:r>
        <w:rPr>
          <w:rFonts w:hint="eastAsia"/>
          <w:color w:val="auto"/>
          <w:highlight w:val="none"/>
        </w:rPr>
        <w:t>（9）报价文件的实质性内容未使用中文表述、意思表述不明确、前后矛盾或者使用计量单位不符合招标文件要求的（经评标委员会认定并允许其当场更正的笔误除外）；</w:t>
      </w:r>
    </w:p>
    <w:p w14:paraId="51EE37AB">
      <w:pPr>
        <w:pStyle w:val="27"/>
        <w:snapToGrid w:val="0"/>
        <w:spacing w:line="360" w:lineRule="auto"/>
        <w:rPr>
          <w:color w:val="auto"/>
          <w:highlight w:val="none"/>
        </w:rPr>
      </w:pPr>
      <w:r>
        <w:rPr>
          <w:rFonts w:hint="eastAsia"/>
          <w:color w:val="auto"/>
          <w:highlight w:val="none"/>
        </w:rPr>
        <w:t>（10）未实质性响应采购文件要求或者投标文件有采购方不能接受的附加条件的。</w:t>
      </w:r>
    </w:p>
    <w:p w14:paraId="51D94264">
      <w:pPr>
        <w:pStyle w:val="27"/>
        <w:wordWrap w:val="0"/>
        <w:overflowPunct w:val="0"/>
        <w:autoSpaceDE w:val="0"/>
        <w:autoSpaceDN w:val="0"/>
        <w:snapToGrid w:val="0"/>
        <w:spacing w:line="360" w:lineRule="auto"/>
        <w:rPr>
          <w:rFonts w:cs="宋体"/>
          <w:color w:val="auto"/>
          <w:highlight w:val="none"/>
        </w:rPr>
      </w:pPr>
      <w:r>
        <w:rPr>
          <w:rFonts w:hint="eastAsia"/>
          <w:color w:val="auto"/>
          <w:highlight w:val="none"/>
        </w:rPr>
        <w:t>（11）不符合本采购文件中的实质性要求条款</w:t>
      </w:r>
      <w:r>
        <w:rPr>
          <w:rFonts w:hint="eastAsia" w:cs="宋体"/>
          <w:color w:val="auto"/>
          <w:highlight w:val="none"/>
        </w:rPr>
        <w:t>；</w:t>
      </w:r>
    </w:p>
    <w:p w14:paraId="7F127EED">
      <w:pPr>
        <w:pStyle w:val="27"/>
        <w:wordWrap w:val="0"/>
        <w:overflowPunct w:val="0"/>
        <w:autoSpaceDE w:val="0"/>
        <w:autoSpaceDN w:val="0"/>
        <w:snapToGrid w:val="0"/>
        <w:spacing w:line="360" w:lineRule="auto"/>
        <w:ind w:firstLine="482"/>
        <w:rPr>
          <w:rFonts w:cs="宋体"/>
          <w:b/>
          <w:color w:val="auto"/>
          <w:highlight w:val="none"/>
        </w:rPr>
      </w:pPr>
      <w:r>
        <w:rPr>
          <w:rFonts w:hint="eastAsia" w:cs="宋体"/>
          <w:b/>
          <w:color w:val="auto"/>
          <w:highlight w:val="none"/>
        </w:rPr>
        <w:t>6.被拒绝的投标文件为无效；</w:t>
      </w:r>
    </w:p>
    <w:p w14:paraId="6D11BFC9">
      <w:pPr>
        <w:pStyle w:val="27"/>
        <w:wordWrap w:val="0"/>
        <w:overflowPunct w:val="0"/>
        <w:autoSpaceDE w:val="0"/>
        <w:autoSpaceDN w:val="0"/>
        <w:snapToGrid w:val="0"/>
        <w:spacing w:line="360" w:lineRule="auto"/>
        <w:ind w:firstLine="482"/>
        <w:rPr>
          <w:rFonts w:cs="宋体"/>
          <w:b/>
          <w:color w:val="auto"/>
          <w:highlight w:val="none"/>
        </w:rPr>
      </w:pPr>
      <w:r>
        <w:rPr>
          <w:rFonts w:hint="eastAsia" w:cs="宋体"/>
          <w:b/>
          <w:color w:val="auto"/>
          <w:highlight w:val="none"/>
        </w:rPr>
        <w:t>7.存在带“▲”条款的负偏离的；</w:t>
      </w:r>
    </w:p>
    <w:p w14:paraId="02558E5A">
      <w:pPr>
        <w:pStyle w:val="27"/>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8.本招标文件其他部分已规定为无效标的情形；</w:t>
      </w:r>
    </w:p>
    <w:p w14:paraId="2523E8D6">
      <w:pPr>
        <w:pStyle w:val="27"/>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9.评标专家认定的其他必须按无效标处理的。</w:t>
      </w:r>
    </w:p>
    <w:p w14:paraId="54447FA9">
      <w:pPr>
        <w:pStyle w:val="27"/>
        <w:wordWrap w:val="0"/>
        <w:overflowPunct w:val="0"/>
        <w:autoSpaceDE w:val="0"/>
        <w:autoSpaceDN w:val="0"/>
        <w:snapToGrid w:val="0"/>
        <w:spacing w:line="360" w:lineRule="auto"/>
        <w:ind w:firstLine="482"/>
        <w:rPr>
          <w:rFonts w:cs="宋体"/>
          <w:b/>
          <w:bCs/>
          <w:color w:val="auto"/>
          <w:highlight w:val="none"/>
        </w:rPr>
      </w:pPr>
      <w:r>
        <w:rPr>
          <w:rFonts w:hint="eastAsia" w:cs="宋体"/>
          <w:b/>
          <w:bCs/>
          <w:color w:val="auto"/>
          <w:highlight w:val="none"/>
        </w:rPr>
        <w:t>（十）出现以下情形，导致电子交易平台无法正常运行，或者无法保证电子交易的公平、公正和安全时，中止电子交易活动：</w:t>
      </w:r>
    </w:p>
    <w:p w14:paraId="37522B1A">
      <w:pPr>
        <w:pStyle w:val="27"/>
        <w:wordWrap w:val="0"/>
        <w:overflowPunct w:val="0"/>
        <w:autoSpaceDE w:val="0"/>
        <w:autoSpaceDN w:val="0"/>
        <w:snapToGrid w:val="0"/>
        <w:spacing w:line="360" w:lineRule="auto"/>
        <w:rPr>
          <w:rFonts w:cs="宋体"/>
          <w:color w:val="auto"/>
          <w:highlight w:val="none"/>
        </w:rPr>
      </w:pPr>
      <w:r>
        <w:rPr>
          <w:rFonts w:hint="eastAsia" w:cs="宋体"/>
          <w:color w:val="auto"/>
          <w:highlight w:val="none"/>
        </w:rPr>
        <w:t>1.电子交易平台发生故障而无法登录访问的；</w:t>
      </w:r>
    </w:p>
    <w:p w14:paraId="441BE585">
      <w:pPr>
        <w:pStyle w:val="27"/>
        <w:wordWrap w:val="0"/>
        <w:overflowPunct w:val="0"/>
        <w:autoSpaceDE w:val="0"/>
        <w:autoSpaceDN w:val="0"/>
        <w:snapToGrid w:val="0"/>
        <w:spacing w:line="360" w:lineRule="auto"/>
        <w:rPr>
          <w:rFonts w:cs="宋体"/>
          <w:color w:val="auto"/>
          <w:highlight w:val="none"/>
        </w:rPr>
      </w:pPr>
      <w:r>
        <w:rPr>
          <w:rFonts w:hint="eastAsia" w:cs="宋体"/>
          <w:color w:val="auto"/>
          <w:highlight w:val="none"/>
        </w:rPr>
        <w:t>2.电子交易平台应用或数据库出现错误，不能进行正常操作的；</w:t>
      </w:r>
    </w:p>
    <w:p w14:paraId="6445F49E">
      <w:pPr>
        <w:pStyle w:val="27"/>
        <w:wordWrap w:val="0"/>
        <w:overflowPunct w:val="0"/>
        <w:autoSpaceDE w:val="0"/>
        <w:autoSpaceDN w:val="0"/>
        <w:snapToGrid w:val="0"/>
        <w:spacing w:line="360" w:lineRule="auto"/>
        <w:rPr>
          <w:rFonts w:cs="宋体"/>
          <w:color w:val="auto"/>
          <w:highlight w:val="none"/>
        </w:rPr>
      </w:pPr>
      <w:r>
        <w:rPr>
          <w:rFonts w:hint="eastAsia" w:cs="宋体"/>
          <w:color w:val="auto"/>
          <w:highlight w:val="none"/>
        </w:rPr>
        <w:t>3.电子交易平台发现严重安全漏洞，有潜在泄密危险的；</w:t>
      </w:r>
    </w:p>
    <w:p w14:paraId="02C133D6">
      <w:pPr>
        <w:pStyle w:val="27"/>
        <w:wordWrap w:val="0"/>
        <w:overflowPunct w:val="0"/>
        <w:autoSpaceDE w:val="0"/>
        <w:autoSpaceDN w:val="0"/>
        <w:snapToGrid w:val="0"/>
        <w:spacing w:line="360" w:lineRule="auto"/>
        <w:rPr>
          <w:rFonts w:cs="宋体"/>
          <w:color w:val="auto"/>
          <w:highlight w:val="none"/>
        </w:rPr>
      </w:pPr>
      <w:r>
        <w:rPr>
          <w:rFonts w:hint="eastAsia" w:cs="宋体"/>
          <w:color w:val="auto"/>
          <w:highlight w:val="none"/>
        </w:rPr>
        <w:t>4.病毒发作导致不能进行正常操作的；</w:t>
      </w:r>
    </w:p>
    <w:p w14:paraId="13E49A7B">
      <w:pPr>
        <w:pStyle w:val="27"/>
        <w:wordWrap w:val="0"/>
        <w:overflowPunct w:val="0"/>
        <w:autoSpaceDE w:val="0"/>
        <w:autoSpaceDN w:val="0"/>
        <w:snapToGrid w:val="0"/>
        <w:spacing w:line="360" w:lineRule="auto"/>
        <w:rPr>
          <w:rFonts w:cs="宋体"/>
          <w:color w:val="auto"/>
          <w:highlight w:val="none"/>
        </w:rPr>
      </w:pPr>
      <w:r>
        <w:rPr>
          <w:rFonts w:hint="eastAsia" w:cs="宋体"/>
          <w:color w:val="auto"/>
          <w:highlight w:val="none"/>
        </w:rPr>
        <w:t>5.其他无法保证电子交易的公平、公正和安全的情况。</w:t>
      </w:r>
    </w:p>
    <w:p w14:paraId="6CD2FB06">
      <w:pPr>
        <w:pStyle w:val="27"/>
        <w:wordWrap w:val="0"/>
        <w:overflowPunct w:val="0"/>
        <w:autoSpaceDE w:val="0"/>
        <w:autoSpaceDN w:val="0"/>
        <w:snapToGrid w:val="0"/>
        <w:spacing w:line="360" w:lineRule="auto"/>
        <w:rPr>
          <w:rFonts w:cs="宋体"/>
          <w:color w:val="auto"/>
          <w:highlight w:val="none"/>
        </w:rPr>
      </w:pPr>
      <w:r>
        <w:rPr>
          <w:rFonts w:hint="eastAsia" w:cs="宋体"/>
          <w:color w:val="auto"/>
          <w:highlight w:val="none"/>
        </w:rPr>
        <w:t>出现前款规定情形，不影响采购公平、公正性的，采购代理机构可以待上述情形消除后继续组织电子交易活动，也可以决定某些环节以纸质形式进行；影响或可能影响采购公平、公正性的，重新采购。</w:t>
      </w:r>
    </w:p>
    <w:p w14:paraId="7C3A1832">
      <w:pPr>
        <w:pStyle w:val="35"/>
        <w:wordWrap w:val="0"/>
        <w:overflowPunct w:val="0"/>
        <w:autoSpaceDE w:val="0"/>
        <w:autoSpaceDN w:val="0"/>
        <w:snapToGrid w:val="0"/>
        <w:spacing w:line="360" w:lineRule="auto"/>
        <w:outlineLvl w:val="0"/>
        <w:rPr>
          <w:rFonts w:hAnsi="宋体" w:cs="宋体"/>
          <w:b/>
          <w:color w:val="auto"/>
          <w:sz w:val="28"/>
          <w:szCs w:val="28"/>
          <w:highlight w:val="none"/>
        </w:rPr>
      </w:pPr>
      <w:r>
        <w:rPr>
          <w:rFonts w:hint="eastAsia" w:hAnsi="宋体" w:cs="宋体"/>
          <w:b/>
          <w:color w:val="auto"/>
          <w:sz w:val="28"/>
          <w:szCs w:val="28"/>
          <w:highlight w:val="none"/>
        </w:rPr>
        <w:t>四、开标</w:t>
      </w:r>
    </w:p>
    <w:p w14:paraId="49EBD14E">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（一）开标准备</w:t>
      </w:r>
    </w:p>
    <w:p w14:paraId="482408C0">
      <w:pPr>
        <w:wordWrap w:val="0"/>
        <w:overflowPunct w:val="0"/>
        <w:autoSpaceDE w:val="0"/>
        <w:autoSpaceDN w:val="0"/>
        <w:snapToGri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sz w:val="24"/>
          <w:highlight w:val="none"/>
        </w:rPr>
        <w:t>采购代理机构原则上采用电子评标，按照招标文件规定的时间通过“政府采购云平台”组织开标、开启投标文件，所有供应商可以派授权代表参加或准时在线参加。</w:t>
      </w:r>
      <w:r>
        <w:rPr>
          <w:rFonts w:hint="eastAsia" w:ascii="宋体" w:hAnsi="宋体" w:cs="宋体"/>
          <w:b/>
          <w:color w:val="auto"/>
          <w:kern w:val="0"/>
          <w:sz w:val="24"/>
          <w:highlight w:val="none"/>
        </w:rPr>
        <w:t>供应商如不参加开标会议的，视同认可开标结果，事后不得对采购相关人员、招标过程和招标结果提出异议，同时供应商因未在线参加开标而导致投标文件无法按时解密等一切后果由供应商自己承担。</w:t>
      </w:r>
    </w:p>
    <w:p w14:paraId="72218483">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 xml:space="preserve"> (二) 采购人或者采购代理机构职责</w:t>
      </w:r>
    </w:p>
    <w:p w14:paraId="315343FE">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采购人或者采购代理机构负责组织评标工作，并履行下列职责：</w:t>
      </w:r>
    </w:p>
    <w:p w14:paraId="16671199">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1.核对评审专家身份和采购人代表授权函，对评审专家在政府采购活动中的职责履行情况予以记录，并及时将有关违法违规行为向财政部门报告；</w:t>
      </w:r>
    </w:p>
    <w:p w14:paraId="335638D8">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2.宣布评标纪律；</w:t>
      </w:r>
    </w:p>
    <w:p w14:paraId="098A1F3F">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3.公布投标人名单，告知评审专家应当回避的情形；</w:t>
      </w:r>
    </w:p>
    <w:p w14:paraId="333C08C2">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4.组织评标委员会推选评标组长，采购人代表不得担任组长；</w:t>
      </w:r>
    </w:p>
    <w:p w14:paraId="253BF327">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5.在评标期间采取必要的通讯管理措施，保证评标活动不受外界干扰；</w:t>
      </w:r>
    </w:p>
    <w:p w14:paraId="5274FE9C">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6.根据评标委员会的要求介绍政府采购相关政策法规、招标文件；</w:t>
      </w:r>
    </w:p>
    <w:p w14:paraId="7BDB1A6E">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7.维护评标秩序，监督评标委员会依照招标文件规定的评标程序、方法和标准进行独立评审，及时制止和纠正采购人代表、评审专家的倾向性言论或者违法违规行为；</w:t>
      </w:r>
    </w:p>
    <w:p w14:paraId="08E95B99">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8.核对评标结果，有本办法第六十四条规定情形的，要求评标委员会复核或者书面说明理由，评标委员会拒绝的，应予记录并向本级财政部门报告；</w:t>
      </w:r>
    </w:p>
    <w:p w14:paraId="34C6D549">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9.评审工作完成后，按照规定向评审专家支付劳务报酬和异地评审差旅费，不得向评审专家以外的其他人员支付评审劳务报酬；</w:t>
      </w:r>
    </w:p>
    <w:p w14:paraId="14748238">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10.处理与评标有关的其他事项。</w:t>
      </w:r>
    </w:p>
    <w:p w14:paraId="03835591">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（三）开标程序</w:t>
      </w:r>
    </w:p>
    <w:p w14:paraId="7EE11D76">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本项目原则上采用政采云电子招投标开标及评审程序，但有下情形之一的，按以下情况处理：</w:t>
      </w:r>
    </w:p>
    <w:p w14:paraId="160CB71B">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1.开标会由采购代理机构主持，主持人宣布开标会议开始；</w:t>
      </w:r>
    </w:p>
    <w:p w14:paraId="6BE2846A">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2.主持人介绍参加开标会的人员名单； </w:t>
      </w:r>
    </w:p>
    <w:p w14:paraId="2629A3AF">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3.主持人宣布评标期间的有关事项；告知应当回避的情形,提请有关人员回避；</w:t>
      </w:r>
    </w:p>
    <w:p w14:paraId="4A90C5E6">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4.电子投标文件开标:</w:t>
      </w:r>
    </w:p>
    <w:p w14:paraId="697A027A">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（1）投标截止时间后，投标人登录政采云平台，用“项目采购-开标评标”功能对电子投标文件进行在线解密。在线解密电子投标文件时间为开标时间起半个小时内。</w:t>
      </w:r>
    </w:p>
    <w:p w14:paraId="58477148">
      <w:pPr>
        <w:wordWrap w:val="0"/>
        <w:overflowPunct w:val="0"/>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（2）由采购人代表对资格审查文件进行评审，评标委员会对技术商务文件进行评审。</w:t>
      </w:r>
    </w:p>
    <w:p w14:paraId="697BAE63">
      <w:pPr>
        <w:wordWrap w:val="0"/>
        <w:overflowPunct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（3）在系统上公开资格审查和技术商务评审结果；</w:t>
      </w:r>
    </w:p>
    <w:p w14:paraId="7E4038F4">
      <w:pPr>
        <w:wordWrap w:val="0"/>
        <w:overflowPunct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（4）在系统上公开报价开标情况；</w:t>
      </w:r>
    </w:p>
    <w:p w14:paraId="05415C8A">
      <w:pPr>
        <w:wordWrap w:val="0"/>
        <w:overflowPunct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（5）评标委员会对报价情况进行评审；</w:t>
      </w:r>
    </w:p>
    <w:p w14:paraId="51A8ECF9">
      <w:pPr>
        <w:wordWrap w:val="0"/>
        <w:overflowPunct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（6）在系统上公布评审结果。</w:t>
      </w:r>
    </w:p>
    <w:p w14:paraId="28BA21C7">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特别说明：政采云公司如对电子化开标及评审程序有调整的，按调整后的程序操作。</w:t>
      </w:r>
    </w:p>
    <w:p w14:paraId="6FFB1C3F">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五、评标</w:t>
      </w:r>
    </w:p>
    <w:p w14:paraId="30142AC1">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（一）</w:t>
      </w:r>
      <w:r>
        <w:rPr>
          <w:rFonts w:hint="eastAsia" w:hAnsi="宋体" w:cs="宋体"/>
          <w:b/>
          <w:bCs/>
          <w:color w:val="auto"/>
          <w:sz w:val="24"/>
          <w:szCs w:val="24"/>
          <w:highlight w:val="none"/>
        </w:rPr>
        <w:t>组建评标委员会</w:t>
      </w:r>
    </w:p>
    <w:p w14:paraId="1C6BC37E">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本项目评标委员会由采购人代表和相关专业专家组成，采购人代表1名，专家评委4名，评标委员会负责具体评标事务，并独立履行下列职责：</w:t>
      </w:r>
    </w:p>
    <w:p w14:paraId="6C70282E">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1.审查、评价投标文件是否符合招标文件的商务、技术等实质性要求；</w:t>
      </w:r>
    </w:p>
    <w:p w14:paraId="06885BF3">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2.要求投标人对投标文件有关事项作出澄清或者说明；</w:t>
      </w:r>
    </w:p>
    <w:p w14:paraId="7BE46AC4">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3.对投标文件进行比较和评价；</w:t>
      </w:r>
    </w:p>
    <w:p w14:paraId="2E95EFF7">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4.确定中标候选人名单，以及根据采购人委托直接确定中标人；</w:t>
      </w:r>
    </w:p>
    <w:p w14:paraId="4E787F16">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5.向采购人、采购代理机构或者有关部门报告评标中发现的违法行为。</w:t>
      </w:r>
    </w:p>
    <w:p w14:paraId="2421AA82">
      <w:pPr>
        <w:wordWrap w:val="0"/>
        <w:overflowPunct w:val="0"/>
        <w:autoSpaceDE w:val="0"/>
        <w:autoSpaceDN w:val="0"/>
        <w:spacing w:line="360" w:lineRule="auto"/>
        <w:ind w:firstLine="482" w:firstLineChars="200"/>
        <w:rPr>
          <w:rFonts w:ascii="宋体" w:hAnsi="宋体" w:cs="宋体"/>
          <w:b/>
          <w:color w:val="auto"/>
          <w:sz w:val="24"/>
          <w:highlight w:val="none"/>
          <w:u w:val="single"/>
        </w:rPr>
      </w:pPr>
      <w:r>
        <w:rPr>
          <w:rFonts w:hint="eastAsia" w:ascii="宋体" w:hAnsi="宋体" w:cs="宋体"/>
          <w:b/>
          <w:color w:val="auto"/>
          <w:sz w:val="24"/>
          <w:highlight w:val="none"/>
          <w:u w:val="single"/>
        </w:rPr>
        <w:t>除采购人代表、评标现场组织人员外，采购人的其他工作人员以及与评标工作无关的人员不得进入评标现场。</w:t>
      </w:r>
    </w:p>
    <w:p w14:paraId="58C85C88">
      <w:pPr>
        <w:pStyle w:val="35"/>
        <w:wordWrap w:val="0"/>
        <w:overflowPunct w:val="0"/>
        <w:autoSpaceDE w:val="0"/>
        <w:autoSpaceDN w:val="0"/>
        <w:snapToGrid w:val="0"/>
        <w:spacing w:line="360" w:lineRule="auto"/>
        <w:rPr>
          <w:rFonts w:hAnsi="宋体" w:cs="宋体"/>
          <w:b/>
          <w:bCs/>
          <w:color w:val="auto"/>
          <w:sz w:val="24"/>
          <w:szCs w:val="24"/>
          <w:highlight w:val="none"/>
        </w:rPr>
      </w:pPr>
      <w:r>
        <w:rPr>
          <w:rFonts w:hint="eastAsia" w:hAnsi="宋体" w:cs="宋体"/>
          <w:b/>
          <w:color w:val="auto"/>
          <w:sz w:val="24"/>
          <w:szCs w:val="24"/>
          <w:highlight w:val="none"/>
        </w:rPr>
        <w:t>（二）</w:t>
      </w:r>
      <w:r>
        <w:rPr>
          <w:rFonts w:hint="eastAsia" w:hAnsi="宋体" w:cs="宋体"/>
          <w:b/>
          <w:bCs/>
          <w:color w:val="auto"/>
          <w:sz w:val="24"/>
          <w:szCs w:val="24"/>
          <w:highlight w:val="none"/>
        </w:rPr>
        <w:t>评标的方式</w:t>
      </w:r>
    </w:p>
    <w:p w14:paraId="3F312E55">
      <w:pPr>
        <w:pStyle w:val="35"/>
        <w:wordWrap w:val="0"/>
        <w:overflowPunct w:val="0"/>
        <w:autoSpaceDE w:val="0"/>
        <w:autoSpaceDN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t xml:space="preserve">     本项目采用不公开方式评标，评标的依据为招标文件和投标文件。</w:t>
      </w:r>
    </w:p>
    <w:p w14:paraId="55370FF0">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（三）评标程序</w:t>
      </w:r>
    </w:p>
    <w:p w14:paraId="638864DE">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采购人可以在评标前说明项目背景和采购需求，说明内容不得含有歧视性、倾向性意见，不得超出招标文件所述范围。说明应当提交书面材料，并随采购文件一并存档。</w:t>
      </w:r>
    </w:p>
    <w:p w14:paraId="0000A68A">
      <w:pPr>
        <w:wordWrap w:val="0"/>
        <w:overflowPunct w:val="0"/>
        <w:autoSpaceDE w:val="0"/>
        <w:autoSpaceDN w:val="0"/>
        <w:snapToGrid w:val="0"/>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1.形式审查</w:t>
      </w:r>
    </w:p>
    <w:p w14:paraId="05A32D52">
      <w:pPr>
        <w:wordWrap w:val="0"/>
        <w:overflowPunct w:val="0"/>
        <w:autoSpaceDE w:val="0"/>
        <w:autoSpaceDN w:val="0"/>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采购人代表和代理机构工作人员协助评标委员会对投标人的资格和投标文件的完整性、合法性等进行审查。</w:t>
      </w:r>
    </w:p>
    <w:p w14:paraId="0D49C5BA">
      <w:pPr>
        <w:wordWrap w:val="0"/>
        <w:overflowPunct w:val="0"/>
        <w:autoSpaceDE w:val="0"/>
        <w:autoSpaceDN w:val="0"/>
        <w:snapToGrid w:val="0"/>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2.实质审查与比较</w:t>
      </w:r>
    </w:p>
    <w:p w14:paraId="78428A7A">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（1）评标委员会审查投标文件的实质性内容是否符合招标文件的实质性要求。</w:t>
      </w:r>
    </w:p>
    <w:p w14:paraId="4E3CB024">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（2）评标委员会将根据投标人的投标文件进行审查、核对,如有疑问,将对投标人进行询标,投标人要向评标委员会澄清有关问题,并最终以书面形式进行答复。</w:t>
      </w:r>
    </w:p>
    <w:p w14:paraId="77C99A51">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投标人代表未到场、未在线或者拒绝澄清或者澄清的内容改变了投标文件的实质性内容的，评标委员会有权对该投标文件作出不利于投标人的评判。</w:t>
      </w:r>
    </w:p>
    <w:p w14:paraId="4CF33D04">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（3）各投标人的技术得分为所有评委的有效评分的算术平均数，由指定专人进行计算复核。</w:t>
      </w:r>
    </w:p>
    <w:p w14:paraId="70261DB1">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（4）浙江正大工程管理咨询有限公司工作人员协助评标委员会根据本项目的评分标准计算各投标人的商务报价得分。</w:t>
      </w:r>
    </w:p>
    <w:p w14:paraId="1B37A5DA">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（5）评标委员会完成评标后,评委对各部分得分汇总,计算出本项目最终得分、性价比、评标价等。评标委员会按评标原则推荐中标候选人同时起草评标报告。</w:t>
      </w:r>
    </w:p>
    <w:p w14:paraId="348DD2B7">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（四）澄清问题的形式</w:t>
      </w:r>
    </w:p>
    <w:p w14:paraId="1A870D73">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对投标文件中含义不明确、同类问题表述不一致或者有明显文字和计算错误的内容，评标委员会可要求供应商作出必要的澄清、说明或者纠正。</w:t>
      </w:r>
    </w:p>
    <w:p w14:paraId="74D18873">
      <w:pPr>
        <w:wordWrap w:val="0"/>
        <w:overflowPunct w:val="0"/>
        <w:autoSpaceDE w:val="0"/>
        <w:autoSpaceDN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评标委员会可以在“政采云”平台在线询标或其他有效形式要求供应商对同一份投标文件含义不明确或同类问题表述不一致的内容（招标文件其它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596D1172">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2.如果供应商代表拒绝或未按评标委员会要求在“政采云”平台作出在线回复且无其他有效回复方式的，评标委员会可以对其作出无效标处理。</w:t>
      </w:r>
    </w:p>
    <w:p w14:paraId="67394796">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（五）</w:t>
      </w:r>
      <w:r>
        <w:rPr>
          <w:rFonts w:hint="eastAsia" w:hAnsi="宋体" w:cs="宋体"/>
          <w:b/>
          <w:bCs/>
          <w:color w:val="auto"/>
          <w:sz w:val="24"/>
          <w:szCs w:val="24"/>
          <w:highlight w:val="none"/>
        </w:rPr>
        <w:t>错误修正</w:t>
      </w:r>
    </w:p>
    <w:p w14:paraId="6F853ED2">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投标文件报价出现前后不一致的，除招标文件另有规定外按照下列规定修正：</w:t>
      </w:r>
    </w:p>
    <w:p w14:paraId="46B3D273">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1.投标文件中开标一览表（报价表）内容与投标文件中相应内容不一致的，以开标一览表（报价表）为准；</w:t>
      </w:r>
    </w:p>
    <w:p w14:paraId="1774056F">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0E50A9D9">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3.单价金额小数点或者百分比有明显错位的，以开标一览表的总价为准，并修改单价；</w:t>
      </w:r>
    </w:p>
    <w:p w14:paraId="60D77EB9">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14:paraId="0DDE8B8D">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5.电子投标流程中，客户端填写的报价与以pdf格式上传文件中的报价不一致的，应以Pdf格式上传文件中的报价为准。</w:t>
      </w:r>
    </w:p>
    <w:p w14:paraId="45AF241C">
      <w:pPr>
        <w:pStyle w:val="35"/>
        <w:wordWrap w:val="0"/>
        <w:overflowPunct w:val="0"/>
        <w:autoSpaceDE w:val="0"/>
        <w:autoSpaceDN w:val="0"/>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同时出现两种以上不一致的，按照前款规定的顺序修正。修正后的报价按照《政府采购货物与服务招标投标管理办法（第87号令）》第五十一条第二款的规定经投标人确认后产生约束力，投标人不确认的，其投标无效。</w:t>
      </w:r>
    </w:p>
    <w:p w14:paraId="6D2C21A7">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（六）</w:t>
      </w:r>
      <w:r>
        <w:rPr>
          <w:rFonts w:hint="eastAsia" w:hAnsi="宋体" w:cs="宋体"/>
          <w:b/>
          <w:bCs/>
          <w:color w:val="auto"/>
          <w:sz w:val="24"/>
          <w:szCs w:val="24"/>
          <w:highlight w:val="none"/>
        </w:rPr>
        <w:t>评标原则和评标办法</w:t>
      </w:r>
    </w:p>
    <w:p w14:paraId="6AA05980">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0CC2FD1">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2.评标办法。本项目评标办法是</w:t>
      </w:r>
      <w:r>
        <w:rPr>
          <w:rFonts w:hint="eastAsia" w:ascii="宋体" w:hAnsi="宋体" w:cs="宋体"/>
          <w:color w:val="auto"/>
          <w:sz w:val="24"/>
          <w:highlight w:val="none"/>
          <w:u w:val="single"/>
        </w:rPr>
        <w:t xml:space="preserve"> 综合评分法 </w:t>
      </w:r>
      <w:r>
        <w:rPr>
          <w:rFonts w:hint="eastAsia" w:ascii="宋体" w:hAnsi="宋体" w:cs="宋体"/>
          <w:color w:val="auto"/>
          <w:sz w:val="24"/>
          <w:highlight w:val="none"/>
        </w:rPr>
        <w:t>，具体评标内容及评分标准等详见《第四章：评标办法及评分标准》。</w:t>
      </w:r>
    </w:p>
    <w:p w14:paraId="42033CF9">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（七）</w:t>
      </w:r>
      <w:r>
        <w:rPr>
          <w:rFonts w:hint="eastAsia" w:hAnsi="宋体" w:cs="宋体"/>
          <w:b/>
          <w:bCs/>
          <w:color w:val="auto"/>
          <w:sz w:val="24"/>
          <w:szCs w:val="24"/>
          <w:highlight w:val="none"/>
        </w:rPr>
        <w:t>评标过程的监控</w:t>
      </w:r>
    </w:p>
    <w:p w14:paraId="77CD58B5">
      <w:pPr>
        <w:pStyle w:val="35"/>
        <w:wordWrap w:val="0"/>
        <w:overflowPunct w:val="0"/>
        <w:autoSpaceDE w:val="0"/>
        <w:autoSpaceDN w:val="0"/>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本项目评标过程实行全程录音、录像监控，有1名相关人员进行现场监督。投标人在评标过程中所进行的试图影响评标结果的不公正活动，可能导致其投标被拒绝。</w:t>
      </w:r>
    </w:p>
    <w:p w14:paraId="02D84E86">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六、定标</w:t>
      </w:r>
    </w:p>
    <w:p w14:paraId="1275E3A9">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1.确定中标人。本项目由采购人确定中标人。</w:t>
      </w:r>
    </w:p>
    <w:p w14:paraId="7025267A">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采购代理机构应当自评审结束之日起2个工作日内将评审报告送交采购人。采购人应当自收到评审报告之日起5个工作日内在评标报告确定的中标候选人名单中按顺序确定中标人。</w:t>
      </w:r>
    </w:p>
    <w:p w14:paraId="0C15A2FB">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如有投标人对评标结果提出质疑的，采购人可在质疑处理完毕后确定中标人</w:t>
      </w:r>
    </w:p>
    <w:p w14:paraId="425CF0CF">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2.采购人或者采购代理机构应当自中标供应商确定之日起2个工作日内，发出中标通知书，并在省级以上人民政府财政部门指定的媒体上公告中标结果。</w:t>
      </w:r>
    </w:p>
    <w:p w14:paraId="3B3927D4">
      <w:pPr>
        <w:pStyle w:val="35"/>
        <w:wordWrap w:val="0"/>
        <w:overflowPunct w:val="0"/>
        <w:autoSpaceDE w:val="0"/>
        <w:autoSpaceDN w:val="0"/>
        <w:snapToGrid w:val="0"/>
        <w:spacing w:line="360" w:lineRule="auto"/>
        <w:outlineLvl w:val="0"/>
        <w:rPr>
          <w:rFonts w:hAnsi="宋体" w:cs="宋体"/>
          <w:b/>
          <w:color w:val="auto"/>
          <w:sz w:val="24"/>
          <w:szCs w:val="24"/>
          <w:highlight w:val="none"/>
        </w:rPr>
      </w:pPr>
      <w:r>
        <w:rPr>
          <w:rFonts w:hint="eastAsia" w:hAnsi="宋体" w:cs="宋体"/>
          <w:b/>
          <w:color w:val="auto"/>
          <w:sz w:val="24"/>
          <w:szCs w:val="24"/>
          <w:highlight w:val="none"/>
        </w:rPr>
        <w:t>七、合同授予</w:t>
      </w:r>
    </w:p>
    <w:p w14:paraId="25B0107E">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（一）签订合同</w:t>
      </w:r>
    </w:p>
    <w:p w14:paraId="6857EE29">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1.采购人与中标人应当在《中标通知书》发出之日起30日内签订政府采购合同。同时，采购代理机构对合同内容进行审查，如发现与采购结果和投标承诺内容不一致的，将予以纠正。</w:t>
      </w:r>
    </w:p>
    <w:p w14:paraId="4E38E73C">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2.中标人拖延、拒签合同的,将被列入不良行为记录或黑名单，由此产生的一切不利后果由中标人自行承担。</w:t>
      </w:r>
    </w:p>
    <w:p w14:paraId="042ABC73">
      <w:pPr>
        <w:pStyle w:val="35"/>
        <w:wordWrap w:val="0"/>
        <w:overflowPunct w:val="0"/>
        <w:autoSpaceDE w:val="0"/>
        <w:autoSpaceDN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（二）履约保证金</w:t>
      </w:r>
    </w:p>
    <w:p w14:paraId="3E520EEA">
      <w:pPr>
        <w:wordWrap w:val="0"/>
        <w:overflowPunct w:val="0"/>
        <w:autoSpaceDE w:val="0"/>
        <w:autoSpaceDN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1.中标人应按照与采购人约定的履约保证金金额，向采购人交纳履约保证金，中标人可以银行、保险公司出具保函形式提交履约保证金；否则，由此产生的一切不利后果由中标人自行承担。</w:t>
      </w:r>
    </w:p>
    <w:p w14:paraId="2F7193B0">
      <w:pPr>
        <w:pStyle w:val="35"/>
        <w:snapToGrid w:val="0"/>
        <w:spacing w:line="360" w:lineRule="auto"/>
        <w:rPr>
          <w:rFonts w:hAnsi="宋体" w:cs="宋体"/>
          <w:b/>
          <w:color w:val="auto"/>
          <w:sz w:val="24"/>
          <w:szCs w:val="24"/>
          <w:highlight w:val="none"/>
        </w:rPr>
      </w:pPr>
      <w:r>
        <w:rPr>
          <w:rFonts w:hint="eastAsia" w:hAnsi="宋体" w:cs="宋体"/>
          <w:color w:val="auto"/>
          <w:sz w:val="24"/>
          <w:szCs w:val="24"/>
          <w:highlight w:val="none"/>
        </w:rPr>
        <w:t>2.签订合同后，如中标人不按双方合同约定履约，则没收其全部履约保证金，履约保证金不足以赔偿损失的，按实际损失赔偿</w:t>
      </w:r>
    </w:p>
    <w:p w14:paraId="1BAEC558">
      <w:pPr>
        <w:pStyle w:val="35"/>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八、终止招标</w:t>
      </w:r>
    </w:p>
    <w:p w14:paraId="4FD4C0A7">
      <w:pPr>
        <w:pStyle w:val="35"/>
        <w:snapToGrid w:val="0"/>
        <w:spacing w:line="360" w:lineRule="auto"/>
        <w:ind w:firstLine="480" w:firstLineChars="200"/>
        <w:rPr>
          <w:rFonts w:hAnsi="宋体" w:cs="宋体"/>
          <w:b/>
          <w:color w:val="auto"/>
          <w:sz w:val="28"/>
          <w:szCs w:val="28"/>
          <w:highlight w:val="none"/>
        </w:rPr>
      </w:pPr>
      <w:r>
        <w:rPr>
          <w:rFonts w:hint="eastAsia" w:hAnsi="宋体" w:cs="宋体"/>
          <w:color w:val="auto"/>
          <w:sz w:val="24"/>
          <w:szCs w:val="24"/>
          <w:highlight w:val="none"/>
        </w:rPr>
        <w:t>终止招标的，采购人或者采购代理机构应当及时在原公告发布媒体上发布终止公告，并将项目实施情况和采购任务取消原因报告本级财政部门。</w:t>
      </w:r>
      <w:bookmarkStart w:id="20" w:name="_Toc2572"/>
    </w:p>
    <w:bookmarkEnd w:id="14"/>
    <w:bookmarkEnd w:id="20"/>
    <w:p w14:paraId="63A107C3">
      <w:pPr>
        <w:pStyle w:val="35"/>
        <w:snapToGrid w:val="0"/>
        <w:spacing w:line="360" w:lineRule="auto"/>
        <w:rPr>
          <w:rFonts w:hAnsi="宋体" w:cs="宋体"/>
          <w:b/>
          <w:color w:val="auto"/>
          <w:sz w:val="24"/>
          <w:szCs w:val="24"/>
          <w:highlight w:val="none"/>
        </w:rPr>
      </w:pPr>
      <w:bookmarkStart w:id="21" w:name="_Hlt68073093"/>
      <w:bookmarkEnd w:id="21"/>
      <w:bookmarkStart w:id="22" w:name="_Hlt68072990"/>
      <w:bookmarkEnd w:id="22"/>
      <w:bookmarkStart w:id="23" w:name="_Hlt74707468"/>
      <w:bookmarkEnd w:id="23"/>
      <w:bookmarkStart w:id="24" w:name="_Hlt74729768"/>
      <w:bookmarkEnd w:id="24"/>
      <w:bookmarkStart w:id="25" w:name="_Hlt75236101"/>
      <w:bookmarkEnd w:id="25"/>
      <w:bookmarkStart w:id="26" w:name="_Hlt75236290"/>
      <w:bookmarkEnd w:id="26"/>
      <w:bookmarkStart w:id="27" w:name="_Hlt74714665"/>
      <w:bookmarkEnd w:id="27"/>
      <w:bookmarkStart w:id="28" w:name="_Hlt68403820"/>
      <w:bookmarkEnd w:id="28"/>
      <w:bookmarkStart w:id="29" w:name="_Hlt75236011"/>
      <w:bookmarkEnd w:id="29"/>
      <w:bookmarkStart w:id="30" w:name="_Hlt74730295"/>
      <w:bookmarkEnd w:id="30"/>
      <w:bookmarkStart w:id="31" w:name="_Hlt68057669"/>
      <w:bookmarkEnd w:id="31"/>
      <w:bookmarkStart w:id="32" w:name="_Hlt68072998"/>
      <w:bookmarkEnd w:id="32"/>
      <w:r>
        <w:rPr>
          <w:rFonts w:hint="eastAsia" w:hAnsi="宋体" w:cs="宋体"/>
          <w:b/>
          <w:color w:val="auto"/>
          <w:sz w:val="24"/>
          <w:szCs w:val="24"/>
          <w:highlight w:val="none"/>
        </w:rPr>
        <w:t>九、招标代理费</w:t>
      </w:r>
    </w:p>
    <w:p w14:paraId="31438492">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1、根据“国家发展和改革委员会办公厅《关于招标代理服务收费有关问题的通知》（发改办价格【2003】857号）”规定，招标代理机构向中标人收取招标代理服务费。</w:t>
      </w:r>
    </w:p>
    <w:p w14:paraId="7960A880">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2、中标人应在收取《中标通知书》时向采购代理机构交纳招标代理服务费，服务费的收费标准按国家计委(计价格[2011]534号)文规定计算:</w:t>
      </w:r>
    </w:p>
    <w:tbl>
      <w:tblPr>
        <w:tblStyle w:val="64"/>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53"/>
        <w:gridCol w:w="2153"/>
      </w:tblGrid>
      <w:tr w14:paraId="689D31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153" w:type="dxa"/>
            <w:tcBorders>
              <w:top w:val="double" w:color="auto" w:sz="4" w:space="0"/>
              <w:left w:val="double" w:color="auto" w:sz="4" w:space="0"/>
              <w:bottom w:val="single" w:color="auto" w:sz="6" w:space="0"/>
              <w:right w:val="single" w:color="auto" w:sz="6" w:space="0"/>
            </w:tcBorders>
            <w:shd w:val="clear" w:color="auto" w:fill="D9D9D9"/>
            <w:vAlign w:val="center"/>
          </w:tcPr>
          <w:p w14:paraId="5D5E9FFE">
            <w:pPr>
              <w:spacing w:line="360" w:lineRule="auto"/>
              <w:jc w:val="center"/>
              <w:rPr>
                <w:rFonts w:ascii="宋体" w:hAnsi="宋体"/>
                <w:b/>
                <w:color w:val="auto"/>
                <w:sz w:val="24"/>
                <w:highlight w:val="none"/>
              </w:rPr>
            </w:pPr>
            <w:r>
              <w:rPr>
                <w:rFonts w:hint="eastAsia" w:ascii="宋体" w:hAnsi="宋体"/>
                <w:b/>
                <w:color w:val="auto"/>
                <w:sz w:val="24"/>
                <w:highlight w:val="none"/>
              </w:rPr>
              <w:t>中标金额（万元）</w:t>
            </w:r>
          </w:p>
        </w:tc>
        <w:tc>
          <w:tcPr>
            <w:tcW w:w="2153" w:type="dxa"/>
            <w:tcBorders>
              <w:top w:val="double" w:color="auto" w:sz="4" w:space="0"/>
              <w:left w:val="single" w:color="auto" w:sz="6" w:space="0"/>
              <w:bottom w:val="single" w:color="auto" w:sz="6" w:space="0"/>
              <w:right w:val="double" w:color="auto" w:sz="4" w:space="0"/>
            </w:tcBorders>
            <w:shd w:val="clear" w:color="auto" w:fill="D9D9D9"/>
            <w:vAlign w:val="center"/>
          </w:tcPr>
          <w:p w14:paraId="31B2391D">
            <w:pPr>
              <w:spacing w:line="360" w:lineRule="auto"/>
              <w:jc w:val="center"/>
              <w:rPr>
                <w:rFonts w:ascii="宋体" w:hAnsi="宋体"/>
                <w:b/>
                <w:color w:val="auto"/>
                <w:sz w:val="24"/>
                <w:highlight w:val="none"/>
              </w:rPr>
            </w:pPr>
            <w:r>
              <w:rPr>
                <w:rFonts w:hint="eastAsia" w:ascii="宋体" w:hAnsi="宋体"/>
                <w:b/>
                <w:color w:val="auto"/>
                <w:sz w:val="24"/>
                <w:highlight w:val="none"/>
              </w:rPr>
              <w:t>货物招标收费费率</w:t>
            </w:r>
          </w:p>
        </w:tc>
      </w:tr>
      <w:tr w14:paraId="5C0498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153" w:type="dxa"/>
            <w:tcBorders>
              <w:top w:val="single" w:color="auto" w:sz="6" w:space="0"/>
              <w:left w:val="double" w:color="auto" w:sz="4" w:space="0"/>
              <w:bottom w:val="single" w:color="auto" w:sz="6" w:space="0"/>
              <w:right w:val="single" w:color="auto" w:sz="6" w:space="0"/>
            </w:tcBorders>
            <w:vAlign w:val="center"/>
          </w:tcPr>
          <w:p w14:paraId="53B70E7F">
            <w:pPr>
              <w:spacing w:line="360" w:lineRule="auto"/>
              <w:jc w:val="center"/>
              <w:rPr>
                <w:rFonts w:ascii="宋体" w:hAnsi="宋体"/>
                <w:b/>
                <w:color w:val="auto"/>
                <w:sz w:val="24"/>
                <w:highlight w:val="none"/>
              </w:rPr>
            </w:pPr>
            <w:r>
              <w:rPr>
                <w:rFonts w:hint="eastAsia" w:ascii="宋体" w:hAnsi="宋体"/>
                <w:b/>
                <w:color w:val="auto"/>
                <w:sz w:val="24"/>
                <w:highlight w:val="none"/>
              </w:rPr>
              <w:t>100以下</w:t>
            </w:r>
          </w:p>
        </w:tc>
        <w:tc>
          <w:tcPr>
            <w:tcW w:w="2153" w:type="dxa"/>
            <w:tcBorders>
              <w:top w:val="single" w:color="auto" w:sz="6" w:space="0"/>
              <w:left w:val="single" w:color="auto" w:sz="6" w:space="0"/>
              <w:bottom w:val="single" w:color="auto" w:sz="6" w:space="0"/>
              <w:right w:val="double" w:color="auto" w:sz="4" w:space="0"/>
            </w:tcBorders>
            <w:vAlign w:val="center"/>
          </w:tcPr>
          <w:p w14:paraId="0A7ABAAB">
            <w:pPr>
              <w:spacing w:line="360" w:lineRule="auto"/>
              <w:jc w:val="center"/>
              <w:rPr>
                <w:rFonts w:ascii="宋体" w:hAnsi="宋体"/>
                <w:b/>
                <w:color w:val="auto"/>
                <w:sz w:val="24"/>
                <w:highlight w:val="none"/>
              </w:rPr>
            </w:pPr>
            <w:r>
              <w:rPr>
                <w:rFonts w:hint="eastAsia" w:ascii="宋体" w:hAnsi="宋体"/>
                <w:b/>
                <w:color w:val="auto"/>
                <w:sz w:val="24"/>
                <w:highlight w:val="none"/>
              </w:rPr>
              <w:t>1.50%</w:t>
            </w:r>
          </w:p>
        </w:tc>
      </w:tr>
    </w:tbl>
    <w:p w14:paraId="3B4C1156">
      <w:pPr>
        <w:snapToGrid w:val="0"/>
        <w:spacing w:line="360" w:lineRule="auto"/>
        <w:ind w:left="480" w:hanging="480" w:hangingChars="200"/>
        <w:jc w:val="left"/>
        <w:rPr>
          <w:rFonts w:ascii="宋体" w:hAnsi="宋体"/>
          <w:color w:val="auto"/>
          <w:sz w:val="24"/>
          <w:highlight w:val="none"/>
        </w:rPr>
      </w:pPr>
      <w:r>
        <w:rPr>
          <w:rFonts w:hint="eastAsia" w:ascii="宋体" w:hAnsi="宋体"/>
          <w:color w:val="auto"/>
          <w:sz w:val="24"/>
          <w:highlight w:val="none"/>
        </w:rPr>
        <w:t>例如：某项目货物类招标代理业务中标金额为100万元，计算中标服务费收费额如下：</w:t>
      </w:r>
    </w:p>
    <w:p w14:paraId="12E49C13">
      <w:pPr>
        <w:snapToGrid w:val="0"/>
        <w:spacing w:line="360" w:lineRule="auto"/>
        <w:ind w:left="479" w:leftChars="228" w:firstLine="720" w:firstLineChars="300"/>
        <w:jc w:val="left"/>
        <w:rPr>
          <w:rStyle w:val="974"/>
          <w:rFonts w:ascii="宋体" w:hAnsi="宋体"/>
          <w:color w:val="auto"/>
          <w:sz w:val="24"/>
          <w:highlight w:val="none"/>
        </w:rPr>
      </w:pPr>
      <w:r>
        <w:rPr>
          <w:rStyle w:val="973"/>
          <w:rFonts w:ascii="宋体" w:hAnsi="宋体"/>
          <w:color w:val="auto"/>
          <w:sz w:val="24"/>
          <w:highlight w:val="none"/>
        </w:rPr>
        <w:t>100万元×1.5%=</w:t>
      </w:r>
      <w:r>
        <w:rPr>
          <w:rStyle w:val="973"/>
          <w:rFonts w:hint="eastAsia" w:ascii="宋体" w:hAnsi="宋体"/>
          <w:color w:val="auto"/>
          <w:sz w:val="24"/>
          <w:highlight w:val="none"/>
        </w:rPr>
        <w:t>15000</w:t>
      </w:r>
      <w:r>
        <w:rPr>
          <w:rStyle w:val="973"/>
          <w:rFonts w:ascii="宋体" w:hAnsi="宋体"/>
          <w:color w:val="auto"/>
          <w:sz w:val="24"/>
          <w:highlight w:val="none"/>
        </w:rPr>
        <w:t>元</w:t>
      </w:r>
    </w:p>
    <w:p w14:paraId="1C36C4C8">
      <w:pPr>
        <w:snapToGrid w:val="0"/>
        <w:spacing w:line="360" w:lineRule="auto"/>
        <w:ind w:firstLine="600" w:firstLineChars="250"/>
        <w:jc w:val="left"/>
        <w:rPr>
          <w:rFonts w:ascii="宋体" w:hAnsi="宋体"/>
          <w:bCs/>
          <w:color w:val="auto"/>
          <w:sz w:val="24"/>
          <w:highlight w:val="none"/>
          <w:lang w:val="zh-CN"/>
        </w:rPr>
      </w:pPr>
      <w:r>
        <w:rPr>
          <w:rFonts w:hint="eastAsia" w:ascii="宋体" w:hAnsi="宋体"/>
          <w:color w:val="auto"/>
          <w:sz w:val="24"/>
          <w:highlight w:val="none"/>
        </w:rPr>
        <w:t>3、本项目以货物招标收费标准收取中标服务费</w:t>
      </w:r>
      <w:r>
        <w:rPr>
          <w:rFonts w:hint="eastAsia" w:ascii="宋体" w:hAnsi="宋体"/>
          <w:bCs/>
          <w:color w:val="auto"/>
          <w:sz w:val="24"/>
          <w:highlight w:val="none"/>
          <w:lang w:val="zh-CN"/>
        </w:rPr>
        <w:t>。</w:t>
      </w:r>
    </w:p>
    <w:p w14:paraId="09280D6A">
      <w:pPr>
        <w:tabs>
          <w:tab w:val="left" w:pos="1862"/>
        </w:tabs>
        <w:snapToGrid w:val="0"/>
        <w:spacing w:line="360" w:lineRule="auto"/>
        <w:ind w:firstLine="1080" w:firstLineChars="450"/>
        <w:jc w:val="left"/>
        <w:rPr>
          <w:rFonts w:ascii="宋体" w:hAnsi="宋体"/>
          <w:color w:val="auto"/>
          <w:sz w:val="24"/>
          <w:highlight w:val="none"/>
        </w:rPr>
      </w:pPr>
      <w:r>
        <w:rPr>
          <w:rFonts w:hint="eastAsia" w:ascii="宋体" w:hAnsi="宋体"/>
          <w:color w:val="auto"/>
          <w:sz w:val="24"/>
          <w:highlight w:val="none"/>
        </w:rPr>
        <w:t>计收费 = 15000元</w:t>
      </w:r>
    </w:p>
    <w:p w14:paraId="1C16C10F">
      <w:pPr>
        <w:snapToGrid w:val="0"/>
        <w:spacing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4、服务费的货币为人民币。</w:t>
      </w:r>
    </w:p>
    <w:p w14:paraId="08C03C06">
      <w:pPr>
        <w:snapToGrid w:val="0"/>
        <w:spacing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5、服务费支付方式：一次性以银行划账、电汇、汇票或支票的形式支付。</w:t>
      </w:r>
    </w:p>
    <w:p w14:paraId="09F6903E">
      <w:pPr>
        <w:snapToGrid w:val="0"/>
        <w:spacing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6、服务费以银行划账方式按下列要求提交：</w:t>
      </w:r>
    </w:p>
    <w:p w14:paraId="1C0EB687">
      <w:pPr>
        <w:tabs>
          <w:tab w:val="left" w:pos="0"/>
        </w:tabs>
        <w:spacing w:line="360" w:lineRule="auto"/>
        <w:ind w:firstLine="1024" w:firstLineChars="427"/>
        <w:rPr>
          <w:rFonts w:ascii="宋体" w:hAnsi="宋体"/>
          <w:color w:val="auto"/>
          <w:sz w:val="24"/>
          <w:highlight w:val="none"/>
        </w:rPr>
      </w:pPr>
      <w:r>
        <w:rPr>
          <w:rFonts w:hint="eastAsia" w:ascii="宋体" w:hAnsi="宋体"/>
          <w:color w:val="auto"/>
          <w:sz w:val="24"/>
          <w:highlight w:val="none"/>
        </w:rPr>
        <w:t>户名：浙江正大工程管理咨询有限公司嘉善分公司</w:t>
      </w:r>
    </w:p>
    <w:p w14:paraId="2930747A">
      <w:pPr>
        <w:tabs>
          <w:tab w:val="left" w:pos="0"/>
        </w:tabs>
        <w:spacing w:line="360" w:lineRule="auto"/>
        <w:ind w:firstLine="1024" w:firstLineChars="427"/>
        <w:rPr>
          <w:rFonts w:ascii="宋体" w:hAnsi="宋体"/>
          <w:color w:val="auto"/>
          <w:sz w:val="24"/>
          <w:highlight w:val="none"/>
        </w:rPr>
      </w:pPr>
      <w:r>
        <w:rPr>
          <w:rFonts w:hint="eastAsia" w:ascii="宋体" w:hAnsi="宋体"/>
          <w:color w:val="auto"/>
          <w:sz w:val="24"/>
          <w:highlight w:val="none"/>
        </w:rPr>
        <w:t>开户行：中国建设银行股份有限公司嘉善晋阳支行</w:t>
      </w:r>
    </w:p>
    <w:p w14:paraId="15677CB4">
      <w:pPr>
        <w:tabs>
          <w:tab w:val="left" w:pos="0"/>
        </w:tabs>
        <w:spacing w:line="360" w:lineRule="auto"/>
        <w:ind w:firstLine="1024" w:firstLineChars="427"/>
        <w:rPr>
          <w:rFonts w:ascii="宋体" w:hAnsi="宋体"/>
          <w:color w:val="auto"/>
          <w:sz w:val="24"/>
          <w:highlight w:val="none"/>
        </w:rPr>
      </w:pPr>
      <w:r>
        <w:rPr>
          <w:rFonts w:hint="eastAsia" w:ascii="宋体" w:hAnsi="宋体"/>
          <w:color w:val="auto"/>
          <w:sz w:val="24"/>
          <w:highlight w:val="none"/>
        </w:rPr>
        <w:t>账号：33050163745200000916</w:t>
      </w:r>
    </w:p>
    <w:p w14:paraId="0B88CBA1">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7、服务费支付时间：服务费必须在中标人领取《中标通知书》时一次性付清，如果中标人未能按时交纳服务费，采购代理机构/采购人保留取消其中标资格并追究其法律责任的权利。</w:t>
      </w:r>
    </w:p>
    <w:p w14:paraId="12560638">
      <w:pPr>
        <w:tabs>
          <w:tab w:val="left" w:pos="0"/>
        </w:tabs>
        <w:spacing w:line="360" w:lineRule="auto"/>
        <w:ind w:firstLine="480" w:firstLineChars="200"/>
        <w:rPr>
          <w:rFonts w:ascii="宋体" w:hAnsi="宋体"/>
          <w:b/>
          <w:bCs/>
          <w:color w:val="auto"/>
          <w:sz w:val="24"/>
          <w:highlight w:val="none"/>
        </w:rPr>
      </w:pPr>
      <w:r>
        <w:rPr>
          <w:rFonts w:hint="eastAsia" w:ascii="宋体" w:hAnsi="宋体"/>
          <w:color w:val="auto"/>
          <w:sz w:val="24"/>
          <w:highlight w:val="none"/>
        </w:rPr>
        <w:t>8、</w:t>
      </w:r>
      <w:r>
        <w:rPr>
          <w:rFonts w:hint="eastAsia" w:ascii="宋体" w:hAnsi="宋体"/>
          <w:b/>
          <w:bCs/>
          <w:color w:val="auto"/>
          <w:sz w:val="24"/>
          <w:highlight w:val="none"/>
        </w:rPr>
        <w:t>服务费不在投标报价中单列，由各投标人自行考虑在投标报价中，请注明款项用途及项目名称，以便收款人确认。</w:t>
      </w:r>
    </w:p>
    <w:p w14:paraId="6BD89541">
      <w:pPr>
        <w:pStyle w:val="15"/>
        <w:rPr>
          <w:color w:val="auto"/>
          <w:highlight w:val="none"/>
        </w:rPr>
        <w:sectPr>
          <w:pgSz w:w="11906" w:h="16838"/>
          <w:pgMar w:top="680" w:right="1418" w:bottom="468" w:left="1418" w:header="851" w:footer="992" w:gutter="0"/>
          <w:cols w:space="720" w:num="1"/>
          <w:titlePg/>
          <w:docGrid w:linePitch="312" w:charSpace="0"/>
        </w:sectPr>
      </w:pPr>
    </w:p>
    <w:bookmarkEnd w:id="15"/>
    <w:bookmarkEnd w:id="16"/>
    <w:p w14:paraId="6B5755AE">
      <w:pPr>
        <w:snapToGrid w:val="0"/>
        <w:spacing w:line="336" w:lineRule="auto"/>
        <w:jc w:val="center"/>
        <w:rPr>
          <w:rFonts w:ascii="仿宋" w:hAnsi="仿宋" w:eastAsia="仿宋" w:cs="仿宋_GB2312"/>
          <w:b/>
          <w:color w:val="auto"/>
          <w:sz w:val="36"/>
          <w:szCs w:val="36"/>
          <w:highlight w:val="none"/>
        </w:rPr>
      </w:pPr>
      <w:bookmarkStart w:id="33" w:name="第四部分"/>
      <w:r>
        <w:rPr>
          <w:rFonts w:hint="eastAsia" w:ascii="仿宋" w:hAnsi="仿宋" w:eastAsia="仿宋" w:cs="仿宋_GB2312"/>
          <w:b/>
          <w:color w:val="auto"/>
          <w:sz w:val="36"/>
          <w:szCs w:val="36"/>
          <w:highlight w:val="none"/>
        </w:rPr>
        <w:t>第四章 评标办法及评分标准</w:t>
      </w:r>
    </w:p>
    <w:bookmarkEnd w:id="33"/>
    <w:p w14:paraId="22554FA5">
      <w:pPr>
        <w:spacing w:line="336" w:lineRule="auto"/>
        <w:ind w:firstLine="420"/>
        <w:rPr>
          <w:rFonts w:ascii="宋体" w:hAnsi="宋体" w:cs="宋体"/>
          <w:color w:val="auto"/>
          <w:sz w:val="24"/>
          <w:highlight w:val="none"/>
        </w:rPr>
      </w:pPr>
      <w:bookmarkStart w:id="34" w:name="_Toc406403000"/>
      <w:r>
        <w:rPr>
          <w:rFonts w:hint="eastAsia" w:ascii="宋体" w:hAnsi="宋体" w:cs="宋体"/>
          <w:color w:val="auto"/>
          <w:sz w:val="24"/>
          <w:highlight w:val="none"/>
        </w:rPr>
        <w:t>为公正、公平、科学地选择中标人，根据《中华人民共和国政府采购法》等有关法律法规的规定，并结合本项目的实际，制定本办法。</w:t>
      </w:r>
    </w:p>
    <w:p w14:paraId="5C5C5D96">
      <w:pPr>
        <w:pStyle w:val="56"/>
        <w:spacing w:line="336" w:lineRule="auto"/>
        <w:rPr>
          <w:rFonts w:ascii="宋体" w:hAnsi="宋体" w:cs="宋体"/>
          <w:color w:val="auto"/>
          <w:sz w:val="24"/>
          <w:highlight w:val="none"/>
        </w:rPr>
      </w:pPr>
      <w:r>
        <w:rPr>
          <w:rFonts w:hint="eastAsia" w:ascii="宋体" w:hAnsi="宋体" w:cs="宋体"/>
          <w:color w:val="auto"/>
          <w:sz w:val="24"/>
          <w:highlight w:val="none"/>
        </w:rPr>
        <w:t>本办法适用于嘉善县实验幼儿园（兴贤）玩具采购的评标。</w:t>
      </w:r>
    </w:p>
    <w:p w14:paraId="123F208C">
      <w:pPr>
        <w:spacing w:line="336" w:lineRule="auto"/>
        <w:rPr>
          <w:rFonts w:ascii="宋体" w:hAnsi="宋体" w:cs="宋体"/>
          <w:b/>
          <w:color w:val="auto"/>
          <w:sz w:val="24"/>
          <w:highlight w:val="none"/>
        </w:rPr>
      </w:pPr>
      <w:r>
        <w:rPr>
          <w:rFonts w:hint="eastAsia" w:ascii="宋体" w:hAnsi="宋体" w:cs="宋体"/>
          <w:b/>
          <w:color w:val="auto"/>
          <w:sz w:val="24"/>
          <w:highlight w:val="none"/>
        </w:rPr>
        <w:t>一 、总则</w:t>
      </w:r>
    </w:p>
    <w:p w14:paraId="0195D922">
      <w:pPr>
        <w:snapToGrid w:val="0"/>
        <w:spacing w:line="336" w:lineRule="auto"/>
        <w:ind w:firstLine="480" w:firstLineChars="200"/>
        <w:rPr>
          <w:rFonts w:ascii="宋体" w:hAnsi="宋体"/>
          <w:color w:val="auto"/>
          <w:sz w:val="24"/>
          <w:highlight w:val="none"/>
        </w:rPr>
      </w:pPr>
      <w:r>
        <w:rPr>
          <w:rFonts w:hint="eastAsia" w:ascii="宋体" w:hAnsi="宋体"/>
          <w:color w:val="auto"/>
          <w:sz w:val="24"/>
          <w:highlight w:val="none"/>
        </w:rPr>
        <w:t>本次评标采用综合评分法，总分为100分，其中价格分30分、商务技术70分（其中：商务资信分12分，技术分58分）。中标候选资格按评标综合得分由高到低顺序排列，得分相同的，按投标报价由低到高顺序排列；得分且投标报价相同的，按技术分得分总分由高到低顺序排列，仍不能分出前后的，以电子投标文件解密先后顺序确定。综合得分排名第一的供应商为第一成交候选供应商，综合得分排名第二的供应商为第二成交候选供应商，其他供应商的成交候选资格依此类推，评分过程中采用四舍五入法，并保留小数 2 位。中标人拒绝与采购人签订合同的，采购人可以按照评审报告推荐的中标候选人名单顺序，确定下一候选人为中标人，也可以重新开展政府采购活动。</w:t>
      </w:r>
    </w:p>
    <w:p w14:paraId="40A28CBC">
      <w:pPr>
        <w:snapToGrid w:val="0"/>
        <w:spacing w:line="336" w:lineRule="auto"/>
        <w:ind w:firstLine="480" w:firstLineChars="200"/>
        <w:rPr>
          <w:rFonts w:ascii="宋体" w:hAnsi="宋体"/>
          <w:color w:val="auto"/>
          <w:sz w:val="24"/>
          <w:highlight w:val="none"/>
        </w:rPr>
      </w:pPr>
      <w:r>
        <w:rPr>
          <w:rFonts w:hint="eastAsia" w:ascii="宋体" w:hAnsi="宋体"/>
          <w:color w:val="auto"/>
          <w:sz w:val="24"/>
          <w:highlight w:val="none"/>
        </w:rPr>
        <w:t>投标人评标综合得分=价格分+商务技术分</w:t>
      </w:r>
    </w:p>
    <w:p w14:paraId="6DDAD509">
      <w:pPr>
        <w:spacing w:line="336" w:lineRule="auto"/>
        <w:rPr>
          <w:rFonts w:ascii="宋体" w:hAnsi="宋体"/>
          <w:b/>
          <w:color w:val="auto"/>
          <w:sz w:val="24"/>
          <w:highlight w:val="none"/>
        </w:rPr>
      </w:pPr>
      <w:r>
        <w:rPr>
          <w:rFonts w:hint="eastAsia" w:ascii="宋体" w:hAnsi="宋体"/>
          <w:b/>
          <w:color w:val="auto"/>
          <w:sz w:val="24"/>
          <w:highlight w:val="none"/>
        </w:rPr>
        <w:t>二、评标内容及标准</w:t>
      </w:r>
    </w:p>
    <w:p w14:paraId="1BDD28D5">
      <w:pPr>
        <w:pStyle w:val="27"/>
        <w:spacing w:line="336" w:lineRule="auto"/>
        <w:ind w:firstLine="482"/>
        <w:rPr>
          <w:b/>
          <w:bCs/>
          <w:color w:val="auto"/>
          <w:highlight w:val="none"/>
        </w:rPr>
      </w:pPr>
      <w:r>
        <w:rPr>
          <w:b/>
          <w:color w:val="auto"/>
          <w:highlight w:val="none"/>
        </w:rPr>
        <w:t>（一）</w:t>
      </w:r>
      <w:r>
        <w:rPr>
          <w:b/>
          <w:bCs/>
          <w:color w:val="auto"/>
          <w:highlight w:val="none"/>
        </w:rPr>
        <w:t>价格分（</w:t>
      </w:r>
      <w:r>
        <w:rPr>
          <w:rFonts w:hint="eastAsia"/>
          <w:b/>
          <w:bCs/>
          <w:color w:val="auto"/>
          <w:highlight w:val="none"/>
        </w:rPr>
        <w:t>30分）</w:t>
      </w:r>
    </w:p>
    <w:p w14:paraId="74C55AAE">
      <w:pPr>
        <w:pStyle w:val="27"/>
        <w:spacing w:line="336" w:lineRule="auto"/>
        <w:rPr>
          <w:color w:val="auto"/>
          <w:highlight w:val="none"/>
        </w:rPr>
      </w:pPr>
      <w:r>
        <w:rPr>
          <w:rFonts w:hint="eastAsia"/>
          <w:color w:val="auto"/>
          <w:highlight w:val="none"/>
        </w:rPr>
        <w:t>1.价格分采用低价优先法计算，即满足招标文件要求且投标价格最低的投标报价为评标基准价，其他投标人的价格分按照下列公式计算：</w:t>
      </w:r>
    </w:p>
    <w:p w14:paraId="738E8B10">
      <w:pPr>
        <w:spacing w:line="336" w:lineRule="auto"/>
        <w:ind w:firstLine="480" w:firstLineChars="200"/>
        <w:rPr>
          <w:rFonts w:hAnsi="宋体"/>
          <w:bCs/>
          <w:color w:val="auto"/>
          <w:sz w:val="24"/>
          <w:highlight w:val="none"/>
        </w:rPr>
      </w:pPr>
      <w:r>
        <w:rPr>
          <w:rFonts w:hint="eastAsia" w:ascii="宋体" w:hAnsi="宋体"/>
          <w:color w:val="auto"/>
          <w:sz w:val="24"/>
          <w:highlight w:val="none"/>
        </w:rPr>
        <w:t>价格分=（评标基准价/投标报价）×30%×100</w:t>
      </w:r>
    </w:p>
    <w:p w14:paraId="5BE17EE5">
      <w:pPr>
        <w:spacing w:line="336" w:lineRule="auto"/>
        <w:ind w:firstLine="480" w:firstLineChars="200"/>
        <w:rPr>
          <w:rFonts w:cs="宋体"/>
          <w:b/>
          <w:color w:val="auto"/>
          <w:highlight w:val="none"/>
        </w:rPr>
      </w:pPr>
      <w:r>
        <w:rPr>
          <w:rFonts w:hint="eastAsia" w:hAnsi="宋体"/>
          <w:bCs/>
          <w:color w:val="auto"/>
          <w:sz w:val="24"/>
          <w:highlight w:val="none"/>
        </w:rPr>
        <w:t>2.投标人的投标报价超过采购人设定的最高限价，将作为无效标。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74E7166">
      <w:pPr>
        <w:pStyle w:val="27"/>
        <w:spacing w:beforeLines="50" w:afterLines="50" w:line="360" w:lineRule="auto"/>
        <w:ind w:firstLine="482"/>
        <w:rPr>
          <w:rFonts w:cs="宋体"/>
          <w:b/>
          <w:color w:val="auto"/>
          <w:highlight w:val="none"/>
        </w:rPr>
      </w:pPr>
      <w:r>
        <w:rPr>
          <w:rFonts w:hint="eastAsia" w:cs="宋体"/>
          <w:b/>
          <w:color w:val="auto"/>
          <w:highlight w:val="none"/>
        </w:rPr>
        <w:t>（二）商务资信分（12分）</w:t>
      </w:r>
    </w:p>
    <w:tbl>
      <w:tblPr>
        <w:tblStyle w:val="64"/>
        <w:tblW w:w="10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32"/>
        <w:gridCol w:w="7995"/>
      </w:tblGrid>
      <w:tr w14:paraId="475E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1" w:type="dxa"/>
            <w:noWrap/>
            <w:vAlign w:val="center"/>
          </w:tcPr>
          <w:p w14:paraId="67EFCDDD">
            <w:pPr>
              <w:adjustRightInd/>
              <w:spacing w:line="288" w:lineRule="auto"/>
              <w:jc w:val="center"/>
              <w:rPr>
                <w:rFonts w:ascii="宋体" w:hAnsi="宋体" w:cs="宋体"/>
                <w:color w:val="auto"/>
                <w:spacing w:val="-6"/>
                <w:sz w:val="24"/>
                <w:highlight w:val="none"/>
              </w:rPr>
            </w:pPr>
            <w:r>
              <w:rPr>
                <w:rFonts w:hint="eastAsia" w:ascii="宋体" w:hAnsi="宋体" w:cs="宋体"/>
                <w:color w:val="auto"/>
                <w:spacing w:val="-6"/>
                <w:sz w:val="24"/>
                <w:highlight w:val="none"/>
              </w:rPr>
              <w:t>业绩</w:t>
            </w:r>
          </w:p>
        </w:tc>
        <w:tc>
          <w:tcPr>
            <w:tcW w:w="1132" w:type="dxa"/>
            <w:noWrap/>
            <w:vAlign w:val="center"/>
          </w:tcPr>
          <w:p w14:paraId="3C05B7FE">
            <w:pPr>
              <w:adjustRightInd/>
              <w:spacing w:line="288" w:lineRule="auto"/>
              <w:jc w:val="center"/>
              <w:rPr>
                <w:rFonts w:ascii="宋体" w:hAnsi="宋体" w:cs="宋体"/>
                <w:color w:val="auto"/>
                <w:spacing w:val="-6"/>
                <w:sz w:val="24"/>
                <w:highlight w:val="none"/>
              </w:rPr>
            </w:pPr>
            <w:r>
              <w:rPr>
                <w:rFonts w:hint="eastAsia" w:ascii="宋体" w:hAnsi="宋体" w:cs="宋体"/>
                <w:color w:val="auto"/>
                <w:spacing w:val="-6"/>
                <w:sz w:val="24"/>
                <w:highlight w:val="none"/>
              </w:rPr>
              <w:t>3</w:t>
            </w:r>
          </w:p>
        </w:tc>
        <w:tc>
          <w:tcPr>
            <w:tcW w:w="7995" w:type="dxa"/>
            <w:noWrap/>
            <w:vAlign w:val="center"/>
          </w:tcPr>
          <w:p w14:paraId="201D37D8">
            <w:pPr>
              <w:adjustRightInd/>
              <w:spacing w:line="288" w:lineRule="auto"/>
              <w:rPr>
                <w:rFonts w:ascii="宋体" w:hAnsi="宋体" w:cs="宋体"/>
                <w:color w:val="auto"/>
                <w:spacing w:val="-6"/>
                <w:sz w:val="24"/>
                <w:highlight w:val="none"/>
              </w:rPr>
            </w:pPr>
            <w:r>
              <w:rPr>
                <w:rFonts w:hint="eastAsia" w:ascii="宋体" w:hAnsi="宋体" w:cs="宋体"/>
                <w:color w:val="auto"/>
                <w:spacing w:val="-6"/>
                <w:sz w:val="24"/>
                <w:highlight w:val="none"/>
              </w:rPr>
              <w:t>投标人或所投产品的制造厂商具有同类项目供货业绩：每提供1个合同业绩得 1分，最高得 3 分。（提供合同复印件加盖公章，未提供不得分）</w:t>
            </w:r>
          </w:p>
        </w:tc>
      </w:tr>
      <w:tr w14:paraId="5829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1" w:type="dxa"/>
            <w:noWrap/>
            <w:vAlign w:val="center"/>
          </w:tcPr>
          <w:p w14:paraId="553C78B8">
            <w:pPr>
              <w:adjustRightInd/>
              <w:spacing w:line="288" w:lineRule="auto"/>
              <w:jc w:val="center"/>
              <w:rPr>
                <w:rFonts w:ascii="宋体" w:hAnsi="宋体" w:cs="宋体"/>
                <w:color w:val="auto"/>
                <w:spacing w:val="-6"/>
                <w:sz w:val="24"/>
                <w:highlight w:val="none"/>
              </w:rPr>
            </w:pPr>
            <w:r>
              <w:rPr>
                <w:rFonts w:hint="eastAsia" w:ascii="宋体" w:hAnsi="宋体" w:cs="宋体"/>
                <w:color w:val="auto"/>
                <w:spacing w:val="-6"/>
                <w:sz w:val="24"/>
                <w:highlight w:val="none"/>
              </w:rPr>
              <w:t>体系证书</w:t>
            </w:r>
          </w:p>
        </w:tc>
        <w:tc>
          <w:tcPr>
            <w:tcW w:w="1132" w:type="dxa"/>
            <w:noWrap/>
            <w:vAlign w:val="center"/>
          </w:tcPr>
          <w:p w14:paraId="0C0628B7">
            <w:pPr>
              <w:adjustRightInd/>
              <w:spacing w:line="288" w:lineRule="auto"/>
              <w:jc w:val="center"/>
              <w:rPr>
                <w:rFonts w:ascii="宋体" w:hAnsi="宋体" w:cs="宋体"/>
                <w:color w:val="auto"/>
                <w:spacing w:val="-6"/>
                <w:sz w:val="24"/>
                <w:highlight w:val="none"/>
              </w:rPr>
            </w:pPr>
            <w:r>
              <w:rPr>
                <w:rFonts w:hint="eastAsia" w:ascii="宋体" w:hAnsi="宋体" w:cs="宋体"/>
                <w:color w:val="auto"/>
                <w:spacing w:val="-6"/>
                <w:sz w:val="24"/>
                <w:highlight w:val="none"/>
              </w:rPr>
              <w:t>3</w:t>
            </w:r>
          </w:p>
        </w:tc>
        <w:tc>
          <w:tcPr>
            <w:tcW w:w="7995" w:type="dxa"/>
            <w:noWrap/>
            <w:vAlign w:val="center"/>
          </w:tcPr>
          <w:p w14:paraId="664AAC14">
            <w:pPr>
              <w:adjustRightInd/>
              <w:spacing w:line="288" w:lineRule="auto"/>
              <w:rPr>
                <w:rFonts w:ascii="宋体" w:hAnsi="宋体" w:cs="宋体"/>
                <w:color w:val="auto"/>
                <w:spacing w:val="-6"/>
                <w:sz w:val="24"/>
                <w:highlight w:val="none"/>
              </w:rPr>
            </w:pPr>
            <w:r>
              <w:rPr>
                <w:rFonts w:hint="eastAsia" w:ascii="宋体" w:hAnsi="宋体" w:cs="宋体"/>
                <w:color w:val="auto"/>
                <w:spacing w:val="-6"/>
                <w:sz w:val="24"/>
                <w:highlight w:val="none"/>
              </w:rPr>
              <w:t>投标人提供所投产品的制造厂商具有：ISO9001质量管理体系认证证书；ISO14001环境管理体系认证证书；ISO45001职业健康安全管理体系认证,每提供1份得1分，不提供不得分。</w:t>
            </w:r>
          </w:p>
          <w:p w14:paraId="5078510F">
            <w:pPr>
              <w:adjustRightInd/>
              <w:spacing w:line="288" w:lineRule="auto"/>
              <w:rPr>
                <w:rFonts w:ascii="宋体" w:hAnsi="宋体" w:cs="宋体"/>
                <w:color w:val="auto"/>
                <w:spacing w:val="-6"/>
                <w:sz w:val="24"/>
                <w:highlight w:val="none"/>
              </w:rPr>
            </w:pPr>
            <w:r>
              <w:rPr>
                <w:rFonts w:hint="eastAsia" w:ascii="宋体" w:hAnsi="宋体" w:cs="宋体"/>
                <w:color w:val="auto"/>
                <w:spacing w:val="-6"/>
                <w:sz w:val="24"/>
                <w:highlight w:val="none"/>
              </w:rPr>
              <w:t>注：提供相关证书扫描件及在中国国家认证认可监督管理委员会查询平台（网址：http://www.cnca.gov.cn/）的相关查询记录，证书必须在有效期内，已失效或撤销或未获得的不得分。</w:t>
            </w:r>
          </w:p>
        </w:tc>
      </w:tr>
      <w:tr w14:paraId="1B24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1" w:type="dxa"/>
            <w:noWrap/>
            <w:vAlign w:val="center"/>
          </w:tcPr>
          <w:p w14:paraId="1FDF71F8">
            <w:pPr>
              <w:adjustRightInd/>
              <w:spacing w:line="288" w:lineRule="auto"/>
              <w:jc w:val="center"/>
              <w:rPr>
                <w:rFonts w:ascii="宋体" w:hAnsi="宋体" w:cs="宋体"/>
                <w:color w:val="auto"/>
                <w:spacing w:val="-6"/>
                <w:sz w:val="24"/>
                <w:highlight w:val="none"/>
              </w:rPr>
            </w:pPr>
            <w:r>
              <w:rPr>
                <w:rFonts w:hint="eastAsia" w:ascii="宋体" w:hAnsi="宋体" w:cs="宋体"/>
                <w:color w:val="auto"/>
                <w:spacing w:val="-6"/>
                <w:sz w:val="24"/>
                <w:highlight w:val="none"/>
              </w:rPr>
              <w:t>品质保证</w:t>
            </w:r>
          </w:p>
        </w:tc>
        <w:tc>
          <w:tcPr>
            <w:tcW w:w="1132" w:type="dxa"/>
            <w:noWrap/>
            <w:vAlign w:val="center"/>
          </w:tcPr>
          <w:p w14:paraId="1A048F2C">
            <w:pPr>
              <w:adjustRightInd/>
              <w:spacing w:line="288" w:lineRule="auto"/>
              <w:jc w:val="center"/>
              <w:rPr>
                <w:rFonts w:ascii="宋体" w:hAnsi="宋体" w:cs="宋体"/>
                <w:color w:val="auto"/>
                <w:spacing w:val="-6"/>
                <w:sz w:val="24"/>
                <w:highlight w:val="none"/>
              </w:rPr>
            </w:pPr>
            <w:r>
              <w:rPr>
                <w:rFonts w:hint="eastAsia" w:ascii="宋体" w:hAnsi="宋体" w:cs="宋体"/>
                <w:color w:val="auto"/>
                <w:spacing w:val="-6"/>
                <w:sz w:val="24"/>
                <w:highlight w:val="none"/>
              </w:rPr>
              <w:t>6</w:t>
            </w:r>
          </w:p>
        </w:tc>
        <w:tc>
          <w:tcPr>
            <w:tcW w:w="7995" w:type="dxa"/>
            <w:noWrap/>
            <w:vAlign w:val="center"/>
          </w:tcPr>
          <w:p w14:paraId="388888C3">
            <w:pPr>
              <w:adjustRightInd/>
              <w:spacing w:line="288" w:lineRule="auto"/>
              <w:rPr>
                <w:rFonts w:ascii="宋体" w:hAnsi="宋体" w:cs="宋体"/>
                <w:color w:val="auto"/>
                <w:spacing w:val="-6"/>
                <w:sz w:val="24"/>
                <w:highlight w:val="none"/>
              </w:rPr>
            </w:pPr>
            <w:r>
              <w:rPr>
                <w:rFonts w:hint="eastAsia" w:ascii="宋体" w:hAnsi="宋体" w:cs="宋体"/>
                <w:color w:val="auto"/>
                <w:spacing w:val="-6"/>
                <w:sz w:val="24"/>
                <w:highlight w:val="none"/>
              </w:rPr>
              <w:t>1、投标人或所投产品制造商具有CQC产品认证证书（认证范围：木质儿童积木类玩具系列） 得3分，不提供不得分。</w:t>
            </w:r>
          </w:p>
          <w:p w14:paraId="4A98E6E8">
            <w:pPr>
              <w:adjustRightInd/>
              <w:spacing w:line="288" w:lineRule="auto"/>
              <w:rPr>
                <w:rFonts w:ascii="宋体" w:hAnsi="宋体" w:cs="宋体"/>
                <w:color w:val="auto"/>
                <w:spacing w:val="-6"/>
                <w:sz w:val="24"/>
                <w:highlight w:val="none"/>
              </w:rPr>
            </w:pPr>
            <w:r>
              <w:rPr>
                <w:rFonts w:hint="eastAsia" w:ascii="宋体" w:hAnsi="宋体" w:cs="宋体"/>
                <w:color w:val="auto"/>
                <w:spacing w:val="-6"/>
                <w:sz w:val="24"/>
                <w:highlight w:val="none"/>
              </w:rPr>
              <w:t>2、投标人或所投产品的制造厂商具有企业诚信管理体系认证证书，认证范围：包括但不限于教学用具（含游乐设备）的设计开发及销售相关的诚信管理活动的认证证书，得 3分。</w:t>
            </w:r>
          </w:p>
          <w:p w14:paraId="2D861F83">
            <w:pPr>
              <w:adjustRightInd/>
              <w:spacing w:line="288" w:lineRule="auto"/>
              <w:rPr>
                <w:rFonts w:ascii="宋体" w:hAnsi="宋体" w:cs="宋体"/>
                <w:color w:val="auto"/>
                <w:spacing w:val="-6"/>
                <w:sz w:val="24"/>
                <w:highlight w:val="none"/>
              </w:rPr>
            </w:pPr>
            <w:r>
              <w:rPr>
                <w:rFonts w:hint="eastAsia" w:ascii="宋体" w:hAnsi="宋体" w:cs="宋体"/>
                <w:color w:val="auto"/>
                <w:spacing w:val="-6"/>
                <w:sz w:val="24"/>
                <w:highlight w:val="none"/>
              </w:rPr>
              <w:t>注：提供相关证书扫描件及在中国国家认证认可监督管理委员会查询平台（网址：http://www.cnca.gov.cn/）的相关查询记录，证书必须在有效期内，已失效或撤销或未获得的不得分。</w:t>
            </w:r>
          </w:p>
        </w:tc>
      </w:tr>
    </w:tbl>
    <w:p w14:paraId="24E56C39">
      <w:pPr>
        <w:snapToGrid w:val="0"/>
        <w:spacing w:beforeLines="30" w:line="400" w:lineRule="exact"/>
        <w:jc w:val="left"/>
        <w:outlineLvl w:val="1"/>
        <w:rPr>
          <w:rFonts w:ascii="宋体" w:hAnsi="宋体"/>
          <w:b/>
          <w:color w:val="auto"/>
          <w:sz w:val="24"/>
          <w:highlight w:val="none"/>
        </w:rPr>
      </w:pPr>
    </w:p>
    <w:p w14:paraId="547E59F3">
      <w:pPr>
        <w:snapToGrid w:val="0"/>
        <w:spacing w:beforeLines="30" w:line="400" w:lineRule="exact"/>
        <w:jc w:val="left"/>
        <w:outlineLvl w:val="1"/>
        <w:rPr>
          <w:rFonts w:ascii="宋体" w:hAnsi="宋体" w:cs="宋体"/>
          <w:b/>
          <w:color w:val="auto"/>
          <w:sz w:val="24"/>
          <w:highlight w:val="none"/>
        </w:rPr>
      </w:pPr>
      <w:r>
        <w:rPr>
          <w:rFonts w:hint="eastAsia" w:ascii="宋体" w:hAnsi="宋体"/>
          <w:b/>
          <w:color w:val="auto"/>
          <w:sz w:val="24"/>
          <w:highlight w:val="none"/>
        </w:rPr>
        <w:t>（</w:t>
      </w:r>
      <w:r>
        <w:rPr>
          <w:rFonts w:ascii="宋体" w:hAnsi="宋体"/>
          <w:b/>
          <w:color w:val="auto"/>
          <w:sz w:val="24"/>
          <w:highlight w:val="none"/>
        </w:rPr>
        <w:t>三</w:t>
      </w:r>
      <w:r>
        <w:rPr>
          <w:rFonts w:hint="eastAsia" w:ascii="宋体" w:hAnsi="宋体"/>
          <w:b/>
          <w:color w:val="auto"/>
          <w:sz w:val="24"/>
          <w:highlight w:val="none"/>
        </w:rPr>
        <w:t>）技术分</w:t>
      </w:r>
      <w:r>
        <w:rPr>
          <w:rFonts w:hint="eastAsia" w:ascii="宋体" w:hAnsi="宋体" w:cs="宋体"/>
          <w:b/>
          <w:color w:val="auto"/>
          <w:sz w:val="24"/>
          <w:highlight w:val="none"/>
        </w:rPr>
        <w:t>（58分）</w:t>
      </w:r>
    </w:p>
    <w:tbl>
      <w:tblPr>
        <w:tblStyle w:val="64"/>
        <w:tblW w:w="10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32"/>
        <w:gridCol w:w="7995"/>
      </w:tblGrid>
      <w:tr w14:paraId="1DEF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1" w:type="dxa"/>
            <w:noWrap/>
            <w:vAlign w:val="center"/>
          </w:tcPr>
          <w:p w14:paraId="3516EBF5">
            <w:pPr>
              <w:adjustRightInd/>
              <w:spacing w:line="288" w:lineRule="auto"/>
              <w:jc w:val="center"/>
              <w:rPr>
                <w:rFonts w:ascii="宋体" w:hAnsi="宋体" w:cs="宋体"/>
                <w:color w:val="auto"/>
                <w:spacing w:val="-6"/>
                <w:sz w:val="24"/>
                <w:highlight w:val="none"/>
              </w:rPr>
            </w:pPr>
            <w:r>
              <w:rPr>
                <w:rFonts w:hint="eastAsia" w:ascii="宋体" w:hAnsi="宋体" w:cs="宋体"/>
                <w:color w:val="auto"/>
                <w:sz w:val="24"/>
                <w:highlight w:val="none"/>
              </w:rPr>
              <w:t>检验报告</w:t>
            </w:r>
          </w:p>
        </w:tc>
        <w:tc>
          <w:tcPr>
            <w:tcW w:w="1132" w:type="dxa"/>
            <w:noWrap/>
            <w:vAlign w:val="center"/>
          </w:tcPr>
          <w:p w14:paraId="02F40531">
            <w:pPr>
              <w:adjustRightInd/>
              <w:spacing w:line="288" w:lineRule="auto"/>
              <w:jc w:val="center"/>
              <w:rPr>
                <w:rFonts w:ascii="宋体" w:hAnsi="宋体" w:cs="宋体"/>
                <w:color w:val="auto"/>
                <w:spacing w:val="-6"/>
                <w:sz w:val="24"/>
                <w:highlight w:val="none"/>
              </w:rPr>
            </w:pPr>
            <w:r>
              <w:rPr>
                <w:rFonts w:hint="eastAsia" w:ascii="宋体" w:hAnsi="宋体" w:cs="宋体"/>
                <w:color w:val="auto"/>
                <w:spacing w:val="-6"/>
                <w:sz w:val="24"/>
                <w:highlight w:val="none"/>
              </w:rPr>
              <w:t>12</w:t>
            </w:r>
          </w:p>
        </w:tc>
        <w:tc>
          <w:tcPr>
            <w:tcW w:w="7995" w:type="dxa"/>
            <w:noWrap/>
            <w:vAlign w:val="center"/>
          </w:tcPr>
          <w:p w14:paraId="11A1F999">
            <w:pPr>
              <w:adjustRightInd/>
              <w:spacing w:line="288" w:lineRule="auto"/>
              <w:rPr>
                <w:rFonts w:ascii="宋体" w:hAnsi="宋体" w:cs="宋体"/>
                <w:color w:val="auto"/>
                <w:sz w:val="24"/>
                <w:highlight w:val="none"/>
              </w:rPr>
            </w:pPr>
            <w:r>
              <w:rPr>
                <w:rFonts w:hint="eastAsia" w:ascii="宋体" w:hAnsi="宋体" w:cs="宋体"/>
                <w:color w:val="auto"/>
                <w:sz w:val="24"/>
                <w:highlight w:val="none"/>
              </w:rPr>
              <w:t>提供投标人或所投产品的制造厂商，2021年1月1日至今具备CMA资质的第三方检测机构出具的与本项目参数技术要求相对应的检测报告复印件：</w:t>
            </w:r>
          </w:p>
          <w:p w14:paraId="2DC59F42">
            <w:pPr>
              <w:adjustRightInd/>
              <w:spacing w:line="288" w:lineRule="auto"/>
              <w:rPr>
                <w:rFonts w:ascii="宋体" w:hAnsi="宋体" w:cs="宋体"/>
                <w:color w:val="auto"/>
                <w:sz w:val="24"/>
                <w:highlight w:val="none"/>
              </w:rPr>
            </w:pPr>
          </w:p>
          <w:p w14:paraId="7B38E857">
            <w:pPr>
              <w:adjustRightInd/>
              <w:spacing w:line="288" w:lineRule="auto"/>
              <w:rPr>
                <w:rFonts w:ascii="宋体" w:hAnsi="宋体" w:cs="宋体"/>
                <w:color w:val="auto"/>
                <w:sz w:val="24"/>
                <w:highlight w:val="none"/>
              </w:rPr>
            </w:pPr>
            <w:r>
              <w:rPr>
                <w:rFonts w:hint="eastAsia" w:ascii="宋体" w:hAnsi="宋体" w:cs="宋体"/>
                <w:color w:val="auto"/>
                <w:sz w:val="24"/>
                <w:highlight w:val="none"/>
              </w:rPr>
              <w:t>提供平台的抗拉强度、断后伸长率、屈服强度、洛氏硬度符合标准要求及中性盐雾试验不低于9级。符合GB/T228.1-2021、GB/T230.1-2018、GB/T10125-2021国家标准。；得3分。</w:t>
            </w:r>
          </w:p>
          <w:p w14:paraId="634E3963">
            <w:pPr>
              <w:adjustRightInd/>
              <w:spacing w:line="288" w:lineRule="auto"/>
              <w:rPr>
                <w:rFonts w:ascii="宋体" w:hAnsi="宋体" w:cs="宋体"/>
                <w:color w:val="auto"/>
                <w:sz w:val="24"/>
                <w:highlight w:val="none"/>
              </w:rPr>
            </w:pPr>
          </w:p>
          <w:p w14:paraId="296ABA18">
            <w:pPr>
              <w:adjustRightInd/>
              <w:spacing w:line="288" w:lineRule="auto"/>
              <w:rPr>
                <w:rFonts w:ascii="宋体" w:hAnsi="宋体" w:cs="宋体"/>
                <w:color w:val="auto"/>
                <w:sz w:val="24"/>
                <w:highlight w:val="none"/>
              </w:rPr>
            </w:pPr>
            <w:r>
              <w:rPr>
                <w:rFonts w:hint="eastAsia" w:ascii="宋体" w:hAnsi="宋体" w:cs="宋体"/>
                <w:color w:val="auto"/>
                <w:sz w:val="24"/>
                <w:highlight w:val="none"/>
              </w:rPr>
              <w:t>玩具盒：重金属，邻苯二甲酸酯，多环芳烃，多溴联苯，多溴二苯醚符合GB28481-2012《塑料家具中有害物质限量》标准要求。塑料件外观，其他外观，塑料件冷热循环，硬度符合GB/T32487-2016《塑料家具通用技术条件》标准要求；得3分。</w:t>
            </w:r>
          </w:p>
          <w:p w14:paraId="63CBA705">
            <w:pPr>
              <w:adjustRightInd/>
              <w:spacing w:line="288" w:lineRule="auto"/>
              <w:rPr>
                <w:rFonts w:ascii="宋体" w:hAnsi="宋体" w:cs="宋体"/>
                <w:color w:val="auto"/>
                <w:sz w:val="24"/>
                <w:highlight w:val="none"/>
              </w:rPr>
            </w:pPr>
          </w:p>
          <w:p w14:paraId="26A819D7">
            <w:pPr>
              <w:adjustRightInd/>
              <w:spacing w:line="288" w:lineRule="auto"/>
              <w:rPr>
                <w:rFonts w:ascii="宋体" w:hAnsi="宋体" w:cs="宋体"/>
                <w:color w:val="auto"/>
                <w:sz w:val="24"/>
                <w:highlight w:val="none"/>
              </w:rPr>
            </w:pPr>
            <w:r>
              <w:rPr>
                <w:rFonts w:hint="eastAsia" w:ascii="宋体" w:hAnsi="宋体" w:cs="宋体"/>
                <w:color w:val="auto"/>
                <w:sz w:val="24"/>
                <w:highlight w:val="none"/>
              </w:rPr>
              <w:t>镀锌钢管：提供镀锌钢管的检测依据为GB/T228.1-2021、GB/T10125-2021、GB/T6461-2002的检测报告，盐雾试验≥9级，抗拉强度≥400N/mm2，下屈服强度≥225N/mm2，断后伸长率≥20%判定合格符合标准要求；得3分。</w:t>
            </w:r>
          </w:p>
          <w:p w14:paraId="36825695">
            <w:pPr>
              <w:adjustRightInd/>
              <w:spacing w:line="288" w:lineRule="auto"/>
              <w:rPr>
                <w:rFonts w:ascii="宋体" w:hAnsi="宋体" w:cs="宋体"/>
                <w:color w:val="auto"/>
                <w:sz w:val="24"/>
                <w:highlight w:val="none"/>
              </w:rPr>
            </w:pPr>
          </w:p>
          <w:p w14:paraId="2380CB08">
            <w:pPr>
              <w:adjustRightInd/>
              <w:spacing w:line="288" w:lineRule="auto"/>
              <w:rPr>
                <w:rFonts w:ascii="宋体" w:hAnsi="宋体" w:cs="宋体"/>
                <w:color w:val="auto"/>
                <w:sz w:val="24"/>
                <w:highlight w:val="none"/>
              </w:rPr>
            </w:pPr>
            <w:r>
              <w:rPr>
                <w:rFonts w:hint="eastAsia" w:ascii="宋体" w:hAnsi="宋体" w:cs="宋体"/>
                <w:color w:val="auto"/>
                <w:sz w:val="24"/>
                <w:highlight w:val="none"/>
              </w:rPr>
              <w:t>海绵：25%压陷硬度、75%压缩永久变形、回弹率、拉伸强度、伸长率、撕裂强度、干热老化后拉伸强度、干热老化后拉伸强度变化率、湿热老化后拉伸强度、湿热老化后拉伸强度变化率检测合格，符合GB/T 10802-2006标准；得3分。</w:t>
            </w:r>
          </w:p>
          <w:p w14:paraId="23D58FE6">
            <w:pPr>
              <w:adjustRightInd/>
              <w:spacing w:line="288" w:lineRule="auto"/>
              <w:rPr>
                <w:rFonts w:ascii="宋体" w:hAnsi="宋体" w:cs="宋体"/>
                <w:color w:val="auto"/>
                <w:spacing w:val="-6"/>
                <w:sz w:val="24"/>
                <w:highlight w:val="none"/>
              </w:rPr>
            </w:pPr>
            <w:r>
              <w:rPr>
                <w:rFonts w:hint="eastAsia" w:ascii="宋体" w:hAnsi="宋体" w:cs="宋体"/>
                <w:color w:val="auto"/>
                <w:sz w:val="24"/>
                <w:highlight w:val="none"/>
              </w:rPr>
              <w:t>注：提供相关证书扫描件及在中国国家认证认可监督管理委员会查询平台（网址：http://www.cnca.gov.cn/）的相关查询记录查询截图，不提供不得分。</w:t>
            </w:r>
          </w:p>
        </w:tc>
      </w:tr>
      <w:tr w14:paraId="705A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1" w:type="dxa"/>
            <w:noWrap/>
            <w:vAlign w:val="center"/>
          </w:tcPr>
          <w:p w14:paraId="202A33CB">
            <w:pPr>
              <w:adjustRightInd/>
              <w:spacing w:line="288" w:lineRule="auto"/>
              <w:jc w:val="center"/>
              <w:rPr>
                <w:rFonts w:ascii="宋体" w:hAnsi="宋体" w:cs="宋体"/>
                <w:color w:val="auto"/>
                <w:sz w:val="24"/>
                <w:highlight w:val="none"/>
              </w:rPr>
            </w:pPr>
            <w:r>
              <w:rPr>
                <w:rFonts w:hint="eastAsia" w:ascii="宋体" w:hAnsi="宋体" w:cs="宋体"/>
                <w:color w:val="auto"/>
                <w:sz w:val="24"/>
                <w:highlight w:val="none"/>
              </w:rPr>
              <w:t>产品配置及技术参数</w:t>
            </w:r>
          </w:p>
        </w:tc>
        <w:tc>
          <w:tcPr>
            <w:tcW w:w="1132" w:type="dxa"/>
            <w:noWrap/>
            <w:vAlign w:val="center"/>
          </w:tcPr>
          <w:p w14:paraId="22381169">
            <w:pPr>
              <w:adjustRightInd/>
              <w:spacing w:line="288" w:lineRule="auto"/>
              <w:jc w:val="center"/>
              <w:rPr>
                <w:rFonts w:ascii="宋体" w:hAnsi="宋体" w:cs="宋体"/>
                <w:color w:val="auto"/>
                <w:spacing w:val="-6"/>
                <w:sz w:val="24"/>
                <w:highlight w:val="none"/>
              </w:rPr>
            </w:pPr>
            <w:r>
              <w:rPr>
                <w:rFonts w:hint="eastAsia" w:ascii="宋体" w:hAnsi="宋体" w:cs="宋体"/>
                <w:color w:val="auto"/>
                <w:spacing w:val="-6"/>
                <w:sz w:val="24"/>
                <w:highlight w:val="none"/>
              </w:rPr>
              <w:t>10</w:t>
            </w:r>
          </w:p>
        </w:tc>
        <w:tc>
          <w:tcPr>
            <w:tcW w:w="7995" w:type="dxa"/>
            <w:noWrap/>
            <w:vAlign w:val="center"/>
          </w:tcPr>
          <w:p w14:paraId="72CC7E7E">
            <w:pPr>
              <w:adjustRightInd/>
              <w:spacing w:line="288" w:lineRule="auto"/>
              <w:rPr>
                <w:rFonts w:ascii="宋体" w:hAnsi="宋体" w:cs="宋体"/>
                <w:color w:val="auto"/>
                <w:sz w:val="24"/>
                <w:highlight w:val="none"/>
              </w:rPr>
            </w:pPr>
            <w:r>
              <w:rPr>
                <w:rFonts w:hint="eastAsia" w:ascii="宋体" w:hAnsi="宋体" w:cs="宋体"/>
                <w:color w:val="auto"/>
                <w:sz w:val="24"/>
                <w:highlight w:val="none"/>
              </w:rPr>
              <w:t>采购清单中标注☆的重要参数，共5种玩具，每种玩具标注☆的重要参数满足要求的，得2分，此项最高得10分。</w:t>
            </w:r>
          </w:p>
          <w:p w14:paraId="0BE71B06">
            <w:pPr>
              <w:adjustRightInd/>
              <w:spacing w:line="288" w:lineRule="auto"/>
              <w:rPr>
                <w:rFonts w:ascii="宋体" w:hAnsi="宋体" w:cs="宋体"/>
                <w:color w:val="auto"/>
                <w:kern w:val="0"/>
                <w:sz w:val="24"/>
                <w:highlight w:val="none"/>
              </w:rPr>
            </w:pPr>
            <w:r>
              <w:rPr>
                <w:rFonts w:hint="eastAsia" w:ascii="宋体" w:hAnsi="宋体" w:cs="宋体"/>
                <w:color w:val="auto"/>
                <w:sz w:val="24"/>
                <w:highlight w:val="none"/>
              </w:rPr>
              <w:t>须提供相关证明材料，不提供不得分。</w:t>
            </w:r>
          </w:p>
        </w:tc>
      </w:tr>
      <w:tr w14:paraId="7BE9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1671" w:type="dxa"/>
            <w:noWrap/>
            <w:vAlign w:val="center"/>
          </w:tcPr>
          <w:p w14:paraId="4D12F65E">
            <w:pPr>
              <w:widowControl/>
              <w:adjustRightInd/>
              <w:jc w:val="center"/>
              <w:rPr>
                <w:rFonts w:ascii="宋体" w:hAnsi="宋体" w:cs="宋体"/>
                <w:color w:val="auto"/>
                <w:kern w:val="0"/>
                <w:sz w:val="24"/>
                <w:highlight w:val="none"/>
              </w:rPr>
            </w:pPr>
            <w:r>
              <w:rPr>
                <w:rFonts w:hint="eastAsia" w:ascii="宋体" w:hAnsi="宋体" w:cs="宋体"/>
                <w:color w:val="auto"/>
                <w:sz w:val="24"/>
                <w:highlight w:val="none"/>
                <w:lang w:val="zh-CN"/>
              </w:rPr>
              <w:t>项目实施方案</w:t>
            </w:r>
          </w:p>
        </w:tc>
        <w:tc>
          <w:tcPr>
            <w:tcW w:w="1132" w:type="dxa"/>
            <w:noWrap/>
            <w:vAlign w:val="center"/>
          </w:tcPr>
          <w:p w14:paraId="7BE16F4A">
            <w:pPr>
              <w:widowControl/>
              <w:adjustRightInd/>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7995" w:type="dxa"/>
            <w:noWrap/>
            <w:vAlign w:val="center"/>
          </w:tcPr>
          <w:p w14:paraId="63EDA6BC">
            <w:pPr>
              <w:adjustRightInd/>
              <w:spacing w:line="288" w:lineRule="auto"/>
              <w:rPr>
                <w:rFonts w:ascii="宋体" w:hAnsi="宋体" w:cs="宋体"/>
                <w:color w:val="auto"/>
                <w:sz w:val="24"/>
                <w:highlight w:val="none"/>
              </w:rPr>
            </w:pPr>
            <w:r>
              <w:rPr>
                <w:rFonts w:hint="eastAsia" w:ascii="宋体" w:hAnsi="宋体" w:cs="宋体"/>
                <w:color w:val="auto"/>
                <w:sz w:val="24"/>
                <w:highlight w:val="none"/>
              </w:rPr>
              <w:t>针对项目的实施方案（包括供货、安装、验收等）详细、合理、先进、可行的得5分；实施方案基本详细、基本合理、基本先进、基本可行的得3分；实施方案不够详细、不够合理、可行性较差的得1分；未提供不得分。</w:t>
            </w:r>
          </w:p>
        </w:tc>
      </w:tr>
      <w:tr w14:paraId="7EAE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1671" w:type="dxa"/>
            <w:noWrap/>
            <w:vAlign w:val="center"/>
          </w:tcPr>
          <w:p w14:paraId="4B17CEAF">
            <w:pPr>
              <w:adjustRightInd/>
              <w:jc w:val="center"/>
              <w:rPr>
                <w:rFonts w:ascii="宋体" w:hAnsi="宋体" w:cs="宋体"/>
                <w:color w:val="auto"/>
                <w:sz w:val="24"/>
                <w:highlight w:val="none"/>
              </w:rPr>
            </w:pPr>
            <w:r>
              <w:rPr>
                <w:rFonts w:hint="eastAsia" w:ascii="宋体" w:hAnsi="宋体" w:cs="宋体"/>
                <w:color w:val="auto"/>
                <w:sz w:val="24"/>
                <w:highlight w:val="none"/>
              </w:rPr>
              <w:t>设计方案</w:t>
            </w:r>
          </w:p>
        </w:tc>
        <w:tc>
          <w:tcPr>
            <w:tcW w:w="1132" w:type="dxa"/>
            <w:noWrap/>
            <w:vAlign w:val="center"/>
          </w:tcPr>
          <w:p w14:paraId="73B6DF9F">
            <w:pPr>
              <w:adjustRightInd/>
              <w:ind w:firstLine="480" w:firstLineChars="200"/>
              <w:rPr>
                <w:rFonts w:ascii="宋体" w:hAnsi="宋体" w:cs="宋体"/>
                <w:color w:val="auto"/>
                <w:sz w:val="24"/>
                <w:highlight w:val="none"/>
              </w:rPr>
            </w:pPr>
            <w:r>
              <w:rPr>
                <w:rFonts w:hint="eastAsia" w:ascii="宋体" w:hAnsi="宋体" w:cs="宋体"/>
                <w:color w:val="auto"/>
                <w:sz w:val="24"/>
                <w:highlight w:val="none"/>
              </w:rPr>
              <w:t>10</w:t>
            </w:r>
          </w:p>
        </w:tc>
        <w:tc>
          <w:tcPr>
            <w:tcW w:w="7995" w:type="dxa"/>
            <w:noWrap/>
            <w:vAlign w:val="center"/>
          </w:tcPr>
          <w:p w14:paraId="1C4DFA75">
            <w:pPr>
              <w:adjustRightInd/>
              <w:spacing w:line="288" w:lineRule="auto"/>
              <w:rPr>
                <w:rFonts w:ascii="宋体" w:hAnsi="宋体" w:cs="宋体"/>
                <w:color w:val="auto"/>
                <w:spacing w:val="-6"/>
                <w:kern w:val="0"/>
                <w:sz w:val="24"/>
                <w:highlight w:val="none"/>
              </w:rPr>
            </w:pPr>
            <w:r>
              <w:rPr>
                <w:rFonts w:hint="eastAsia" w:ascii="宋体" w:hAnsi="宋体" w:cs="宋体"/>
                <w:color w:val="auto"/>
                <w:spacing w:val="-6"/>
                <w:kern w:val="0"/>
                <w:sz w:val="24"/>
                <w:highlight w:val="none"/>
              </w:rPr>
              <w:t>室外体能游戏攀爬组合（序号47）提供的效果图及设计方案图</w:t>
            </w:r>
          </w:p>
          <w:p w14:paraId="002EE8B6">
            <w:pPr>
              <w:adjustRightInd/>
              <w:spacing w:line="288" w:lineRule="auto"/>
              <w:rPr>
                <w:rFonts w:ascii="宋体" w:hAnsi="宋体" w:cs="宋体"/>
                <w:color w:val="auto"/>
                <w:sz w:val="24"/>
                <w:highlight w:val="none"/>
              </w:rPr>
            </w:pPr>
            <w:r>
              <w:rPr>
                <w:rFonts w:hint="eastAsia" w:ascii="宋体" w:hAnsi="宋体" w:cs="宋体"/>
                <w:color w:val="auto"/>
                <w:spacing w:val="-6"/>
                <w:kern w:val="0"/>
                <w:sz w:val="24"/>
                <w:highlight w:val="none"/>
              </w:rPr>
              <w:t>1、设计的产品效果图及方案图纸详细明确，设计方案合理、完整、科学的得10分，欠合理、欠完整、欠科学的得6分，不合理、不完整、不科学的得2分；不提供不得分。</w:t>
            </w:r>
          </w:p>
        </w:tc>
      </w:tr>
      <w:tr w14:paraId="6E70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1671" w:type="dxa"/>
            <w:noWrap/>
            <w:vAlign w:val="center"/>
          </w:tcPr>
          <w:p w14:paraId="6E96F63A">
            <w:pPr>
              <w:adjustRightInd/>
              <w:jc w:val="center"/>
              <w:rPr>
                <w:rFonts w:ascii="宋体" w:hAnsi="宋体" w:cs="宋体"/>
                <w:color w:val="auto"/>
                <w:kern w:val="0"/>
                <w:sz w:val="24"/>
                <w:highlight w:val="none"/>
              </w:rPr>
            </w:pPr>
            <w:r>
              <w:rPr>
                <w:rFonts w:hint="eastAsia" w:ascii="宋体" w:hAnsi="宋体" w:cs="宋体"/>
                <w:color w:val="auto"/>
                <w:sz w:val="24"/>
                <w:highlight w:val="none"/>
                <w:lang w:val="zh-CN"/>
              </w:rPr>
              <w:t>售后服务</w:t>
            </w:r>
          </w:p>
        </w:tc>
        <w:tc>
          <w:tcPr>
            <w:tcW w:w="1132" w:type="dxa"/>
            <w:noWrap/>
            <w:vAlign w:val="center"/>
          </w:tcPr>
          <w:p w14:paraId="71B7E33D">
            <w:pPr>
              <w:widowControl/>
              <w:adjustRightInd/>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7995" w:type="dxa"/>
            <w:noWrap/>
            <w:vAlign w:val="center"/>
          </w:tcPr>
          <w:p w14:paraId="37946F81">
            <w:pPr>
              <w:adjustRightInd/>
              <w:spacing w:line="288" w:lineRule="auto"/>
              <w:rPr>
                <w:rFonts w:ascii="宋体" w:hAnsi="宋体" w:cs="宋体"/>
                <w:color w:val="auto"/>
                <w:kern w:val="0"/>
                <w:sz w:val="24"/>
                <w:highlight w:val="none"/>
              </w:rPr>
            </w:pPr>
            <w:r>
              <w:rPr>
                <w:rFonts w:hint="eastAsia" w:ascii="宋体" w:hAnsi="宋体" w:cs="宋体"/>
                <w:color w:val="auto"/>
                <w:sz w:val="24"/>
                <w:highlight w:val="none"/>
                <w:lang w:val="zh-CN"/>
              </w:rPr>
              <w:t>提供详细完整的“三包”措施及售后服务措施和方案（包括服务措施、产品质量保证、回访、技术培训等）。根据供应商提供的方案能否满足采购需求进行打分，服务措施完整，优于招标要求得3分，服务措施较完整，满足招标要求得1分，未表述不得分。</w:t>
            </w:r>
          </w:p>
        </w:tc>
      </w:tr>
      <w:tr w14:paraId="18EF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1" w:type="dxa"/>
            <w:noWrap/>
            <w:vAlign w:val="center"/>
          </w:tcPr>
          <w:p w14:paraId="3BB3BD3F">
            <w:pPr>
              <w:adjustRightInd/>
              <w:jc w:val="center"/>
              <w:rPr>
                <w:rFonts w:ascii="宋体" w:hAnsi="宋体" w:cs="宋体"/>
                <w:color w:val="auto"/>
                <w:kern w:val="0"/>
                <w:sz w:val="24"/>
                <w:highlight w:val="none"/>
              </w:rPr>
            </w:pPr>
            <w:r>
              <w:rPr>
                <w:rFonts w:hint="eastAsia" w:ascii="宋体" w:hAnsi="宋体" w:cs="宋体"/>
                <w:color w:val="auto"/>
                <w:sz w:val="24"/>
                <w:highlight w:val="none"/>
                <w:lang w:val="zh-CN"/>
              </w:rPr>
              <w:t>样品</w:t>
            </w:r>
          </w:p>
        </w:tc>
        <w:tc>
          <w:tcPr>
            <w:tcW w:w="1132" w:type="dxa"/>
            <w:noWrap/>
            <w:vAlign w:val="center"/>
          </w:tcPr>
          <w:p w14:paraId="5E07F8FF">
            <w:pPr>
              <w:widowControl/>
              <w:adjustRightInd/>
              <w:jc w:val="center"/>
              <w:rPr>
                <w:rFonts w:ascii="宋体" w:hAnsi="宋体" w:cs="宋体"/>
                <w:color w:val="auto"/>
                <w:kern w:val="0"/>
                <w:sz w:val="24"/>
                <w:highlight w:val="none"/>
              </w:rPr>
            </w:pPr>
            <w:r>
              <w:rPr>
                <w:rFonts w:hint="eastAsia" w:ascii="宋体" w:hAnsi="宋体" w:cs="宋体"/>
                <w:color w:val="auto"/>
                <w:kern w:val="0"/>
                <w:sz w:val="24"/>
                <w:highlight w:val="none"/>
              </w:rPr>
              <w:t>18</w:t>
            </w:r>
          </w:p>
        </w:tc>
        <w:tc>
          <w:tcPr>
            <w:tcW w:w="7995" w:type="dxa"/>
            <w:noWrap/>
            <w:vAlign w:val="center"/>
          </w:tcPr>
          <w:p w14:paraId="216420CA">
            <w:pPr>
              <w:adjustRightInd/>
              <w:spacing w:line="288" w:lineRule="auto"/>
              <w:rPr>
                <w:rFonts w:hint="eastAsia" w:ascii="宋体" w:hAnsi="宋体" w:cs="宋体"/>
                <w:b/>
                <w:bCs/>
                <w:color w:val="auto"/>
                <w:sz w:val="24"/>
                <w:highlight w:val="none"/>
              </w:rPr>
            </w:pPr>
            <w:r>
              <w:rPr>
                <w:rFonts w:hint="eastAsia" w:ascii="宋体" w:hAnsi="宋体" w:cs="宋体"/>
                <w:b/>
                <w:bCs/>
                <w:color w:val="auto"/>
                <w:sz w:val="24"/>
                <w:highlight w:val="none"/>
              </w:rPr>
              <w:t>提供满足招标文件要求的样品：</w:t>
            </w:r>
          </w:p>
          <w:p w14:paraId="270F0FE8">
            <w:pPr>
              <w:adjustRightInd/>
              <w:spacing w:line="288"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序号1：建构（小班）</w:t>
            </w:r>
          </w:p>
          <w:p w14:paraId="34ED5F9B">
            <w:pPr>
              <w:adjustRightInd/>
              <w:spacing w:line="288" w:lineRule="auto"/>
              <w:rPr>
                <w:rFonts w:hint="eastAsia" w:ascii="宋体" w:hAnsi="宋体" w:cs="宋体"/>
                <w:b/>
                <w:bCs/>
                <w:color w:val="auto"/>
                <w:sz w:val="24"/>
                <w:highlight w:val="none"/>
                <w:lang w:eastAsia="zh-CN"/>
              </w:rPr>
            </w:pPr>
            <w:r>
              <w:rPr>
                <w:rFonts w:hint="eastAsia" w:ascii="宋体" w:hAnsi="宋体" w:cs="宋体"/>
                <w:b/>
                <w:bCs/>
                <w:color w:val="auto"/>
                <w:sz w:val="24"/>
                <w:highlight w:val="none"/>
                <w:lang w:val="en-US" w:eastAsia="zh-CN"/>
              </w:rPr>
              <w:t>原木色新西兰无结松木小三角形积木1块尺寸70*70*35mm（公差±3mm）</w:t>
            </w:r>
            <w:r>
              <w:rPr>
                <w:rFonts w:hint="eastAsia" w:ascii="宋体" w:hAnsi="宋体" w:cs="宋体"/>
                <w:b/>
                <w:bCs/>
                <w:color w:val="auto"/>
                <w:sz w:val="24"/>
                <w:highlight w:val="none"/>
                <w:lang w:eastAsia="zh-CN"/>
              </w:rPr>
              <w:t>；</w:t>
            </w:r>
          </w:p>
          <w:p w14:paraId="5A3A9E49">
            <w:pPr>
              <w:adjustRightInd/>
              <w:spacing w:line="288" w:lineRule="auto"/>
              <w:rPr>
                <w:rFonts w:hint="eastAsia" w:ascii="宋体" w:hAnsi="宋体" w:eastAsia="宋体" w:cs="宋体"/>
                <w:color w:val="auto"/>
                <w:sz w:val="24"/>
                <w:highlight w:val="none"/>
                <w:lang w:eastAsia="zh-CN"/>
              </w:rPr>
            </w:pPr>
            <w:r>
              <w:rPr>
                <w:rFonts w:hint="eastAsia" w:ascii="宋体" w:hAnsi="宋体" w:cs="宋体"/>
                <w:b/>
                <w:bCs/>
                <w:color w:val="auto"/>
                <w:sz w:val="24"/>
                <w:highlight w:val="none"/>
              </w:rPr>
              <w:t>序号44</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包罗万象游戏运动搭建：墨绿色砖1块</w:t>
            </w:r>
            <w:r>
              <w:rPr>
                <w:rFonts w:hint="eastAsia" w:ascii="宋体" w:hAnsi="宋体" w:cs="宋体"/>
                <w:color w:val="auto"/>
                <w:sz w:val="24"/>
                <w:highlight w:val="none"/>
                <w:lang w:eastAsia="zh-CN"/>
              </w:rPr>
              <w:t>；</w:t>
            </w:r>
          </w:p>
          <w:p w14:paraId="7E362EB6">
            <w:pPr>
              <w:adjustRightInd/>
              <w:spacing w:line="288" w:lineRule="auto"/>
              <w:rPr>
                <w:rFonts w:hint="eastAsia" w:ascii="宋体" w:hAnsi="宋体" w:eastAsia="宋体" w:cs="宋体"/>
                <w:b/>
                <w:bCs/>
                <w:color w:val="auto"/>
                <w:sz w:val="24"/>
                <w:highlight w:val="none"/>
                <w:lang w:eastAsia="zh-CN"/>
              </w:rPr>
            </w:pPr>
            <w:r>
              <w:rPr>
                <w:rFonts w:hint="eastAsia" w:ascii="宋体" w:hAnsi="宋体" w:cs="宋体"/>
                <w:b/>
                <w:bCs/>
                <w:color w:val="auto"/>
                <w:sz w:val="24"/>
                <w:highlight w:val="none"/>
              </w:rPr>
              <w:t>序号98：篮球架组合一套</w:t>
            </w:r>
            <w:r>
              <w:rPr>
                <w:rFonts w:hint="eastAsia" w:ascii="宋体" w:hAnsi="宋体" w:cs="宋体"/>
                <w:b/>
                <w:bCs/>
                <w:color w:val="auto"/>
                <w:sz w:val="24"/>
                <w:highlight w:val="none"/>
                <w:lang w:eastAsia="zh-CN"/>
              </w:rPr>
              <w:t>；</w:t>
            </w:r>
          </w:p>
          <w:p w14:paraId="09622735">
            <w:pPr>
              <w:adjustRightInd/>
              <w:spacing w:line="288" w:lineRule="auto"/>
              <w:rPr>
                <w:rFonts w:hint="eastAsia" w:ascii="宋体" w:hAnsi="宋体" w:cs="宋体"/>
                <w:b/>
                <w:bCs/>
                <w:color w:val="auto"/>
                <w:sz w:val="24"/>
                <w:highlight w:val="none"/>
                <w:lang w:eastAsia="zh-CN"/>
              </w:rPr>
            </w:pPr>
            <w:r>
              <w:rPr>
                <w:rFonts w:hint="eastAsia" w:ascii="宋体" w:hAnsi="宋体" w:cs="宋体"/>
                <w:b/>
                <w:bCs/>
                <w:color w:val="auto"/>
                <w:sz w:val="24"/>
                <w:highlight w:val="none"/>
              </w:rPr>
              <w:t>序号65：触摸游戏一套</w:t>
            </w:r>
            <w:r>
              <w:rPr>
                <w:rFonts w:hint="eastAsia" w:ascii="宋体" w:hAnsi="宋体" w:cs="宋体"/>
                <w:b/>
                <w:bCs/>
                <w:color w:val="auto"/>
                <w:sz w:val="24"/>
                <w:highlight w:val="none"/>
                <w:lang w:eastAsia="zh-CN"/>
              </w:rPr>
              <w:t>；</w:t>
            </w:r>
          </w:p>
          <w:p w14:paraId="355F4B41">
            <w:pPr>
              <w:adjustRightInd/>
              <w:spacing w:line="288" w:lineRule="auto"/>
              <w:rPr>
                <w:rFonts w:ascii="宋体" w:hAnsi="宋体" w:cs="宋体"/>
                <w:color w:val="auto"/>
                <w:sz w:val="24"/>
                <w:highlight w:val="none"/>
              </w:rPr>
            </w:pPr>
            <w:r>
              <w:rPr>
                <w:rFonts w:hint="eastAsia" w:ascii="宋体" w:hAnsi="宋体" w:cs="宋体"/>
                <w:color w:val="auto"/>
                <w:sz w:val="24"/>
                <w:highlight w:val="none"/>
              </w:rPr>
              <w:t>根据招标文件的要求对各有效供应商提供的样品实物进行综合评审酌情打分:</w:t>
            </w:r>
          </w:p>
          <w:p w14:paraId="7EF7648D">
            <w:pPr>
              <w:adjustRightInd/>
              <w:spacing w:line="288" w:lineRule="auto"/>
              <w:rPr>
                <w:rFonts w:ascii="宋体" w:hAnsi="宋体" w:cs="宋体"/>
                <w:bCs/>
                <w:color w:val="auto"/>
                <w:sz w:val="24"/>
                <w:highlight w:val="none"/>
              </w:rPr>
            </w:pPr>
            <w:r>
              <w:rPr>
                <w:rFonts w:hint="eastAsia" w:ascii="宋体" w:hAnsi="宋体" w:cs="宋体"/>
                <w:bCs/>
                <w:color w:val="auto"/>
                <w:sz w:val="24"/>
                <w:highlight w:val="none"/>
              </w:rPr>
              <w:t>1.产品制造工艺、外观、材质（共</w:t>
            </w:r>
            <w:r>
              <w:rPr>
                <w:rFonts w:hint="eastAsia" w:ascii="宋体" w:hAnsi="宋体" w:cs="宋体"/>
                <w:bCs/>
                <w:color w:val="auto"/>
                <w:sz w:val="24"/>
                <w:highlight w:val="none"/>
                <w:lang w:val="en-US" w:eastAsia="zh-CN"/>
              </w:rPr>
              <w:t>4</w:t>
            </w:r>
            <w:r>
              <w:rPr>
                <w:rFonts w:hint="eastAsia" w:ascii="宋体" w:hAnsi="宋体" w:cs="宋体"/>
                <w:bCs/>
                <w:color w:val="auto"/>
                <w:sz w:val="24"/>
                <w:highlight w:val="none"/>
              </w:rPr>
              <w:t>个样品，每个样品满足得6分，不满足不得分）；</w:t>
            </w:r>
          </w:p>
          <w:p w14:paraId="1A8D42AB">
            <w:pPr>
              <w:adjustRightInd/>
              <w:spacing w:line="288" w:lineRule="auto"/>
              <w:rPr>
                <w:rFonts w:ascii="宋体" w:hAnsi="宋体" w:cs="宋体"/>
                <w:bCs/>
                <w:color w:val="auto"/>
                <w:sz w:val="24"/>
                <w:highlight w:val="none"/>
              </w:rPr>
            </w:pPr>
            <w:r>
              <w:rPr>
                <w:rFonts w:hint="eastAsia" w:ascii="宋体" w:hAnsi="宋体" w:cs="宋体"/>
                <w:bCs/>
                <w:color w:val="auto"/>
                <w:sz w:val="24"/>
                <w:highlight w:val="none"/>
              </w:rPr>
              <w:t>2.产品性能、功能、技术特色（共</w:t>
            </w:r>
            <w:r>
              <w:rPr>
                <w:rFonts w:hint="eastAsia" w:ascii="宋体" w:hAnsi="宋体" w:cs="宋体"/>
                <w:bCs/>
                <w:color w:val="auto"/>
                <w:sz w:val="24"/>
                <w:highlight w:val="none"/>
                <w:lang w:val="en-US" w:eastAsia="zh-CN"/>
              </w:rPr>
              <w:t>4</w:t>
            </w:r>
            <w:r>
              <w:rPr>
                <w:rFonts w:hint="eastAsia" w:ascii="宋体" w:hAnsi="宋体" w:cs="宋体"/>
                <w:bCs/>
                <w:color w:val="auto"/>
                <w:sz w:val="24"/>
                <w:highlight w:val="none"/>
              </w:rPr>
              <w:t>个样品，每个样品满足得6分，不满足不得分）；</w:t>
            </w:r>
          </w:p>
          <w:p w14:paraId="30320888">
            <w:pPr>
              <w:adjustRightInd/>
              <w:spacing w:line="288" w:lineRule="auto"/>
              <w:rPr>
                <w:rFonts w:ascii="宋体" w:hAnsi="宋体" w:cs="宋体"/>
                <w:bCs/>
                <w:color w:val="auto"/>
                <w:sz w:val="24"/>
                <w:highlight w:val="none"/>
              </w:rPr>
            </w:pPr>
            <w:r>
              <w:rPr>
                <w:rFonts w:hint="eastAsia" w:ascii="宋体" w:hAnsi="宋体" w:cs="宋体"/>
                <w:bCs/>
                <w:color w:val="auto"/>
                <w:sz w:val="24"/>
                <w:highlight w:val="none"/>
              </w:rPr>
              <w:t>3.产品尺寸、形状、结构及安全性（共</w:t>
            </w:r>
            <w:r>
              <w:rPr>
                <w:rFonts w:hint="eastAsia" w:ascii="宋体" w:hAnsi="宋体" w:cs="宋体"/>
                <w:bCs/>
                <w:color w:val="auto"/>
                <w:sz w:val="24"/>
                <w:highlight w:val="none"/>
                <w:lang w:val="en-US" w:eastAsia="zh-CN"/>
              </w:rPr>
              <w:t>4</w:t>
            </w:r>
            <w:r>
              <w:rPr>
                <w:rFonts w:hint="eastAsia" w:ascii="宋体" w:hAnsi="宋体" w:cs="宋体"/>
                <w:bCs/>
                <w:color w:val="auto"/>
                <w:sz w:val="24"/>
                <w:highlight w:val="none"/>
              </w:rPr>
              <w:t>个样品，每个样品满足得6分，不满足不得分）。</w:t>
            </w:r>
          </w:p>
          <w:p w14:paraId="47294CFC">
            <w:pPr>
              <w:adjustRightInd/>
              <w:spacing w:line="288" w:lineRule="auto"/>
              <w:rPr>
                <w:rFonts w:ascii="宋体" w:hAnsi="宋体" w:cs="宋体"/>
                <w:color w:val="auto"/>
                <w:sz w:val="24"/>
                <w:highlight w:val="none"/>
              </w:rPr>
            </w:pPr>
            <w:r>
              <w:rPr>
                <w:rFonts w:hint="eastAsia" w:ascii="宋体" w:hAnsi="宋体" w:cs="宋体"/>
                <w:bCs/>
                <w:color w:val="auto"/>
                <w:sz w:val="24"/>
                <w:highlight w:val="none"/>
              </w:rPr>
              <w:t>注：若样品需要组装，请各投标人组装完毕后再送至</w:t>
            </w:r>
            <w:r>
              <w:rPr>
                <w:rFonts w:hint="eastAsia" w:ascii="宋体" w:hAnsi="宋体" w:cs="宋体"/>
                <w:bCs/>
                <w:color w:val="auto"/>
                <w:sz w:val="24"/>
                <w:highlight w:val="none"/>
                <w:lang w:val="en-US" w:eastAsia="zh-CN"/>
              </w:rPr>
              <w:t>代理公司</w:t>
            </w:r>
            <w:r>
              <w:rPr>
                <w:rFonts w:hint="eastAsia" w:ascii="宋体" w:hAnsi="宋体" w:cs="宋体"/>
                <w:bCs/>
                <w:color w:val="auto"/>
                <w:sz w:val="24"/>
                <w:highlight w:val="none"/>
              </w:rPr>
              <w:t>。投标人不提供样品则视其投标无效，样品提供不全、外观尺寸不符合要求、或技术参数明显不符合招标文件要求的则样品分为0分。</w:t>
            </w:r>
          </w:p>
        </w:tc>
      </w:tr>
    </w:tbl>
    <w:p w14:paraId="1727D345">
      <w:pPr>
        <w:snapToGrid w:val="0"/>
        <w:spacing w:beforeLines="30" w:line="400" w:lineRule="exact"/>
        <w:jc w:val="left"/>
        <w:outlineLvl w:val="1"/>
        <w:rPr>
          <w:rFonts w:ascii="宋体" w:hAnsi="宋体" w:cs="宋体"/>
          <w:b/>
          <w:color w:val="auto"/>
          <w:sz w:val="24"/>
          <w:highlight w:val="none"/>
        </w:rPr>
      </w:pPr>
    </w:p>
    <w:p w14:paraId="5F904E8E">
      <w:pPr>
        <w:pStyle w:val="3"/>
        <w:spacing w:line="480" w:lineRule="exact"/>
        <w:ind w:left="0" w:firstLine="0"/>
        <w:rPr>
          <w:color w:val="auto"/>
          <w:sz w:val="24"/>
          <w:szCs w:val="24"/>
          <w:highlight w:val="none"/>
        </w:rPr>
      </w:pPr>
      <w:r>
        <w:rPr>
          <w:rFonts w:hint="eastAsia"/>
          <w:color w:val="auto"/>
          <w:sz w:val="24"/>
          <w:szCs w:val="24"/>
          <w:highlight w:val="none"/>
        </w:rPr>
        <w:t>注：以上项目若缺项，则该项得0分。</w:t>
      </w:r>
    </w:p>
    <w:p w14:paraId="054428FD">
      <w:pPr>
        <w:rPr>
          <w:color w:val="auto"/>
          <w:sz w:val="24"/>
          <w:highlight w:val="none"/>
        </w:rPr>
      </w:pPr>
    </w:p>
    <w:p w14:paraId="3D650431">
      <w:pPr>
        <w:rPr>
          <w:color w:val="auto"/>
          <w:sz w:val="24"/>
          <w:highlight w:val="none"/>
        </w:rPr>
      </w:pPr>
    </w:p>
    <w:p w14:paraId="06A9892E">
      <w:pPr>
        <w:rPr>
          <w:color w:val="auto"/>
          <w:sz w:val="24"/>
          <w:highlight w:val="none"/>
        </w:rPr>
      </w:pPr>
    </w:p>
    <w:p w14:paraId="1CDF6887">
      <w:pPr>
        <w:rPr>
          <w:color w:val="auto"/>
          <w:sz w:val="24"/>
          <w:highlight w:val="none"/>
        </w:rPr>
      </w:pPr>
    </w:p>
    <w:p w14:paraId="0B44248B">
      <w:pPr>
        <w:rPr>
          <w:color w:val="auto"/>
          <w:sz w:val="24"/>
          <w:highlight w:val="none"/>
        </w:rPr>
      </w:pPr>
    </w:p>
    <w:p w14:paraId="168DE1A8">
      <w:pPr>
        <w:rPr>
          <w:color w:val="auto"/>
          <w:sz w:val="24"/>
          <w:highlight w:val="none"/>
        </w:rPr>
      </w:pPr>
    </w:p>
    <w:p w14:paraId="77DE4A45">
      <w:pPr>
        <w:spacing w:beforeLines="50" w:line="360" w:lineRule="auto"/>
        <w:jc w:val="center"/>
        <w:rPr>
          <w:color w:val="auto"/>
          <w:highlight w:val="none"/>
        </w:rPr>
      </w:pPr>
      <w:r>
        <w:rPr>
          <w:rFonts w:hint="eastAsia" w:ascii="仿宋" w:hAnsi="仿宋" w:eastAsia="仿宋" w:cs="仿宋_GB2312"/>
          <w:b/>
          <w:color w:val="auto"/>
          <w:sz w:val="36"/>
          <w:szCs w:val="36"/>
          <w:highlight w:val="none"/>
        </w:rPr>
        <w:t>第五章  嘉善县政府采购合同（指引）</w:t>
      </w:r>
    </w:p>
    <w:p w14:paraId="5A2800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一、通用必备条款部分</w:t>
      </w:r>
    </w:p>
    <w:p w14:paraId="4E4C4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合同编号：</w:t>
      </w:r>
    </w:p>
    <w:p w14:paraId="02F23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政府采购计划（预算）确认书编号：善财采确临[2024]1121号</w:t>
      </w:r>
    </w:p>
    <w:p w14:paraId="5384A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预算金额：</w:t>
      </w:r>
      <w:r>
        <w:rPr>
          <w:rFonts w:hint="eastAsia" w:ascii="宋体" w:hAnsi="宋体" w:cs="Arial"/>
          <w:color w:val="auto"/>
          <w:kern w:val="0"/>
          <w:sz w:val="24"/>
          <w:highlight w:val="none"/>
        </w:rPr>
        <w:t>105.4464万元</w:t>
      </w:r>
    </w:p>
    <w:p w14:paraId="002ED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采购人（以下称甲方）：嘉善县实验幼儿园</w:t>
      </w:r>
    </w:p>
    <w:p w14:paraId="0B24A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供应商（以下称乙方）：</w:t>
      </w:r>
    </w:p>
    <w:p w14:paraId="503D4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采购代理机构：浙江正大工程管理咨询有限公司</w:t>
      </w:r>
    </w:p>
    <w:p w14:paraId="339E2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采购方式：</w:t>
      </w:r>
      <w:r>
        <w:rPr>
          <w:rFonts w:hint="eastAsia" w:ascii="宋体" w:hAnsi="宋体" w:cs="Arial"/>
          <w:color w:val="auto"/>
          <w:kern w:val="0"/>
          <w:sz w:val="24"/>
          <w:highlight w:val="none"/>
        </w:rPr>
        <w:t>公开招标</w:t>
      </w:r>
    </w:p>
    <w:p w14:paraId="6A52A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采购文件编号：ZJZD2024001（G）</w:t>
      </w:r>
    </w:p>
    <w:p w14:paraId="7A1A6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根据《中华人民共和国政府采购法》、《中华人民共和国民法典》等法律法规的规定，甲乙双方按照</w:t>
      </w:r>
      <w:r>
        <w:rPr>
          <w:rFonts w:hint="eastAsia" w:ascii="宋体" w:hAnsi="宋体" w:cs="宋体"/>
          <w:color w:val="auto"/>
          <w:kern w:val="0"/>
          <w:sz w:val="24"/>
          <w:highlight w:val="none"/>
          <w:u w:val="single"/>
        </w:rPr>
        <w:t>嘉善县实验幼儿园（兴贤）玩具采购</w:t>
      </w:r>
      <w:r>
        <w:rPr>
          <w:rFonts w:hint="eastAsia" w:ascii="宋体" w:hAnsi="宋体" w:cs="宋体"/>
          <w:color w:val="auto"/>
          <w:kern w:val="0"/>
          <w:sz w:val="24"/>
          <w:highlight w:val="none"/>
        </w:rPr>
        <w:t>项目采购结果签订本合同。</w:t>
      </w:r>
    </w:p>
    <w:p w14:paraId="0EFD7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第一条 合同组成</w:t>
      </w:r>
    </w:p>
    <w:p w14:paraId="2194E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本次政府采购活动的相关文件为本合同的组成部分，这些文件包括但不限于：</w:t>
      </w:r>
    </w:p>
    <w:p w14:paraId="0937B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（1）本合同文本；</w:t>
      </w:r>
    </w:p>
    <w:p w14:paraId="07DBF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（2）采购文件与投标文件（或采购响应文件）；</w:t>
      </w:r>
    </w:p>
    <w:p w14:paraId="12CA8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（3）中标或成交通知书；</w:t>
      </w:r>
    </w:p>
    <w:p w14:paraId="5B55E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组成本合同的所有文件必须为书面形式。政府采购合同备案时，须提供以上（1）、（3）两项，如由社会中介机构代理，须提供代理协议，合同如有变更的，须提供变更协议。</w:t>
      </w:r>
    </w:p>
    <w:p w14:paraId="4C875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第二条 合同标的与相关属性</w:t>
      </w:r>
    </w:p>
    <w:p w14:paraId="1CFEA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1、本次采购的是</w:t>
      </w:r>
      <w:r>
        <w:rPr>
          <w:rFonts w:hint="eastAsia" w:ascii="宋体" w:hAnsi="宋体" w:cs="Arial"/>
          <w:color w:val="auto"/>
          <w:kern w:val="0"/>
          <w:sz w:val="24"/>
          <w:highlight w:val="none"/>
          <w:u w:val="single"/>
        </w:rPr>
        <w:t>嘉善县实验幼儿园（兴贤）玩具采购</w:t>
      </w:r>
      <w:r>
        <w:rPr>
          <w:rFonts w:hint="eastAsia" w:ascii="宋体" w:hAnsi="宋体" w:cs="宋体"/>
          <w:color w:val="auto"/>
          <w:kern w:val="0"/>
          <w:sz w:val="24"/>
          <w:highlight w:val="none"/>
        </w:rPr>
        <w:t>。</w:t>
      </w:r>
    </w:p>
    <w:p w14:paraId="1722F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2、乙方是否属于中小微企业：☑是□否</w:t>
      </w:r>
    </w:p>
    <w:p w14:paraId="2BB9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3、本合同项下产品属于（可多选）：□环保产品；□节能产品；□进口产品</w:t>
      </w:r>
    </w:p>
    <w:p w14:paraId="1E81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第三条 合同价款</w:t>
      </w:r>
    </w:p>
    <w:p w14:paraId="1F563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1、本合同项下总价款为人民币（大写），分项价款见“投标报价明细表”（如有）”。</w:t>
      </w:r>
    </w:p>
    <w:p w14:paraId="55EF0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Arial"/>
          <w:color w:val="auto"/>
          <w:kern w:val="0"/>
          <w:sz w:val="24"/>
          <w:highlight w:val="none"/>
        </w:rPr>
      </w:pPr>
      <w:r>
        <w:rPr>
          <w:rFonts w:hint="eastAsia" w:ascii="宋体" w:hAnsi="宋体" w:cs="宋体"/>
          <w:color w:val="auto"/>
          <w:kern w:val="0"/>
          <w:sz w:val="24"/>
          <w:highlight w:val="none"/>
        </w:rPr>
        <w:t>2、本合同总价款含所有税费（包括设计、生产、供货、运输、装卸、安装调试、税金、保险、备品备件、配件、附件、培训、验收、辅助工作及售后服务等完成本项目的所有费用</w:t>
      </w:r>
      <w:r>
        <w:rPr>
          <w:rFonts w:hint="eastAsia" w:ascii="宋体" w:hAnsi="宋体" w:cs="宋体"/>
          <w:color w:val="auto"/>
          <w:sz w:val="24"/>
          <w:highlight w:val="none"/>
        </w:rPr>
        <w:t>）</w:t>
      </w:r>
    </w:p>
    <w:p w14:paraId="35D1B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3、本项目资金来源性质为以下第</w:t>
      </w:r>
      <w:r>
        <w:rPr>
          <w:rFonts w:hint="eastAsia" w:ascii="宋体" w:hAnsi="宋体" w:cs="宋体"/>
          <w:color w:val="auto"/>
          <w:kern w:val="0"/>
          <w:sz w:val="24"/>
          <w:highlight w:val="none"/>
          <w:u w:val="single"/>
        </w:rPr>
        <w:t xml:space="preserve">     （1）      </w:t>
      </w:r>
      <w:r>
        <w:rPr>
          <w:rFonts w:hint="eastAsia" w:ascii="宋体" w:hAnsi="宋体" w:cs="宋体"/>
          <w:color w:val="auto"/>
          <w:kern w:val="0"/>
          <w:sz w:val="24"/>
          <w:highlight w:val="none"/>
        </w:rPr>
        <w:t>项：</w:t>
      </w:r>
    </w:p>
    <w:p w14:paraId="3F402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（1）预算管理资金；（2）专户管理资金；（3）其他资金；（4）预算管理资金赞存；（5）专户管理资金赞存；（6）收入退库；（7）专项专户资金。</w:t>
      </w:r>
    </w:p>
    <w:p w14:paraId="660E9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4、本合同付款方式为以下第</w:t>
      </w:r>
      <w:r>
        <w:rPr>
          <w:rFonts w:hint="eastAsia" w:ascii="宋体" w:hAnsi="宋体" w:cs="宋体"/>
          <w:color w:val="auto"/>
          <w:kern w:val="0"/>
          <w:sz w:val="24"/>
          <w:highlight w:val="none"/>
          <w:u w:val="single"/>
        </w:rPr>
        <w:t>（2）</w:t>
      </w:r>
      <w:r>
        <w:rPr>
          <w:rFonts w:hint="eastAsia" w:ascii="宋体" w:hAnsi="宋体" w:cs="宋体"/>
          <w:color w:val="auto"/>
          <w:kern w:val="0"/>
          <w:sz w:val="24"/>
          <w:highlight w:val="none"/>
        </w:rPr>
        <w:t>项：</w:t>
      </w:r>
    </w:p>
    <w:p w14:paraId="055F9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（1）本合同项下的采购资金系甲方自行支付，付款程序为；</w:t>
      </w:r>
    </w:p>
    <w:p w14:paraId="57A73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（2）本合同项下的采购资金采用财政授权支付，付款程序为；</w:t>
      </w:r>
    </w:p>
    <w:p w14:paraId="0812B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（3）其他方式。</w:t>
      </w:r>
    </w:p>
    <w:p w14:paraId="15D76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5、本合同项下的采购资金付款进度按采购文件与投标文件（或采购响应文件）规定，未规定时按以下第</w:t>
      </w:r>
      <w:r>
        <w:rPr>
          <w:rFonts w:hint="eastAsia" w:ascii="宋体" w:hAnsi="宋体" w:cs="宋体"/>
          <w:color w:val="auto"/>
          <w:kern w:val="0"/>
          <w:sz w:val="24"/>
          <w:highlight w:val="none"/>
          <w:u w:val="single"/>
        </w:rPr>
        <w:t xml:space="preserve">     （2）      </w:t>
      </w:r>
      <w:r>
        <w:rPr>
          <w:rFonts w:hint="eastAsia" w:ascii="宋体" w:hAnsi="宋体" w:cs="宋体"/>
          <w:color w:val="auto"/>
          <w:kern w:val="0"/>
          <w:sz w:val="24"/>
          <w:highlight w:val="none"/>
        </w:rPr>
        <w:t xml:space="preserve"> 项支付：</w:t>
      </w:r>
    </w:p>
    <w:p w14:paraId="21F01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（1）一次性付款：乙方合同履行达到（条件）时，一次性付款；</w:t>
      </w:r>
    </w:p>
    <w:p w14:paraId="79A658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（2）分期付款：</w:t>
      </w:r>
    </w:p>
    <w:p w14:paraId="75DFB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玩具和设备</w:t>
      </w:r>
      <w:r>
        <w:rPr>
          <w:rFonts w:hint="eastAsia" w:ascii="宋体" w:hAnsi="宋体" w:cs="宋体"/>
          <w:color w:val="auto"/>
          <w:kern w:val="0"/>
          <w:sz w:val="24"/>
          <w:highlight w:val="none"/>
        </w:rPr>
        <w:t>全部安装调试完毕，项目验收合格后7个工作日内付至审定价的98.5%；工程结算审定价的1.5%留作质保金，质保期满两年后一个月内退还(无息)。</w:t>
      </w:r>
    </w:p>
    <w:p w14:paraId="1992F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注：付款前中标单位应按规定向采购人开具正规发票。在签订合同时，供应商明确表示无需预付款或者主动要求降低预付款比例的，采购单位可不适用前述规定。</w:t>
      </w:r>
    </w:p>
    <w:p w14:paraId="3E00A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第四条 履约保证金</w:t>
      </w:r>
    </w:p>
    <w:p w14:paraId="41EFA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b/>
          <w:color w:val="auto"/>
          <w:kern w:val="0"/>
          <w:sz w:val="24"/>
          <w:highlight w:val="none"/>
        </w:rPr>
      </w:pPr>
      <w:r>
        <w:rPr>
          <w:rFonts w:hint="eastAsia" w:ascii="宋体" w:hAnsi="宋体" w:cs="宋体"/>
          <w:color w:val="auto"/>
          <w:kern w:val="0"/>
          <w:sz w:val="24"/>
          <w:highlight w:val="none"/>
        </w:rPr>
        <w:t>按以下第</w:t>
      </w:r>
      <w:r>
        <w:rPr>
          <w:rFonts w:hint="eastAsia" w:ascii="宋体" w:hAnsi="宋体" w:cs="宋体"/>
          <w:color w:val="auto"/>
          <w:kern w:val="0"/>
          <w:sz w:val="24"/>
          <w:highlight w:val="none"/>
          <w:u w:val="single"/>
        </w:rPr>
        <w:t>1</w:t>
      </w:r>
      <w:r>
        <w:rPr>
          <w:rFonts w:hint="eastAsia" w:ascii="宋体" w:hAnsi="宋体" w:cs="宋体"/>
          <w:color w:val="auto"/>
          <w:kern w:val="0"/>
          <w:sz w:val="24"/>
          <w:highlight w:val="none"/>
        </w:rPr>
        <w:t>项处理：</w:t>
      </w:r>
    </w:p>
    <w:p w14:paraId="37811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1、本项目设置履约保证金,</w:t>
      </w:r>
      <w:r>
        <w:rPr>
          <w:rFonts w:hint="eastAsia" w:ascii="宋体" w:hAnsi="宋体" w:cs="宋体"/>
          <w:color w:val="auto"/>
          <w:sz w:val="24"/>
          <w:highlight w:val="none"/>
        </w:rPr>
        <w:t>签订合同前中标人应向采购人交纳合同金额的1%作为履约保证金，履约保证金在合同履行完毕后一个月内无息退还</w:t>
      </w:r>
    </w:p>
    <w:p w14:paraId="1AD7A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b/>
          <w:color w:val="auto"/>
          <w:kern w:val="0"/>
          <w:sz w:val="24"/>
          <w:highlight w:val="none"/>
        </w:rPr>
      </w:pPr>
      <w:r>
        <w:rPr>
          <w:rFonts w:hint="eastAsia" w:ascii="宋体" w:hAnsi="宋体" w:cs="宋体"/>
          <w:color w:val="auto"/>
          <w:kern w:val="0"/>
          <w:sz w:val="24"/>
          <w:highlight w:val="none"/>
        </w:rPr>
        <w:t>2、本项目不设置履约保证金</w:t>
      </w:r>
    </w:p>
    <w:p w14:paraId="715FC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第五条 合同的变更和终止</w:t>
      </w:r>
    </w:p>
    <w:p w14:paraId="2C8A5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除《政府采购法》第49条、第50条第二款规定的情形外，本合同一经签订，甲乙双方不得擅自终止合同或对合同实质性条款进行变更。确有特殊情况的，须经同级财政部门备案同意。</w:t>
      </w:r>
    </w:p>
    <w:p w14:paraId="00356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第六条 合同的转让与分包</w:t>
      </w:r>
    </w:p>
    <w:p w14:paraId="097FF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Arial"/>
          <w:color w:val="auto"/>
          <w:kern w:val="0"/>
          <w:sz w:val="24"/>
          <w:highlight w:val="none"/>
        </w:rPr>
        <w:t>本项目不允许转包和分包</w:t>
      </w:r>
      <w:r>
        <w:rPr>
          <w:rFonts w:hint="eastAsia" w:ascii="宋体" w:hAnsi="宋体" w:cs="宋体"/>
          <w:color w:val="auto"/>
          <w:kern w:val="0"/>
          <w:sz w:val="24"/>
          <w:highlight w:val="none"/>
        </w:rPr>
        <w:t>。</w:t>
      </w:r>
    </w:p>
    <w:p w14:paraId="6433F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第七条 争议的解决</w:t>
      </w:r>
    </w:p>
    <w:p w14:paraId="3BFAF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因履行本合同引起的或与本合同有关的争议，甲、乙双方应首先通过友好协商解决，如果协商不能解决争议，则采取以下第</w:t>
      </w:r>
      <w:r>
        <w:rPr>
          <w:rFonts w:hint="eastAsia" w:ascii="宋体" w:hAnsi="宋体" w:cs="宋体"/>
          <w:color w:val="auto"/>
          <w:kern w:val="0"/>
          <w:sz w:val="24"/>
          <w:highlight w:val="none"/>
          <w:u w:val="single"/>
        </w:rPr>
        <w:t xml:space="preserve"> （1）</w:t>
      </w:r>
      <w:r>
        <w:rPr>
          <w:rFonts w:hint="eastAsia" w:ascii="宋体" w:hAnsi="宋体" w:cs="宋体"/>
          <w:color w:val="auto"/>
          <w:kern w:val="0"/>
          <w:sz w:val="24"/>
          <w:highlight w:val="none"/>
        </w:rPr>
        <w:t>种方式解决争议：</w:t>
      </w:r>
    </w:p>
    <w:p w14:paraId="5EC4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（1）向甲方所在地有管辖权的人民法院提起诉讼；</w:t>
      </w:r>
    </w:p>
    <w:p w14:paraId="2A2A3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（2）向</w:t>
      </w:r>
      <w:r>
        <w:rPr>
          <w:rFonts w:hint="eastAsia" w:ascii="宋体" w:hAnsi="宋体" w:cs="Arial"/>
          <w:color w:val="auto"/>
          <w:kern w:val="0"/>
          <w:sz w:val="24"/>
          <w:highlight w:val="none"/>
          <w:u w:val="single"/>
        </w:rPr>
        <w:t>项目所在地</w:t>
      </w:r>
      <w:r>
        <w:rPr>
          <w:rFonts w:hint="eastAsia" w:ascii="宋体" w:hAnsi="宋体" w:cs="宋体"/>
          <w:color w:val="auto"/>
          <w:kern w:val="0"/>
          <w:sz w:val="24"/>
          <w:highlight w:val="none"/>
        </w:rPr>
        <w:t>仲裁委员申请仲裁。</w:t>
      </w:r>
    </w:p>
    <w:p w14:paraId="2742C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第八条 合同备案及其他</w:t>
      </w:r>
    </w:p>
    <w:p w14:paraId="486FD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r>
        <w:rPr>
          <w:rFonts w:hint="eastAsia" w:ascii="宋体" w:hAnsi="宋体" w:cs="Arial"/>
          <w:color w:val="auto"/>
          <w:kern w:val="0"/>
          <w:sz w:val="24"/>
          <w:highlight w:val="none"/>
        </w:rPr>
        <w:t>本合同一式五份，甲乙双方各2份，招标代理机构各持一份</w:t>
      </w:r>
      <w:r>
        <w:rPr>
          <w:rFonts w:hint="eastAsia" w:ascii="宋体" w:hAnsi="宋体" w:cs="宋体"/>
          <w:color w:val="auto"/>
          <w:kern w:val="0"/>
          <w:sz w:val="24"/>
          <w:highlight w:val="none"/>
        </w:rPr>
        <w:t>。</w:t>
      </w:r>
    </w:p>
    <w:p w14:paraId="6FE3A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highlight w:val="none"/>
        </w:rPr>
      </w:pPr>
    </w:p>
    <w:p w14:paraId="01016A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二、特殊专用条款部分</w:t>
      </w:r>
    </w:p>
    <w:p w14:paraId="3C5CA990">
      <w:pPr>
        <w:spacing w:line="300" w:lineRule="auto"/>
        <w:ind w:firstLine="480"/>
        <w:rPr>
          <w:rFonts w:ascii="宋体" w:hAnsi="宋体" w:cs="宋体"/>
          <w:b/>
          <w:bCs/>
          <w:color w:val="auto"/>
          <w:sz w:val="24"/>
          <w:highlight w:val="none"/>
        </w:rPr>
      </w:pPr>
      <w:r>
        <w:rPr>
          <w:rFonts w:hint="eastAsia" w:ascii="宋体" w:hAnsi="宋体" w:cs="宋体"/>
          <w:b/>
          <w:bCs/>
          <w:color w:val="auto"/>
          <w:sz w:val="24"/>
          <w:highlight w:val="none"/>
        </w:rPr>
        <w:t>第一条 违约责任</w:t>
      </w:r>
    </w:p>
    <w:p w14:paraId="169C33D3">
      <w:pPr>
        <w:spacing w:line="300" w:lineRule="auto"/>
        <w:ind w:firstLine="480"/>
        <w:rPr>
          <w:rFonts w:ascii="宋体" w:hAnsi="宋体" w:cs="宋体"/>
          <w:color w:val="auto"/>
          <w:sz w:val="24"/>
          <w:highlight w:val="none"/>
        </w:rPr>
      </w:pPr>
      <w:r>
        <w:rPr>
          <w:rFonts w:hint="eastAsia" w:ascii="宋体" w:hAnsi="宋体" w:cs="宋体"/>
          <w:color w:val="auto"/>
          <w:sz w:val="24"/>
          <w:highlight w:val="none"/>
        </w:rPr>
        <w:t>签订合同后，如乙方不按双方签订合同约定履约，则应按甲方实际损失赔偿给甲方。</w:t>
      </w:r>
    </w:p>
    <w:p w14:paraId="580842ED">
      <w:pPr>
        <w:spacing w:line="300" w:lineRule="auto"/>
        <w:ind w:firstLine="480"/>
        <w:rPr>
          <w:rFonts w:ascii="宋体" w:hAnsi="宋体" w:cs="宋体"/>
          <w:b/>
          <w:bCs/>
          <w:color w:val="auto"/>
          <w:sz w:val="24"/>
          <w:highlight w:val="none"/>
        </w:rPr>
      </w:pPr>
      <w:r>
        <w:rPr>
          <w:rFonts w:hint="eastAsia" w:ascii="宋体" w:hAnsi="宋体" w:cs="宋体"/>
          <w:b/>
          <w:bCs/>
          <w:color w:val="auto"/>
          <w:sz w:val="24"/>
          <w:highlight w:val="none"/>
        </w:rPr>
        <w:t>第二条 不可抗力事件处理</w:t>
      </w:r>
    </w:p>
    <w:p w14:paraId="479BF813">
      <w:pPr>
        <w:spacing w:line="300" w:lineRule="auto"/>
        <w:ind w:firstLine="480"/>
        <w:rPr>
          <w:rFonts w:ascii="宋体" w:hAnsi="宋体" w:cs="宋体"/>
          <w:color w:val="auto"/>
          <w:sz w:val="24"/>
          <w:highlight w:val="none"/>
        </w:rPr>
      </w:pPr>
      <w:r>
        <w:rPr>
          <w:rFonts w:hint="eastAsia" w:ascii="宋体" w:hAnsi="宋体" w:cs="宋体"/>
          <w:color w:val="auto"/>
          <w:sz w:val="24"/>
          <w:highlight w:val="none"/>
        </w:rPr>
        <w:t>1.在合同有效期内，任何一方因不可抗力事件导致不能履行合同的，合同履行期可延长，其延长期与不可抗力影响期相同。</w:t>
      </w:r>
    </w:p>
    <w:p w14:paraId="50F5B9E1">
      <w:pPr>
        <w:spacing w:line="300" w:lineRule="auto"/>
        <w:ind w:firstLine="480"/>
        <w:rPr>
          <w:rFonts w:ascii="宋体" w:hAnsi="宋体" w:cs="宋体"/>
          <w:color w:val="auto"/>
          <w:sz w:val="24"/>
          <w:highlight w:val="none"/>
        </w:rPr>
      </w:pPr>
      <w:r>
        <w:rPr>
          <w:rFonts w:hint="eastAsia" w:ascii="宋体" w:hAnsi="宋体" w:cs="宋体"/>
          <w:color w:val="auto"/>
          <w:sz w:val="24"/>
          <w:highlight w:val="none"/>
        </w:rPr>
        <w:t>2.不可抗力事件发生后，应立即通知对方，并寄送有关权威机构出具的证明。</w:t>
      </w:r>
    </w:p>
    <w:p w14:paraId="7648722B">
      <w:pPr>
        <w:spacing w:line="300" w:lineRule="auto"/>
        <w:ind w:firstLine="480"/>
        <w:rPr>
          <w:rFonts w:ascii="宋体" w:hAnsi="宋体" w:cs="宋体"/>
          <w:color w:val="auto"/>
          <w:sz w:val="24"/>
          <w:highlight w:val="none"/>
        </w:rPr>
      </w:pPr>
      <w:r>
        <w:rPr>
          <w:rFonts w:hint="eastAsia" w:ascii="宋体" w:hAnsi="宋体" w:cs="宋体"/>
          <w:color w:val="auto"/>
          <w:sz w:val="24"/>
          <w:highlight w:val="none"/>
        </w:rPr>
        <w:t>3.不可抗力事件延续120天以上，双方应通过友好协商，确定是否继续履行合同。</w:t>
      </w:r>
    </w:p>
    <w:p w14:paraId="09459459">
      <w:pPr>
        <w:spacing w:line="300" w:lineRule="auto"/>
        <w:ind w:firstLine="480"/>
        <w:rPr>
          <w:rFonts w:ascii="宋体" w:hAnsi="宋体" w:cs="宋体"/>
          <w:b/>
          <w:bCs/>
          <w:color w:val="auto"/>
          <w:sz w:val="24"/>
          <w:highlight w:val="none"/>
        </w:rPr>
      </w:pPr>
      <w:r>
        <w:rPr>
          <w:rFonts w:hint="eastAsia" w:ascii="宋体" w:hAnsi="宋体" w:cs="宋体"/>
          <w:b/>
          <w:bCs/>
          <w:color w:val="auto"/>
          <w:sz w:val="24"/>
          <w:highlight w:val="none"/>
        </w:rPr>
        <w:t>第三条 合同有效期</w:t>
      </w:r>
    </w:p>
    <w:p w14:paraId="33ECF030">
      <w:pPr>
        <w:spacing w:line="300" w:lineRule="auto"/>
        <w:ind w:firstLine="480"/>
        <w:rPr>
          <w:rFonts w:ascii="宋体" w:hAnsi="宋体" w:cs="宋体"/>
          <w:color w:val="auto"/>
          <w:sz w:val="24"/>
          <w:highlight w:val="none"/>
        </w:rPr>
      </w:pPr>
      <w:r>
        <w:rPr>
          <w:rFonts w:hint="eastAsia" w:ascii="宋体" w:hAnsi="宋体" w:cs="宋体"/>
          <w:color w:val="auto"/>
          <w:sz w:val="24"/>
          <w:highlight w:val="none"/>
        </w:rPr>
        <w:t>自合同签订之日起至本项目合同履行完毕（承诺的质保期满）之日止</w:t>
      </w:r>
    </w:p>
    <w:p w14:paraId="6869A0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4"/>
          <w:highlight w:val="none"/>
        </w:rPr>
      </w:pPr>
    </w:p>
    <w:p w14:paraId="20DF22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4"/>
          <w:highlight w:val="none"/>
        </w:rPr>
      </w:pPr>
    </w:p>
    <w:p w14:paraId="05804C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4"/>
          <w:highlight w:val="none"/>
        </w:rPr>
      </w:pPr>
    </w:p>
    <w:p w14:paraId="098218EA">
      <w:pPr>
        <w:spacing w:line="480" w:lineRule="exact"/>
        <w:rPr>
          <w:rFonts w:ascii="宋体" w:hAnsi="宋体" w:cs="宋体"/>
          <w:b/>
          <w:color w:val="auto"/>
          <w:sz w:val="24"/>
          <w:highlight w:val="none"/>
        </w:rPr>
      </w:pPr>
      <w:r>
        <w:rPr>
          <w:rFonts w:hint="eastAsia" w:ascii="宋体" w:hAnsi="宋体" w:cs="宋体"/>
          <w:b/>
          <w:color w:val="auto"/>
          <w:sz w:val="24"/>
          <w:highlight w:val="none"/>
        </w:rPr>
        <w:t>采购人（甲方公章）                    供应商（乙方公章）：</w:t>
      </w:r>
    </w:p>
    <w:p w14:paraId="3EB6E389">
      <w:pPr>
        <w:spacing w:line="480" w:lineRule="exact"/>
        <w:rPr>
          <w:rFonts w:ascii="宋体" w:hAnsi="宋体" w:cs="宋体"/>
          <w:b/>
          <w:color w:val="auto"/>
          <w:sz w:val="24"/>
          <w:highlight w:val="none"/>
        </w:rPr>
      </w:pPr>
      <w:r>
        <w:rPr>
          <w:rFonts w:hint="eastAsia" w:ascii="宋体" w:hAnsi="宋体" w:cs="宋体"/>
          <w:b/>
          <w:color w:val="auto"/>
          <w:sz w:val="24"/>
          <w:highlight w:val="none"/>
        </w:rPr>
        <w:t>法定代表人                            法定代表人</w:t>
      </w:r>
    </w:p>
    <w:p w14:paraId="19A1DAE3">
      <w:pPr>
        <w:spacing w:line="480" w:lineRule="exact"/>
        <w:rPr>
          <w:rFonts w:ascii="宋体" w:hAnsi="宋体" w:cs="宋体"/>
          <w:b/>
          <w:color w:val="auto"/>
          <w:sz w:val="24"/>
          <w:highlight w:val="none"/>
        </w:rPr>
      </w:pPr>
      <w:r>
        <w:rPr>
          <w:rFonts w:hint="eastAsia" w:ascii="宋体" w:hAnsi="宋体" w:cs="宋体"/>
          <w:b/>
          <w:color w:val="auto"/>
          <w:sz w:val="24"/>
          <w:highlight w:val="none"/>
        </w:rPr>
        <w:t xml:space="preserve">或被授权人（签字）：                   或被授权人（签字）：     </w:t>
      </w:r>
    </w:p>
    <w:p w14:paraId="5660954C">
      <w:pPr>
        <w:spacing w:line="480" w:lineRule="exact"/>
        <w:rPr>
          <w:rFonts w:ascii="宋体" w:hAnsi="宋体" w:cs="宋体"/>
          <w:b/>
          <w:color w:val="auto"/>
          <w:sz w:val="24"/>
          <w:highlight w:val="none"/>
        </w:rPr>
      </w:pPr>
      <w:r>
        <w:rPr>
          <w:rFonts w:hint="eastAsia" w:ascii="宋体" w:hAnsi="宋体" w:cs="宋体"/>
          <w:b/>
          <w:color w:val="auto"/>
          <w:sz w:val="24"/>
          <w:highlight w:val="none"/>
        </w:rPr>
        <w:t xml:space="preserve">电话：                                电话：  </w:t>
      </w:r>
    </w:p>
    <w:p w14:paraId="10F76413">
      <w:pPr>
        <w:spacing w:line="480" w:lineRule="exact"/>
        <w:ind w:right="480" w:firstLine="2160" w:firstLineChars="900"/>
        <w:jc w:val="center"/>
        <w:rPr>
          <w:rFonts w:ascii="宋体" w:hAnsi="宋体" w:cs="宋体"/>
          <w:color w:val="auto"/>
          <w:sz w:val="24"/>
          <w:highlight w:val="none"/>
        </w:rPr>
      </w:pPr>
    </w:p>
    <w:p w14:paraId="16F67E0F">
      <w:pPr>
        <w:spacing w:line="480" w:lineRule="exact"/>
        <w:ind w:right="480" w:firstLine="2160" w:firstLineChars="900"/>
        <w:jc w:val="center"/>
        <w:rPr>
          <w:rFonts w:ascii="宋体" w:hAnsi="宋体" w:cs="宋体"/>
          <w:color w:val="auto"/>
          <w:sz w:val="24"/>
          <w:highlight w:val="none"/>
        </w:rPr>
      </w:pPr>
      <w:r>
        <w:rPr>
          <w:rFonts w:hint="eastAsia" w:ascii="宋体" w:hAnsi="宋体" w:cs="宋体"/>
          <w:color w:val="auto"/>
          <w:sz w:val="24"/>
          <w:highlight w:val="none"/>
        </w:rPr>
        <w:t xml:space="preserve">       合同签订日期：     年    月   日</w:t>
      </w:r>
    </w:p>
    <w:p w14:paraId="63FCFF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3480" w:firstLineChars="1450"/>
        <w:rPr>
          <w:rFonts w:ascii="宋体" w:hAnsi="宋体" w:cs="宋体"/>
          <w:color w:val="auto"/>
          <w:sz w:val="24"/>
          <w:highlight w:val="none"/>
        </w:rPr>
        <w:sectPr>
          <w:footerReference r:id="rId11" w:type="default"/>
          <w:pgSz w:w="11906" w:h="16838"/>
          <w:pgMar w:top="1440" w:right="1797" w:bottom="1440" w:left="1797" w:header="851" w:footer="851" w:gutter="0"/>
          <w:cols w:space="720" w:num="1"/>
          <w:docGrid w:linePitch="312" w:charSpace="0"/>
        </w:sectPr>
      </w:pPr>
      <w:r>
        <w:rPr>
          <w:rFonts w:hint="eastAsia" w:ascii="宋体" w:hAnsi="宋体" w:cs="宋体"/>
          <w:color w:val="auto"/>
          <w:sz w:val="24"/>
          <w:highlight w:val="none"/>
        </w:rPr>
        <w:t>签约地点：</w:t>
      </w:r>
    </w:p>
    <w:p w14:paraId="7E1488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3480" w:firstLineChars="1450"/>
        <w:rPr>
          <w:rFonts w:ascii="宋体" w:hAnsi="宋体" w:cs="宋体"/>
          <w:color w:val="auto"/>
          <w:kern w:val="0"/>
          <w:sz w:val="24"/>
          <w:highlight w:val="none"/>
        </w:rPr>
      </w:pPr>
    </w:p>
    <w:tbl>
      <w:tblPr>
        <w:tblStyle w:val="64"/>
        <w:tblW w:w="0" w:type="auto"/>
        <w:tblInd w:w="93" w:type="dxa"/>
        <w:tblLayout w:type="fixed"/>
        <w:tblCellMar>
          <w:top w:w="0" w:type="dxa"/>
          <w:left w:w="108" w:type="dxa"/>
          <w:bottom w:w="0" w:type="dxa"/>
          <w:right w:w="108" w:type="dxa"/>
        </w:tblCellMar>
      </w:tblPr>
      <w:tblGrid>
        <w:gridCol w:w="3654"/>
        <w:gridCol w:w="3021"/>
        <w:gridCol w:w="1855"/>
        <w:gridCol w:w="1745"/>
        <w:gridCol w:w="2080"/>
        <w:gridCol w:w="2081"/>
      </w:tblGrid>
      <w:tr w14:paraId="6B2A2CF6">
        <w:tblPrEx>
          <w:tblCellMar>
            <w:top w:w="0" w:type="dxa"/>
            <w:left w:w="108" w:type="dxa"/>
            <w:bottom w:w="0" w:type="dxa"/>
            <w:right w:w="108" w:type="dxa"/>
          </w:tblCellMar>
        </w:tblPrEx>
        <w:trPr>
          <w:trHeight w:val="480" w:hRule="atLeast"/>
        </w:trPr>
        <w:tc>
          <w:tcPr>
            <w:tcW w:w="14436" w:type="dxa"/>
            <w:gridSpan w:val="6"/>
            <w:tcBorders>
              <w:top w:val="nil"/>
              <w:left w:val="nil"/>
              <w:bottom w:val="nil"/>
              <w:right w:val="nil"/>
            </w:tcBorders>
            <w:vAlign w:val="bottom"/>
          </w:tcPr>
          <w:p w14:paraId="6EE446C3">
            <w:pPr>
              <w:widowControl/>
              <w:jc w:val="center"/>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嘉 善 县 政 府 采 购 商 品 验 收 单</w:t>
            </w:r>
          </w:p>
        </w:tc>
      </w:tr>
      <w:tr w14:paraId="1EFC9B18">
        <w:tblPrEx>
          <w:tblCellMar>
            <w:top w:w="0" w:type="dxa"/>
            <w:left w:w="108" w:type="dxa"/>
            <w:bottom w:w="0" w:type="dxa"/>
            <w:right w:w="108" w:type="dxa"/>
          </w:tblCellMar>
        </w:tblPrEx>
        <w:trPr>
          <w:trHeight w:val="285" w:hRule="atLeast"/>
        </w:trPr>
        <w:tc>
          <w:tcPr>
            <w:tcW w:w="3654" w:type="dxa"/>
            <w:tcBorders>
              <w:top w:val="nil"/>
              <w:left w:val="nil"/>
              <w:bottom w:val="nil"/>
              <w:right w:val="nil"/>
            </w:tcBorders>
            <w:vAlign w:val="bottom"/>
          </w:tcPr>
          <w:p w14:paraId="6ACBF574">
            <w:pPr>
              <w:widowControl/>
              <w:jc w:val="left"/>
              <w:rPr>
                <w:rFonts w:ascii="宋体" w:hAnsi="宋体" w:cs="宋体"/>
                <w:color w:val="auto"/>
                <w:kern w:val="0"/>
                <w:sz w:val="24"/>
                <w:highlight w:val="none"/>
              </w:rPr>
            </w:pPr>
          </w:p>
        </w:tc>
        <w:tc>
          <w:tcPr>
            <w:tcW w:w="3021" w:type="dxa"/>
            <w:tcBorders>
              <w:top w:val="nil"/>
              <w:left w:val="nil"/>
              <w:bottom w:val="nil"/>
              <w:right w:val="nil"/>
            </w:tcBorders>
            <w:vAlign w:val="bottom"/>
          </w:tcPr>
          <w:p w14:paraId="75F34659">
            <w:pPr>
              <w:widowControl/>
              <w:jc w:val="left"/>
              <w:rPr>
                <w:rFonts w:ascii="宋体" w:hAnsi="宋体" w:cs="宋体"/>
                <w:color w:val="auto"/>
                <w:kern w:val="0"/>
                <w:sz w:val="24"/>
                <w:highlight w:val="none"/>
              </w:rPr>
            </w:pPr>
          </w:p>
        </w:tc>
        <w:tc>
          <w:tcPr>
            <w:tcW w:w="1855" w:type="dxa"/>
            <w:tcBorders>
              <w:top w:val="nil"/>
              <w:left w:val="nil"/>
              <w:bottom w:val="nil"/>
              <w:right w:val="nil"/>
            </w:tcBorders>
            <w:vAlign w:val="bottom"/>
          </w:tcPr>
          <w:p w14:paraId="1FB5307A">
            <w:pPr>
              <w:widowControl/>
              <w:jc w:val="left"/>
              <w:rPr>
                <w:rFonts w:ascii="宋体" w:hAnsi="宋体" w:cs="宋体"/>
                <w:color w:val="auto"/>
                <w:kern w:val="0"/>
                <w:sz w:val="24"/>
                <w:highlight w:val="none"/>
              </w:rPr>
            </w:pPr>
          </w:p>
        </w:tc>
        <w:tc>
          <w:tcPr>
            <w:tcW w:w="1745" w:type="dxa"/>
            <w:tcBorders>
              <w:top w:val="nil"/>
              <w:left w:val="nil"/>
              <w:bottom w:val="nil"/>
              <w:right w:val="nil"/>
            </w:tcBorders>
            <w:vAlign w:val="bottom"/>
          </w:tcPr>
          <w:p w14:paraId="4C648C12">
            <w:pPr>
              <w:widowControl/>
              <w:jc w:val="left"/>
              <w:rPr>
                <w:rFonts w:ascii="宋体" w:hAnsi="宋体" w:cs="宋体"/>
                <w:color w:val="auto"/>
                <w:kern w:val="0"/>
                <w:sz w:val="24"/>
                <w:highlight w:val="none"/>
              </w:rPr>
            </w:pPr>
          </w:p>
        </w:tc>
        <w:tc>
          <w:tcPr>
            <w:tcW w:w="2080" w:type="dxa"/>
            <w:tcBorders>
              <w:top w:val="nil"/>
              <w:left w:val="nil"/>
              <w:bottom w:val="nil"/>
              <w:right w:val="nil"/>
            </w:tcBorders>
            <w:vAlign w:val="bottom"/>
          </w:tcPr>
          <w:p w14:paraId="7BD25B85">
            <w:pPr>
              <w:widowControl/>
              <w:jc w:val="left"/>
              <w:rPr>
                <w:rFonts w:ascii="宋体" w:hAnsi="宋体" w:cs="宋体"/>
                <w:color w:val="auto"/>
                <w:kern w:val="0"/>
                <w:sz w:val="24"/>
                <w:highlight w:val="none"/>
              </w:rPr>
            </w:pPr>
          </w:p>
        </w:tc>
        <w:tc>
          <w:tcPr>
            <w:tcW w:w="2081" w:type="dxa"/>
            <w:tcBorders>
              <w:top w:val="nil"/>
              <w:left w:val="nil"/>
              <w:bottom w:val="nil"/>
              <w:right w:val="nil"/>
            </w:tcBorders>
            <w:vAlign w:val="bottom"/>
          </w:tcPr>
          <w:p w14:paraId="7BF2BF61">
            <w:pPr>
              <w:widowControl/>
              <w:jc w:val="left"/>
              <w:rPr>
                <w:rFonts w:ascii="宋体" w:hAnsi="宋体" w:cs="宋体"/>
                <w:color w:val="auto"/>
                <w:kern w:val="0"/>
                <w:sz w:val="24"/>
                <w:highlight w:val="none"/>
              </w:rPr>
            </w:pPr>
          </w:p>
        </w:tc>
      </w:tr>
      <w:tr w14:paraId="5180D18D">
        <w:tblPrEx>
          <w:tblCellMar>
            <w:top w:w="0" w:type="dxa"/>
            <w:left w:w="108" w:type="dxa"/>
            <w:bottom w:w="0" w:type="dxa"/>
            <w:right w:w="108" w:type="dxa"/>
          </w:tblCellMar>
        </w:tblPrEx>
        <w:trPr>
          <w:trHeight w:val="330" w:hRule="atLeast"/>
        </w:trPr>
        <w:tc>
          <w:tcPr>
            <w:tcW w:w="3654" w:type="dxa"/>
            <w:tcBorders>
              <w:top w:val="nil"/>
              <w:left w:val="nil"/>
              <w:bottom w:val="nil"/>
              <w:right w:val="nil"/>
            </w:tcBorders>
            <w:vAlign w:val="bottom"/>
          </w:tcPr>
          <w:p w14:paraId="78AD6B3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采购申请编号:</w:t>
            </w:r>
          </w:p>
        </w:tc>
        <w:tc>
          <w:tcPr>
            <w:tcW w:w="3021" w:type="dxa"/>
            <w:tcBorders>
              <w:top w:val="nil"/>
              <w:left w:val="nil"/>
              <w:bottom w:val="nil"/>
              <w:right w:val="nil"/>
            </w:tcBorders>
            <w:vAlign w:val="bottom"/>
          </w:tcPr>
          <w:p w14:paraId="62A27AC6">
            <w:pPr>
              <w:widowControl/>
              <w:jc w:val="left"/>
              <w:rPr>
                <w:rFonts w:ascii="宋体" w:hAnsi="宋体" w:cs="宋体"/>
                <w:color w:val="auto"/>
                <w:kern w:val="0"/>
                <w:sz w:val="24"/>
                <w:highlight w:val="none"/>
              </w:rPr>
            </w:pPr>
          </w:p>
        </w:tc>
        <w:tc>
          <w:tcPr>
            <w:tcW w:w="1855" w:type="dxa"/>
            <w:tcBorders>
              <w:top w:val="nil"/>
              <w:left w:val="nil"/>
              <w:bottom w:val="nil"/>
              <w:right w:val="nil"/>
            </w:tcBorders>
            <w:vAlign w:val="bottom"/>
          </w:tcPr>
          <w:p w14:paraId="2BC53DBF">
            <w:pPr>
              <w:widowControl/>
              <w:jc w:val="left"/>
              <w:rPr>
                <w:rFonts w:ascii="宋体" w:hAnsi="宋体" w:cs="宋体"/>
                <w:color w:val="auto"/>
                <w:kern w:val="0"/>
                <w:sz w:val="24"/>
                <w:highlight w:val="none"/>
              </w:rPr>
            </w:pPr>
          </w:p>
        </w:tc>
        <w:tc>
          <w:tcPr>
            <w:tcW w:w="1745" w:type="dxa"/>
            <w:tcBorders>
              <w:top w:val="nil"/>
              <w:left w:val="nil"/>
              <w:bottom w:val="nil"/>
              <w:right w:val="nil"/>
            </w:tcBorders>
            <w:vAlign w:val="bottom"/>
          </w:tcPr>
          <w:p w14:paraId="7FCAF524">
            <w:pPr>
              <w:widowControl/>
              <w:jc w:val="left"/>
              <w:rPr>
                <w:rFonts w:ascii="宋体" w:hAnsi="宋体" w:cs="宋体"/>
                <w:color w:val="auto"/>
                <w:kern w:val="0"/>
                <w:sz w:val="24"/>
                <w:highlight w:val="none"/>
              </w:rPr>
            </w:pPr>
          </w:p>
        </w:tc>
        <w:tc>
          <w:tcPr>
            <w:tcW w:w="2080" w:type="dxa"/>
            <w:tcBorders>
              <w:top w:val="nil"/>
              <w:left w:val="nil"/>
              <w:bottom w:val="nil"/>
              <w:right w:val="nil"/>
            </w:tcBorders>
            <w:vAlign w:val="bottom"/>
          </w:tcPr>
          <w:p w14:paraId="6FDEDCD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合同编号:</w:t>
            </w:r>
          </w:p>
        </w:tc>
        <w:tc>
          <w:tcPr>
            <w:tcW w:w="2081" w:type="dxa"/>
            <w:tcBorders>
              <w:top w:val="nil"/>
              <w:left w:val="nil"/>
              <w:bottom w:val="nil"/>
              <w:right w:val="nil"/>
            </w:tcBorders>
            <w:vAlign w:val="bottom"/>
          </w:tcPr>
          <w:p w14:paraId="14D1F48A">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号</w:t>
            </w:r>
          </w:p>
        </w:tc>
      </w:tr>
      <w:tr w14:paraId="4A648341">
        <w:tblPrEx>
          <w:tblCellMar>
            <w:top w:w="0" w:type="dxa"/>
            <w:left w:w="108" w:type="dxa"/>
            <w:bottom w:w="0" w:type="dxa"/>
            <w:right w:w="108" w:type="dxa"/>
          </w:tblCellMar>
        </w:tblPrEx>
        <w:trPr>
          <w:trHeight w:val="480" w:hRule="atLeast"/>
        </w:trPr>
        <w:tc>
          <w:tcPr>
            <w:tcW w:w="3654" w:type="dxa"/>
            <w:tcBorders>
              <w:top w:val="single" w:color="auto" w:sz="4" w:space="0"/>
              <w:left w:val="single" w:color="auto" w:sz="4" w:space="0"/>
              <w:bottom w:val="single" w:color="auto" w:sz="4" w:space="0"/>
              <w:right w:val="single" w:color="auto" w:sz="4" w:space="0"/>
            </w:tcBorders>
            <w:vAlign w:val="center"/>
          </w:tcPr>
          <w:p w14:paraId="42E8430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采购单位（需方）</w:t>
            </w:r>
          </w:p>
        </w:tc>
        <w:tc>
          <w:tcPr>
            <w:tcW w:w="3021" w:type="dxa"/>
            <w:tcBorders>
              <w:top w:val="single" w:color="auto" w:sz="4" w:space="0"/>
              <w:left w:val="nil"/>
              <w:bottom w:val="single" w:color="auto" w:sz="4" w:space="0"/>
              <w:right w:val="single" w:color="auto" w:sz="4" w:space="0"/>
            </w:tcBorders>
            <w:vAlign w:val="center"/>
          </w:tcPr>
          <w:p w14:paraId="6F5F7C9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single" w:color="auto" w:sz="4" w:space="0"/>
              <w:left w:val="nil"/>
              <w:bottom w:val="single" w:color="auto" w:sz="4" w:space="0"/>
              <w:right w:val="single" w:color="auto" w:sz="4" w:space="0"/>
            </w:tcBorders>
            <w:vAlign w:val="center"/>
          </w:tcPr>
          <w:p w14:paraId="63A720A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联系人</w:t>
            </w:r>
          </w:p>
        </w:tc>
        <w:tc>
          <w:tcPr>
            <w:tcW w:w="1745" w:type="dxa"/>
            <w:tcBorders>
              <w:top w:val="single" w:color="auto" w:sz="4" w:space="0"/>
              <w:left w:val="nil"/>
              <w:bottom w:val="single" w:color="auto" w:sz="4" w:space="0"/>
              <w:right w:val="single" w:color="auto" w:sz="4" w:space="0"/>
            </w:tcBorders>
            <w:vAlign w:val="center"/>
          </w:tcPr>
          <w:p w14:paraId="1C8BB07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single" w:color="auto" w:sz="4" w:space="0"/>
              <w:left w:val="nil"/>
              <w:bottom w:val="single" w:color="auto" w:sz="4" w:space="0"/>
              <w:right w:val="single" w:color="auto" w:sz="4" w:space="0"/>
            </w:tcBorders>
            <w:vAlign w:val="center"/>
          </w:tcPr>
          <w:p w14:paraId="3D09C4E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联系电话</w:t>
            </w:r>
          </w:p>
        </w:tc>
        <w:tc>
          <w:tcPr>
            <w:tcW w:w="2081" w:type="dxa"/>
            <w:tcBorders>
              <w:top w:val="single" w:color="auto" w:sz="4" w:space="0"/>
              <w:left w:val="nil"/>
              <w:bottom w:val="single" w:color="auto" w:sz="4" w:space="0"/>
              <w:right w:val="single" w:color="auto" w:sz="4" w:space="0"/>
            </w:tcBorders>
            <w:vAlign w:val="center"/>
          </w:tcPr>
          <w:p w14:paraId="2B59DBD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00934241">
        <w:tblPrEx>
          <w:tblCellMar>
            <w:top w:w="0" w:type="dxa"/>
            <w:left w:w="108" w:type="dxa"/>
            <w:bottom w:w="0" w:type="dxa"/>
            <w:right w:w="108" w:type="dxa"/>
          </w:tblCellMar>
        </w:tblPrEx>
        <w:trPr>
          <w:trHeight w:val="480" w:hRule="atLeast"/>
        </w:trPr>
        <w:tc>
          <w:tcPr>
            <w:tcW w:w="3654" w:type="dxa"/>
            <w:tcBorders>
              <w:top w:val="nil"/>
              <w:left w:val="single" w:color="auto" w:sz="4" w:space="0"/>
              <w:bottom w:val="single" w:color="auto" w:sz="4" w:space="0"/>
              <w:right w:val="single" w:color="auto" w:sz="4" w:space="0"/>
            </w:tcBorders>
            <w:vAlign w:val="center"/>
          </w:tcPr>
          <w:p w14:paraId="1B69DDC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供应商（供方）</w:t>
            </w:r>
          </w:p>
        </w:tc>
        <w:tc>
          <w:tcPr>
            <w:tcW w:w="3021" w:type="dxa"/>
            <w:tcBorders>
              <w:top w:val="nil"/>
              <w:left w:val="nil"/>
              <w:bottom w:val="single" w:color="auto" w:sz="4" w:space="0"/>
              <w:right w:val="single" w:color="auto" w:sz="4" w:space="0"/>
            </w:tcBorders>
            <w:vAlign w:val="center"/>
          </w:tcPr>
          <w:p w14:paraId="19D5F4B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nil"/>
              <w:left w:val="nil"/>
              <w:bottom w:val="single" w:color="auto" w:sz="4" w:space="0"/>
              <w:right w:val="single" w:color="auto" w:sz="4" w:space="0"/>
            </w:tcBorders>
            <w:vAlign w:val="center"/>
          </w:tcPr>
          <w:p w14:paraId="47B16A7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联系人</w:t>
            </w:r>
          </w:p>
        </w:tc>
        <w:tc>
          <w:tcPr>
            <w:tcW w:w="1745" w:type="dxa"/>
            <w:tcBorders>
              <w:top w:val="nil"/>
              <w:left w:val="nil"/>
              <w:bottom w:val="single" w:color="auto" w:sz="4" w:space="0"/>
              <w:right w:val="single" w:color="auto" w:sz="4" w:space="0"/>
            </w:tcBorders>
            <w:vAlign w:val="center"/>
          </w:tcPr>
          <w:p w14:paraId="57439A6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single" w:color="auto" w:sz="4" w:space="0"/>
              <w:right w:val="single" w:color="auto" w:sz="4" w:space="0"/>
            </w:tcBorders>
            <w:vAlign w:val="center"/>
          </w:tcPr>
          <w:p w14:paraId="76F9CA8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联系电话</w:t>
            </w:r>
          </w:p>
        </w:tc>
        <w:tc>
          <w:tcPr>
            <w:tcW w:w="2081" w:type="dxa"/>
            <w:tcBorders>
              <w:top w:val="nil"/>
              <w:left w:val="nil"/>
              <w:bottom w:val="single" w:color="auto" w:sz="4" w:space="0"/>
              <w:right w:val="single" w:color="auto" w:sz="4" w:space="0"/>
            </w:tcBorders>
            <w:vAlign w:val="center"/>
          </w:tcPr>
          <w:p w14:paraId="7558E7E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2D35B3EA">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14:paraId="3283E16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商品名称</w:t>
            </w:r>
          </w:p>
        </w:tc>
        <w:tc>
          <w:tcPr>
            <w:tcW w:w="3021" w:type="dxa"/>
            <w:tcBorders>
              <w:top w:val="nil"/>
              <w:left w:val="nil"/>
              <w:bottom w:val="single" w:color="auto" w:sz="4" w:space="0"/>
              <w:right w:val="single" w:color="auto" w:sz="4" w:space="0"/>
            </w:tcBorders>
            <w:vAlign w:val="center"/>
          </w:tcPr>
          <w:p w14:paraId="02D5455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规格型号及要求</w:t>
            </w:r>
          </w:p>
        </w:tc>
        <w:tc>
          <w:tcPr>
            <w:tcW w:w="1855" w:type="dxa"/>
            <w:tcBorders>
              <w:top w:val="nil"/>
              <w:left w:val="nil"/>
              <w:bottom w:val="single" w:color="auto" w:sz="4" w:space="0"/>
              <w:right w:val="single" w:color="auto" w:sz="4" w:space="0"/>
            </w:tcBorders>
            <w:vAlign w:val="center"/>
          </w:tcPr>
          <w:p w14:paraId="57CBE7A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计量单位</w:t>
            </w:r>
          </w:p>
        </w:tc>
        <w:tc>
          <w:tcPr>
            <w:tcW w:w="1745" w:type="dxa"/>
            <w:tcBorders>
              <w:top w:val="nil"/>
              <w:left w:val="nil"/>
              <w:bottom w:val="single" w:color="auto" w:sz="4" w:space="0"/>
              <w:right w:val="single" w:color="auto" w:sz="4" w:space="0"/>
            </w:tcBorders>
            <w:vAlign w:val="center"/>
          </w:tcPr>
          <w:p w14:paraId="43FE9C0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数     量</w:t>
            </w:r>
          </w:p>
        </w:tc>
        <w:tc>
          <w:tcPr>
            <w:tcW w:w="2080" w:type="dxa"/>
            <w:tcBorders>
              <w:top w:val="nil"/>
              <w:left w:val="nil"/>
              <w:bottom w:val="single" w:color="auto" w:sz="4" w:space="0"/>
              <w:right w:val="single" w:color="auto" w:sz="4" w:space="0"/>
            </w:tcBorders>
            <w:vAlign w:val="center"/>
          </w:tcPr>
          <w:p w14:paraId="78729A1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单价(元)</w:t>
            </w:r>
          </w:p>
        </w:tc>
        <w:tc>
          <w:tcPr>
            <w:tcW w:w="2081" w:type="dxa"/>
            <w:tcBorders>
              <w:top w:val="nil"/>
              <w:left w:val="nil"/>
              <w:bottom w:val="single" w:color="auto" w:sz="4" w:space="0"/>
              <w:right w:val="single" w:color="auto" w:sz="4" w:space="0"/>
            </w:tcBorders>
            <w:vAlign w:val="center"/>
          </w:tcPr>
          <w:p w14:paraId="6B6472E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金额 (元)</w:t>
            </w:r>
          </w:p>
        </w:tc>
      </w:tr>
      <w:tr w14:paraId="7D1E7FB4">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14:paraId="49746CB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3021" w:type="dxa"/>
            <w:tcBorders>
              <w:top w:val="nil"/>
              <w:left w:val="nil"/>
              <w:bottom w:val="single" w:color="auto" w:sz="4" w:space="0"/>
              <w:right w:val="single" w:color="auto" w:sz="4" w:space="0"/>
            </w:tcBorders>
            <w:vAlign w:val="center"/>
          </w:tcPr>
          <w:p w14:paraId="44855F2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nil"/>
              <w:left w:val="nil"/>
              <w:bottom w:val="single" w:color="auto" w:sz="4" w:space="0"/>
              <w:right w:val="single" w:color="auto" w:sz="4" w:space="0"/>
            </w:tcBorders>
            <w:vAlign w:val="center"/>
          </w:tcPr>
          <w:p w14:paraId="563C6AE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45" w:type="dxa"/>
            <w:tcBorders>
              <w:top w:val="nil"/>
              <w:left w:val="nil"/>
              <w:bottom w:val="single" w:color="auto" w:sz="4" w:space="0"/>
              <w:right w:val="single" w:color="auto" w:sz="4" w:space="0"/>
            </w:tcBorders>
            <w:vAlign w:val="center"/>
          </w:tcPr>
          <w:p w14:paraId="167863E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single" w:color="auto" w:sz="4" w:space="0"/>
              <w:right w:val="single" w:color="auto" w:sz="4" w:space="0"/>
            </w:tcBorders>
            <w:vAlign w:val="center"/>
          </w:tcPr>
          <w:p w14:paraId="6A9F3D9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1" w:type="dxa"/>
            <w:tcBorders>
              <w:top w:val="nil"/>
              <w:left w:val="nil"/>
              <w:bottom w:val="single" w:color="auto" w:sz="4" w:space="0"/>
              <w:right w:val="single" w:color="auto" w:sz="4" w:space="0"/>
            </w:tcBorders>
            <w:vAlign w:val="center"/>
          </w:tcPr>
          <w:p w14:paraId="074A076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46FDDC56">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14:paraId="57AE638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3021" w:type="dxa"/>
            <w:tcBorders>
              <w:top w:val="nil"/>
              <w:left w:val="nil"/>
              <w:bottom w:val="single" w:color="auto" w:sz="4" w:space="0"/>
              <w:right w:val="single" w:color="auto" w:sz="4" w:space="0"/>
            </w:tcBorders>
            <w:vAlign w:val="center"/>
          </w:tcPr>
          <w:p w14:paraId="1A8F686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nil"/>
              <w:left w:val="nil"/>
              <w:bottom w:val="single" w:color="auto" w:sz="4" w:space="0"/>
              <w:right w:val="single" w:color="auto" w:sz="4" w:space="0"/>
            </w:tcBorders>
            <w:vAlign w:val="center"/>
          </w:tcPr>
          <w:p w14:paraId="3838F1C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45" w:type="dxa"/>
            <w:tcBorders>
              <w:top w:val="nil"/>
              <w:left w:val="nil"/>
              <w:bottom w:val="single" w:color="auto" w:sz="4" w:space="0"/>
              <w:right w:val="single" w:color="auto" w:sz="4" w:space="0"/>
            </w:tcBorders>
            <w:vAlign w:val="center"/>
          </w:tcPr>
          <w:p w14:paraId="1DC0FC9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single" w:color="auto" w:sz="4" w:space="0"/>
              <w:right w:val="single" w:color="auto" w:sz="4" w:space="0"/>
            </w:tcBorders>
            <w:vAlign w:val="center"/>
          </w:tcPr>
          <w:p w14:paraId="7073833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1" w:type="dxa"/>
            <w:tcBorders>
              <w:top w:val="nil"/>
              <w:left w:val="nil"/>
              <w:bottom w:val="single" w:color="auto" w:sz="4" w:space="0"/>
              <w:right w:val="single" w:color="auto" w:sz="4" w:space="0"/>
            </w:tcBorders>
            <w:vAlign w:val="center"/>
          </w:tcPr>
          <w:p w14:paraId="48EB303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3C988787">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14:paraId="79006D7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合   计</w:t>
            </w:r>
          </w:p>
        </w:tc>
        <w:tc>
          <w:tcPr>
            <w:tcW w:w="3021" w:type="dxa"/>
            <w:tcBorders>
              <w:top w:val="nil"/>
              <w:left w:val="nil"/>
              <w:bottom w:val="single" w:color="auto" w:sz="4" w:space="0"/>
              <w:right w:val="single" w:color="auto" w:sz="4" w:space="0"/>
            </w:tcBorders>
            <w:vAlign w:val="center"/>
          </w:tcPr>
          <w:p w14:paraId="7E153DD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855" w:type="dxa"/>
            <w:tcBorders>
              <w:top w:val="nil"/>
              <w:left w:val="nil"/>
              <w:bottom w:val="single" w:color="auto" w:sz="4" w:space="0"/>
              <w:right w:val="single" w:color="auto" w:sz="4" w:space="0"/>
            </w:tcBorders>
            <w:vAlign w:val="center"/>
          </w:tcPr>
          <w:p w14:paraId="14F39B0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45" w:type="dxa"/>
            <w:tcBorders>
              <w:top w:val="nil"/>
              <w:left w:val="nil"/>
              <w:bottom w:val="single" w:color="auto" w:sz="4" w:space="0"/>
              <w:right w:val="single" w:color="auto" w:sz="4" w:space="0"/>
            </w:tcBorders>
            <w:vAlign w:val="center"/>
          </w:tcPr>
          <w:p w14:paraId="4B7EF54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single" w:color="auto" w:sz="4" w:space="0"/>
              <w:right w:val="single" w:color="auto" w:sz="4" w:space="0"/>
            </w:tcBorders>
            <w:vAlign w:val="center"/>
          </w:tcPr>
          <w:p w14:paraId="3578913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1" w:type="dxa"/>
            <w:tcBorders>
              <w:top w:val="nil"/>
              <w:left w:val="nil"/>
              <w:bottom w:val="single" w:color="auto" w:sz="4" w:space="0"/>
              <w:right w:val="single" w:color="auto" w:sz="4" w:space="0"/>
            </w:tcBorders>
            <w:vAlign w:val="center"/>
          </w:tcPr>
          <w:p w14:paraId="6CEAF00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122C1CEA">
        <w:tblPrEx>
          <w:tblCellMar>
            <w:top w:w="0" w:type="dxa"/>
            <w:left w:w="108" w:type="dxa"/>
            <w:bottom w:w="0" w:type="dxa"/>
            <w:right w:w="108" w:type="dxa"/>
          </w:tblCellMar>
        </w:tblPrEx>
        <w:trPr>
          <w:trHeight w:val="480" w:hRule="atLeast"/>
        </w:trPr>
        <w:tc>
          <w:tcPr>
            <w:tcW w:w="14436" w:type="dxa"/>
            <w:gridSpan w:val="6"/>
            <w:tcBorders>
              <w:top w:val="single" w:color="auto" w:sz="4" w:space="0"/>
              <w:left w:val="single" w:color="auto" w:sz="4" w:space="0"/>
              <w:bottom w:val="single" w:color="auto" w:sz="4" w:space="0"/>
              <w:right w:val="single" w:color="000000" w:sz="4" w:space="0"/>
            </w:tcBorders>
            <w:vAlign w:val="center"/>
          </w:tcPr>
          <w:p w14:paraId="10F6DFE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合计人民币(大写):</w:t>
            </w:r>
          </w:p>
        </w:tc>
      </w:tr>
      <w:tr w14:paraId="06AC237D">
        <w:tblPrEx>
          <w:tblCellMar>
            <w:top w:w="0" w:type="dxa"/>
            <w:left w:w="108" w:type="dxa"/>
            <w:bottom w:w="0" w:type="dxa"/>
            <w:right w:w="108" w:type="dxa"/>
          </w:tblCellMar>
        </w:tblPrEx>
        <w:trPr>
          <w:trHeight w:val="390" w:hRule="atLeast"/>
        </w:trPr>
        <w:tc>
          <w:tcPr>
            <w:tcW w:w="14436" w:type="dxa"/>
            <w:gridSpan w:val="6"/>
            <w:tcBorders>
              <w:top w:val="single" w:color="auto" w:sz="4" w:space="0"/>
              <w:left w:val="nil"/>
              <w:bottom w:val="nil"/>
              <w:right w:val="nil"/>
            </w:tcBorders>
            <w:vAlign w:val="center"/>
          </w:tcPr>
          <w:p w14:paraId="3472F25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详细设备清单见装箱单</w:t>
            </w:r>
          </w:p>
        </w:tc>
      </w:tr>
      <w:tr w14:paraId="359862DB">
        <w:tblPrEx>
          <w:tblCellMar>
            <w:top w:w="0" w:type="dxa"/>
            <w:left w:w="108" w:type="dxa"/>
            <w:bottom w:w="0" w:type="dxa"/>
            <w:right w:w="108" w:type="dxa"/>
          </w:tblCellMar>
        </w:tblPrEx>
        <w:trPr>
          <w:trHeight w:val="405" w:hRule="atLeast"/>
        </w:trPr>
        <w:tc>
          <w:tcPr>
            <w:tcW w:w="8530" w:type="dxa"/>
            <w:gridSpan w:val="3"/>
            <w:tcBorders>
              <w:top w:val="single" w:color="auto" w:sz="4" w:space="0"/>
              <w:left w:val="single" w:color="auto" w:sz="4" w:space="0"/>
              <w:bottom w:val="nil"/>
              <w:right w:val="nil"/>
            </w:tcBorders>
            <w:vAlign w:val="bottom"/>
          </w:tcPr>
          <w:p w14:paraId="68F15A2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采购单位验收情况:</w:t>
            </w:r>
          </w:p>
        </w:tc>
        <w:tc>
          <w:tcPr>
            <w:tcW w:w="5906" w:type="dxa"/>
            <w:gridSpan w:val="3"/>
            <w:tcBorders>
              <w:top w:val="single" w:color="auto" w:sz="4" w:space="0"/>
              <w:left w:val="single" w:color="auto" w:sz="4" w:space="0"/>
              <w:bottom w:val="nil"/>
              <w:right w:val="single" w:color="000000" w:sz="4" w:space="0"/>
            </w:tcBorders>
            <w:vAlign w:val="bottom"/>
          </w:tcPr>
          <w:p w14:paraId="123F892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采购单位付款意见:</w:t>
            </w:r>
          </w:p>
        </w:tc>
      </w:tr>
      <w:tr w14:paraId="75FDF4E9">
        <w:tblPrEx>
          <w:tblCellMar>
            <w:top w:w="0" w:type="dxa"/>
            <w:left w:w="108" w:type="dxa"/>
            <w:bottom w:w="0" w:type="dxa"/>
            <w:right w:w="108" w:type="dxa"/>
          </w:tblCellMar>
        </w:tblPrEx>
        <w:trPr>
          <w:trHeight w:val="1125" w:hRule="atLeast"/>
        </w:trPr>
        <w:tc>
          <w:tcPr>
            <w:tcW w:w="3654" w:type="dxa"/>
            <w:tcBorders>
              <w:top w:val="nil"/>
              <w:left w:val="single" w:color="auto" w:sz="4" w:space="0"/>
              <w:bottom w:val="single" w:color="auto" w:sz="4" w:space="0"/>
              <w:right w:val="nil"/>
            </w:tcBorders>
            <w:vAlign w:val="bottom"/>
          </w:tcPr>
          <w:p w14:paraId="6850043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3021" w:type="dxa"/>
            <w:tcBorders>
              <w:top w:val="nil"/>
              <w:left w:val="nil"/>
              <w:bottom w:val="single" w:color="auto" w:sz="4" w:space="0"/>
              <w:right w:val="nil"/>
            </w:tcBorders>
            <w:vAlign w:val="bottom"/>
          </w:tcPr>
          <w:p w14:paraId="3104A486">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验收人（签字）:</w:t>
            </w:r>
          </w:p>
        </w:tc>
        <w:tc>
          <w:tcPr>
            <w:tcW w:w="1855" w:type="dxa"/>
            <w:tcBorders>
              <w:top w:val="nil"/>
              <w:left w:val="nil"/>
              <w:bottom w:val="single" w:color="auto" w:sz="4" w:space="0"/>
              <w:right w:val="nil"/>
            </w:tcBorders>
            <w:vAlign w:val="bottom"/>
          </w:tcPr>
          <w:p w14:paraId="7C84961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5906" w:type="dxa"/>
            <w:gridSpan w:val="3"/>
            <w:tcBorders>
              <w:top w:val="nil"/>
              <w:left w:val="single" w:color="auto" w:sz="4" w:space="0"/>
              <w:bottom w:val="single" w:color="auto" w:sz="4" w:space="0"/>
              <w:right w:val="single" w:color="000000" w:sz="4" w:space="0"/>
            </w:tcBorders>
            <w:vAlign w:val="bottom"/>
          </w:tcPr>
          <w:p w14:paraId="11BF3913">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20     年    月    日</w:t>
            </w:r>
          </w:p>
        </w:tc>
      </w:tr>
      <w:tr w14:paraId="45A76A94">
        <w:tblPrEx>
          <w:tblCellMar>
            <w:top w:w="0" w:type="dxa"/>
            <w:left w:w="108" w:type="dxa"/>
            <w:bottom w:w="0" w:type="dxa"/>
            <w:right w:w="108" w:type="dxa"/>
          </w:tblCellMar>
        </w:tblPrEx>
        <w:trPr>
          <w:trHeight w:val="375" w:hRule="atLeast"/>
        </w:trPr>
        <w:tc>
          <w:tcPr>
            <w:tcW w:w="8530" w:type="dxa"/>
            <w:gridSpan w:val="3"/>
            <w:tcBorders>
              <w:top w:val="single" w:color="auto" w:sz="4" w:space="0"/>
              <w:left w:val="single" w:color="auto" w:sz="4" w:space="0"/>
              <w:bottom w:val="nil"/>
              <w:right w:val="single" w:color="000000" w:sz="4" w:space="0"/>
            </w:tcBorders>
            <w:vAlign w:val="bottom"/>
          </w:tcPr>
          <w:p w14:paraId="2639071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供应商(盖章)</w:t>
            </w:r>
          </w:p>
        </w:tc>
        <w:tc>
          <w:tcPr>
            <w:tcW w:w="5906" w:type="dxa"/>
            <w:gridSpan w:val="3"/>
            <w:tcBorders>
              <w:top w:val="single" w:color="auto" w:sz="4" w:space="0"/>
              <w:left w:val="nil"/>
              <w:bottom w:val="nil"/>
              <w:right w:val="single" w:color="000000" w:sz="4" w:space="0"/>
            </w:tcBorders>
            <w:vAlign w:val="bottom"/>
          </w:tcPr>
          <w:p w14:paraId="32ACC59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县公共资源交易中心意见:</w:t>
            </w:r>
          </w:p>
        </w:tc>
      </w:tr>
      <w:tr w14:paraId="74371F17">
        <w:tblPrEx>
          <w:tblCellMar>
            <w:top w:w="0" w:type="dxa"/>
            <w:left w:w="108" w:type="dxa"/>
            <w:bottom w:w="0" w:type="dxa"/>
            <w:right w:w="108" w:type="dxa"/>
          </w:tblCellMar>
        </w:tblPrEx>
        <w:trPr>
          <w:trHeight w:val="285" w:hRule="atLeast"/>
        </w:trPr>
        <w:tc>
          <w:tcPr>
            <w:tcW w:w="8530" w:type="dxa"/>
            <w:gridSpan w:val="3"/>
            <w:tcBorders>
              <w:top w:val="nil"/>
              <w:left w:val="single" w:color="auto" w:sz="4" w:space="0"/>
              <w:bottom w:val="nil"/>
              <w:right w:val="single" w:color="000000" w:sz="4" w:space="0"/>
            </w:tcBorders>
            <w:vAlign w:val="bottom"/>
          </w:tcPr>
          <w:p w14:paraId="48E2152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经办人（签字）:</w:t>
            </w:r>
          </w:p>
        </w:tc>
        <w:tc>
          <w:tcPr>
            <w:tcW w:w="1745" w:type="dxa"/>
            <w:tcBorders>
              <w:top w:val="nil"/>
              <w:left w:val="nil"/>
              <w:bottom w:val="nil"/>
              <w:right w:val="nil"/>
            </w:tcBorders>
            <w:vAlign w:val="bottom"/>
          </w:tcPr>
          <w:p w14:paraId="5235660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80" w:type="dxa"/>
            <w:tcBorders>
              <w:top w:val="nil"/>
              <w:left w:val="nil"/>
              <w:bottom w:val="nil"/>
              <w:right w:val="nil"/>
            </w:tcBorders>
            <w:vAlign w:val="bottom"/>
          </w:tcPr>
          <w:p w14:paraId="4CA72A38">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(盖章)</w:t>
            </w:r>
          </w:p>
        </w:tc>
        <w:tc>
          <w:tcPr>
            <w:tcW w:w="2081" w:type="dxa"/>
            <w:tcBorders>
              <w:top w:val="nil"/>
              <w:left w:val="nil"/>
              <w:bottom w:val="nil"/>
              <w:right w:val="single" w:color="auto" w:sz="4" w:space="0"/>
            </w:tcBorders>
            <w:vAlign w:val="bottom"/>
          </w:tcPr>
          <w:p w14:paraId="3960684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5A37FD71">
        <w:tblPrEx>
          <w:tblCellMar>
            <w:top w:w="0" w:type="dxa"/>
            <w:left w:w="108" w:type="dxa"/>
            <w:bottom w:w="0" w:type="dxa"/>
            <w:right w:w="108" w:type="dxa"/>
          </w:tblCellMar>
        </w:tblPrEx>
        <w:trPr>
          <w:trHeight w:val="540" w:hRule="atLeast"/>
        </w:trPr>
        <w:tc>
          <w:tcPr>
            <w:tcW w:w="8530" w:type="dxa"/>
            <w:gridSpan w:val="3"/>
            <w:tcBorders>
              <w:top w:val="nil"/>
              <w:left w:val="single" w:color="auto" w:sz="4" w:space="0"/>
              <w:bottom w:val="single" w:color="auto" w:sz="4" w:space="0"/>
              <w:right w:val="single" w:color="000000" w:sz="4" w:space="0"/>
            </w:tcBorders>
            <w:vAlign w:val="bottom"/>
          </w:tcPr>
          <w:p w14:paraId="7F2EBBF2">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验收日期:20     年    月    日</w:t>
            </w:r>
          </w:p>
        </w:tc>
        <w:tc>
          <w:tcPr>
            <w:tcW w:w="5906" w:type="dxa"/>
            <w:gridSpan w:val="3"/>
            <w:tcBorders>
              <w:top w:val="nil"/>
              <w:left w:val="nil"/>
              <w:bottom w:val="single" w:color="auto" w:sz="4" w:space="0"/>
              <w:right w:val="single" w:color="000000" w:sz="4" w:space="0"/>
            </w:tcBorders>
            <w:vAlign w:val="bottom"/>
          </w:tcPr>
          <w:p w14:paraId="62E79173">
            <w:pPr>
              <w:widowControl/>
              <w:jc w:val="right"/>
              <w:rPr>
                <w:rFonts w:ascii="宋体" w:hAnsi="宋体" w:cs="宋体"/>
                <w:color w:val="auto"/>
                <w:kern w:val="0"/>
                <w:sz w:val="24"/>
                <w:highlight w:val="none"/>
              </w:rPr>
            </w:pPr>
            <w:r>
              <w:rPr>
                <w:rFonts w:hint="eastAsia" w:ascii="宋体" w:hAnsi="宋体" w:cs="宋体"/>
                <w:color w:val="auto"/>
                <w:kern w:val="0"/>
                <w:sz w:val="24"/>
                <w:highlight w:val="none"/>
              </w:rPr>
              <w:t>20    年    月    日</w:t>
            </w:r>
          </w:p>
        </w:tc>
      </w:tr>
      <w:tr w14:paraId="1404618F">
        <w:tblPrEx>
          <w:tblCellMar>
            <w:top w:w="0" w:type="dxa"/>
            <w:left w:w="108" w:type="dxa"/>
            <w:bottom w:w="0" w:type="dxa"/>
            <w:right w:w="108" w:type="dxa"/>
          </w:tblCellMar>
        </w:tblPrEx>
        <w:trPr>
          <w:trHeight w:val="285" w:hRule="atLeast"/>
        </w:trPr>
        <w:tc>
          <w:tcPr>
            <w:tcW w:w="14436" w:type="dxa"/>
            <w:gridSpan w:val="6"/>
            <w:tcBorders>
              <w:top w:val="single" w:color="auto" w:sz="4" w:space="0"/>
              <w:left w:val="nil"/>
              <w:bottom w:val="nil"/>
              <w:right w:val="nil"/>
            </w:tcBorders>
            <w:vAlign w:val="bottom"/>
          </w:tcPr>
          <w:p w14:paraId="330A099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注：1、表内各项必须填写完整，根据实际需求可增加或删除行，不得改动格式；</w:t>
            </w:r>
          </w:p>
        </w:tc>
      </w:tr>
      <w:tr w14:paraId="10158E31">
        <w:tblPrEx>
          <w:tblCellMar>
            <w:top w:w="0" w:type="dxa"/>
            <w:left w:w="108" w:type="dxa"/>
            <w:bottom w:w="0" w:type="dxa"/>
            <w:right w:w="108" w:type="dxa"/>
          </w:tblCellMar>
        </w:tblPrEx>
        <w:trPr>
          <w:trHeight w:val="285" w:hRule="atLeast"/>
        </w:trPr>
        <w:tc>
          <w:tcPr>
            <w:tcW w:w="14436" w:type="dxa"/>
            <w:gridSpan w:val="6"/>
            <w:tcBorders>
              <w:top w:val="nil"/>
              <w:left w:val="nil"/>
              <w:bottom w:val="nil"/>
              <w:right w:val="nil"/>
            </w:tcBorders>
            <w:vAlign w:val="bottom"/>
          </w:tcPr>
          <w:p w14:paraId="4A49B2E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2、本表一式五份，经供需双方签字盖章后由采购单位、供应商、财政支付（核算）中心、财政局、公共资源交易中心各自留存。</w:t>
            </w:r>
          </w:p>
        </w:tc>
      </w:tr>
    </w:tbl>
    <w:p w14:paraId="54618F89">
      <w:pPr>
        <w:pStyle w:val="35"/>
        <w:spacing w:before="120" w:after="120" w:line="420" w:lineRule="exact"/>
        <w:rPr>
          <w:rFonts w:hAnsi="宋体"/>
          <w:bCs/>
          <w:color w:val="auto"/>
          <w:highlight w:val="none"/>
        </w:rPr>
        <w:sectPr>
          <w:pgSz w:w="16838" w:h="11906" w:orient="landscape"/>
          <w:pgMar w:top="1134" w:right="1134" w:bottom="1134" w:left="1417" w:header="851" w:footer="851" w:gutter="0"/>
          <w:cols w:space="720" w:num="1"/>
          <w:docGrid w:linePitch="312" w:charSpace="0"/>
        </w:sectPr>
      </w:pPr>
    </w:p>
    <w:p w14:paraId="1AA2CB79">
      <w:pPr>
        <w:jc w:val="center"/>
        <w:rPr>
          <w:rFonts w:ascii="宋体" w:hAnsi="宋体" w:cs="宋体"/>
          <w:color w:val="auto"/>
          <w:sz w:val="28"/>
          <w:szCs w:val="28"/>
          <w:highlight w:val="none"/>
        </w:rPr>
      </w:pPr>
      <w:r>
        <w:rPr>
          <w:rFonts w:hint="eastAsia" w:ascii="宋体" w:hAnsi="宋体" w:cs="宋体"/>
          <w:color w:val="auto"/>
          <w:sz w:val="28"/>
          <w:szCs w:val="28"/>
          <w:highlight w:val="none"/>
        </w:rPr>
        <w:t>嘉善县实验幼儿园（兴贤）玩具采购 验收报告</w:t>
      </w:r>
    </w:p>
    <w:p w14:paraId="12FCBE0D">
      <w:pPr>
        <w:jc w:val="center"/>
        <w:rPr>
          <w:rFonts w:ascii="宋体" w:hAnsi="宋体" w:cs="宋体"/>
          <w:color w:val="auto"/>
          <w:sz w:val="28"/>
          <w:szCs w:val="28"/>
          <w:highlight w:val="none"/>
        </w:rPr>
      </w:pPr>
    </w:p>
    <w:p w14:paraId="3CF2DC69">
      <w:pPr>
        <w:jc w:val="left"/>
        <w:rPr>
          <w:rFonts w:ascii="宋体" w:hAnsi="宋体" w:cs="宋体"/>
          <w:color w:val="auto"/>
          <w:sz w:val="28"/>
          <w:szCs w:val="28"/>
          <w:highlight w:val="none"/>
        </w:rPr>
      </w:pPr>
    </w:p>
    <w:p w14:paraId="025AEAEA">
      <w:pPr>
        <w:jc w:val="left"/>
        <w:rPr>
          <w:rFonts w:ascii="宋体" w:hAnsi="宋体" w:cs="宋体"/>
          <w:color w:val="auto"/>
          <w:sz w:val="28"/>
          <w:szCs w:val="28"/>
          <w:highlight w:val="none"/>
        </w:rPr>
      </w:pPr>
    </w:p>
    <w:p w14:paraId="2E7F8300">
      <w:pPr>
        <w:jc w:val="left"/>
        <w:rPr>
          <w:rFonts w:ascii="宋体" w:hAnsi="宋体" w:cs="宋体"/>
          <w:color w:val="auto"/>
          <w:sz w:val="28"/>
          <w:szCs w:val="28"/>
          <w:highlight w:val="none"/>
        </w:rPr>
      </w:pPr>
    </w:p>
    <w:p w14:paraId="2D0E6C7F">
      <w:pPr>
        <w:jc w:val="left"/>
        <w:rPr>
          <w:rFonts w:ascii="宋体" w:hAnsi="宋体" w:cs="宋体"/>
          <w:color w:val="auto"/>
          <w:sz w:val="28"/>
          <w:szCs w:val="28"/>
          <w:highlight w:val="none"/>
        </w:rPr>
      </w:pPr>
    </w:p>
    <w:p w14:paraId="3338944C">
      <w:pPr>
        <w:jc w:val="left"/>
        <w:rPr>
          <w:rFonts w:ascii="宋体" w:hAnsi="宋体" w:cs="宋体"/>
          <w:color w:val="auto"/>
          <w:sz w:val="28"/>
          <w:szCs w:val="28"/>
          <w:highlight w:val="none"/>
        </w:rPr>
      </w:pPr>
      <w:r>
        <w:rPr>
          <w:rFonts w:hint="eastAsia" w:ascii="宋体" w:hAnsi="宋体" w:cs="宋体"/>
          <w:color w:val="auto"/>
          <w:sz w:val="28"/>
          <w:szCs w:val="28"/>
          <w:highlight w:val="none"/>
        </w:rPr>
        <w:t>项目验收情况说明（由双方按验收情况填写）：</w:t>
      </w:r>
    </w:p>
    <w:p w14:paraId="2EAFC8B6">
      <w:pPr>
        <w:jc w:val="left"/>
        <w:rPr>
          <w:rFonts w:ascii="宋体" w:hAnsi="宋体" w:cs="宋体"/>
          <w:color w:val="auto"/>
          <w:sz w:val="28"/>
          <w:szCs w:val="28"/>
          <w:highlight w:val="none"/>
        </w:rPr>
      </w:pPr>
    </w:p>
    <w:p w14:paraId="53670754">
      <w:pPr>
        <w:jc w:val="left"/>
        <w:rPr>
          <w:rFonts w:ascii="宋体" w:hAnsi="宋体" w:cs="宋体"/>
          <w:color w:val="auto"/>
          <w:sz w:val="28"/>
          <w:szCs w:val="28"/>
          <w:highlight w:val="none"/>
        </w:rPr>
      </w:pPr>
    </w:p>
    <w:p w14:paraId="6B7D377C">
      <w:pPr>
        <w:jc w:val="left"/>
        <w:rPr>
          <w:rFonts w:ascii="宋体" w:hAnsi="宋体" w:cs="宋体"/>
          <w:color w:val="auto"/>
          <w:sz w:val="28"/>
          <w:szCs w:val="28"/>
          <w:highlight w:val="none"/>
        </w:rPr>
      </w:pPr>
    </w:p>
    <w:p w14:paraId="36D88276">
      <w:pPr>
        <w:jc w:val="left"/>
        <w:rPr>
          <w:rFonts w:ascii="宋体" w:hAnsi="宋体" w:cs="宋体"/>
          <w:color w:val="auto"/>
          <w:sz w:val="28"/>
          <w:szCs w:val="28"/>
          <w:highlight w:val="none"/>
        </w:rPr>
      </w:pPr>
    </w:p>
    <w:p w14:paraId="21F3AC2C">
      <w:pPr>
        <w:jc w:val="left"/>
        <w:rPr>
          <w:rFonts w:ascii="宋体" w:hAnsi="宋体" w:cs="宋体"/>
          <w:color w:val="auto"/>
          <w:sz w:val="28"/>
          <w:szCs w:val="28"/>
          <w:highlight w:val="none"/>
        </w:rPr>
      </w:pPr>
    </w:p>
    <w:p w14:paraId="36A39539">
      <w:pPr>
        <w:jc w:val="left"/>
        <w:rPr>
          <w:rFonts w:ascii="宋体" w:hAnsi="宋体" w:cs="宋体"/>
          <w:color w:val="auto"/>
          <w:sz w:val="28"/>
          <w:szCs w:val="28"/>
          <w:highlight w:val="none"/>
        </w:rPr>
      </w:pPr>
    </w:p>
    <w:p w14:paraId="4089160A">
      <w:pPr>
        <w:jc w:val="left"/>
        <w:rPr>
          <w:rFonts w:ascii="宋体" w:hAnsi="宋体" w:cs="宋体"/>
          <w:color w:val="auto"/>
          <w:sz w:val="28"/>
          <w:szCs w:val="28"/>
          <w:highlight w:val="none"/>
        </w:rPr>
      </w:pPr>
    </w:p>
    <w:p w14:paraId="2C871BA4">
      <w:pPr>
        <w:rPr>
          <w:color w:val="auto"/>
          <w:sz w:val="28"/>
          <w:szCs w:val="28"/>
          <w:highlight w:val="none"/>
        </w:rPr>
        <w:sectPr>
          <w:pgSz w:w="11906" w:h="16838"/>
          <w:pgMar w:top="1440" w:right="1797" w:bottom="1440" w:left="1797" w:header="851" w:footer="851" w:gutter="0"/>
          <w:cols w:space="720" w:num="1"/>
          <w:docGrid w:linePitch="312" w:charSpace="0"/>
        </w:sectPr>
      </w:pPr>
      <w:r>
        <w:rPr>
          <w:rFonts w:hint="eastAsia" w:ascii="宋体" w:hAnsi="宋体" w:cs="宋体"/>
          <w:color w:val="auto"/>
          <w:sz w:val="28"/>
          <w:szCs w:val="28"/>
          <w:highlight w:val="none"/>
        </w:rPr>
        <w:t>验收小组签字：（5人以上）</w:t>
      </w:r>
    </w:p>
    <w:p w14:paraId="5DA565BA">
      <w:pPr>
        <w:pStyle w:val="2"/>
        <w:numPr>
          <w:ilvl w:val="0"/>
          <w:numId w:val="7"/>
        </w:numPr>
        <w:spacing w:before="0" w:after="0" w:line="240" w:lineRule="auto"/>
        <w:ind w:left="0" w:firstLine="0"/>
        <w:jc w:val="center"/>
        <w:rPr>
          <w:rFonts w:ascii="仿宋" w:hAnsi="仿宋" w:eastAsia="仿宋" w:cs="仿宋_GB2312"/>
          <w:bCs w:val="0"/>
          <w:color w:val="auto"/>
          <w:kern w:val="2"/>
          <w:sz w:val="36"/>
          <w:szCs w:val="36"/>
          <w:highlight w:val="none"/>
        </w:rPr>
      </w:pPr>
      <w:r>
        <w:rPr>
          <w:rFonts w:hint="eastAsia" w:ascii="仿宋" w:hAnsi="仿宋" w:eastAsia="仿宋" w:cs="仿宋_GB2312"/>
          <w:bCs w:val="0"/>
          <w:color w:val="auto"/>
          <w:kern w:val="2"/>
          <w:sz w:val="36"/>
          <w:szCs w:val="36"/>
          <w:highlight w:val="none"/>
        </w:rPr>
        <w:t>投标文件格式</w:t>
      </w:r>
      <w:bookmarkEnd w:id="34"/>
    </w:p>
    <w:p w14:paraId="31997784">
      <w:pPr>
        <w:spacing w:line="300" w:lineRule="auto"/>
        <w:ind w:firstLine="205" w:firstLineChars="98"/>
        <w:jc w:val="center"/>
        <w:rPr>
          <w:rFonts w:hAnsi="宋体" w:cs="宋体"/>
          <w:color w:val="auto"/>
          <w:highlight w:val="none"/>
        </w:rPr>
      </w:pPr>
    </w:p>
    <w:p w14:paraId="50C16B22">
      <w:pPr>
        <w:snapToGrid w:val="0"/>
        <w:spacing w:line="360" w:lineRule="auto"/>
        <w:ind w:right="480"/>
        <w:jc w:val="center"/>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rPr>
        <w:t>符合参加政府采购活动应当具备的一般条件的承诺函</w:t>
      </w:r>
    </w:p>
    <w:p w14:paraId="30500BCD">
      <w:pPr>
        <w:snapToGrid w:val="0"/>
        <w:spacing w:line="360" w:lineRule="auto"/>
        <w:rPr>
          <w:rFonts w:ascii="宋体" w:hAnsi="宋体" w:cs="宋体"/>
          <w:color w:val="auto"/>
          <w:sz w:val="24"/>
          <w:highlight w:val="none"/>
        </w:rPr>
      </w:pPr>
      <w:r>
        <w:rPr>
          <w:rFonts w:hint="eastAsia" w:ascii="仿宋_GB2312" w:hAnsi="仿宋" w:eastAsia="仿宋_GB2312" w:cs="仿宋_GB2312"/>
          <w:color w:val="auto"/>
          <w:sz w:val="24"/>
          <w:highlight w:val="none"/>
        </w:rPr>
        <w:t>（</w:t>
      </w:r>
      <w:r>
        <w:rPr>
          <w:rFonts w:hint="eastAsia" w:ascii="宋体" w:hAnsi="宋体" w:cs="宋体"/>
          <w:color w:val="auto"/>
          <w:sz w:val="24"/>
          <w:highlight w:val="none"/>
        </w:rPr>
        <w:t>采购人）、（采购代理机构）：</w:t>
      </w:r>
    </w:p>
    <w:p w14:paraId="0C46EC7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1395363D">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183999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114091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170E045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360A8DC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5A6F1EE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28B9F3F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434C82F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14AB41F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367B1A9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04A69B6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50448DD0">
      <w:pPr>
        <w:snapToGrid w:val="0"/>
        <w:spacing w:line="360" w:lineRule="auto"/>
        <w:rPr>
          <w:rFonts w:ascii="宋体" w:hAnsi="宋体" w:cs="宋体"/>
          <w:color w:val="auto"/>
          <w:kern w:val="0"/>
          <w:sz w:val="24"/>
          <w:highlight w:val="none"/>
          <w:lang w:val="zh-CN"/>
        </w:rPr>
      </w:pPr>
    </w:p>
    <w:p w14:paraId="42C2E00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投标人名称（盖章）：</w:t>
      </w:r>
    </w:p>
    <w:p w14:paraId="7BCB27F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月日</w:t>
      </w:r>
    </w:p>
    <w:p w14:paraId="5A4C484A">
      <w:pPr>
        <w:spacing w:line="360" w:lineRule="auto"/>
        <w:ind w:firstLine="236" w:firstLineChars="98"/>
        <w:jc w:val="center"/>
        <w:rPr>
          <w:rFonts w:ascii="宋体" w:hAnsi="宋体" w:cs="宋体"/>
          <w:b/>
          <w:bCs/>
          <w:color w:val="auto"/>
          <w:sz w:val="24"/>
          <w:highlight w:val="none"/>
        </w:rPr>
      </w:pPr>
    </w:p>
    <w:p w14:paraId="017A12A0">
      <w:pPr>
        <w:spacing w:line="360" w:lineRule="auto"/>
        <w:ind w:firstLine="236" w:firstLineChars="98"/>
        <w:jc w:val="center"/>
        <w:rPr>
          <w:rFonts w:ascii="宋体" w:hAnsi="宋体" w:cs="宋体"/>
          <w:b/>
          <w:bCs/>
          <w:color w:val="auto"/>
          <w:sz w:val="24"/>
          <w:highlight w:val="none"/>
        </w:rPr>
      </w:pPr>
    </w:p>
    <w:p w14:paraId="4B2B032B">
      <w:pPr>
        <w:spacing w:line="360" w:lineRule="auto"/>
        <w:ind w:firstLine="236" w:firstLineChars="98"/>
        <w:jc w:val="center"/>
        <w:rPr>
          <w:rFonts w:ascii="宋体" w:hAnsi="宋体" w:cs="宋体"/>
          <w:b/>
          <w:bCs/>
          <w:color w:val="auto"/>
          <w:sz w:val="24"/>
          <w:highlight w:val="none"/>
        </w:rPr>
      </w:pPr>
    </w:p>
    <w:p w14:paraId="3B311565">
      <w:pPr>
        <w:spacing w:line="360" w:lineRule="auto"/>
        <w:ind w:firstLine="275" w:firstLineChars="98"/>
        <w:jc w:val="center"/>
        <w:rPr>
          <w:rFonts w:ascii="宋体" w:hAnsi="宋体" w:cs="宋体"/>
          <w:b/>
          <w:bCs/>
          <w:color w:val="auto"/>
          <w:sz w:val="28"/>
          <w:szCs w:val="28"/>
          <w:highlight w:val="none"/>
        </w:rPr>
      </w:pPr>
    </w:p>
    <w:p w14:paraId="0B14745D">
      <w:pPr>
        <w:spacing w:line="360" w:lineRule="auto"/>
        <w:ind w:firstLine="275" w:firstLineChars="98"/>
        <w:jc w:val="center"/>
        <w:rPr>
          <w:rFonts w:ascii="宋体" w:hAnsi="宋体" w:cs="宋体"/>
          <w:b/>
          <w:bCs/>
          <w:color w:val="auto"/>
          <w:sz w:val="28"/>
          <w:szCs w:val="28"/>
          <w:highlight w:val="none"/>
        </w:rPr>
      </w:pPr>
    </w:p>
    <w:p w14:paraId="54003A91">
      <w:pPr>
        <w:snapToGrid w:val="0"/>
        <w:spacing w:beforeLines="50" w:after="50"/>
        <w:rPr>
          <w:b/>
          <w:color w:val="auto"/>
          <w:sz w:val="24"/>
          <w:highlight w:val="none"/>
        </w:rPr>
      </w:pPr>
    </w:p>
    <w:p w14:paraId="27733147">
      <w:pPr>
        <w:snapToGrid w:val="0"/>
        <w:jc w:val="center"/>
        <w:rPr>
          <w:rFonts w:ascii="宋体" w:hAnsi="宋体"/>
          <w:b/>
          <w:color w:val="auto"/>
          <w:sz w:val="32"/>
          <w:szCs w:val="32"/>
          <w:highlight w:val="none"/>
        </w:rPr>
      </w:pPr>
    </w:p>
    <w:p w14:paraId="2DC2C2FB">
      <w:pPr>
        <w:snapToGrid w:val="0"/>
        <w:jc w:val="center"/>
        <w:rPr>
          <w:rFonts w:ascii="宋体" w:hAnsi="宋体"/>
          <w:b/>
          <w:color w:val="auto"/>
          <w:sz w:val="32"/>
          <w:szCs w:val="32"/>
          <w:highlight w:val="none"/>
        </w:rPr>
      </w:pPr>
      <w:r>
        <w:rPr>
          <w:rFonts w:hint="eastAsia" w:ascii="宋体" w:hAnsi="宋体"/>
          <w:b/>
          <w:color w:val="auto"/>
          <w:sz w:val="32"/>
          <w:szCs w:val="32"/>
          <w:highlight w:val="none"/>
        </w:rPr>
        <w:t>中小企业声明函（货物）</w:t>
      </w:r>
    </w:p>
    <w:p w14:paraId="1030F67E">
      <w:pPr>
        <w:pStyle w:val="970"/>
        <w:snapToGrid w:val="0"/>
        <w:spacing w:line="480" w:lineRule="exact"/>
        <w:ind w:firstLine="494"/>
        <w:rPr>
          <w:rFonts w:ascii="宋体" w:eastAsia="宋体"/>
          <w:bCs/>
          <w:color w:val="auto"/>
          <w:sz w:val="24"/>
          <w:szCs w:val="24"/>
          <w:highlight w:val="none"/>
        </w:rPr>
      </w:pPr>
      <w:r>
        <w:rPr>
          <w:rFonts w:hint="eastAsia" w:ascii="宋体" w:eastAsia="宋体"/>
          <w:bCs/>
          <w:color w:val="auto"/>
          <w:sz w:val="24"/>
          <w:szCs w:val="24"/>
          <w:highlight w:val="none"/>
        </w:rPr>
        <w:t>本公司（联合体）郑重声明，根据《政府采购促进中小企业发展管理办法》（财库﹝2020﹞46 号）的规定，本公司（联合体）参加</w:t>
      </w:r>
      <w:r>
        <w:rPr>
          <w:rFonts w:hint="eastAsia" w:ascii="宋体" w:eastAsia="宋体"/>
          <w:bCs/>
          <w:color w:val="auto"/>
          <w:sz w:val="24"/>
          <w:szCs w:val="24"/>
          <w:highlight w:val="none"/>
          <w:u w:val="single"/>
        </w:rPr>
        <w:t xml:space="preserve">  （单位名称）  </w:t>
      </w:r>
      <w:r>
        <w:rPr>
          <w:rFonts w:hint="eastAsia" w:ascii="宋体" w:eastAsia="宋体"/>
          <w:bCs/>
          <w:color w:val="auto"/>
          <w:sz w:val="24"/>
          <w:szCs w:val="24"/>
          <w:highlight w:val="none"/>
        </w:rPr>
        <w:t>的</w:t>
      </w:r>
      <w:r>
        <w:rPr>
          <w:rFonts w:hint="eastAsia" w:ascii="宋体" w:eastAsia="宋体"/>
          <w:bCs/>
          <w:color w:val="auto"/>
          <w:sz w:val="24"/>
          <w:szCs w:val="24"/>
          <w:highlight w:val="none"/>
          <w:u w:val="single"/>
        </w:rPr>
        <w:t xml:space="preserve">  （项目名称） </w:t>
      </w:r>
      <w:r>
        <w:rPr>
          <w:rFonts w:hint="eastAsia" w:ascii="宋体" w:eastAsia="宋体"/>
          <w:bCs/>
          <w:color w:val="auto"/>
          <w:sz w:val="24"/>
          <w:szCs w:val="24"/>
          <w:highlight w:val="none"/>
        </w:rPr>
        <w:t>采购活动，提供的货物全部由符合政策要求的中小企业制造。相关企业（含联合体中的中小企业、签订分包意向协议的中小企业）的具体情况如下：</w:t>
      </w:r>
    </w:p>
    <w:p w14:paraId="772B8CAE">
      <w:pPr>
        <w:pStyle w:val="970"/>
        <w:snapToGrid w:val="0"/>
        <w:spacing w:line="480" w:lineRule="exact"/>
        <w:ind w:firstLine="494"/>
        <w:rPr>
          <w:rFonts w:ascii="宋体" w:eastAsia="宋体"/>
          <w:bCs/>
          <w:color w:val="auto"/>
          <w:sz w:val="24"/>
          <w:szCs w:val="24"/>
          <w:highlight w:val="none"/>
        </w:rPr>
      </w:pPr>
      <w:r>
        <w:rPr>
          <w:rFonts w:hint="eastAsia" w:ascii="宋体" w:eastAsia="宋体"/>
          <w:bCs/>
          <w:color w:val="auto"/>
          <w:sz w:val="24"/>
          <w:szCs w:val="24"/>
          <w:highlight w:val="none"/>
        </w:rPr>
        <w:t xml:space="preserve">1. </w:t>
      </w:r>
      <w:r>
        <w:rPr>
          <w:rFonts w:hint="eastAsia" w:ascii="宋体" w:eastAsia="宋体"/>
          <w:bCs/>
          <w:color w:val="auto"/>
          <w:sz w:val="24"/>
          <w:szCs w:val="24"/>
          <w:highlight w:val="none"/>
          <w:u w:val="single"/>
        </w:rPr>
        <w:t>（标的名称）</w:t>
      </w:r>
      <w:r>
        <w:rPr>
          <w:rFonts w:hint="eastAsia" w:ascii="宋体" w:eastAsia="宋体"/>
          <w:bCs/>
          <w:color w:val="auto"/>
          <w:sz w:val="24"/>
          <w:szCs w:val="24"/>
          <w:highlight w:val="none"/>
        </w:rPr>
        <w:t xml:space="preserve"> ，属于</w:t>
      </w:r>
      <w:r>
        <w:rPr>
          <w:rFonts w:hint="eastAsia" w:ascii="宋体" w:eastAsia="宋体"/>
          <w:bCs/>
          <w:color w:val="auto"/>
          <w:sz w:val="24"/>
          <w:szCs w:val="24"/>
          <w:highlight w:val="none"/>
          <w:u w:val="single"/>
        </w:rPr>
        <w:t xml:space="preserve"> （工业）</w:t>
      </w:r>
      <w:r>
        <w:rPr>
          <w:rFonts w:hint="eastAsia" w:ascii="宋体" w:eastAsia="宋体"/>
          <w:bCs/>
          <w:color w:val="auto"/>
          <w:sz w:val="24"/>
          <w:szCs w:val="24"/>
          <w:highlight w:val="none"/>
        </w:rPr>
        <w:t xml:space="preserve">行业 ；制造商为 </w:t>
      </w:r>
      <w:r>
        <w:rPr>
          <w:rFonts w:hint="eastAsia" w:ascii="宋体" w:eastAsia="宋体"/>
          <w:bCs/>
          <w:color w:val="auto"/>
          <w:sz w:val="24"/>
          <w:szCs w:val="24"/>
          <w:highlight w:val="none"/>
          <w:u w:val="single"/>
        </w:rPr>
        <w:t>（企业名称）</w:t>
      </w:r>
      <w:r>
        <w:rPr>
          <w:rFonts w:hint="eastAsia" w:ascii="宋体" w:eastAsia="宋体"/>
          <w:bCs/>
          <w:color w:val="auto"/>
          <w:sz w:val="24"/>
          <w:szCs w:val="24"/>
          <w:highlight w:val="none"/>
        </w:rPr>
        <w:t xml:space="preserve"> ，从业人员 人，营业收入为万元，资产总额为万元，属于 </w:t>
      </w:r>
      <w:r>
        <w:rPr>
          <w:rFonts w:hint="eastAsia" w:ascii="宋体" w:eastAsia="宋体"/>
          <w:bCs/>
          <w:color w:val="auto"/>
          <w:sz w:val="24"/>
          <w:szCs w:val="24"/>
          <w:highlight w:val="none"/>
          <w:u w:val="single"/>
        </w:rPr>
        <w:t>（中型企业、小型企业、微型企业）</w:t>
      </w:r>
      <w:r>
        <w:rPr>
          <w:rFonts w:hint="eastAsia" w:ascii="宋体" w:eastAsia="宋体"/>
          <w:bCs/>
          <w:color w:val="auto"/>
          <w:sz w:val="24"/>
          <w:szCs w:val="24"/>
          <w:highlight w:val="none"/>
        </w:rPr>
        <w:t xml:space="preserve"> ；</w:t>
      </w:r>
    </w:p>
    <w:p w14:paraId="32FF039C">
      <w:pPr>
        <w:pStyle w:val="970"/>
        <w:snapToGrid w:val="0"/>
        <w:spacing w:line="480" w:lineRule="exact"/>
        <w:ind w:firstLine="494"/>
        <w:rPr>
          <w:rFonts w:ascii="宋体" w:eastAsia="宋体"/>
          <w:bCs/>
          <w:color w:val="auto"/>
          <w:sz w:val="24"/>
          <w:szCs w:val="24"/>
          <w:highlight w:val="none"/>
          <w:u w:val="single"/>
        </w:rPr>
      </w:pPr>
      <w:r>
        <w:rPr>
          <w:rFonts w:hint="eastAsia" w:ascii="宋体" w:eastAsia="宋体"/>
          <w:bCs/>
          <w:color w:val="auto"/>
          <w:sz w:val="24"/>
          <w:szCs w:val="24"/>
          <w:highlight w:val="none"/>
        </w:rPr>
        <w:t xml:space="preserve">2. </w:t>
      </w:r>
      <w:r>
        <w:rPr>
          <w:rFonts w:hint="eastAsia" w:ascii="宋体" w:eastAsia="宋体"/>
          <w:bCs/>
          <w:color w:val="auto"/>
          <w:sz w:val="24"/>
          <w:szCs w:val="24"/>
          <w:highlight w:val="none"/>
          <w:u w:val="single"/>
        </w:rPr>
        <w:t xml:space="preserve">（标的名称） </w:t>
      </w:r>
      <w:r>
        <w:rPr>
          <w:rFonts w:hint="eastAsia" w:ascii="宋体" w:eastAsia="宋体"/>
          <w:bCs/>
          <w:color w:val="auto"/>
          <w:sz w:val="24"/>
          <w:szCs w:val="24"/>
          <w:highlight w:val="none"/>
        </w:rPr>
        <w:t>，属于</w:t>
      </w:r>
      <w:r>
        <w:rPr>
          <w:rFonts w:hint="eastAsia" w:ascii="宋体" w:eastAsia="宋体"/>
          <w:bCs/>
          <w:color w:val="auto"/>
          <w:sz w:val="24"/>
          <w:szCs w:val="24"/>
          <w:highlight w:val="none"/>
          <w:u w:val="single"/>
        </w:rPr>
        <w:t>（工业）</w:t>
      </w:r>
      <w:r>
        <w:rPr>
          <w:rFonts w:hint="eastAsia" w:ascii="宋体" w:eastAsia="宋体"/>
          <w:bCs/>
          <w:color w:val="auto"/>
          <w:sz w:val="24"/>
          <w:szCs w:val="24"/>
          <w:highlight w:val="none"/>
        </w:rPr>
        <w:t xml:space="preserve">行业 ；制造商为 </w:t>
      </w:r>
      <w:r>
        <w:rPr>
          <w:rFonts w:hint="eastAsia" w:ascii="宋体" w:eastAsia="宋体"/>
          <w:bCs/>
          <w:color w:val="auto"/>
          <w:sz w:val="24"/>
          <w:szCs w:val="24"/>
          <w:highlight w:val="none"/>
          <w:u w:val="single"/>
        </w:rPr>
        <w:t xml:space="preserve">（企业名称） </w:t>
      </w:r>
      <w:r>
        <w:rPr>
          <w:rFonts w:hint="eastAsia" w:ascii="宋体" w:eastAsia="宋体"/>
          <w:bCs/>
          <w:color w:val="auto"/>
          <w:sz w:val="24"/>
          <w:szCs w:val="24"/>
          <w:highlight w:val="none"/>
        </w:rPr>
        <w:t>，从业人员人，营业收入为万元，资产总额为万元，属于</w:t>
      </w:r>
      <w:r>
        <w:rPr>
          <w:rFonts w:hint="eastAsia" w:ascii="宋体" w:eastAsia="宋体"/>
          <w:bCs/>
          <w:color w:val="auto"/>
          <w:sz w:val="24"/>
          <w:szCs w:val="24"/>
          <w:highlight w:val="none"/>
          <w:u w:val="single"/>
        </w:rPr>
        <w:t xml:space="preserve"> （中型企业、小型企业、微型企业）</w:t>
      </w:r>
      <w:r>
        <w:rPr>
          <w:rFonts w:hint="eastAsia" w:ascii="宋体" w:eastAsia="宋体"/>
          <w:bCs/>
          <w:color w:val="auto"/>
          <w:sz w:val="24"/>
          <w:szCs w:val="24"/>
          <w:highlight w:val="none"/>
        </w:rPr>
        <w:t>；</w:t>
      </w:r>
    </w:p>
    <w:p w14:paraId="6B7E6D85">
      <w:pPr>
        <w:pStyle w:val="970"/>
        <w:snapToGrid w:val="0"/>
        <w:spacing w:line="480" w:lineRule="exact"/>
        <w:ind w:firstLine="494"/>
        <w:rPr>
          <w:rFonts w:ascii="宋体" w:eastAsia="宋体"/>
          <w:bCs/>
          <w:color w:val="auto"/>
          <w:sz w:val="24"/>
          <w:szCs w:val="24"/>
          <w:highlight w:val="none"/>
        </w:rPr>
      </w:pPr>
      <w:r>
        <w:rPr>
          <w:rFonts w:hint="eastAsia" w:ascii="宋体" w:eastAsia="宋体"/>
          <w:bCs/>
          <w:color w:val="auto"/>
          <w:sz w:val="24"/>
          <w:szCs w:val="24"/>
          <w:highlight w:val="none"/>
        </w:rPr>
        <w:t>……</w:t>
      </w:r>
    </w:p>
    <w:p w14:paraId="6F6D0A5B">
      <w:pPr>
        <w:pStyle w:val="970"/>
        <w:snapToGrid w:val="0"/>
        <w:spacing w:line="480" w:lineRule="exact"/>
        <w:ind w:firstLine="494"/>
        <w:rPr>
          <w:rFonts w:ascii="宋体" w:eastAsia="宋体"/>
          <w:bCs/>
          <w:color w:val="auto"/>
          <w:sz w:val="24"/>
          <w:szCs w:val="24"/>
          <w:highlight w:val="none"/>
        </w:rPr>
      </w:pPr>
      <w:r>
        <w:rPr>
          <w:rFonts w:hint="eastAsia" w:ascii="宋体" w:eastAsia="宋体"/>
          <w:bCs/>
          <w:color w:val="auto"/>
          <w:sz w:val="24"/>
          <w:szCs w:val="24"/>
          <w:highlight w:val="none"/>
        </w:rPr>
        <w:t>以上企业，不属于大企业的分支机构，不存在控股股东为大企业的情形，也不存在与大企业的负责人为同一人的情形。</w:t>
      </w:r>
    </w:p>
    <w:p w14:paraId="60F30D6E">
      <w:pPr>
        <w:pStyle w:val="970"/>
        <w:snapToGrid w:val="0"/>
        <w:spacing w:line="480" w:lineRule="exact"/>
        <w:ind w:firstLine="494"/>
        <w:rPr>
          <w:rFonts w:ascii="宋体" w:eastAsia="宋体"/>
          <w:bCs/>
          <w:color w:val="auto"/>
          <w:sz w:val="24"/>
          <w:szCs w:val="24"/>
          <w:highlight w:val="none"/>
        </w:rPr>
      </w:pPr>
      <w:r>
        <w:rPr>
          <w:rFonts w:hint="eastAsia" w:ascii="宋体" w:eastAsia="宋体"/>
          <w:bCs/>
          <w:color w:val="auto"/>
          <w:sz w:val="24"/>
          <w:szCs w:val="24"/>
          <w:highlight w:val="none"/>
        </w:rPr>
        <w:t>本企业对上述声明内容的真实性负责。如有虚假，将依法承担相应责任。</w:t>
      </w:r>
    </w:p>
    <w:p w14:paraId="254D9B23">
      <w:pPr>
        <w:pStyle w:val="970"/>
        <w:snapToGrid w:val="0"/>
        <w:ind w:firstLine="494"/>
        <w:rPr>
          <w:rFonts w:ascii="宋体" w:eastAsia="宋体"/>
          <w:bCs/>
          <w:color w:val="auto"/>
          <w:sz w:val="24"/>
          <w:szCs w:val="24"/>
          <w:highlight w:val="none"/>
        </w:rPr>
      </w:pPr>
    </w:p>
    <w:p w14:paraId="51B2B5F3">
      <w:pPr>
        <w:pStyle w:val="970"/>
        <w:snapToGrid w:val="0"/>
        <w:ind w:firstLine="4809" w:firstLineChars="2004"/>
        <w:rPr>
          <w:rFonts w:ascii="宋体" w:eastAsia="宋体"/>
          <w:bCs/>
          <w:color w:val="auto"/>
          <w:sz w:val="24"/>
          <w:szCs w:val="24"/>
          <w:highlight w:val="none"/>
        </w:rPr>
      </w:pPr>
      <w:r>
        <w:rPr>
          <w:rFonts w:hint="eastAsia" w:ascii="宋体" w:eastAsia="宋体"/>
          <w:bCs/>
          <w:color w:val="auto"/>
          <w:sz w:val="24"/>
          <w:szCs w:val="24"/>
          <w:highlight w:val="none"/>
        </w:rPr>
        <w:t>投标人名称（盖章）：</w:t>
      </w:r>
    </w:p>
    <w:p w14:paraId="10F8855A">
      <w:pPr>
        <w:pStyle w:val="970"/>
        <w:snapToGrid w:val="0"/>
        <w:ind w:firstLine="4809" w:firstLineChars="2004"/>
        <w:rPr>
          <w:rFonts w:ascii="宋体" w:eastAsia="宋体"/>
          <w:bCs/>
          <w:color w:val="auto"/>
          <w:sz w:val="24"/>
          <w:szCs w:val="24"/>
          <w:highlight w:val="none"/>
        </w:rPr>
      </w:pPr>
      <w:r>
        <w:rPr>
          <w:rFonts w:hint="eastAsia" w:ascii="宋体" w:eastAsia="宋体"/>
          <w:bCs/>
          <w:color w:val="auto"/>
          <w:sz w:val="24"/>
          <w:szCs w:val="24"/>
          <w:highlight w:val="none"/>
        </w:rPr>
        <w:t>日 期：</w:t>
      </w:r>
      <w:r>
        <w:rPr>
          <w:rFonts w:hint="eastAsia" w:ascii="宋体" w:eastAsia="宋体"/>
          <w:color w:val="auto"/>
          <w:sz w:val="24"/>
          <w:szCs w:val="24"/>
          <w:highlight w:val="none"/>
        </w:rPr>
        <w:t>年月日</w:t>
      </w:r>
    </w:p>
    <w:p w14:paraId="1DB131C4">
      <w:pPr>
        <w:pStyle w:val="970"/>
        <w:snapToGrid w:val="0"/>
        <w:spacing w:line="240" w:lineRule="auto"/>
        <w:ind w:firstLine="0" w:firstLineChars="0"/>
        <w:rPr>
          <w:rFonts w:ascii="宋体" w:eastAsia="宋体"/>
          <w:bCs/>
          <w:color w:val="auto"/>
          <w:sz w:val="24"/>
          <w:szCs w:val="24"/>
          <w:highlight w:val="none"/>
        </w:rPr>
      </w:pPr>
    </w:p>
    <w:p w14:paraId="6B3DA03B">
      <w:pPr>
        <w:pStyle w:val="970"/>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注：</w:t>
      </w:r>
    </w:p>
    <w:p w14:paraId="741FE20A">
      <w:pPr>
        <w:pStyle w:val="970"/>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1.从业人员、营业收入、资产总额填报上一年度数据，无上一年度数据的新成立企业可不填报；</w:t>
      </w:r>
    </w:p>
    <w:p w14:paraId="43526E07">
      <w:pPr>
        <w:pStyle w:val="970"/>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2.本项目中小企业政策所属行业为</w:t>
      </w:r>
      <w:r>
        <w:rPr>
          <w:rFonts w:hint="eastAsia" w:ascii="宋体" w:eastAsia="宋体"/>
          <w:b/>
          <w:color w:val="auto"/>
          <w:sz w:val="24"/>
          <w:szCs w:val="24"/>
          <w:highlight w:val="none"/>
        </w:rPr>
        <w:t>工业</w:t>
      </w:r>
      <w:r>
        <w:rPr>
          <w:rFonts w:hint="eastAsia" w:ascii="宋体" w:eastAsia="宋体"/>
          <w:bCs/>
          <w:color w:val="auto"/>
          <w:sz w:val="24"/>
          <w:szCs w:val="24"/>
          <w:highlight w:val="none"/>
        </w:rPr>
        <w:t>；</w:t>
      </w:r>
    </w:p>
    <w:p w14:paraId="57D10B09">
      <w:pPr>
        <w:pStyle w:val="970"/>
        <w:snapToGrid w:val="0"/>
        <w:spacing w:line="240" w:lineRule="auto"/>
        <w:ind w:firstLine="241" w:firstLineChars="100"/>
        <w:rPr>
          <w:rFonts w:ascii="宋体" w:eastAsia="宋体"/>
          <w:b/>
          <w:color w:val="auto"/>
          <w:sz w:val="24"/>
          <w:szCs w:val="24"/>
          <w:highlight w:val="none"/>
        </w:rPr>
      </w:pPr>
      <w:r>
        <w:rPr>
          <w:rFonts w:hint="eastAsia" w:ascii="宋体" w:eastAsia="宋体"/>
          <w:b/>
          <w:color w:val="auto"/>
          <w:sz w:val="24"/>
          <w:szCs w:val="24"/>
          <w:highlight w:val="none"/>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27E6DB3">
      <w:pPr>
        <w:pStyle w:val="970"/>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3.符合《关于促进残疾人就业政府采购政策的通知》（财库〔2017〕141号）规定的条件并提供《残疾人福利性单位声明函》的残疾人福利性单位视同小型、微型企业；</w:t>
      </w:r>
    </w:p>
    <w:p w14:paraId="2AE53C14">
      <w:pPr>
        <w:pStyle w:val="970"/>
        <w:snapToGrid w:val="0"/>
        <w:spacing w:line="240" w:lineRule="auto"/>
        <w:ind w:firstLine="0" w:firstLineChars="0"/>
        <w:rPr>
          <w:rFonts w:ascii="宋体" w:eastAsia="宋体"/>
          <w:bCs/>
          <w:color w:val="auto"/>
          <w:sz w:val="24"/>
          <w:szCs w:val="24"/>
          <w:highlight w:val="none"/>
        </w:rPr>
      </w:pPr>
      <w:r>
        <w:rPr>
          <w:rFonts w:hint="eastAsia" w:ascii="宋体" w:eastAsia="宋体"/>
          <w:bCs/>
          <w:color w:val="auto"/>
          <w:sz w:val="24"/>
          <w:szCs w:val="24"/>
          <w:highlight w:val="none"/>
        </w:rPr>
        <w:t>4.根据《关于政府采购支持监狱企业发展有关问题的通知》（财库[2014]68号）的规定，投标人提供由省级以上监狱管理局、戒毒管理局（含新疆生产建设兵团）出具的属于监狱企业证明文件的，视同为小型和微型企业。</w:t>
      </w:r>
    </w:p>
    <w:p w14:paraId="589ABB32">
      <w:pPr>
        <w:pStyle w:val="970"/>
        <w:snapToGrid w:val="0"/>
        <w:spacing w:line="240" w:lineRule="auto"/>
        <w:ind w:firstLine="0" w:firstLineChars="0"/>
        <w:rPr>
          <w:rFonts w:ascii="宋体" w:eastAsia="宋体"/>
          <w:b/>
          <w:color w:val="auto"/>
          <w:sz w:val="24"/>
          <w:szCs w:val="24"/>
          <w:highlight w:val="none"/>
        </w:rPr>
      </w:pPr>
      <w:r>
        <w:rPr>
          <w:rFonts w:hint="eastAsia" w:ascii="宋体" w:eastAsia="宋体"/>
          <w:b/>
          <w:color w:val="auto"/>
          <w:sz w:val="24"/>
          <w:szCs w:val="24"/>
          <w:highlight w:val="none"/>
        </w:rPr>
        <w:t>5.填写要求：“标的名称”依据采购文件第二章招标需求中采购清单逐一填写，不得缺漏；</w:t>
      </w:r>
    </w:p>
    <w:p w14:paraId="70BEF7FF">
      <w:pPr>
        <w:snapToGrid w:val="0"/>
        <w:rPr>
          <w:rFonts w:ascii="宋体" w:hAnsi="宋体"/>
          <w:color w:val="auto"/>
          <w:sz w:val="24"/>
          <w:highlight w:val="none"/>
        </w:rPr>
      </w:pPr>
      <w:r>
        <w:rPr>
          <w:rFonts w:hint="eastAsia" w:ascii="宋体" w:hAnsi="宋体"/>
          <w:color w:val="auto"/>
          <w:sz w:val="24"/>
          <w:highlight w:val="none"/>
        </w:rPr>
        <w:t>6.中型企业、小型企业、微型企业等3种企业类型，结合以上数据，依据《中小企业划型标准规定》（工信部联企业〔2011〕300号）确定</w:t>
      </w:r>
    </w:p>
    <w:p w14:paraId="7CD0E7C3">
      <w:pPr>
        <w:snapToGrid w:val="0"/>
        <w:rPr>
          <w:rFonts w:ascii="宋体" w:hAnsi="宋体"/>
          <w:color w:val="auto"/>
          <w:sz w:val="24"/>
          <w:highlight w:val="none"/>
        </w:rPr>
      </w:pPr>
      <w:r>
        <w:rPr>
          <w:rFonts w:hint="eastAsia" w:ascii="宋体" w:hAnsi="宋体"/>
          <w:color w:val="auto"/>
          <w:sz w:val="24"/>
          <w:highlight w:val="none"/>
        </w:rPr>
        <w:t>7.投标人提供的《中小企业声明函》与实际情况不符的或者未按以上要求填写的，声明函无效。声明内容不实的，属于提供虚假材料谋取中标、成交的，依法承担法律责任。</w:t>
      </w:r>
    </w:p>
    <w:p w14:paraId="5A607C68">
      <w:pPr>
        <w:snapToGrid w:val="0"/>
        <w:jc w:val="center"/>
        <w:rPr>
          <w:rFonts w:ascii="宋体" w:hAnsi="宋体"/>
          <w:b/>
          <w:bCs/>
          <w:color w:val="auto"/>
          <w:sz w:val="24"/>
          <w:highlight w:val="none"/>
        </w:rPr>
      </w:pPr>
    </w:p>
    <w:p w14:paraId="068C89BA">
      <w:pPr>
        <w:snapToGrid w:val="0"/>
        <w:jc w:val="center"/>
        <w:rPr>
          <w:rFonts w:ascii="宋体" w:hAnsi="宋体"/>
          <w:b/>
          <w:bCs/>
          <w:color w:val="auto"/>
          <w:sz w:val="24"/>
          <w:highlight w:val="none"/>
        </w:rPr>
      </w:pPr>
    </w:p>
    <w:p w14:paraId="64323E5B">
      <w:pPr>
        <w:snapToGrid w:val="0"/>
        <w:jc w:val="center"/>
        <w:rPr>
          <w:rFonts w:ascii="宋体" w:hAnsi="宋体"/>
          <w:b/>
          <w:bCs/>
          <w:color w:val="auto"/>
          <w:sz w:val="24"/>
          <w:highlight w:val="none"/>
        </w:rPr>
      </w:pPr>
    </w:p>
    <w:p w14:paraId="03E92093">
      <w:pPr>
        <w:snapToGrid w:val="0"/>
        <w:jc w:val="center"/>
        <w:rPr>
          <w:rFonts w:ascii="宋体" w:hAnsi="宋体"/>
          <w:b/>
          <w:bCs/>
          <w:color w:val="auto"/>
          <w:sz w:val="24"/>
          <w:highlight w:val="none"/>
        </w:rPr>
      </w:pPr>
    </w:p>
    <w:p w14:paraId="1BF12E6C">
      <w:pPr>
        <w:snapToGrid w:val="0"/>
        <w:jc w:val="center"/>
        <w:rPr>
          <w:rFonts w:ascii="宋体" w:hAnsi="宋体"/>
          <w:b/>
          <w:bCs/>
          <w:color w:val="auto"/>
          <w:sz w:val="24"/>
          <w:highlight w:val="none"/>
        </w:rPr>
      </w:pPr>
    </w:p>
    <w:p w14:paraId="7A3B2502">
      <w:pPr>
        <w:snapToGrid w:val="0"/>
        <w:jc w:val="center"/>
        <w:rPr>
          <w:rFonts w:ascii="宋体" w:hAnsi="宋体"/>
          <w:b/>
          <w:bCs/>
          <w:color w:val="auto"/>
          <w:sz w:val="24"/>
          <w:highlight w:val="none"/>
        </w:rPr>
      </w:pPr>
    </w:p>
    <w:p w14:paraId="0CF61A30">
      <w:pPr>
        <w:snapToGrid w:val="0"/>
        <w:jc w:val="center"/>
        <w:rPr>
          <w:rFonts w:ascii="宋体" w:hAnsi="宋体"/>
          <w:b/>
          <w:bCs/>
          <w:color w:val="auto"/>
          <w:sz w:val="24"/>
          <w:highlight w:val="none"/>
        </w:rPr>
      </w:pPr>
    </w:p>
    <w:p w14:paraId="35768035">
      <w:pPr>
        <w:snapToGrid w:val="0"/>
        <w:jc w:val="center"/>
        <w:rPr>
          <w:rFonts w:ascii="宋体" w:hAnsi="宋体"/>
          <w:b/>
          <w:bCs/>
          <w:color w:val="auto"/>
          <w:sz w:val="24"/>
          <w:highlight w:val="none"/>
        </w:rPr>
      </w:pPr>
    </w:p>
    <w:p w14:paraId="22DFF454">
      <w:pPr>
        <w:snapToGrid w:val="0"/>
        <w:jc w:val="center"/>
        <w:rPr>
          <w:rFonts w:ascii="宋体" w:hAnsi="宋体"/>
          <w:b/>
          <w:bCs/>
          <w:color w:val="auto"/>
          <w:sz w:val="24"/>
          <w:highlight w:val="none"/>
        </w:rPr>
      </w:pPr>
    </w:p>
    <w:p w14:paraId="39344A83">
      <w:pPr>
        <w:snapToGrid w:val="0"/>
        <w:jc w:val="center"/>
        <w:rPr>
          <w:rFonts w:ascii="宋体" w:hAnsi="宋体"/>
          <w:b/>
          <w:bCs/>
          <w:color w:val="auto"/>
          <w:sz w:val="24"/>
          <w:highlight w:val="none"/>
        </w:rPr>
      </w:pPr>
      <w:r>
        <w:rPr>
          <w:rFonts w:hint="eastAsia" w:ascii="宋体" w:hAnsi="宋体"/>
          <w:b/>
          <w:bCs/>
          <w:color w:val="auto"/>
          <w:sz w:val="24"/>
          <w:highlight w:val="none"/>
        </w:rPr>
        <w:t>监狱和戒毒企业证明材料</w:t>
      </w:r>
    </w:p>
    <w:p w14:paraId="7B204484">
      <w:pPr>
        <w:pStyle w:val="971"/>
        <w:snapToGrid w:val="0"/>
        <w:jc w:val="center"/>
        <w:rPr>
          <w:rFonts w:ascii="宋体" w:hAnsi="宋体"/>
          <w:b/>
          <w:color w:val="auto"/>
          <w:sz w:val="24"/>
          <w:highlight w:val="none"/>
          <w:lang w:val="en-GB"/>
        </w:rPr>
      </w:pPr>
    </w:p>
    <w:p w14:paraId="2E3FEE6F">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监狱和戒毒企业参加投标时应提供由省级以上监狱管理局、戒毒管理局（含新疆生产建设兵团）出具的属于监狱企业的证明文件。</w:t>
      </w:r>
    </w:p>
    <w:p w14:paraId="40431847">
      <w:pPr>
        <w:snapToGrid w:val="0"/>
        <w:spacing w:line="480" w:lineRule="exact"/>
        <w:ind w:firstLine="480" w:firstLineChars="200"/>
        <w:rPr>
          <w:rFonts w:ascii="宋体" w:hAnsi="宋体"/>
          <w:color w:val="auto"/>
          <w:sz w:val="24"/>
          <w:highlight w:val="none"/>
        </w:rPr>
      </w:pPr>
    </w:p>
    <w:p w14:paraId="178C9BC5">
      <w:pPr>
        <w:snapToGrid w:val="0"/>
        <w:ind w:firstLine="480" w:firstLineChars="200"/>
        <w:rPr>
          <w:rFonts w:ascii="宋体" w:hAnsi="宋体"/>
          <w:color w:val="auto"/>
          <w:sz w:val="24"/>
          <w:highlight w:val="none"/>
        </w:rPr>
      </w:pPr>
    </w:p>
    <w:p w14:paraId="3DDA312C">
      <w:pPr>
        <w:snapToGrid w:val="0"/>
        <w:ind w:firstLine="480" w:firstLineChars="200"/>
        <w:rPr>
          <w:rFonts w:ascii="宋体" w:hAnsi="宋体"/>
          <w:color w:val="auto"/>
          <w:sz w:val="24"/>
          <w:highlight w:val="none"/>
        </w:rPr>
      </w:pPr>
    </w:p>
    <w:p w14:paraId="55EB067E">
      <w:pPr>
        <w:snapToGrid w:val="0"/>
        <w:ind w:firstLine="480" w:firstLineChars="200"/>
        <w:rPr>
          <w:rFonts w:ascii="宋体" w:hAnsi="宋体"/>
          <w:color w:val="auto"/>
          <w:sz w:val="24"/>
          <w:highlight w:val="none"/>
        </w:rPr>
      </w:pPr>
    </w:p>
    <w:p w14:paraId="47B8658C">
      <w:pPr>
        <w:snapToGrid w:val="0"/>
        <w:ind w:firstLine="480" w:firstLineChars="200"/>
        <w:rPr>
          <w:rFonts w:ascii="宋体" w:hAnsi="宋体"/>
          <w:color w:val="auto"/>
          <w:sz w:val="24"/>
          <w:highlight w:val="none"/>
        </w:rPr>
      </w:pPr>
    </w:p>
    <w:p w14:paraId="4CC65058">
      <w:pPr>
        <w:snapToGrid w:val="0"/>
        <w:ind w:firstLine="480" w:firstLineChars="200"/>
        <w:rPr>
          <w:rFonts w:ascii="宋体" w:hAnsi="宋体"/>
          <w:color w:val="auto"/>
          <w:sz w:val="24"/>
          <w:highlight w:val="none"/>
        </w:rPr>
      </w:pPr>
    </w:p>
    <w:p w14:paraId="36FC4D74">
      <w:pPr>
        <w:snapToGrid w:val="0"/>
        <w:ind w:firstLine="480" w:firstLineChars="200"/>
        <w:rPr>
          <w:rFonts w:ascii="宋体" w:hAnsi="宋体"/>
          <w:color w:val="auto"/>
          <w:sz w:val="24"/>
          <w:highlight w:val="none"/>
        </w:rPr>
      </w:pPr>
    </w:p>
    <w:p w14:paraId="5273BE51">
      <w:pPr>
        <w:snapToGrid w:val="0"/>
        <w:ind w:firstLine="480" w:firstLineChars="200"/>
        <w:rPr>
          <w:rFonts w:ascii="宋体" w:hAnsi="宋体"/>
          <w:color w:val="auto"/>
          <w:sz w:val="24"/>
          <w:highlight w:val="none"/>
        </w:rPr>
      </w:pPr>
    </w:p>
    <w:p w14:paraId="7D85F468">
      <w:pPr>
        <w:snapToGrid w:val="0"/>
        <w:rPr>
          <w:rFonts w:ascii="宋体" w:hAnsi="宋体"/>
          <w:b/>
          <w:color w:val="auto"/>
          <w:spacing w:val="6"/>
          <w:sz w:val="24"/>
          <w:highlight w:val="none"/>
        </w:rPr>
      </w:pPr>
    </w:p>
    <w:p w14:paraId="04751813">
      <w:pPr>
        <w:snapToGrid w:val="0"/>
        <w:jc w:val="center"/>
        <w:rPr>
          <w:rFonts w:ascii="宋体" w:hAnsi="宋体"/>
          <w:b/>
          <w:bCs/>
          <w:color w:val="auto"/>
          <w:sz w:val="24"/>
          <w:highlight w:val="none"/>
        </w:rPr>
      </w:pPr>
      <w:r>
        <w:rPr>
          <w:rFonts w:hint="eastAsia" w:ascii="宋体" w:hAnsi="宋体"/>
          <w:b/>
          <w:bCs/>
          <w:color w:val="auto"/>
          <w:sz w:val="24"/>
          <w:highlight w:val="none"/>
        </w:rPr>
        <w:t>残疾人福利性单位声明函</w:t>
      </w:r>
    </w:p>
    <w:p w14:paraId="53808EA5">
      <w:pPr>
        <w:snapToGrid w:val="0"/>
        <w:rPr>
          <w:rFonts w:ascii="宋体" w:hAnsi="宋体"/>
          <w:b/>
          <w:color w:val="auto"/>
          <w:spacing w:val="6"/>
          <w:sz w:val="24"/>
          <w:highlight w:val="none"/>
        </w:rPr>
      </w:pPr>
    </w:p>
    <w:p w14:paraId="234355BC">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8D9EC79">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本单位对上述声明的真实性负责。如有虚假，将依法承担相应责任。</w:t>
      </w:r>
    </w:p>
    <w:p w14:paraId="5F29F8EF">
      <w:pPr>
        <w:snapToGrid w:val="0"/>
        <w:spacing w:line="480" w:lineRule="exact"/>
        <w:rPr>
          <w:rFonts w:ascii="宋体" w:hAnsi="宋体"/>
          <w:color w:val="auto"/>
          <w:sz w:val="24"/>
          <w:highlight w:val="none"/>
        </w:rPr>
      </w:pPr>
    </w:p>
    <w:p w14:paraId="64A7E021">
      <w:pPr>
        <w:snapToGrid w:val="0"/>
        <w:rPr>
          <w:rFonts w:ascii="宋体" w:hAnsi="宋体"/>
          <w:color w:val="auto"/>
          <w:sz w:val="24"/>
          <w:highlight w:val="none"/>
        </w:rPr>
      </w:pPr>
    </w:p>
    <w:p w14:paraId="0D5FCC87">
      <w:pPr>
        <w:snapToGrid w:val="0"/>
        <w:ind w:firstLine="5520" w:firstLineChars="2300"/>
        <w:rPr>
          <w:rFonts w:ascii="宋体" w:hAnsi="宋体"/>
          <w:color w:val="auto"/>
          <w:sz w:val="24"/>
          <w:highlight w:val="none"/>
        </w:rPr>
      </w:pPr>
      <w:r>
        <w:rPr>
          <w:rFonts w:hint="eastAsia" w:ascii="宋体" w:hAnsi="宋体"/>
          <w:color w:val="auto"/>
          <w:sz w:val="24"/>
          <w:highlight w:val="none"/>
        </w:rPr>
        <w:t>投标人（盖章）：</w:t>
      </w:r>
    </w:p>
    <w:p w14:paraId="0B61461F">
      <w:pPr>
        <w:snapToGrid w:val="0"/>
        <w:rPr>
          <w:rFonts w:ascii="宋体" w:hAnsi="宋体"/>
          <w:color w:val="auto"/>
          <w:sz w:val="24"/>
          <w:highlight w:val="none"/>
        </w:rPr>
      </w:pPr>
    </w:p>
    <w:p w14:paraId="3CF5AD92">
      <w:pPr>
        <w:snapToGrid w:val="0"/>
        <w:rPr>
          <w:rFonts w:ascii="宋体" w:hAnsi="宋体"/>
          <w:color w:val="auto"/>
          <w:sz w:val="24"/>
          <w:highlight w:val="none"/>
        </w:rPr>
      </w:pPr>
    </w:p>
    <w:p w14:paraId="0E8490A7">
      <w:pPr>
        <w:jc w:val="center"/>
        <w:rPr>
          <w:color w:val="auto"/>
          <w:sz w:val="24"/>
          <w:highlight w:val="none"/>
        </w:rPr>
      </w:pPr>
      <w:r>
        <w:rPr>
          <w:rFonts w:hint="eastAsia" w:ascii="宋体" w:hAnsi="宋体"/>
          <w:color w:val="auto"/>
          <w:sz w:val="24"/>
          <w:highlight w:val="none"/>
        </w:rPr>
        <w:t xml:space="preserve">                                        日期：年月日</w:t>
      </w:r>
    </w:p>
    <w:p w14:paraId="502B0BC7">
      <w:pPr>
        <w:pStyle w:val="15"/>
        <w:rPr>
          <w:color w:val="auto"/>
          <w:highlight w:val="none"/>
        </w:rPr>
      </w:pPr>
    </w:p>
    <w:p w14:paraId="65B24F2C">
      <w:pPr>
        <w:snapToGrid w:val="0"/>
        <w:spacing w:beforeLines="50" w:after="50"/>
        <w:rPr>
          <w:b/>
          <w:color w:val="auto"/>
          <w:sz w:val="24"/>
          <w:highlight w:val="none"/>
        </w:rPr>
      </w:pPr>
    </w:p>
    <w:p w14:paraId="6D4C1B83">
      <w:pPr>
        <w:snapToGrid w:val="0"/>
        <w:spacing w:beforeLines="50" w:after="50"/>
        <w:rPr>
          <w:b/>
          <w:color w:val="auto"/>
          <w:sz w:val="24"/>
          <w:highlight w:val="none"/>
        </w:rPr>
      </w:pPr>
    </w:p>
    <w:p w14:paraId="795C65F5">
      <w:pPr>
        <w:snapToGrid w:val="0"/>
        <w:spacing w:beforeLines="50" w:after="50"/>
        <w:rPr>
          <w:b/>
          <w:bCs/>
          <w:color w:val="auto"/>
          <w:sz w:val="32"/>
          <w:szCs w:val="20"/>
          <w:highlight w:val="none"/>
        </w:rPr>
      </w:pPr>
      <w:r>
        <w:rPr>
          <w:rFonts w:hint="eastAsia"/>
          <w:b/>
          <w:color w:val="auto"/>
          <w:sz w:val="24"/>
          <w:highlight w:val="none"/>
        </w:rPr>
        <w:t>商务技术响应文件封面格式：</w:t>
      </w:r>
    </w:p>
    <w:p w14:paraId="2D5D9602">
      <w:pPr>
        <w:snapToGrid w:val="0"/>
        <w:spacing w:beforeLines="50" w:after="50"/>
        <w:jc w:val="center"/>
        <w:rPr>
          <w:b/>
          <w:bCs/>
          <w:color w:val="auto"/>
          <w:sz w:val="32"/>
          <w:szCs w:val="32"/>
          <w:highlight w:val="none"/>
        </w:rPr>
      </w:pPr>
    </w:p>
    <w:p w14:paraId="34399EBF">
      <w:pPr>
        <w:snapToGrid w:val="0"/>
        <w:spacing w:beforeLines="50" w:after="50"/>
        <w:jc w:val="center"/>
        <w:rPr>
          <w:b/>
          <w:bCs/>
          <w:color w:val="auto"/>
          <w:sz w:val="32"/>
          <w:szCs w:val="32"/>
          <w:highlight w:val="none"/>
        </w:rPr>
      </w:pPr>
    </w:p>
    <w:p w14:paraId="1C55F81D">
      <w:pPr>
        <w:snapToGrid w:val="0"/>
        <w:spacing w:beforeLines="50" w:after="50"/>
        <w:jc w:val="center"/>
        <w:rPr>
          <w:b/>
          <w:bCs/>
          <w:color w:val="auto"/>
          <w:sz w:val="32"/>
          <w:szCs w:val="32"/>
          <w:highlight w:val="none"/>
        </w:rPr>
      </w:pPr>
    </w:p>
    <w:p w14:paraId="03F07A50">
      <w:pPr>
        <w:snapToGrid w:val="0"/>
        <w:spacing w:beforeLines="50" w:after="50"/>
        <w:jc w:val="center"/>
        <w:rPr>
          <w:b/>
          <w:bCs/>
          <w:color w:val="auto"/>
          <w:sz w:val="32"/>
          <w:szCs w:val="32"/>
          <w:highlight w:val="none"/>
        </w:rPr>
      </w:pPr>
      <w:r>
        <w:rPr>
          <w:rFonts w:hint="eastAsia"/>
          <w:b/>
          <w:bCs/>
          <w:color w:val="auto"/>
          <w:sz w:val="32"/>
          <w:szCs w:val="32"/>
          <w:highlight w:val="none"/>
        </w:rPr>
        <w:t>商务技术文件</w:t>
      </w:r>
    </w:p>
    <w:p w14:paraId="0FEECD82">
      <w:pPr>
        <w:snapToGrid w:val="0"/>
        <w:spacing w:beforeLines="50" w:after="50" w:line="320" w:lineRule="exact"/>
        <w:ind w:firstLine="1068" w:firstLineChars="445"/>
        <w:rPr>
          <w:bCs/>
          <w:color w:val="auto"/>
          <w:sz w:val="24"/>
          <w:szCs w:val="20"/>
          <w:highlight w:val="none"/>
        </w:rPr>
      </w:pPr>
      <w:r>
        <w:rPr>
          <w:rFonts w:hint="eastAsia"/>
          <w:bCs/>
          <w:color w:val="auto"/>
          <w:sz w:val="24"/>
          <w:highlight w:val="none"/>
        </w:rPr>
        <w:t>项目名称：</w:t>
      </w:r>
    </w:p>
    <w:p w14:paraId="2CFD3BEE">
      <w:pPr>
        <w:snapToGrid w:val="0"/>
        <w:spacing w:beforeLines="50" w:after="50" w:line="320" w:lineRule="exact"/>
        <w:ind w:firstLine="1068" w:firstLineChars="445"/>
        <w:rPr>
          <w:bCs/>
          <w:color w:val="auto"/>
          <w:sz w:val="24"/>
          <w:highlight w:val="none"/>
        </w:rPr>
      </w:pPr>
      <w:r>
        <w:rPr>
          <w:rFonts w:hint="eastAsia"/>
          <w:bCs/>
          <w:color w:val="auto"/>
          <w:sz w:val="24"/>
          <w:highlight w:val="none"/>
        </w:rPr>
        <w:t>项目编号：</w:t>
      </w:r>
    </w:p>
    <w:p w14:paraId="23EAD21E">
      <w:pPr>
        <w:pStyle w:val="15"/>
        <w:spacing w:before="50" w:after="50" w:line="320" w:lineRule="exact"/>
        <w:ind w:firstLine="1068" w:firstLineChars="445"/>
        <w:rPr>
          <w:bCs/>
          <w:color w:val="auto"/>
          <w:sz w:val="24"/>
          <w:highlight w:val="none"/>
        </w:rPr>
      </w:pPr>
      <w:r>
        <w:rPr>
          <w:rFonts w:hint="eastAsia"/>
          <w:bCs/>
          <w:color w:val="auto"/>
          <w:sz w:val="24"/>
          <w:highlight w:val="none"/>
        </w:rPr>
        <w:t xml:space="preserve">投标人名称：   </w:t>
      </w:r>
      <w:r>
        <w:rPr>
          <w:rFonts w:hint="eastAsia" w:hAnsi="宋体"/>
          <w:bCs/>
          <w:color w:val="auto"/>
          <w:sz w:val="24"/>
          <w:highlight w:val="none"/>
        </w:rPr>
        <w:t>（加盖公章）</w:t>
      </w:r>
    </w:p>
    <w:p w14:paraId="2736D9B9">
      <w:pPr>
        <w:pStyle w:val="15"/>
        <w:spacing w:before="50" w:after="50" w:line="320" w:lineRule="exact"/>
        <w:ind w:firstLine="1068" w:firstLineChars="445"/>
        <w:rPr>
          <w:bCs/>
          <w:color w:val="auto"/>
          <w:sz w:val="24"/>
          <w:highlight w:val="none"/>
        </w:rPr>
      </w:pPr>
      <w:r>
        <w:rPr>
          <w:rFonts w:hint="eastAsia"/>
          <w:bCs/>
          <w:color w:val="auto"/>
          <w:sz w:val="24"/>
          <w:highlight w:val="none"/>
        </w:rPr>
        <w:t>投标人地址：</w:t>
      </w:r>
    </w:p>
    <w:p w14:paraId="7CC298EC">
      <w:pPr>
        <w:snapToGrid w:val="0"/>
        <w:spacing w:beforeLines="50" w:after="50" w:line="360" w:lineRule="auto"/>
        <w:ind w:firstLine="645"/>
        <w:jc w:val="center"/>
        <w:rPr>
          <w:color w:val="auto"/>
          <w:sz w:val="24"/>
          <w:szCs w:val="20"/>
          <w:highlight w:val="none"/>
        </w:rPr>
      </w:pPr>
      <w:r>
        <w:rPr>
          <w:rFonts w:hint="eastAsia"/>
          <w:color w:val="auto"/>
          <w:sz w:val="24"/>
          <w:highlight w:val="none"/>
        </w:rPr>
        <w:t xml:space="preserve">                       年月日</w:t>
      </w:r>
    </w:p>
    <w:p w14:paraId="6DC55E34">
      <w:pPr>
        <w:snapToGrid w:val="0"/>
        <w:spacing w:beforeLines="50" w:after="50"/>
        <w:jc w:val="center"/>
        <w:rPr>
          <w:rFonts w:ascii="宋体" w:hAnsi="宋体" w:cs="宋体"/>
          <w:b/>
          <w:color w:val="auto"/>
          <w:sz w:val="32"/>
          <w:szCs w:val="32"/>
          <w:highlight w:val="none"/>
        </w:rPr>
      </w:pPr>
    </w:p>
    <w:p w14:paraId="0714056A">
      <w:pPr>
        <w:pStyle w:val="2"/>
        <w:rPr>
          <w:rFonts w:ascii="宋体" w:hAnsi="宋体" w:cs="宋体"/>
          <w:b w:val="0"/>
          <w:color w:val="auto"/>
          <w:szCs w:val="32"/>
          <w:highlight w:val="none"/>
        </w:rPr>
      </w:pPr>
    </w:p>
    <w:p w14:paraId="72126BB8">
      <w:pPr>
        <w:rPr>
          <w:color w:val="auto"/>
          <w:highlight w:val="none"/>
        </w:rPr>
      </w:pPr>
    </w:p>
    <w:p w14:paraId="304EC700">
      <w:pPr>
        <w:rPr>
          <w:color w:val="auto"/>
          <w:highlight w:val="none"/>
        </w:rPr>
      </w:pPr>
    </w:p>
    <w:p w14:paraId="44638E63">
      <w:pPr>
        <w:snapToGrid w:val="0"/>
        <w:spacing w:beforeLines="50" w:after="50"/>
        <w:rPr>
          <w:color w:val="auto"/>
          <w:sz w:val="24"/>
          <w:szCs w:val="20"/>
          <w:highlight w:val="none"/>
        </w:rPr>
      </w:pPr>
      <w:r>
        <w:rPr>
          <w:rFonts w:hint="eastAsia"/>
          <w:b/>
          <w:color w:val="auto"/>
          <w:sz w:val="24"/>
          <w:highlight w:val="none"/>
        </w:rPr>
        <w:t>报价文件响应封面格式：</w:t>
      </w:r>
    </w:p>
    <w:p w14:paraId="477780AC">
      <w:pPr>
        <w:snapToGrid w:val="0"/>
        <w:spacing w:beforeLines="50" w:after="50"/>
        <w:rPr>
          <w:b/>
          <w:bCs/>
          <w:color w:val="auto"/>
          <w:sz w:val="32"/>
          <w:szCs w:val="20"/>
          <w:highlight w:val="none"/>
        </w:rPr>
      </w:pPr>
    </w:p>
    <w:p w14:paraId="513D01E3">
      <w:pPr>
        <w:snapToGrid w:val="0"/>
        <w:spacing w:beforeLines="50" w:after="50"/>
        <w:jc w:val="center"/>
        <w:rPr>
          <w:b/>
          <w:bCs/>
          <w:color w:val="auto"/>
          <w:sz w:val="32"/>
          <w:szCs w:val="32"/>
          <w:highlight w:val="none"/>
        </w:rPr>
      </w:pPr>
      <w:r>
        <w:rPr>
          <w:rFonts w:hint="eastAsia"/>
          <w:b/>
          <w:bCs/>
          <w:color w:val="auto"/>
          <w:sz w:val="32"/>
          <w:szCs w:val="32"/>
          <w:highlight w:val="none"/>
        </w:rPr>
        <w:t>报  价文件</w:t>
      </w:r>
    </w:p>
    <w:p w14:paraId="2D0B1E67">
      <w:pPr>
        <w:snapToGrid w:val="0"/>
        <w:spacing w:beforeLines="50" w:after="50" w:line="320" w:lineRule="exact"/>
        <w:ind w:firstLine="1068" w:firstLineChars="445"/>
        <w:rPr>
          <w:bCs/>
          <w:color w:val="auto"/>
          <w:sz w:val="24"/>
          <w:szCs w:val="20"/>
          <w:highlight w:val="none"/>
        </w:rPr>
      </w:pPr>
      <w:r>
        <w:rPr>
          <w:rFonts w:hint="eastAsia"/>
          <w:bCs/>
          <w:color w:val="auto"/>
          <w:sz w:val="24"/>
          <w:highlight w:val="none"/>
        </w:rPr>
        <w:t>项目名称：</w:t>
      </w:r>
    </w:p>
    <w:p w14:paraId="36810D78">
      <w:pPr>
        <w:snapToGrid w:val="0"/>
        <w:spacing w:beforeLines="50" w:after="50" w:line="320" w:lineRule="exact"/>
        <w:ind w:firstLine="1068" w:firstLineChars="445"/>
        <w:rPr>
          <w:bCs/>
          <w:color w:val="auto"/>
          <w:sz w:val="24"/>
          <w:highlight w:val="none"/>
        </w:rPr>
      </w:pPr>
      <w:r>
        <w:rPr>
          <w:rFonts w:hint="eastAsia"/>
          <w:bCs/>
          <w:color w:val="auto"/>
          <w:sz w:val="24"/>
          <w:highlight w:val="none"/>
        </w:rPr>
        <w:t>项目编号：</w:t>
      </w:r>
    </w:p>
    <w:p w14:paraId="63279D4F">
      <w:pPr>
        <w:pStyle w:val="15"/>
        <w:spacing w:before="50" w:after="50" w:line="320" w:lineRule="exact"/>
        <w:ind w:firstLine="1068" w:firstLineChars="445"/>
        <w:rPr>
          <w:bCs/>
          <w:color w:val="auto"/>
          <w:sz w:val="24"/>
          <w:highlight w:val="none"/>
        </w:rPr>
      </w:pPr>
      <w:r>
        <w:rPr>
          <w:rFonts w:hint="eastAsia"/>
          <w:bCs/>
          <w:color w:val="auto"/>
          <w:sz w:val="24"/>
          <w:highlight w:val="none"/>
        </w:rPr>
        <w:t xml:space="preserve">投标人名称：   </w:t>
      </w:r>
      <w:r>
        <w:rPr>
          <w:rFonts w:hint="eastAsia" w:hAnsi="宋体"/>
          <w:bCs/>
          <w:color w:val="auto"/>
          <w:sz w:val="24"/>
          <w:highlight w:val="none"/>
        </w:rPr>
        <w:t>（加盖公章）</w:t>
      </w:r>
    </w:p>
    <w:p w14:paraId="634F722E">
      <w:pPr>
        <w:pStyle w:val="15"/>
        <w:spacing w:before="50" w:after="50" w:line="320" w:lineRule="exact"/>
        <w:ind w:firstLine="1068" w:firstLineChars="445"/>
        <w:rPr>
          <w:bCs/>
          <w:color w:val="auto"/>
          <w:sz w:val="24"/>
          <w:highlight w:val="none"/>
        </w:rPr>
      </w:pPr>
      <w:r>
        <w:rPr>
          <w:rFonts w:hint="eastAsia"/>
          <w:bCs/>
          <w:color w:val="auto"/>
          <w:sz w:val="24"/>
          <w:highlight w:val="none"/>
        </w:rPr>
        <w:t>投标人地址：</w:t>
      </w:r>
    </w:p>
    <w:p w14:paraId="221E39E9">
      <w:pPr>
        <w:spacing w:line="360" w:lineRule="auto"/>
        <w:ind w:right="420"/>
        <w:rPr>
          <w:color w:val="auto"/>
          <w:highlight w:val="none"/>
        </w:rPr>
      </w:pPr>
      <w:r>
        <w:rPr>
          <w:rFonts w:hint="eastAsia"/>
          <w:color w:val="auto"/>
          <w:sz w:val="24"/>
          <w:highlight w:val="none"/>
        </w:rPr>
        <w:t xml:space="preserve">                       年月日</w:t>
      </w:r>
    </w:p>
    <w:p w14:paraId="64532621">
      <w:pPr>
        <w:spacing w:line="360" w:lineRule="auto"/>
        <w:rPr>
          <w:rFonts w:ascii="仿宋" w:hAnsi="仿宋" w:eastAsia="仿宋"/>
          <w:bCs/>
          <w:color w:val="auto"/>
          <w:sz w:val="24"/>
          <w:highlight w:val="none"/>
        </w:rPr>
      </w:pPr>
    </w:p>
    <w:p w14:paraId="49460E1F">
      <w:pPr>
        <w:spacing w:line="360" w:lineRule="auto"/>
        <w:jc w:val="center"/>
        <w:rPr>
          <w:rFonts w:ascii="宋体" w:hAnsi="宋体" w:cs="宋体"/>
          <w:b/>
          <w:color w:val="auto"/>
          <w:sz w:val="24"/>
          <w:highlight w:val="none"/>
        </w:rPr>
      </w:pPr>
      <w:bookmarkStart w:id="35" w:name="_Toc219619166"/>
    </w:p>
    <w:p w14:paraId="2189928D">
      <w:pPr>
        <w:spacing w:line="360" w:lineRule="auto"/>
        <w:jc w:val="center"/>
        <w:rPr>
          <w:rFonts w:ascii="宋体" w:hAnsi="宋体" w:cs="宋体"/>
          <w:b/>
          <w:color w:val="auto"/>
          <w:sz w:val="24"/>
          <w:highlight w:val="none"/>
        </w:rPr>
      </w:pPr>
    </w:p>
    <w:p w14:paraId="187B2D89">
      <w:pPr>
        <w:spacing w:line="360" w:lineRule="auto"/>
        <w:jc w:val="center"/>
        <w:rPr>
          <w:rFonts w:ascii="宋体" w:hAnsi="宋体" w:cs="宋体"/>
          <w:b/>
          <w:color w:val="auto"/>
          <w:sz w:val="24"/>
          <w:highlight w:val="none"/>
        </w:rPr>
      </w:pPr>
    </w:p>
    <w:p w14:paraId="3C6A57D0">
      <w:pPr>
        <w:spacing w:line="360" w:lineRule="auto"/>
        <w:jc w:val="center"/>
        <w:rPr>
          <w:rFonts w:ascii="宋体" w:hAnsi="宋体" w:cs="宋体"/>
          <w:b/>
          <w:color w:val="auto"/>
          <w:sz w:val="24"/>
          <w:highlight w:val="none"/>
        </w:rPr>
      </w:pPr>
    </w:p>
    <w:p w14:paraId="14AFB3C2">
      <w:pPr>
        <w:spacing w:line="360" w:lineRule="auto"/>
        <w:rPr>
          <w:rFonts w:ascii="宋体" w:hAnsi="宋体" w:cs="宋体"/>
          <w:b/>
          <w:color w:val="auto"/>
          <w:sz w:val="24"/>
          <w:highlight w:val="none"/>
        </w:rPr>
      </w:pPr>
    </w:p>
    <w:p w14:paraId="6E3C8B6D">
      <w:pPr>
        <w:spacing w:line="360" w:lineRule="auto"/>
        <w:jc w:val="center"/>
        <w:rPr>
          <w:rFonts w:ascii="宋体" w:hAnsi="宋体" w:cs="宋体"/>
          <w:b/>
          <w:color w:val="auto"/>
          <w:sz w:val="24"/>
          <w:highlight w:val="none"/>
        </w:rPr>
      </w:pPr>
    </w:p>
    <w:p w14:paraId="37E23592">
      <w:pPr>
        <w:spacing w:line="360" w:lineRule="auto"/>
        <w:jc w:val="center"/>
        <w:rPr>
          <w:rFonts w:ascii="宋体" w:hAnsi="宋体" w:cs="宋体"/>
          <w:b/>
          <w:bCs/>
          <w:color w:val="auto"/>
          <w:sz w:val="24"/>
          <w:highlight w:val="none"/>
        </w:rPr>
      </w:pPr>
      <w:r>
        <w:rPr>
          <w:rFonts w:hint="eastAsia" w:ascii="宋体" w:hAnsi="宋体" w:cs="宋体"/>
          <w:b/>
          <w:color w:val="auto"/>
          <w:sz w:val="24"/>
          <w:highlight w:val="none"/>
        </w:rPr>
        <w:t>自评表</w:t>
      </w:r>
    </w:p>
    <w:tbl>
      <w:tblPr>
        <w:tblStyle w:val="6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0"/>
        <w:gridCol w:w="3300"/>
        <w:gridCol w:w="2145"/>
        <w:gridCol w:w="2109"/>
      </w:tblGrid>
      <w:tr w14:paraId="34EB2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10" w:type="dxa"/>
            <w:gridSpan w:val="2"/>
            <w:vMerge w:val="restart"/>
            <w:vAlign w:val="center"/>
          </w:tcPr>
          <w:p w14:paraId="488D7D88">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评标内容及分值</w:t>
            </w:r>
          </w:p>
        </w:tc>
        <w:tc>
          <w:tcPr>
            <w:tcW w:w="4254" w:type="dxa"/>
            <w:gridSpan w:val="2"/>
            <w:vAlign w:val="center"/>
          </w:tcPr>
          <w:p w14:paraId="0AC65693">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供应商自评栏</w:t>
            </w:r>
          </w:p>
        </w:tc>
      </w:tr>
      <w:tr w14:paraId="57BDA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4510" w:type="dxa"/>
            <w:gridSpan w:val="2"/>
            <w:vMerge w:val="continue"/>
            <w:vAlign w:val="center"/>
          </w:tcPr>
          <w:p w14:paraId="5B256AEA">
            <w:pPr>
              <w:spacing w:line="360" w:lineRule="auto"/>
              <w:jc w:val="center"/>
              <w:rPr>
                <w:rFonts w:ascii="宋体" w:hAnsi="宋体" w:cs="宋体"/>
                <w:b/>
                <w:bCs/>
                <w:color w:val="auto"/>
                <w:sz w:val="24"/>
                <w:highlight w:val="none"/>
              </w:rPr>
            </w:pPr>
          </w:p>
        </w:tc>
        <w:tc>
          <w:tcPr>
            <w:tcW w:w="2145" w:type="dxa"/>
            <w:vAlign w:val="center"/>
          </w:tcPr>
          <w:p w14:paraId="1B438BB2">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自评分</w:t>
            </w:r>
          </w:p>
        </w:tc>
        <w:tc>
          <w:tcPr>
            <w:tcW w:w="2109" w:type="dxa"/>
            <w:vAlign w:val="center"/>
          </w:tcPr>
          <w:p w14:paraId="649CD36D">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自评依据及标书页码</w:t>
            </w:r>
          </w:p>
        </w:tc>
      </w:tr>
      <w:tr w14:paraId="4B401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210" w:type="dxa"/>
            <w:vMerge w:val="restart"/>
            <w:vAlign w:val="center"/>
          </w:tcPr>
          <w:p w14:paraId="62EB2782">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商务资信分（X分）</w:t>
            </w:r>
          </w:p>
        </w:tc>
        <w:tc>
          <w:tcPr>
            <w:tcW w:w="3300" w:type="dxa"/>
            <w:tcBorders>
              <w:bottom w:val="single" w:color="auto" w:sz="4" w:space="0"/>
            </w:tcBorders>
            <w:vAlign w:val="center"/>
          </w:tcPr>
          <w:p w14:paraId="2255522B">
            <w:pPr>
              <w:widowControl/>
              <w:spacing w:line="360" w:lineRule="auto"/>
              <w:jc w:val="center"/>
              <w:rPr>
                <w:rFonts w:ascii="宋体" w:hAnsi="宋体" w:cs="宋体"/>
                <w:color w:val="auto"/>
                <w:kern w:val="0"/>
                <w:sz w:val="24"/>
                <w:highlight w:val="none"/>
              </w:rPr>
            </w:pPr>
          </w:p>
        </w:tc>
        <w:tc>
          <w:tcPr>
            <w:tcW w:w="2145" w:type="dxa"/>
            <w:tcBorders>
              <w:bottom w:val="single" w:color="auto" w:sz="4" w:space="0"/>
            </w:tcBorders>
            <w:vAlign w:val="center"/>
          </w:tcPr>
          <w:p w14:paraId="17463B4A">
            <w:pPr>
              <w:spacing w:line="360" w:lineRule="auto"/>
              <w:jc w:val="left"/>
              <w:rPr>
                <w:rFonts w:ascii="宋体" w:hAnsi="宋体" w:cs="宋体"/>
                <w:color w:val="auto"/>
                <w:sz w:val="24"/>
                <w:highlight w:val="none"/>
              </w:rPr>
            </w:pPr>
          </w:p>
        </w:tc>
        <w:tc>
          <w:tcPr>
            <w:tcW w:w="2109" w:type="dxa"/>
            <w:tcBorders>
              <w:bottom w:val="single" w:color="auto" w:sz="4" w:space="0"/>
            </w:tcBorders>
            <w:vAlign w:val="center"/>
          </w:tcPr>
          <w:p w14:paraId="6460D59B">
            <w:pPr>
              <w:spacing w:line="360" w:lineRule="auto"/>
              <w:jc w:val="center"/>
              <w:rPr>
                <w:rFonts w:ascii="宋体" w:hAnsi="宋体" w:cs="宋体"/>
                <w:b/>
                <w:bCs/>
                <w:color w:val="auto"/>
                <w:sz w:val="24"/>
                <w:highlight w:val="none"/>
              </w:rPr>
            </w:pPr>
          </w:p>
        </w:tc>
      </w:tr>
      <w:tr w14:paraId="63CBA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2FA2B618">
            <w:pPr>
              <w:spacing w:line="360" w:lineRule="auto"/>
              <w:jc w:val="center"/>
              <w:rPr>
                <w:rFonts w:ascii="宋体" w:hAnsi="宋体" w:cs="宋体"/>
                <w:b/>
                <w:bCs/>
                <w:color w:val="auto"/>
                <w:sz w:val="24"/>
                <w:highlight w:val="none"/>
              </w:rPr>
            </w:pPr>
          </w:p>
        </w:tc>
        <w:tc>
          <w:tcPr>
            <w:tcW w:w="3300" w:type="dxa"/>
            <w:tcBorders>
              <w:top w:val="single" w:color="auto" w:sz="4" w:space="0"/>
            </w:tcBorders>
            <w:vAlign w:val="center"/>
          </w:tcPr>
          <w:p w14:paraId="6B564E8B">
            <w:pPr>
              <w:widowControl/>
              <w:spacing w:line="360" w:lineRule="auto"/>
              <w:jc w:val="center"/>
              <w:rPr>
                <w:rFonts w:ascii="宋体" w:hAnsi="宋体" w:cs="宋体"/>
                <w:color w:val="auto"/>
                <w:kern w:val="0"/>
                <w:sz w:val="24"/>
                <w:highlight w:val="none"/>
              </w:rPr>
            </w:pPr>
          </w:p>
        </w:tc>
        <w:tc>
          <w:tcPr>
            <w:tcW w:w="2145" w:type="dxa"/>
            <w:tcBorders>
              <w:top w:val="single" w:color="auto" w:sz="4" w:space="0"/>
              <w:bottom w:val="single" w:color="auto" w:sz="4" w:space="0"/>
            </w:tcBorders>
            <w:vAlign w:val="center"/>
          </w:tcPr>
          <w:p w14:paraId="07E9B74D">
            <w:pPr>
              <w:spacing w:line="360" w:lineRule="auto"/>
              <w:jc w:val="left"/>
              <w:rPr>
                <w:rFonts w:ascii="宋体" w:hAnsi="宋体" w:cs="宋体"/>
                <w:color w:val="auto"/>
                <w:sz w:val="24"/>
                <w:highlight w:val="none"/>
              </w:rPr>
            </w:pPr>
          </w:p>
        </w:tc>
        <w:tc>
          <w:tcPr>
            <w:tcW w:w="2109" w:type="dxa"/>
            <w:tcBorders>
              <w:top w:val="single" w:color="auto" w:sz="4" w:space="0"/>
              <w:bottom w:val="single" w:color="auto" w:sz="4" w:space="0"/>
            </w:tcBorders>
            <w:vAlign w:val="center"/>
          </w:tcPr>
          <w:p w14:paraId="3FB89D57">
            <w:pPr>
              <w:spacing w:line="360" w:lineRule="auto"/>
              <w:jc w:val="center"/>
              <w:rPr>
                <w:rFonts w:ascii="宋体" w:hAnsi="宋体" w:cs="宋体"/>
                <w:b/>
                <w:bCs/>
                <w:color w:val="auto"/>
                <w:sz w:val="24"/>
                <w:highlight w:val="none"/>
              </w:rPr>
            </w:pPr>
          </w:p>
        </w:tc>
      </w:tr>
      <w:tr w14:paraId="3A23D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548E4B79">
            <w:pPr>
              <w:spacing w:line="360" w:lineRule="auto"/>
              <w:jc w:val="center"/>
              <w:rPr>
                <w:rFonts w:ascii="宋体" w:hAnsi="宋体" w:cs="宋体"/>
                <w:b/>
                <w:bCs/>
                <w:color w:val="auto"/>
                <w:sz w:val="24"/>
                <w:highlight w:val="none"/>
              </w:rPr>
            </w:pPr>
          </w:p>
        </w:tc>
        <w:tc>
          <w:tcPr>
            <w:tcW w:w="3300" w:type="dxa"/>
            <w:tcBorders>
              <w:top w:val="single" w:color="auto" w:sz="4" w:space="0"/>
            </w:tcBorders>
            <w:vAlign w:val="center"/>
          </w:tcPr>
          <w:p w14:paraId="1AC4F099">
            <w:pPr>
              <w:widowControl/>
              <w:spacing w:line="360" w:lineRule="auto"/>
              <w:jc w:val="center"/>
              <w:rPr>
                <w:rFonts w:ascii="宋体" w:hAnsi="宋体" w:cs="宋体"/>
                <w:color w:val="auto"/>
                <w:kern w:val="0"/>
                <w:sz w:val="24"/>
                <w:highlight w:val="none"/>
              </w:rPr>
            </w:pPr>
          </w:p>
        </w:tc>
        <w:tc>
          <w:tcPr>
            <w:tcW w:w="2145" w:type="dxa"/>
            <w:tcBorders>
              <w:top w:val="single" w:color="auto" w:sz="4" w:space="0"/>
              <w:bottom w:val="single" w:color="auto" w:sz="4" w:space="0"/>
            </w:tcBorders>
            <w:vAlign w:val="center"/>
          </w:tcPr>
          <w:p w14:paraId="5FD7A944">
            <w:pPr>
              <w:spacing w:line="360" w:lineRule="auto"/>
              <w:jc w:val="left"/>
              <w:rPr>
                <w:rFonts w:ascii="宋体" w:hAnsi="宋体" w:cs="宋体"/>
                <w:color w:val="auto"/>
                <w:sz w:val="24"/>
                <w:highlight w:val="none"/>
              </w:rPr>
            </w:pPr>
          </w:p>
        </w:tc>
        <w:tc>
          <w:tcPr>
            <w:tcW w:w="2109" w:type="dxa"/>
            <w:tcBorders>
              <w:top w:val="single" w:color="auto" w:sz="4" w:space="0"/>
              <w:bottom w:val="single" w:color="auto" w:sz="4" w:space="0"/>
            </w:tcBorders>
            <w:vAlign w:val="center"/>
          </w:tcPr>
          <w:p w14:paraId="6C978ED8">
            <w:pPr>
              <w:spacing w:line="360" w:lineRule="auto"/>
              <w:jc w:val="center"/>
              <w:rPr>
                <w:rFonts w:ascii="宋体" w:hAnsi="宋体" w:cs="宋体"/>
                <w:b/>
                <w:bCs/>
                <w:color w:val="auto"/>
                <w:sz w:val="24"/>
                <w:highlight w:val="none"/>
              </w:rPr>
            </w:pPr>
          </w:p>
        </w:tc>
      </w:tr>
      <w:tr w14:paraId="5683F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51159479">
            <w:pPr>
              <w:spacing w:line="360" w:lineRule="auto"/>
              <w:jc w:val="center"/>
              <w:rPr>
                <w:rFonts w:ascii="宋体" w:hAnsi="宋体" w:cs="宋体"/>
                <w:b/>
                <w:bCs/>
                <w:color w:val="auto"/>
                <w:sz w:val="24"/>
                <w:highlight w:val="none"/>
              </w:rPr>
            </w:pPr>
          </w:p>
        </w:tc>
        <w:tc>
          <w:tcPr>
            <w:tcW w:w="3300" w:type="dxa"/>
            <w:tcBorders>
              <w:top w:val="single" w:color="auto" w:sz="4" w:space="0"/>
            </w:tcBorders>
            <w:vAlign w:val="center"/>
          </w:tcPr>
          <w:p w14:paraId="0B6763FE">
            <w:pPr>
              <w:widowControl/>
              <w:spacing w:line="360" w:lineRule="auto"/>
              <w:jc w:val="center"/>
              <w:rPr>
                <w:rFonts w:ascii="宋体" w:hAnsi="宋体" w:cs="宋体"/>
                <w:color w:val="auto"/>
                <w:kern w:val="0"/>
                <w:sz w:val="24"/>
                <w:highlight w:val="none"/>
              </w:rPr>
            </w:pPr>
          </w:p>
        </w:tc>
        <w:tc>
          <w:tcPr>
            <w:tcW w:w="2145" w:type="dxa"/>
            <w:tcBorders>
              <w:top w:val="single" w:color="auto" w:sz="4" w:space="0"/>
              <w:bottom w:val="single" w:color="auto" w:sz="4" w:space="0"/>
            </w:tcBorders>
            <w:vAlign w:val="center"/>
          </w:tcPr>
          <w:p w14:paraId="0DD66171">
            <w:pPr>
              <w:spacing w:line="360" w:lineRule="auto"/>
              <w:jc w:val="left"/>
              <w:rPr>
                <w:rFonts w:ascii="宋体" w:hAnsi="宋体" w:cs="宋体"/>
                <w:color w:val="auto"/>
                <w:sz w:val="24"/>
                <w:highlight w:val="none"/>
              </w:rPr>
            </w:pPr>
          </w:p>
        </w:tc>
        <w:tc>
          <w:tcPr>
            <w:tcW w:w="2109" w:type="dxa"/>
            <w:tcBorders>
              <w:top w:val="single" w:color="auto" w:sz="4" w:space="0"/>
              <w:bottom w:val="single" w:color="auto" w:sz="4" w:space="0"/>
            </w:tcBorders>
            <w:vAlign w:val="center"/>
          </w:tcPr>
          <w:p w14:paraId="62F8C25E">
            <w:pPr>
              <w:spacing w:line="360" w:lineRule="auto"/>
              <w:jc w:val="center"/>
              <w:rPr>
                <w:rFonts w:ascii="宋体" w:hAnsi="宋体" w:cs="宋体"/>
                <w:b/>
                <w:bCs/>
                <w:color w:val="auto"/>
                <w:sz w:val="24"/>
                <w:highlight w:val="none"/>
              </w:rPr>
            </w:pPr>
          </w:p>
        </w:tc>
      </w:tr>
      <w:tr w14:paraId="2B63E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1C826B0F">
            <w:pPr>
              <w:spacing w:line="360" w:lineRule="auto"/>
              <w:jc w:val="center"/>
              <w:rPr>
                <w:rFonts w:ascii="宋体" w:hAnsi="宋体" w:cs="宋体"/>
                <w:b/>
                <w:bCs/>
                <w:color w:val="auto"/>
                <w:sz w:val="24"/>
                <w:highlight w:val="none"/>
              </w:rPr>
            </w:pPr>
          </w:p>
        </w:tc>
        <w:tc>
          <w:tcPr>
            <w:tcW w:w="3300" w:type="dxa"/>
            <w:tcBorders>
              <w:top w:val="single" w:color="auto" w:sz="4" w:space="0"/>
            </w:tcBorders>
            <w:vAlign w:val="center"/>
          </w:tcPr>
          <w:p w14:paraId="7E868DB7">
            <w:pPr>
              <w:widowControl/>
              <w:spacing w:line="360" w:lineRule="auto"/>
              <w:jc w:val="center"/>
              <w:rPr>
                <w:rFonts w:ascii="宋体" w:hAnsi="宋体" w:cs="宋体"/>
                <w:color w:val="auto"/>
                <w:kern w:val="0"/>
                <w:sz w:val="24"/>
                <w:highlight w:val="none"/>
              </w:rPr>
            </w:pPr>
          </w:p>
        </w:tc>
        <w:tc>
          <w:tcPr>
            <w:tcW w:w="2145" w:type="dxa"/>
            <w:tcBorders>
              <w:top w:val="single" w:color="auto" w:sz="4" w:space="0"/>
              <w:bottom w:val="single" w:color="auto" w:sz="4" w:space="0"/>
            </w:tcBorders>
            <w:vAlign w:val="center"/>
          </w:tcPr>
          <w:p w14:paraId="68475AD7">
            <w:pPr>
              <w:spacing w:line="360" w:lineRule="auto"/>
              <w:jc w:val="left"/>
              <w:rPr>
                <w:rFonts w:ascii="宋体" w:hAnsi="宋体" w:cs="宋体"/>
                <w:color w:val="auto"/>
                <w:sz w:val="24"/>
                <w:highlight w:val="none"/>
              </w:rPr>
            </w:pPr>
          </w:p>
        </w:tc>
        <w:tc>
          <w:tcPr>
            <w:tcW w:w="2109" w:type="dxa"/>
            <w:tcBorders>
              <w:top w:val="single" w:color="auto" w:sz="4" w:space="0"/>
              <w:bottom w:val="single" w:color="auto" w:sz="4" w:space="0"/>
            </w:tcBorders>
            <w:vAlign w:val="center"/>
          </w:tcPr>
          <w:p w14:paraId="57C97242">
            <w:pPr>
              <w:spacing w:line="360" w:lineRule="auto"/>
              <w:jc w:val="center"/>
              <w:rPr>
                <w:rFonts w:ascii="宋体" w:hAnsi="宋体" w:cs="宋体"/>
                <w:b/>
                <w:bCs/>
                <w:color w:val="auto"/>
                <w:sz w:val="24"/>
                <w:highlight w:val="none"/>
              </w:rPr>
            </w:pPr>
          </w:p>
        </w:tc>
      </w:tr>
      <w:tr w14:paraId="40E08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1210" w:type="dxa"/>
            <w:vMerge w:val="continue"/>
            <w:vAlign w:val="center"/>
          </w:tcPr>
          <w:p w14:paraId="49D32E91">
            <w:pPr>
              <w:spacing w:line="360" w:lineRule="exact"/>
              <w:jc w:val="center"/>
              <w:rPr>
                <w:rFonts w:ascii="宋体" w:hAnsi="宋体" w:cs="宋体"/>
                <w:b/>
                <w:bCs/>
                <w:color w:val="auto"/>
                <w:sz w:val="24"/>
                <w:highlight w:val="none"/>
              </w:rPr>
            </w:pPr>
          </w:p>
        </w:tc>
        <w:tc>
          <w:tcPr>
            <w:tcW w:w="3300" w:type="dxa"/>
            <w:tcBorders>
              <w:top w:val="single" w:color="auto" w:sz="4" w:space="0"/>
            </w:tcBorders>
            <w:vAlign w:val="center"/>
          </w:tcPr>
          <w:p w14:paraId="0ABC2E54">
            <w:pPr>
              <w:widowControl/>
              <w:spacing w:line="360" w:lineRule="auto"/>
              <w:jc w:val="center"/>
              <w:rPr>
                <w:rFonts w:ascii="宋体" w:hAnsi="宋体" w:cs="宋体"/>
                <w:color w:val="auto"/>
                <w:kern w:val="0"/>
                <w:sz w:val="24"/>
                <w:highlight w:val="none"/>
              </w:rPr>
            </w:pPr>
          </w:p>
        </w:tc>
        <w:tc>
          <w:tcPr>
            <w:tcW w:w="2145" w:type="dxa"/>
            <w:tcBorders>
              <w:top w:val="single" w:color="auto" w:sz="4" w:space="0"/>
              <w:bottom w:val="single" w:color="auto" w:sz="4" w:space="0"/>
            </w:tcBorders>
            <w:vAlign w:val="center"/>
          </w:tcPr>
          <w:p w14:paraId="4F98356E">
            <w:pPr>
              <w:spacing w:line="360" w:lineRule="auto"/>
              <w:jc w:val="left"/>
              <w:rPr>
                <w:rFonts w:ascii="宋体" w:hAnsi="宋体" w:cs="宋体"/>
                <w:color w:val="auto"/>
                <w:sz w:val="24"/>
                <w:highlight w:val="none"/>
              </w:rPr>
            </w:pPr>
          </w:p>
        </w:tc>
        <w:tc>
          <w:tcPr>
            <w:tcW w:w="2109" w:type="dxa"/>
            <w:tcBorders>
              <w:top w:val="single" w:color="auto" w:sz="4" w:space="0"/>
              <w:bottom w:val="single" w:color="auto" w:sz="4" w:space="0"/>
            </w:tcBorders>
            <w:vAlign w:val="center"/>
          </w:tcPr>
          <w:p w14:paraId="2A35A6F0">
            <w:pPr>
              <w:spacing w:line="360" w:lineRule="auto"/>
              <w:jc w:val="center"/>
              <w:rPr>
                <w:rFonts w:ascii="宋体" w:hAnsi="宋体" w:cs="宋体"/>
                <w:b/>
                <w:bCs/>
                <w:color w:val="auto"/>
                <w:sz w:val="24"/>
                <w:highlight w:val="none"/>
              </w:rPr>
            </w:pPr>
          </w:p>
        </w:tc>
      </w:tr>
      <w:tr w14:paraId="7EB8E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1210" w:type="dxa"/>
            <w:vMerge w:val="restart"/>
            <w:vAlign w:val="center"/>
          </w:tcPr>
          <w:p w14:paraId="6AD965F7">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技术分（X分）</w:t>
            </w:r>
          </w:p>
        </w:tc>
        <w:tc>
          <w:tcPr>
            <w:tcW w:w="3300" w:type="dxa"/>
            <w:vAlign w:val="center"/>
          </w:tcPr>
          <w:p w14:paraId="7939F022">
            <w:pPr>
              <w:widowControl/>
              <w:spacing w:line="360" w:lineRule="auto"/>
              <w:jc w:val="center"/>
              <w:rPr>
                <w:rFonts w:ascii="宋体" w:hAnsi="宋体" w:cs="宋体"/>
                <w:color w:val="auto"/>
                <w:kern w:val="0"/>
                <w:sz w:val="24"/>
                <w:highlight w:val="none"/>
              </w:rPr>
            </w:pPr>
          </w:p>
        </w:tc>
        <w:tc>
          <w:tcPr>
            <w:tcW w:w="2145" w:type="dxa"/>
            <w:vAlign w:val="center"/>
          </w:tcPr>
          <w:p w14:paraId="6F6ABDE5">
            <w:pPr>
              <w:spacing w:line="360" w:lineRule="auto"/>
              <w:jc w:val="left"/>
              <w:rPr>
                <w:rFonts w:ascii="宋体" w:hAnsi="宋体" w:cs="宋体"/>
                <w:color w:val="auto"/>
                <w:sz w:val="24"/>
                <w:highlight w:val="none"/>
              </w:rPr>
            </w:pPr>
          </w:p>
        </w:tc>
        <w:tc>
          <w:tcPr>
            <w:tcW w:w="2109" w:type="dxa"/>
            <w:vAlign w:val="center"/>
          </w:tcPr>
          <w:p w14:paraId="204333AC">
            <w:pPr>
              <w:spacing w:line="360" w:lineRule="auto"/>
              <w:jc w:val="center"/>
              <w:rPr>
                <w:rFonts w:ascii="宋体" w:hAnsi="宋体" w:cs="宋体"/>
                <w:b/>
                <w:bCs/>
                <w:color w:val="auto"/>
                <w:sz w:val="24"/>
                <w:highlight w:val="none"/>
              </w:rPr>
            </w:pPr>
          </w:p>
        </w:tc>
      </w:tr>
      <w:tr w14:paraId="75D77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7303C3E1">
            <w:pPr>
              <w:spacing w:line="360" w:lineRule="auto"/>
              <w:rPr>
                <w:rFonts w:ascii="宋体" w:hAnsi="宋体" w:cs="宋体"/>
                <w:color w:val="auto"/>
                <w:sz w:val="24"/>
                <w:highlight w:val="none"/>
              </w:rPr>
            </w:pPr>
          </w:p>
        </w:tc>
        <w:tc>
          <w:tcPr>
            <w:tcW w:w="3300" w:type="dxa"/>
            <w:vAlign w:val="center"/>
          </w:tcPr>
          <w:p w14:paraId="350DAC0E">
            <w:pPr>
              <w:widowControl/>
              <w:spacing w:line="360" w:lineRule="auto"/>
              <w:jc w:val="center"/>
              <w:rPr>
                <w:rFonts w:ascii="宋体" w:hAnsi="宋体" w:cs="宋体"/>
                <w:color w:val="auto"/>
                <w:kern w:val="0"/>
                <w:sz w:val="24"/>
                <w:highlight w:val="none"/>
              </w:rPr>
            </w:pPr>
          </w:p>
        </w:tc>
        <w:tc>
          <w:tcPr>
            <w:tcW w:w="2145" w:type="dxa"/>
            <w:vAlign w:val="center"/>
          </w:tcPr>
          <w:p w14:paraId="493FA0AC">
            <w:pPr>
              <w:spacing w:line="360" w:lineRule="auto"/>
              <w:jc w:val="left"/>
              <w:rPr>
                <w:rFonts w:ascii="宋体" w:hAnsi="宋体" w:cs="宋体"/>
                <w:color w:val="auto"/>
                <w:sz w:val="24"/>
                <w:highlight w:val="none"/>
              </w:rPr>
            </w:pPr>
          </w:p>
        </w:tc>
        <w:tc>
          <w:tcPr>
            <w:tcW w:w="2109" w:type="dxa"/>
            <w:vAlign w:val="center"/>
          </w:tcPr>
          <w:p w14:paraId="3B5A71BA">
            <w:pPr>
              <w:spacing w:line="360" w:lineRule="auto"/>
              <w:jc w:val="center"/>
              <w:rPr>
                <w:rFonts w:ascii="宋体" w:hAnsi="宋体" w:cs="宋体"/>
                <w:b/>
                <w:bCs/>
                <w:color w:val="auto"/>
                <w:sz w:val="24"/>
                <w:highlight w:val="none"/>
              </w:rPr>
            </w:pPr>
          </w:p>
        </w:tc>
      </w:tr>
      <w:tr w14:paraId="689D9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191BB7FB">
            <w:pPr>
              <w:spacing w:line="360" w:lineRule="auto"/>
              <w:rPr>
                <w:rFonts w:ascii="宋体" w:hAnsi="宋体" w:cs="宋体"/>
                <w:color w:val="auto"/>
                <w:sz w:val="24"/>
                <w:highlight w:val="none"/>
              </w:rPr>
            </w:pPr>
          </w:p>
        </w:tc>
        <w:tc>
          <w:tcPr>
            <w:tcW w:w="3300" w:type="dxa"/>
            <w:vAlign w:val="center"/>
          </w:tcPr>
          <w:p w14:paraId="2DCD84E0">
            <w:pPr>
              <w:widowControl/>
              <w:spacing w:line="360" w:lineRule="auto"/>
              <w:jc w:val="center"/>
              <w:rPr>
                <w:rFonts w:ascii="宋体" w:hAnsi="宋体" w:cs="宋体"/>
                <w:color w:val="auto"/>
                <w:kern w:val="0"/>
                <w:sz w:val="24"/>
                <w:highlight w:val="none"/>
              </w:rPr>
            </w:pPr>
          </w:p>
        </w:tc>
        <w:tc>
          <w:tcPr>
            <w:tcW w:w="2145" w:type="dxa"/>
            <w:vAlign w:val="center"/>
          </w:tcPr>
          <w:p w14:paraId="42200CBE">
            <w:pPr>
              <w:spacing w:line="360" w:lineRule="auto"/>
              <w:jc w:val="left"/>
              <w:rPr>
                <w:rFonts w:ascii="宋体" w:hAnsi="宋体" w:cs="宋体"/>
                <w:color w:val="auto"/>
                <w:sz w:val="24"/>
                <w:highlight w:val="none"/>
              </w:rPr>
            </w:pPr>
          </w:p>
        </w:tc>
        <w:tc>
          <w:tcPr>
            <w:tcW w:w="2109" w:type="dxa"/>
            <w:vAlign w:val="center"/>
          </w:tcPr>
          <w:p w14:paraId="71DB2705">
            <w:pPr>
              <w:spacing w:line="360" w:lineRule="auto"/>
              <w:jc w:val="center"/>
              <w:rPr>
                <w:rFonts w:ascii="宋体" w:hAnsi="宋体" w:cs="宋体"/>
                <w:b/>
                <w:bCs/>
                <w:color w:val="auto"/>
                <w:sz w:val="24"/>
                <w:highlight w:val="none"/>
              </w:rPr>
            </w:pPr>
          </w:p>
        </w:tc>
      </w:tr>
      <w:tr w14:paraId="06329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3127B5C3">
            <w:pPr>
              <w:spacing w:line="360" w:lineRule="auto"/>
              <w:rPr>
                <w:rFonts w:ascii="宋体" w:hAnsi="宋体" w:cs="宋体"/>
                <w:color w:val="auto"/>
                <w:sz w:val="24"/>
                <w:highlight w:val="none"/>
              </w:rPr>
            </w:pPr>
          </w:p>
        </w:tc>
        <w:tc>
          <w:tcPr>
            <w:tcW w:w="3300" w:type="dxa"/>
            <w:vAlign w:val="center"/>
          </w:tcPr>
          <w:p w14:paraId="282E7F25">
            <w:pPr>
              <w:widowControl/>
              <w:spacing w:line="360" w:lineRule="auto"/>
              <w:jc w:val="center"/>
              <w:rPr>
                <w:rFonts w:ascii="宋体" w:hAnsi="宋体" w:cs="宋体"/>
                <w:color w:val="auto"/>
                <w:kern w:val="0"/>
                <w:sz w:val="24"/>
                <w:highlight w:val="none"/>
              </w:rPr>
            </w:pPr>
          </w:p>
        </w:tc>
        <w:tc>
          <w:tcPr>
            <w:tcW w:w="2145" w:type="dxa"/>
            <w:vAlign w:val="center"/>
          </w:tcPr>
          <w:p w14:paraId="0B300087">
            <w:pPr>
              <w:spacing w:line="360" w:lineRule="auto"/>
              <w:jc w:val="left"/>
              <w:rPr>
                <w:rFonts w:ascii="宋体" w:hAnsi="宋体" w:cs="宋体"/>
                <w:color w:val="auto"/>
                <w:sz w:val="24"/>
                <w:highlight w:val="none"/>
              </w:rPr>
            </w:pPr>
          </w:p>
        </w:tc>
        <w:tc>
          <w:tcPr>
            <w:tcW w:w="2109" w:type="dxa"/>
            <w:vAlign w:val="center"/>
          </w:tcPr>
          <w:p w14:paraId="25DECCCD">
            <w:pPr>
              <w:spacing w:line="360" w:lineRule="auto"/>
              <w:jc w:val="center"/>
              <w:rPr>
                <w:rFonts w:ascii="宋体" w:hAnsi="宋体" w:cs="宋体"/>
                <w:b/>
                <w:bCs/>
                <w:color w:val="auto"/>
                <w:sz w:val="24"/>
                <w:highlight w:val="none"/>
              </w:rPr>
            </w:pPr>
          </w:p>
        </w:tc>
      </w:tr>
      <w:tr w14:paraId="05D52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34DA2219">
            <w:pPr>
              <w:spacing w:line="360" w:lineRule="auto"/>
              <w:rPr>
                <w:rFonts w:ascii="宋体" w:hAnsi="宋体" w:cs="宋体"/>
                <w:color w:val="auto"/>
                <w:sz w:val="24"/>
                <w:highlight w:val="none"/>
              </w:rPr>
            </w:pPr>
          </w:p>
        </w:tc>
        <w:tc>
          <w:tcPr>
            <w:tcW w:w="3300" w:type="dxa"/>
            <w:vAlign w:val="center"/>
          </w:tcPr>
          <w:p w14:paraId="72D416F6">
            <w:pPr>
              <w:widowControl/>
              <w:spacing w:line="360" w:lineRule="auto"/>
              <w:jc w:val="center"/>
              <w:rPr>
                <w:rFonts w:ascii="宋体" w:hAnsi="宋体" w:cs="宋体"/>
                <w:color w:val="auto"/>
                <w:kern w:val="0"/>
                <w:sz w:val="24"/>
                <w:highlight w:val="none"/>
              </w:rPr>
            </w:pPr>
          </w:p>
        </w:tc>
        <w:tc>
          <w:tcPr>
            <w:tcW w:w="2145" w:type="dxa"/>
            <w:vAlign w:val="center"/>
          </w:tcPr>
          <w:p w14:paraId="3D290DF3">
            <w:pPr>
              <w:spacing w:line="360" w:lineRule="auto"/>
              <w:jc w:val="left"/>
              <w:rPr>
                <w:rFonts w:ascii="宋体" w:hAnsi="宋体" w:cs="宋体"/>
                <w:color w:val="auto"/>
                <w:sz w:val="24"/>
                <w:highlight w:val="none"/>
              </w:rPr>
            </w:pPr>
          </w:p>
        </w:tc>
        <w:tc>
          <w:tcPr>
            <w:tcW w:w="2109" w:type="dxa"/>
            <w:vAlign w:val="center"/>
          </w:tcPr>
          <w:p w14:paraId="3D825CB8">
            <w:pPr>
              <w:spacing w:line="360" w:lineRule="auto"/>
              <w:jc w:val="center"/>
              <w:rPr>
                <w:rFonts w:ascii="宋体" w:hAnsi="宋体" w:cs="宋体"/>
                <w:b/>
                <w:bCs/>
                <w:color w:val="auto"/>
                <w:sz w:val="24"/>
                <w:highlight w:val="none"/>
              </w:rPr>
            </w:pPr>
          </w:p>
        </w:tc>
      </w:tr>
      <w:tr w14:paraId="17F4F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10" w:type="dxa"/>
            <w:vMerge w:val="continue"/>
            <w:vAlign w:val="center"/>
          </w:tcPr>
          <w:p w14:paraId="208FEED1">
            <w:pPr>
              <w:spacing w:line="360" w:lineRule="auto"/>
              <w:rPr>
                <w:rFonts w:ascii="宋体" w:hAnsi="宋体" w:cs="宋体"/>
                <w:color w:val="auto"/>
                <w:sz w:val="24"/>
                <w:highlight w:val="none"/>
              </w:rPr>
            </w:pPr>
          </w:p>
        </w:tc>
        <w:tc>
          <w:tcPr>
            <w:tcW w:w="3300" w:type="dxa"/>
            <w:vAlign w:val="center"/>
          </w:tcPr>
          <w:p w14:paraId="0BF27D9D">
            <w:pPr>
              <w:widowControl/>
              <w:spacing w:line="360" w:lineRule="auto"/>
              <w:jc w:val="center"/>
              <w:rPr>
                <w:rFonts w:ascii="宋体" w:hAnsi="宋体" w:cs="宋体"/>
                <w:color w:val="auto"/>
                <w:kern w:val="0"/>
                <w:sz w:val="24"/>
                <w:highlight w:val="none"/>
              </w:rPr>
            </w:pPr>
          </w:p>
        </w:tc>
        <w:tc>
          <w:tcPr>
            <w:tcW w:w="2145" w:type="dxa"/>
            <w:vAlign w:val="center"/>
          </w:tcPr>
          <w:p w14:paraId="6CE8F9DF">
            <w:pPr>
              <w:spacing w:line="360" w:lineRule="auto"/>
              <w:jc w:val="left"/>
              <w:rPr>
                <w:rFonts w:ascii="宋体" w:hAnsi="宋体" w:cs="宋体"/>
                <w:color w:val="auto"/>
                <w:sz w:val="24"/>
                <w:highlight w:val="none"/>
              </w:rPr>
            </w:pPr>
          </w:p>
        </w:tc>
        <w:tc>
          <w:tcPr>
            <w:tcW w:w="2109" w:type="dxa"/>
            <w:vAlign w:val="center"/>
          </w:tcPr>
          <w:p w14:paraId="2F1CE2C4">
            <w:pPr>
              <w:spacing w:line="360" w:lineRule="auto"/>
              <w:jc w:val="center"/>
              <w:rPr>
                <w:rFonts w:ascii="宋体" w:hAnsi="宋体" w:cs="宋体"/>
                <w:b/>
                <w:bCs/>
                <w:color w:val="auto"/>
                <w:sz w:val="24"/>
                <w:highlight w:val="none"/>
              </w:rPr>
            </w:pPr>
          </w:p>
        </w:tc>
      </w:tr>
      <w:tr w14:paraId="6699B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10" w:type="dxa"/>
            <w:gridSpan w:val="2"/>
            <w:vAlign w:val="center"/>
          </w:tcPr>
          <w:p w14:paraId="013EAEF0">
            <w:pPr>
              <w:spacing w:line="380" w:lineRule="exact"/>
              <w:jc w:val="center"/>
              <w:rPr>
                <w:rFonts w:ascii="宋体" w:hAnsi="宋体" w:cs="宋体"/>
                <w:color w:val="auto"/>
                <w:sz w:val="24"/>
                <w:highlight w:val="none"/>
              </w:rPr>
            </w:pPr>
            <w:r>
              <w:rPr>
                <w:rFonts w:hint="eastAsia" w:ascii="宋体" w:hAnsi="宋体" w:cs="宋体"/>
                <w:bCs/>
                <w:color w:val="auto"/>
                <w:sz w:val="24"/>
                <w:highlight w:val="none"/>
              </w:rPr>
              <w:t>合计（满分X分）</w:t>
            </w:r>
          </w:p>
        </w:tc>
        <w:tc>
          <w:tcPr>
            <w:tcW w:w="4254" w:type="dxa"/>
            <w:gridSpan w:val="2"/>
            <w:vAlign w:val="center"/>
          </w:tcPr>
          <w:p w14:paraId="7DF12DF6">
            <w:pPr>
              <w:spacing w:line="360" w:lineRule="auto"/>
              <w:jc w:val="center"/>
              <w:rPr>
                <w:rFonts w:ascii="宋体" w:hAnsi="宋体" w:cs="宋体"/>
                <w:b/>
                <w:bCs/>
                <w:color w:val="auto"/>
                <w:sz w:val="24"/>
                <w:highlight w:val="none"/>
              </w:rPr>
            </w:pPr>
          </w:p>
        </w:tc>
      </w:tr>
    </w:tbl>
    <w:p w14:paraId="4CB40F1D">
      <w:pPr>
        <w:snapToGrid w:val="0"/>
        <w:spacing w:beforeLines="50" w:after="50"/>
        <w:rPr>
          <w:rFonts w:ascii="宋体" w:hAnsi="宋体" w:cs="宋体"/>
          <w:b/>
          <w:color w:val="auto"/>
          <w:sz w:val="32"/>
          <w:szCs w:val="32"/>
          <w:highlight w:val="none"/>
        </w:rPr>
      </w:pPr>
    </w:p>
    <w:p w14:paraId="221FC9DC">
      <w:pPr>
        <w:snapToGrid w:val="0"/>
        <w:spacing w:beforeLines="50" w:after="50"/>
        <w:jc w:val="center"/>
        <w:rPr>
          <w:rFonts w:ascii="宋体" w:hAnsi="宋体" w:cs="宋体"/>
          <w:b/>
          <w:color w:val="auto"/>
          <w:sz w:val="32"/>
          <w:szCs w:val="32"/>
          <w:highlight w:val="none"/>
        </w:rPr>
      </w:pPr>
    </w:p>
    <w:p w14:paraId="6BBCCAE9">
      <w:pPr>
        <w:snapToGrid w:val="0"/>
        <w:spacing w:beforeLines="50" w:after="50"/>
        <w:jc w:val="center"/>
        <w:rPr>
          <w:rFonts w:ascii="宋体" w:hAnsi="宋体" w:cs="宋体"/>
          <w:b/>
          <w:color w:val="auto"/>
          <w:sz w:val="32"/>
          <w:szCs w:val="32"/>
          <w:highlight w:val="none"/>
        </w:rPr>
      </w:pPr>
    </w:p>
    <w:p w14:paraId="7AA99191">
      <w:pPr>
        <w:snapToGrid w:val="0"/>
        <w:spacing w:beforeLines="50" w:after="50"/>
        <w:jc w:val="center"/>
        <w:rPr>
          <w:rFonts w:ascii="宋体" w:hAnsi="宋体" w:cs="宋体"/>
          <w:b/>
          <w:color w:val="auto"/>
          <w:sz w:val="32"/>
          <w:szCs w:val="32"/>
          <w:highlight w:val="none"/>
        </w:rPr>
      </w:pPr>
    </w:p>
    <w:p w14:paraId="5D53B957">
      <w:pPr>
        <w:snapToGrid w:val="0"/>
        <w:spacing w:beforeLines="50" w:after="50"/>
        <w:jc w:val="center"/>
        <w:rPr>
          <w:rFonts w:ascii="宋体" w:hAnsi="宋体" w:cs="宋体"/>
          <w:b/>
          <w:color w:val="auto"/>
          <w:sz w:val="32"/>
          <w:szCs w:val="32"/>
          <w:highlight w:val="none"/>
        </w:rPr>
      </w:pPr>
    </w:p>
    <w:p w14:paraId="23DCD8F6">
      <w:pPr>
        <w:snapToGrid w:val="0"/>
        <w:spacing w:beforeLines="50" w:after="50"/>
        <w:jc w:val="center"/>
        <w:rPr>
          <w:rFonts w:ascii="宋体" w:hAnsi="宋体" w:cs="宋体"/>
          <w:b/>
          <w:color w:val="auto"/>
          <w:sz w:val="32"/>
          <w:szCs w:val="32"/>
          <w:highlight w:val="none"/>
        </w:rPr>
      </w:pPr>
    </w:p>
    <w:p w14:paraId="5DDB36EF">
      <w:pPr>
        <w:snapToGrid w:val="0"/>
        <w:spacing w:beforeLines="50" w:after="50"/>
        <w:jc w:val="center"/>
        <w:rPr>
          <w:rFonts w:ascii="宋体" w:hAnsi="宋体" w:cs="宋体"/>
          <w:b/>
          <w:color w:val="auto"/>
          <w:sz w:val="32"/>
          <w:szCs w:val="32"/>
          <w:highlight w:val="none"/>
        </w:rPr>
      </w:pPr>
    </w:p>
    <w:p w14:paraId="62A54901">
      <w:pPr>
        <w:snapToGrid w:val="0"/>
        <w:spacing w:beforeLines="50" w:after="50"/>
        <w:rPr>
          <w:rFonts w:ascii="宋体" w:hAnsi="宋体" w:cs="宋体"/>
          <w:b/>
          <w:color w:val="auto"/>
          <w:sz w:val="32"/>
          <w:szCs w:val="32"/>
          <w:highlight w:val="none"/>
        </w:rPr>
      </w:pPr>
    </w:p>
    <w:p w14:paraId="2ADACC3D">
      <w:pPr>
        <w:snapToGrid w:val="0"/>
        <w:spacing w:beforeLines="50" w:after="50"/>
        <w:jc w:val="center"/>
        <w:rPr>
          <w:rFonts w:ascii="宋体" w:hAnsi="宋体" w:cs="宋体"/>
          <w:b/>
          <w:color w:val="auto"/>
          <w:sz w:val="32"/>
          <w:szCs w:val="32"/>
          <w:highlight w:val="none"/>
        </w:rPr>
      </w:pPr>
    </w:p>
    <w:p w14:paraId="4887E911">
      <w:pPr>
        <w:snapToGrid w:val="0"/>
        <w:spacing w:beforeLines="50" w:after="50"/>
        <w:jc w:val="center"/>
        <w:rPr>
          <w:rFonts w:ascii="宋体" w:hAnsi="宋体" w:cs="宋体"/>
          <w:b/>
          <w:color w:val="auto"/>
          <w:sz w:val="32"/>
          <w:szCs w:val="32"/>
          <w:highlight w:val="none"/>
        </w:rPr>
      </w:pPr>
    </w:p>
    <w:p w14:paraId="20262DDD">
      <w:pPr>
        <w:snapToGrid w:val="0"/>
        <w:spacing w:beforeLines="50" w:after="50"/>
        <w:jc w:val="center"/>
        <w:rPr>
          <w:rFonts w:ascii="宋体" w:hAnsi="宋体" w:cs="宋体"/>
          <w:b/>
          <w:color w:val="auto"/>
          <w:sz w:val="32"/>
          <w:szCs w:val="32"/>
          <w:highlight w:val="none"/>
        </w:rPr>
      </w:pPr>
    </w:p>
    <w:p w14:paraId="64301081">
      <w:pPr>
        <w:snapToGrid w:val="0"/>
        <w:spacing w:beforeLines="50" w:after="50"/>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投标声明书</w:t>
      </w:r>
    </w:p>
    <w:p w14:paraId="46D4FD6C">
      <w:pPr>
        <w:snapToGrid w:val="0"/>
        <w:spacing w:beforeLines="50" w:after="50" w:line="360" w:lineRule="auto"/>
        <w:rPr>
          <w:rFonts w:ascii="宋体" w:hAnsi="宋体" w:cs="宋体"/>
          <w:color w:val="auto"/>
          <w:sz w:val="24"/>
          <w:highlight w:val="none"/>
        </w:rPr>
      </w:pPr>
    </w:p>
    <w:p w14:paraId="3B057763">
      <w:pPr>
        <w:snapToGrid w:val="0"/>
        <w:spacing w:beforeLines="50" w:after="50" w:line="360" w:lineRule="auto"/>
        <w:rPr>
          <w:rFonts w:ascii="宋体" w:hAnsi="宋体" w:cs="宋体"/>
          <w:color w:val="auto"/>
          <w:sz w:val="24"/>
          <w:szCs w:val="20"/>
          <w:highlight w:val="none"/>
        </w:rPr>
      </w:pPr>
      <w:r>
        <w:rPr>
          <w:rFonts w:hint="eastAsia" w:ascii="宋体" w:hAnsi="宋体" w:cs="宋体"/>
          <w:color w:val="auto"/>
          <w:sz w:val="24"/>
          <w:highlight w:val="none"/>
        </w:rPr>
        <w:t>致 （采购人）：</w:t>
      </w:r>
    </w:p>
    <w:p w14:paraId="2612079C">
      <w:pPr>
        <w:snapToGrid w:val="0"/>
        <w:spacing w:beforeLines="50" w:after="50" w:line="360" w:lineRule="auto"/>
        <w:ind w:firstLine="720" w:firstLineChars="300"/>
        <w:rPr>
          <w:rFonts w:ascii="宋体" w:hAnsi="宋体" w:cs="宋体"/>
          <w:color w:val="auto"/>
          <w:sz w:val="24"/>
          <w:szCs w:val="20"/>
          <w:highlight w:val="none"/>
        </w:rPr>
      </w:pPr>
      <w:r>
        <w:rPr>
          <w:rFonts w:hint="eastAsia" w:ascii="宋体" w:hAnsi="宋体" w:cs="宋体"/>
          <w:color w:val="auto"/>
          <w:sz w:val="24"/>
          <w:highlight w:val="none"/>
        </w:rPr>
        <w:t>（投标人名称）系中华人民共和国合法企业，经营地址。</w:t>
      </w:r>
    </w:p>
    <w:p w14:paraId="79D80A86">
      <w:pPr>
        <w:snapToGrid w:val="0"/>
        <w:spacing w:beforeLines="50" w:after="50" w:line="360" w:lineRule="auto"/>
        <w:ind w:firstLine="645"/>
        <w:rPr>
          <w:rFonts w:ascii="宋体" w:hAnsi="宋体" w:cs="宋体"/>
          <w:color w:val="auto"/>
          <w:sz w:val="24"/>
          <w:szCs w:val="20"/>
          <w:highlight w:val="none"/>
        </w:rPr>
      </w:pPr>
      <w:r>
        <w:rPr>
          <w:rFonts w:hint="eastAsia" w:ascii="宋体" w:hAnsi="宋体" w:cs="宋体"/>
          <w:color w:val="auto"/>
          <w:sz w:val="24"/>
          <w:highlight w:val="none"/>
        </w:rPr>
        <w:t>我（姓名）系（投标人名称）的法定代表人，我方愿意参加贵方组织的采购项目的投标，为便于贵方公正、择优地确定中标人及其投标产品和服务，我方就本次投标有关事项郑重声明如下：</w:t>
      </w:r>
    </w:p>
    <w:p w14:paraId="41329427">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1.我方向贵方提交的所有投标文件、资料都是准确的和真实的。</w:t>
      </w:r>
    </w:p>
    <w:p w14:paraId="79B9268F">
      <w:pPr>
        <w:snapToGrid w:val="0"/>
        <w:spacing w:beforeLines="50"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2.我方不是采购人的附属机构；在获知本项目采购信息后，与采购人聘请的为此项目提供咨询服务的公司及其附属机构没有任何联系。</w:t>
      </w:r>
    </w:p>
    <w:p w14:paraId="1EFE279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3、我方此次向贵方提供的服务名称为：。</w:t>
      </w:r>
    </w:p>
    <w:p w14:paraId="359435E7">
      <w:pPr>
        <w:snapToGrid w:val="0"/>
        <w:spacing w:beforeLines="50"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4.我方诚意提请贵方关注：有关该项目的重大决策和事项有：</w:t>
      </w:r>
    </w:p>
    <w:p w14:paraId="44D97806">
      <w:pPr>
        <w:snapToGrid w:val="0"/>
        <w:spacing w:beforeLines="50" w:line="360" w:lineRule="auto"/>
        <w:ind w:firstLine="480" w:firstLineChars="200"/>
        <w:rPr>
          <w:rFonts w:ascii="宋体" w:hAnsi="宋体" w:cs="宋体"/>
          <w:color w:val="auto"/>
          <w:sz w:val="24"/>
          <w:szCs w:val="20"/>
          <w:highlight w:val="none"/>
          <w:u w:val="single"/>
        </w:rPr>
      </w:pPr>
      <w:r>
        <w:rPr>
          <w:rFonts w:hint="eastAsia" w:ascii="宋体" w:hAnsi="宋体" w:cs="宋体"/>
          <w:color w:val="auto"/>
          <w:sz w:val="24"/>
          <w:highlight w:val="none"/>
          <w:u w:val="single"/>
        </w:rPr>
        <w:t>　　　　　　　　　　　　　　　　　　　　　　　　　　　</w:t>
      </w:r>
    </w:p>
    <w:p w14:paraId="2808628A">
      <w:pPr>
        <w:pStyle w:val="27"/>
        <w:snapToGrid w:val="0"/>
        <w:spacing w:line="360" w:lineRule="auto"/>
        <w:rPr>
          <w:rFonts w:cs="宋体"/>
          <w:color w:val="auto"/>
          <w:highlight w:val="none"/>
        </w:rPr>
      </w:pPr>
      <w:r>
        <w:rPr>
          <w:rFonts w:hint="eastAsia" w:cs="宋体"/>
          <w:color w:val="auto"/>
          <w:highlight w:val="none"/>
        </w:rPr>
        <w:t>5.我方及由本人担任法定代表人的其他机构最近三年内被通报或者被处罚的违法行为有：（若有，请如实填写；若无，请作出“参加政府采购活动前三年内，在经营活动中没有重大违法记录”的承诺）</w:t>
      </w:r>
    </w:p>
    <w:p w14:paraId="2A17093D">
      <w:pPr>
        <w:snapToGrid w:val="0"/>
        <w:spacing w:beforeLines="50" w:line="360" w:lineRule="auto"/>
        <w:ind w:firstLine="480" w:firstLineChars="200"/>
        <w:rPr>
          <w:rFonts w:ascii="宋体" w:hAnsi="宋体" w:cs="宋体"/>
          <w:color w:val="auto"/>
          <w:sz w:val="24"/>
          <w:szCs w:val="20"/>
          <w:highlight w:val="none"/>
          <w:u w:val="single"/>
        </w:rPr>
      </w:pPr>
      <w:r>
        <w:rPr>
          <w:rFonts w:hint="eastAsia" w:ascii="宋体" w:hAnsi="宋体" w:cs="宋体"/>
          <w:color w:val="auto"/>
          <w:sz w:val="24"/>
          <w:highlight w:val="none"/>
          <w:u w:val="single"/>
        </w:rPr>
        <w:t>　　　　　　　　　　　　　　　　　　　　　　　　　　　</w:t>
      </w:r>
    </w:p>
    <w:p w14:paraId="33E33B80">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6.以上事项如有虚假或隐瞒，我方愿意承担一切后果，并不再寻求任何旨在减轻或免除法律责任的辩解。</w:t>
      </w:r>
    </w:p>
    <w:p w14:paraId="3F382246">
      <w:pPr>
        <w:pStyle w:val="30"/>
        <w:tabs>
          <w:tab w:val="left" w:pos="939"/>
        </w:tabs>
        <w:snapToGrid w:val="0"/>
        <w:spacing w:line="400" w:lineRule="exact"/>
        <w:ind w:left="773" w:leftChars="150" w:hanging="458" w:hangingChars="191"/>
        <w:rPr>
          <w:rFonts w:ascii="宋体" w:hAnsi="宋体" w:cs="宋体"/>
          <w:color w:val="auto"/>
          <w:sz w:val="24"/>
          <w:highlight w:val="none"/>
        </w:rPr>
      </w:pPr>
    </w:p>
    <w:p w14:paraId="26A1AD20">
      <w:pPr>
        <w:snapToGrid w:val="0"/>
        <w:spacing w:beforeLines="50" w:line="400" w:lineRule="exact"/>
        <w:ind w:firstLine="200"/>
        <w:rPr>
          <w:rFonts w:ascii="宋体" w:hAnsi="宋体" w:cs="宋体"/>
          <w:color w:val="auto"/>
          <w:sz w:val="24"/>
          <w:szCs w:val="20"/>
          <w:highlight w:val="none"/>
          <w:u w:val="single"/>
        </w:rPr>
      </w:pPr>
      <w:r>
        <w:rPr>
          <w:rFonts w:hint="eastAsia" w:ascii="宋体" w:hAnsi="宋体"/>
          <w:color w:val="auto"/>
          <w:sz w:val="24"/>
          <w:highlight w:val="none"/>
        </w:rPr>
        <w:t>法定代表人签字（或盖章）</w:t>
      </w:r>
      <w:r>
        <w:rPr>
          <w:rFonts w:hint="eastAsia" w:ascii="宋体" w:hAnsi="宋体" w:cs="宋体"/>
          <w:color w:val="auto"/>
          <w:sz w:val="24"/>
          <w:highlight w:val="none"/>
        </w:rPr>
        <w:t>：</w:t>
      </w:r>
    </w:p>
    <w:p w14:paraId="18116C5A">
      <w:pPr>
        <w:snapToGrid w:val="0"/>
        <w:spacing w:beforeLines="50" w:after="50" w:line="40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投标人名称（加盖公章）：</w:t>
      </w:r>
    </w:p>
    <w:p w14:paraId="5EFF6743">
      <w:pPr>
        <w:snapToGrid w:val="0"/>
        <w:spacing w:beforeLines="50" w:after="50" w:line="400" w:lineRule="exact"/>
        <w:ind w:firstLine="240" w:firstLineChars="100"/>
        <w:rPr>
          <w:rFonts w:ascii="宋体" w:hAnsi="宋体" w:cs="宋体"/>
          <w:b/>
          <w:color w:val="auto"/>
          <w:sz w:val="24"/>
          <w:highlight w:val="none"/>
        </w:rPr>
      </w:pPr>
      <w:r>
        <w:rPr>
          <w:rFonts w:hint="eastAsia" w:ascii="宋体" w:hAnsi="宋体" w:cs="宋体"/>
          <w:color w:val="auto"/>
          <w:sz w:val="24"/>
          <w:highlight w:val="none"/>
        </w:rPr>
        <w:t>日期：年月日</w:t>
      </w:r>
      <w:r>
        <w:rPr>
          <w:rFonts w:ascii="宋体" w:hAnsi="宋体" w:cs="宋体"/>
          <w:b/>
          <w:color w:val="auto"/>
          <w:sz w:val="24"/>
          <w:highlight w:val="none"/>
        </w:rPr>
        <w:br w:type="page"/>
      </w:r>
    </w:p>
    <w:p w14:paraId="4BA2DE2B">
      <w:pPr>
        <w:snapToGrid w:val="0"/>
        <w:spacing w:beforeLines="50" w:after="50"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14:paraId="1A1239E2">
      <w:pPr>
        <w:snapToGrid w:val="0"/>
        <w:spacing w:beforeLines="50" w:after="50" w:line="360" w:lineRule="auto"/>
        <w:rPr>
          <w:rFonts w:ascii="宋体" w:hAnsi="宋体" w:cs="宋体"/>
          <w:b/>
          <w:bCs/>
          <w:color w:val="auto"/>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rPr>
        <w:t>（采购人）：</w:t>
      </w:r>
    </w:p>
    <w:p w14:paraId="11BD991F">
      <w:pPr>
        <w:snapToGrid w:val="0"/>
        <w:spacing w:beforeLines="50" w:after="50"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我（姓名）系（投标人名称）的法定代表人，现授权委托（姓名）以我方的名义参加</w:t>
      </w:r>
      <w:r>
        <w:rPr>
          <w:rFonts w:hint="eastAsia" w:ascii="宋体" w:hAnsi="宋体" w:cs="宋体"/>
          <w:color w:val="auto"/>
          <w:sz w:val="24"/>
          <w:highlight w:val="none"/>
          <w:u w:val="single"/>
        </w:rPr>
        <w:t xml:space="preserve">              政府采购项目</w:t>
      </w:r>
      <w:r>
        <w:rPr>
          <w:rFonts w:hint="eastAsia" w:ascii="宋体" w:hAnsi="宋体" w:cs="宋体"/>
          <w:color w:val="auto"/>
          <w:sz w:val="24"/>
          <w:highlight w:val="none"/>
        </w:rPr>
        <w:t>的投标活动，并代表我方全权办理针对上述项目的投标、开标、评标、签约等具体事务和签署相关文件。</w:t>
      </w:r>
    </w:p>
    <w:p w14:paraId="680B0BBF">
      <w:pPr>
        <w:snapToGrid w:val="0"/>
        <w:spacing w:beforeLines="50" w:after="50" w:line="360" w:lineRule="auto"/>
        <w:rPr>
          <w:rFonts w:ascii="宋体" w:hAnsi="宋体" w:cs="宋体"/>
          <w:color w:val="auto"/>
          <w:sz w:val="24"/>
          <w:highlight w:val="none"/>
        </w:rPr>
      </w:pPr>
      <w:r>
        <w:rPr>
          <w:rFonts w:hint="eastAsia" w:ascii="宋体" w:hAnsi="宋体" w:cs="宋体"/>
          <w:color w:val="auto"/>
          <w:sz w:val="24"/>
          <w:highlight w:val="none"/>
        </w:rPr>
        <w:t xml:space="preserve">    我方对被授权人的签字事项负全部责任。</w:t>
      </w:r>
    </w:p>
    <w:p w14:paraId="339925FA">
      <w:pPr>
        <w:snapToGrid w:val="0"/>
        <w:spacing w:beforeLines="50" w:after="50" w:line="360" w:lineRule="auto"/>
        <w:ind w:firstLine="480"/>
        <w:rPr>
          <w:rFonts w:ascii="宋体" w:hAnsi="宋体" w:cs="宋体"/>
          <w:color w:val="auto"/>
          <w:sz w:val="24"/>
          <w:highlight w:val="none"/>
        </w:rPr>
      </w:pPr>
      <w:r>
        <w:rPr>
          <w:rFonts w:hint="eastAsia" w:ascii="宋体" w:hAnsi="宋体" w:cs="宋体"/>
          <w:color w:val="auto"/>
          <w:sz w:val="24"/>
          <w:highlight w:val="none"/>
          <w:u w:val="single"/>
        </w:rPr>
        <w:t>在撤销授权的书面通知以前，本授权书一直有效。</w:t>
      </w:r>
      <w:r>
        <w:rPr>
          <w:rFonts w:hint="eastAsia" w:ascii="宋体" w:hAnsi="宋体" w:cs="宋体"/>
          <w:color w:val="auto"/>
          <w:sz w:val="24"/>
          <w:highlight w:val="none"/>
        </w:rPr>
        <w:t>被授权人在授权书有效期内签署的所有文件不因授权的撤销而失效。</w:t>
      </w:r>
    </w:p>
    <w:p w14:paraId="507BF369">
      <w:pPr>
        <w:snapToGrid w:val="0"/>
        <w:spacing w:beforeLines="50" w:after="50" w:line="360" w:lineRule="auto"/>
        <w:ind w:firstLine="480"/>
        <w:rPr>
          <w:rFonts w:ascii="宋体" w:hAnsi="宋体" w:cs="宋体"/>
          <w:color w:val="auto"/>
          <w:sz w:val="24"/>
          <w:highlight w:val="none"/>
        </w:rPr>
      </w:pPr>
      <w:r>
        <w:rPr>
          <w:rFonts w:hint="eastAsia" w:ascii="宋体" w:hAnsi="宋体" w:cs="宋体"/>
          <w:color w:val="auto"/>
          <w:sz w:val="24"/>
          <w:highlight w:val="none"/>
        </w:rPr>
        <w:t>被授权人无转委托权，特此委托。</w:t>
      </w:r>
    </w:p>
    <w:p w14:paraId="503C500D">
      <w:pPr>
        <w:snapToGrid w:val="0"/>
        <w:spacing w:beforeLines="50" w:after="50" w:line="360" w:lineRule="auto"/>
        <w:rPr>
          <w:rFonts w:ascii="宋体" w:hAnsi="宋体" w:cs="宋体"/>
          <w:color w:val="auto"/>
          <w:sz w:val="24"/>
          <w:highlight w:val="none"/>
        </w:rPr>
      </w:pPr>
    </w:p>
    <w:p w14:paraId="74927256">
      <w:pPr>
        <w:snapToGrid w:val="0"/>
        <w:spacing w:beforeLines="50" w:after="50" w:line="360" w:lineRule="auto"/>
        <w:rPr>
          <w:rFonts w:ascii="宋体" w:hAnsi="宋体" w:cs="宋体"/>
          <w:color w:val="auto"/>
          <w:sz w:val="24"/>
          <w:highlight w:val="none"/>
          <w:u w:val="single"/>
        </w:rPr>
      </w:pPr>
      <w:r>
        <w:rPr>
          <w:rFonts w:hint="eastAsia" w:ascii="宋体" w:hAnsi="宋体" w:cs="宋体"/>
          <w:color w:val="auto"/>
          <w:sz w:val="24"/>
          <w:highlight w:val="none"/>
        </w:rPr>
        <w:t>法定代表人签字（或盖章）：  被授权人签字（或盖章）：</w:t>
      </w:r>
    </w:p>
    <w:p w14:paraId="66C2AC45">
      <w:pPr>
        <w:snapToGrid w:val="0"/>
        <w:spacing w:beforeLines="50" w:after="50" w:line="360" w:lineRule="auto"/>
        <w:ind w:firstLine="960" w:firstLineChars="400"/>
        <w:rPr>
          <w:rFonts w:ascii="宋体" w:hAnsi="宋体" w:cs="宋体"/>
          <w:color w:val="auto"/>
          <w:sz w:val="24"/>
          <w:highlight w:val="none"/>
          <w:u w:val="single"/>
        </w:rPr>
      </w:pPr>
      <w:r>
        <w:rPr>
          <w:rFonts w:hint="eastAsia" w:ascii="宋体" w:hAnsi="宋体" w:cs="宋体"/>
          <w:color w:val="auto"/>
          <w:sz w:val="24"/>
          <w:highlight w:val="none"/>
        </w:rPr>
        <w:t>职务：                          职务：</w:t>
      </w:r>
    </w:p>
    <w:p w14:paraId="56567BED">
      <w:pPr>
        <w:snapToGrid w:val="0"/>
        <w:spacing w:beforeLines="50" w:after="50" w:line="360" w:lineRule="auto"/>
        <w:rPr>
          <w:rFonts w:ascii="宋体" w:hAnsi="宋体" w:cs="宋体"/>
          <w:color w:val="auto"/>
          <w:sz w:val="24"/>
          <w:highlight w:val="none"/>
        </w:rPr>
      </w:pPr>
    </w:p>
    <w:p w14:paraId="649F8F39">
      <w:pPr>
        <w:snapToGrid w:val="0"/>
        <w:spacing w:beforeLines="50" w:after="50" w:line="360" w:lineRule="auto"/>
        <w:rPr>
          <w:rFonts w:ascii="宋体" w:hAnsi="宋体" w:cs="宋体"/>
          <w:color w:val="auto"/>
          <w:sz w:val="24"/>
          <w:highlight w:val="none"/>
        </w:rPr>
      </w:pPr>
      <w:r>
        <w:rPr>
          <w:rFonts w:hint="eastAsia" w:ascii="宋体" w:hAnsi="宋体" w:cs="宋体"/>
          <w:color w:val="auto"/>
          <w:sz w:val="24"/>
          <w:highlight w:val="none"/>
        </w:rPr>
        <w:t>法定代表人身份证粘贴处（正反面）       被授权人身份证粘贴处（正反面）</w:t>
      </w:r>
    </w:p>
    <w:p w14:paraId="78973074">
      <w:pPr>
        <w:snapToGrid w:val="0"/>
        <w:spacing w:beforeLines="50" w:after="50" w:line="360" w:lineRule="auto"/>
        <w:rPr>
          <w:rFonts w:ascii="宋体" w:hAnsi="宋体" w:cs="宋体"/>
          <w:color w:val="auto"/>
          <w:sz w:val="24"/>
          <w:highlight w:val="none"/>
        </w:rPr>
      </w:pPr>
    </w:p>
    <w:p w14:paraId="4BE9F95E">
      <w:pPr>
        <w:snapToGrid w:val="0"/>
        <w:spacing w:beforeLines="50" w:after="50" w:line="360" w:lineRule="auto"/>
        <w:rPr>
          <w:rFonts w:ascii="宋体" w:hAnsi="宋体" w:cs="宋体"/>
          <w:color w:val="auto"/>
          <w:sz w:val="24"/>
          <w:highlight w:val="none"/>
        </w:rPr>
      </w:pPr>
    </w:p>
    <w:p w14:paraId="5844DC73">
      <w:pPr>
        <w:snapToGrid w:val="0"/>
        <w:spacing w:beforeLines="50" w:after="50" w:line="360" w:lineRule="auto"/>
        <w:rPr>
          <w:rFonts w:ascii="宋体" w:hAnsi="宋体" w:cs="宋体"/>
          <w:color w:val="auto"/>
          <w:sz w:val="24"/>
          <w:highlight w:val="none"/>
        </w:rPr>
      </w:pPr>
    </w:p>
    <w:p w14:paraId="2C1C5AE0">
      <w:pPr>
        <w:snapToGrid w:val="0"/>
        <w:spacing w:beforeLines="50" w:after="50" w:line="360" w:lineRule="auto"/>
        <w:rPr>
          <w:rFonts w:ascii="宋体" w:hAnsi="宋体" w:cs="宋体"/>
          <w:color w:val="auto"/>
          <w:sz w:val="24"/>
          <w:highlight w:val="none"/>
        </w:rPr>
      </w:pPr>
      <w:r>
        <w:rPr>
          <w:rFonts w:hint="eastAsia" w:ascii="宋体" w:hAnsi="宋体" w:cs="宋体"/>
          <w:color w:val="auto"/>
          <w:sz w:val="24"/>
          <w:highlight w:val="none"/>
        </w:rPr>
        <w:t>投标人公章：</w:t>
      </w:r>
    </w:p>
    <w:p w14:paraId="4C9996D0">
      <w:pPr>
        <w:snapToGrid w:val="0"/>
        <w:spacing w:beforeLines="50" w:after="50" w:line="360" w:lineRule="auto"/>
        <w:rPr>
          <w:rFonts w:ascii="宋体" w:hAnsi="宋体" w:cs="宋体"/>
          <w:color w:val="auto"/>
          <w:sz w:val="24"/>
          <w:highlight w:val="none"/>
        </w:rPr>
      </w:pPr>
    </w:p>
    <w:p w14:paraId="24CBEAA0">
      <w:pPr>
        <w:snapToGrid w:val="0"/>
        <w:spacing w:beforeLines="50" w:after="50" w:line="360" w:lineRule="auto"/>
        <w:rPr>
          <w:rFonts w:ascii="宋体" w:hAnsi="宋体" w:cs="宋体"/>
          <w:color w:val="auto"/>
          <w:sz w:val="24"/>
          <w:highlight w:val="none"/>
        </w:rPr>
      </w:pPr>
    </w:p>
    <w:p w14:paraId="5400F078">
      <w:pPr>
        <w:snapToGrid w:val="0"/>
        <w:spacing w:beforeLines="50" w:after="50"/>
        <w:jc w:val="right"/>
        <w:rPr>
          <w:rFonts w:ascii="宋体" w:hAnsi="宋体" w:cs="宋体"/>
          <w:color w:val="auto"/>
          <w:sz w:val="24"/>
          <w:highlight w:val="none"/>
        </w:rPr>
      </w:pPr>
      <w:r>
        <w:rPr>
          <w:rFonts w:hint="eastAsia" w:ascii="宋体" w:hAnsi="宋体" w:cs="宋体"/>
          <w:color w:val="auto"/>
          <w:sz w:val="24"/>
          <w:highlight w:val="none"/>
        </w:rPr>
        <w:t xml:space="preserve">                                        年    月    日</w:t>
      </w:r>
    </w:p>
    <w:p w14:paraId="2EB246FB">
      <w:pPr>
        <w:pStyle w:val="969"/>
        <w:spacing w:line="360" w:lineRule="auto"/>
        <w:rPr>
          <w:rFonts w:hAnsi="宋体" w:eastAsia="宋体" w:cs="宋体"/>
          <w:color w:val="auto"/>
          <w:sz w:val="24"/>
          <w:szCs w:val="24"/>
          <w:highlight w:val="none"/>
        </w:rPr>
      </w:pPr>
    </w:p>
    <w:p w14:paraId="0A5B89FA">
      <w:pPr>
        <w:snapToGrid w:val="0"/>
        <w:spacing w:beforeLines="50" w:after="50" w:line="360" w:lineRule="auto"/>
        <w:rPr>
          <w:rFonts w:ascii="宋体" w:hAnsi="宋体" w:cs="宋体"/>
          <w:color w:val="auto"/>
          <w:sz w:val="24"/>
          <w:highlight w:val="none"/>
        </w:rPr>
      </w:pPr>
      <w:r>
        <w:rPr>
          <w:rFonts w:hint="eastAsia" w:ascii="宋体" w:hAnsi="宋体" w:cs="宋体"/>
          <w:b/>
          <w:color w:val="auto"/>
          <w:sz w:val="24"/>
          <w:highlight w:val="none"/>
        </w:rPr>
        <w:t>注：此表请放一页，如要放2页及以上请在每页上都加盖公章。</w:t>
      </w:r>
    </w:p>
    <w:p w14:paraId="0699ADE8">
      <w:pPr>
        <w:spacing w:line="360" w:lineRule="auto"/>
        <w:jc w:val="left"/>
        <w:rPr>
          <w:rFonts w:ascii="宋体" w:hAnsi="宋体" w:cs="宋体"/>
          <w:b/>
          <w:color w:val="auto"/>
          <w:sz w:val="24"/>
          <w:highlight w:val="none"/>
        </w:rPr>
      </w:pPr>
    </w:p>
    <w:p w14:paraId="21A11A56">
      <w:pPr>
        <w:spacing w:line="360" w:lineRule="auto"/>
        <w:jc w:val="left"/>
        <w:rPr>
          <w:rFonts w:ascii="宋体" w:hAnsi="宋体" w:cs="宋体"/>
          <w:b/>
          <w:color w:val="auto"/>
          <w:sz w:val="24"/>
          <w:highlight w:val="none"/>
        </w:rPr>
      </w:pPr>
      <w:bookmarkStart w:id="36" w:name="_GoBack"/>
      <w:bookmarkEnd w:id="36"/>
    </w:p>
    <w:p w14:paraId="7FB73288">
      <w:pPr>
        <w:spacing w:line="360" w:lineRule="auto"/>
        <w:jc w:val="left"/>
        <w:rPr>
          <w:rFonts w:ascii="宋体" w:hAnsi="宋体" w:cs="宋体"/>
          <w:b/>
          <w:color w:val="auto"/>
          <w:sz w:val="24"/>
          <w:highlight w:val="none"/>
        </w:rPr>
      </w:pPr>
    </w:p>
    <w:p w14:paraId="7BDA8B0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诚信承诺书</w:t>
      </w:r>
    </w:p>
    <w:p w14:paraId="33FCD08F">
      <w:pPr>
        <w:spacing w:line="360" w:lineRule="auto"/>
        <w:rPr>
          <w:rFonts w:ascii="宋体" w:hAnsi="宋体" w:cs="宋体"/>
          <w:color w:val="auto"/>
          <w:sz w:val="24"/>
          <w:highlight w:val="none"/>
        </w:rPr>
      </w:pPr>
      <w:r>
        <w:rPr>
          <w:rFonts w:hint="eastAsia" w:ascii="宋体" w:hAnsi="宋体" w:cs="宋体"/>
          <w:color w:val="auto"/>
          <w:sz w:val="24"/>
          <w:highlight w:val="none"/>
          <w:u w:val="single"/>
        </w:rPr>
        <w:t xml:space="preserve">（采购人或招标组织机构） </w:t>
      </w:r>
      <w:r>
        <w:rPr>
          <w:rFonts w:hint="eastAsia" w:ascii="宋体" w:hAnsi="宋体" w:cs="宋体"/>
          <w:color w:val="auto"/>
          <w:sz w:val="24"/>
          <w:highlight w:val="none"/>
        </w:rPr>
        <w:t>：</w:t>
      </w:r>
    </w:p>
    <w:p w14:paraId="3872F1E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我方在参加贵单位的政府采购项目的招投标活动中，郑重承诺如下：</w:t>
      </w:r>
    </w:p>
    <w:p w14:paraId="0718723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1、我方申报的所有资料都是真实、准确、完整的；</w:t>
      </w:r>
    </w:p>
    <w:p w14:paraId="153A6E3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2、我方无资质挂靠情形，保证不参与串标、围标及抬标；</w:t>
      </w:r>
    </w:p>
    <w:p w14:paraId="3883115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3、我方未处于被各级行政主管部门做出停止市场行为处罚的期限内；</w:t>
      </w:r>
    </w:p>
    <w:p w14:paraId="7907B5B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4、我方参加本项目政府采购活动前3年内在经营活动中没有重大违法记录；</w:t>
      </w:r>
    </w:p>
    <w:p w14:paraId="4B930E0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5、若我方中标，将严格按照规定及时与采购人签订合同；</w:t>
      </w:r>
    </w:p>
    <w:p w14:paraId="6CBEAB5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6、若我方中标，将严格按照招标文件要求及投标文件承诺的报价、质量、工期、投标方案、项目负责人等内容组织实施；</w:t>
      </w:r>
    </w:p>
    <w:p w14:paraId="3CD221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30A4CC9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特此承诺。</w:t>
      </w:r>
    </w:p>
    <w:p w14:paraId="09D46A17">
      <w:pPr>
        <w:spacing w:line="360" w:lineRule="auto"/>
        <w:ind w:firstLine="480" w:firstLineChars="200"/>
        <w:rPr>
          <w:rFonts w:ascii="宋体" w:hAnsi="宋体" w:cs="宋体"/>
          <w:color w:val="auto"/>
          <w:sz w:val="24"/>
          <w:highlight w:val="none"/>
        </w:rPr>
      </w:pPr>
    </w:p>
    <w:p w14:paraId="367A23A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投标人名称（加盖公章）：</w:t>
      </w:r>
    </w:p>
    <w:p w14:paraId="6BF95C6C">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法定代表人或被授权人（签字或盖章）</w:t>
      </w:r>
      <w:r>
        <w:rPr>
          <w:rFonts w:hint="eastAsia" w:ascii="宋体" w:hAnsi="宋体" w:cs="宋体"/>
          <w:color w:val="auto"/>
          <w:sz w:val="24"/>
          <w:highlight w:val="none"/>
        </w:rPr>
        <w:t>：</w:t>
      </w:r>
    </w:p>
    <w:p w14:paraId="33C8B5A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日期：年月日</w:t>
      </w:r>
    </w:p>
    <w:p w14:paraId="0F7510B9">
      <w:pPr>
        <w:pStyle w:val="969"/>
        <w:spacing w:line="360" w:lineRule="auto"/>
        <w:rPr>
          <w:rFonts w:hAnsi="宋体" w:eastAsia="宋体" w:cs="宋体"/>
          <w:color w:val="auto"/>
          <w:sz w:val="24"/>
          <w:highlight w:val="none"/>
        </w:rPr>
      </w:pPr>
    </w:p>
    <w:p w14:paraId="40B3416C">
      <w:pPr>
        <w:pStyle w:val="969"/>
        <w:spacing w:line="360" w:lineRule="auto"/>
        <w:rPr>
          <w:rFonts w:hAnsi="宋体" w:eastAsia="宋体" w:cs="宋体"/>
          <w:color w:val="auto"/>
          <w:sz w:val="24"/>
          <w:highlight w:val="none"/>
        </w:rPr>
      </w:pPr>
    </w:p>
    <w:p w14:paraId="3A6AB999">
      <w:pPr>
        <w:pStyle w:val="969"/>
        <w:spacing w:line="360" w:lineRule="auto"/>
        <w:rPr>
          <w:rFonts w:hAnsi="宋体" w:eastAsia="宋体" w:cs="宋体"/>
          <w:color w:val="auto"/>
          <w:sz w:val="24"/>
          <w:highlight w:val="none"/>
        </w:rPr>
      </w:pPr>
    </w:p>
    <w:p w14:paraId="238D35CD">
      <w:pPr>
        <w:pStyle w:val="969"/>
        <w:spacing w:line="360" w:lineRule="auto"/>
        <w:rPr>
          <w:rFonts w:hAnsi="宋体" w:eastAsia="宋体" w:cs="宋体"/>
          <w:color w:val="auto"/>
          <w:sz w:val="24"/>
          <w:highlight w:val="none"/>
        </w:rPr>
      </w:pPr>
    </w:p>
    <w:p w14:paraId="0FB3EDEF">
      <w:pPr>
        <w:pStyle w:val="969"/>
        <w:spacing w:line="360" w:lineRule="auto"/>
        <w:rPr>
          <w:rFonts w:hAnsi="宋体" w:eastAsia="宋体" w:cs="宋体"/>
          <w:color w:val="auto"/>
          <w:sz w:val="24"/>
          <w:highlight w:val="none"/>
        </w:rPr>
      </w:pPr>
    </w:p>
    <w:p w14:paraId="1E65F459">
      <w:pPr>
        <w:pStyle w:val="969"/>
        <w:spacing w:line="360" w:lineRule="auto"/>
        <w:rPr>
          <w:rFonts w:hAnsi="宋体" w:eastAsia="宋体" w:cs="宋体"/>
          <w:color w:val="auto"/>
          <w:sz w:val="24"/>
          <w:highlight w:val="none"/>
        </w:rPr>
      </w:pPr>
    </w:p>
    <w:p w14:paraId="5C67AB6F">
      <w:pPr>
        <w:pStyle w:val="969"/>
        <w:spacing w:line="360" w:lineRule="auto"/>
        <w:rPr>
          <w:rFonts w:hAnsi="宋体" w:eastAsia="宋体" w:cs="宋体"/>
          <w:color w:val="auto"/>
          <w:sz w:val="24"/>
          <w:highlight w:val="none"/>
        </w:rPr>
      </w:pPr>
    </w:p>
    <w:p w14:paraId="65B05835">
      <w:pPr>
        <w:pStyle w:val="969"/>
        <w:spacing w:line="360" w:lineRule="auto"/>
        <w:rPr>
          <w:rFonts w:hAnsi="宋体" w:eastAsia="宋体" w:cs="宋体"/>
          <w:color w:val="auto"/>
          <w:sz w:val="24"/>
          <w:highlight w:val="none"/>
        </w:rPr>
      </w:pPr>
    </w:p>
    <w:p w14:paraId="2CF38954">
      <w:pPr>
        <w:pStyle w:val="969"/>
        <w:spacing w:line="360" w:lineRule="auto"/>
        <w:rPr>
          <w:rFonts w:hAnsi="宋体" w:eastAsia="宋体" w:cs="宋体"/>
          <w:color w:val="auto"/>
          <w:sz w:val="24"/>
          <w:highlight w:val="none"/>
        </w:rPr>
      </w:pPr>
    </w:p>
    <w:p w14:paraId="69982E61">
      <w:pPr>
        <w:pStyle w:val="969"/>
        <w:spacing w:line="360" w:lineRule="auto"/>
        <w:rPr>
          <w:rFonts w:hAnsi="宋体" w:eastAsia="宋体" w:cs="宋体"/>
          <w:color w:val="auto"/>
          <w:sz w:val="24"/>
          <w:highlight w:val="none"/>
        </w:rPr>
      </w:pPr>
    </w:p>
    <w:p w14:paraId="59316032">
      <w:pPr>
        <w:pStyle w:val="969"/>
        <w:spacing w:line="360" w:lineRule="auto"/>
        <w:rPr>
          <w:rFonts w:hAnsi="宋体" w:eastAsia="宋体" w:cs="宋体"/>
          <w:color w:val="auto"/>
          <w:sz w:val="24"/>
          <w:highlight w:val="none"/>
        </w:rPr>
      </w:pPr>
    </w:p>
    <w:p w14:paraId="406FA670">
      <w:pPr>
        <w:pStyle w:val="969"/>
        <w:spacing w:line="360" w:lineRule="auto"/>
        <w:rPr>
          <w:rFonts w:hAnsi="宋体" w:eastAsia="宋体" w:cs="宋体"/>
          <w:b/>
          <w:color w:val="auto"/>
          <w:sz w:val="24"/>
          <w:szCs w:val="24"/>
          <w:highlight w:val="none"/>
        </w:rPr>
      </w:pPr>
    </w:p>
    <w:p w14:paraId="6BFD70CF">
      <w:pPr>
        <w:wordWrap w:val="0"/>
        <w:spacing w:beforeLines="50" w:line="360" w:lineRule="auto"/>
        <w:ind w:firstLine="562"/>
        <w:jc w:val="center"/>
        <w:rPr>
          <w:rFonts w:ascii="宋体" w:hAnsi="宋体" w:cs="宋体"/>
          <w:b/>
          <w:color w:val="auto"/>
          <w:sz w:val="28"/>
          <w:szCs w:val="30"/>
          <w:highlight w:val="none"/>
        </w:rPr>
      </w:pPr>
      <w:r>
        <w:rPr>
          <w:rFonts w:hint="eastAsia" w:ascii="宋体" w:hAnsi="宋体" w:cs="宋体"/>
          <w:b/>
          <w:color w:val="auto"/>
          <w:sz w:val="28"/>
          <w:szCs w:val="30"/>
          <w:highlight w:val="none"/>
        </w:rPr>
        <w:t>投标人基本情况表</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118"/>
        <w:gridCol w:w="1980"/>
        <w:gridCol w:w="2241"/>
      </w:tblGrid>
      <w:tr w14:paraId="7A3B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286A166C">
            <w:pPr>
              <w:rPr>
                <w:rFonts w:ascii="宋体" w:hAnsi="宋体" w:cs="宋体"/>
                <w:color w:val="auto"/>
                <w:sz w:val="24"/>
                <w:highlight w:val="none"/>
              </w:rPr>
            </w:pPr>
            <w:r>
              <w:rPr>
                <w:rFonts w:hint="eastAsia" w:ascii="宋体" w:hAnsi="宋体" w:cs="宋体"/>
                <w:color w:val="auto"/>
                <w:sz w:val="24"/>
                <w:highlight w:val="none"/>
              </w:rPr>
              <w:t>投标人名称</w:t>
            </w:r>
          </w:p>
        </w:tc>
        <w:tc>
          <w:tcPr>
            <w:tcW w:w="6339" w:type="dxa"/>
            <w:gridSpan w:val="3"/>
            <w:vAlign w:val="center"/>
          </w:tcPr>
          <w:p w14:paraId="52B6EF96">
            <w:pPr>
              <w:ind w:firstLine="480"/>
              <w:rPr>
                <w:rFonts w:ascii="宋体" w:hAnsi="宋体" w:cs="宋体"/>
                <w:color w:val="auto"/>
                <w:sz w:val="24"/>
                <w:highlight w:val="none"/>
              </w:rPr>
            </w:pPr>
          </w:p>
        </w:tc>
      </w:tr>
      <w:tr w14:paraId="18EC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481F7595">
            <w:pPr>
              <w:rPr>
                <w:rFonts w:ascii="宋体" w:hAnsi="宋体" w:cs="宋体"/>
                <w:color w:val="auto"/>
                <w:sz w:val="24"/>
                <w:highlight w:val="none"/>
              </w:rPr>
            </w:pPr>
            <w:r>
              <w:rPr>
                <w:rFonts w:hint="eastAsia" w:ascii="宋体" w:hAnsi="宋体" w:cs="宋体"/>
                <w:color w:val="auto"/>
                <w:sz w:val="24"/>
                <w:highlight w:val="none"/>
              </w:rPr>
              <w:t>地址</w:t>
            </w:r>
          </w:p>
        </w:tc>
        <w:tc>
          <w:tcPr>
            <w:tcW w:w="6339" w:type="dxa"/>
            <w:gridSpan w:val="3"/>
            <w:vAlign w:val="center"/>
          </w:tcPr>
          <w:p w14:paraId="28464C62">
            <w:pPr>
              <w:ind w:firstLine="480"/>
              <w:rPr>
                <w:rFonts w:ascii="宋体" w:hAnsi="宋体" w:cs="宋体"/>
                <w:color w:val="auto"/>
                <w:sz w:val="24"/>
                <w:highlight w:val="none"/>
              </w:rPr>
            </w:pPr>
          </w:p>
        </w:tc>
      </w:tr>
      <w:tr w14:paraId="7081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202" w:type="dxa"/>
            <w:vAlign w:val="center"/>
          </w:tcPr>
          <w:p w14:paraId="295E7B08">
            <w:pPr>
              <w:rPr>
                <w:rFonts w:ascii="宋体" w:hAnsi="宋体" w:cs="宋体"/>
                <w:color w:val="auto"/>
                <w:sz w:val="24"/>
                <w:highlight w:val="none"/>
              </w:rPr>
            </w:pPr>
            <w:r>
              <w:rPr>
                <w:rFonts w:hint="eastAsia" w:ascii="宋体" w:hAnsi="宋体" w:cs="宋体"/>
                <w:color w:val="auto"/>
                <w:sz w:val="24"/>
                <w:highlight w:val="none"/>
              </w:rPr>
              <w:t>业务（经营）范围</w:t>
            </w:r>
          </w:p>
        </w:tc>
        <w:tc>
          <w:tcPr>
            <w:tcW w:w="2118" w:type="dxa"/>
            <w:vAlign w:val="center"/>
          </w:tcPr>
          <w:p w14:paraId="4B6EB74D">
            <w:pPr>
              <w:rPr>
                <w:rFonts w:ascii="宋体" w:hAnsi="宋体" w:cs="宋体"/>
                <w:color w:val="auto"/>
                <w:sz w:val="24"/>
                <w:highlight w:val="none"/>
              </w:rPr>
            </w:pPr>
          </w:p>
        </w:tc>
        <w:tc>
          <w:tcPr>
            <w:tcW w:w="1980" w:type="dxa"/>
            <w:vAlign w:val="center"/>
          </w:tcPr>
          <w:p w14:paraId="06BF15F2">
            <w:pPr>
              <w:rPr>
                <w:rFonts w:ascii="宋体" w:hAnsi="宋体" w:cs="宋体"/>
                <w:color w:val="auto"/>
                <w:sz w:val="24"/>
                <w:highlight w:val="none"/>
              </w:rPr>
            </w:pPr>
            <w:r>
              <w:rPr>
                <w:rFonts w:hint="eastAsia" w:ascii="宋体" w:hAnsi="宋体" w:cs="宋体"/>
                <w:color w:val="auto"/>
                <w:sz w:val="24"/>
                <w:highlight w:val="none"/>
              </w:rPr>
              <w:t>机构类型</w:t>
            </w:r>
          </w:p>
        </w:tc>
        <w:tc>
          <w:tcPr>
            <w:tcW w:w="2241" w:type="dxa"/>
            <w:vAlign w:val="center"/>
          </w:tcPr>
          <w:p w14:paraId="7B2A738C">
            <w:pPr>
              <w:rPr>
                <w:rFonts w:ascii="宋体" w:hAnsi="宋体" w:cs="宋体"/>
                <w:color w:val="auto"/>
                <w:sz w:val="24"/>
                <w:highlight w:val="none"/>
              </w:rPr>
            </w:pPr>
          </w:p>
        </w:tc>
      </w:tr>
      <w:tr w14:paraId="5849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1BECEFBA">
            <w:pPr>
              <w:rPr>
                <w:rFonts w:ascii="宋体" w:hAnsi="宋体" w:cs="宋体"/>
                <w:color w:val="auto"/>
                <w:sz w:val="24"/>
                <w:highlight w:val="none"/>
              </w:rPr>
            </w:pPr>
            <w:r>
              <w:rPr>
                <w:rFonts w:hint="eastAsia" w:ascii="宋体" w:hAnsi="宋体" w:cs="宋体"/>
                <w:color w:val="auto"/>
                <w:sz w:val="24"/>
                <w:highlight w:val="none"/>
              </w:rPr>
              <w:t>成立时间</w:t>
            </w:r>
          </w:p>
        </w:tc>
        <w:tc>
          <w:tcPr>
            <w:tcW w:w="2118" w:type="dxa"/>
            <w:vAlign w:val="center"/>
          </w:tcPr>
          <w:p w14:paraId="229FCB11">
            <w:pPr>
              <w:rPr>
                <w:rFonts w:ascii="宋体" w:hAnsi="宋体" w:cs="宋体"/>
                <w:color w:val="auto"/>
                <w:sz w:val="24"/>
                <w:highlight w:val="none"/>
              </w:rPr>
            </w:pPr>
          </w:p>
        </w:tc>
        <w:tc>
          <w:tcPr>
            <w:tcW w:w="1980" w:type="dxa"/>
            <w:vAlign w:val="center"/>
          </w:tcPr>
          <w:p w14:paraId="0E783E06">
            <w:pPr>
              <w:rPr>
                <w:rFonts w:ascii="宋体" w:hAnsi="宋体" w:cs="宋体"/>
                <w:color w:val="auto"/>
                <w:sz w:val="24"/>
                <w:highlight w:val="none"/>
              </w:rPr>
            </w:pPr>
          </w:p>
        </w:tc>
        <w:tc>
          <w:tcPr>
            <w:tcW w:w="2241" w:type="dxa"/>
            <w:vAlign w:val="center"/>
          </w:tcPr>
          <w:p w14:paraId="24699187">
            <w:pPr>
              <w:rPr>
                <w:rFonts w:ascii="宋体" w:hAnsi="宋体" w:cs="宋体"/>
                <w:color w:val="auto"/>
                <w:sz w:val="24"/>
                <w:highlight w:val="none"/>
              </w:rPr>
            </w:pPr>
          </w:p>
        </w:tc>
      </w:tr>
      <w:tr w14:paraId="164E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4DFBDAF0">
            <w:pPr>
              <w:rPr>
                <w:rFonts w:ascii="宋体" w:hAnsi="宋体" w:cs="宋体"/>
                <w:color w:val="auto"/>
                <w:sz w:val="24"/>
                <w:highlight w:val="none"/>
              </w:rPr>
            </w:pPr>
            <w:r>
              <w:rPr>
                <w:rFonts w:hint="eastAsia" w:ascii="宋体" w:hAnsi="宋体" w:cs="宋体"/>
                <w:color w:val="auto"/>
                <w:sz w:val="24"/>
                <w:highlight w:val="none"/>
              </w:rPr>
              <w:t>法定代表人</w:t>
            </w:r>
          </w:p>
        </w:tc>
        <w:tc>
          <w:tcPr>
            <w:tcW w:w="2118" w:type="dxa"/>
            <w:vAlign w:val="center"/>
          </w:tcPr>
          <w:p w14:paraId="40562FE5">
            <w:pPr>
              <w:rPr>
                <w:rFonts w:ascii="宋体" w:hAnsi="宋体" w:cs="宋体"/>
                <w:color w:val="auto"/>
                <w:sz w:val="24"/>
                <w:highlight w:val="none"/>
              </w:rPr>
            </w:pPr>
          </w:p>
        </w:tc>
        <w:tc>
          <w:tcPr>
            <w:tcW w:w="1980" w:type="dxa"/>
            <w:vAlign w:val="center"/>
          </w:tcPr>
          <w:p w14:paraId="7B94A43B">
            <w:pPr>
              <w:rPr>
                <w:rFonts w:ascii="宋体" w:hAnsi="宋体" w:cs="宋体"/>
                <w:color w:val="auto"/>
                <w:sz w:val="24"/>
                <w:highlight w:val="none"/>
              </w:rPr>
            </w:pPr>
            <w:r>
              <w:rPr>
                <w:rFonts w:hint="eastAsia" w:ascii="宋体" w:hAnsi="宋体" w:cs="宋体"/>
                <w:color w:val="auto"/>
                <w:sz w:val="24"/>
                <w:highlight w:val="none"/>
              </w:rPr>
              <w:t>联系电话</w:t>
            </w:r>
          </w:p>
        </w:tc>
        <w:tc>
          <w:tcPr>
            <w:tcW w:w="2241" w:type="dxa"/>
            <w:vAlign w:val="center"/>
          </w:tcPr>
          <w:p w14:paraId="56F4260E">
            <w:pPr>
              <w:rPr>
                <w:rFonts w:ascii="宋体" w:hAnsi="宋体" w:cs="宋体"/>
                <w:color w:val="auto"/>
                <w:sz w:val="24"/>
                <w:highlight w:val="none"/>
              </w:rPr>
            </w:pPr>
          </w:p>
        </w:tc>
      </w:tr>
      <w:tr w14:paraId="1BAE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2202" w:type="dxa"/>
            <w:vAlign w:val="center"/>
          </w:tcPr>
          <w:p w14:paraId="79559C17">
            <w:pPr>
              <w:rPr>
                <w:rFonts w:ascii="宋体" w:hAnsi="宋体" w:cs="宋体"/>
                <w:color w:val="auto"/>
                <w:sz w:val="24"/>
                <w:highlight w:val="none"/>
              </w:rPr>
            </w:pPr>
            <w:r>
              <w:rPr>
                <w:rFonts w:hint="eastAsia" w:ascii="宋体" w:hAnsi="宋体" w:cs="宋体"/>
                <w:color w:val="auto"/>
                <w:sz w:val="24"/>
                <w:highlight w:val="none"/>
              </w:rPr>
              <w:t>注册资本</w:t>
            </w:r>
          </w:p>
        </w:tc>
        <w:tc>
          <w:tcPr>
            <w:tcW w:w="2118" w:type="dxa"/>
            <w:vAlign w:val="center"/>
          </w:tcPr>
          <w:p w14:paraId="427D8A40">
            <w:pPr>
              <w:rPr>
                <w:rFonts w:ascii="宋体" w:hAnsi="宋体" w:cs="宋体"/>
                <w:color w:val="auto"/>
                <w:sz w:val="24"/>
                <w:highlight w:val="none"/>
              </w:rPr>
            </w:pPr>
          </w:p>
        </w:tc>
        <w:tc>
          <w:tcPr>
            <w:tcW w:w="1980" w:type="dxa"/>
            <w:vAlign w:val="center"/>
          </w:tcPr>
          <w:p w14:paraId="038CDEF3">
            <w:pPr>
              <w:rPr>
                <w:rFonts w:ascii="宋体" w:hAnsi="宋体" w:cs="宋体"/>
                <w:color w:val="auto"/>
                <w:sz w:val="24"/>
                <w:highlight w:val="none"/>
              </w:rPr>
            </w:pPr>
            <w:r>
              <w:rPr>
                <w:rFonts w:hint="eastAsia" w:ascii="宋体" w:hAnsi="宋体" w:cs="宋体"/>
                <w:color w:val="auto"/>
                <w:sz w:val="24"/>
                <w:highlight w:val="none"/>
              </w:rPr>
              <w:t>技术人员数</w:t>
            </w:r>
          </w:p>
        </w:tc>
        <w:tc>
          <w:tcPr>
            <w:tcW w:w="2241" w:type="dxa"/>
            <w:vAlign w:val="center"/>
          </w:tcPr>
          <w:p w14:paraId="79A7FA4D">
            <w:pPr>
              <w:rPr>
                <w:rFonts w:ascii="宋体" w:hAnsi="宋体" w:cs="宋体"/>
                <w:color w:val="auto"/>
                <w:sz w:val="24"/>
                <w:highlight w:val="none"/>
              </w:rPr>
            </w:pPr>
          </w:p>
        </w:tc>
      </w:tr>
      <w:tr w14:paraId="32F5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14:paraId="5DB3E348">
            <w:pPr>
              <w:rPr>
                <w:rFonts w:ascii="宋体" w:hAnsi="宋体" w:cs="宋体"/>
                <w:color w:val="auto"/>
                <w:sz w:val="24"/>
                <w:highlight w:val="none"/>
              </w:rPr>
            </w:pPr>
            <w:r>
              <w:rPr>
                <w:rFonts w:hint="eastAsia" w:ascii="宋体" w:hAnsi="宋体" w:cs="宋体"/>
                <w:color w:val="auto"/>
                <w:sz w:val="24"/>
                <w:highlight w:val="none"/>
              </w:rPr>
              <w:t>是否依法纳税</w:t>
            </w:r>
          </w:p>
        </w:tc>
        <w:tc>
          <w:tcPr>
            <w:tcW w:w="2118" w:type="dxa"/>
            <w:vAlign w:val="center"/>
          </w:tcPr>
          <w:p w14:paraId="74D792FC">
            <w:pPr>
              <w:rPr>
                <w:rFonts w:ascii="宋体" w:hAnsi="宋体" w:cs="宋体"/>
                <w:color w:val="auto"/>
                <w:sz w:val="24"/>
                <w:highlight w:val="none"/>
              </w:rPr>
            </w:pPr>
          </w:p>
        </w:tc>
        <w:tc>
          <w:tcPr>
            <w:tcW w:w="1980" w:type="dxa"/>
            <w:vAlign w:val="center"/>
          </w:tcPr>
          <w:p w14:paraId="5E1BF486">
            <w:pPr>
              <w:jc w:val="center"/>
              <w:rPr>
                <w:rFonts w:ascii="宋体" w:hAnsi="宋体" w:cs="宋体"/>
                <w:color w:val="auto"/>
                <w:sz w:val="24"/>
                <w:highlight w:val="none"/>
              </w:rPr>
            </w:pPr>
            <w:r>
              <w:rPr>
                <w:rFonts w:hint="eastAsia" w:ascii="宋体" w:hAnsi="宋体" w:cs="宋体"/>
                <w:color w:val="auto"/>
                <w:sz w:val="24"/>
                <w:highlight w:val="none"/>
              </w:rPr>
              <w:t>是否参加社保</w:t>
            </w:r>
          </w:p>
        </w:tc>
        <w:tc>
          <w:tcPr>
            <w:tcW w:w="2241" w:type="dxa"/>
            <w:vAlign w:val="center"/>
          </w:tcPr>
          <w:p w14:paraId="17177747">
            <w:pPr>
              <w:rPr>
                <w:rFonts w:ascii="宋体" w:hAnsi="宋体" w:cs="宋体"/>
                <w:color w:val="auto"/>
                <w:sz w:val="24"/>
                <w:highlight w:val="none"/>
              </w:rPr>
            </w:pPr>
          </w:p>
        </w:tc>
      </w:tr>
      <w:tr w14:paraId="4FA1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2202" w:type="dxa"/>
            <w:vAlign w:val="center"/>
          </w:tcPr>
          <w:p w14:paraId="756AB85F">
            <w:pPr>
              <w:rPr>
                <w:rFonts w:ascii="宋体" w:hAnsi="宋体" w:cs="宋体"/>
                <w:color w:val="auto"/>
                <w:sz w:val="24"/>
                <w:highlight w:val="none"/>
              </w:rPr>
            </w:pPr>
            <w:r>
              <w:rPr>
                <w:rFonts w:hint="eastAsia" w:ascii="宋体" w:hAnsi="宋体" w:cs="宋体"/>
                <w:color w:val="auto"/>
                <w:sz w:val="24"/>
                <w:highlight w:val="none"/>
              </w:rPr>
              <w:t>服务机构情况</w:t>
            </w:r>
          </w:p>
        </w:tc>
        <w:tc>
          <w:tcPr>
            <w:tcW w:w="6339" w:type="dxa"/>
            <w:gridSpan w:val="3"/>
            <w:vAlign w:val="center"/>
          </w:tcPr>
          <w:p w14:paraId="205ECAAD">
            <w:pPr>
              <w:jc w:val="left"/>
              <w:rPr>
                <w:rFonts w:ascii="宋体" w:hAnsi="宋体" w:cs="宋体"/>
                <w:color w:val="auto"/>
                <w:sz w:val="24"/>
                <w:highlight w:val="none"/>
              </w:rPr>
            </w:pPr>
            <w:r>
              <w:rPr>
                <w:rFonts w:hint="eastAsia" w:ascii="宋体" w:hAnsi="宋体" w:cs="宋体"/>
                <w:color w:val="auto"/>
                <w:sz w:val="24"/>
                <w:highlight w:val="none"/>
              </w:rPr>
              <w:t>服务机构名称：</w:t>
            </w:r>
          </w:p>
          <w:p w14:paraId="5B2297C1">
            <w:pPr>
              <w:jc w:val="left"/>
              <w:rPr>
                <w:rFonts w:ascii="宋体" w:hAnsi="宋体" w:cs="宋体"/>
                <w:color w:val="auto"/>
                <w:sz w:val="24"/>
                <w:highlight w:val="none"/>
              </w:rPr>
            </w:pPr>
            <w:r>
              <w:rPr>
                <w:rFonts w:hint="eastAsia" w:ascii="宋体" w:hAnsi="宋体" w:cs="宋体"/>
                <w:color w:val="auto"/>
                <w:sz w:val="24"/>
                <w:highlight w:val="none"/>
              </w:rPr>
              <w:t>地址：</w:t>
            </w:r>
          </w:p>
          <w:p w14:paraId="7BACD78D">
            <w:pPr>
              <w:jc w:val="left"/>
              <w:rPr>
                <w:rFonts w:ascii="宋体" w:hAnsi="宋体" w:cs="宋体"/>
                <w:color w:val="auto"/>
                <w:sz w:val="24"/>
                <w:highlight w:val="none"/>
              </w:rPr>
            </w:pPr>
            <w:r>
              <w:rPr>
                <w:rFonts w:hint="eastAsia" w:ascii="宋体" w:hAnsi="宋体" w:cs="宋体"/>
                <w:color w:val="auto"/>
                <w:sz w:val="24"/>
                <w:highlight w:val="none"/>
              </w:rPr>
              <w:t>人员状况：</w:t>
            </w:r>
          </w:p>
          <w:p w14:paraId="63B67F5B">
            <w:pPr>
              <w:jc w:val="left"/>
              <w:rPr>
                <w:rFonts w:ascii="宋体" w:hAnsi="宋体" w:cs="宋体"/>
                <w:color w:val="auto"/>
                <w:sz w:val="24"/>
                <w:highlight w:val="none"/>
              </w:rPr>
            </w:pPr>
            <w:r>
              <w:rPr>
                <w:rFonts w:hint="eastAsia" w:ascii="宋体" w:hAnsi="宋体" w:cs="宋体"/>
                <w:color w:val="auto"/>
                <w:sz w:val="24"/>
                <w:highlight w:val="none"/>
              </w:rPr>
              <w:t>联系方式：</w:t>
            </w:r>
          </w:p>
          <w:p w14:paraId="39EDD9C3">
            <w:pPr>
              <w:jc w:val="left"/>
              <w:rPr>
                <w:rFonts w:ascii="宋体" w:hAnsi="宋体" w:cs="宋体"/>
                <w:color w:val="auto"/>
                <w:sz w:val="24"/>
                <w:highlight w:val="none"/>
              </w:rPr>
            </w:pPr>
            <w:r>
              <w:rPr>
                <w:rFonts w:hint="eastAsia" w:ascii="宋体" w:hAnsi="宋体" w:cs="宋体"/>
                <w:color w:val="auto"/>
                <w:sz w:val="24"/>
                <w:highlight w:val="none"/>
              </w:rPr>
              <w:t>（可另附纸说明）</w:t>
            </w:r>
          </w:p>
        </w:tc>
      </w:tr>
    </w:tbl>
    <w:p w14:paraId="13234E45">
      <w:pPr>
        <w:wordWrap w:val="0"/>
        <w:spacing w:beforeLines="50"/>
        <w:rPr>
          <w:rFonts w:ascii="宋体" w:hAnsi="宋体" w:cs="宋体"/>
          <w:b/>
          <w:bCs/>
          <w:color w:val="auto"/>
          <w:sz w:val="24"/>
          <w:highlight w:val="none"/>
        </w:rPr>
      </w:pPr>
    </w:p>
    <w:p w14:paraId="0D0C31AA">
      <w:pPr>
        <w:wordWrap w:val="0"/>
        <w:spacing w:line="360" w:lineRule="auto"/>
        <w:ind w:firstLine="480"/>
        <w:jc w:val="right"/>
        <w:rPr>
          <w:rFonts w:ascii="宋体" w:hAnsi="宋体" w:cs="宋体"/>
          <w:color w:val="auto"/>
          <w:sz w:val="24"/>
          <w:highlight w:val="none"/>
        </w:rPr>
      </w:pPr>
    </w:p>
    <w:p w14:paraId="3D6CE01B">
      <w:pPr>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rPr>
        <w:t>投标人名称（加盖公章）：</w:t>
      </w:r>
    </w:p>
    <w:p w14:paraId="5BABBA7A">
      <w:pPr>
        <w:spacing w:line="360" w:lineRule="auto"/>
        <w:jc w:val="left"/>
        <w:rPr>
          <w:rFonts w:ascii="宋体" w:hAnsi="宋体" w:cs="宋体"/>
          <w:color w:val="auto"/>
          <w:sz w:val="24"/>
          <w:highlight w:val="none"/>
          <w:u w:val="single"/>
        </w:rPr>
      </w:pPr>
      <w:r>
        <w:rPr>
          <w:rFonts w:hint="eastAsia" w:ascii="宋体" w:hAnsi="宋体"/>
          <w:color w:val="auto"/>
          <w:sz w:val="24"/>
          <w:highlight w:val="none"/>
        </w:rPr>
        <w:t>法定代表人或被授权人（签字或盖章）</w:t>
      </w:r>
      <w:r>
        <w:rPr>
          <w:rFonts w:hint="eastAsia" w:ascii="宋体" w:hAnsi="宋体" w:cs="宋体"/>
          <w:color w:val="auto"/>
          <w:sz w:val="24"/>
          <w:highlight w:val="none"/>
        </w:rPr>
        <w:t>：</w:t>
      </w:r>
    </w:p>
    <w:p w14:paraId="54C69634">
      <w:pPr>
        <w:pStyle w:val="969"/>
        <w:spacing w:line="360" w:lineRule="auto"/>
        <w:jc w:val="left"/>
        <w:rPr>
          <w:rFonts w:hAnsi="宋体" w:eastAsia="宋体" w:cs="宋体"/>
          <w:color w:val="auto"/>
          <w:sz w:val="24"/>
          <w:szCs w:val="24"/>
          <w:highlight w:val="none"/>
        </w:rPr>
      </w:pPr>
      <w:r>
        <w:rPr>
          <w:rFonts w:hint="eastAsia" w:hAnsi="宋体" w:eastAsia="宋体" w:cs="宋体"/>
          <w:color w:val="auto"/>
          <w:sz w:val="24"/>
          <w:szCs w:val="24"/>
          <w:highlight w:val="none"/>
        </w:rPr>
        <w:t>日期：_____年____月____日</w:t>
      </w:r>
    </w:p>
    <w:p w14:paraId="244785B2">
      <w:pPr>
        <w:pStyle w:val="969"/>
        <w:spacing w:line="360" w:lineRule="auto"/>
        <w:jc w:val="center"/>
        <w:rPr>
          <w:rFonts w:hAnsi="宋体" w:eastAsia="宋体" w:cs="宋体"/>
          <w:b/>
          <w:color w:val="auto"/>
          <w:sz w:val="24"/>
          <w:szCs w:val="24"/>
          <w:highlight w:val="none"/>
        </w:rPr>
      </w:pPr>
    </w:p>
    <w:p w14:paraId="148A77AE">
      <w:pPr>
        <w:pStyle w:val="969"/>
        <w:spacing w:line="360" w:lineRule="auto"/>
        <w:jc w:val="center"/>
        <w:rPr>
          <w:rFonts w:hAnsi="宋体" w:eastAsia="宋体" w:cs="宋体"/>
          <w:b/>
          <w:color w:val="auto"/>
          <w:sz w:val="24"/>
          <w:szCs w:val="24"/>
          <w:highlight w:val="none"/>
        </w:rPr>
      </w:pPr>
    </w:p>
    <w:p w14:paraId="78500508">
      <w:pPr>
        <w:pStyle w:val="969"/>
        <w:spacing w:line="360" w:lineRule="auto"/>
        <w:jc w:val="center"/>
        <w:rPr>
          <w:rFonts w:hAnsi="宋体" w:eastAsia="宋体" w:cs="宋体"/>
          <w:b/>
          <w:color w:val="auto"/>
          <w:sz w:val="24"/>
          <w:szCs w:val="24"/>
          <w:highlight w:val="none"/>
        </w:rPr>
      </w:pPr>
    </w:p>
    <w:p w14:paraId="5AF8951A">
      <w:pPr>
        <w:pStyle w:val="969"/>
        <w:spacing w:line="360" w:lineRule="auto"/>
        <w:jc w:val="center"/>
        <w:rPr>
          <w:rFonts w:hAnsi="宋体" w:eastAsia="宋体" w:cs="宋体"/>
          <w:b/>
          <w:color w:val="auto"/>
          <w:sz w:val="24"/>
          <w:szCs w:val="24"/>
          <w:highlight w:val="none"/>
        </w:rPr>
      </w:pPr>
    </w:p>
    <w:p w14:paraId="56A3C2A5">
      <w:pPr>
        <w:pStyle w:val="969"/>
        <w:spacing w:line="360" w:lineRule="auto"/>
        <w:jc w:val="center"/>
        <w:rPr>
          <w:rFonts w:hAnsi="宋体" w:eastAsia="宋体" w:cs="宋体"/>
          <w:b/>
          <w:color w:val="auto"/>
          <w:sz w:val="24"/>
          <w:szCs w:val="24"/>
          <w:highlight w:val="none"/>
        </w:rPr>
      </w:pPr>
    </w:p>
    <w:p w14:paraId="076DA0A7">
      <w:pPr>
        <w:pStyle w:val="969"/>
        <w:spacing w:line="360" w:lineRule="auto"/>
        <w:jc w:val="center"/>
        <w:rPr>
          <w:rFonts w:hAnsi="宋体" w:eastAsia="宋体" w:cs="宋体"/>
          <w:b/>
          <w:color w:val="auto"/>
          <w:sz w:val="24"/>
          <w:szCs w:val="24"/>
          <w:highlight w:val="none"/>
        </w:rPr>
      </w:pPr>
    </w:p>
    <w:p w14:paraId="01F7BB54">
      <w:pPr>
        <w:pStyle w:val="969"/>
        <w:spacing w:line="360" w:lineRule="auto"/>
        <w:rPr>
          <w:rFonts w:hAnsi="宋体" w:eastAsia="宋体" w:cs="宋体"/>
          <w:b/>
          <w:color w:val="auto"/>
          <w:sz w:val="24"/>
          <w:szCs w:val="24"/>
          <w:highlight w:val="none"/>
        </w:rPr>
      </w:pPr>
    </w:p>
    <w:p w14:paraId="2C7D2E0B">
      <w:pPr>
        <w:pStyle w:val="969"/>
        <w:spacing w:line="360" w:lineRule="auto"/>
        <w:rPr>
          <w:rFonts w:hAnsi="宋体" w:eastAsia="宋体"/>
          <w:b/>
          <w:color w:val="auto"/>
          <w:sz w:val="21"/>
          <w:szCs w:val="21"/>
          <w:highlight w:val="none"/>
        </w:rPr>
      </w:pPr>
    </w:p>
    <w:p w14:paraId="7D1BFC26">
      <w:pPr>
        <w:pStyle w:val="969"/>
        <w:spacing w:line="360" w:lineRule="auto"/>
        <w:jc w:val="center"/>
        <w:rPr>
          <w:rFonts w:hAnsi="宋体" w:eastAsia="宋体" w:cs="宋体"/>
          <w:b/>
          <w:color w:val="auto"/>
          <w:sz w:val="24"/>
          <w:szCs w:val="24"/>
          <w:highlight w:val="none"/>
        </w:rPr>
      </w:pPr>
      <w:r>
        <w:rPr>
          <w:rFonts w:hint="eastAsia" w:hAnsi="宋体" w:eastAsia="宋体" w:cs="宋体"/>
          <w:b/>
          <w:color w:val="auto"/>
          <w:sz w:val="24"/>
          <w:szCs w:val="24"/>
          <w:highlight w:val="none"/>
        </w:rPr>
        <w:t>同类项目业绩一览表</w:t>
      </w:r>
    </w:p>
    <w:tbl>
      <w:tblPr>
        <w:tblStyle w:val="64"/>
        <w:tblW w:w="10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43"/>
        <w:gridCol w:w="2565"/>
        <w:gridCol w:w="1311"/>
        <w:gridCol w:w="1311"/>
        <w:gridCol w:w="1298"/>
      </w:tblGrid>
      <w:tr w14:paraId="032E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631" w:type="dxa"/>
            <w:vAlign w:val="center"/>
          </w:tcPr>
          <w:p w14:paraId="2957EFDD">
            <w:pPr>
              <w:jc w:val="center"/>
              <w:rPr>
                <w:rFonts w:ascii="宋体" w:hAnsi="宋体"/>
                <w:bCs/>
                <w:color w:val="auto"/>
                <w:sz w:val="24"/>
                <w:highlight w:val="none"/>
              </w:rPr>
            </w:pPr>
            <w:r>
              <w:rPr>
                <w:rFonts w:hint="eastAsia" w:ascii="宋体" w:hAnsi="宋体"/>
                <w:bCs/>
                <w:color w:val="auto"/>
                <w:sz w:val="24"/>
                <w:highlight w:val="none"/>
              </w:rPr>
              <w:t>序号</w:t>
            </w:r>
          </w:p>
        </w:tc>
        <w:tc>
          <w:tcPr>
            <w:tcW w:w="2943" w:type="dxa"/>
            <w:vAlign w:val="center"/>
          </w:tcPr>
          <w:p w14:paraId="1B317C5A">
            <w:pPr>
              <w:jc w:val="center"/>
              <w:rPr>
                <w:rFonts w:ascii="宋体" w:hAnsi="宋体"/>
                <w:bCs/>
                <w:color w:val="auto"/>
                <w:sz w:val="24"/>
                <w:highlight w:val="none"/>
              </w:rPr>
            </w:pPr>
            <w:r>
              <w:rPr>
                <w:rFonts w:hint="eastAsia" w:ascii="宋体" w:hAnsi="宋体"/>
                <w:bCs/>
                <w:color w:val="auto"/>
                <w:sz w:val="24"/>
                <w:highlight w:val="none"/>
              </w:rPr>
              <w:t>采购人名称</w:t>
            </w:r>
          </w:p>
        </w:tc>
        <w:tc>
          <w:tcPr>
            <w:tcW w:w="2565" w:type="dxa"/>
            <w:vAlign w:val="center"/>
          </w:tcPr>
          <w:p w14:paraId="67012261">
            <w:pPr>
              <w:tabs>
                <w:tab w:val="left" w:pos="6252"/>
              </w:tabs>
              <w:jc w:val="center"/>
              <w:rPr>
                <w:rFonts w:ascii="宋体" w:hAnsi="宋体"/>
                <w:bCs/>
                <w:color w:val="auto"/>
                <w:sz w:val="24"/>
                <w:highlight w:val="none"/>
              </w:rPr>
            </w:pPr>
            <w:r>
              <w:rPr>
                <w:rFonts w:hint="eastAsia" w:ascii="宋体" w:hAnsi="宋体"/>
                <w:bCs/>
                <w:color w:val="auto"/>
                <w:sz w:val="24"/>
                <w:highlight w:val="none"/>
              </w:rPr>
              <w:t>项目名称</w:t>
            </w:r>
          </w:p>
        </w:tc>
        <w:tc>
          <w:tcPr>
            <w:tcW w:w="1311" w:type="dxa"/>
            <w:vAlign w:val="center"/>
          </w:tcPr>
          <w:p w14:paraId="132C3F26">
            <w:pPr>
              <w:tabs>
                <w:tab w:val="left" w:pos="6252"/>
              </w:tabs>
              <w:jc w:val="center"/>
              <w:rPr>
                <w:rFonts w:ascii="宋体" w:hAnsi="宋体"/>
                <w:bCs/>
                <w:color w:val="auto"/>
                <w:sz w:val="24"/>
                <w:highlight w:val="none"/>
              </w:rPr>
            </w:pPr>
            <w:r>
              <w:rPr>
                <w:rFonts w:hint="eastAsia" w:ascii="宋体" w:hAnsi="宋体"/>
                <w:bCs/>
                <w:color w:val="auto"/>
                <w:sz w:val="24"/>
                <w:highlight w:val="none"/>
              </w:rPr>
              <w:t>服务内容</w:t>
            </w:r>
          </w:p>
        </w:tc>
        <w:tc>
          <w:tcPr>
            <w:tcW w:w="1311" w:type="dxa"/>
            <w:vAlign w:val="center"/>
          </w:tcPr>
          <w:p w14:paraId="7B6139E8">
            <w:pPr>
              <w:tabs>
                <w:tab w:val="left" w:pos="6252"/>
              </w:tabs>
              <w:jc w:val="center"/>
              <w:rPr>
                <w:rFonts w:ascii="宋体" w:hAnsi="宋体"/>
                <w:bCs/>
                <w:color w:val="auto"/>
                <w:sz w:val="24"/>
                <w:highlight w:val="none"/>
              </w:rPr>
            </w:pPr>
            <w:r>
              <w:rPr>
                <w:rFonts w:hint="eastAsia" w:ascii="宋体" w:hAnsi="宋体"/>
                <w:bCs/>
                <w:color w:val="auto"/>
                <w:sz w:val="24"/>
                <w:highlight w:val="none"/>
              </w:rPr>
              <w:t>服务期限</w:t>
            </w:r>
          </w:p>
        </w:tc>
        <w:tc>
          <w:tcPr>
            <w:tcW w:w="1298" w:type="dxa"/>
            <w:vAlign w:val="center"/>
          </w:tcPr>
          <w:p w14:paraId="519CF27A">
            <w:pPr>
              <w:tabs>
                <w:tab w:val="left" w:pos="6252"/>
              </w:tabs>
              <w:jc w:val="center"/>
              <w:rPr>
                <w:rFonts w:ascii="宋体" w:hAnsi="宋体"/>
                <w:bCs/>
                <w:color w:val="auto"/>
                <w:sz w:val="24"/>
                <w:highlight w:val="none"/>
              </w:rPr>
            </w:pPr>
            <w:r>
              <w:rPr>
                <w:rFonts w:hint="eastAsia"/>
                <w:bCs/>
                <w:color w:val="auto"/>
                <w:sz w:val="24"/>
                <w:highlight w:val="none"/>
              </w:rPr>
              <w:t>合同签订时间</w:t>
            </w:r>
          </w:p>
        </w:tc>
      </w:tr>
      <w:tr w14:paraId="05CE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631" w:type="dxa"/>
            <w:vAlign w:val="center"/>
          </w:tcPr>
          <w:p w14:paraId="6B436A38">
            <w:pPr>
              <w:jc w:val="center"/>
              <w:rPr>
                <w:rFonts w:ascii="宋体" w:hAnsi="宋体"/>
                <w:bCs/>
                <w:color w:val="auto"/>
                <w:sz w:val="24"/>
                <w:highlight w:val="none"/>
              </w:rPr>
            </w:pPr>
            <w:r>
              <w:rPr>
                <w:rFonts w:hint="eastAsia" w:ascii="宋体" w:hAnsi="宋体"/>
                <w:bCs/>
                <w:color w:val="auto"/>
                <w:sz w:val="24"/>
                <w:highlight w:val="none"/>
              </w:rPr>
              <w:t>1</w:t>
            </w:r>
          </w:p>
        </w:tc>
        <w:tc>
          <w:tcPr>
            <w:tcW w:w="2943" w:type="dxa"/>
            <w:vAlign w:val="center"/>
          </w:tcPr>
          <w:p w14:paraId="5F55C18B">
            <w:pPr>
              <w:jc w:val="center"/>
              <w:rPr>
                <w:rFonts w:ascii="宋体" w:hAnsi="宋体"/>
                <w:bCs/>
                <w:color w:val="auto"/>
                <w:sz w:val="24"/>
                <w:highlight w:val="none"/>
              </w:rPr>
            </w:pPr>
          </w:p>
        </w:tc>
        <w:tc>
          <w:tcPr>
            <w:tcW w:w="2565" w:type="dxa"/>
          </w:tcPr>
          <w:p w14:paraId="5FFF9743">
            <w:pPr>
              <w:jc w:val="center"/>
              <w:rPr>
                <w:rFonts w:ascii="宋体" w:hAnsi="宋体"/>
                <w:bCs/>
                <w:color w:val="auto"/>
                <w:sz w:val="24"/>
                <w:highlight w:val="none"/>
              </w:rPr>
            </w:pPr>
          </w:p>
        </w:tc>
        <w:tc>
          <w:tcPr>
            <w:tcW w:w="1311" w:type="dxa"/>
          </w:tcPr>
          <w:p w14:paraId="5387C859">
            <w:pPr>
              <w:jc w:val="center"/>
              <w:rPr>
                <w:rFonts w:ascii="宋体" w:hAnsi="宋体"/>
                <w:bCs/>
                <w:color w:val="auto"/>
                <w:sz w:val="24"/>
                <w:highlight w:val="none"/>
              </w:rPr>
            </w:pPr>
          </w:p>
        </w:tc>
        <w:tc>
          <w:tcPr>
            <w:tcW w:w="1311" w:type="dxa"/>
            <w:vAlign w:val="center"/>
          </w:tcPr>
          <w:p w14:paraId="65229431">
            <w:pPr>
              <w:jc w:val="center"/>
              <w:rPr>
                <w:rFonts w:ascii="宋体" w:hAnsi="宋体"/>
                <w:bCs/>
                <w:color w:val="auto"/>
                <w:sz w:val="24"/>
                <w:highlight w:val="none"/>
              </w:rPr>
            </w:pPr>
          </w:p>
        </w:tc>
        <w:tc>
          <w:tcPr>
            <w:tcW w:w="1298" w:type="dxa"/>
            <w:vAlign w:val="center"/>
          </w:tcPr>
          <w:p w14:paraId="73E3EC9E">
            <w:pPr>
              <w:jc w:val="center"/>
              <w:rPr>
                <w:rFonts w:ascii="宋体" w:hAnsi="宋体"/>
                <w:bCs/>
                <w:color w:val="auto"/>
                <w:sz w:val="24"/>
                <w:highlight w:val="none"/>
              </w:rPr>
            </w:pPr>
          </w:p>
        </w:tc>
      </w:tr>
      <w:tr w14:paraId="6792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631" w:type="dxa"/>
            <w:vAlign w:val="center"/>
          </w:tcPr>
          <w:p w14:paraId="3219C802">
            <w:pPr>
              <w:jc w:val="center"/>
              <w:rPr>
                <w:rFonts w:ascii="宋体" w:hAnsi="宋体"/>
                <w:bCs/>
                <w:color w:val="auto"/>
                <w:sz w:val="24"/>
                <w:highlight w:val="none"/>
              </w:rPr>
            </w:pPr>
            <w:r>
              <w:rPr>
                <w:rFonts w:hint="eastAsia" w:ascii="宋体" w:hAnsi="宋体"/>
                <w:bCs/>
                <w:color w:val="auto"/>
                <w:sz w:val="24"/>
                <w:highlight w:val="none"/>
              </w:rPr>
              <w:t>2</w:t>
            </w:r>
          </w:p>
        </w:tc>
        <w:tc>
          <w:tcPr>
            <w:tcW w:w="2943" w:type="dxa"/>
            <w:vAlign w:val="center"/>
          </w:tcPr>
          <w:p w14:paraId="65593D17">
            <w:pPr>
              <w:jc w:val="center"/>
              <w:rPr>
                <w:rFonts w:ascii="宋体" w:hAnsi="宋体"/>
                <w:bCs/>
                <w:color w:val="auto"/>
                <w:sz w:val="24"/>
                <w:highlight w:val="none"/>
              </w:rPr>
            </w:pPr>
          </w:p>
        </w:tc>
        <w:tc>
          <w:tcPr>
            <w:tcW w:w="2565" w:type="dxa"/>
          </w:tcPr>
          <w:p w14:paraId="5B85752B">
            <w:pPr>
              <w:jc w:val="center"/>
              <w:rPr>
                <w:rFonts w:ascii="宋体" w:hAnsi="宋体"/>
                <w:bCs/>
                <w:color w:val="auto"/>
                <w:sz w:val="24"/>
                <w:highlight w:val="none"/>
              </w:rPr>
            </w:pPr>
          </w:p>
        </w:tc>
        <w:tc>
          <w:tcPr>
            <w:tcW w:w="1311" w:type="dxa"/>
          </w:tcPr>
          <w:p w14:paraId="77C3CABF">
            <w:pPr>
              <w:jc w:val="center"/>
              <w:rPr>
                <w:rFonts w:ascii="宋体" w:hAnsi="宋体"/>
                <w:bCs/>
                <w:color w:val="auto"/>
                <w:sz w:val="24"/>
                <w:highlight w:val="none"/>
              </w:rPr>
            </w:pPr>
          </w:p>
        </w:tc>
        <w:tc>
          <w:tcPr>
            <w:tcW w:w="1311" w:type="dxa"/>
            <w:vAlign w:val="center"/>
          </w:tcPr>
          <w:p w14:paraId="0F63B916">
            <w:pPr>
              <w:jc w:val="center"/>
              <w:rPr>
                <w:rFonts w:ascii="宋体" w:hAnsi="宋体"/>
                <w:bCs/>
                <w:color w:val="auto"/>
                <w:sz w:val="24"/>
                <w:highlight w:val="none"/>
              </w:rPr>
            </w:pPr>
          </w:p>
        </w:tc>
        <w:tc>
          <w:tcPr>
            <w:tcW w:w="1298" w:type="dxa"/>
            <w:vAlign w:val="center"/>
          </w:tcPr>
          <w:p w14:paraId="58E9761C">
            <w:pPr>
              <w:jc w:val="center"/>
              <w:rPr>
                <w:rFonts w:ascii="宋体" w:hAnsi="宋体"/>
                <w:bCs/>
                <w:color w:val="auto"/>
                <w:sz w:val="24"/>
                <w:highlight w:val="none"/>
              </w:rPr>
            </w:pPr>
          </w:p>
        </w:tc>
      </w:tr>
      <w:tr w14:paraId="7115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1" w:type="dxa"/>
            <w:vAlign w:val="center"/>
          </w:tcPr>
          <w:p w14:paraId="0EB41573">
            <w:pPr>
              <w:jc w:val="center"/>
              <w:rPr>
                <w:rFonts w:ascii="宋体" w:hAnsi="宋体"/>
                <w:bCs/>
                <w:color w:val="auto"/>
                <w:sz w:val="24"/>
                <w:highlight w:val="none"/>
              </w:rPr>
            </w:pPr>
            <w:r>
              <w:rPr>
                <w:rFonts w:hint="eastAsia" w:ascii="宋体" w:hAnsi="宋体"/>
                <w:bCs/>
                <w:color w:val="auto"/>
                <w:sz w:val="24"/>
                <w:highlight w:val="none"/>
              </w:rPr>
              <w:t>3</w:t>
            </w:r>
          </w:p>
        </w:tc>
        <w:tc>
          <w:tcPr>
            <w:tcW w:w="2943" w:type="dxa"/>
            <w:vAlign w:val="center"/>
          </w:tcPr>
          <w:p w14:paraId="5DD46808">
            <w:pPr>
              <w:jc w:val="center"/>
              <w:rPr>
                <w:rFonts w:ascii="宋体" w:hAnsi="宋体"/>
                <w:bCs/>
                <w:color w:val="auto"/>
                <w:sz w:val="24"/>
                <w:highlight w:val="none"/>
              </w:rPr>
            </w:pPr>
          </w:p>
        </w:tc>
        <w:tc>
          <w:tcPr>
            <w:tcW w:w="2565" w:type="dxa"/>
          </w:tcPr>
          <w:p w14:paraId="0BC7055A">
            <w:pPr>
              <w:jc w:val="center"/>
              <w:rPr>
                <w:rFonts w:ascii="宋体" w:hAnsi="宋体"/>
                <w:bCs/>
                <w:color w:val="auto"/>
                <w:sz w:val="24"/>
                <w:highlight w:val="none"/>
              </w:rPr>
            </w:pPr>
          </w:p>
        </w:tc>
        <w:tc>
          <w:tcPr>
            <w:tcW w:w="1311" w:type="dxa"/>
          </w:tcPr>
          <w:p w14:paraId="1830BF2C">
            <w:pPr>
              <w:jc w:val="center"/>
              <w:rPr>
                <w:rFonts w:ascii="宋体" w:hAnsi="宋体"/>
                <w:bCs/>
                <w:color w:val="auto"/>
                <w:sz w:val="24"/>
                <w:highlight w:val="none"/>
              </w:rPr>
            </w:pPr>
          </w:p>
        </w:tc>
        <w:tc>
          <w:tcPr>
            <w:tcW w:w="1311" w:type="dxa"/>
            <w:vAlign w:val="center"/>
          </w:tcPr>
          <w:p w14:paraId="48FF9254">
            <w:pPr>
              <w:jc w:val="center"/>
              <w:rPr>
                <w:rFonts w:ascii="宋体" w:hAnsi="宋体"/>
                <w:bCs/>
                <w:color w:val="auto"/>
                <w:sz w:val="24"/>
                <w:highlight w:val="none"/>
              </w:rPr>
            </w:pPr>
          </w:p>
        </w:tc>
        <w:tc>
          <w:tcPr>
            <w:tcW w:w="1298" w:type="dxa"/>
            <w:vAlign w:val="center"/>
          </w:tcPr>
          <w:p w14:paraId="301E3585">
            <w:pPr>
              <w:jc w:val="center"/>
              <w:rPr>
                <w:rFonts w:ascii="宋体" w:hAnsi="宋体"/>
                <w:bCs/>
                <w:color w:val="auto"/>
                <w:sz w:val="24"/>
                <w:highlight w:val="none"/>
              </w:rPr>
            </w:pPr>
          </w:p>
        </w:tc>
      </w:tr>
      <w:tr w14:paraId="5233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1" w:type="dxa"/>
            <w:vAlign w:val="center"/>
          </w:tcPr>
          <w:p w14:paraId="0561167E">
            <w:pPr>
              <w:jc w:val="center"/>
              <w:rPr>
                <w:rFonts w:ascii="宋体" w:hAnsi="宋体"/>
                <w:bCs/>
                <w:color w:val="auto"/>
                <w:sz w:val="24"/>
                <w:highlight w:val="none"/>
              </w:rPr>
            </w:pPr>
            <w:r>
              <w:rPr>
                <w:rFonts w:hint="eastAsia" w:ascii="宋体" w:hAnsi="宋体"/>
                <w:bCs/>
                <w:color w:val="auto"/>
                <w:sz w:val="24"/>
                <w:highlight w:val="none"/>
              </w:rPr>
              <w:t>4</w:t>
            </w:r>
          </w:p>
        </w:tc>
        <w:tc>
          <w:tcPr>
            <w:tcW w:w="2943" w:type="dxa"/>
            <w:vAlign w:val="center"/>
          </w:tcPr>
          <w:p w14:paraId="389949E7">
            <w:pPr>
              <w:jc w:val="center"/>
              <w:rPr>
                <w:rFonts w:ascii="宋体" w:hAnsi="宋体"/>
                <w:bCs/>
                <w:color w:val="auto"/>
                <w:sz w:val="24"/>
                <w:highlight w:val="none"/>
              </w:rPr>
            </w:pPr>
          </w:p>
        </w:tc>
        <w:tc>
          <w:tcPr>
            <w:tcW w:w="2565" w:type="dxa"/>
          </w:tcPr>
          <w:p w14:paraId="197DDA3C">
            <w:pPr>
              <w:jc w:val="center"/>
              <w:rPr>
                <w:rFonts w:ascii="宋体" w:hAnsi="宋体"/>
                <w:bCs/>
                <w:color w:val="auto"/>
                <w:sz w:val="24"/>
                <w:highlight w:val="none"/>
              </w:rPr>
            </w:pPr>
          </w:p>
        </w:tc>
        <w:tc>
          <w:tcPr>
            <w:tcW w:w="1311" w:type="dxa"/>
          </w:tcPr>
          <w:p w14:paraId="0DFA76EE">
            <w:pPr>
              <w:jc w:val="center"/>
              <w:rPr>
                <w:rFonts w:ascii="宋体" w:hAnsi="宋体"/>
                <w:bCs/>
                <w:color w:val="auto"/>
                <w:sz w:val="24"/>
                <w:highlight w:val="none"/>
              </w:rPr>
            </w:pPr>
          </w:p>
        </w:tc>
        <w:tc>
          <w:tcPr>
            <w:tcW w:w="1311" w:type="dxa"/>
            <w:vAlign w:val="center"/>
          </w:tcPr>
          <w:p w14:paraId="0B907CDD">
            <w:pPr>
              <w:jc w:val="center"/>
              <w:rPr>
                <w:rFonts w:ascii="宋体" w:hAnsi="宋体"/>
                <w:bCs/>
                <w:color w:val="auto"/>
                <w:sz w:val="24"/>
                <w:highlight w:val="none"/>
              </w:rPr>
            </w:pPr>
          </w:p>
        </w:tc>
        <w:tc>
          <w:tcPr>
            <w:tcW w:w="1298" w:type="dxa"/>
            <w:vAlign w:val="center"/>
          </w:tcPr>
          <w:p w14:paraId="01FFF504">
            <w:pPr>
              <w:jc w:val="center"/>
              <w:rPr>
                <w:rFonts w:ascii="宋体" w:hAnsi="宋体"/>
                <w:bCs/>
                <w:color w:val="auto"/>
                <w:sz w:val="24"/>
                <w:highlight w:val="none"/>
              </w:rPr>
            </w:pPr>
          </w:p>
        </w:tc>
      </w:tr>
      <w:tr w14:paraId="0778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1" w:type="dxa"/>
            <w:vAlign w:val="center"/>
          </w:tcPr>
          <w:p w14:paraId="39BCBD4A">
            <w:pPr>
              <w:jc w:val="center"/>
              <w:rPr>
                <w:rFonts w:ascii="宋体" w:hAnsi="宋体"/>
                <w:bCs/>
                <w:color w:val="auto"/>
                <w:sz w:val="24"/>
                <w:highlight w:val="none"/>
              </w:rPr>
            </w:pPr>
            <w:r>
              <w:rPr>
                <w:rFonts w:hint="eastAsia" w:ascii="宋体" w:hAnsi="宋体"/>
                <w:bCs/>
                <w:color w:val="auto"/>
                <w:sz w:val="24"/>
                <w:highlight w:val="none"/>
              </w:rPr>
              <w:t>5</w:t>
            </w:r>
          </w:p>
        </w:tc>
        <w:tc>
          <w:tcPr>
            <w:tcW w:w="2943" w:type="dxa"/>
            <w:vAlign w:val="center"/>
          </w:tcPr>
          <w:p w14:paraId="51B4A74E">
            <w:pPr>
              <w:jc w:val="center"/>
              <w:rPr>
                <w:rFonts w:ascii="宋体" w:hAnsi="宋体"/>
                <w:bCs/>
                <w:color w:val="auto"/>
                <w:sz w:val="24"/>
                <w:highlight w:val="none"/>
              </w:rPr>
            </w:pPr>
          </w:p>
        </w:tc>
        <w:tc>
          <w:tcPr>
            <w:tcW w:w="2565" w:type="dxa"/>
          </w:tcPr>
          <w:p w14:paraId="3F8AB8D1">
            <w:pPr>
              <w:jc w:val="center"/>
              <w:rPr>
                <w:rFonts w:ascii="宋体" w:hAnsi="宋体"/>
                <w:bCs/>
                <w:color w:val="auto"/>
                <w:sz w:val="24"/>
                <w:highlight w:val="none"/>
              </w:rPr>
            </w:pPr>
          </w:p>
        </w:tc>
        <w:tc>
          <w:tcPr>
            <w:tcW w:w="1311" w:type="dxa"/>
          </w:tcPr>
          <w:p w14:paraId="2B51770D">
            <w:pPr>
              <w:jc w:val="center"/>
              <w:rPr>
                <w:rFonts w:ascii="宋体" w:hAnsi="宋体"/>
                <w:bCs/>
                <w:color w:val="auto"/>
                <w:sz w:val="24"/>
                <w:highlight w:val="none"/>
              </w:rPr>
            </w:pPr>
          </w:p>
        </w:tc>
        <w:tc>
          <w:tcPr>
            <w:tcW w:w="1311" w:type="dxa"/>
            <w:vAlign w:val="center"/>
          </w:tcPr>
          <w:p w14:paraId="5A94C7A2">
            <w:pPr>
              <w:jc w:val="center"/>
              <w:rPr>
                <w:rFonts w:ascii="宋体" w:hAnsi="宋体"/>
                <w:bCs/>
                <w:color w:val="auto"/>
                <w:sz w:val="24"/>
                <w:highlight w:val="none"/>
              </w:rPr>
            </w:pPr>
          </w:p>
        </w:tc>
        <w:tc>
          <w:tcPr>
            <w:tcW w:w="1298" w:type="dxa"/>
            <w:vAlign w:val="center"/>
          </w:tcPr>
          <w:p w14:paraId="3DC2F405">
            <w:pPr>
              <w:jc w:val="center"/>
              <w:rPr>
                <w:rFonts w:ascii="宋体" w:hAnsi="宋体"/>
                <w:bCs/>
                <w:color w:val="auto"/>
                <w:sz w:val="24"/>
                <w:highlight w:val="none"/>
              </w:rPr>
            </w:pPr>
          </w:p>
        </w:tc>
      </w:tr>
      <w:tr w14:paraId="6222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31" w:type="dxa"/>
            <w:vAlign w:val="center"/>
          </w:tcPr>
          <w:p w14:paraId="68C0941A">
            <w:pPr>
              <w:jc w:val="center"/>
              <w:rPr>
                <w:rFonts w:ascii="宋体" w:hAnsi="宋体"/>
                <w:color w:val="auto"/>
                <w:sz w:val="24"/>
                <w:highlight w:val="none"/>
              </w:rPr>
            </w:pPr>
            <w:r>
              <w:rPr>
                <w:rFonts w:hint="eastAsia" w:ascii="宋体" w:hAnsi="宋体"/>
                <w:color w:val="auto"/>
                <w:sz w:val="24"/>
                <w:highlight w:val="none"/>
              </w:rPr>
              <w:t>6</w:t>
            </w:r>
          </w:p>
        </w:tc>
        <w:tc>
          <w:tcPr>
            <w:tcW w:w="2943" w:type="dxa"/>
            <w:vAlign w:val="center"/>
          </w:tcPr>
          <w:p w14:paraId="4D78E297">
            <w:pPr>
              <w:jc w:val="center"/>
              <w:rPr>
                <w:rFonts w:ascii="宋体" w:hAnsi="宋体"/>
                <w:color w:val="auto"/>
                <w:sz w:val="24"/>
                <w:highlight w:val="none"/>
              </w:rPr>
            </w:pPr>
          </w:p>
        </w:tc>
        <w:tc>
          <w:tcPr>
            <w:tcW w:w="2565" w:type="dxa"/>
          </w:tcPr>
          <w:p w14:paraId="4000CE67">
            <w:pPr>
              <w:jc w:val="center"/>
              <w:rPr>
                <w:rFonts w:ascii="宋体" w:hAnsi="宋体"/>
                <w:color w:val="auto"/>
                <w:sz w:val="24"/>
                <w:highlight w:val="none"/>
              </w:rPr>
            </w:pPr>
          </w:p>
        </w:tc>
        <w:tc>
          <w:tcPr>
            <w:tcW w:w="1311" w:type="dxa"/>
          </w:tcPr>
          <w:p w14:paraId="6EBFA3F6">
            <w:pPr>
              <w:jc w:val="center"/>
              <w:rPr>
                <w:rFonts w:ascii="宋体" w:hAnsi="宋体"/>
                <w:color w:val="auto"/>
                <w:sz w:val="24"/>
                <w:highlight w:val="none"/>
              </w:rPr>
            </w:pPr>
          </w:p>
        </w:tc>
        <w:tc>
          <w:tcPr>
            <w:tcW w:w="1311" w:type="dxa"/>
            <w:vAlign w:val="center"/>
          </w:tcPr>
          <w:p w14:paraId="32C7EE2B">
            <w:pPr>
              <w:jc w:val="center"/>
              <w:rPr>
                <w:rFonts w:ascii="宋体" w:hAnsi="宋体"/>
                <w:color w:val="auto"/>
                <w:sz w:val="24"/>
                <w:highlight w:val="none"/>
              </w:rPr>
            </w:pPr>
          </w:p>
        </w:tc>
        <w:tc>
          <w:tcPr>
            <w:tcW w:w="1298" w:type="dxa"/>
            <w:vAlign w:val="center"/>
          </w:tcPr>
          <w:p w14:paraId="26A1C86D">
            <w:pPr>
              <w:jc w:val="center"/>
              <w:rPr>
                <w:rFonts w:ascii="宋体" w:hAnsi="宋体"/>
                <w:color w:val="auto"/>
                <w:sz w:val="24"/>
                <w:highlight w:val="none"/>
              </w:rPr>
            </w:pPr>
          </w:p>
        </w:tc>
      </w:tr>
      <w:tr w14:paraId="5676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1" w:type="dxa"/>
            <w:vAlign w:val="center"/>
          </w:tcPr>
          <w:p w14:paraId="33D380E1">
            <w:pPr>
              <w:jc w:val="center"/>
              <w:rPr>
                <w:rFonts w:ascii="宋体" w:hAnsi="宋体"/>
                <w:color w:val="auto"/>
                <w:sz w:val="24"/>
                <w:highlight w:val="none"/>
              </w:rPr>
            </w:pPr>
            <w:r>
              <w:rPr>
                <w:rFonts w:hint="eastAsia" w:ascii="宋体" w:hAnsi="宋体"/>
                <w:color w:val="auto"/>
                <w:sz w:val="24"/>
                <w:highlight w:val="none"/>
              </w:rPr>
              <w:t>…</w:t>
            </w:r>
          </w:p>
        </w:tc>
        <w:tc>
          <w:tcPr>
            <w:tcW w:w="2943" w:type="dxa"/>
            <w:vAlign w:val="center"/>
          </w:tcPr>
          <w:p w14:paraId="5AE9B2BC">
            <w:pPr>
              <w:jc w:val="center"/>
              <w:rPr>
                <w:rFonts w:ascii="宋体" w:hAnsi="宋体"/>
                <w:color w:val="auto"/>
                <w:sz w:val="24"/>
                <w:highlight w:val="none"/>
              </w:rPr>
            </w:pPr>
          </w:p>
        </w:tc>
        <w:tc>
          <w:tcPr>
            <w:tcW w:w="2565" w:type="dxa"/>
          </w:tcPr>
          <w:p w14:paraId="77977256">
            <w:pPr>
              <w:jc w:val="center"/>
              <w:rPr>
                <w:rFonts w:ascii="宋体" w:hAnsi="宋体"/>
                <w:color w:val="auto"/>
                <w:sz w:val="24"/>
                <w:highlight w:val="none"/>
              </w:rPr>
            </w:pPr>
          </w:p>
        </w:tc>
        <w:tc>
          <w:tcPr>
            <w:tcW w:w="1311" w:type="dxa"/>
          </w:tcPr>
          <w:p w14:paraId="72152C28">
            <w:pPr>
              <w:jc w:val="center"/>
              <w:rPr>
                <w:rFonts w:ascii="宋体" w:hAnsi="宋体"/>
                <w:color w:val="auto"/>
                <w:sz w:val="24"/>
                <w:highlight w:val="none"/>
              </w:rPr>
            </w:pPr>
          </w:p>
        </w:tc>
        <w:tc>
          <w:tcPr>
            <w:tcW w:w="1311" w:type="dxa"/>
            <w:vAlign w:val="center"/>
          </w:tcPr>
          <w:p w14:paraId="3F7F7BEC">
            <w:pPr>
              <w:jc w:val="center"/>
              <w:rPr>
                <w:rFonts w:ascii="宋体" w:hAnsi="宋体"/>
                <w:color w:val="auto"/>
                <w:sz w:val="24"/>
                <w:highlight w:val="none"/>
              </w:rPr>
            </w:pPr>
          </w:p>
        </w:tc>
        <w:tc>
          <w:tcPr>
            <w:tcW w:w="1298" w:type="dxa"/>
            <w:vAlign w:val="center"/>
          </w:tcPr>
          <w:p w14:paraId="2592C0E7">
            <w:pPr>
              <w:jc w:val="center"/>
              <w:rPr>
                <w:rFonts w:ascii="宋体" w:hAnsi="宋体"/>
                <w:color w:val="auto"/>
                <w:sz w:val="24"/>
                <w:highlight w:val="none"/>
              </w:rPr>
            </w:pPr>
          </w:p>
        </w:tc>
      </w:tr>
    </w:tbl>
    <w:p w14:paraId="0EAEE6E7">
      <w:pPr>
        <w:pStyle w:val="969"/>
        <w:spacing w:line="360" w:lineRule="auto"/>
        <w:rPr>
          <w:rFonts w:hAnsi="宋体" w:eastAsia="宋体"/>
          <w:b/>
          <w:color w:val="auto"/>
          <w:sz w:val="24"/>
          <w:szCs w:val="24"/>
          <w:highlight w:val="none"/>
        </w:rPr>
      </w:pPr>
      <w:r>
        <w:rPr>
          <w:rFonts w:hint="eastAsia" w:hAnsi="宋体" w:eastAsia="宋体"/>
          <w:b/>
          <w:color w:val="auto"/>
          <w:sz w:val="24"/>
          <w:szCs w:val="24"/>
          <w:highlight w:val="none"/>
        </w:rPr>
        <w:t>注：投标人同类项目业绩得分以本表为准，后附相关证明材料，所需的证明材料要求详见评标办法。</w:t>
      </w:r>
    </w:p>
    <w:p w14:paraId="75217703">
      <w:pPr>
        <w:pStyle w:val="969"/>
        <w:spacing w:line="360" w:lineRule="auto"/>
        <w:rPr>
          <w:rFonts w:hAnsi="宋体" w:eastAsia="宋体"/>
          <w:b/>
          <w:color w:val="auto"/>
          <w:sz w:val="24"/>
          <w:szCs w:val="24"/>
          <w:highlight w:val="none"/>
        </w:rPr>
      </w:pPr>
    </w:p>
    <w:p w14:paraId="015D2C41">
      <w:pPr>
        <w:snapToGrid w:val="0"/>
        <w:spacing w:beforeLines="50" w:line="400" w:lineRule="exact"/>
        <w:rPr>
          <w:rFonts w:ascii="宋体" w:hAnsi="宋体" w:cs="宋体"/>
          <w:color w:val="auto"/>
          <w:sz w:val="24"/>
          <w:highlight w:val="none"/>
          <w:u w:val="single"/>
        </w:rPr>
      </w:pPr>
      <w:r>
        <w:rPr>
          <w:rFonts w:hint="eastAsia" w:ascii="宋体" w:hAnsi="宋体" w:cs="宋体"/>
          <w:color w:val="auto"/>
          <w:sz w:val="24"/>
          <w:highlight w:val="none"/>
        </w:rPr>
        <w:t>法定代表人或被授权人签字（或盖章）：</w:t>
      </w:r>
    </w:p>
    <w:p w14:paraId="741B88C9">
      <w:pPr>
        <w:snapToGrid w:val="0"/>
        <w:spacing w:beforeLines="50" w:after="50" w:line="400" w:lineRule="exact"/>
        <w:rPr>
          <w:rFonts w:ascii="宋体" w:hAnsi="宋体" w:cs="宋体"/>
          <w:color w:val="auto"/>
          <w:sz w:val="24"/>
          <w:highlight w:val="none"/>
        </w:rPr>
      </w:pPr>
      <w:r>
        <w:rPr>
          <w:rFonts w:hint="eastAsia" w:ascii="宋体" w:hAnsi="宋体" w:cs="宋体"/>
          <w:color w:val="auto"/>
          <w:sz w:val="24"/>
          <w:highlight w:val="none"/>
        </w:rPr>
        <w:t>投标人名称（加盖公章）：</w:t>
      </w:r>
    </w:p>
    <w:p w14:paraId="1C38AF06">
      <w:pPr>
        <w:spacing w:line="480" w:lineRule="exact"/>
        <w:rPr>
          <w:rFonts w:ascii="宋体" w:hAnsi="宋体"/>
          <w:b/>
          <w:color w:val="auto"/>
          <w:sz w:val="22"/>
          <w:szCs w:val="22"/>
          <w:highlight w:val="none"/>
        </w:rPr>
      </w:pPr>
      <w:r>
        <w:rPr>
          <w:rFonts w:hint="eastAsia" w:ascii="宋体" w:hAnsi="宋体" w:cs="宋体"/>
          <w:color w:val="auto"/>
          <w:sz w:val="24"/>
          <w:highlight w:val="none"/>
        </w:rPr>
        <w:t>日期：年月日</w:t>
      </w:r>
    </w:p>
    <w:p w14:paraId="477342C3">
      <w:pPr>
        <w:spacing w:line="360" w:lineRule="auto"/>
        <w:rPr>
          <w:rFonts w:ascii="宋体" w:hAnsi="宋体" w:cs="宋体"/>
          <w:color w:val="auto"/>
          <w:sz w:val="24"/>
          <w:highlight w:val="none"/>
        </w:rPr>
      </w:pPr>
    </w:p>
    <w:p w14:paraId="583320E1">
      <w:pPr>
        <w:pStyle w:val="3"/>
        <w:rPr>
          <w:rFonts w:ascii="宋体" w:hAnsi="宋体" w:cs="宋体"/>
          <w:color w:val="auto"/>
          <w:sz w:val="24"/>
          <w:highlight w:val="none"/>
        </w:rPr>
      </w:pPr>
    </w:p>
    <w:p w14:paraId="7DEDF27C">
      <w:pPr>
        <w:rPr>
          <w:color w:val="auto"/>
          <w:highlight w:val="none"/>
        </w:rPr>
      </w:pPr>
    </w:p>
    <w:p w14:paraId="0C37DDB3">
      <w:pPr>
        <w:pStyle w:val="87"/>
        <w:ind w:left="420" w:firstLine="480"/>
        <w:rPr>
          <w:color w:val="auto"/>
          <w:highlight w:val="none"/>
        </w:rPr>
      </w:pPr>
    </w:p>
    <w:p w14:paraId="47B93924">
      <w:pPr>
        <w:pStyle w:val="969"/>
        <w:spacing w:line="360" w:lineRule="auto"/>
        <w:jc w:val="center"/>
        <w:rPr>
          <w:rFonts w:hAnsi="宋体" w:eastAsia="宋体"/>
          <w:b/>
          <w:color w:val="auto"/>
          <w:sz w:val="28"/>
          <w:szCs w:val="28"/>
          <w:highlight w:val="none"/>
        </w:rPr>
      </w:pPr>
    </w:p>
    <w:p w14:paraId="6AED9114">
      <w:pPr>
        <w:pStyle w:val="35"/>
        <w:spacing w:before="120" w:after="120" w:line="360" w:lineRule="auto"/>
        <w:jc w:val="center"/>
        <w:textAlignment w:val="baseline"/>
        <w:rPr>
          <w:rFonts w:hAnsi="宋体"/>
          <w:b/>
          <w:color w:val="auto"/>
          <w:sz w:val="28"/>
          <w:szCs w:val="28"/>
          <w:highlight w:val="none"/>
        </w:rPr>
      </w:pPr>
    </w:p>
    <w:p w14:paraId="5D8B857D">
      <w:pPr>
        <w:pStyle w:val="35"/>
        <w:spacing w:before="120" w:after="120" w:line="360" w:lineRule="auto"/>
        <w:textAlignment w:val="baseline"/>
        <w:rPr>
          <w:rFonts w:hAnsi="宋体"/>
          <w:b/>
          <w:color w:val="auto"/>
          <w:sz w:val="28"/>
          <w:szCs w:val="28"/>
          <w:highlight w:val="none"/>
        </w:rPr>
      </w:pPr>
    </w:p>
    <w:p w14:paraId="122DF115">
      <w:pPr>
        <w:pStyle w:val="35"/>
        <w:spacing w:before="120" w:after="120" w:line="360" w:lineRule="auto"/>
        <w:jc w:val="center"/>
        <w:textAlignment w:val="baseline"/>
        <w:rPr>
          <w:rFonts w:hAnsi="宋体"/>
          <w:color w:val="auto"/>
          <w:sz w:val="28"/>
          <w:szCs w:val="28"/>
          <w:highlight w:val="none"/>
        </w:rPr>
      </w:pPr>
      <w:r>
        <w:rPr>
          <w:rFonts w:hint="eastAsia" w:hAnsi="宋体"/>
          <w:b/>
          <w:color w:val="auto"/>
          <w:sz w:val="28"/>
          <w:szCs w:val="28"/>
          <w:highlight w:val="none"/>
        </w:rPr>
        <w:t>项目实施人员表</w:t>
      </w:r>
    </w:p>
    <w:tbl>
      <w:tblPr>
        <w:tblStyle w:val="6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7"/>
        <w:gridCol w:w="1016"/>
        <w:gridCol w:w="1625"/>
        <w:gridCol w:w="1800"/>
        <w:gridCol w:w="1787"/>
        <w:gridCol w:w="2325"/>
      </w:tblGrid>
      <w:tr w14:paraId="644238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747" w:type="dxa"/>
            <w:tcBorders>
              <w:top w:val="single" w:color="auto" w:sz="4" w:space="0"/>
              <w:left w:val="single" w:color="auto" w:sz="4" w:space="0"/>
              <w:bottom w:val="single" w:color="auto" w:sz="4" w:space="0"/>
              <w:right w:val="single" w:color="auto" w:sz="4" w:space="0"/>
            </w:tcBorders>
            <w:vAlign w:val="center"/>
          </w:tcPr>
          <w:p w14:paraId="027D2469">
            <w:pPr>
              <w:pStyle w:val="41"/>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016" w:type="dxa"/>
            <w:tcBorders>
              <w:top w:val="single" w:color="auto" w:sz="4" w:space="0"/>
              <w:left w:val="single" w:color="auto" w:sz="4" w:space="0"/>
              <w:bottom w:val="single" w:color="auto" w:sz="4" w:space="0"/>
              <w:right w:val="single" w:color="auto" w:sz="4" w:space="0"/>
            </w:tcBorders>
            <w:vAlign w:val="center"/>
          </w:tcPr>
          <w:p w14:paraId="48DF3E37">
            <w:pPr>
              <w:pStyle w:val="41"/>
              <w:jc w:val="center"/>
              <w:rPr>
                <w:rFonts w:ascii="宋体" w:hAnsi="宋体"/>
                <w:color w:val="auto"/>
                <w:sz w:val="24"/>
                <w:szCs w:val="24"/>
                <w:highlight w:val="none"/>
              </w:rPr>
            </w:pPr>
            <w:r>
              <w:rPr>
                <w:rFonts w:hint="eastAsia" w:ascii="宋体" w:hAnsi="宋体"/>
                <w:color w:val="auto"/>
                <w:sz w:val="24"/>
                <w:szCs w:val="24"/>
                <w:highlight w:val="none"/>
              </w:rPr>
              <w:t>姓名</w:t>
            </w:r>
          </w:p>
        </w:tc>
        <w:tc>
          <w:tcPr>
            <w:tcW w:w="1625" w:type="dxa"/>
            <w:tcBorders>
              <w:top w:val="single" w:color="auto" w:sz="4" w:space="0"/>
              <w:left w:val="single" w:color="auto" w:sz="4" w:space="0"/>
              <w:bottom w:val="single" w:color="auto" w:sz="4" w:space="0"/>
              <w:right w:val="single" w:color="auto" w:sz="4" w:space="0"/>
            </w:tcBorders>
            <w:vAlign w:val="center"/>
          </w:tcPr>
          <w:p w14:paraId="795855D6">
            <w:pPr>
              <w:pStyle w:val="41"/>
              <w:jc w:val="center"/>
              <w:rPr>
                <w:rFonts w:ascii="宋体" w:hAnsi="宋体"/>
                <w:color w:val="auto"/>
                <w:sz w:val="24"/>
                <w:szCs w:val="24"/>
                <w:highlight w:val="none"/>
              </w:rPr>
            </w:pPr>
            <w:r>
              <w:rPr>
                <w:rFonts w:hint="eastAsia" w:ascii="宋体" w:hAnsi="宋体"/>
                <w:color w:val="auto"/>
                <w:sz w:val="24"/>
                <w:szCs w:val="24"/>
                <w:highlight w:val="none"/>
              </w:rPr>
              <w:t>年龄</w:t>
            </w:r>
          </w:p>
        </w:tc>
        <w:tc>
          <w:tcPr>
            <w:tcW w:w="1800" w:type="dxa"/>
            <w:tcBorders>
              <w:top w:val="single" w:color="auto" w:sz="4" w:space="0"/>
              <w:left w:val="single" w:color="auto" w:sz="4" w:space="0"/>
              <w:bottom w:val="single" w:color="auto" w:sz="4" w:space="0"/>
              <w:right w:val="single" w:color="auto" w:sz="4" w:space="0"/>
            </w:tcBorders>
            <w:vAlign w:val="center"/>
          </w:tcPr>
          <w:p w14:paraId="49EADEFA">
            <w:pPr>
              <w:pStyle w:val="41"/>
              <w:jc w:val="center"/>
              <w:rPr>
                <w:rFonts w:ascii="宋体" w:hAnsi="宋体"/>
                <w:color w:val="auto"/>
                <w:sz w:val="24"/>
                <w:szCs w:val="24"/>
                <w:highlight w:val="none"/>
              </w:rPr>
            </w:pPr>
            <w:r>
              <w:rPr>
                <w:rFonts w:hint="eastAsia" w:ascii="宋体" w:hAnsi="宋体"/>
                <w:color w:val="auto"/>
                <w:sz w:val="24"/>
                <w:szCs w:val="24"/>
                <w:highlight w:val="none"/>
              </w:rPr>
              <w:t>学历及专业</w:t>
            </w:r>
          </w:p>
        </w:tc>
        <w:tc>
          <w:tcPr>
            <w:tcW w:w="1787" w:type="dxa"/>
            <w:tcBorders>
              <w:top w:val="single" w:color="auto" w:sz="4" w:space="0"/>
              <w:left w:val="single" w:color="auto" w:sz="4" w:space="0"/>
              <w:bottom w:val="single" w:color="auto" w:sz="4" w:space="0"/>
              <w:right w:val="single" w:color="auto" w:sz="4" w:space="0"/>
            </w:tcBorders>
            <w:vAlign w:val="center"/>
          </w:tcPr>
          <w:p w14:paraId="18F1A625">
            <w:pPr>
              <w:pStyle w:val="41"/>
              <w:jc w:val="center"/>
              <w:rPr>
                <w:rFonts w:ascii="宋体" w:hAnsi="宋体"/>
                <w:color w:val="auto"/>
                <w:sz w:val="24"/>
                <w:szCs w:val="24"/>
                <w:highlight w:val="none"/>
              </w:rPr>
            </w:pPr>
            <w:r>
              <w:rPr>
                <w:rFonts w:hint="eastAsia" w:ascii="宋体" w:hAnsi="宋体"/>
                <w:color w:val="auto"/>
                <w:sz w:val="24"/>
                <w:szCs w:val="24"/>
                <w:highlight w:val="none"/>
              </w:rPr>
              <w:t>证书</w:t>
            </w:r>
          </w:p>
        </w:tc>
        <w:tc>
          <w:tcPr>
            <w:tcW w:w="2325" w:type="dxa"/>
            <w:tcBorders>
              <w:top w:val="single" w:color="auto" w:sz="4" w:space="0"/>
              <w:left w:val="single" w:color="auto" w:sz="4" w:space="0"/>
              <w:bottom w:val="single" w:color="auto" w:sz="4" w:space="0"/>
              <w:right w:val="single" w:color="auto" w:sz="4" w:space="0"/>
            </w:tcBorders>
            <w:vAlign w:val="center"/>
          </w:tcPr>
          <w:p w14:paraId="100225C0">
            <w:pPr>
              <w:pStyle w:val="41"/>
              <w:jc w:val="center"/>
              <w:rPr>
                <w:rFonts w:ascii="宋体" w:hAnsi="宋体"/>
                <w:color w:val="auto"/>
                <w:sz w:val="24"/>
                <w:szCs w:val="24"/>
                <w:highlight w:val="none"/>
              </w:rPr>
            </w:pPr>
            <w:r>
              <w:rPr>
                <w:rFonts w:hint="eastAsia" w:ascii="宋体" w:hAnsi="宋体"/>
                <w:color w:val="auto"/>
                <w:sz w:val="24"/>
                <w:szCs w:val="24"/>
                <w:highlight w:val="none"/>
              </w:rPr>
              <w:t>项目组所任职务</w:t>
            </w:r>
          </w:p>
        </w:tc>
      </w:tr>
      <w:tr w14:paraId="4C158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0CD8F5AF">
            <w:pPr>
              <w:pStyle w:val="41"/>
              <w:jc w:val="center"/>
              <w:rPr>
                <w:rFonts w:ascii="宋体" w:hAnsi="宋体"/>
                <w:color w:val="auto"/>
                <w:sz w:val="24"/>
                <w:szCs w:val="24"/>
                <w:highlight w:val="none"/>
              </w:rPr>
            </w:pPr>
            <w:r>
              <w:rPr>
                <w:rFonts w:hint="eastAsia" w:ascii="宋体" w:hAnsi="宋体"/>
                <w:color w:val="auto"/>
                <w:sz w:val="24"/>
                <w:szCs w:val="24"/>
                <w:highlight w:val="none"/>
              </w:rPr>
              <w:t>1</w:t>
            </w:r>
          </w:p>
        </w:tc>
        <w:tc>
          <w:tcPr>
            <w:tcW w:w="1016" w:type="dxa"/>
            <w:tcBorders>
              <w:top w:val="single" w:color="auto" w:sz="4" w:space="0"/>
              <w:left w:val="single" w:color="auto" w:sz="4" w:space="0"/>
              <w:bottom w:val="single" w:color="auto" w:sz="4" w:space="0"/>
              <w:right w:val="single" w:color="auto" w:sz="4" w:space="0"/>
            </w:tcBorders>
            <w:vAlign w:val="center"/>
          </w:tcPr>
          <w:p w14:paraId="27AB9215">
            <w:pPr>
              <w:pStyle w:val="41"/>
              <w:jc w:val="center"/>
              <w:rPr>
                <w:rFonts w:ascii="宋体" w:hAnsi="宋体"/>
                <w:color w:val="auto"/>
                <w:sz w:val="24"/>
                <w:szCs w:val="24"/>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30A87527">
            <w:pPr>
              <w:pStyle w:val="41"/>
              <w:jc w:val="center"/>
              <w:rPr>
                <w:rFonts w:ascii="宋体" w:hAns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7E1E8706">
            <w:pPr>
              <w:pStyle w:val="41"/>
              <w:jc w:val="center"/>
              <w:rPr>
                <w:rFonts w:ascii="宋体" w:hAnsi="宋体"/>
                <w:color w:val="auto"/>
                <w:sz w:val="24"/>
                <w:szCs w:val="24"/>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2551C560">
            <w:pPr>
              <w:pStyle w:val="41"/>
              <w:jc w:val="center"/>
              <w:rPr>
                <w:rFonts w:ascii="宋体" w:hAnsi="宋体"/>
                <w:color w:val="auto"/>
                <w:sz w:val="24"/>
                <w:szCs w:val="24"/>
                <w:highlight w:val="none"/>
              </w:rPr>
            </w:pPr>
          </w:p>
        </w:tc>
        <w:tc>
          <w:tcPr>
            <w:tcW w:w="2325" w:type="dxa"/>
            <w:tcBorders>
              <w:top w:val="single" w:color="auto" w:sz="4" w:space="0"/>
              <w:left w:val="single" w:color="auto" w:sz="4" w:space="0"/>
              <w:bottom w:val="single" w:color="auto" w:sz="4" w:space="0"/>
              <w:right w:val="single" w:color="auto" w:sz="4" w:space="0"/>
            </w:tcBorders>
          </w:tcPr>
          <w:p w14:paraId="2C2F6FEA">
            <w:pPr>
              <w:pStyle w:val="41"/>
              <w:jc w:val="center"/>
              <w:rPr>
                <w:rFonts w:ascii="宋体" w:hAnsi="宋体"/>
                <w:color w:val="auto"/>
                <w:sz w:val="24"/>
                <w:szCs w:val="24"/>
                <w:highlight w:val="none"/>
              </w:rPr>
            </w:pPr>
          </w:p>
        </w:tc>
      </w:tr>
      <w:tr w14:paraId="31D0BE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7EE70FB7">
            <w:pPr>
              <w:pStyle w:val="41"/>
              <w:jc w:val="center"/>
              <w:rPr>
                <w:rFonts w:ascii="宋体" w:hAnsi="宋体"/>
                <w:color w:val="auto"/>
                <w:sz w:val="24"/>
                <w:szCs w:val="24"/>
                <w:highlight w:val="none"/>
              </w:rPr>
            </w:pPr>
            <w:r>
              <w:rPr>
                <w:rFonts w:hint="eastAsia" w:ascii="宋体" w:hAnsi="宋体"/>
                <w:color w:val="auto"/>
                <w:sz w:val="24"/>
                <w:szCs w:val="24"/>
                <w:highlight w:val="none"/>
              </w:rPr>
              <w:t>2</w:t>
            </w:r>
          </w:p>
        </w:tc>
        <w:tc>
          <w:tcPr>
            <w:tcW w:w="1016" w:type="dxa"/>
            <w:tcBorders>
              <w:top w:val="single" w:color="auto" w:sz="4" w:space="0"/>
              <w:left w:val="single" w:color="auto" w:sz="4" w:space="0"/>
              <w:bottom w:val="single" w:color="auto" w:sz="4" w:space="0"/>
              <w:right w:val="single" w:color="auto" w:sz="4" w:space="0"/>
            </w:tcBorders>
            <w:vAlign w:val="center"/>
          </w:tcPr>
          <w:p w14:paraId="2872687E">
            <w:pPr>
              <w:pStyle w:val="41"/>
              <w:jc w:val="center"/>
              <w:rPr>
                <w:rFonts w:ascii="宋体" w:hAnsi="宋体"/>
                <w:color w:val="auto"/>
                <w:sz w:val="24"/>
                <w:szCs w:val="24"/>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16E5116E">
            <w:pPr>
              <w:pStyle w:val="41"/>
              <w:jc w:val="center"/>
              <w:rPr>
                <w:rFonts w:ascii="宋体" w:hAns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23A4F056">
            <w:pPr>
              <w:pStyle w:val="41"/>
              <w:jc w:val="center"/>
              <w:rPr>
                <w:rFonts w:ascii="宋体" w:hAnsi="宋体"/>
                <w:color w:val="auto"/>
                <w:sz w:val="24"/>
                <w:szCs w:val="24"/>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7A95D838">
            <w:pPr>
              <w:pStyle w:val="41"/>
              <w:jc w:val="center"/>
              <w:rPr>
                <w:rFonts w:ascii="宋体" w:hAnsi="宋体"/>
                <w:color w:val="auto"/>
                <w:sz w:val="24"/>
                <w:szCs w:val="24"/>
                <w:highlight w:val="none"/>
              </w:rPr>
            </w:pPr>
          </w:p>
        </w:tc>
        <w:tc>
          <w:tcPr>
            <w:tcW w:w="2325" w:type="dxa"/>
            <w:tcBorders>
              <w:top w:val="single" w:color="auto" w:sz="4" w:space="0"/>
              <w:left w:val="single" w:color="auto" w:sz="4" w:space="0"/>
              <w:bottom w:val="single" w:color="auto" w:sz="4" w:space="0"/>
              <w:right w:val="single" w:color="auto" w:sz="4" w:space="0"/>
            </w:tcBorders>
          </w:tcPr>
          <w:p w14:paraId="7D23B7B7">
            <w:pPr>
              <w:pStyle w:val="41"/>
              <w:jc w:val="center"/>
              <w:rPr>
                <w:rFonts w:ascii="宋体" w:hAnsi="宋体"/>
                <w:color w:val="auto"/>
                <w:sz w:val="24"/>
                <w:szCs w:val="24"/>
                <w:highlight w:val="none"/>
              </w:rPr>
            </w:pPr>
          </w:p>
        </w:tc>
      </w:tr>
      <w:tr w14:paraId="41093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32AD66D8">
            <w:pPr>
              <w:pStyle w:val="41"/>
              <w:jc w:val="center"/>
              <w:rPr>
                <w:rFonts w:ascii="宋体" w:hAnsi="宋体"/>
                <w:color w:val="auto"/>
                <w:sz w:val="24"/>
                <w:szCs w:val="24"/>
                <w:highlight w:val="none"/>
              </w:rPr>
            </w:pPr>
            <w:r>
              <w:rPr>
                <w:rFonts w:hint="eastAsia" w:ascii="宋体" w:hAnsi="宋体"/>
                <w:color w:val="auto"/>
                <w:sz w:val="24"/>
                <w:szCs w:val="24"/>
                <w:highlight w:val="none"/>
              </w:rPr>
              <w:t>3</w:t>
            </w:r>
          </w:p>
        </w:tc>
        <w:tc>
          <w:tcPr>
            <w:tcW w:w="1016" w:type="dxa"/>
            <w:tcBorders>
              <w:top w:val="single" w:color="auto" w:sz="4" w:space="0"/>
              <w:left w:val="single" w:color="auto" w:sz="4" w:space="0"/>
              <w:bottom w:val="single" w:color="auto" w:sz="4" w:space="0"/>
              <w:right w:val="single" w:color="auto" w:sz="4" w:space="0"/>
            </w:tcBorders>
            <w:vAlign w:val="center"/>
          </w:tcPr>
          <w:p w14:paraId="049157E7">
            <w:pPr>
              <w:pStyle w:val="41"/>
              <w:jc w:val="center"/>
              <w:rPr>
                <w:rFonts w:ascii="宋体" w:hAnsi="宋体"/>
                <w:color w:val="auto"/>
                <w:sz w:val="24"/>
                <w:szCs w:val="24"/>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7D12FB94">
            <w:pPr>
              <w:pStyle w:val="41"/>
              <w:jc w:val="center"/>
              <w:rPr>
                <w:rFonts w:ascii="宋体" w:hAns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6B2520CC">
            <w:pPr>
              <w:pStyle w:val="41"/>
              <w:jc w:val="center"/>
              <w:rPr>
                <w:rFonts w:ascii="宋体" w:hAnsi="宋体"/>
                <w:color w:val="auto"/>
                <w:sz w:val="24"/>
                <w:szCs w:val="24"/>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57DFB4A8">
            <w:pPr>
              <w:pStyle w:val="41"/>
              <w:jc w:val="center"/>
              <w:rPr>
                <w:rFonts w:ascii="宋体" w:hAnsi="宋体"/>
                <w:color w:val="auto"/>
                <w:sz w:val="24"/>
                <w:szCs w:val="24"/>
                <w:highlight w:val="none"/>
              </w:rPr>
            </w:pPr>
          </w:p>
        </w:tc>
        <w:tc>
          <w:tcPr>
            <w:tcW w:w="2325" w:type="dxa"/>
            <w:tcBorders>
              <w:top w:val="single" w:color="auto" w:sz="4" w:space="0"/>
              <w:left w:val="single" w:color="auto" w:sz="4" w:space="0"/>
              <w:bottom w:val="single" w:color="auto" w:sz="4" w:space="0"/>
              <w:right w:val="single" w:color="auto" w:sz="4" w:space="0"/>
            </w:tcBorders>
          </w:tcPr>
          <w:p w14:paraId="319FEDD1">
            <w:pPr>
              <w:pStyle w:val="41"/>
              <w:jc w:val="center"/>
              <w:rPr>
                <w:rFonts w:ascii="宋体" w:hAnsi="宋体"/>
                <w:color w:val="auto"/>
                <w:sz w:val="24"/>
                <w:szCs w:val="24"/>
                <w:highlight w:val="none"/>
              </w:rPr>
            </w:pPr>
          </w:p>
        </w:tc>
      </w:tr>
      <w:tr w14:paraId="1010B9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63581008">
            <w:pPr>
              <w:pStyle w:val="41"/>
              <w:jc w:val="center"/>
              <w:rPr>
                <w:rFonts w:ascii="宋体" w:hAnsi="宋体"/>
                <w:color w:val="auto"/>
                <w:sz w:val="24"/>
                <w:szCs w:val="24"/>
                <w:highlight w:val="none"/>
              </w:rPr>
            </w:pPr>
            <w:r>
              <w:rPr>
                <w:rFonts w:hint="eastAsia" w:ascii="宋体" w:hAnsi="宋体"/>
                <w:color w:val="auto"/>
                <w:sz w:val="24"/>
                <w:szCs w:val="24"/>
                <w:highlight w:val="none"/>
              </w:rPr>
              <w:t>4</w:t>
            </w:r>
          </w:p>
        </w:tc>
        <w:tc>
          <w:tcPr>
            <w:tcW w:w="1016" w:type="dxa"/>
            <w:tcBorders>
              <w:top w:val="single" w:color="auto" w:sz="4" w:space="0"/>
              <w:left w:val="single" w:color="auto" w:sz="4" w:space="0"/>
              <w:bottom w:val="single" w:color="auto" w:sz="4" w:space="0"/>
              <w:right w:val="single" w:color="auto" w:sz="4" w:space="0"/>
            </w:tcBorders>
            <w:vAlign w:val="center"/>
          </w:tcPr>
          <w:p w14:paraId="4F6F57F1">
            <w:pPr>
              <w:pStyle w:val="41"/>
              <w:jc w:val="center"/>
              <w:rPr>
                <w:rFonts w:ascii="宋体" w:hAnsi="宋体"/>
                <w:color w:val="auto"/>
                <w:sz w:val="24"/>
                <w:szCs w:val="24"/>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222D2DC2">
            <w:pPr>
              <w:pStyle w:val="41"/>
              <w:jc w:val="center"/>
              <w:rPr>
                <w:rFonts w:ascii="宋体" w:hAns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62F624BB">
            <w:pPr>
              <w:pStyle w:val="41"/>
              <w:jc w:val="center"/>
              <w:rPr>
                <w:rFonts w:ascii="宋体" w:hAnsi="宋体"/>
                <w:color w:val="auto"/>
                <w:sz w:val="24"/>
                <w:szCs w:val="24"/>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068098B1">
            <w:pPr>
              <w:pStyle w:val="41"/>
              <w:jc w:val="center"/>
              <w:rPr>
                <w:rFonts w:ascii="宋体" w:hAnsi="宋体"/>
                <w:color w:val="auto"/>
                <w:sz w:val="24"/>
                <w:szCs w:val="24"/>
                <w:highlight w:val="none"/>
              </w:rPr>
            </w:pPr>
          </w:p>
        </w:tc>
        <w:tc>
          <w:tcPr>
            <w:tcW w:w="2325" w:type="dxa"/>
            <w:tcBorders>
              <w:top w:val="single" w:color="auto" w:sz="4" w:space="0"/>
              <w:left w:val="single" w:color="auto" w:sz="4" w:space="0"/>
              <w:bottom w:val="single" w:color="auto" w:sz="4" w:space="0"/>
              <w:right w:val="single" w:color="auto" w:sz="4" w:space="0"/>
            </w:tcBorders>
          </w:tcPr>
          <w:p w14:paraId="25128B83">
            <w:pPr>
              <w:pStyle w:val="41"/>
              <w:jc w:val="center"/>
              <w:rPr>
                <w:rFonts w:ascii="宋体" w:hAnsi="宋体"/>
                <w:color w:val="auto"/>
                <w:sz w:val="24"/>
                <w:szCs w:val="24"/>
                <w:highlight w:val="none"/>
              </w:rPr>
            </w:pPr>
          </w:p>
        </w:tc>
      </w:tr>
      <w:tr w14:paraId="1AECA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434C5DD8">
            <w:pPr>
              <w:pStyle w:val="41"/>
              <w:jc w:val="center"/>
              <w:rPr>
                <w:rFonts w:ascii="宋体" w:hAnsi="宋体"/>
                <w:color w:val="auto"/>
                <w:sz w:val="24"/>
                <w:szCs w:val="24"/>
                <w:highlight w:val="none"/>
              </w:rPr>
            </w:pPr>
            <w:r>
              <w:rPr>
                <w:rFonts w:hint="eastAsia" w:ascii="宋体" w:hAnsi="宋体"/>
                <w:color w:val="auto"/>
                <w:sz w:val="24"/>
                <w:szCs w:val="24"/>
                <w:highlight w:val="none"/>
              </w:rPr>
              <w:t>5</w:t>
            </w:r>
          </w:p>
        </w:tc>
        <w:tc>
          <w:tcPr>
            <w:tcW w:w="1016" w:type="dxa"/>
            <w:tcBorders>
              <w:top w:val="single" w:color="auto" w:sz="4" w:space="0"/>
              <w:left w:val="single" w:color="auto" w:sz="4" w:space="0"/>
              <w:bottom w:val="single" w:color="auto" w:sz="4" w:space="0"/>
              <w:right w:val="single" w:color="auto" w:sz="4" w:space="0"/>
            </w:tcBorders>
            <w:vAlign w:val="center"/>
          </w:tcPr>
          <w:p w14:paraId="1372C9E6">
            <w:pPr>
              <w:pStyle w:val="41"/>
              <w:jc w:val="center"/>
              <w:rPr>
                <w:rFonts w:ascii="宋体" w:hAnsi="宋体"/>
                <w:color w:val="auto"/>
                <w:sz w:val="24"/>
                <w:szCs w:val="24"/>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0A42F275">
            <w:pPr>
              <w:pStyle w:val="41"/>
              <w:jc w:val="center"/>
              <w:rPr>
                <w:rFonts w:ascii="宋体" w:hAns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3C928978">
            <w:pPr>
              <w:pStyle w:val="41"/>
              <w:jc w:val="center"/>
              <w:rPr>
                <w:rFonts w:ascii="宋体" w:hAnsi="宋体"/>
                <w:color w:val="auto"/>
                <w:sz w:val="24"/>
                <w:szCs w:val="24"/>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26A3C5AF">
            <w:pPr>
              <w:pStyle w:val="41"/>
              <w:jc w:val="center"/>
              <w:rPr>
                <w:rFonts w:ascii="宋体" w:hAnsi="宋体"/>
                <w:color w:val="auto"/>
                <w:sz w:val="24"/>
                <w:szCs w:val="24"/>
                <w:highlight w:val="none"/>
              </w:rPr>
            </w:pPr>
          </w:p>
        </w:tc>
        <w:tc>
          <w:tcPr>
            <w:tcW w:w="2325" w:type="dxa"/>
            <w:tcBorders>
              <w:top w:val="single" w:color="auto" w:sz="4" w:space="0"/>
              <w:left w:val="single" w:color="auto" w:sz="4" w:space="0"/>
              <w:bottom w:val="single" w:color="auto" w:sz="4" w:space="0"/>
              <w:right w:val="single" w:color="auto" w:sz="4" w:space="0"/>
            </w:tcBorders>
          </w:tcPr>
          <w:p w14:paraId="034A5424">
            <w:pPr>
              <w:pStyle w:val="41"/>
              <w:jc w:val="center"/>
              <w:rPr>
                <w:rFonts w:ascii="宋体" w:hAnsi="宋体"/>
                <w:color w:val="auto"/>
                <w:sz w:val="24"/>
                <w:szCs w:val="24"/>
                <w:highlight w:val="none"/>
              </w:rPr>
            </w:pPr>
          </w:p>
        </w:tc>
      </w:tr>
      <w:tr w14:paraId="2F866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7" w:type="dxa"/>
            <w:tcBorders>
              <w:top w:val="single" w:color="auto" w:sz="4" w:space="0"/>
              <w:left w:val="single" w:color="auto" w:sz="4" w:space="0"/>
              <w:bottom w:val="single" w:color="auto" w:sz="4" w:space="0"/>
              <w:right w:val="single" w:color="auto" w:sz="4" w:space="0"/>
            </w:tcBorders>
            <w:vAlign w:val="center"/>
          </w:tcPr>
          <w:p w14:paraId="6AB4FD5B">
            <w:pPr>
              <w:rPr>
                <w:rFonts w:ascii="宋体" w:hAnsi="宋体"/>
                <w:color w:val="auto"/>
                <w:sz w:val="24"/>
                <w:highlight w:val="none"/>
              </w:rPr>
            </w:pPr>
            <w:r>
              <w:rPr>
                <w:rFonts w:hint="eastAsia" w:ascii="宋体" w:hAnsi="宋体"/>
                <w:color w:val="auto"/>
                <w:sz w:val="24"/>
                <w:highlight w:val="none"/>
              </w:rPr>
              <w:t>…</w:t>
            </w:r>
          </w:p>
        </w:tc>
        <w:tc>
          <w:tcPr>
            <w:tcW w:w="1016" w:type="dxa"/>
            <w:tcBorders>
              <w:top w:val="single" w:color="auto" w:sz="4" w:space="0"/>
              <w:left w:val="single" w:color="auto" w:sz="4" w:space="0"/>
              <w:bottom w:val="single" w:color="auto" w:sz="4" w:space="0"/>
              <w:right w:val="single" w:color="auto" w:sz="4" w:space="0"/>
            </w:tcBorders>
            <w:vAlign w:val="center"/>
          </w:tcPr>
          <w:p w14:paraId="4799C72C">
            <w:pPr>
              <w:rPr>
                <w:rFonts w:ascii="宋体" w:hAnsi="宋体"/>
                <w:color w:val="auto"/>
                <w:sz w:val="24"/>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1E9549EF">
            <w:pPr>
              <w:rPr>
                <w:rFonts w:ascii="宋体" w:hAnsi="宋体"/>
                <w:color w:val="auto"/>
                <w:sz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14:paraId="0AC3F801">
            <w:pPr>
              <w:rPr>
                <w:rFonts w:ascii="宋体" w:hAnsi="宋体"/>
                <w:color w:val="auto"/>
                <w:sz w:val="24"/>
                <w:highlight w:val="none"/>
              </w:rPr>
            </w:pPr>
          </w:p>
        </w:tc>
        <w:tc>
          <w:tcPr>
            <w:tcW w:w="1787" w:type="dxa"/>
            <w:tcBorders>
              <w:top w:val="single" w:color="auto" w:sz="4" w:space="0"/>
              <w:left w:val="single" w:color="auto" w:sz="4" w:space="0"/>
              <w:bottom w:val="single" w:color="auto" w:sz="4" w:space="0"/>
              <w:right w:val="single" w:color="auto" w:sz="4" w:space="0"/>
            </w:tcBorders>
            <w:vAlign w:val="center"/>
          </w:tcPr>
          <w:p w14:paraId="59157095">
            <w:pPr>
              <w:rPr>
                <w:rFonts w:ascii="宋体" w:hAnsi="宋体"/>
                <w:color w:val="auto"/>
                <w:sz w:val="24"/>
                <w:highlight w:val="none"/>
              </w:rPr>
            </w:pPr>
          </w:p>
        </w:tc>
        <w:tc>
          <w:tcPr>
            <w:tcW w:w="2325" w:type="dxa"/>
            <w:tcBorders>
              <w:top w:val="single" w:color="auto" w:sz="4" w:space="0"/>
              <w:left w:val="single" w:color="auto" w:sz="4" w:space="0"/>
              <w:bottom w:val="single" w:color="auto" w:sz="4" w:space="0"/>
              <w:right w:val="single" w:color="auto" w:sz="4" w:space="0"/>
            </w:tcBorders>
          </w:tcPr>
          <w:p w14:paraId="6EB83BEE">
            <w:pPr>
              <w:rPr>
                <w:rFonts w:ascii="宋体" w:hAnsi="宋体"/>
                <w:color w:val="auto"/>
                <w:sz w:val="24"/>
                <w:highlight w:val="none"/>
              </w:rPr>
            </w:pPr>
          </w:p>
        </w:tc>
      </w:tr>
    </w:tbl>
    <w:p w14:paraId="5FA37D8D">
      <w:pPr>
        <w:spacing w:line="360" w:lineRule="auto"/>
        <w:ind w:firstLine="482" w:firstLineChars="200"/>
        <w:rPr>
          <w:rFonts w:ascii="宋体" w:hAnsi="宋体"/>
          <w:b/>
          <w:color w:val="auto"/>
          <w:sz w:val="24"/>
          <w:highlight w:val="none"/>
        </w:rPr>
      </w:pPr>
    </w:p>
    <w:p w14:paraId="2A357BFD">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注：1、相关证明材料附后。</w:t>
      </w:r>
    </w:p>
    <w:p w14:paraId="5D15E2E9">
      <w:pPr>
        <w:spacing w:line="360" w:lineRule="auto"/>
        <w:ind w:firstLine="482" w:firstLineChars="200"/>
        <w:rPr>
          <w:rFonts w:ascii="宋体" w:hAnsi="宋体"/>
          <w:b/>
          <w:color w:val="auto"/>
          <w:szCs w:val="21"/>
          <w:highlight w:val="none"/>
        </w:rPr>
      </w:pPr>
      <w:r>
        <w:rPr>
          <w:rFonts w:hint="eastAsia" w:ascii="宋体" w:hAnsi="宋体"/>
          <w:b/>
          <w:color w:val="auto"/>
          <w:sz w:val="24"/>
          <w:highlight w:val="none"/>
        </w:rPr>
        <w:t>2、表格不够填写可添加。</w:t>
      </w:r>
    </w:p>
    <w:p w14:paraId="7BBE894C">
      <w:pPr>
        <w:snapToGrid w:val="0"/>
        <w:spacing w:before="50" w:after="50" w:line="360" w:lineRule="auto"/>
        <w:rPr>
          <w:rFonts w:ascii="宋体" w:hAnsi="宋体"/>
          <w:color w:val="auto"/>
          <w:sz w:val="24"/>
          <w:highlight w:val="none"/>
        </w:rPr>
      </w:pPr>
    </w:p>
    <w:p w14:paraId="0FF848F9">
      <w:pPr>
        <w:snapToGrid w:val="0"/>
        <w:spacing w:before="50" w:after="50" w:line="360" w:lineRule="auto"/>
        <w:rPr>
          <w:rFonts w:ascii="宋体" w:hAnsi="宋体"/>
          <w:color w:val="auto"/>
          <w:sz w:val="24"/>
          <w:highlight w:val="none"/>
        </w:rPr>
      </w:pPr>
    </w:p>
    <w:p w14:paraId="657CA4AB">
      <w:pPr>
        <w:snapToGrid w:val="0"/>
        <w:spacing w:before="50" w:after="50" w:line="360" w:lineRule="auto"/>
        <w:rPr>
          <w:rFonts w:ascii="宋体" w:hAnsi="宋体"/>
          <w:color w:val="auto"/>
          <w:spacing w:val="20"/>
          <w:sz w:val="24"/>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pacing w:val="20"/>
          <w:sz w:val="24"/>
          <w:highlight w:val="none"/>
        </w:rPr>
        <w:t>：</w:t>
      </w:r>
    </w:p>
    <w:p w14:paraId="7A710FD2">
      <w:pPr>
        <w:pStyle w:val="87"/>
        <w:ind w:left="0" w:leftChars="0" w:firstLine="0" w:firstLineChars="0"/>
        <w:rPr>
          <w:rFonts w:hAnsi="宋体"/>
          <w:color w:val="auto"/>
          <w:highlight w:val="none"/>
        </w:rPr>
      </w:pPr>
      <w:r>
        <w:rPr>
          <w:rFonts w:hint="eastAsia" w:ascii="宋体" w:hAnsi="宋体" w:cs="宋体"/>
          <w:color w:val="auto"/>
          <w:highlight w:val="none"/>
        </w:rPr>
        <w:t>投标人名称（加盖公章）</w:t>
      </w:r>
      <w:r>
        <w:rPr>
          <w:rFonts w:hint="eastAsia" w:hAnsi="宋体"/>
          <w:color w:val="auto"/>
          <w:highlight w:val="none"/>
          <w:u w:val="single"/>
        </w:rPr>
        <w:t>：</w:t>
      </w:r>
    </w:p>
    <w:p w14:paraId="4F714D9C">
      <w:pPr>
        <w:pStyle w:val="87"/>
        <w:ind w:left="0" w:leftChars="0" w:firstLine="0" w:firstLineChars="0"/>
        <w:rPr>
          <w:rFonts w:ascii="宋体" w:hAnsi="宋体"/>
          <w:b/>
          <w:color w:val="auto"/>
          <w:highlight w:val="none"/>
        </w:rPr>
      </w:pPr>
      <w:r>
        <w:rPr>
          <w:rFonts w:hint="eastAsia" w:hAnsi="宋体" w:cs="宋体"/>
          <w:color w:val="auto"/>
          <w:highlight w:val="none"/>
        </w:rPr>
        <w:t>日期：_____年____月____日</w:t>
      </w:r>
    </w:p>
    <w:p w14:paraId="2527ADE1">
      <w:pPr>
        <w:pStyle w:val="87"/>
        <w:ind w:left="420" w:firstLine="0" w:firstLineChars="0"/>
        <w:rPr>
          <w:rFonts w:ascii="宋体" w:hAnsi="宋体"/>
          <w:b/>
          <w:color w:val="auto"/>
          <w:sz w:val="28"/>
          <w:szCs w:val="28"/>
          <w:highlight w:val="none"/>
        </w:rPr>
      </w:pPr>
    </w:p>
    <w:p w14:paraId="3EAEEA4C">
      <w:pPr>
        <w:widowControl/>
        <w:jc w:val="center"/>
        <w:rPr>
          <w:rFonts w:ascii="宋体" w:hAnsi="宋体" w:cs="宋体"/>
          <w:b/>
          <w:color w:val="auto"/>
          <w:kern w:val="0"/>
          <w:sz w:val="24"/>
          <w:highlight w:val="none"/>
        </w:rPr>
      </w:pPr>
    </w:p>
    <w:p w14:paraId="0D542D20">
      <w:pPr>
        <w:widowControl/>
        <w:jc w:val="center"/>
        <w:rPr>
          <w:rFonts w:ascii="宋体" w:hAnsi="宋体" w:cs="宋体"/>
          <w:b/>
          <w:color w:val="auto"/>
          <w:kern w:val="0"/>
          <w:sz w:val="24"/>
          <w:highlight w:val="none"/>
        </w:rPr>
      </w:pPr>
    </w:p>
    <w:p w14:paraId="40BC3B73">
      <w:pPr>
        <w:widowControl/>
        <w:jc w:val="center"/>
        <w:rPr>
          <w:rFonts w:ascii="宋体" w:hAnsi="宋体" w:cs="宋体"/>
          <w:b/>
          <w:color w:val="auto"/>
          <w:kern w:val="0"/>
          <w:sz w:val="24"/>
          <w:highlight w:val="none"/>
        </w:rPr>
      </w:pPr>
    </w:p>
    <w:p w14:paraId="1D9FED22">
      <w:pPr>
        <w:widowControl/>
        <w:jc w:val="center"/>
        <w:rPr>
          <w:rFonts w:ascii="宋体" w:hAnsi="宋体" w:cs="宋体"/>
          <w:b/>
          <w:color w:val="auto"/>
          <w:kern w:val="0"/>
          <w:sz w:val="24"/>
          <w:highlight w:val="none"/>
        </w:rPr>
      </w:pPr>
    </w:p>
    <w:p w14:paraId="67B5C830">
      <w:pPr>
        <w:widowControl/>
        <w:jc w:val="center"/>
        <w:rPr>
          <w:rFonts w:ascii="宋体" w:hAnsi="宋体" w:cs="宋体"/>
          <w:b/>
          <w:color w:val="auto"/>
          <w:kern w:val="0"/>
          <w:sz w:val="24"/>
          <w:highlight w:val="none"/>
        </w:rPr>
      </w:pPr>
    </w:p>
    <w:p w14:paraId="4673A222">
      <w:pPr>
        <w:widowControl/>
        <w:jc w:val="center"/>
        <w:rPr>
          <w:rFonts w:ascii="宋体" w:hAnsi="宋体" w:cs="宋体"/>
          <w:b/>
          <w:color w:val="auto"/>
          <w:kern w:val="0"/>
          <w:sz w:val="24"/>
          <w:highlight w:val="none"/>
        </w:rPr>
      </w:pPr>
    </w:p>
    <w:p w14:paraId="77B218ED">
      <w:pPr>
        <w:widowControl/>
        <w:jc w:val="center"/>
        <w:rPr>
          <w:rFonts w:ascii="宋体" w:hAnsi="宋体" w:cs="宋体"/>
          <w:b/>
          <w:color w:val="auto"/>
          <w:kern w:val="0"/>
          <w:sz w:val="24"/>
          <w:highlight w:val="none"/>
        </w:rPr>
      </w:pPr>
    </w:p>
    <w:p w14:paraId="3A083E88">
      <w:pPr>
        <w:widowControl/>
        <w:jc w:val="center"/>
        <w:rPr>
          <w:rFonts w:ascii="宋体" w:hAnsi="宋体" w:cs="宋体"/>
          <w:b/>
          <w:color w:val="auto"/>
          <w:kern w:val="0"/>
          <w:sz w:val="24"/>
          <w:highlight w:val="none"/>
        </w:rPr>
      </w:pPr>
    </w:p>
    <w:p w14:paraId="70B76751">
      <w:pPr>
        <w:widowControl/>
        <w:jc w:val="center"/>
        <w:rPr>
          <w:rFonts w:ascii="宋体" w:hAnsi="宋体" w:cs="宋体"/>
          <w:b/>
          <w:color w:val="auto"/>
          <w:kern w:val="0"/>
          <w:sz w:val="24"/>
          <w:highlight w:val="none"/>
        </w:rPr>
      </w:pPr>
    </w:p>
    <w:p w14:paraId="36ABE3B0">
      <w:pPr>
        <w:widowControl/>
        <w:jc w:val="center"/>
        <w:rPr>
          <w:rFonts w:ascii="宋体" w:hAnsi="宋体" w:cs="宋体"/>
          <w:b/>
          <w:color w:val="auto"/>
          <w:kern w:val="0"/>
          <w:sz w:val="24"/>
          <w:highlight w:val="none"/>
        </w:rPr>
      </w:pPr>
    </w:p>
    <w:p w14:paraId="6C1EA157">
      <w:pPr>
        <w:widowControl/>
        <w:jc w:val="center"/>
        <w:rPr>
          <w:rFonts w:ascii="宋体" w:hAnsi="宋体" w:cs="宋体"/>
          <w:b/>
          <w:color w:val="auto"/>
          <w:kern w:val="0"/>
          <w:sz w:val="24"/>
          <w:highlight w:val="none"/>
        </w:rPr>
      </w:pPr>
    </w:p>
    <w:p w14:paraId="5C3DFE5B">
      <w:pPr>
        <w:spacing w:line="360" w:lineRule="auto"/>
        <w:rPr>
          <w:b/>
          <w:color w:val="auto"/>
          <w:sz w:val="24"/>
          <w:highlight w:val="none"/>
        </w:rPr>
      </w:pPr>
    </w:p>
    <w:p w14:paraId="31D4D622">
      <w:pPr>
        <w:spacing w:line="480" w:lineRule="exact"/>
        <w:jc w:val="center"/>
        <w:rPr>
          <w:b/>
          <w:color w:val="auto"/>
          <w:sz w:val="28"/>
          <w:highlight w:val="none"/>
        </w:rPr>
      </w:pPr>
    </w:p>
    <w:p w14:paraId="6995A5C5">
      <w:pPr>
        <w:spacing w:line="480" w:lineRule="exact"/>
        <w:jc w:val="center"/>
        <w:rPr>
          <w:rFonts w:ascii="宋体" w:hAnsi="宋体"/>
          <w:b/>
          <w:color w:val="auto"/>
          <w:sz w:val="28"/>
          <w:szCs w:val="28"/>
          <w:highlight w:val="none"/>
        </w:rPr>
      </w:pPr>
      <w:r>
        <w:rPr>
          <w:rFonts w:hint="eastAsia"/>
          <w:b/>
          <w:color w:val="auto"/>
          <w:sz w:val="28"/>
          <w:highlight w:val="none"/>
        </w:rPr>
        <w:t>技术响应（偏离）表</w:t>
      </w:r>
    </w:p>
    <w:tbl>
      <w:tblPr>
        <w:tblStyle w:val="64"/>
        <w:tblpPr w:leftFromText="180" w:rightFromText="180" w:vertAnchor="text" w:horzAnchor="page" w:tblpX="705" w:tblpY="208"/>
        <w:tblOverlap w:val="never"/>
        <w:tblW w:w="989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3"/>
        <w:gridCol w:w="1358"/>
        <w:gridCol w:w="1742"/>
        <w:gridCol w:w="1027"/>
        <w:gridCol w:w="1269"/>
        <w:gridCol w:w="1893"/>
        <w:gridCol w:w="1153"/>
        <w:gridCol w:w="993"/>
      </w:tblGrid>
      <w:tr w14:paraId="1B65ED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7" w:hRule="atLeast"/>
        </w:trPr>
        <w:tc>
          <w:tcPr>
            <w:tcW w:w="463" w:type="dxa"/>
            <w:vMerge w:val="restart"/>
            <w:tcBorders>
              <w:top w:val="single" w:color="auto" w:sz="4" w:space="0"/>
              <w:left w:val="single" w:color="auto" w:sz="4" w:space="0"/>
              <w:bottom w:val="single" w:color="auto" w:sz="4" w:space="0"/>
              <w:right w:val="single" w:color="auto" w:sz="4" w:space="0"/>
            </w:tcBorders>
            <w:shd w:val="clear" w:color="auto" w:fill="EEECE1"/>
            <w:vAlign w:val="center"/>
          </w:tcPr>
          <w:p w14:paraId="7B0B7169">
            <w:pPr>
              <w:pStyle w:val="35"/>
              <w:wordWrap w:val="0"/>
              <w:spacing w:before="120" w:after="120" w:line="440" w:lineRule="exact"/>
              <w:jc w:val="center"/>
              <w:rPr>
                <w:rFonts w:hAnsi="宋体" w:cs="宋体"/>
                <w:b/>
                <w:bCs/>
                <w:color w:val="auto"/>
                <w:sz w:val="24"/>
                <w:szCs w:val="24"/>
                <w:highlight w:val="none"/>
              </w:rPr>
            </w:pPr>
            <w:r>
              <w:rPr>
                <w:rFonts w:hint="eastAsia" w:hAnsi="宋体" w:cs="宋体"/>
                <w:b/>
                <w:bCs/>
                <w:color w:val="auto"/>
                <w:sz w:val="24"/>
                <w:szCs w:val="24"/>
                <w:highlight w:val="none"/>
              </w:rPr>
              <w:t>序号</w:t>
            </w:r>
          </w:p>
        </w:tc>
        <w:tc>
          <w:tcPr>
            <w:tcW w:w="4127" w:type="dxa"/>
            <w:gridSpan w:val="3"/>
            <w:tcBorders>
              <w:top w:val="single" w:color="auto" w:sz="4" w:space="0"/>
              <w:left w:val="single" w:color="auto" w:sz="4" w:space="0"/>
              <w:bottom w:val="single" w:color="auto" w:sz="4" w:space="0"/>
              <w:right w:val="single" w:color="auto" w:sz="4" w:space="0"/>
            </w:tcBorders>
            <w:shd w:val="clear" w:color="auto" w:fill="EEECE1"/>
            <w:vAlign w:val="center"/>
          </w:tcPr>
          <w:p w14:paraId="1EA5F039">
            <w:pPr>
              <w:pStyle w:val="35"/>
              <w:wordWrap w:val="0"/>
              <w:spacing w:before="120" w:after="120" w:line="440" w:lineRule="exact"/>
              <w:ind w:firstLine="836" w:firstLineChars="347"/>
              <w:rPr>
                <w:rFonts w:hAnsi="宋体" w:cs="宋体"/>
                <w:b/>
                <w:bCs/>
                <w:color w:val="auto"/>
                <w:sz w:val="24"/>
                <w:szCs w:val="24"/>
                <w:highlight w:val="none"/>
              </w:rPr>
            </w:pPr>
            <w:r>
              <w:rPr>
                <w:rFonts w:hint="eastAsia" w:hAnsi="宋体" w:cs="宋体"/>
                <w:b/>
                <w:bCs/>
                <w:color w:val="auto"/>
                <w:sz w:val="24"/>
                <w:szCs w:val="24"/>
                <w:highlight w:val="none"/>
              </w:rPr>
              <w:t>招标文件需求</w:t>
            </w:r>
          </w:p>
        </w:tc>
        <w:tc>
          <w:tcPr>
            <w:tcW w:w="4315" w:type="dxa"/>
            <w:gridSpan w:val="3"/>
            <w:tcBorders>
              <w:top w:val="single" w:color="auto" w:sz="4" w:space="0"/>
              <w:left w:val="single" w:color="auto" w:sz="4" w:space="0"/>
              <w:bottom w:val="single" w:color="auto" w:sz="4" w:space="0"/>
              <w:right w:val="single" w:color="auto" w:sz="4" w:space="0"/>
            </w:tcBorders>
            <w:shd w:val="clear" w:color="auto" w:fill="EEECE1"/>
            <w:vAlign w:val="center"/>
          </w:tcPr>
          <w:p w14:paraId="30225AFC">
            <w:pPr>
              <w:wordWrap w:val="0"/>
              <w:spacing w:line="440" w:lineRule="exact"/>
              <w:ind w:firstLine="480"/>
              <w:jc w:val="center"/>
              <w:rPr>
                <w:rFonts w:ascii="宋体" w:hAnsi="宋体" w:cs="宋体"/>
                <w:b/>
                <w:bCs/>
                <w:color w:val="auto"/>
                <w:sz w:val="24"/>
                <w:highlight w:val="none"/>
              </w:rPr>
            </w:pPr>
            <w:r>
              <w:rPr>
                <w:rFonts w:hint="eastAsia" w:ascii="宋体" w:hAnsi="宋体" w:cs="宋体"/>
                <w:b/>
                <w:bCs/>
                <w:color w:val="auto"/>
                <w:sz w:val="24"/>
                <w:highlight w:val="none"/>
              </w:rPr>
              <w:t>响应文件技术参数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EEECE1"/>
            <w:vAlign w:val="center"/>
          </w:tcPr>
          <w:p w14:paraId="7E7F45BF">
            <w:pPr>
              <w:wordWrap w:val="0"/>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532578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4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A6E414">
            <w:pPr>
              <w:wordWrap w:val="0"/>
              <w:spacing w:line="440" w:lineRule="exact"/>
              <w:ind w:firstLine="480"/>
              <w:jc w:val="center"/>
              <w:rPr>
                <w:rFonts w:ascii="宋体" w:hAnsi="宋体" w:cs="宋体"/>
                <w:color w:val="auto"/>
                <w:sz w:val="24"/>
                <w:highlight w:val="none"/>
              </w:rPr>
            </w:pPr>
          </w:p>
        </w:tc>
        <w:tc>
          <w:tcPr>
            <w:tcW w:w="1358" w:type="dxa"/>
            <w:tcBorders>
              <w:top w:val="single" w:color="auto" w:sz="4" w:space="0"/>
              <w:left w:val="single" w:color="auto" w:sz="4" w:space="0"/>
              <w:bottom w:val="single" w:color="auto" w:sz="4" w:space="0"/>
              <w:right w:val="single" w:color="auto" w:sz="4" w:space="0"/>
            </w:tcBorders>
            <w:shd w:val="clear" w:color="auto" w:fill="EEECE1"/>
            <w:vAlign w:val="center"/>
          </w:tcPr>
          <w:p w14:paraId="3737CB19">
            <w:pPr>
              <w:wordWrap w:val="0"/>
              <w:spacing w:line="440" w:lineRule="exact"/>
              <w:jc w:val="center"/>
              <w:rPr>
                <w:rFonts w:ascii="宋体" w:hAnsi="宋体" w:cs="宋体"/>
                <w:b/>
                <w:bCs/>
                <w:color w:val="auto"/>
                <w:sz w:val="24"/>
                <w:highlight w:val="none"/>
              </w:rPr>
            </w:pPr>
            <w:r>
              <w:rPr>
                <w:rFonts w:hint="eastAsia" w:ascii="宋体" w:hAnsi="宋体" w:cs="宋体"/>
                <w:b/>
                <w:bCs/>
                <w:color w:val="auto"/>
                <w:kern w:val="0"/>
                <w:sz w:val="24"/>
                <w:highlight w:val="none"/>
              </w:rPr>
              <w:t>产品名称</w:t>
            </w:r>
          </w:p>
        </w:tc>
        <w:tc>
          <w:tcPr>
            <w:tcW w:w="1742" w:type="dxa"/>
            <w:tcBorders>
              <w:top w:val="single" w:color="auto" w:sz="4" w:space="0"/>
              <w:left w:val="single" w:color="auto" w:sz="4" w:space="0"/>
              <w:bottom w:val="single" w:color="auto" w:sz="4" w:space="0"/>
              <w:right w:val="single" w:color="auto" w:sz="4" w:space="0"/>
            </w:tcBorders>
            <w:shd w:val="clear" w:color="auto" w:fill="EEECE1"/>
            <w:vAlign w:val="center"/>
          </w:tcPr>
          <w:p w14:paraId="5948BF2C">
            <w:pPr>
              <w:wordWrap w:val="0"/>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主要技术参数</w:t>
            </w:r>
          </w:p>
        </w:tc>
        <w:tc>
          <w:tcPr>
            <w:tcW w:w="1027" w:type="dxa"/>
            <w:tcBorders>
              <w:top w:val="single" w:color="auto" w:sz="4" w:space="0"/>
              <w:left w:val="single" w:color="auto" w:sz="4" w:space="0"/>
              <w:bottom w:val="single" w:color="auto" w:sz="4" w:space="0"/>
              <w:right w:val="single" w:color="auto" w:sz="4" w:space="0"/>
            </w:tcBorders>
            <w:shd w:val="clear" w:color="auto" w:fill="EEECE1"/>
            <w:vAlign w:val="center"/>
          </w:tcPr>
          <w:p w14:paraId="17FFEB6C">
            <w:pPr>
              <w:pStyle w:val="35"/>
              <w:wordWrap w:val="0"/>
              <w:spacing w:before="120" w:after="120" w:line="440" w:lineRule="exact"/>
              <w:jc w:val="center"/>
              <w:rPr>
                <w:rFonts w:hAnsi="宋体" w:cs="宋体"/>
                <w:b/>
                <w:bCs/>
                <w:color w:val="auto"/>
                <w:sz w:val="24"/>
                <w:szCs w:val="24"/>
                <w:highlight w:val="none"/>
              </w:rPr>
            </w:pPr>
            <w:r>
              <w:rPr>
                <w:rFonts w:hint="eastAsia" w:hAnsi="宋体" w:cs="宋体"/>
                <w:b/>
                <w:bCs/>
                <w:color w:val="auto"/>
                <w:sz w:val="24"/>
                <w:szCs w:val="24"/>
                <w:highlight w:val="none"/>
              </w:rPr>
              <w:t>数量</w:t>
            </w:r>
          </w:p>
        </w:tc>
        <w:tc>
          <w:tcPr>
            <w:tcW w:w="1269" w:type="dxa"/>
            <w:tcBorders>
              <w:top w:val="single" w:color="auto" w:sz="4" w:space="0"/>
              <w:left w:val="single" w:color="auto" w:sz="4" w:space="0"/>
              <w:bottom w:val="single" w:color="auto" w:sz="4" w:space="0"/>
              <w:right w:val="single" w:color="auto" w:sz="4" w:space="0"/>
            </w:tcBorders>
            <w:shd w:val="clear" w:color="auto" w:fill="EEECE1"/>
            <w:vAlign w:val="center"/>
          </w:tcPr>
          <w:p w14:paraId="6DFA90BD">
            <w:pPr>
              <w:wordWrap w:val="0"/>
              <w:spacing w:line="440" w:lineRule="exact"/>
              <w:jc w:val="center"/>
              <w:rPr>
                <w:rFonts w:ascii="宋体" w:hAnsi="宋体" w:cs="宋体"/>
                <w:b/>
                <w:bCs/>
                <w:color w:val="auto"/>
                <w:sz w:val="24"/>
                <w:highlight w:val="none"/>
              </w:rPr>
            </w:pPr>
            <w:r>
              <w:rPr>
                <w:rFonts w:hint="eastAsia" w:ascii="宋体" w:hAnsi="宋体" w:cs="宋体"/>
                <w:b/>
                <w:bCs/>
                <w:color w:val="auto"/>
                <w:kern w:val="0"/>
                <w:sz w:val="24"/>
                <w:highlight w:val="none"/>
              </w:rPr>
              <w:t>产品名称</w:t>
            </w:r>
          </w:p>
        </w:tc>
        <w:tc>
          <w:tcPr>
            <w:tcW w:w="1893" w:type="dxa"/>
            <w:tcBorders>
              <w:top w:val="single" w:color="auto" w:sz="4" w:space="0"/>
              <w:left w:val="single" w:color="auto" w:sz="4" w:space="0"/>
              <w:bottom w:val="single" w:color="auto" w:sz="4" w:space="0"/>
              <w:right w:val="single" w:color="auto" w:sz="4" w:space="0"/>
            </w:tcBorders>
            <w:shd w:val="clear" w:color="auto" w:fill="EEECE1"/>
            <w:vAlign w:val="center"/>
          </w:tcPr>
          <w:p w14:paraId="38F5F1F9">
            <w:pPr>
              <w:wordWrap w:val="0"/>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主要技术参数</w:t>
            </w:r>
          </w:p>
        </w:tc>
        <w:tc>
          <w:tcPr>
            <w:tcW w:w="1153" w:type="dxa"/>
            <w:tcBorders>
              <w:top w:val="single" w:color="auto" w:sz="4" w:space="0"/>
              <w:left w:val="single" w:color="auto" w:sz="4" w:space="0"/>
              <w:bottom w:val="single" w:color="auto" w:sz="4" w:space="0"/>
              <w:right w:val="single" w:color="auto" w:sz="4" w:space="0"/>
            </w:tcBorders>
            <w:shd w:val="clear" w:color="auto" w:fill="EEECE1"/>
            <w:vAlign w:val="center"/>
          </w:tcPr>
          <w:p w14:paraId="7B8FD332">
            <w:pPr>
              <w:wordWrap w:val="0"/>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数量</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861059C">
            <w:pPr>
              <w:wordWrap w:val="0"/>
              <w:spacing w:line="440" w:lineRule="exact"/>
              <w:ind w:firstLine="480"/>
              <w:jc w:val="center"/>
              <w:rPr>
                <w:rFonts w:ascii="宋体" w:hAnsi="宋体" w:cs="宋体"/>
                <w:color w:val="auto"/>
                <w:sz w:val="24"/>
                <w:highlight w:val="none"/>
              </w:rPr>
            </w:pPr>
          </w:p>
        </w:tc>
      </w:tr>
      <w:tr w14:paraId="378F64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vAlign w:val="center"/>
          </w:tcPr>
          <w:p w14:paraId="64FED9F3">
            <w:pPr>
              <w:spacing w:line="400" w:lineRule="exact"/>
              <w:jc w:val="center"/>
              <w:rPr>
                <w:rFonts w:ascii="宋体" w:hAnsi="宋体" w:cs="宋体"/>
                <w:color w:val="auto"/>
                <w:sz w:val="24"/>
                <w:highlight w:val="none"/>
              </w:rPr>
            </w:pPr>
          </w:p>
        </w:tc>
        <w:tc>
          <w:tcPr>
            <w:tcW w:w="1358" w:type="dxa"/>
            <w:tcBorders>
              <w:top w:val="single" w:color="auto" w:sz="4" w:space="0"/>
              <w:left w:val="single" w:color="auto" w:sz="4" w:space="0"/>
              <w:bottom w:val="single" w:color="auto" w:sz="4" w:space="0"/>
              <w:right w:val="single" w:color="auto" w:sz="4" w:space="0"/>
            </w:tcBorders>
            <w:vAlign w:val="center"/>
          </w:tcPr>
          <w:p w14:paraId="32494550">
            <w:pPr>
              <w:spacing w:line="400" w:lineRule="exact"/>
              <w:jc w:val="center"/>
              <w:rPr>
                <w:rFonts w:ascii="宋体" w:hAnsi="宋体" w:cs="宋体"/>
                <w:color w:val="auto"/>
                <w:sz w:val="24"/>
                <w:highlight w:val="none"/>
              </w:rPr>
            </w:pPr>
          </w:p>
        </w:tc>
        <w:tc>
          <w:tcPr>
            <w:tcW w:w="1742" w:type="dxa"/>
            <w:tcBorders>
              <w:top w:val="single" w:color="auto" w:sz="4" w:space="0"/>
              <w:left w:val="single" w:color="auto" w:sz="4" w:space="0"/>
              <w:bottom w:val="single" w:color="auto" w:sz="4" w:space="0"/>
              <w:right w:val="single" w:color="auto" w:sz="4" w:space="0"/>
            </w:tcBorders>
            <w:vAlign w:val="center"/>
          </w:tcPr>
          <w:p w14:paraId="43BB0D10">
            <w:pPr>
              <w:spacing w:line="400" w:lineRule="exact"/>
              <w:jc w:val="left"/>
              <w:rPr>
                <w:rFonts w:ascii="宋体" w:hAnsi="宋体" w:cs="宋体"/>
                <w:color w:val="auto"/>
                <w:sz w:val="24"/>
                <w:highlight w:val="none"/>
              </w:rPr>
            </w:pPr>
          </w:p>
        </w:tc>
        <w:tc>
          <w:tcPr>
            <w:tcW w:w="1027" w:type="dxa"/>
            <w:tcBorders>
              <w:top w:val="single" w:color="auto" w:sz="4" w:space="0"/>
              <w:left w:val="single" w:color="auto" w:sz="4" w:space="0"/>
              <w:bottom w:val="single" w:color="auto" w:sz="4" w:space="0"/>
              <w:right w:val="single" w:color="auto" w:sz="4" w:space="0"/>
            </w:tcBorders>
            <w:vAlign w:val="center"/>
          </w:tcPr>
          <w:p w14:paraId="67910306">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15B32B3F">
            <w:pPr>
              <w:pStyle w:val="35"/>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vAlign w:val="center"/>
          </w:tcPr>
          <w:p w14:paraId="4D06EDAC">
            <w:pPr>
              <w:pStyle w:val="35"/>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478DF2FA">
            <w:pPr>
              <w:pStyle w:val="35"/>
              <w:wordWrap w:val="0"/>
              <w:spacing w:before="120" w:after="120" w:line="440" w:lineRule="exact"/>
              <w:ind w:firstLine="520"/>
              <w:jc w:val="center"/>
              <w:rPr>
                <w:rFonts w:hAnsi="宋体" w:cs="宋体"/>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558DA2ED">
            <w:pPr>
              <w:pStyle w:val="35"/>
              <w:wordWrap w:val="0"/>
              <w:spacing w:before="120" w:after="120" w:line="440" w:lineRule="exact"/>
              <w:ind w:firstLine="520"/>
              <w:jc w:val="center"/>
              <w:rPr>
                <w:rFonts w:hAnsi="宋体" w:cs="宋体"/>
                <w:color w:val="auto"/>
                <w:highlight w:val="none"/>
              </w:rPr>
            </w:pPr>
          </w:p>
        </w:tc>
      </w:tr>
      <w:tr w14:paraId="38407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vAlign w:val="center"/>
          </w:tcPr>
          <w:p w14:paraId="6A183666">
            <w:pPr>
              <w:spacing w:line="400" w:lineRule="exact"/>
              <w:jc w:val="center"/>
              <w:rPr>
                <w:rFonts w:ascii="宋体" w:hAnsi="宋体" w:cs="宋体"/>
                <w:color w:val="auto"/>
                <w:sz w:val="24"/>
                <w:highlight w:val="none"/>
              </w:rPr>
            </w:pPr>
          </w:p>
        </w:tc>
        <w:tc>
          <w:tcPr>
            <w:tcW w:w="1358" w:type="dxa"/>
            <w:tcBorders>
              <w:top w:val="single" w:color="auto" w:sz="4" w:space="0"/>
              <w:left w:val="single" w:color="auto" w:sz="4" w:space="0"/>
              <w:bottom w:val="single" w:color="auto" w:sz="4" w:space="0"/>
              <w:right w:val="single" w:color="auto" w:sz="4" w:space="0"/>
            </w:tcBorders>
            <w:vAlign w:val="center"/>
          </w:tcPr>
          <w:p w14:paraId="5700DE50">
            <w:pPr>
              <w:spacing w:line="400" w:lineRule="exact"/>
              <w:jc w:val="center"/>
              <w:rPr>
                <w:rFonts w:ascii="宋体" w:hAnsi="宋体" w:cs="宋体"/>
                <w:color w:val="auto"/>
                <w:sz w:val="24"/>
                <w:highlight w:val="none"/>
              </w:rPr>
            </w:pPr>
          </w:p>
        </w:tc>
        <w:tc>
          <w:tcPr>
            <w:tcW w:w="1742" w:type="dxa"/>
            <w:tcBorders>
              <w:top w:val="single" w:color="auto" w:sz="4" w:space="0"/>
              <w:left w:val="single" w:color="auto" w:sz="4" w:space="0"/>
              <w:bottom w:val="single" w:color="auto" w:sz="4" w:space="0"/>
              <w:right w:val="single" w:color="auto" w:sz="4" w:space="0"/>
            </w:tcBorders>
            <w:vAlign w:val="center"/>
          </w:tcPr>
          <w:p w14:paraId="351DB7A6">
            <w:pPr>
              <w:spacing w:line="400" w:lineRule="exact"/>
              <w:jc w:val="left"/>
              <w:rPr>
                <w:rFonts w:ascii="宋体" w:hAnsi="宋体" w:cs="宋体"/>
                <w:color w:val="auto"/>
                <w:sz w:val="24"/>
                <w:highlight w:val="none"/>
              </w:rPr>
            </w:pPr>
          </w:p>
        </w:tc>
        <w:tc>
          <w:tcPr>
            <w:tcW w:w="1027" w:type="dxa"/>
            <w:tcBorders>
              <w:top w:val="single" w:color="auto" w:sz="4" w:space="0"/>
              <w:left w:val="single" w:color="auto" w:sz="4" w:space="0"/>
              <w:bottom w:val="single" w:color="auto" w:sz="4" w:space="0"/>
              <w:right w:val="single" w:color="auto" w:sz="4" w:space="0"/>
            </w:tcBorders>
            <w:vAlign w:val="center"/>
          </w:tcPr>
          <w:p w14:paraId="04F889CB">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46989F9C">
            <w:pPr>
              <w:pStyle w:val="35"/>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vAlign w:val="center"/>
          </w:tcPr>
          <w:p w14:paraId="555EF4B9">
            <w:pPr>
              <w:pStyle w:val="35"/>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40BE45D4">
            <w:pPr>
              <w:pStyle w:val="35"/>
              <w:wordWrap w:val="0"/>
              <w:spacing w:before="120" w:after="120" w:line="440" w:lineRule="exact"/>
              <w:ind w:firstLine="520"/>
              <w:jc w:val="center"/>
              <w:rPr>
                <w:rFonts w:hAnsi="宋体" w:cs="宋体"/>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558AD146">
            <w:pPr>
              <w:pStyle w:val="35"/>
              <w:wordWrap w:val="0"/>
              <w:spacing w:before="120" w:after="120" w:line="440" w:lineRule="exact"/>
              <w:ind w:firstLine="520"/>
              <w:jc w:val="center"/>
              <w:rPr>
                <w:rFonts w:hAnsi="宋体" w:cs="宋体"/>
                <w:color w:val="auto"/>
                <w:highlight w:val="none"/>
              </w:rPr>
            </w:pPr>
          </w:p>
        </w:tc>
      </w:tr>
      <w:tr w14:paraId="06E9D7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vAlign w:val="center"/>
          </w:tcPr>
          <w:p w14:paraId="329A14CF">
            <w:pPr>
              <w:spacing w:line="400" w:lineRule="exact"/>
              <w:jc w:val="center"/>
              <w:rPr>
                <w:rFonts w:ascii="宋体" w:hAnsi="宋体" w:cs="宋体"/>
                <w:color w:val="auto"/>
                <w:sz w:val="24"/>
                <w:highlight w:val="none"/>
              </w:rPr>
            </w:pPr>
          </w:p>
        </w:tc>
        <w:tc>
          <w:tcPr>
            <w:tcW w:w="1358" w:type="dxa"/>
            <w:tcBorders>
              <w:top w:val="single" w:color="auto" w:sz="4" w:space="0"/>
              <w:left w:val="single" w:color="auto" w:sz="4" w:space="0"/>
              <w:bottom w:val="single" w:color="auto" w:sz="4" w:space="0"/>
              <w:right w:val="single" w:color="auto" w:sz="4" w:space="0"/>
            </w:tcBorders>
            <w:vAlign w:val="center"/>
          </w:tcPr>
          <w:p w14:paraId="64162137">
            <w:pPr>
              <w:spacing w:line="400" w:lineRule="exact"/>
              <w:jc w:val="center"/>
              <w:rPr>
                <w:rFonts w:ascii="宋体" w:hAnsi="宋体" w:cs="宋体"/>
                <w:color w:val="auto"/>
                <w:sz w:val="24"/>
                <w:highlight w:val="none"/>
              </w:rPr>
            </w:pPr>
          </w:p>
        </w:tc>
        <w:tc>
          <w:tcPr>
            <w:tcW w:w="1742" w:type="dxa"/>
            <w:tcBorders>
              <w:top w:val="single" w:color="auto" w:sz="4" w:space="0"/>
              <w:left w:val="single" w:color="auto" w:sz="4" w:space="0"/>
              <w:bottom w:val="single" w:color="auto" w:sz="4" w:space="0"/>
              <w:right w:val="single" w:color="auto" w:sz="4" w:space="0"/>
            </w:tcBorders>
            <w:vAlign w:val="center"/>
          </w:tcPr>
          <w:p w14:paraId="28CCEA66">
            <w:pPr>
              <w:spacing w:line="400" w:lineRule="exact"/>
              <w:jc w:val="left"/>
              <w:rPr>
                <w:rFonts w:ascii="宋体" w:hAnsi="宋体" w:cs="宋体"/>
                <w:color w:val="auto"/>
                <w:sz w:val="24"/>
                <w:highlight w:val="none"/>
              </w:rPr>
            </w:pPr>
          </w:p>
        </w:tc>
        <w:tc>
          <w:tcPr>
            <w:tcW w:w="1027" w:type="dxa"/>
            <w:tcBorders>
              <w:top w:val="single" w:color="auto" w:sz="4" w:space="0"/>
              <w:left w:val="single" w:color="auto" w:sz="4" w:space="0"/>
              <w:bottom w:val="single" w:color="auto" w:sz="4" w:space="0"/>
              <w:right w:val="single" w:color="auto" w:sz="4" w:space="0"/>
            </w:tcBorders>
            <w:vAlign w:val="center"/>
          </w:tcPr>
          <w:p w14:paraId="127A7BFD">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70B26882">
            <w:pPr>
              <w:pStyle w:val="35"/>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vAlign w:val="center"/>
          </w:tcPr>
          <w:p w14:paraId="581BBA92">
            <w:pPr>
              <w:pStyle w:val="35"/>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1197231E">
            <w:pPr>
              <w:pStyle w:val="35"/>
              <w:wordWrap w:val="0"/>
              <w:spacing w:before="120" w:after="120" w:line="440" w:lineRule="exact"/>
              <w:ind w:firstLine="520"/>
              <w:jc w:val="center"/>
              <w:rPr>
                <w:rFonts w:hAnsi="宋体" w:cs="宋体"/>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37F8BD5">
            <w:pPr>
              <w:pStyle w:val="35"/>
              <w:wordWrap w:val="0"/>
              <w:spacing w:before="120" w:after="120" w:line="440" w:lineRule="exact"/>
              <w:ind w:firstLine="520"/>
              <w:jc w:val="center"/>
              <w:rPr>
                <w:rFonts w:hAnsi="宋体" w:cs="宋体"/>
                <w:color w:val="auto"/>
                <w:highlight w:val="none"/>
              </w:rPr>
            </w:pPr>
          </w:p>
        </w:tc>
      </w:tr>
      <w:tr w14:paraId="132FED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vAlign w:val="center"/>
          </w:tcPr>
          <w:p w14:paraId="35B30270">
            <w:pPr>
              <w:spacing w:line="400" w:lineRule="exact"/>
              <w:jc w:val="center"/>
              <w:rPr>
                <w:rFonts w:ascii="宋体" w:hAnsi="宋体" w:cs="宋体"/>
                <w:color w:val="auto"/>
                <w:sz w:val="24"/>
                <w:highlight w:val="none"/>
              </w:rPr>
            </w:pPr>
          </w:p>
        </w:tc>
        <w:tc>
          <w:tcPr>
            <w:tcW w:w="1358" w:type="dxa"/>
            <w:tcBorders>
              <w:top w:val="single" w:color="auto" w:sz="4" w:space="0"/>
              <w:left w:val="single" w:color="auto" w:sz="4" w:space="0"/>
              <w:bottom w:val="single" w:color="auto" w:sz="4" w:space="0"/>
              <w:right w:val="single" w:color="auto" w:sz="4" w:space="0"/>
            </w:tcBorders>
            <w:vAlign w:val="center"/>
          </w:tcPr>
          <w:p w14:paraId="438F7017">
            <w:pPr>
              <w:spacing w:line="400" w:lineRule="exact"/>
              <w:jc w:val="center"/>
              <w:rPr>
                <w:rFonts w:ascii="宋体" w:hAnsi="宋体" w:cs="宋体"/>
                <w:color w:val="auto"/>
                <w:sz w:val="24"/>
                <w:highlight w:val="none"/>
              </w:rPr>
            </w:pPr>
          </w:p>
        </w:tc>
        <w:tc>
          <w:tcPr>
            <w:tcW w:w="1742" w:type="dxa"/>
            <w:tcBorders>
              <w:top w:val="single" w:color="auto" w:sz="4" w:space="0"/>
              <w:left w:val="single" w:color="auto" w:sz="4" w:space="0"/>
              <w:bottom w:val="single" w:color="auto" w:sz="4" w:space="0"/>
              <w:right w:val="single" w:color="auto" w:sz="4" w:space="0"/>
            </w:tcBorders>
            <w:vAlign w:val="center"/>
          </w:tcPr>
          <w:p w14:paraId="65AE8B9B">
            <w:pPr>
              <w:pStyle w:val="26"/>
              <w:ind w:firstLine="210"/>
              <w:rPr>
                <w:rFonts w:hAnsi="宋体" w:cs="宋体"/>
                <w:color w:val="auto"/>
                <w:highlight w:val="none"/>
              </w:rPr>
            </w:pPr>
          </w:p>
        </w:tc>
        <w:tc>
          <w:tcPr>
            <w:tcW w:w="1027" w:type="dxa"/>
            <w:tcBorders>
              <w:top w:val="single" w:color="auto" w:sz="4" w:space="0"/>
              <w:left w:val="single" w:color="auto" w:sz="4" w:space="0"/>
              <w:bottom w:val="single" w:color="auto" w:sz="4" w:space="0"/>
              <w:right w:val="single" w:color="auto" w:sz="4" w:space="0"/>
            </w:tcBorders>
            <w:vAlign w:val="center"/>
          </w:tcPr>
          <w:p w14:paraId="05D3CC90">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4759DCCD">
            <w:pPr>
              <w:pStyle w:val="35"/>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vAlign w:val="center"/>
          </w:tcPr>
          <w:p w14:paraId="36FFB55E">
            <w:pPr>
              <w:pStyle w:val="35"/>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49E79BE2">
            <w:pPr>
              <w:pStyle w:val="35"/>
              <w:wordWrap w:val="0"/>
              <w:spacing w:before="120" w:after="120" w:line="440" w:lineRule="exact"/>
              <w:ind w:firstLine="520"/>
              <w:jc w:val="center"/>
              <w:rPr>
                <w:rFonts w:hAnsi="宋体" w:cs="宋体"/>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83044F4">
            <w:pPr>
              <w:pStyle w:val="35"/>
              <w:wordWrap w:val="0"/>
              <w:spacing w:before="120" w:after="120" w:line="440" w:lineRule="exact"/>
              <w:ind w:firstLine="520"/>
              <w:jc w:val="center"/>
              <w:rPr>
                <w:rFonts w:hAnsi="宋体" w:cs="宋体"/>
                <w:color w:val="auto"/>
                <w:highlight w:val="none"/>
              </w:rPr>
            </w:pPr>
          </w:p>
        </w:tc>
      </w:tr>
      <w:tr w14:paraId="432BA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3" w:type="dxa"/>
            <w:tcBorders>
              <w:top w:val="single" w:color="auto" w:sz="4" w:space="0"/>
              <w:left w:val="single" w:color="auto" w:sz="4" w:space="0"/>
              <w:bottom w:val="single" w:color="auto" w:sz="4" w:space="0"/>
              <w:right w:val="single" w:color="auto" w:sz="4" w:space="0"/>
            </w:tcBorders>
            <w:vAlign w:val="center"/>
          </w:tcPr>
          <w:p w14:paraId="27A0C520">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358" w:type="dxa"/>
            <w:tcBorders>
              <w:top w:val="single" w:color="auto" w:sz="4" w:space="0"/>
              <w:left w:val="single" w:color="auto" w:sz="4" w:space="0"/>
              <w:bottom w:val="single" w:color="auto" w:sz="4" w:space="0"/>
              <w:right w:val="single" w:color="auto" w:sz="4" w:space="0"/>
            </w:tcBorders>
            <w:vAlign w:val="center"/>
          </w:tcPr>
          <w:p w14:paraId="7CBFEED2">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742" w:type="dxa"/>
            <w:tcBorders>
              <w:top w:val="single" w:color="auto" w:sz="4" w:space="0"/>
              <w:left w:val="single" w:color="auto" w:sz="4" w:space="0"/>
              <w:bottom w:val="single" w:color="auto" w:sz="4" w:space="0"/>
              <w:right w:val="single" w:color="auto" w:sz="4" w:space="0"/>
            </w:tcBorders>
            <w:vAlign w:val="center"/>
          </w:tcPr>
          <w:p w14:paraId="1DD927A6">
            <w:pPr>
              <w:pStyle w:val="26"/>
              <w:ind w:firstLine="210"/>
              <w:rPr>
                <w:rFonts w:hAnsi="宋体" w:cs="宋体"/>
                <w:color w:val="auto"/>
                <w:highlight w:val="none"/>
              </w:rPr>
            </w:pPr>
          </w:p>
        </w:tc>
        <w:tc>
          <w:tcPr>
            <w:tcW w:w="1027" w:type="dxa"/>
            <w:tcBorders>
              <w:top w:val="single" w:color="auto" w:sz="4" w:space="0"/>
              <w:left w:val="single" w:color="auto" w:sz="4" w:space="0"/>
              <w:bottom w:val="single" w:color="auto" w:sz="4" w:space="0"/>
              <w:right w:val="single" w:color="auto" w:sz="4" w:space="0"/>
            </w:tcBorders>
            <w:vAlign w:val="center"/>
          </w:tcPr>
          <w:p w14:paraId="4DDFB6C2">
            <w:pPr>
              <w:spacing w:line="400" w:lineRule="exact"/>
              <w:jc w:val="left"/>
              <w:rPr>
                <w:rFonts w:ascii="宋体" w:hAnsi="宋体" w:cs="宋体"/>
                <w:color w:val="auto"/>
                <w:sz w:val="24"/>
                <w:highlight w:val="none"/>
              </w:rPr>
            </w:pPr>
          </w:p>
        </w:tc>
        <w:tc>
          <w:tcPr>
            <w:tcW w:w="1269" w:type="dxa"/>
            <w:tcBorders>
              <w:top w:val="single" w:color="auto" w:sz="4" w:space="0"/>
              <w:left w:val="single" w:color="auto" w:sz="4" w:space="0"/>
              <w:bottom w:val="single" w:color="auto" w:sz="4" w:space="0"/>
              <w:right w:val="single" w:color="auto" w:sz="4" w:space="0"/>
            </w:tcBorders>
            <w:vAlign w:val="center"/>
          </w:tcPr>
          <w:p w14:paraId="04440619">
            <w:pPr>
              <w:pStyle w:val="35"/>
              <w:wordWrap w:val="0"/>
              <w:spacing w:before="120" w:after="120" w:line="440" w:lineRule="exact"/>
              <w:ind w:firstLine="520"/>
              <w:jc w:val="center"/>
              <w:rPr>
                <w:rFonts w:hAnsi="宋体"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vAlign w:val="center"/>
          </w:tcPr>
          <w:p w14:paraId="53AC6697">
            <w:pPr>
              <w:pStyle w:val="35"/>
              <w:wordWrap w:val="0"/>
              <w:spacing w:before="120" w:after="120" w:line="440" w:lineRule="exact"/>
              <w:ind w:firstLine="520"/>
              <w:jc w:val="center"/>
              <w:rPr>
                <w:rFonts w:hAnsi="宋体" w:cs="宋体"/>
                <w:color w:val="auto"/>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14:paraId="7B6116D4">
            <w:pPr>
              <w:pStyle w:val="35"/>
              <w:wordWrap w:val="0"/>
              <w:spacing w:before="120" w:after="120" w:line="440" w:lineRule="exact"/>
              <w:ind w:firstLine="520"/>
              <w:jc w:val="center"/>
              <w:rPr>
                <w:rFonts w:hAnsi="宋体" w:cs="宋体"/>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697300F">
            <w:pPr>
              <w:pStyle w:val="35"/>
              <w:wordWrap w:val="0"/>
              <w:spacing w:before="120" w:after="120" w:line="440" w:lineRule="exact"/>
              <w:ind w:firstLine="520"/>
              <w:jc w:val="center"/>
              <w:rPr>
                <w:rFonts w:hAnsi="宋体" w:cs="宋体"/>
                <w:color w:val="auto"/>
                <w:highlight w:val="none"/>
              </w:rPr>
            </w:pPr>
          </w:p>
        </w:tc>
      </w:tr>
    </w:tbl>
    <w:p w14:paraId="75078571">
      <w:pPr>
        <w:spacing w:line="360" w:lineRule="auto"/>
        <w:rPr>
          <w:rFonts w:ascii="宋体" w:hAnsi="宋体"/>
          <w:color w:val="auto"/>
          <w:szCs w:val="21"/>
          <w:highlight w:val="none"/>
        </w:rPr>
      </w:pPr>
    </w:p>
    <w:p w14:paraId="032CAE2C">
      <w:pPr>
        <w:spacing w:line="360" w:lineRule="auto"/>
        <w:rPr>
          <w:rFonts w:ascii="宋体" w:hAnsi="宋体"/>
          <w:color w:val="auto"/>
          <w:sz w:val="24"/>
          <w:highlight w:val="none"/>
        </w:rPr>
      </w:pPr>
      <w:r>
        <w:rPr>
          <w:rFonts w:hint="eastAsia" w:ascii="宋体" w:hAnsi="宋体"/>
          <w:color w:val="auto"/>
          <w:sz w:val="24"/>
          <w:highlight w:val="none"/>
        </w:rPr>
        <w:t>注：1、投标人应根据投标产品的技术指标、对照招标文件要求一一对应如实填写技术响应表，在“偏离情况”栏注明“正偏离”、“负偏离”或“无偏离”。未按要求填写的，有可能作负偏离处理</w:t>
      </w:r>
    </w:p>
    <w:p w14:paraId="4D39243F">
      <w:pPr>
        <w:spacing w:line="360" w:lineRule="auto"/>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zh-CN"/>
        </w:rPr>
        <w:t>如果供应商在技术偏离表中注明无偏离，评标结束后、签订招标合同前又认为其实际产品与投标技术需求不一致的，视为供应商在投标有效期内对其投标文件进行了实质性修改，其投标将被追认为无效。</w:t>
      </w:r>
    </w:p>
    <w:p w14:paraId="0C0FD217">
      <w:pPr>
        <w:spacing w:line="360" w:lineRule="auto"/>
        <w:rPr>
          <w:rFonts w:ascii="宋体" w:hAnsi="宋体"/>
          <w:color w:val="auto"/>
          <w:sz w:val="24"/>
          <w:highlight w:val="none"/>
        </w:rPr>
      </w:pPr>
      <w:r>
        <w:rPr>
          <w:rFonts w:hint="eastAsia" w:ascii="宋体" w:hAnsi="宋体"/>
          <w:color w:val="auto"/>
          <w:sz w:val="24"/>
          <w:highlight w:val="none"/>
        </w:rPr>
        <w:t>3、标“▲”系实质性要求条款，不满足实质性要求条款的投标文件无效。</w:t>
      </w:r>
    </w:p>
    <w:p w14:paraId="59E0C55F">
      <w:pPr>
        <w:spacing w:line="400" w:lineRule="exact"/>
        <w:rPr>
          <w:rFonts w:ascii="宋体" w:hAnsi="宋体"/>
          <w:color w:val="auto"/>
          <w:sz w:val="24"/>
          <w:highlight w:val="none"/>
        </w:rPr>
      </w:pPr>
      <w:r>
        <w:rPr>
          <w:rFonts w:hint="eastAsia" w:ascii="宋体" w:hAnsi="宋体"/>
          <w:color w:val="auto"/>
          <w:sz w:val="24"/>
          <w:highlight w:val="none"/>
        </w:rPr>
        <w:t>4、标“★”系指重要技术指标。</w:t>
      </w:r>
    </w:p>
    <w:p w14:paraId="28C941B8">
      <w:pPr>
        <w:spacing w:line="400" w:lineRule="exact"/>
        <w:rPr>
          <w:rFonts w:ascii="宋体" w:hAnsi="宋体"/>
          <w:color w:val="auto"/>
          <w:sz w:val="24"/>
          <w:highlight w:val="none"/>
        </w:rPr>
      </w:pPr>
      <w:r>
        <w:rPr>
          <w:rFonts w:hint="eastAsia" w:ascii="宋体" w:hAnsi="宋体"/>
          <w:color w:val="auto"/>
          <w:sz w:val="24"/>
          <w:highlight w:val="none"/>
        </w:rPr>
        <w:t>5、上表中行数不够可自行添加。</w:t>
      </w:r>
    </w:p>
    <w:p w14:paraId="7633CAC1">
      <w:pPr>
        <w:adjustRightInd/>
        <w:spacing w:line="360" w:lineRule="auto"/>
        <w:rPr>
          <w:rFonts w:ascii="宋体" w:hAnsi="宋体"/>
          <w:color w:val="auto"/>
          <w:sz w:val="24"/>
          <w:highlight w:val="none"/>
        </w:rPr>
      </w:pPr>
    </w:p>
    <w:p w14:paraId="7907139B">
      <w:pPr>
        <w:rPr>
          <w:rFonts w:ascii="宋体" w:hAnsi="宋体"/>
          <w:color w:val="auto"/>
          <w:sz w:val="24"/>
          <w:highlight w:val="none"/>
          <w:lang w:val="zh-CN"/>
        </w:rPr>
      </w:pPr>
    </w:p>
    <w:p w14:paraId="248DD4D7">
      <w:pPr>
        <w:rPr>
          <w:rFonts w:ascii="宋体" w:hAnsi="宋体"/>
          <w:color w:val="auto"/>
          <w:sz w:val="24"/>
          <w:highlight w:val="none"/>
          <w:lang w:val="zh-CN"/>
        </w:rPr>
      </w:pPr>
    </w:p>
    <w:p w14:paraId="246A9DC4">
      <w:pPr>
        <w:rPr>
          <w:rFonts w:ascii="宋体" w:hAnsi="宋体"/>
          <w:color w:val="auto"/>
          <w:sz w:val="24"/>
          <w:highlight w:val="none"/>
          <w:lang w:val="zh-CN"/>
        </w:rPr>
      </w:pPr>
    </w:p>
    <w:p w14:paraId="00C846B0">
      <w:pPr>
        <w:snapToGrid w:val="0"/>
        <w:spacing w:before="50" w:after="50" w:line="360" w:lineRule="auto"/>
        <w:rPr>
          <w:rFonts w:ascii="宋体" w:hAnsi="宋体"/>
          <w:color w:val="auto"/>
          <w:spacing w:val="20"/>
          <w:sz w:val="24"/>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pacing w:val="20"/>
          <w:sz w:val="24"/>
          <w:highlight w:val="none"/>
        </w:rPr>
        <w:t>：</w:t>
      </w:r>
    </w:p>
    <w:p w14:paraId="33A25796">
      <w:pPr>
        <w:pStyle w:val="969"/>
        <w:spacing w:line="360" w:lineRule="auto"/>
        <w:ind w:right="480"/>
        <w:rPr>
          <w:rFonts w:hAnsi="宋体" w:eastAsia="宋体"/>
          <w:color w:val="auto"/>
          <w:sz w:val="24"/>
          <w:szCs w:val="24"/>
          <w:highlight w:val="none"/>
        </w:rPr>
      </w:pPr>
      <w:r>
        <w:rPr>
          <w:rFonts w:hint="eastAsia" w:hAnsi="宋体" w:eastAsia="宋体"/>
          <w:color w:val="auto"/>
          <w:sz w:val="24"/>
          <w:szCs w:val="24"/>
          <w:highlight w:val="none"/>
        </w:rPr>
        <w:t>投标人名称（加盖公章）</w:t>
      </w:r>
      <w:r>
        <w:rPr>
          <w:rFonts w:hint="eastAsia" w:hAnsi="宋体" w:eastAsia="宋体"/>
          <w:color w:val="auto"/>
          <w:sz w:val="24"/>
          <w:szCs w:val="24"/>
          <w:highlight w:val="none"/>
          <w:u w:val="single"/>
        </w:rPr>
        <w:t>：</w:t>
      </w:r>
    </w:p>
    <w:p w14:paraId="09B3D2E1">
      <w:pPr>
        <w:pStyle w:val="977"/>
        <w:spacing w:line="276" w:lineRule="auto"/>
        <w:rPr>
          <w:rFonts w:hAnsi="宋体" w:eastAsia="宋体" w:cs="宋体"/>
          <w:b/>
          <w:color w:val="auto"/>
          <w:sz w:val="24"/>
          <w:szCs w:val="24"/>
          <w:highlight w:val="none"/>
        </w:rPr>
      </w:pPr>
      <w:r>
        <w:rPr>
          <w:rFonts w:hint="eastAsia" w:hAnsi="宋体" w:eastAsia="宋体" w:cs="宋体"/>
          <w:color w:val="auto"/>
          <w:sz w:val="24"/>
          <w:szCs w:val="24"/>
          <w:highlight w:val="none"/>
        </w:rPr>
        <w:t>日期：_____年____月____日</w:t>
      </w:r>
    </w:p>
    <w:p w14:paraId="20C64F25">
      <w:pPr>
        <w:pStyle w:val="977"/>
        <w:spacing w:line="276" w:lineRule="auto"/>
        <w:jc w:val="center"/>
        <w:rPr>
          <w:rFonts w:hAnsi="宋体" w:eastAsia="宋体" w:cs="宋体"/>
          <w:b/>
          <w:color w:val="auto"/>
          <w:sz w:val="28"/>
          <w:szCs w:val="28"/>
          <w:highlight w:val="none"/>
        </w:rPr>
      </w:pPr>
    </w:p>
    <w:p w14:paraId="400800D3">
      <w:pPr>
        <w:pStyle w:val="977"/>
        <w:spacing w:line="276" w:lineRule="auto"/>
        <w:jc w:val="center"/>
        <w:rPr>
          <w:rFonts w:hAnsi="宋体" w:eastAsia="宋体" w:cs="宋体"/>
          <w:b/>
          <w:color w:val="auto"/>
          <w:sz w:val="28"/>
          <w:szCs w:val="28"/>
          <w:highlight w:val="none"/>
        </w:rPr>
      </w:pPr>
    </w:p>
    <w:p w14:paraId="72C47D31">
      <w:pPr>
        <w:pStyle w:val="977"/>
        <w:spacing w:line="276" w:lineRule="auto"/>
        <w:jc w:val="center"/>
        <w:rPr>
          <w:rFonts w:hAnsi="宋体" w:eastAsia="宋体" w:cs="宋体"/>
          <w:b/>
          <w:color w:val="auto"/>
          <w:sz w:val="28"/>
          <w:szCs w:val="28"/>
          <w:highlight w:val="none"/>
        </w:rPr>
      </w:pPr>
    </w:p>
    <w:p w14:paraId="5AF172DE">
      <w:pPr>
        <w:pStyle w:val="977"/>
        <w:spacing w:line="276" w:lineRule="auto"/>
        <w:jc w:val="center"/>
        <w:rPr>
          <w:rFonts w:hAnsi="宋体" w:eastAsia="宋体" w:cs="宋体"/>
          <w:b/>
          <w:color w:val="auto"/>
          <w:sz w:val="28"/>
          <w:szCs w:val="28"/>
          <w:highlight w:val="none"/>
        </w:rPr>
      </w:pPr>
    </w:p>
    <w:p w14:paraId="6048C370">
      <w:pPr>
        <w:pStyle w:val="977"/>
        <w:spacing w:line="276" w:lineRule="auto"/>
        <w:jc w:val="center"/>
        <w:rPr>
          <w:rFonts w:hAnsi="宋体" w:eastAsia="宋体" w:cs="宋体"/>
          <w:b/>
          <w:color w:val="auto"/>
          <w:sz w:val="28"/>
          <w:szCs w:val="28"/>
          <w:highlight w:val="none"/>
        </w:rPr>
      </w:pPr>
      <w:r>
        <w:rPr>
          <w:rFonts w:hint="eastAsia" w:hAnsi="宋体" w:eastAsia="宋体" w:cs="宋体"/>
          <w:b/>
          <w:color w:val="auto"/>
          <w:sz w:val="28"/>
          <w:szCs w:val="28"/>
          <w:highlight w:val="none"/>
        </w:rPr>
        <w:t>商务响应（偏离）表</w:t>
      </w:r>
    </w:p>
    <w:tbl>
      <w:tblPr>
        <w:tblStyle w:val="64"/>
        <w:tblpPr w:leftFromText="180" w:rightFromText="180" w:vertAnchor="text" w:horzAnchor="page" w:tblpX="1587" w:tblpY="325"/>
        <w:tblOverlap w:val="never"/>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0"/>
        <w:gridCol w:w="3086"/>
        <w:gridCol w:w="3086"/>
        <w:gridCol w:w="2107"/>
      </w:tblGrid>
      <w:tr w14:paraId="25A76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6" w:hRule="atLeast"/>
        </w:trPr>
        <w:tc>
          <w:tcPr>
            <w:tcW w:w="910" w:type="dxa"/>
            <w:tcBorders>
              <w:tl2br w:val="nil"/>
              <w:tr2bl w:val="nil"/>
            </w:tcBorders>
          </w:tcPr>
          <w:p w14:paraId="64446935">
            <w:pPr>
              <w:spacing w:before="240" w:after="240"/>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086" w:type="dxa"/>
            <w:tcBorders>
              <w:tl2br w:val="nil"/>
              <w:tr2bl w:val="nil"/>
            </w:tcBorders>
          </w:tcPr>
          <w:p w14:paraId="353F7FA5">
            <w:pPr>
              <w:spacing w:before="240" w:after="240"/>
              <w:jc w:val="center"/>
              <w:rPr>
                <w:rFonts w:ascii="宋体" w:hAnsi="宋体" w:cs="宋体"/>
                <w:b/>
                <w:bCs/>
                <w:color w:val="auto"/>
                <w:sz w:val="24"/>
                <w:highlight w:val="none"/>
              </w:rPr>
            </w:pPr>
            <w:r>
              <w:rPr>
                <w:rFonts w:hint="eastAsia" w:ascii="宋体" w:hAnsi="宋体" w:cs="宋体"/>
                <w:b/>
                <w:bCs/>
                <w:color w:val="auto"/>
                <w:sz w:val="24"/>
                <w:highlight w:val="none"/>
              </w:rPr>
              <w:t>采购文件的规定</w:t>
            </w:r>
          </w:p>
        </w:tc>
        <w:tc>
          <w:tcPr>
            <w:tcW w:w="3086" w:type="dxa"/>
            <w:tcBorders>
              <w:tl2br w:val="nil"/>
              <w:tr2bl w:val="nil"/>
            </w:tcBorders>
          </w:tcPr>
          <w:p w14:paraId="697D6ABA">
            <w:pPr>
              <w:spacing w:before="240" w:after="240"/>
              <w:jc w:val="center"/>
              <w:rPr>
                <w:rFonts w:ascii="宋体" w:hAnsi="宋体" w:cs="宋体"/>
                <w:b/>
                <w:bCs/>
                <w:color w:val="auto"/>
                <w:sz w:val="24"/>
                <w:highlight w:val="none"/>
              </w:rPr>
            </w:pPr>
            <w:r>
              <w:rPr>
                <w:rFonts w:hint="eastAsia" w:ascii="宋体" w:hAnsi="宋体" w:cs="宋体"/>
                <w:b/>
                <w:bCs/>
                <w:color w:val="auto"/>
                <w:sz w:val="24"/>
                <w:highlight w:val="none"/>
              </w:rPr>
              <w:t>投标文件的响应</w:t>
            </w:r>
          </w:p>
        </w:tc>
        <w:tc>
          <w:tcPr>
            <w:tcW w:w="2107" w:type="dxa"/>
            <w:tcBorders>
              <w:tl2br w:val="nil"/>
              <w:tr2bl w:val="nil"/>
            </w:tcBorders>
          </w:tcPr>
          <w:p w14:paraId="1D9BAEB9">
            <w:pPr>
              <w:spacing w:before="240" w:after="240"/>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619B2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910" w:type="dxa"/>
            <w:tcBorders>
              <w:tl2br w:val="nil"/>
              <w:tr2bl w:val="nil"/>
            </w:tcBorders>
          </w:tcPr>
          <w:p w14:paraId="52CF75EC">
            <w:pPr>
              <w:spacing w:beforeLines="50" w:afterLines="50" w:line="276"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086" w:type="dxa"/>
            <w:tcBorders>
              <w:tl2br w:val="nil"/>
              <w:tr2bl w:val="nil"/>
            </w:tcBorders>
            <w:vAlign w:val="center"/>
          </w:tcPr>
          <w:p w14:paraId="2B55D70B">
            <w:pPr>
              <w:spacing w:beforeLines="50" w:afterLines="50" w:line="300" w:lineRule="auto"/>
              <w:jc w:val="center"/>
              <w:rPr>
                <w:rFonts w:ascii="宋体" w:hAnsi="宋体" w:cs="宋体"/>
                <w:color w:val="auto"/>
                <w:sz w:val="24"/>
                <w:highlight w:val="none"/>
              </w:rPr>
            </w:pPr>
          </w:p>
        </w:tc>
        <w:tc>
          <w:tcPr>
            <w:tcW w:w="3086" w:type="dxa"/>
            <w:tcBorders>
              <w:tl2br w:val="nil"/>
              <w:tr2bl w:val="nil"/>
            </w:tcBorders>
          </w:tcPr>
          <w:p w14:paraId="401A9379">
            <w:pPr>
              <w:spacing w:beforeLines="50" w:afterLines="50" w:line="276" w:lineRule="auto"/>
              <w:ind w:firstLine="480"/>
              <w:rPr>
                <w:rFonts w:ascii="宋体" w:hAnsi="宋体" w:cs="宋体"/>
                <w:color w:val="auto"/>
                <w:sz w:val="24"/>
                <w:highlight w:val="none"/>
              </w:rPr>
            </w:pPr>
          </w:p>
        </w:tc>
        <w:tc>
          <w:tcPr>
            <w:tcW w:w="2107" w:type="dxa"/>
            <w:tcBorders>
              <w:tl2br w:val="nil"/>
              <w:tr2bl w:val="nil"/>
            </w:tcBorders>
          </w:tcPr>
          <w:p w14:paraId="3780588F">
            <w:pPr>
              <w:spacing w:beforeLines="50" w:afterLines="50" w:line="276" w:lineRule="auto"/>
              <w:ind w:firstLine="480"/>
              <w:rPr>
                <w:rFonts w:ascii="宋体" w:hAnsi="宋体" w:cs="宋体"/>
                <w:color w:val="auto"/>
                <w:sz w:val="24"/>
                <w:highlight w:val="none"/>
              </w:rPr>
            </w:pPr>
          </w:p>
        </w:tc>
      </w:tr>
      <w:tr w14:paraId="36640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910" w:type="dxa"/>
            <w:tcBorders>
              <w:tl2br w:val="nil"/>
              <w:tr2bl w:val="nil"/>
            </w:tcBorders>
          </w:tcPr>
          <w:p w14:paraId="79583F48">
            <w:pPr>
              <w:spacing w:beforeLines="50" w:afterLines="50" w:line="276"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086" w:type="dxa"/>
            <w:tcBorders>
              <w:tl2br w:val="nil"/>
              <w:tr2bl w:val="nil"/>
            </w:tcBorders>
            <w:vAlign w:val="center"/>
          </w:tcPr>
          <w:p w14:paraId="7E539466">
            <w:pPr>
              <w:spacing w:beforeLines="50" w:afterLines="50" w:line="300" w:lineRule="auto"/>
              <w:jc w:val="center"/>
              <w:rPr>
                <w:rFonts w:ascii="宋体" w:hAnsi="宋体" w:cs="宋体"/>
                <w:color w:val="auto"/>
                <w:sz w:val="24"/>
                <w:highlight w:val="none"/>
              </w:rPr>
            </w:pPr>
          </w:p>
        </w:tc>
        <w:tc>
          <w:tcPr>
            <w:tcW w:w="3086" w:type="dxa"/>
            <w:tcBorders>
              <w:tl2br w:val="nil"/>
              <w:tr2bl w:val="nil"/>
            </w:tcBorders>
          </w:tcPr>
          <w:p w14:paraId="661DD66D">
            <w:pPr>
              <w:spacing w:beforeLines="50" w:afterLines="50" w:line="276" w:lineRule="auto"/>
              <w:ind w:firstLine="480"/>
              <w:rPr>
                <w:rFonts w:ascii="宋体" w:hAnsi="宋体" w:cs="宋体"/>
                <w:color w:val="auto"/>
                <w:sz w:val="24"/>
                <w:highlight w:val="none"/>
              </w:rPr>
            </w:pPr>
          </w:p>
        </w:tc>
        <w:tc>
          <w:tcPr>
            <w:tcW w:w="2107" w:type="dxa"/>
            <w:tcBorders>
              <w:tl2br w:val="nil"/>
              <w:tr2bl w:val="nil"/>
            </w:tcBorders>
          </w:tcPr>
          <w:p w14:paraId="5D369C2E">
            <w:pPr>
              <w:spacing w:beforeLines="50" w:afterLines="50" w:line="276" w:lineRule="auto"/>
              <w:ind w:firstLine="480"/>
              <w:rPr>
                <w:rFonts w:ascii="宋体" w:hAnsi="宋体" w:cs="宋体"/>
                <w:color w:val="auto"/>
                <w:sz w:val="24"/>
                <w:highlight w:val="none"/>
              </w:rPr>
            </w:pPr>
          </w:p>
        </w:tc>
      </w:tr>
      <w:tr w14:paraId="25A6C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910" w:type="dxa"/>
            <w:tcBorders>
              <w:tl2br w:val="nil"/>
              <w:tr2bl w:val="nil"/>
            </w:tcBorders>
          </w:tcPr>
          <w:p w14:paraId="7CDC4602">
            <w:pPr>
              <w:spacing w:beforeLines="50" w:afterLines="50" w:line="276" w:lineRule="auto"/>
              <w:ind w:firstLine="480"/>
              <w:rPr>
                <w:rFonts w:ascii="宋体" w:hAnsi="宋体" w:cs="宋体"/>
                <w:color w:val="auto"/>
                <w:sz w:val="24"/>
                <w:highlight w:val="none"/>
              </w:rPr>
            </w:pPr>
          </w:p>
        </w:tc>
        <w:tc>
          <w:tcPr>
            <w:tcW w:w="3086" w:type="dxa"/>
            <w:tcBorders>
              <w:tl2br w:val="nil"/>
              <w:tr2bl w:val="nil"/>
            </w:tcBorders>
          </w:tcPr>
          <w:p w14:paraId="74AE4516">
            <w:pPr>
              <w:spacing w:beforeLines="50" w:afterLines="50" w:line="276" w:lineRule="auto"/>
              <w:ind w:firstLine="480"/>
              <w:rPr>
                <w:rFonts w:ascii="宋体" w:hAnsi="宋体" w:cs="宋体"/>
                <w:color w:val="auto"/>
                <w:sz w:val="24"/>
                <w:highlight w:val="none"/>
              </w:rPr>
            </w:pPr>
          </w:p>
        </w:tc>
        <w:tc>
          <w:tcPr>
            <w:tcW w:w="3086" w:type="dxa"/>
            <w:tcBorders>
              <w:tl2br w:val="nil"/>
              <w:tr2bl w:val="nil"/>
            </w:tcBorders>
          </w:tcPr>
          <w:p w14:paraId="7F782F60">
            <w:pPr>
              <w:spacing w:beforeLines="50" w:afterLines="50" w:line="276" w:lineRule="auto"/>
              <w:ind w:firstLine="480"/>
              <w:rPr>
                <w:rFonts w:ascii="宋体" w:hAnsi="宋体" w:cs="宋体"/>
                <w:color w:val="auto"/>
                <w:sz w:val="24"/>
                <w:highlight w:val="none"/>
              </w:rPr>
            </w:pPr>
          </w:p>
        </w:tc>
        <w:tc>
          <w:tcPr>
            <w:tcW w:w="2107" w:type="dxa"/>
            <w:tcBorders>
              <w:tl2br w:val="nil"/>
              <w:tr2bl w:val="nil"/>
            </w:tcBorders>
          </w:tcPr>
          <w:p w14:paraId="112BBBB5">
            <w:pPr>
              <w:spacing w:beforeLines="50" w:afterLines="50" w:line="276" w:lineRule="auto"/>
              <w:ind w:firstLine="480"/>
              <w:rPr>
                <w:rFonts w:ascii="宋体" w:hAnsi="宋体" w:cs="宋体"/>
                <w:color w:val="auto"/>
                <w:sz w:val="24"/>
                <w:highlight w:val="none"/>
              </w:rPr>
            </w:pPr>
          </w:p>
        </w:tc>
      </w:tr>
      <w:tr w14:paraId="642F4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910" w:type="dxa"/>
            <w:tcBorders>
              <w:tl2br w:val="nil"/>
              <w:tr2bl w:val="nil"/>
            </w:tcBorders>
            <w:vAlign w:val="center"/>
          </w:tcPr>
          <w:p w14:paraId="28D34CBC">
            <w:pPr>
              <w:spacing w:beforeLines="50" w:afterLines="50" w:line="276"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086" w:type="dxa"/>
            <w:tcBorders>
              <w:tl2br w:val="nil"/>
              <w:tr2bl w:val="nil"/>
            </w:tcBorders>
            <w:vAlign w:val="center"/>
          </w:tcPr>
          <w:p w14:paraId="255C2AAC">
            <w:pPr>
              <w:spacing w:beforeLines="50" w:afterLines="50"/>
              <w:jc w:val="center"/>
              <w:rPr>
                <w:rFonts w:ascii="宋体" w:hAnsi="宋体" w:cs="宋体"/>
                <w:color w:val="auto"/>
                <w:sz w:val="24"/>
                <w:highlight w:val="none"/>
              </w:rPr>
            </w:pPr>
            <w:r>
              <w:rPr>
                <w:rFonts w:hint="eastAsia" w:ascii="宋体" w:hAnsi="宋体" w:cs="宋体"/>
                <w:color w:val="auto"/>
                <w:sz w:val="24"/>
                <w:highlight w:val="none"/>
              </w:rPr>
              <w:t>…</w:t>
            </w:r>
          </w:p>
        </w:tc>
        <w:tc>
          <w:tcPr>
            <w:tcW w:w="3086" w:type="dxa"/>
            <w:tcBorders>
              <w:tl2br w:val="nil"/>
              <w:tr2bl w:val="nil"/>
            </w:tcBorders>
            <w:vAlign w:val="center"/>
          </w:tcPr>
          <w:p w14:paraId="04307554">
            <w:pPr>
              <w:spacing w:beforeLines="50" w:afterLines="50"/>
              <w:jc w:val="center"/>
              <w:rPr>
                <w:rFonts w:ascii="宋体" w:hAnsi="宋体" w:cs="宋体"/>
                <w:color w:val="auto"/>
                <w:sz w:val="24"/>
                <w:highlight w:val="none"/>
              </w:rPr>
            </w:pPr>
            <w:r>
              <w:rPr>
                <w:rFonts w:hint="eastAsia" w:ascii="宋体" w:hAnsi="宋体" w:cs="宋体"/>
                <w:color w:val="auto"/>
                <w:sz w:val="24"/>
                <w:highlight w:val="none"/>
              </w:rPr>
              <w:t>…</w:t>
            </w:r>
          </w:p>
        </w:tc>
        <w:tc>
          <w:tcPr>
            <w:tcW w:w="2107" w:type="dxa"/>
            <w:tcBorders>
              <w:tl2br w:val="nil"/>
              <w:tr2bl w:val="nil"/>
            </w:tcBorders>
            <w:vAlign w:val="center"/>
          </w:tcPr>
          <w:p w14:paraId="69ACF504">
            <w:pPr>
              <w:spacing w:beforeLines="50" w:afterLines="50"/>
              <w:jc w:val="center"/>
              <w:rPr>
                <w:rFonts w:ascii="宋体" w:hAnsi="宋体" w:cs="宋体"/>
                <w:color w:val="auto"/>
                <w:sz w:val="24"/>
                <w:highlight w:val="none"/>
              </w:rPr>
            </w:pPr>
            <w:r>
              <w:rPr>
                <w:rFonts w:hint="eastAsia" w:ascii="宋体" w:hAnsi="宋体" w:cs="宋体"/>
                <w:color w:val="auto"/>
                <w:sz w:val="24"/>
                <w:highlight w:val="none"/>
              </w:rPr>
              <w:t>…</w:t>
            </w:r>
          </w:p>
        </w:tc>
      </w:tr>
    </w:tbl>
    <w:p w14:paraId="47242AA2">
      <w:pPr>
        <w:spacing w:line="360" w:lineRule="auto"/>
        <w:ind w:firstLine="482"/>
        <w:rPr>
          <w:rFonts w:ascii="宋体" w:hAnsi="宋体" w:cs="宋体"/>
          <w:b/>
          <w:color w:val="auto"/>
          <w:sz w:val="24"/>
          <w:highlight w:val="none"/>
        </w:rPr>
      </w:pPr>
      <w:r>
        <w:rPr>
          <w:rFonts w:hint="eastAsia" w:ascii="宋体" w:hAnsi="宋体" w:cs="宋体"/>
          <w:b/>
          <w:color w:val="auto"/>
          <w:sz w:val="24"/>
          <w:highlight w:val="none"/>
        </w:rPr>
        <w:t>注：1、供应商的响应文件（除技术规格部分）与采购文件之规定存在偏离的，应在此表中如实说明。未在上表中说明的，将被认为完全响应采购文件的规定。</w:t>
      </w:r>
    </w:p>
    <w:p w14:paraId="2A16FDD8">
      <w:pPr>
        <w:numPr>
          <w:ilvl w:val="0"/>
          <w:numId w:val="8"/>
        </w:numPr>
        <w:snapToGrid w:val="0"/>
        <w:spacing w:beforeLines="50" w:after="50" w:line="360" w:lineRule="auto"/>
        <w:rPr>
          <w:rFonts w:ascii="宋体" w:hAnsi="宋体" w:cs="宋体"/>
          <w:b/>
          <w:color w:val="auto"/>
          <w:sz w:val="24"/>
          <w:highlight w:val="none"/>
        </w:rPr>
      </w:pPr>
      <w:r>
        <w:rPr>
          <w:rFonts w:hint="eastAsia" w:ascii="宋体" w:hAnsi="宋体" w:cs="宋体"/>
          <w:b/>
          <w:color w:val="auto"/>
          <w:sz w:val="24"/>
          <w:highlight w:val="none"/>
        </w:rPr>
        <w:t>上表中行数不够可自行添加</w:t>
      </w:r>
    </w:p>
    <w:p w14:paraId="761F5939">
      <w:pPr>
        <w:snapToGrid w:val="0"/>
        <w:spacing w:before="50" w:after="50" w:line="360" w:lineRule="auto"/>
        <w:rPr>
          <w:rFonts w:ascii="宋体" w:hAnsi="宋体"/>
          <w:color w:val="auto"/>
          <w:sz w:val="24"/>
          <w:highlight w:val="none"/>
        </w:rPr>
      </w:pPr>
    </w:p>
    <w:p w14:paraId="09B7D070">
      <w:pPr>
        <w:snapToGrid w:val="0"/>
        <w:spacing w:before="50" w:after="50" w:line="360" w:lineRule="auto"/>
        <w:rPr>
          <w:rFonts w:ascii="宋体" w:hAnsi="宋体"/>
          <w:color w:val="auto"/>
          <w:sz w:val="24"/>
          <w:highlight w:val="none"/>
        </w:rPr>
      </w:pPr>
    </w:p>
    <w:p w14:paraId="1EACB258">
      <w:pPr>
        <w:snapToGrid w:val="0"/>
        <w:spacing w:before="50" w:after="50" w:line="360" w:lineRule="auto"/>
        <w:rPr>
          <w:rFonts w:ascii="宋体" w:hAnsi="宋体"/>
          <w:color w:val="auto"/>
          <w:sz w:val="24"/>
          <w:highlight w:val="none"/>
        </w:rPr>
      </w:pPr>
    </w:p>
    <w:p w14:paraId="604A4D8D">
      <w:pPr>
        <w:snapToGrid w:val="0"/>
        <w:spacing w:before="50" w:after="50" w:line="360" w:lineRule="auto"/>
        <w:rPr>
          <w:rFonts w:ascii="宋体" w:hAnsi="宋体"/>
          <w:color w:val="auto"/>
          <w:spacing w:val="20"/>
          <w:sz w:val="24"/>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pacing w:val="20"/>
          <w:sz w:val="24"/>
          <w:highlight w:val="none"/>
        </w:rPr>
        <w:t>：</w:t>
      </w:r>
    </w:p>
    <w:p w14:paraId="56932E9F">
      <w:pPr>
        <w:pStyle w:val="977"/>
        <w:spacing w:line="360" w:lineRule="auto"/>
        <w:ind w:right="480"/>
        <w:rPr>
          <w:rFonts w:hAnsi="宋体" w:eastAsia="宋体"/>
          <w:color w:val="auto"/>
          <w:sz w:val="24"/>
          <w:szCs w:val="24"/>
          <w:highlight w:val="none"/>
        </w:rPr>
      </w:pPr>
      <w:r>
        <w:rPr>
          <w:rFonts w:hint="eastAsia" w:hAnsi="宋体" w:eastAsia="宋体"/>
          <w:color w:val="auto"/>
          <w:sz w:val="24"/>
          <w:szCs w:val="24"/>
          <w:highlight w:val="none"/>
        </w:rPr>
        <w:t>投标人名称(公章)</w:t>
      </w:r>
      <w:r>
        <w:rPr>
          <w:rFonts w:hint="eastAsia" w:hAnsi="宋体" w:eastAsia="宋体"/>
          <w:color w:val="auto"/>
          <w:sz w:val="24"/>
          <w:szCs w:val="24"/>
          <w:highlight w:val="none"/>
          <w:u w:val="single"/>
        </w:rPr>
        <w:t>：</w:t>
      </w:r>
    </w:p>
    <w:p w14:paraId="32BF144C">
      <w:pPr>
        <w:snapToGrid w:val="0"/>
        <w:spacing w:beforeLines="50" w:after="50"/>
        <w:jc w:val="left"/>
        <w:rPr>
          <w:rFonts w:ascii="宋体" w:hAnsi="宋体" w:cs="宋体"/>
          <w:b/>
          <w:color w:val="auto"/>
          <w:sz w:val="24"/>
          <w:highlight w:val="none"/>
        </w:rPr>
      </w:pPr>
      <w:r>
        <w:rPr>
          <w:rFonts w:hint="eastAsia" w:ascii="宋体" w:hAnsi="宋体"/>
          <w:color w:val="auto"/>
          <w:sz w:val="24"/>
          <w:highlight w:val="none"/>
        </w:rPr>
        <w:t>日期：_____年____月____日</w:t>
      </w:r>
    </w:p>
    <w:p w14:paraId="0DB1912E">
      <w:pPr>
        <w:pStyle w:val="969"/>
        <w:spacing w:line="360" w:lineRule="auto"/>
        <w:ind w:right="480"/>
        <w:rPr>
          <w:rFonts w:hAnsi="宋体" w:eastAsia="宋体" w:cs="宋体"/>
          <w:color w:val="auto"/>
          <w:sz w:val="24"/>
          <w:szCs w:val="24"/>
          <w:highlight w:val="none"/>
        </w:rPr>
      </w:pPr>
    </w:p>
    <w:p w14:paraId="2E5F99B7">
      <w:pPr>
        <w:pStyle w:val="969"/>
        <w:spacing w:line="360" w:lineRule="auto"/>
        <w:ind w:right="480"/>
        <w:rPr>
          <w:rFonts w:hAnsi="宋体" w:eastAsia="宋体" w:cs="宋体"/>
          <w:color w:val="auto"/>
          <w:sz w:val="24"/>
          <w:szCs w:val="24"/>
          <w:highlight w:val="none"/>
        </w:rPr>
      </w:pPr>
    </w:p>
    <w:p w14:paraId="64542393">
      <w:pPr>
        <w:pStyle w:val="969"/>
        <w:spacing w:line="360" w:lineRule="auto"/>
        <w:ind w:right="480"/>
        <w:rPr>
          <w:rFonts w:hAnsi="宋体" w:eastAsia="宋体" w:cs="宋体"/>
          <w:color w:val="auto"/>
          <w:sz w:val="24"/>
          <w:szCs w:val="24"/>
          <w:highlight w:val="none"/>
        </w:rPr>
      </w:pPr>
    </w:p>
    <w:p w14:paraId="1F00DE52">
      <w:pPr>
        <w:snapToGrid w:val="0"/>
        <w:spacing w:beforeLines="50" w:after="50"/>
        <w:jc w:val="center"/>
        <w:rPr>
          <w:rFonts w:ascii="宋体" w:hAnsi="宋体" w:cs="宋体"/>
          <w:b/>
          <w:color w:val="auto"/>
          <w:sz w:val="32"/>
          <w:szCs w:val="32"/>
          <w:highlight w:val="none"/>
        </w:rPr>
      </w:pPr>
    </w:p>
    <w:p w14:paraId="2A764F49">
      <w:pPr>
        <w:snapToGrid w:val="0"/>
        <w:spacing w:beforeLines="50" w:after="50"/>
        <w:jc w:val="center"/>
        <w:rPr>
          <w:rFonts w:ascii="宋体" w:hAnsi="宋体" w:cs="宋体"/>
          <w:b/>
          <w:color w:val="auto"/>
          <w:sz w:val="32"/>
          <w:szCs w:val="32"/>
          <w:highlight w:val="none"/>
        </w:rPr>
      </w:pPr>
    </w:p>
    <w:p w14:paraId="3AB75822">
      <w:pPr>
        <w:snapToGrid w:val="0"/>
        <w:spacing w:beforeLines="50" w:after="50"/>
        <w:jc w:val="center"/>
        <w:rPr>
          <w:rFonts w:ascii="宋体" w:hAnsi="宋体" w:cs="宋体"/>
          <w:b/>
          <w:color w:val="auto"/>
          <w:sz w:val="32"/>
          <w:szCs w:val="32"/>
          <w:highlight w:val="none"/>
        </w:rPr>
      </w:pPr>
    </w:p>
    <w:p w14:paraId="62D0CABA">
      <w:pPr>
        <w:snapToGrid w:val="0"/>
        <w:spacing w:beforeLines="50" w:after="50"/>
        <w:jc w:val="center"/>
        <w:rPr>
          <w:rFonts w:ascii="宋体" w:hAnsi="宋体" w:cs="宋体"/>
          <w:b/>
          <w:color w:val="auto"/>
          <w:sz w:val="32"/>
          <w:szCs w:val="32"/>
          <w:highlight w:val="none"/>
        </w:rPr>
      </w:pPr>
    </w:p>
    <w:p w14:paraId="678A730C">
      <w:pPr>
        <w:snapToGrid w:val="0"/>
        <w:spacing w:beforeLines="50" w:after="50"/>
        <w:jc w:val="center"/>
        <w:rPr>
          <w:rFonts w:ascii="宋体" w:hAnsi="宋体" w:cs="宋体"/>
          <w:b/>
          <w:color w:val="auto"/>
          <w:sz w:val="32"/>
          <w:szCs w:val="32"/>
          <w:highlight w:val="none"/>
        </w:rPr>
      </w:pPr>
    </w:p>
    <w:p w14:paraId="0E1420B0">
      <w:pPr>
        <w:snapToGrid w:val="0"/>
        <w:spacing w:beforeLines="50" w:after="50"/>
        <w:rPr>
          <w:rFonts w:ascii="宋体" w:hAnsi="宋体" w:cs="宋体"/>
          <w:b/>
          <w:color w:val="auto"/>
          <w:sz w:val="32"/>
          <w:szCs w:val="32"/>
          <w:highlight w:val="none"/>
        </w:rPr>
      </w:pPr>
    </w:p>
    <w:p w14:paraId="14991177">
      <w:pPr>
        <w:pStyle w:val="25"/>
        <w:rPr>
          <w:color w:val="auto"/>
          <w:highlight w:val="none"/>
        </w:rPr>
      </w:pPr>
    </w:p>
    <w:p w14:paraId="62B99864">
      <w:pPr>
        <w:snapToGrid w:val="0"/>
        <w:spacing w:beforeLines="50" w:after="50"/>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投标函</w:t>
      </w:r>
    </w:p>
    <w:p w14:paraId="1D59DCF0">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 xml:space="preserve">致（采购人）：  </w:t>
      </w:r>
    </w:p>
    <w:p w14:paraId="0672BD24">
      <w:pPr>
        <w:snapToGrid w:val="0"/>
        <w:spacing w:beforeLines="50" w:after="50" w:line="360" w:lineRule="auto"/>
        <w:ind w:firstLine="480" w:firstLineChars="200"/>
        <w:rPr>
          <w:rFonts w:ascii="宋体" w:hAnsi="宋体" w:cs="宋体"/>
          <w:bCs/>
          <w:color w:val="auto"/>
          <w:sz w:val="24"/>
          <w:szCs w:val="20"/>
          <w:highlight w:val="none"/>
        </w:rPr>
      </w:pPr>
      <w:r>
        <w:rPr>
          <w:rFonts w:hint="eastAsia" w:ascii="宋体" w:hAnsi="宋体" w:cs="宋体"/>
          <w:color w:val="auto"/>
          <w:sz w:val="24"/>
          <w:highlight w:val="none"/>
        </w:rPr>
        <w:t>根据贵方为</w:t>
      </w:r>
      <w:r>
        <w:rPr>
          <w:rFonts w:hint="eastAsia" w:ascii="宋体" w:hAnsi="宋体" w:cs="宋体"/>
          <w:bCs/>
          <w:color w:val="auto"/>
          <w:sz w:val="24"/>
          <w:highlight w:val="none"/>
        </w:rPr>
        <w:t>项目名称：</w:t>
      </w:r>
      <w:r>
        <w:rPr>
          <w:rFonts w:hint="eastAsia" w:ascii="宋体" w:hAnsi="宋体" w:cs="宋体"/>
          <w:color w:val="auto"/>
          <w:sz w:val="24"/>
          <w:highlight w:val="none"/>
        </w:rPr>
        <w:t>的招标公告（项目编号：），签字代表（全名）经正式授权并代表投标人_（投标人名称）提交电子版投标文件（资格响应文件、商务技术响应文件、报价响应文件）。</w:t>
      </w:r>
    </w:p>
    <w:p w14:paraId="60355FA0">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据此函，签字代表宣布同意如下：</w:t>
      </w:r>
    </w:p>
    <w:p w14:paraId="144934B4">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36497963">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2.投标人在投标之前已经与贵方进行了充分的沟通，完全理解并接受招标文件的各项规定和要求，对招标文件的合理性、合法性不再有异议。</w:t>
      </w:r>
    </w:p>
    <w:p w14:paraId="00F978FE">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3.本投标有效期自开标日起 ______个日。</w:t>
      </w:r>
    </w:p>
    <w:p w14:paraId="1013167B">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4.如中标，本投标文件至本项目合同履行完毕止均保持有效，本投标人将按“招标文件”及政府采购法律、法规的规定履行合同责任和义务。</w:t>
      </w:r>
    </w:p>
    <w:p w14:paraId="00272AA9">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5.投标人同意按照贵方要求提供与投标有关的一切数据或资料。</w:t>
      </w:r>
    </w:p>
    <w:p w14:paraId="0F1EF2CE">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6.与本投标有关的一切正式往来信函请寄：</w:t>
      </w:r>
    </w:p>
    <w:p w14:paraId="1B1B7D89">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地址：邮编：__________  电话：_____________</w:t>
      </w:r>
    </w:p>
    <w:p w14:paraId="2317EDD0">
      <w:pPr>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rPr>
        <w:t>传真：______________投标人代表姓名：__________  职务：</w:t>
      </w:r>
    </w:p>
    <w:p w14:paraId="490A7374">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投标人名称(公章):___________________</w:t>
      </w:r>
    </w:p>
    <w:p w14:paraId="6F2F8D1E">
      <w:pPr>
        <w:snapToGrid w:val="0"/>
        <w:spacing w:line="360" w:lineRule="auto"/>
        <w:rPr>
          <w:rFonts w:ascii="宋体" w:hAnsi="宋体" w:cs="宋体"/>
          <w:color w:val="auto"/>
          <w:sz w:val="24"/>
          <w:szCs w:val="20"/>
          <w:highlight w:val="none"/>
        </w:rPr>
      </w:pPr>
      <w:r>
        <w:rPr>
          <w:rFonts w:hint="eastAsia" w:ascii="宋体" w:hAnsi="宋体" w:cs="宋体"/>
          <w:color w:val="auto"/>
          <w:sz w:val="24"/>
          <w:highlight w:val="none"/>
        </w:rPr>
        <w:t>开户银行：   银行帐号：</w:t>
      </w:r>
    </w:p>
    <w:p w14:paraId="5224B9D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法定代表人或授权委托人（签名）：            投标人名称（加盖公章）：          </w:t>
      </w:r>
    </w:p>
    <w:p w14:paraId="2A09D167">
      <w:pPr>
        <w:snapToGrid w:val="0"/>
        <w:spacing w:line="360" w:lineRule="auto"/>
        <w:ind w:firstLine="5040" w:firstLineChars="2100"/>
        <w:rPr>
          <w:rFonts w:ascii="宋体" w:hAnsi="宋体" w:cs="宋体"/>
          <w:color w:val="auto"/>
          <w:sz w:val="24"/>
          <w:highlight w:val="none"/>
        </w:rPr>
      </w:pPr>
    </w:p>
    <w:p w14:paraId="10F6A94A">
      <w:pPr>
        <w:snapToGrid w:val="0"/>
        <w:spacing w:line="360" w:lineRule="auto"/>
        <w:ind w:firstLine="5040" w:firstLineChars="2100"/>
        <w:rPr>
          <w:rFonts w:ascii="宋体" w:hAnsi="宋体" w:cs="宋体"/>
          <w:color w:val="auto"/>
          <w:sz w:val="24"/>
          <w:highlight w:val="none"/>
        </w:rPr>
      </w:pPr>
      <w:r>
        <w:rPr>
          <w:rFonts w:hint="eastAsia" w:ascii="宋体" w:hAnsi="宋体" w:cs="宋体"/>
          <w:color w:val="auto"/>
          <w:sz w:val="24"/>
          <w:highlight w:val="none"/>
        </w:rPr>
        <w:t>日期:_____年___月___日</w:t>
      </w:r>
    </w:p>
    <w:p w14:paraId="40610A5F">
      <w:pPr>
        <w:snapToGrid w:val="0"/>
        <w:spacing w:before="50" w:after="50"/>
        <w:rPr>
          <w:rFonts w:ascii="宋体" w:hAnsi="宋体" w:cs="宋体"/>
          <w:color w:val="auto"/>
          <w:highlight w:val="none"/>
        </w:rPr>
      </w:pPr>
    </w:p>
    <w:p w14:paraId="34048194">
      <w:pPr>
        <w:snapToGrid w:val="0"/>
        <w:spacing w:before="50" w:after="50"/>
        <w:rPr>
          <w:rFonts w:ascii="宋体" w:hAnsi="宋体" w:cs="宋体"/>
          <w:color w:val="auto"/>
          <w:highlight w:val="none"/>
        </w:rPr>
      </w:pPr>
    </w:p>
    <w:p w14:paraId="519D2D22">
      <w:pPr>
        <w:snapToGrid w:val="0"/>
        <w:spacing w:before="50" w:after="50"/>
        <w:rPr>
          <w:rFonts w:ascii="宋体" w:hAnsi="宋体" w:cs="宋体"/>
          <w:color w:val="auto"/>
          <w:highlight w:val="none"/>
        </w:rPr>
      </w:pPr>
    </w:p>
    <w:p w14:paraId="634122E4">
      <w:pPr>
        <w:snapToGrid w:val="0"/>
        <w:spacing w:before="50" w:after="50"/>
        <w:rPr>
          <w:rFonts w:ascii="宋体" w:hAnsi="宋体" w:cs="宋体"/>
          <w:color w:val="auto"/>
          <w:highlight w:val="none"/>
        </w:rPr>
      </w:pPr>
    </w:p>
    <w:p w14:paraId="0E150563">
      <w:pPr>
        <w:snapToGrid w:val="0"/>
        <w:spacing w:before="50" w:after="50"/>
        <w:rPr>
          <w:rFonts w:ascii="宋体" w:hAnsi="宋体" w:cs="宋体"/>
          <w:color w:val="auto"/>
          <w:highlight w:val="none"/>
        </w:rPr>
      </w:pPr>
    </w:p>
    <w:p w14:paraId="0096A065">
      <w:pPr>
        <w:pStyle w:val="25"/>
        <w:rPr>
          <w:rFonts w:hAnsi="宋体" w:cs="宋体"/>
          <w:color w:val="auto"/>
          <w:highlight w:val="none"/>
        </w:rPr>
      </w:pPr>
    </w:p>
    <w:bookmarkEnd w:id="35"/>
    <w:p w14:paraId="1FE6F94F">
      <w:pPr>
        <w:snapToGrid w:val="0"/>
        <w:spacing w:before="50" w:after="50"/>
        <w:jc w:val="center"/>
        <w:rPr>
          <w:rFonts w:ascii="宋体" w:hAnsi="宋体" w:cs="宋体"/>
          <w:b/>
          <w:color w:val="auto"/>
          <w:sz w:val="24"/>
          <w:highlight w:val="none"/>
        </w:rPr>
      </w:pPr>
    </w:p>
    <w:p w14:paraId="3FCDA35C">
      <w:pPr>
        <w:snapToGrid w:val="0"/>
        <w:spacing w:before="50" w:after="50"/>
        <w:jc w:val="center"/>
        <w:rPr>
          <w:rFonts w:ascii="宋体" w:hAnsi="宋体" w:cs="宋体"/>
          <w:b/>
          <w:color w:val="auto"/>
          <w:sz w:val="24"/>
          <w:highlight w:val="none"/>
        </w:rPr>
      </w:pPr>
    </w:p>
    <w:p w14:paraId="3BE4048B">
      <w:pPr>
        <w:snapToGrid w:val="0"/>
        <w:spacing w:before="50" w:after="50"/>
        <w:jc w:val="center"/>
        <w:rPr>
          <w:rFonts w:ascii="宋体" w:hAnsi="宋体" w:cs="宋体"/>
          <w:b/>
          <w:color w:val="auto"/>
          <w:sz w:val="24"/>
          <w:highlight w:val="none"/>
        </w:rPr>
      </w:pPr>
      <w:r>
        <w:rPr>
          <w:rFonts w:hint="eastAsia" w:ascii="宋体" w:hAnsi="宋体" w:cs="宋体"/>
          <w:b/>
          <w:color w:val="auto"/>
          <w:sz w:val="24"/>
          <w:highlight w:val="none"/>
        </w:rPr>
        <w:t>开标一览表</w:t>
      </w:r>
    </w:p>
    <w:p w14:paraId="2FAE4FAC">
      <w:pPr>
        <w:snapToGrid w:val="0"/>
        <w:spacing w:before="50" w:after="50"/>
        <w:jc w:val="center"/>
        <w:rPr>
          <w:rFonts w:ascii="宋体" w:hAnsi="宋体" w:cs="宋体"/>
          <w:b/>
          <w:color w:val="auto"/>
          <w:sz w:val="24"/>
          <w:highlight w:val="none"/>
        </w:rPr>
      </w:pPr>
    </w:p>
    <w:p w14:paraId="585D38F3">
      <w:pPr>
        <w:snapToGrid w:val="0"/>
        <w:spacing w:before="50" w:after="50"/>
        <w:ind w:right="480"/>
        <w:rPr>
          <w:rFonts w:ascii="宋体" w:hAnsi="宋体" w:cs="宋体"/>
          <w:color w:val="auto"/>
          <w:sz w:val="24"/>
          <w:highlight w:val="none"/>
          <w:u w:val="single"/>
        </w:rPr>
      </w:pPr>
      <w:r>
        <w:rPr>
          <w:rFonts w:hint="eastAsia" w:ascii="宋体" w:hAnsi="宋体" w:cs="宋体"/>
          <w:color w:val="auto"/>
          <w:sz w:val="24"/>
          <w:highlight w:val="none"/>
        </w:rPr>
        <w:t>项目编号：                      单位：</w:t>
      </w:r>
      <w:r>
        <w:rPr>
          <w:rFonts w:hint="eastAsia" w:ascii="宋体" w:hAnsi="宋体"/>
          <w:color w:val="auto"/>
          <w:sz w:val="24"/>
          <w:highlight w:val="none"/>
        </w:rPr>
        <w:t>人民币</w:t>
      </w:r>
      <w:r>
        <w:rPr>
          <w:rFonts w:hint="eastAsia" w:ascii="宋体" w:hAnsi="宋体" w:cs="宋体"/>
          <w:color w:val="auto"/>
          <w:sz w:val="24"/>
          <w:highlight w:val="none"/>
        </w:rPr>
        <w:t>元</w:t>
      </w:r>
    </w:p>
    <w:p w14:paraId="34B21F60">
      <w:pPr>
        <w:snapToGrid w:val="0"/>
        <w:spacing w:before="50" w:after="50"/>
        <w:ind w:right="480"/>
        <w:jc w:val="right"/>
        <w:rPr>
          <w:rFonts w:ascii="宋体" w:hAnsi="宋体" w:cs="宋体"/>
          <w:color w:val="auto"/>
          <w:sz w:val="24"/>
          <w:highlight w:val="none"/>
        </w:rPr>
      </w:pPr>
    </w:p>
    <w:tbl>
      <w:tblPr>
        <w:tblStyle w:val="6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88"/>
        <w:gridCol w:w="6440"/>
      </w:tblGrid>
      <w:tr w14:paraId="40A1CA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2088" w:type="dxa"/>
            <w:tcBorders>
              <w:top w:val="single" w:color="auto" w:sz="4" w:space="0"/>
              <w:left w:val="single" w:color="auto" w:sz="4" w:space="0"/>
              <w:bottom w:val="single" w:color="auto" w:sz="4" w:space="0"/>
              <w:right w:val="single" w:color="auto" w:sz="4" w:space="0"/>
            </w:tcBorders>
            <w:vAlign w:val="center"/>
          </w:tcPr>
          <w:p w14:paraId="3490A048">
            <w:pPr>
              <w:snapToGrid w:val="0"/>
              <w:spacing w:before="100" w:beforeAutospacing="1" w:after="100" w:afterAutospacing="1" w:line="276" w:lineRule="auto"/>
              <w:jc w:val="center"/>
              <w:rPr>
                <w:rFonts w:eastAsia="仿宋_GB2312"/>
                <w:b/>
                <w:color w:val="auto"/>
                <w:sz w:val="24"/>
                <w:highlight w:val="none"/>
              </w:rPr>
            </w:pPr>
            <w:r>
              <w:rPr>
                <w:rFonts w:hint="eastAsia"/>
                <w:b/>
                <w:color w:val="auto"/>
                <w:sz w:val="24"/>
                <w:highlight w:val="none"/>
              </w:rPr>
              <w:t>项目名称</w:t>
            </w:r>
          </w:p>
        </w:tc>
        <w:tc>
          <w:tcPr>
            <w:tcW w:w="6440" w:type="dxa"/>
            <w:tcBorders>
              <w:top w:val="single" w:color="auto" w:sz="4" w:space="0"/>
              <w:left w:val="single" w:color="auto" w:sz="4" w:space="0"/>
              <w:bottom w:val="single" w:color="auto" w:sz="4" w:space="0"/>
              <w:right w:val="single" w:color="auto" w:sz="4" w:space="0"/>
            </w:tcBorders>
            <w:vAlign w:val="center"/>
          </w:tcPr>
          <w:p w14:paraId="226A477C">
            <w:pPr>
              <w:snapToGrid w:val="0"/>
              <w:spacing w:before="100" w:beforeAutospacing="1" w:after="100" w:afterAutospacing="1" w:line="276" w:lineRule="auto"/>
              <w:rPr>
                <w:rFonts w:eastAsia="仿宋_GB2312"/>
                <w:b/>
                <w:color w:val="auto"/>
                <w:sz w:val="24"/>
                <w:highlight w:val="none"/>
              </w:rPr>
            </w:pPr>
          </w:p>
        </w:tc>
      </w:tr>
      <w:tr w14:paraId="5B06C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57" w:hRule="atLeast"/>
        </w:trPr>
        <w:tc>
          <w:tcPr>
            <w:tcW w:w="2088" w:type="dxa"/>
            <w:vMerge w:val="restart"/>
            <w:tcBorders>
              <w:top w:val="single" w:color="auto" w:sz="4" w:space="0"/>
              <w:left w:val="single" w:color="auto" w:sz="4" w:space="0"/>
              <w:right w:val="single" w:color="auto" w:sz="4" w:space="0"/>
            </w:tcBorders>
            <w:vAlign w:val="center"/>
          </w:tcPr>
          <w:p w14:paraId="68ABFE6A">
            <w:pPr>
              <w:snapToGrid w:val="0"/>
              <w:spacing w:before="100" w:beforeAutospacing="1" w:after="100" w:afterAutospacing="1" w:line="276" w:lineRule="auto"/>
              <w:jc w:val="center"/>
              <w:rPr>
                <w:b/>
                <w:color w:val="auto"/>
                <w:sz w:val="24"/>
                <w:highlight w:val="none"/>
              </w:rPr>
            </w:pPr>
            <w:r>
              <w:rPr>
                <w:rFonts w:hint="eastAsia"/>
                <w:b/>
                <w:color w:val="auto"/>
                <w:sz w:val="24"/>
                <w:highlight w:val="none"/>
              </w:rPr>
              <w:t xml:space="preserve">总报价 </w:t>
            </w:r>
          </w:p>
        </w:tc>
        <w:tc>
          <w:tcPr>
            <w:tcW w:w="6440" w:type="dxa"/>
            <w:tcBorders>
              <w:top w:val="single" w:color="auto" w:sz="4" w:space="0"/>
              <w:left w:val="single" w:color="auto" w:sz="4" w:space="0"/>
              <w:bottom w:val="single" w:color="auto" w:sz="4" w:space="0"/>
              <w:right w:val="single" w:color="auto" w:sz="4" w:space="0"/>
            </w:tcBorders>
            <w:vAlign w:val="center"/>
          </w:tcPr>
          <w:p w14:paraId="2848E270">
            <w:pPr>
              <w:snapToGrid w:val="0"/>
              <w:spacing w:before="100" w:beforeAutospacing="1" w:after="100" w:afterAutospacing="1" w:line="276" w:lineRule="auto"/>
              <w:rPr>
                <w:rFonts w:eastAsia="仿宋_GB2312"/>
                <w:color w:val="auto"/>
                <w:sz w:val="24"/>
                <w:highlight w:val="none"/>
              </w:rPr>
            </w:pPr>
            <w:r>
              <w:rPr>
                <w:rFonts w:hint="eastAsia" w:eastAsia="仿宋_GB2312"/>
                <w:color w:val="auto"/>
                <w:sz w:val="24"/>
                <w:highlight w:val="none"/>
              </w:rPr>
              <w:t>大写</w:t>
            </w:r>
          </w:p>
        </w:tc>
      </w:tr>
      <w:tr w14:paraId="18F289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14" w:hRule="atLeast"/>
        </w:trPr>
        <w:tc>
          <w:tcPr>
            <w:tcW w:w="2088" w:type="dxa"/>
            <w:vMerge w:val="continue"/>
            <w:tcBorders>
              <w:left w:val="single" w:color="auto" w:sz="4" w:space="0"/>
              <w:bottom w:val="single" w:color="auto" w:sz="4" w:space="0"/>
              <w:right w:val="single" w:color="auto" w:sz="4" w:space="0"/>
            </w:tcBorders>
            <w:vAlign w:val="center"/>
          </w:tcPr>
          <w:p w14:paraId="01830D20">
            <w:pPr>
              <w:snapToGrid w:val="0"/>
              <w:spacing w:before="100" w:beforeAutospacing="1" w:after="100" w:afterAutospacing="1" w:line="276" w:lineRule="auto"/>
              <w:jc w:val="center"/>
              <w:rPr>
                <w:b/>
                <w:color w:val="auto"/>
                <w:sz w:val="24"/>
                <w:highlight w:val="none"/>
              </w:rPr>
            </w:pPr>
          </w:p>
        </w:tc>
        <w:tc>
          <w:tcPr>
            <w:tcW w:w="6440" w:type="dxa"/>
            <w:tcBorders>
              <w:top w:val="single" w:color="auto" w:sz="4" w:space="0"/>
              <w:left w:val="single" w:color="auto" w:sz="4" w:space="0"/>
              <w:bottom w:val="single" w:color="auto" w:sz="4" w:space="0"/>
              <w:right w:val="single" w:color="auto" w:sz="4" w:space="0"/>
            </w:tcBorders>
            <w:vAlign w:val="center"/>
          </w:tcPr>
          <w:p w14:paraId="197DA20A">
            <w:pPr>
              <w:snapToGrid w:val="0"/>
              <w:spacing w:before="100" w:beforeAutospacing="1" w:after="100" w:afterAutospacing="1" w:line="276" w:lineRule="auto"/>
              <w:rPr>
                <w:rFonts w:eastAsia="仿宋_GB2312"/>
                <w:color w:val="auto"/>
                <w:sz w:val="24"/>
                <w:highlight w:val="none"/>
              </w:rPr>
            </w:pPr>
            <w:r>
              <w:rPr>
                <w:rFonts w:hint="eastAsia" w:eastAsia="仿宋_GB2312"/>
                <w:color w:val="auto"/>
                <w:sz w:val="24"/>
                <w:highlight w:val="none"/>
              </w:rPr>
              <w:t>小写</w:t>
            </w:r>
          </w:p>
        </w:tc>
      </w:tr>
    </w:tbl>
    <w:p w14:paraId="2B0D6AA3">
      <w:pPr>
        <w:snapToGrid w:val="0"/>
        <w:spacing w:line="480" w:lineRule="exact"/>
        <w:jc w:val="left"/>
        <w:rPr>
          <w:rFonts w:ascii="宋体" w:hAnsi="宋体" w:cs="宋体"/>
          <w:color w:val="auto"/>
          <w:sz w:val="24"/>
          <w:highlight w:val="none"/>
        </w:rPr>
      </w:pPr>
      <w:r>
        <w:rPr>
          <w:rFonts w:hint="eastAsia" w:ascii="宋体" w:hAnsi="宋体" w:cs="宋体"/>
          <w:color w:val="auto"/>
          <w:sz w:val="24"/>
          <w:highlight w:val="none"/>
        </w:rPr>
        <w:t>注: 1、报价一经涂改，应在涂改处加盖单位公章或者由法定代表人或被授权人签字或盖章，</w:t>
      </w:r>
    </w:p>
    <w:p w14:paraId="17E58CC4">
      <w:pPr>
        <w:snapToGrid w:val="0"/>
        <w:spacing w:line="480" w:lineRule="exact"/>
        <w:jc w:val="left"/>
        <w:rPr>
          <w:rFonts w:ascii="宋体" w:hAnsi="宋体" w:cs="宋体"/>
          <w:color w:val="auto"/>
          <w:sz w:val="24"/>
          <w:highlight w:val="none"/>
        </w:rPr>
      </w:pPr>
      <w:r>
        <w:rPr>
          <w:rFonts w:hint="eastAsia" w:ascii="宋体" w:hAnsi="宋体" w:cs="宋体"/>
          <w:color w:val="auto"/>
          <w:sz w:val="24"/>
          <w:highlight w:val="none"/>
        </w:rPr>
        <w:t>否则其投标将作投标无效处理。</w:t>
      </w:r>
    </w:p>
    <w:p w14:paraId="51739B9D">
      <w:pPr>
        <w:snapToGrid w:val="0"/>
        <w:spacing w:line="4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2、本页后附投标报价明细表。</w:t>
      </w:r>
    </w:p>
    <w:p w14:paraId="64051029">
      <w:pPr>
        <w:snapToGrid w:val="0"/>
        <w:spacing w:line="480" w:lineRule="exact"/>
        <w:ind w:firstLine="480" w:firstLineChars="200"/>
        <w:jc w:val="left"/>
        <w:rPr>
          <w:rFonts w:ascii="宋体" w:hAnsi="宋体" w:cs="宋体"/>
          <w:color w:val="auto"/>
          <w:sz w:val="24"/>
          <w:highlight w:val="none"/>
        </w:rPr>
      </w:pPr>
    </w:p>
    <w:p w14:paraId="0BD81DBD">
      <w:pPr>
        <w:pStyle w:val="25"/>
        <w:rPr>
          <w:color w:val="auto"/>
          <w:szCs w:val="24"/>
          <w:highlight w:val="none"/>
        </w:rPr>
      </w:pPr>
    </w:p>
    <w:p w14:paraId="27E902CA">
      <w:pPr>
        <w:snapToGrid w:val="0"/>
        <w:spacing w:line="480" w:lineRule="exact"/>
        <w:ind w:left="-3" w:leftChars="-72" w:right="-817" w:rightChars="-389" w:hanging="148" w:hangingChars="62"/>
        <w:rPr>
          <w:rFonts w:ascii="宋体" w:hAnsi="宋体" w:cs="宋体"/>
          <w:color w:val="auto"/>
          <w:sz w:val="24"/>
          <w:highlight w:val="none"/>
        </w:rPr>
      </w:pPr>
    </w:p>
    <w:p w14:paraId="1B028299">
      <w:pPr>
        <w:snapToGrid w:val="0"/>
        <w:spacing w:before="50" w:after="50" w:line="360" w:lineRule="auto"/>
        <w:rPr>
          <w:rFonts w:ascii="宋体" w:hAnsi="宋体"/>
          <w:color w:val="auto"/>
          <w:sz w:val="24"/>
          <w:highlight w:val="none"/>
        </w:rPr>
      </w:pPr>
    </w:p>
    <w:p w14:paraId="6F1AC098">
      <w:pPr>
        <w:snapToGrid w:val="0"/>
        <w:spacing w:before="50" w:after="50" w:line="360" w:lineRule="auto"/>
        <w:rPr>
          <w:rFonts w:ascii="宋体" w:hAnsi="宋体"/>
          <w:color w:val="auto"/>
          <w:sz w:val="24"/>
          <w:highlight w:val="none"/>
        </w:rPr>
      </w:pPr>
    </w:p>
    <w:p w14:paraId="46B2F0E5">
      <w:pPr>
        <w:snapToGrid w:val="0"/>
        <w:spacing w:before="50" w:after="50" w:line="360" w:lineRule="auto"/>
        <w:rPr>
          <w:rFonts w:ascii="宋体" w:hAnsi="宋体"/>
          <w:color w:val="auto"/>
          <w:spacing w:val="20"/>
          <w:sz w:val="24"/>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pacing w:val="20"/>
          <w:sz w:val="24"/>
          <w:highlight w:val="none"/>
        </w:rPr>
        <w:t>：</w:t>
      </w:r>
    </w:p>
    <w:p w14:paraId="1ADBE2D8">
      <w:pPr>
        <w:pStyle w:val="969"/>
        <w:spacing w:line="360" w:lineRule="auto"/>
        <w:ind w:right="480"/>
        <w:rPr>
          <w:rFonts w:hAnsi="宋体" w:eastAsia="宋体"/>
          <w:color w:val="auto"/>
          <w:sz w:val="24"/>
          <w:szCs w:val="24"/>
          <w:highlight w:val="none"/>
        </w:rPr>
      </w:pPr>
      <w:r>
        <w:rPr>
          <w:rFonts w:hint="eastAsia" w:hAnsi="宋体" w:eastAsia="宋体"/>
          <w:color w:val="auto"/>
          <w:sz w:val="24"/>
          <w:szCs w:val="24"/>
          <w:highlight w:val="none"/>
        </w:rPr>
        <w:t>投标人名称（加盖公章）</w:t>
      </w:r>
      <w:r>
        <w:rPr>
          <w:rFonts w:hint="eastAsia" w:hAnsi="宋体" w:eastAsia="宋体"/>
          <w:color w:val="auto"/>
          <w:sz w:val="24"/>
          <w:szCs w:val="24"/>
          <w:highlight w:val="none"/>
          <w:u w:val="single"/>
        </w:rPr>
        <w:t>：</w:t>
      </w:r>
    </w:p>
    <w:p w14:paraId="7FBDE64C">
      <w:pPr>
        <w:rPr>
          <w:rFonts w:hAnsi="宋体" w:cs="宋体"/>
          <w:color w:val="auto"/>
          <w:sz w:val="24"/>
          <w:highlight w:val="none"/>
        </w:rPr>
      </w:pPr>
      <w:r>
        <w:rPr>
          <w:rFonts w:hint="eastAsia" w:hAnsi="宋体" w:cs="宋体"/>
          <w:color w:val="auto"/>
          <w:sz w:val="24"/>
          <w:highlight w:val="none"/>
        </w:rPr>
        <w:t>日期：_____年____月____日</w:t>
      </w:r>
    </w:p>
    <w:p w14:paraId="7CE50945">
      <w:pPr>
        <w:pStyle w:val="2"/>
        <w:rPr>
          <w:rFonts w:hAnsi="宋体" w:cs="宋体"/>
          <w:color w:val="auto"/>
          <w:sz w:val="24"/>
          <w:szCs w:val="24"/>
          <w:highlight w:val="none"/>
        </w:rPr>
      </w:pPr>
    </w:p>
    <w:p w14:paraId="03286538">
      <w:pPr>
        <w:rPr>
          <w:rFonts w:hAnsi="宋体" w:cs="宋体"/>
          <w:color w:val="auto"/>
          <w:sz w:val="24"/>
          <w:highlight w:val="none"/>
        </w:rPr>
      </w:pPr>
    </w:p>
    <w:p w14:paraId="58230490">
      <w:pPr>
        <w:widowControl/>
        <w:spacing w:line="360" w:lineRule="auto"/>
        <w:rPr>
          <w:rFonts w:ascii="宋体" w:hAnsi="宋体"/>
          <w:b/>
          <w:color w:val="auto"/>
          <w:sz w:val="28"/>
          <w:szCs w:val="28"/>
          <w:highlight w:val="none"/>
        </w:rPr>
      </w:pPr>
    </w:p>
    <w:p w14:paraId="018FCF8B">
      <w:pPr>
        <w:widowControl/>
        <w:spacing w:line="360" w:lineRule="auto"/>
        <w:rPr>
          <w:rFonts w:ascii="宋体" w:hAnsi="宋体"/>
          <w:b/>
          <w:color w:val="auto"/>
          <w:sz w:val="28"/>
          <w:szCs w:val="28"/>
          <w:highlight w:val="none"/>
        </w:rPr>
      </w:pPr>
    </w:p>
    <w:p w14:paraId="21B240E9">
      <w:pPr>
        <w:widowControl/>
        <w:spacing w:line="360" w:lineRule="auto"/>
        <w:jc w:val="center"/>
        <w:rPr>
          <w:rFonts w:ascii="宋体" w:hAnsi="宋体"/>
          <w:b/>
          <w:color w:val="auto"/>
          <w:sz w:val="28"/>
          <w:szCs w:val="28"/>
          <w:highlight w:val="none"/>
        </w:rPr>
      </w:pPr>
    </w:p>
    <w:p w14:paraId="5143D8F7">
      <w:pPr>
        <w:widowControl/>
        <w:spacing w:line="360" w:lineRule="auto"/>
        <w:jc w:val="center"/>
        <w:rPr>
          <w:rFonts w:ascii="宋体" w:hAnsi="宋体"/>
          <w:b/>
          <w:color w:val="auto"/>
          <w:sz w:val="28"/>
          <w:szCs w:val="28"/>
          <w:highlight w:val="none"/>
        </w:rPr>
      </w:pPr>
    </w:p>
    <w:p w14:paraId="7CE595E7">
      <w:pPr>
        <w:widowControl/>
        <w:spacing w:line="360" w:lineRule="auto"/>
        <w:jc w:val="center"/>
        <w:rPr>
          <w:rFonts w:ascii="宋体" w:hAnsi="宋体"/>
          <w:b/>
          <w:color w:val="auto"/>
          <w:sz w:val="28"/>
          <w:szCs w:val="28"/>
          <w:highlight w:val="none"/>
        </w:rPr>
      </w:pPr>
    </w:p>
    <w:p w14:paraId="3F93D0FA">
      <w:pPr>
        <w:widowControl/>
        <w:spacing w:line="360" w:lineRule="auto"/>
        <w:jc w:val="center"/>
        <w:rPr>
          <w:rFonts w:ascii="宋体" w:hAnsi="宋体"/>
          <w:color w:val="auto"/>
          <w:sz w:val="24"/>
          <w:highlight w:val="none"/>
        </w:rPr>
      </w:pPr>
      <w:r>
        <w:rPr>
          <w:rFonts w:hint="eastAsia" w:ascii="宋体" w:hAnsi="宋体"/>
          <w:b/>
          <w:color w:val="auto"/>
          <w:sz w:val="28"/>
          <w:szCs w:val="28"/>
          <w:highlight w:val="none"/>
        </w:rPr>
        <w:t>投标报价明细表</w:t>
      </w:r>
    </w:p>
    <w:p w14:paraId="0A1B8622">
      <w:pPr>
        <w:snapToGrid w:val="0"/>
        <w:spacing w:before="120" w:after="120"/>
        <w:rPr>
          <w:rFonts w:ascii="宋体" w:hAnsi="宋体"/>
          <w:bCs/>
          <w:color w:val="auto"/>
          <w:sz w:val="24"/>
          <w:highlight w:val="none"/>
        </w:rPr>
      </w:pPr>
      <w:r>
        <w:rPr>
          <w:rFonts w:hint="eastAsia" w:ascii="宋体" w:hAnsi="宋体"/>
          <w:color w:val="auto"/>
          <w:sz w:val="24"/>
          <w:highlight w:val="none"/>
        </w:rPr>
        <w:t>项目名称：</w:t>
      </w:r>
      <w:r>
        <w:rPr>
          <w:rFonts w:hint="eastAsia" w:ascii="宋体" w:hAnsi="宋体"/>
          <w:bCs/>
          <w:color w:val="auto"/>
          <w:sz w:val="24"/>
          <w:highlight w:val="none"/>
        </w:rPr>
        <w:t xml:space="preserve">                                  单位：人民币元</w:t>
      </w:r>
    </w:p>
    <w:p w14:paraId="0C676CAB">
      <w:pPr>
        <w:pStyle w:val="3"/>
        <w:spacing w:line="240" w:lineRule="auto"/>
        <w:ind w:left="0" w:firstLine="0"/>
        <w:rPr>
          <w:color w:val="auto"/>
          <w:sz w:val="24"/>
          <w:szCs w:val="24"/>
          <w:highlight w:val="none"/>
          <w:lang w:val="en-US"/>
        </w:rPr>
      </w:pPr>
    </w:p>
    <w:tbl>
      <w:tblPr>
        <w:tblStyle w:val="64"/>
        <w:tblW w:w="10663" w:type="dxa"/>
        <w:tblInd w:w="-138" w:type="dxa"/>
        <w:tblLayout w:type="fixed"/>
        <w:tblCellMar>
          <w:top w:w="0" w:type="dxa"/>
          <w:left w:w="108" w:type="dxa"/>
          <w:bottom w:w="0" w:type="dxa"/>
          <w:right w:w="108" w:type="dxa"/>
        </w:tblCellMar>
      </w:tblPr>
      <w:tblGrid>
        <w:gridCol w:w="675"/>
        <w:gridCol w:w="1562"/>
        <w:gridCol w:w="1427"/>
        <w:gridCol w:w="1898"/>
        <w:gridCol w:w="1063"/>
        <w:gridCol w:w="1262"/>
        <w:gridCol w:w="1388"/>
        <w:gridCol w:w="1388"/>
      </w:tblGrid>
      <w:tr w14:paraId="396A6711">
        <w:tblPrEx>
          <w:tblCellMar>
            <w:top w:w="0" w:type="dxa"/>
            <w:left w:w="108" w:type="dxa"/>
            <w:bottom w:w="0" w:type="dxa"/>
            <w:right w:w="108" w:type="dxa"/>
          </w:tblCellMar>
        </w:tblPrEx>
        <w:trPr>
          <w:trHeight w:val="772"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793FAE8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序号</w:t>
            </w:r>
          </w:p>
        </w:tc>
        <w:tc>
          <w:tcPr>
            <w:tcW w:w="1562" w:type="dxa"/>
            <w:tcBorders>
              <w:top w:val="single" w:color="000000" w:sz="4" w:space="0"/>
              <w:left w:val="single" w:color="000000" w:sz="4" w:space="0"/>
              <w:bottom w:val="single" w:color="000000" w:sz="4" w:space="0"/>
              <w:right w:val="single" w:color="000000" w:sz="4" w:space="0"/>
            </w:tcBorders>
            <w:noWrap/>
            <w:vAlign w:val="center"/>
          </w:tcPr>
          <w:p w14:paraId="1B85E65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名称</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5BDD4C71">
            <w:pPr>
              <w:widowControl/>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图片</w:t>
            </w:r>
          </w:p>
        </w:tc>
        <w:tc>
          <w:tcPr>
            <w:tcW w:w="1898" w:type="dxa"/>
            <w:tcBorders>
              <w:top w:val="single" w:color="000000" w:sz="4" w:space="0"/>
              <w:left w:val="single" w:color="000000" w:sz="4" w:space="0"/>
              <w:bottom w:val="single" w:color="000000" w:sz="4" w:space="0"/>
              <w:right w:val="single" w:color="000000" w:sz="4" w:space="0"/>
            </w:tcBorders>
            <w:noWrap/>
            <w:vAlign w:val="center"/>
          </w:tcPr>
          <w:p w14:paraId="6715E3D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参数</w:t>
            </w: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01DD4F24">
            <w:pPr>
              <w:widowControl/>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单位</w:t>
            </w:r>
          </w:p>
        </w:tc>
        <w:tc>
          <w:tcPr>
            <w:tcW w:w="1262" w:type="dxa"/>
            <w:tcBorders>
              <w:top w:val="single" w:color="000000" w:sz="4" w:space="0"/>
              <w:left w:val="single" w:color="000000" w:sz="4" w:space="0"/>
              <w:bottom w:val="single" w:color="000000" w:sz="4" w:space="0"/>
              <w:right w:val="single" w:color="000000" w:sz="4" w:space="0"/>
            </w:tcBorders>
            <w:noWrap/>
            <w:vAlign w:val="center"/>
          </w:tcPr>
          <w:p w14:paraId="1C79458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数量</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CB07DA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单价（元）</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4641A77">
            <w:pPr>
              <w:widowControl/>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总价（元）</w:t>
            </w:r>
          </w:p>
        </w:tc>
      </w:tr>
      <w:tr w14:paraId="4C125276">
        <w:tblPrEx>
          <w:tblCellMar>
            <w:top w:w="0" w:type="dxa"/>
            <w:left w:w="108" w:type="dxa"/>
            <w:bottom w:w="0" w:type="dxa"/>
            <w:right w:w="108" w:type="dxa"/>
          </w:tblCellMar>
        </w:tblPrEx>
        <w:trPr>
          <w:trHeight w:val="880"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71934A2B">
            <w:pPr>
              <w:widowControl/>
              <w:jc w:val="center"/>
              <w:textAlignment w:val="center"/>
              <w:rPr>
                <w:rFonts w:ascii="宋体" w:hAnsi="宋体" w:cs="宋体"/>
                <w:color w:val="auto"/>
                <w:sz w:val="22"/>
                <w:szCs w:val="22"/>
                <w:highlight w:val="none"/>
              </w:rPr>
            </w:pPr>
          </w:p>
        </w:tc>
        <w:tc>
          <w:tcPr>
            <w:tcW w:w="1562" w:type="dxa"/>
            <w:tcBorders>
              <w:top w:val="single" w:color="000000" w:sz="4" w:space="0"/>
              <w:left w:val="single" w:color="000000" w:sz="4" w:space="0"/>
              <w:bottom w:val="single" w:color="000000" w:sz="4" w:space="0"/>
              <w:right w:val="single" w:color="000000" w:sz="4" w:space="0"/>
            </w:tcBorders>
            <w:noWrap/>
            <w:vAlign w:val="center"/>
          </w:tcPr>
          <w:p w14:paraId="639B285E">
            <w:pPr>
              <w:widowControl/>
              <w:jc w:val="center"/>
              <w:textAlignment w:val="center"/>
              <w:rPr>
                <w:rFonts w:ascii="宋体" w:hAnsi="宋体" w:cs="宋体"/>
                <w:color w:val="auto"/>
                <w:sz w:val="22"/>
                <w:szCs w:val="22"/>
                <w:highlight w:val="none"/>
              </w:rPr>
            </w:pP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6CF32E57">
            <w:pPr>
              <w:rPr>
                <w:rFonts w:ascii="宋体" w:hAnsi="宋体" w:cs="宋体"/>
                <w:color w:val="auto"/>
                <w:sz w:val="22"/>
                <w:szCs w:val="22"/>
                <w:highlight w:val="none"/>
              </w:rPr>
            </w:pPr>
          </w:p>
        </w:tc>
        <w:tc>
          <w:tcPr>
            <w:tcW w:w="1898" w:type="dxa"/>
            <w:tcBorders>
              <w:top w:val="single" w:color="000000" w:sz="4" w:space="0"/>
              <w:left w:val="single" w:color="000000" w:sz="4" w:space="0"/>
              <w:bottom w:val="single" w:color="000000" w:sz="4" w:space="0"/>
              <w:right w:val="single" w:color="000000" w:sz="4" w:space="0"/>
            </w:tcBorders>
            <w:noWrap/>
            <w:vAlign w:val="center"/>
          </w:tcPr>
          <w:p w14:paraId="155B162A">
            <w:pPr>
              <w:rPr>
                <w:rFonts w:ascii="宋体" w:hAnsi="宋体" w:cs="宋体"/>
                <w:color w:val="auto"/>
                <w:sz w:val="22"/>
                <w:szCs w:val="22"/>
                <w:highlight w:val="none"/>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2E4C3BA8">
            <w:pPr>
              <w:jc w:val="center"/>
              <w:rPr>
                <w:rFonts w:ascii="宋体" w:hAnsi="宋体" w:cs="宋体"/>
                <w:color w:val="auto"/>
                <w:sz w:val="22"/>
                <w:szCs w:val="22"/>
                <w:highlight w:val="none"/>
              </w:rPr>
            </w:pPr>
          </w:p>
        </w:tc>
        <w:tc>
          <w:tcPr>
            <w:tcW w:w="1262" w:type="dxa"/>
            <w:tcBorders>
              <w:top w:val="single" w:color="000000" w:sz="4" w:space="0"/>
              <w:left w:val="single" w:color="000000" w:sz="4" w:space="0"/>
              <w:bottom w:val="single" w:color="000000" w:sz="4" w:space="0"/>
              <w:right w:val="single" w:color="000000" w:sz="4" w:space="0"/>
            </w:tcBorders>
            <w:noWrap/>
            <w:vAlign w:val="center"/>
          </w:tcPr>
          <w:p w14:paraId="097E4E2A">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C5D99A6">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7C7D22C">
            <w:pPr>
              <w:rPr>
                <w:rFonts w:ascii="宋体" w:hAnsi="宋体" w:cs="宋体"/>
                <w:color w:val="auto"/>
                <w:sz w:val="22"/>
                <w:szCs w:val="22"/>
                <w:highlight w:val="none"/>
              </w:rPr>
            </w:pPr>
          </w:p>
        </w:tc>
      </w:tr>
      <w:tr w14:paraId="4DAF63DC">
        <w:tblPrEx>
          <w:tblCellMar>
            <w:top w:w="0" w:type="dxa"/>
            <w:left w:w="108" w:type="dxa"/>
            <w:bottom w:w="0" w:type="dxa"/>
            <w:right w:w="108" w:type="dxa"/>
          </w:tblCellMar>
        </w:tblPrEx>
        <w:trPr>
          <w:trHeight w:val="880"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11914466">
            <w:pPr>
              <w:widowControl/>
              <w:jc w:val="center"/>
              <w:textAlignment w:val="center"/>
              <w:rPr>
                <w:rFonts w:ascii="宋体" w:hAnsi="宋体" w:cs="宋体"/>
                <w:color w:val="auto"/>
                <w:sz w:val="22"/>
                <w:szCs w:val="22"/>
                <w:highlight w:val="none"/>
              </w:rPr>
            </w:pPr>
          </w:p>
        </w:tc>
        <w:tc>
          <w:tcPr>
            <w:tcW w:w="1562" w:type="dxa"/>
            <w:tcBorders>
              <w:top w:val="single" w:color="000000" w:sz="4" w:space="0"/>
              <w:left w:val="single" w:color="000000" w:sz="4" w:space="0"/>
              <w:bottom w:val="single" w:color="000000" w:sz="4" w:space="0"/>
              <w:right w:val="single" w:color="000000" w:sz="4" w:space="0"/>
            </w:tcBorders>
            <w:noWrap/>
            <w:vAlign w:val="center"/>
          </w:tcPr>
          <w:p w14:paraId="0EF0BC26">
            <w:pPr>
              <w:widowControl/>
              <w:jc w:val="center"/>
              <w:textAlignment w:val="center"/>
              <w:rPr>
                <w:rFonts w:ascii="宋体" w:hAnsi="宋体" w:cs="宋体"/>
                <w:color w:val="auto"/>
                <w:sz w:val="22"/>
                <w:szCs w:val="22"/>
                <w:highlight w:val="none"/>
              </w:rPr>
            </w:pP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71DA216A">
            <w:pPr>
              <w:rPr>
                <w:rFonts w:ascii="宋体" w:hAnsi="宋体" w:cs="宋体"/>
                <w:color w:val="auto"/>
                <w:sz w:val="22"/>
                <w:szCs w:val="22"/>
                <w:highlight w:val="none"/>
              </w:rPr>
            </w:pPr>
          </w:p>
        </w:tc>
        <w:tc>
          <w:tcPr>
            <w:tcW w:w="1898" w:type="dxa"/>
            <w:tcBorders>
              <w:top w:val="single" w:color="000000" w:sz="4" w:space="0"/>
              <w:left w:val="single" w:color="000000" w:sz="4" w:space="0"/>
              <w:bottom w:val="single" w:color="000000" w:sz="4" w:space="0"/>
              <w:right w:val="single" w:color="000000" w:sz="4" w:space="0"/>
            </w:tcBorders>
            <w:noWrap/>
            <w:vAlign w:val="center"/>
          </w:tcPr>
          <w:p w14:paraId="69A36162">
            <w:pPr>
              <w:rPr>
                <w:rFonts w:ascii="宋体" w:hAnsi="宋体" w:cs="宋体"/>
                <w:color w:val="auto"/>
                <w:sz w:val="22"/>
                <w:szCs w:val="22"/>
                <w:highlight w:val="none"/>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57D52C1C">
            <w:pPr>
              <w:jc w:val="center"/>
              <w:rPr>
                <w:rFonts w:ascii="宋体" w:hAnsi="宋体" w:cs="宋体"/>
                <w:color w:val="auto"/>
                <w:sz w:val="22"/>
                <w:szCs w:val="22"/>
                <w:highlight w:val="none"/>
              </w:rPr>
            </w:pPr>
          </w:p>
        </w:tc>
        <w:tc>
          <w:tcPr>
            <w:tcW w:w="1262" w:type="dxa"/>
            <w:tcBorders>
              <w:top w:val="single" w:color="000000" w:sz="4" w:space="0"/>
              <w:left w:val="single" w:color="000000" w:sz="4" w:space="0"/>
              <w:bottom w:val="single" w:color="000000" w:sz="4" w:space="0"/>
              <w:right w:val="single" w:color="000000" w:sz="4" w:space="0"/>
            </w:tcBorders>
            <w:noWrap/>
            <w:vAlign w:val="center"/>
          </w:tcPr>
          <w:p w14:paraId="6A4EE715">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8ED4C81">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B586D15">
            <w:pPr>
              <w:rPr>
                <w:rFonts w:ascii="宋体" w:hAnsi="宋体" w:cs="宋体"/>
                <w:color w:val="auto"/>
                <w:sz w:val="22"/>
                <w:szCs w:val="22"/>
                <w:highlight w:val="none"/>
              </w:rPr>
            </w:pPr>
          </w:p>
        </w:tc>
      </w:tr>
      <w:tr w14:paraId="150B4695">
        <w:tblPrEx>
          <w:tblCellMar>
            <w:top w:w="0" w:type="dxa"/>
            <w:left w:w="108" w:type="dxa"/>
            <w:bottom w:w="0" w:type="dxa"/>
            <w:right w:w="108" w:type="dxa"/>
          </w:tblCellMar>
        </w:tblPrEx>
        <w:trPr>
          <w:trHeight w:val="880"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512F3E75">
            <w:pPr>
              <w:widowControl/>
              <w:jc w:val="center"/>
              <w:textAlignment w:val="center"/>
              <w:rPr>
                <w:rFonts w:ascii="宋体" w:hAnsi="宋体" w:cs="宋体"/>
                <w:color w:val="auto"/>
                <w:sz w:val="22"/>
                <w:szCs w:val="22"/>
                <w:highlight w:val="none"/>
              </w:rPr>
            </w:pPr>
          </w:p>
        </w:tc>
        <w:tc>
          <w:tcPr>
            <w:tcW w:w="1562" w:type="dxa"/>
            <w:tcBorders>
              <w:top w:val="single" w:color="000000" w:sz="4" w:space="0"/>
              <w:left w:val="single" w:color="000000" w:sz="4" w:space="0"/>
              <w:bottom w:val="single" w:color="000000" w:sz="4" w:space="0"/>
              <w:right w:val="single" w:color="000000" w:sz="4" w:space="0"/>
            </w:tcBorders>
            <w:noWrap/>
            <w:vAlign w:val="center"/>
          </w:tcPr>
          <w:p w14:paraId="4BBA5291">
            <w:pPr>
              <w:widowControl/>
              <w:jc w:val="center"/>
              <w:textAlignment w:val="center"/>
              <w:rPr>
                <w:rFonts w:ascii="宋体" w:hAnsi="宋体" w:cs="宋体"/>
                <w:color w:val="auto"/>
                <w:sz w:val="22"/>
                <w:szCs w:val="22"/>
                <w:highlight w:val="none"/>
              </w:rPr>
            </w:pP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5C734FFF">
            <w:pPr>
              <w:rPr>
                <w:rFonts w:ascii="宋体" w:hAnsi="宋体" w:cs="宋体"/>
                <w:color w:val="auto"/>
                <w:sz w:val="22"/>
                <w:szCs w:val="22"/>
                <w:highlight w:val="none"/>
              </w:rPr>
            </w:pPr>
          </w:p>
        </w:tc>
        <w:tc>
          <w:tcPr>
            <w:tcW w:w="1898" w:type="dxa"/>
            <w:tcBorders>
              <w:top w:val="single" w:color="000000" w:sz="4" w:space="0"/>
              <w:left w:val="single" w:color="000000" w:sz="4" w:space="0"/>
              <w:bottom w:val="single" w:color="000000" w:sz="4" w:space="0"/>
              <w:right w:val="single" w:color="000000" w:sz="4" w:space="0"/>
            </w:tcBorders>
            <w:noWrap/>
            <w:vAlign w:val="center"/>
          </w:tcPr>
          <w:p w14:paraId="75585087">
            <w:pPr>
              <w:rPr>
                <w:rFonts w:ascii="宋体" w:hAnsi="宋体" w:cs="宋体"/>
                <w:color w:val="auto"/>
                <w:sz w:val="22"/>
                <w:szCs w:val="22"/>
                <w:highlight w:val="none"/>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7FD634CD">
            <w:pPr>
              <w:jc w:val="center"/>
              <w:rPr>
                <w:rFonts w:ascii="宋体" w:hAnsi="宋体" w:cs="宋体"/>
                <w:color w:val="auto"/>
                <w:sz w:val="22"/>
                <w:szCs w:val="22"/>
                <w:highlight w:val="none"/>
              </w:rPr>
            </w:pPr>
          </w:p>
        </w:tc>
        <w:tc>
          <w:tcPr>
            <w:tcW w:w="1262" w:type="dxa"/>
            <w:tcBorders>
              <w:top w:val="single" w:color="000000" w:sz="4" w:space="0"/>
              <w:left w:val="single" w:color="000000" w:sz="4" w:space="0"/>
              <w:bottom w:val="single" w:color="000000" w:sz="4" w:space="0"/>
              <w:right w:val="single" w:color="000000" w:sz="4" w:space="0"/>
            </w:tcBorders>
            <w:noWrap/>
            <w:vAlign w:val="center"/>
          </w:tcPr>
          <w:p w14:paraId="19BC839B">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62F1C51">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C79A7FF">
            <w:pPr>
              <w:rPr>
                <w:rFonts w:ascii="宋体" w:hAnsi="宋体" w:cs="宋体"/>
                <w:color w:val="auto"/>
                <w:sz w:val="22"/>
                <w:szCs w:val="22"/>
                <w:highlight w:val="none"/>
              </w:rPr>
            </w:pPr>
          </w:p>
        </w:tc>
      </w:tr>
      <w:tr w14:paraId="237D3489">
        <w:tblPrEx>
          <w:tblCellMar>
            <w:top w:w="0" w:type="dxa"/>
            <w:left w:w="108" w:type="dxa"/>
            <w:bottom w:w="0" w:type="dxa"/>
            <w:right w:w="108" w:type="dxa"/>
          </w:tblCellMar>
        </w:tblPrEx>
        <w:trPr>
          <w:trHeight w:val="880"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0EBF7641">
            <w:pPr>
              <w:widowControl/>
              <w:jc w:val="center"/>
              <w:textAlignment w:val="center"/>
              <w:rPr>
                <w:rFonts w:ascii="宋体" w:hAnsi="宋体" w:cs="宋体"/>
                <w:color w:val="auto"/>
                <w:sz w:val="22"/>
                <w:szCs w:val="22"/>
                <w:highlight w:val="none"/>
              </w:rPr>
            </w:pPr>
          </w:p>
        </w:tc>
        <w:tc>
          <w:tcPr>
            <w:tcW w:w="1562" w:type="dxa"/>
            <w:tcBorders>
              <w:top w:val="single" w:color="000000" w:sz="4" w:space="0"/>
              <w:left w:val="single" w:color="000000" w:sz="4" w:space="0"/>
              <w:bottom w:val="single" w:color="000000" w:sz="4" w:space="0"/>
              <w:right w:val="single" w:color="000000" w:sz="4" w:space="0"/>
            </w:tcBorders>
            <w:noWrap/>
            <w:vAlign w:val="center"/>
          </w:tcPr>
          <w:p w14:paraId="7061AA5C">
            <w:pPr>
              <w:widowControl/>
              <w:jc w:val="center"/>
              <w:textAlignment w:val="center"/>
              <w:rPr>
                <w:rFonts w:ascii="宋体" w:hAnsi="宋体" w:cs="宋体"/>
                <w:color w:val="auto"/>
                <w:sz w:val="22"/>
                <w:szCs w:val="22"/>
                <w:highlight w:val="none"/>
              </w:rPr>
            </w:pP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FC55646">
            <w:pPr>
              <w:rPr>
                <w:rFonts w:ascii="宋体" w:hAnsi="宋体" w:cs="宋体"/>
                <w:color w:val="auto"/>
                <w:sz w:val="22"/>
                <w:szCs w:val="22"/>
                <w:highlight w:val="none"/>
              </w:rPr>
            </w:pPr>
          </w:p>
        </w:tc>
        <w:tc>
          <w:tcPr>
            <w:tcW w:w="1898" w:type="dxa"/>
            <w:tcBorders>
              <w:top w:val="single" w:color="000000" w:sz="4" w:space="0"/>
              <w:left w:val="single" w:color="000000" w:sz="4" w:space="0"/>
              <w:bottom w:val="single" w:color="000000" w:sz="4" w:space="0"/>
              <w:right w:val="single" w:color="000000" w:sz="4" w:space="0"/>
            </w:tcBorders>
            <w:noWrap/>
            <w:vAlign w:val="center"/>
          </w:tcPr>
          <w:p w14:paraId="7C379827">
            <w:pPr>
              <w:rPr>
                <w:rFonts w:ascii="宋体" w:hAnsi="宋体" w:cs="宋体"/>
                <w:color w:val="auto"/>
                <w:sz w:val="22"/>
                <w:szCs w:val="22"/>
                <w:highlight w:val="none"/>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79BBE68D">
            <w:pPr>
              <w:jc w:val="center"/>
              <w:rPr>
                <w:rFonts w:ascii="宋体" w:hAnsi="宋体" w:cs="宋体"/>
                <w:color w:val="auto"/>
                <w:sz w:val="22"/>
                <w:szCs w:val="22"/>
                <w:highlight w:val="none"/>
              </w:rPr>
            </w:pPr>
          </w:p>
        </w:tc>
        <w:tc>
          <w:tcPr>
            <w:tcW w:w="1262" w:type="dxa"/>
            <w:tcBorders>
              <w:top w:val="single" w:color="000000" w:sz="4" w:space="0"/>
              <w:left w:val="single" w:color="000000" w:sz="4" w:space="0"/>
              <w:bottom w:val="single" w:color="000000" w:sz="4" w:space="0"/>
              <w:right w:val="single" w:color="000000" w:sz="4" w:space="0"/>
            </w:tcBorders>
            <w:noWrap/>
            <w:vAlign w:val="center"/>
          </w:tcPr>
          <w:p w14:paraId="4480180B">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36A1F2E">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886A994">
            <w:pPr>
              <w:rPr>
                <w:rFonts w:ascii="宋体" w:hAnsi="宋体" w:cs="宋体"/>
                <w:color w:val="auto"/>
                <w:sz w:val="22"/>
                <w:szCs w:val="22"/>
                <w:highlight w:val="none"/>
              </w:rPr>
            </w:pPr>
          </w:p>
        </w:tc>
      </w:tr>
      <w:tr w14:paraId="43466587">
        <w:tblPrEx>
          <w:tblCellMar>
            <w:top w:w="0" w:type="dxa"/>
            <w:left w:w="108" w:type="dxa"/>
            <w:bottom w:w="0" w:type="dxa"/>
            <w:right w:w="108" w:type="dxa"/>
          </w:tblCellMar>
        </w:tblPrEx>
        <w:trPr>
          <w:trHeight w:val="880"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572C1572">
            <w:pPr>
              <w:widowControl/>
              <w:jc w:val="center"/>
              <w:textAlignment w:val="center"/>
              <w:rPr>
                <w:rFonts w:ascii="宋体" w:hAnsi="宋体" w:cs="宋体"/>
                <w:color w:val="auto"/>
                <w:sz w:val="22"/>
                <w:szCs w:val="22"/>
                <w:highlight w:val="none"/>
              </w:rPr>
            </w:pPr>
          </w:p>
        </w:tc>
        <w:tc>
          <w:tcPr>
            <w:tcW w:w="1562" w:type="dxa"/>
            <w:tcBorders>
              <w:top w:val="single" w:color="000000" w:sz="4" w:space="0"/>
              <w:left w:val="single" w:color="000000" w:sz="4" w:space="0"/>
              <w:bottom w:val="single" w:color="000000" w:sz="4" w:space="0"/>
              <w:right w:val="single" w:color="000000" w:sz="4" w:space="0"/>
            </w:tcBorders>
            <w:noWrap/>
            <w:vAlign w:val="center"/>
          </w:tcPr>
          <w:p w14:paraId="6D07692C">
            <w:pPr>
              <w:widowControl/>
              <w:jc w:val="center"/>
              <w:textAlignment w:val="center"/>
              <w:rPr>
                <w:rFonts w:ascii="宋体" w:hAnsi="宋体" w:cs="宋体"/>
                <w:color w:val="auto"/>
                <w:sz w:val="22"/>
                <w:szCs w:val="22"/>
                <w:highlight w:val="none"/>
              </w:rPr>
            </w:pP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520C2ECB">
            <w:pPr>
              <w:rPr>
                <w:rFonts w:ascii="宋体" w:hAnsi="宋体" w:cs="宋体"/>
                <w:color w:val="auto"/>
                <w:sz w:val="22"/>
                <w:szCs w:val="22"/>
                <w:highlight w:val="none"/>
              </w:rPr>
            </w:pPr>
          </w:p>
        </w:tc>
        <w:tc>
          <w:tcPr>
            <w:tcW w:w="1898" w:type="dxa"/>
            <w:tcBorders>
              <w:top w:val="single" w:color="000000" w:sz="4" w:space="0"/>
              <w:left w:val="single" w:color="000000" w:sz="4" w:space="0"/>
              <w:bottom w:val="single" w:color="000000" w:sz="4" w:space="0"/>
              <w:right w:val="single" w:color="000000" w:sz="4" w:space="0"/>
            </w:tcBorders>
            <w:noWrap/>
            <w:vAlign w:val="center"/>
          </w:tcPr>
          <w:p w14:paraId="27C8DA37">
            <w:pPr>
              <w:rPr>
                <w:rFonts w:ascii="宋体" w:hAnsi="宋体" w:cs="宋体"/>
                <w:color w:val="auto"/>
                <w:sz w:val="22"/>
                <w:szCs w:val="22"/>
                <w:highlight w:val="none"/>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14:paraId="46DBF550">
            <w:pPr>
              <w:jc w:val="center"/>
              <w:rPr>
                <w:rFonts w:ascii="宋体" w:hAnsi="宋体" w:cs="宋体"/>
                <w:color w:val="auto"/>
                <w:sz w:val="22"/>
                <w:szCs w:val="22"/>
                <w:highlight w:val="none"/>
              </w:rPr>
            </w:pPr>
          </w:p>
        </w:tc>
        <w:tc>
          <w:tcPr>
            <w:tcW w:w="1262" w:type="dxa"/>
            <w:tcBorders>
              <w:top w:val="single" w:color="000000" w:sz="4" w:space="0"/>
              <w:left w:val="single" w:color="000000" w:sz="4" w:space="0"/>
              <w:bottom w:val="single" w:color="000000" w:sz="4" w:space="0"/>
              <w:right w:val="single" w:color="000000" w:sz="4" w:space="0"/>
            </w:tcBorders>
            <w:noWrap/>
            <w:vAlign w:val="center"/>
          </w:tcPr>
          <w:p w14:paraId="10E28ACB">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FDAAF1F">
            <w:pPr>
              <w:rPr>
                <w:rFonts w:ascii="宋体" w:hAnsi="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52F4AB7">
            <w:pPr>
              <w:rPr>
                <w:rFonts w:ascii="宋体" w:hAnsi="宋体" w:cs="宋体"/>
                <w:color w:val="auto"/>
                <w:sz w:val="22"/>
                <w:szCs w:val="22"/>
                <w:highlight w:val="none"/>
              </w:rPr>
            </w:pPr>
          </w:p>
        </w:tc>
      </w:tr>
      <w:tr w14:paraId="5592A12B">
        <w:tblPrEx>
          <w:tblCellMar>
            <w:top w:w="0" w:type="dxa"/>
            <w:left w:w="108" w:type="dxa"/>
            <w:bottom w:w="0" w:type="dxa"/>
            <w:right w:w="108" w:type="dxa"/>
          </w:tblCellMar>
        </w:tblPrEx>
        <w:trPr>
          <w:trHeight w:val="880" w:hRule="atLeast"/>
        </w:trPr>
        <w:tc>
          <w:tcPr>
            <w:tcW w:w="9275" w:type="dxa"/>
            <w:gridSpan w:val="7"/>
            <w:tcBorders>
              <w:top w:val="single" w:color="000000" w:sz="4" w:space="0"/>
              <w:left w:val="single" w:color="000000" w:sz="4" w:space="0"/>
              <w:bottom w:val="single" w:color="000000" w:sz="4" w:space="0"/>
              <w:right w:val="single" w:color="000000" w:sz="4" w:space="0"/>
            </w:tcBorders>
            <w:noWrap/>
            <w:vAlign w:val="center"/>
          </w:tcPr>
          <w:p w14:paraId="560C8C49">
            <w:pPr>
              <w:rPr>
                <w:rFonts w:ascii="宋体" w:hAnsi="宋体" w:cs="宋体"/>
                <w:color w:val="auto"/>
                <w:sz w:val="22"/>
                <w:szCs w:val="22"/>
                <w:highlight w:val="none"/>
              </w:rPr>
            </w:pPr>
            <w:r>
              <w:rPr>
                <w:rFonts w:hint="eastAsia" w:ascii="宋体" w:hAnsi="宋体" w:cs="宋体"/>
                <w:color w:val="auto"/>
                <w:kern w:val="0"/>
                <w:sz w:val="24"/>
                <w:highlight w:val="none"/>
              </w:rPr>
              <w:t>投标总价：    （大写），    （小写）</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DE7ED84">
            <w:pPr>
              <w:rPr>
                <w:rFonts w:ascii="宋体" w:hAnsi="宋体" w:cs="宋体"/>
                <w:color w:val="auto"/>
                <w:kern w:val="0"/>
                <w:sz w:val="24"/>
                <w:highlight w:val="none"/>
              </w:rPr>
            </w:pPr>
          </w:p>
        </w:tc>
      </w:tr>
    </w:tbl>
    <w:p w14:paraId="66D034C5">
      <w:pPr>
        <w:rPr>
          <w:rFonts w:ascii="宋体" w:hAnsi="宋体" w:cs="宋体"/>
          <w:color w:val="auto"/>
          <w:kern w:val="0"/>
          <w:sz w:val="24"/>
          <w:highlight w:val="none"/>
        </w:rPr>
      </w:pPr>
    </w:p>
    <w:p w14:paraId="2CEB06A2">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注：1.上表中行数不够可自行添加，表格为多页的，每页均需加盖投标人公章。</w:t>
      </w:r>
    </w:p>
    <w:p w14:paraId="30A710BF">
      <w:pPr>
        <w:pStyle w:val="84"/>
        <w:spacing w:line="360" w:lineRule="auto"/>
        <w:rPr>
          <w:rFonts w:ascii="宋体" w:hAnsi="宋体" w:eastAsia="宋体" w:cs="宋体"/>
          <w:color w:val="auto"/>
          <w:kern w:val="0"/>
          <w:highlight w:val="none"/>
        </w:rPr>
      </w:pPr>
      <w:r>
        <w:rPr>
          <w:rFonts w:hint="eastAsia" w:ascii="宋体" w:hAnsi="宋体" w:eastAsia="宋体" w:cs="宋体"/>
          <w:color w:val="auto"/>
          <w:kern w:val="0"/>
          <w:highlight w:val="none"/>
        </w:rPr>
        <w:t>2.</w:t>
      </w:r>
      <w:r>
        <w:rPr>
          <w:rFonts w:hint="eastAsia" w:ascii="宋体" w:hAnsi="宋体" w:eastAsia="宋体" w:cs="宋体"/>
          <w:b/>
          <w:bCs/>
          <w:color w:val="auto"/>
          <w:kern w:val="0"/>
          <w:highlight w:val="none"/>
        </w:rPr>
        <w:t>根据采购文件第二章招标需求进行编制，漏报的视同已包含在投标总价内。有重大缺项的将作无效标处理</w:t>
      </w:r>
      <w:r>
        <w:rPr>
          <w:rFonts w:hint="eastAsia" w:ascii="宋体" w:hAnsi="宋体" w:eastAsia="宋体" w:cs="宋体"/>
          <w:color w:val="auto"/>
          <w:kern w:val="0"/>
          <w:highlight w:val="none"/>
        </w:rPr>
        <w:t>。</w:t>
      </w:r>
    </w:p>
    <w:p w14:paraId="3D2F1BE1">
      <w:pPr>
        <w:snapToGrid w:val="0"/>
        <w:spacing w:before="50" w:after="50" w:line="360" w:lineRule="auto"/>
        <w:ind w:firstLine="480" w:firstLineChars="200"/>
        <w:rPr>
          <w:rFonts w:ascii="宋体" w:hAnsi="宋体"/>
          <w:color w:val="auto"/>
          <w:sz w:val="24"/>
          <w:highlight w:val="none"/>
        </w:rPr>
      </w:pPr>
      <w:r>
        <w:rPr>
          <w:rFonts w:hint="eastAsia" w:ascii="宋体" w:hAnsi="宋体"/>
          <w:color w:val="auto"/>
          <w:sz w:val="24"/>
          <w:highlight w:val="none"/>
        </w:rPr>
        <w:t>3.以上投标总价应与“开标一览表”中的“总报价”数相一致。</w:t>
      </w:r>
    </w:p>
    <w:p w14:paraId="7732B60B">
      <w:pPr>
        <w:snapToGrid w:val="0"/>
        <w:spacing w:before="50" w:after="50" w:line="360" w:lineRule="auto"/>
        <w:rPr>
          <w:rFonts w:ascii="宋体" w:hAnsi="宋体"/>
          <w:color w:val="auto"/>
          <w:sz w:val="24"/>
          <w:highlight w:val="none"/>
        </w:rPr>
      </w:pPr>
    </w:p>
    <w:p w14:paraId="1CCA90FB">
      <w:pPr>
        <w:snapToGrid w:val="0"/>
        <w:spacing w:before="50" w:after="50" w:line="360" w:lineRule="auto"/>
        <w:rPr>
          <w:rFonts w:ascii="宋体" w:hAnsi="宋体"/>
          <w:color w:val="auto"/>
          <w:spacing w:val="20"/>
          <w:sz w:val="24"/>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pacing w:val="20"/>
          <w:sz w:val="24"/>
          <w:highlight w:val="none"/>
        </w:rPr>
        <w:t>：</w:t>
      </w:r>
    </w:p>
    <w:p w14:paraId="01A11E87">
      <w:pPr>
        <w:pStyle w:val="969"/>
        <w:spacing w:line="360" w:lineRule="auto"/>
        <w:ind w:right="480"/>
        <w:rPr>
          <w:rFonts w:hAnsi="宋体" w:eastAsia="宋体"/>
          <w:color w:val="auto"/>
          <w:sz w:val="24"/>
          <w:szCs w:val="24"/>
          <w:highlight w:val="none"/>
        </w:rPr>
      </w:pPr>
      <w:r>
        <w:rPr>
          <w:rFonts w:hint="eastAsia" w:hAnsi="宋体" w:eastAsia="宋体"/>
          <w:color w:val="auto"/>
          <w:sz w:val="24"/>
          <w:szCs w:val="24"/>
          <w:highlight w:val="none"/>
        </w:rPr>
        <w:t>投标人名称（加盖公章）</w:t>
      </w:r>
      <w:r>
        <w:rPr>
          <w:rFonts w:hint="eastAsia" w:hAnsi="宋体" w:eastAsia="宋体"/>
          <w:color w:val="auto"/>
          <w:sz w:val="24"/>
          <w:szCs w:val="24"/>
          <w:highlight w:val="none"/>
          <w:u w:val="single"/>
        </w:rPr>
        <w:t>：</w:t>
      </w:r>
    </w:p>
    <w:p w14:paraId="795F3147">
      <w:pPr>
        <w:rPr>
          <w:rFonts w:ascii="宋体" w:hAnsi="宋体" w:cs="宋体"/>
          <w:b/>
          <w:bCs/>
          <w:color w:val="auto"/>
          <w:sz w:val="24"/>
          <w:highlight w:val="none"/>
        </w:rPr>
      </w:pPr>
      <w:r>
        <w:rPr>
          <w:rFonts w:hint="eastAsia" w:hAnsi="宋体" w:cs="宋体"/>
          <w:color w:val="auto"/>
          <w:sz w:val="24"/>
          <w:highlight w:val="none"/>
        </w:rPr>
        <w:t>日期：_____年____月____日</w:t>
      </w:r>
    </w:p>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创艺简标宋">
    <w:altName w:val="黑体"/>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810F1">
    <w:pPr>
      <w:pStyle w:val="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65238">
    <w:pPr>
      <w:pStyle w:val="42"/>
      <w:framePr w:wrap="around" w:vAnchor="text" w:hAnchor="margin" w:xAlign="right" w:y="1"/>
      <w:rPr>
        <w:rStyle w:val="74"/>
      </w:rPr>
    </w:pPr>
    <w:r>
      <w:fldChar w:fldCharType="begin"/>
    </w:r>
    <w:r>
      <w:rPr>
        <w:rStyle w:val="74"/>
      </w:rPr>
      <w:instrText xml:space="preserve">PAGE  </w:instrText>
    </w:r>
    <w:r>
      <w:fldChar w:fldCharType="end"/>
    </w:r>
  </w:p>
  <w:p w14:paraId="0251799B">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FD522">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E21AA">
    <w:pPr>
      <w:pStyle w:val="42"/>
      <w:rPr>
        <w:rFonts w:ascii="仿宋_GB2312" w:eastAsia="仿宋_GB2312"/>
      </w:rPr>
    </w:pPr>
    <w: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09F3913">
                          <w:pPr>
                            <w:pStyle w:val="4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009F3913">
                    <w:pPr>
                      <w:pStyle w:val="4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E167F">
    <w:pPr>
      <w:pStyle w:val="42"/>
      <w:rPr>
        <w:rFonts w:ascii="仿宋_GB2312" w:eastAsia="仿宋_GB2312"/>
      </w:rPr>
    </w:pPr>
    <w: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6686F1C">
                          <w:pPr>
                            <w:pStyle w:val="4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56686F1C">
                    <w:pPr>
                      <w:pStyle w:val="4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B32B0">
    <w:pPr>
      <w:pStyle w:val="42"/>
      <w:jc w:val="center"/>
    </w:pPr>
    <w: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374042">
                          <w:pPr>
                            <w:pStyle w:val="4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C374042">
                    <w:pPr>
                      <w:pStyle w:val="4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p w14:paraId="1F33E35D">
    <w:pPr>
      <w:pStyle w:val="4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796C7">
    <w:pPr>
      <w:pStyle w:val="42"/>
      <w:rPr>
        <w:rFonts w:ascii="仿宋_GB2312" w:eastAsia="仿宋_GB2312"/>
        <w:szCs w:val="24"/>
      </w:rPr>
    </w:pPr>
    <w: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775533">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65775533">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D2E98">
    <w:pPr>
      <w:pStyle w:val="42"/>
      <w:rPr>
        <w:rFonts w:ascii="仿宋_GB2312" w:eastAsia="仿宋_GB2312"/>
      </w:rPr>
    </w:pPr>
    <w: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3443B92">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13443B92">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01C09">
    <w:pPr>
      <w:pStyle w:val="61"/>
      <w:tabs>
        <w:tab w:val="center" w:pos="4535"/>
        <w:tab w:val="right" w:pos="9070"/>
      </w:tabs>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A79FB">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BBD5D">
    <w:pPr>
      <w:pStyle w:val="4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8018E">
    <w:pPr>
      <w:pStyle w:val="43"/>
      <w:pBdr>
        <w:bottom w:val="none" w:color="auto" w:sz="0" w:space="1"/>
      </w:pBdr>
      <w:tabs>
        <w:tab w:val="clear" w:pos="4153"/>
        <w:tab w:val="clear" w:pos="8306"/>
      </w:tabs>
      <w:jc w:val="both"/>
      <w:rPr>
        <w:rFonts w:ascii="仿宋_GB2312" w:eastAsia="仿宋_GB2312"/>
        <w:b/>
        <w:i/>
        <w:iCs/>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2FFB4">
    <w:pPr>
      <w:pStyle w:val="43"/>
      <w:pBdr>
        <w:bottom w:val="none" w:color="auto" w:sz="0" w:space="1"/>
      </w:pBdr>
      <w:tabs>
        <w:tab w:val="left" w:pos="5675"/>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CA3B46"/>
    <w:multiLevelType w:val="singleLevel"/>
    <w:tmpl w:val="B5CA3B46"/>
    <w:lvl w:ilvl="0" w:tentative="0">
      <w:start w:val="6"/>
      <w:numFmt w:val="chineseCounting"/>
      <w:suff w:val="nothing"/>
      <w:lvlText w:val="第%1章　"/>
      <w:lvlJc w:val="left"/>
      <w:rPr>
        <w:rFonts w:hint="eastAsia"/>
      </w:rPr>
    </w:lvl>
  </w:abstractNum>
  <w:abstractNum w:abstractNumId="1">
    <w:nsid w:val="BC792504"/>
    <w:multiLevelType w:val="singleLevel"/>
    <w:tmpl w:val="BC792504"/>
    <w:lvl w:ilvl="0" w:tentative="0">
      <w:start w:val="2"/>
      <w:numFmt w:val="chineseCounting"/>
      <w:suff w:val="space"/>
      <w:lvlText w:val="第%1章"/>
      <w:lvlJc w:val="left"/>
      <w:rPr>
        <w:rFonts w:hint="eastAsia"/>
      </w:rPr>
    </w:lvl>
  </w:abstractNum>
  <w:abstractNum w:abstractNumId="2">
    <w:nsid w:val="BDD34817"/>
    <w:multiLevelType w:val="singleLevel"/>
    <w:tmpl w:val="BDD34817"/>
    <w:lvl w:ilvl="0" w:tentative="0">
      <w:start w:val="1"/>
      <w:numFmt w:val="chineseCounting"/>
      <w:suff w:val="nothing"/>
      <w:lvlText w:val="%1、"/>
      <w:lvlJc w:val="left"/>
      <w:rPr>
        <w:rFonts w:hint="eastAsia"/>
      </w:rPr>
    </w:lvl>
  </w:abstractNum>
  <w:abstractNum w:abstractNumId="3">
    <w:nsid w:val="D09ECA7D"/>
    <w:multiLevelType w:val="singleLevel"/>
    <w:tmpl w:val="D09ECA7D"/>
    <w:lvl w:ilvl="0" w:tentative="0">
      <w:start w:val="2"/>
      <w:numFmt w:val="decimal"/>
      <w:suff w:val="nothing"/>
      <w:lvlText w:val="%1、"/>
      <w:lvlJc w:val="left"/>
    </w:lvl>
  </w:abstractNum>
  <w:abstractNum w:abstractNumId="4">
    <w:nsid w:val="31C2147C"/>
    <w:multiLevelType w:val="multilevel"/>
    <w:tmpl w:val="31C2147C"/>
    <w:lvl w:ilvl="0" w:tentative="0">
      <w:start w:val="1"/>
      <w:numFmt w:val="decimal"/>
      <w:lvlText w:val="（%1）"/>
      <w:lvlJc w:val="left"/>
      <w:pPr>
        <w:ind w:left="704" w:hanging="420"/>
      </w:pPr>
      <w:rPr>
        <w:rFonts w:hint="eastAsia"/>
      </w:rPr>
    </w:lvl>
    <w:lvl w:ilvl="1" w:tentative="0">
      <w:start w:val="1"/>
      <w:numFmt w:val="decimal"/>
      <w:lvlText w:val="%2、"/>
      <w:lvlJc w:val="left"/>
      <w:pPr>
        <w:ind w:left="1260" w:hanging="360"/>
      </w:pPr>
      <w:rPr>
        <w:rFonts w:hint="default"/>
      </w:rPr>
    </w:lvl>
    <w:lvl w:ilvl="2" w:tentative="0">
      <w:start w:val="1"/>
      <w:numFmt w:val="japaneseCounting"/>
      <w:lvlText w:val="(%3)"/>
      <w:lvlJc w:val="left"/>
      <w:pPr>
        <w:ind w:left="1800" w:hanging="480"/>
      </w:pPr>
      <w:rPr>
        <w:rFonts w:hint="default"/>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5">
    <w:nsid w:val="396403C6"/>
    <w:multiLevelType w:val="multilevel"/>
    <w:tmpl w:val="396403C6"/>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402F11D9"/>
    <w:multiLevelType w:val="multilevel"/>
    <w:tmpl w:val="402F11D9"/>
    <w:lvl w:ilvl="0" w:tentative="0">
      <w:start w:val="1"/>
      <w:numFmt w:val="decimal"/>
      <w:lvlText w:val="（%1）"/>
      <w:lvlJc w:val="left"/>
      <w:pPr>
        <w:ind w:left="704" w:hanging="420"/>
      </w:pPr>
      <w:rPr>
        <w:rFonts w:hint="eastAsia"/>
      </w:rPr>
    </w:lvl>
    <w:lvl w:ilvl="1" w:tentative="0">
      <w:start w:val="1"/>
      <w:numFmt w:val="decimal"/>
      <w:lvlText w:val="%2、"/>
      <w:lvlJc w:val="left"/>
      <w:pPr>
        <w:ind w:left="1260" w:hanging="360"/>
      </w:pPr>
      <w:rPr>
        <w:rFonts w:hint="default"/>
      </w:rPr>
    </w:lvl>
    <w:lvl w:ilvl="2" w:tentative="0">
      <w:start w:val="1"/>
      <w:numFmt w:val="japaneseCounting"/>
      <w:lvlText w:val="(%3)"/>
      <w:lvlJc w:val="left"/>
      <w:pPr>
        <w:ind w:left="1800" w:hanging="48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5D804704"/>
    <w:multiLevelType w:val="singleLevel"/>
    <w:tmpl w:val="5D804704"/>
    <w:lvl w:ilvl="0" w:tentative="0">
      <w:start w:val="1"/>
      <w:numFmt w:val="chineseCounting"/>
      <w:suff w:val="nothing"/>
      <w:lvlText w:val="%1、"/>
      <w:lvlJc w:val="left"/>
    </w:lvl>
  </w:abstractNum>
  <w:num w:numId="1">
    <w:abstractNumId w:val="1"/>
  </w:num>
  <w:num w:numId="2">
    <w:abstractNumId w:val="2"/>
  </w:num>
  <w:num w:numId="3">
    <w:abstractNumId w:val="7"/>
  </w:num>
  <w:num w:numId="4">
    <w:abstractNumId w:val="6"/>
  </w:num>
  <w:num w:numId="5">
    <w:abstractNumId w:val="4"/>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iMmJiYjYxMzRiN2QwMmNlMDEwNDM3ZWVmNDc3NG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199"/>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489"/>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5FA"/>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4DC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37E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615"/>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381"/>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012"/>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98"/>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49B"/>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0556"/>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1F50"/>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6A6"/>
    <w:rsid w:val="00A82D32"/>
    <w:rsid w:val="00A82EAE"/>
    <w:rsid w:val="00A82FC7"/>
    <w:rsid w:val="00A83B8A"/>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D7FC2"/>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23C4"/>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6DB0"/>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CFE"/>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9F8"/>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2D5"/>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BA7"/>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42C"/>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7EF"/>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B5618"/>
    <w:rsid w:val="011F6449"/>
    <w:rsid w:val="01203456"/>
    <w:rsid w:val="01236AFB"/>
    <w:rsid w:val="013D1A7E"/>
    <w:rsid w:val="0155173E"/>
    <w:rsid w:val="01904477"/>
    <w:rsid w:val="019F7441"/>
    <w:rsid w:val="01A319FB"/>
    <w:rsid w:val="01B37585"/>
    <w:rsid w:val="01D55165"/>
    <w:rsid w:val="01DF6BF8"/>
    <w:rsid w:val="01EC2C57"/>
    <w:rsid w:val="01EF3980"/>
    <w:rsid w:val="02151639"/>
    <w:rsid w:val="022315D5"/>
    <w:rsid w:val="02447828"/>
    <w:rsid w:val="026B2E25"/>
    <w:rsid w:val="02734700"/>
    <w:rsid w:val="02824D4D"/>
    <w:rsid w:val="028E5F70"/>
    <w:rsid w:val="029F0F02"/>
    <w:rsid w:val="02C46BBB"/>
    <w:rsid w:val="02CF6063"/>
    <w:rsid w:val="02DC4B10"/>
    <w:rsid w:val="02DD76CE"/>
    <w:rsid w:val="02F36323"/>
    <w:rsid w:val="02F5619C"/>
    <w:rsid w:val="03056EBF"/>
    <w:rsid w:val="0326446A"/>
    <w:rsid w:val="032D5555"/>
    <w:rsid w:val="036634D2"/>
    <w:rsid w:val="037B371D"/>
    <w:rsid w:val="039839AF"/>
    <w:rsid w:val="03B77F2C"/>
    <w:rsid w:val="03DD35E4"/>
    <w:rsid w:val="04076900"/>
    <w:rsid w:val="04140113"/>
    <w:rsid w:val="041A5A3B"/>
    <w:rsid w:val="04207EEE"/>
    <w:rsid w:val="042311BA"/>
    <w:rsid w:val="042A08CF"/>
    <w:rsid w:val="042B157A"/>
    <w:rsid w:val="04352F11"/>
    <w:rsid w:val="048F763B"/>
    <w:rsid w:val="049F330E"/>
    <w:rsid w:val="04AA775C"/>
    <w:rsid w:val="04AF1889"/>
    <w:rsid w:val="04CA06D2"/>
    <w:rsid w:val="04F66F48"/>
    <w:rsid w:val="05222163"/>
    <w:rsid w:val="05251E14"/>
    <w:rsid w:val="052F1085"/>
    <w:rsid w:val="0533087A"/>
    <w:rsid w:val="054B2EBB"/>
    <w:rsid w:val="05541A7D"/>
    <w:rsid w:val="056145E3"/>
    <w:rsid w:val="05777F14"/>
    <w:rsid w:val="05A16594"/>
    <w:rsid w:val="05A7762D"/>
    <w:rsid w:val="05C231EC"/>
    <w:rsid w:val="05C63DA3"/>
    <w:rsid w:val="06011897"/>
    <w:rsid w:val="060E5941"/>
    <w:rsid w:val="06110FAF"/>
    <w:rsid w:val="06493CA7"/>
    <w:rsid w:val="065A6178"/>
    <w:rsid w:val="066F1CF3"/>
    <w:rsid w:val="06930BB8"/>
    <w:rsid w:val="06951FE5"/>
    <w:rsid w:val="06DC1F3F"/>
    <w:rsid w:val="071371A5"/>
    <w:rsid w:val="07245D42"/>
    <w:rsid w:val="07264C62"/>
    <w:rsid w:val="07480C4F"/>
    <w:rsid w:val="074C4306"/>
    <w:rsid w:val="075D5951"/>
    <w:rsid w:val="077855B9"/>
    <w:rsid w:val="0779354C"/>
    <w:rsid w:val="0792448C"/>
    <w:rsid w:val="079F6195"/>
    <w:rsid w:val="07A12FF4"/>
    <w:rsid w:val="07C17D1A"/>
    <w:rsid w:val="07D15156"/>
    <w:rsid w:val="08061376"/>
    <w:rsid w:val="080D354F"/>
    <w:rsid w:val="0817778D"/>
    <w:rsid w:val="082A6473"/>
    <w:rsid w:val="08452D77"/>
    <w:rsid w:val="086401F8"/>
    <w:rsid w:val="086E1AA3"/>
    <w:rsid w:val="08751CAA"/>
    <w:rsid w:val="087E4C40"/>
    <w:rsid w:val="088A5FAE"/>
    <w:rsid w:val="08AA4CC9"/>
    <w:rsid w:val="08D17094"/>
    <w:rsid w:val="08D66AD6"/>
    <w:rsid w:val="08DA33A3"/>
    <w:rsid w:val="08E80F13"/>
    <w:rsid w:val="09294D84"/>
    <w:rsid w:val="092B34F0"/>
    <w:rsid w:val="09335624"/>
    <w:rsid w:val="093D097C"/>
    <w:rsid w:val="0944690F"/>
    <w:rsid w:val="09535675"/>
    <w:rsid w:val="095F057D"/>
    <w:rsid w:val="09616F12"/>
    <w:rsid w:val="09642282"/>
    <w:rsid w:val="09733572"/>
    <w:rsid w:val="09772C16"/>
    <w:rsid w:val="098353B5"/>
    <w:rsid w:val="099E1F14"/>
    <w:rsid w:val="09A92330"/>
    <w:rsid w:val="09B06B87"/>
    <w:rsid w:val="09BE5947"/>
    <w:rsid w:val="09C13146"/>
    <w:rsid w:val="09C92B54"/>
    <w:rsid w:val="09E04166"/>
    <w:rsid w:val="0A0A0F1B"/>
    <w:rsid w:val="0A1C0718"/>
    <w:rsid w:val="0A2E2D1E"/>
    <w:rsid w:val="0A3E7710"/>
    <w:rsid w:val="0A5B7E63"/>
    <w:rsid w:val="0A5C3149"/>
    <w:rsid w:val="0A826F07"/>
    <w:rsid w:val="0A8A7C8B"/>
    <w:rsid w:val="0AA374A5"/>
    <w:rsid w:val="0AA51080"/>
    <w:rsid w:val="0AAB7649"/>
    <w:rsid w:val="0ABC5606"/>
    <w:rsid w:val="0AE012BD"/>
    <w:rsid w:val="0B012ED1"/>
    <w:rsid w:val="0B156206"/>
    <w:rsid w:val="0B2E376B"/>
    <w:rsid w:val="0B30404E"/>
    <w:rsid w:val="0B4C6C14"/>
    <w:rsid w:val="0B5034AD"/>
    <w:rsid w:val="0B631A88"/>
    <w:rsid w:val="0B683D45"/>
    <w:rsid w:val="0B7F3F11"/>
    <w:rsid w:val="0B7F3FC7"/>
    <w:rsid w:val="0B884417"/>
    <w:rsid w:val="0B973B9D"/>
    <w:rsid w:val="0BA47589"/>
    <w:rsid w:val="0BDC19C4"/>
    <w:rsid w:val="0BDE0321"/>
    <w:rsid w:val="0BF6188C"/>
    <w:rsid w:val="0BF64210"/>
    <w:rsid w:val="0BF73C91"/>
    <w:rsid w:val="0C020E7E"/>
    <w:rsid w:val="0C0B1E49"/>
    <w:rsid w:val="0C0E5D5C"/>
    <w:rsid w:val="0C170175"/>
    <w:rsid w:val="0C480CD6"/>
    <w:rsid w:val="0C571A41"/>
    <w:rsid w:val="0C5C1171"/>
    <w:rsid w:val="0C5E1CBC"/>
    <w:rsid w:val="0C615B50"/>
    <w:rsid w:val="0C6C5394"/>
    <w:rsid w:val="0C8445DA"/>
    <w:rsid w:val="0C87121B"/>
    <w:rsid w:val="0CA05FA3"/>
    <w:rsid w:val="0CBA4FBD"/>
    <w:rsid w:val="0CC007F7"/>
    <w:rsid w:val="0CD53F16"/>
    <w:rsid w:val="0CD60B29"/>
    <w:rsid w:val="0CDB1229"/>
    <w:rsid w:val="0CE44918"/>
    <w:rsid w:val="0CED3A11"/>
    <w:rsid w:val="0CFE707A"/>
    <w:rsid w:val="0D063BDA"/>
    <w:rsid w:val="0D08375F"/>
    <w:rsid w:val="0D136775"/>
    <w:rsid w:val="0D184CFB"/>
    <w:rsid w:val="0D1E7791"/>
    <w:rsid w:val="0D4A7419"/>
    <w:rsid w:val="0D817B82"/>
    <w:rsid w:val="0D827401"/>
    <w:rsid w:val="0D84094E"/>
    <w:rsid w:val="0D8A00E9"/>
    <w:rsid w:val="0D8D589E"/>
    <w:rsid w:val="0DA01C73"/>
    <w:rsid w:val="0DD63300"/>
    <w:rsid w:val="0DF50604"/>
    <w:rsid w:val="0DF702FE"/>
    <w:rsid w:val="0E060E51"/>
    <w:rsid w:val="0E072787"/>
    <w:rsid w:val="0E29305E"/>
    <w:rsid w:val="0E550E35"/>
    <w:rsid w:val="0E5604B2"/>
    <w:rsid w:val="0E5E6115"/>
    <w:rsid w:val="0E6D5D79"/>
    <w:rsid w:val="0E9D0089"/>
    <w:rsid w:val="0EA87855"/>
    <w:rsid w:val="0EB803EE"/>
    <w:rsid w:val="0EE926B8"/>
    <w:rsid w:val="0EF94D4B"/>
    <w:rsid w:val="0EFD4EA0"/>
    <w:rsid w:val="0F17118D"/>
    <w:rsid w:val="0F285729"/>
    <w:rsid w:val="0F4958DC"/>
    <w:rsid w:val="0F4B0B32"/>
    <w:rsid w:val="0F515DF7"/>
    <w:rsid w:val="0F596BA8"/>
    <w:rsid w:val="0F6248D2"/>
    <w:rsid w:val="0F693536"/>
    <w:rsid w:val="0F7554C5"/>
    <w:rsid w:val="0F7B0511"/>
    <w:rsid w:val="0F7B76D9"/>
    <w:rsid w:val="0F816ACD"/>
    <w:rsid w:val="0F9832DB"/>
    <w:rsid w:val="0FBF3FD2"/>
    <w:rsid w:val="0FBF7FF3"/>
    <w:rsid w:val="0FD60610"/>
    <w:rsid w:val="0FE73EE9"/>
    <w:rsid w:val="10043AE6"/>
    <w:rsid w:val="10505D41"/>
    <w:rsid w:val="10550E02"/>
    <w:rsid w:val="10646583"/>
    <w:rsid w:val="107D4B15"/>
    <w:rsid w:val="107D65A4"/>
    <w:rsid w:val="108A3C80"/>
    <w:rsid w:val="10AA73F0"/>
    <w:rsid w:val="10C26171"/>
    <w:rsid w:val="10F33360"/>
    <w:rsid w:val="10FC16EA"/>
    <w:rsid w:val="110F1D40"/>
    <w:rsid w:val="11266F33"/>
    <w:rsid w:val="11507B96"/>
    <w:rsid w:val="11525A28"/>
    <w:rsid w:val="115343AE"/>
    <w:rsid w:val="118963A1"/>
    <w:rsid w:val="11C6522A"/>
    <w:rsid w:val="11DC71F8"/>
    <w:rsid w:val="11E104CC"/>
    <w:rsid w:val="11E20309"/>
    <w:rsid w:val="11E3293D"/>
    <w:rsid w:val="11E64458"/>
    <w:rsid w:val="12255233"/>
    <w:rsid w:val="122816D4"/>
    <w:rsid w:val="12530213"/>
    <w:rsid w:val="12541D09"/>
    <w:rsid w:val="127723A9"/>
    <w:rsid w:val="12862074"/>
    <w:rsid w:val="12883966"/>
    <w:rsid w:val="129E45B4"/>
    <w:rsid w:val="12AA761C"/>
    <w:rsid w:val="12D81596"/>
    <w:rsid w:val="13054E22"/>
    <w:rsid w:val="13072A44"/>
    <w:rsid w:val="131B2827"/>
    <w:rsid w:val="13482EF0"/>
    <w:rsid w:val="135F4BE2"/>
    <w:rsid w:val="139B1A0A"/>
    <w:rsid w:val="139D25C7"/>
    <w:rsid w:val="13BF3CE4"/>
    <w:rsid w:val="13C42FAC"/>
    <w:rsid w:val="13E23345"/>
    <w:rsid w:val="13E34051"/>
    <w:rsid w:val="14043309"/>
    <w:rsid w:val="141008D8"/>
    <w:rsid w:val="14125FE6"/>
    <w:rsid w:val="14165B51"/>
    <w:rsid w:val="146D271E"/>
    <w:rsid w:val="1481064F"/>
    <w:rsid w:val="14982588"/>
    <w:rsid w:val="14991C55"/>
    <w:rsid w:val="149A5AD9"/>
    <w:rsid w:val="14A03F0D"/>
    <w:rsid w:val="14A7619D"/>
    <w:rsid w:val="14BE3364"/>
    <w:rsid w:val="14C8320F"/>
    <w:rsid w:val="14CA62B3"/>
    <w:rsid w:val="14E0174B"/>
    <w:rsid w:val="14E24BF2"/>
    <w:rsid w:val="14EA71B5"/>
    <w:rsid w:val="14F06FC3"/>
    <w:rsid w:val="150536C3"/>
    <w:rsid w:val="150C1963"/>
    <w:rsid w:val="15107A3E"/>
    <w:rsid w:val="151252CE"/>
    <w:rsid w:val="151447A0"/>
    <w:rsid w:val="154A6454"/>
    <w:rsid w:val="15613E68"/>
    <w:rsid w:val="15762120"/>
    <w:rsid w:val="15806B32"/>
    <w:rsid w:val="15AC270E"/>
    <w:rsid w:val="15D7269B"/>
    <w:rsid w:val="15D77B9E"/>
    <w:rsid w:val="16013067"/>
    <w:rsid w:val="163E3ED5"/>
    <w:rsid w:val="163E55E1"/>
    <w:rsid w:val="166A18FC"/>
    <w:rsid w:val="169F2681"/>
    <w:rsid w:val="16A8729C"/>
    <w:rsid w:val="16B33777"/>
    <w:rsid w:val="16BC70A7"/>
    <w:rsid w:val="16C6339E"/>
    <w:rsid w:val="16D44311"/>
    <w:rsid w:val="16FB6BF7"/>
    <w:rsid w:val="1702579F"/>
    <w:rsid w:val="17035AAC"/>
    <w:rsid w:val="172F2D79"/>
    <w:rsid w:val="17557BEF"/>
    <w:rsid w:val="17842421"/>
    <w:rsid w:val="17984446"/>
    <w:rsid w:val="179E6FD7"/>
    <w:rsid w:val="17A7720B"/>
    <w:rsid w:val="17CA130A"/>
    <w:rsid w:val="17D349C1"/>
    <w:rsid w:val="17F3167D"/>
    <w:rsid w:val="1830729E"/>
    <w:rsid w:val="185B5474"/>
    <w:rsid w:val="186E4F56"/>
    <w:rsid w:val="1870062C"/>
    <w:rsid w:val="187F5606"/>
    <w:rsid w:val="18817102"/>
    <w:rsid w:val="18830A15"/>
    <w:rsid w:val="18852B28"/>
    <w:rsid w:val="188B5321"/>
    <w:rsid w:val="188E780C"/>
    <w:rsid w:val="18A94431"/>
    <w:rsid w:val="18AD308A"/>
    <w:rsid w:val="18DF7E53"/>
    <w:rsid w:val="18F356AC"/>
    <w:rsid w:val="18FC783F"/>
    <w:rsid w:val="19137AFC"/>
    <w:rsid w:val="196A0064"/>
    <w:rsid w:val="19932372"/>
    <w:rsid w:val="199B1288"/>
    <w:rsid w:val="19A20DD5"/>
    <w:rsid w:val="19AE03F1"/>
    <w:rsid w:val="19BE1321"/>
    <w:rsid w:val="19C914F1"/>
    <w:rsid w:val="19DD2400"/>
    <w:rsid w:val="19E73463"/>
    <w:rsid w:val="1A071A03"/>
    <w:rsid w:val="1A093754"/>
    <w:rsid w:val="1A0B7741"/>
    <w:rsid w:val="1A1F16AE"/>
    <w:rsid w:val="1A383CBF"/>
    <w:rsid w:val="1A3B5C77"/>
    <w:rsid w:val="1A4062D0"/>
    <w:rsid w:val="1A5D1440"/>
    <w:rsid w:val="1A8E207F"/>
    <w:rsid w:val="1A984BAD"/>
    <w:rsid w:val="1AAC1FB7"/>
    <w:rsid w:val="1AB8220E"/>
    <w:rsid w:val="1ADC0F2F"/>
    <w:rsid w:val="1AE4166C"/>
    <w:rsid w:val="1AE61761"/>
    <w:rsid w:val="1AF06CFB"/>
    <w:rsid w:val="1AF11B8D"/>
    <w:rsid w:val="1B11359C"/>
    <w:rsid w:val="1B2A271F"/>
    <w:rsid w:val="1B2A5352"/>
    <w:rsid w:val="1B530544"/>
    <w:rsid w:val="1B591FEF"/>
    <w:rsid w:val="1B713184"/>
    <w:rsid w:val="1B905DEA"/>
    <w:rsid w:val="1BA209CF"/>
    <w:rsid w:val="1BB20793"/>
    <w:rsid w:val="1BB4777D"/>
    <w:rsid w:val="1BD75AB8"/>
    <w:rsid w:val="1BEA5747"/>
    <w:rsid w:val="1BED0AD9"/>
    <w:rsid w:val="1C0459C2"/>
    <w:rsid w:val="1C1B3B4A"/>
    <w:rsid w:val="1C455ADE"/>
    <w:rsid w:val="1C61490F"/>
    <w:rsid w:val="1C6D0FDA"/>
    <w:rsid w:val="1C88086E"/>
    <w:rsid w:val="1D1B23AC"/>
    <w:rsid w:val="1D266CE1"/>
    <w:rsid w:val="1D3963AF"/>
    <w:rsid w:val="1D3A5FA0"/>
    <w:rsid w:val="1D4110DC"/>
    <w:rsid w:val="1D6A673C"/>
    <w:rsid w:val="1D9247AE"/>
    <w:rsid w:val="1DAE4D97"/>
    <w:rsid w:val="1DB567EC"/>
    <w:rsid w:val="1DC57B03"/>
    <w:rsid w:val="1DF51A98"/>
    <w:rsid w:val="1DFE0D7B"/>
    <w:rsid w:val="1E2522E7"/>
    <w:rsid w:val="1E3824DF"/>
    <w:rsid w:val="1E3D060F"/>
    <w:rsid w:val="1E3F7D2E"/>
    <w:rsid w:val="1E4134E4"/>
    <w:rsid w:val="1E451778"/>
    <w:rsid w:val="1E5062B3"/>
    <w:rsid w:val="1E523514"/>
    <w:rsid w:val="1E593358"/>
    <w:rsid w:val="1E686B46"/>
    <w:rsid w:val="1E714A66"/>
    <w:rsid w:val="1E802593"/>
    <w:rsid w:val="1E892D3B"/>
    <w:rsid w:val="1EA703CC"/>
    <w:rsid w:val="1EB7330C"/>
    <w:rsid w:val="1EEE0DF0"/>
    <w:rsid w:val="1EF93289"/>
    <w:rsid w:val="1F0A0FF3"/>
    <w:rsid w:val="1F205AAD"/>
    <w:rsid w:val="1F554589"/>
    <w:rsid w:val="1F5771FF"/>
    <w:rsid w:val="1F745498"/>
    <w:rsid w:val="1FA35943"/>
    <w:rsid w:val="1FDF32F5"/>
    <w:rsid w:val="1FE868A9"/>
    <w:rsid w:val="20034907"/>
    <w:rsid w:val="20173E4B"/>
    <w:rsid w:val="20181590"/>
    <w:rsid w:val="20380D25"/>
    <w:rsid w:val="203E7B55"/>
    <w:rsid w:val="20407429"/>
    <w:rsid w:val="204E48BC"/>
    <w:rsid w:val="20631369"/>
    <w:rsid w:val="206801ED"/>
    <w:rsid w:val="207B66B3"/>
    <w:rsid w:val="207E2E19"/>
    <w:rsid w:val="208921B3"/>
    <w:rsid w:val="20973DEB"/>
    <w:rsid w:val="209B0B03"/>
    <w:rsid w:val="209E23A2"/>
    <w:rsid w:val="20AC592F"/>
    <w:rsid w:val="20B26522"/>
    <w:rsid w:val="20B44310"/>
    <w:rsid w:val="20CC38E7"/>
    <w:rsid w:val="20DB5D96"/>
    <w:rsid w:val="211116EB"/>
    <w:rsid w:val="21431023"/>
    <w:rsid w:val="216133FC"/>
    <w:rsid w:val="2161415A"/>
    <w:rsid w:val="216929AF"/>
    <w:rsid w:val="21B27333"/>
    <w:rsid w:val="21B62C24"/>
    <w:rsid w:val="21B93937"/>
    <w:rsid w:val="21BC2207"/>
    <w:rsid w:val="21BE7F86"/>
    <w:rsid w:val="21D56769"/>
    <w:rsid w:val="21E52EF3"/>
    <w:rsid w:val="21FB5D7B"/>
    <w:rsid w:val="21FB5FE2"/>
    <w:rsid w:val="220B1C3D"/>
    <w:rsid w:val="221D1D20"/>
    <w:rsid w:val="22334A87"/>
    <w:rsid w:val="22396826"/>
    <w:rsid w:val="224654C1"/>
    <w:rsid w:val="225278E7"/>
    <w:rsid w:val="22566527"/>
    <w:rsid w:val="228C11EC"/>
    <w:rsid w:val="22BD1205"/>
    <w:rsid w:val="22BE6801"/>
    <w:rsid w:val="22C26C62"/>
    <w:rsid w:val="23231797"/>
    <w:rsid w:val="233500BF"/>
    <w:rsid w:val="2335523F"/>
    <w:rsid w:val="23377FF7"/>
    <w:rsid w:val="236B425F"/>
    <w:rsid w:val="23702843"/>
    <w:rsid w:val="23730F4C"/>
    <w:rsid w:val="23836192"/>
    <w:rsid w:val="238B46C0"/>
    <w:rsid w:val="23901F29"/>
    <w:rsid w:val="239C0061"/>
    <w:rsid w:val="23A10B26"/>
    <w:rsid w:val="23A91BB2"/>
    <w:rsid w:val="23B908A4"/>
    <w:rsid w:val="23E95BEF"/>
    <w:rsid w:val="23F5677C"/>
    <w:rsid w:val="23FD0064"/>
    <w:rsid w:val="24285E12"/>
    <w:rsid w:val="245375B0"/>
    <w:rsid w:val="24550B74"/>
    <w:rsid w:val="24642C0A"/>
    <w:rsid w:val="24692921"/>
    <w:rsid w:val="246D0A09"/>
    <w:rsid w:val="24912949"/>
    <w:rsid w:val="24B22173"/>
    <w:rsid w:val="24B95AD9"/>
    <w:rsid w:val="24BE0639"/>
    <w:rsid w:val="24BE24DA"/>
    <w:rsid w:val="24CF5825"/>
    <w:rsid w:val="24D34D10"/>
    <w:rsid w:val="24D663E6"/>
    <w:rsid w:val="24D77F2B"/>
    <w:rsid w:val="24DE5462"/>
    <w:rsid w:val="25530F16"/>
    <w:rsid w:val="258602D4"/>
    <w:rsid w:val="258B00E2"/>
    <w:rsid w:val="25A917A6"/>
    <w:rsid w:val="25BE27CC"/>
    <w:rsid w:val="25C7193F"/>
    <w:rsid w:val="25F73E14"/>
    <w:rsid w:val="25F74A5C"/>
    <w:rsid w:val="26064C71"/>
    <w:rsid w:val="261C6242"/>
    <w:rsid w:val="2628662C"/>
    <w:rsid w:val="262D45DE"/>
    <w:rsid w:val="26487FFA"/>
    <w:rsid w:val="264A0EBF"/>
    <w:rsid w:val="264A61BF"/>
    <w:rsid w:val="2662090A"/>
    <w:rsid w:val="26797291"/>
    <w:rsid w:val="26A53EF9"/>
    <w:rsid w:val="26A94201"/>
    <w:rsid w:val="26AC274F"/>
    <w:rsid w:val="27044A29"/>
    <w:rsid w:val="27056071"/>
    <w:rsid w:val="271D34C8"/>
    <w:rsid w:val="27434754"/>
    <w:rsid w:val="276142BF"/>
    <w:rsid w:val="27783712"/>
    <w:rsid w:val="277D71B5"/>
    <w:rsid w:val="27907362"/>
    <w:rsid w:val="27E965F8"/>
    <w:rsid w:val="27EA55BE"/>
    <w:rsid w:val="27EE00B2"/>
    <w:rsid w:val="27F21951"/>
    <w:rsid w:val="281C02EC"/>
    <w:rsid w:val="28221359"/>
    <w:rsid w:val="28333E1D"/>
    <w:rsid w:val="283C6C0F"/>
    <w:rsid w:val="28454BD6"/>
    <w:rsid w:val="28455253"/>
    <w:rsid w:val="28467D80"/>
    <w:rsid w:val="28551971"/>
    <w:rsid w:val="285B1C53"/>
    <w:rsid w:val="2895356C"/>
    <w:rsid w:val="289F7086"/>
    <w:rsid w:val="28C32028"/>
    <w:rsid w:val="28CB0AD6"/>
    <w:rsid w:val="28CC490F"/>
    <w:rsid w:val="28D62667"/>
    <w:rsid w:val="28DE40AA"/>
    <w:rsid w:val="29345E77"/>
    <w:rsid w:val="29357A83"/>
    <w:rsid w:val="294B0DAC"/>
    <w:rsid w:val="294C65AD"/>
    <w:rsid w:val="29534FBB"/>
    <w:rsid w:val="29806583"/>
    <w:rsid w:val="298B3C4C"/>
    <w:rsid w:val="299A254E"/>
    <w:rsid w:val="29D54D29"/>
    <w:rsid w:val="29E90B31"/>
    <w:rsid w:val="29F04FFF"/>
    <w:rsid w:val="29F26D24"/>
    <w:rsid w:val="2A1170FC"/>
    <w:rsid w:val="2A15033F"/>
    <w:rsid w:val="2A155109"/>
    <w:rsid w:val="2A1662C1"/>
    <w:rsid w:val="2A1C7367"/>
    <w:rsid w:val="2A2815FA"/>
    <w:rsid w:val="2A6D6092"/>
    <w:rsid w:val="2A7204D1"/>
    <w:rsid w:val="2A7D76B4"/>
    <w:rsid w:val="2A802A25"/>
    <w:rsid w:val="2AA02406"/>
    <w:rsid w:val="2AC01D81"/>
    <w:rsid w:val="2AC70EDC"/>
    <w:rsid w:val="2AFF093C"/>
    <w:rsid w:val="2B0F6376"/>
    <w:rsid w:val="2B373B1E"/>
    <w:rsid w:val="2B437463"/>
    <w:rsid w:val="2B7807EE"/>
    <w:rsid w:val="2B945009"/>
    <w:rsid w:val="2BBF00EC"/>
    <w:rsid w:val="2BC37CFD"/>
    <w:rsid w:val="2BD22C66"/>
    <w:rsid w:val="2BD5237F"/>
    <w:rsid w:val="2BE536CE"/>
    <w:rsid w:val="2BE758D9"/>
    <w:rsid w:val="2BE772F2"/>
    <w:rsid w:val="2C09049E"/>
    <w:rsid w:val="2C0A653C"/>
    <w:rsid w:val="2C191F85"/>
    <w:rsid w:val="2C1F6A3F"/>
    <w:rsid w:val="2C4712C3"/>
    <w:rsid w:val="2C491E25"/>
    <w:rsid w:val="2C556E31"/>
    <w:rsid w:val="2C6000DA"/>
    <w:rsid w:val="2C6D53B9"/>
    <w:rsid w:val="2C874F6F"/>
    <w:rsid w:val="2CA32A1F"/>
    <w:rsid w:val="2CA959F5"/>
    <w:rsid w:val="2CC15D95"/>
    <w:rsid w:val="2CE82D6F"/>
    <w:rsid w:val="2CEF4B76"/>
    <w:rsid w:val="2D343236"/>
    <w:rsid w:val="2D4509FB"/>
    <w:rsid w:val="2D4E5E48"/>
    <w:rsid w:val="2D5C086B"/>
    <w:rsid w:val="2D5C33B1"/>
    <w:rsid w:val="2D823314"/>
    <w:rsid w:val="2D9078D1"/>
    <w:rsid w:val="2D9214E0"/>
    <w:rsid w:val="2DD1025A"/>
    <w:rsid w:val="2DD15014"/>
    <w:rsid w:val="2DE43535"/>
    <w:rsid w:val="2DF51922"/>
    <w:rsid w:val="2DF72DE4"/>
    <w:rsid w:val="2E0220AF"/>
    <w:rsid w:val="2E07472B"/>
    <w:rsid w:val="2E0E6DB8"/>
    <w:rsid w:val="2E455766"/>
    <w:rsid w:val="2E4B082A"/>
    <w:rsid w:val="2E5D4E86"/>
    <w:rsid w:val="2E5D790B"/>
    <w:rsid w:val="2E753370"/>
    <w:rsid w:val="2E9A3C18"/>
    <w:rsid w:val="2EBB0FEE"/>
    <w:rsid w:val="2EC22DD3"/>
    <w:rsid w:val="2EC63002"/>
    <w:rsid w:val="2EE364E6"/>
    <w:rsid w:val="2EFD2AE1"/>
    <w:rsid w:val="2F0748E1"/>
    <w:rsid w:val="2F0A6B38"/>
    <w:rsid w:val="2F3B2DD2"/>
    <w:rsid w:val="2F3D2BFE"/>
    <w:rsid w:val="2F6F7335"/>
    <w:rsid w:val="2F93773A"/>
    <w:rsid w:val="2F946CCB"/>
    <w:rsid w:val="2FAC6889"/>
    <w:rsid w:val="2FD25781"/>
    <w:rsid w:val="2FDB0057"/>
    <w:rsid w:val="2FFD5044"/>
    <w:rsid w:val="2FFD7934"/>
    <w:rsid w:val="303904C7"/>
    <w:rsid w:val="30733ACD"/>
    <w:rsid w:val="3075311F"/>
    <w:rsid w:val="308C3862"/>
    <w:rsid w:val="309379D8"/>
    <w:rsid w:val="309F63EE"/>
    <w:rsid w:val="30A270F7"/>
    <w:rsid w:val="30CF0445"/>
    <w:rsid w:val="30DF1478"/>
    <w:rsid w:val="30EC586F"/>
    <w:rsid w:val="311213ED"/>
    <w:rsid w:val="31294542"/>
    <w:rsid w:val="319C6071"/>
    <w:rsid w:val="31A863E0"/>
    <w:rsid w:val="31AC537E"/>
    <w:rsid w:val="31CF4F1B"/>
    <w:rsid w:val="31E3679B"/>
    <w:rsid w:val="31E732FD"/>
    <w:rsid w:val="32517576"/>
    <w:rsid w:val="32BE5C2C"/>
    <w:rsid w:val="32ED07A3"/>
    <w:rsid w:val="32FB6478"/>
    <w:rsid w:val="330709B5"/>
    <w:rsid w:val="330E2F43"/>
    <w:rsid w:val="330E6900"/>
    <w:rsid w:val="33263B3F"/>
    <w:rsid w:val="332C1A8F"/>
    <w:rsid w:val="334A12E1"/>
    <w:rsid w:val="336963EB"/>
    <w:rsid w:val="337802BF"/>
    <w:rsid w:val="33816EEB"/>
    <w:rsid w:val="338F52EF"/>
    <w:rsid w:val="33EB55CD"/>
    <w:rsid w:val="33EC4C02"/>
    <w:rsid w:val="340D2360"/>
    <w:rsid w:val="3410665D"/>
    <w:rsid w:val="34211214"/>
    <w:rsid w:val="342A4CF9"/>
    <w:rsid w:val="342E63AB"/>
    <w:rsid w:val="343E2B5D"/>
    <w:rsid w:val="3468501E"/>
    <w:rsid w:val="34711E4F"/>
    <w:rsid w:val="34915D87"/>
    <w:rsid w:val="34950E68"/>
    <w:rsid w:val="34986E94"/>
    <w:rsid w:val="34AF62C9"/>
    <w:rsid w:val="34C65AE8"/>
    <w:rsid w:val="34CB4388"/>
    <w:rsid w:val="34FA6E12"/>
    <w:rsid w:val="350E5DAF"/>
    <w:rsid w:val="353F3CFB"/>
    <w:rsid w:val="356646D9"/>
    <w:rsid w:val="358D5588"/>
    <w:rsid w:val="359A54B9"/>
    <w:rsid w:val="35B82B71"/>
    <w:rsid w:val="35C05806"/>
    <w:rsid w:val="35C42453"/>
    <w:rsid w:val="35D617AE"/>
    <w:rsid w:val="361B3215"/>
    <w:rsid w:val="363A3B40"/>
    <w:rsid w:val="365302AE"/>
    <w:rsid w:val="36607A0A"/>
    <w:rsid w:val="366529DF"/>
    <w:rsid w:val="366E227C"/>
    <w:rsid w:val="366F2E0D"/>
    <w:rsid w:val="36735F09"/>
    <w:rsid w:val="367B6A5C"/>
    <w:rsid w:val="36A52284"/>
    <w:rsid w:val="36A74ADA"/>
    <w:rsid w:val="36AC3612"/>
    <w:rsid w:val="36AD60D5"/>
    <w:rsid w:val="36B224F9"/>
    <w:rsid w:val="36BE005A"/>
    <w:rsid w:val="36BE1D3D"/>
    <w:rsid w:val="36C31EEC"/>
    <w:rsid w:val="36C841D0"/>
    <w:rsid w:val="36D55D6B"/>
    <w:rsid w:val="36EC0CC9"/>
    <w:rsid w:val="37090039"/>
    <w:rsid w:val="371A4B70"/>
    <w:rsid w:val="37363295"/>
    <w:rsid w:val="373F410B"/>
    <w:rsid w:val="37755EB7"/>
    <w:rsid w:val="379245B6"/>
    <w:rsid w:val="37EE7094"/>
    <w:rsid w:val="38296C89"/>
    <w:rsid w:val="383002EB"/>
    <w:rsid w:val="385505E5"/>
    <w:rsid w:val="38586797"/>
    <w:rsid w:val="38654298"/>
    <w:rsid w:val="386D6CAD"/>
    <w:rsid w:val="38797966"/>
    <w:rsid w:val="388243AC"/>
    <w:rsid w:val="38855EC9"/>
    <w:rsid w:val="388801F5"/>
    <w:rsid w:val="3894610C"/>
    <w:rsid w:val="38B113F5"/>
    <w:rsid w:val="38BC0149"/>
    <w:rsid w:val="38BE08A8"/>
    <w:rsid w:val="38D87D1C"/>
    <w:rsid w:val="38E22CFA"/>
    <w:rsid w:val="39092512"/>
    <w:rsid w:val="391A199A"/>
    <w:rsid w:val="394E1A8B"/>
    <w:rsid w:val="39636459"/>
    <w:rsid w:val="396B7F6C"/>
    <w:rsid w:val="39B417A9"/>
    <w:rsid w:val="39BB2205"/>
    <w:rsid w:val="39F94929"/>
    <w:rsid w:val="39FC5695"/>
    <w:rsid w:val="3A006D8E"/>
    <w:rsid w:val="3A3651E5"/>
    <w:rsid w:val="3A476BFD"/>
    <w:rsid w:val="3A6B67E3"/>
    <w:rsid w:val="3A744481"/>
    <w:rsid w:val="3A8C7BEF"/>
    <w:rsid w:val="3A906246"/>
    <w:rsid w:val="3AE004A0"/>
    <w:rsid w:val="3AE961AD"/>
    <w:rsid w:val="3B2349B7"/>
    <w:rsid w:val="3B343BD6"/>
    <w:rsid w:val="3B3C7E67"/>
    <w:rsid w:val="3B3FC59C"/>
    <w:rsid w:val="3B4257EA"/>
    <w:rsid w:val="3B616CFF"/>
    <w:rsid w:val="3B6259F6"/>
    <w:rsid w:val="3B720C0D"/>
    <w:rsid w:val="3B976654"/>
    <w:rsid w:val="3BAF42E8"/>
    <w:rsid w:val="3BAF51F7"/>
    <w:rsid w:val="3BB6355F"/>
    <w:rsid w:val="3BC01EFC"/>
    <w:rsid w:val="3BCA786A"/>
    <w:rsid w:val="3BD31E2F"/>
    <w:rsid w:val="3BF15831"/>
    <w:rsid w:val="3C0D7A60"/>
    <w:rsid w:val="3C105946"/>
    <w:rsid w:val="3C471448"/>
    <w:rsid w:val="3C5F759A"/>
    <w:rsid w:val="3C6C525A"/>
    <w:rsid w:val="3CAD649B"/>
    <w:rsid w:val="3CC33275"/>
    <w:rsid w:val="3CC34D87"/>
    <w:rsid w:val="3CCB4B5A"/>
    <w:rsid w:val="3CCE23CB"/>
    <w:rsid w:val="3CD17D17"/>
    <w:rsid w:val="3D095B46"/>
    <w:rsid w:val="3D3C7F39"/>
    <w:rsid w:val="3D4015F2"/>
    <w:rsid w:val="3D440F09"/>
    <w:rsid w:val="3D4504A0"/>
    <w:rsid w:val="3D4B50E0"/>
    <w:rsid w:val="3D6F6425"/>
    <w:rsid w:val="3D7824A0"/>
    <w:rsid w:val="3D864BBD"/>
    <w:rsid w:val="3D8734BB"/>
    <w:rsid w:val="3D913562"/>
    <w:rsid w:val="3D9A11D4"/>
    <w:rsid w:val="3DA16D89"/>
    <w:rsid w:val="3DA364BE"/>
    <w:rsid w:val="3DAC2910"/>
    <w:rsid w:val="3DDD67A7"/>
    <w:rsid w:val="3DE041CB"/>
    <w:rsid w:val="3DFC6C2D"/>
    <w:rsid w:val="3E0D48F6"/>
    <w:rsid w:val="3E185305"/>
    <w:rsid w:val="3E1868B4"/>
    <w:rsid w:val="3E377251"/>
    <w:rsid w:val="3E42664B"/>
    <w:rsid w:val="3E4A4A56"/>
    <w:rsid w:val="3E4B4F87"/>
    <w:rsid w:val="3E5661DC"/>
    <w:rsid w:val="3E5A7334"/>
    <w:rsid w:val="3E7B5D6B"/>
    <w:rsid w:val="3E843E66"/>
    <w:rsid w:val="3E8F51FE"/>
    <w:rsid w:val="3E926F87"/>
    <w:rsid w:val="3E9A59DE"/>
    <w:rsid w:val="3EAF4836"/>
    <w:rsid w:val="3EB94A62"/>
    <w:rsid w:val="3EC33DFA"/>
    <w:rsid w:val="3EC3464E"/>
    <w:rsid w:val="3EC84D62"/>
    <w:rsid w:val="3EE85404"/>
    <w:rsid w:val="3F060E16"/>
    <w:rsid w:val="3F125A52"/>
    <w:rsid w:val="3F173D18"/>
    <w:rsid w:val="3F1C4A39"/>
    <w:rsid w:val="3F1D1096"/>
    <w:rsid w:val="3F253F62"/>
    <w:rsid w:val="3F2F0234"/>
    <w:rsid w:val="3F485DF7"/>
    <w:rsid w:val="3F6363FE"/>
    <w:rsid w:val="3F6F35A5"/>
    <w:rsid w:val="3F756B8F"/>
    <w:rsid w:val="3F7A35A1"/>
    <w:rsid w:val="3F8B2078"/>
    <w:rsid w:val="3F8F60F8"/>
    <w:rsid w:val="3F95482B"/>
    <w:rsid w:val="3FA57E6B"/>
    <w:rsid w:val="3FB577A3"/>
    <w:rsid w:val="3FC62FB9"/>
    <w:rsid w:val="3FFE3893"/>
    <w:rsid w:val="400420D2"/>
    <w:rsid w:val="401565BF"/>
    <w:rsid w:val="4019356B"/>
    <w:rsid w:val="40275AB8"/>
    <w:rsid w:val="4046605F"/>
    <w:rsid w:val="40592157"/>
    <w:rsid w:val="40674A44"/>
    <w:rsid w:val="406E1CAE"/>
    <w:rsid w:val="4070076D"/>
    <w:rsid w:val="407A39D5"/>
    <w:rsid w:val="40817E61"/>
    <w:rsid w:val="409A0980"/>
    <w:rsid w:val="40A0133A"/>
    <w:rsid w:val="40AF61D9"/>
    <w:rsid w:val="40C11463"/>
    <w:rsid w:val="40C31A53"/>
    <w:rsid w:val="40C7080B"/>
    <w:rsid w:val="40FF545D"/>
    <w:rsid w:val="410067C8"/>
    <w:rsid w:val="41193901"/>
    <w:rsid w:val="41340454"/>
    <w:rsid w:val="41644E2F"/>
    <w:rsid w:val="418F0D2A"/>
    <w:rsid w:val="419929E5"/>
    <w:rsid w:val="41A22999"/>
    <w:rsid w:val="41A46F59"/>
    <w:rsid w:val="41B63597"/>
    <w:rsid w:val="41D01505"/>
    <w:rsid w:val="41E9396D"/>
    <w:rsid w:val="421079C8"/>
    <w:rsid w:val="421E7984"/>
    <w:rsid w:val="42474939"/>
    <w:rsid w:val="424C3C57"/>
    <w:rsid w:val="425C592F"/>
    <w:rsid w:val="42613FF3"/>
    <w:rsid w:val="42654F91"/>
    <w:rsid w:val="42660D96"/>
    <w:rsid w:val="428667D2"/>
    <w:rsid w:val="429A368A"/>
    <w:rsid w:val="429D3A09"/>
    <w:rsid w:val="42AC73EE"/>
    <w:rsid w:val="42CD1CE0"/>
    <w:rsid w:val="42E1381E"/>
    <w:rsid w:val="42E4495E"/>
    <w:rsid w:val="42ED6459"/>
    <w:rsid w:val="42F16C31"/>
    <w:rsid w:val="42FE58DD"/>
    <w:rsid w:val="43144544"/>
    <w:rsid w:val="43174B3D"/>
    <w:rsid w:val="43176C07"/>
    <w:rsid w:val="431C3DDE"/>
    <w:rsid w:val="43354997"/>
    <w:rsid w:val="434B790E"/>
    <w:rsid w:val="4360274F"/>
    <w:rsid w:val="43977AB6"/>
    <w:rsid w:val="43A07FF2"/>
    <w:rsid w:val="43A24A91"/>
    <w:rsid w:val="43A3342B"/>
    <w:rsid w:val="43C77C27"/>
    <w:rsid w:val="43DE09EE"/>
    <w:rsid w:val="44002FAD"/>
    <w:rsid w:val="4415542B"/>
    <w:rsid w:val="44387439"/>
    <w:rsid w:val="44657104"/>
    <w:rsid w:val="44891F70"/>
    <w:rsid w:val="449101DD"/>
    <w:rsid w:val="44B02520"/>
    <w:rsid w:val="44BA722D"/>
    <w:rsid w:val="44DE1391"/>
    <w:rsid w:val="44F96CD2"/>
    <w:rsid w:val="450978A3"/>
    <w:rsid w:val="45106B70"/>
    <w:rsid w:val="451B1241"/>
    <w:rsid w:val="451B225C"/>
    <w:rsid w:val="452410C9"/>
    <w:rsid w:val="45317DFB"/>
    <w:rsid w:val="456D3CE4"/>
    <w:rsid w:val="4579042C"/>
    <w:rsid w:val="457F0571"/>
    <w:rsid w:val="45851176"/>
    <w:rsid w:val="45883496"/>
    <w:rsid w:val="45AF4585"/>
    <w:rsid w:val="45B10806"/>
    <w:rsid w:val="45C63B94"/>
    <w:rsid w:val="45C7395E"/>
    <w:rsid w:val="45D40B51"/>
    <w:rsid w:val="45D778F2"/>
    <w:rsid w:val="45E3003E"/>
    <w:rsid w:val="45ED1044"/>
    <w:rsid w:val="45FF50F7"/>
    <w:rsid w:val="460A332B"/>
    <w:rsid w:val="460E7DA5"/>
    <w:rsid w:val="4629258A"/>
    <w:rsid w:val="46402205"/>
    <w:rsid w:val="46422483"/>
    <w:rsid w:val="4659254A"/>
    <w:rsid w:val="465B0637"/>
    <w:rsid w:val="465E3F0D"/>
    <w:rsid w:val="466A16E6"/>
    <w:rsid w:val="466A3861"/>
    <w:rsid w:val="467B69ED"/>
    <w:rsid w:val="46893F2B"/>
    <w:rsid w:val="46C4686E"/>
    <w:rsid w:val="46D02A05"/>
    <w:rsid w:val="4715601C"/>
    <w:rsid w:val="47253347"/>
    <w:rsid w:val="476C6937"/>
    <w:rsid w:val="476F4F18"/>
    <w:rsid w:val="477B778F"/>
    <w:rsid w:val="477F61D9"/>
    <w:rsid w:val="478203EC"/>
    <w:rsid w:val="478661AE"/>
    <w:rsid w:val="47941618"/>
    <w:rsid w:val="47B025FA"/>
    <w:rsid w:val="47C32E91"/>
    <w:rsid w:val="47FE483C"/>
    <w:rsid w:val="4809698F"/>
    <w:rsid w:val="4811697D"/>
    <w:rsid w:val="485164AC"/>
    <w:rsid w:val="487A3E25"/>
    <w:rsid w:val="488169AC"/>
    <w:rsid w:val="488B5503"/>
    <w:rsid w:val="48937E21"/>
    <w:rsid w:val="489A0361"/>
    <w:rsid w:val="489B3B98"/>
    <w:rsid w:val="489F16FD"/>
    <w:rsid w:val="48AD6A8D"/>
    <w:rsid w:val="48B94FF3"/>
    <w:rsid w:val="48D73CCE"/>
    <w:rsid w:val="48E37AAB"/>
    <w:rsid w:val="48E924A4"/>
    <w:rsid w:val="48FD4B4C"/>
    <w:rsid w:val="49061243"/>
    <w:rsid w:val="490A68E0"/>
    <w:rsid w:val="491055FE"/>
    <w:rsid w:val="495A44E3"/>
    <w:rsid w:val="495F5B3E"/>
    <w:rsid w:val="496F77D7"/>
    <w:rsid w:val="497654FD"/>
    <w:rsid w:val="497E2BEC"/>
    <w:rsid w:val="499C3073"/>
    <w:rsid w:val="49B64211"/>
    <w:rsid w:val="49D5424A"/>
    <w:rsid w:val="49DA132D"/>
    <w:rsid w:val="49EB0E06"/>
    <w:rsid w:val="49F6167F"/>
    <w:rsid w:val="4A064FA0"/>
    <w:rsid w:val="4A0909A1"/>
    <w:rsid w:val="4A0C3670"/>
    <w:rsid w:val="4A111CB3"/>
    <w:rsid w:val="4A16615C"/>
    <w:rsid w:val="4A2E3849"/>
    <w:rsid w:val="4A3947A9"/>
    <w:rsid w:val="4A4424D7"/>
    <w:rsid w:val="4A6E6E76"/>
    <w:rsid w:val="4A732573"/>
    <w:rsid w:val="4AB82D0F"/>
    <w:rsid w:val="4ABB17CB"/>
    <w:rsid w:val="4ABE526B"/>
    <w:rsid w:val="4AE2664A"/>
    <w:rsid w:val="4AEB7664"/>
    <w:rsid w:val="4AFD7C19"/>
    <w:rsid w:val="4B01013B"/>
    <w:rsid w:val="4B0567D1"/>
    <w:rsid w:val="4B1C363A"/>
    <w:rsid w:val="4B236AAE"/>
    <w:rsid w:val="4B707271"/>
    <w:rsid w:val="4B7D15B9"/>
    <w:rsid w:val="4B9739F7"/>
    <w:rsid w:val="4BEE2503"/>
    <w:rsid w:val="4BEF5BF8"/>
    <w:rsid w:val="4C185C45"/>
    <w:rsid w:val="4C1B2975"/>
    <w:rsid w:val="4C245A30"/>
    <w:rsid w:val="4C2D4456"/>
    <w:rsid w:val="4C503B9A"/>
    <w:rsid w:val="4C736329"/>
    <w:rsid w:val="4C790A74"/>
    <w:rsid w:val="4C7C718B"/>
    <w:rsid w:val="4C9A46B8"/>
    <w:rsid w:val="4C9A4AA6"/>
    <w:rsid w:val="4CB6685F"/>
    <w:rsid w:val="4CC367FE"/>
    <w:rsid w:val="4CD54770"/>
    <w:rsid w:val="4CD670E4"/>
    <w:rsid w:val="4D077F3C"/>
    <w:rsid w:val="4D0C5871"/>
    <w:rsid w:val="4D123355"/>
    <w:rsid w:val="4D13462F"/>
    <w:rsid w:val="4D215B43"/>
    <w:rsid w:val="4D2A3B31"/>
    <w:rsid w:val="4D312C52"/>
    <w:rsid w:val="4D381304"/>
    <w:rsid w:val="4D383202"/>
    <w:rsid w:val="4D73233C"/>
    <w:rsid w:val="4D7905BB"/>
    <w:rsid w:val="4D844549"/>
    <w:rsid w:val="4D905305"/>
    <w:rsid w:val="4D964A72"/>
    <w:rsid w:val="4D9B759A"/>
    <w:rsid w:val="4D9C1254"/>
    <w:rsid w:val="4DBA053B"/>
    <w:rsid w:val="4DC24A23"/>
    <w:rsid w:val="4DC36632"/>
    <w:rsid w:val="4DE4323A"/>
    <w:rsid w:val="4DF55F07"/>
    <w:rsid w:val="4DFC0584"/>
    <w:rsid w:val="4DFE50DF"/>
    <w:rsid w:val="4E3560C1"/>
    <w:rsid w:val="4E5E2FEC"/>
    <w:rsid w:val="4E6544E7"/>
    <w:rsid w:val="4E6C448B"/>
    <w:rsid w:val="4E731AEC"/>
    <w:rsid w:val="4E793892"/>
    <w:rsid w:val="4E800872"/>
    <w:rsid w:val="4E9764FE"/>
    <w:rsid w:val="4E9C092A"/>
    <w:rsid w:val="4EB63AF8"/>
    <w:rsid w:val="4EC569ED"/>
    <w:rsid w:val="4ED50EA1"/>
    <w:rsid w:val="4EDE7C89"/>
    <w:rsid w:val="4EDF24BE"/>
    <w:rsid w:val="4EEC050C"/>
    <w:rsid w:val="4F104EC3"/>
    <w:rsid w:val="4F2C625F"/>
    <w:rsid w:val="4F47354A"/>
    <w:rsid w:val="4F710CA8"/>
    <w:rsid w:val="4F911C54"/>
    <w:rsid w:val="4F9C5E10"/>
    <w:rsid w:val="4FBE01E7"/>
    <w:rsid w:val="4FE625E0"/>
    <w:rsid w:val="4FE94F10"/>
    <w:rsid w:val="5021480F"/>
    <w:rsid w:val="506932DB"/>
    <w:rsid w:val="506D39BB"/>
    <w:rsid w:val="50962ECB"/>
    <w:rsid w:val="50A42E38"/>
    <w:rsid w:val="50A4577F"/>
    <w:rsid w:val="50B73D1F"/>
    <w:rsid w:val="50BD5BC9"/>
    <w:rsid w:val="50C11EEE"/>
    <w:rsid w:val="50CE75D0"/>
    <w:rsid w:val="50E97CFC"/>
    <w:rsid w:val="50FA4028"/>
    <w:rsid w:val="510D65B7"/>
    <w:rsid w:val="511157AB"/>
    <w:rsid w:val="511B048E"/>
    <w:rsid w:val="51363DAD"/>
    <w:rsid w:val="5142540C"/>
    <w:rsid w:val="515B7CB7"/>
    <w:rsid w:val="517A1653"/>
    <w:rsid w:val="518832C8"/>
    <w:rsid w:val="51A0432A"/>
    <w:rsid w:val="51A86090"/>
    <w:rsid w:val="51AC406F"/>
    <w:rsid w:val="51B278FC"/>
    <w:rsid w:val="51B7396D"/>
    <w:rsid w:val="51C251C4"/>
    <w:rsid w:val="522E4CC3"/>
    <w:rsid w:val="523A78CD"/>
    <w:rsid w:val="5244713B"/>
    <w:rsid w:val="52615633"/>
    <w:rsid w:val="52977FD4"/>
    <w:rsid w:val="52A139C6"/>
    <w:rsid w:val="52A25790"/>
    <w:rsid w:val="52A96B6F"/>
    <w:rsid w:val="52B45975"/>
    <w:rsid w:val="52D94AA4"/>
    <w:rsid w:val="52EA3A62"/>
    <w:rsid w:val="52F50BB8"/>
    <w:rsid w:val="53097272"/>
    <w:rsid w:val="532C5467"/>
    <w:rsid w:val="53332910"/>
    <w:rsid w:val="5334495E"/>
    <w:rsid w:val="53513CED"/>
    <w:rsid w:val="53544462"/>
    <w:rsid w:val="535A1773"/>
    <w:rsid w:val="53946913"/>
    <w:rsid w:val="5397158E"/>
    <w:rsid w:val="53E20744"/>
    <w:rsid w:val="54013861"/>
    <w:rsid w:val="54487265"/>
    <w:rsid w:val="544D6070"/>
    <w:rsid w:val="54593DEF"/>
    <w:rsid w:val="545F3534"/>
    <w:rsid w:val="54605E1E"/>
    <w:rsid w:val="54B3506A"/>
    <w:rsid w:val="54C94F38"/>
    <w:rsid w:val="54CA0D16"/>
    <w:rsid w:val="54D934E7"/>
    <w:rsid w:val="54DD4057"/>
    <w:rsid w:val="54E7490F"/>
    <w:rsid w:val="54F7633F"/>
    <w:rsid w:val="54F81551"/>
    <w:rsid w:val="54FA328F"/>
    <w:rsid w:val="550764A4"/>
    <w:rsid w:val="550B2BF6"/>
    <w:rsid w:val="55214EB5"/>
    <w:rsid w:val="552F04B5"/>
    <w:rsid w:val="55333995"/>
    <w:rsid w:val="55364EFD"/>
    <w:rsid w:val="555D41F9"/>
    <w:rsid w:val="555D4828"/>
    <w:rsid w:val="557A4C8B"/>
    <w:rsid w:val="558931E1"/>
    <w:rsid w:val="55902A27"/>
    <w:rsid w:val="55907E2C"/>
    <w:rsid w:val="55923347"/>
    <w:rsid w:val="55925180"/>
    <w:rsid w:val="55983B1B"/>
    <w:rsid w:val="55A8376B"/>
    <w:rsid w:val="55AE4859"/>
    <w:rsid w:val="55D50903"/>
    <w:rsid w:val="55DC29B6"/>
    <w:rsid w:val="55DD4241"/>
    <w:rsid w:val="561926D0"/>
    <w:rsid w:val="5645757E"/>
    <w:rsid w:val="566B6D1E"/>
    <w:rsid w:val="56926383"/>
    <w:rsid w:val="569F6AC7"/>
    <w:rsid w:val="56AA6827"/>
    <w:rsid w:val="56CE5FD6"/>
    <w:rsid w:val="56DD0123"/>
    <w:rsid w:val="57032A2C"/>
    <w:rsid w:val="570F5219"/>
    <w:rsid w:val="575D12B5"/>
    <w:rsid w:val="57610A87"/>
    <w:rsid w:val="5772374D"/>
    <w:rsid w:val="577B1140"/>
    <w:rsid w:val="577B7F21"/>
    <w:rsid w:val="577F181B"/>
    <w:rsid w:val="57921984"/>
    <w:rsid w:val="579737F0"/>
    <w:rsid w:val="579F713A"/>
    <w:rsid w:val="57AB7B30"/>
    <w:rsid w:val="57AF5251"/>
    <w:rsid w:val="57B26373"/>
    <w:rsid w:val="57B63F04"/>
    <w:rsid w:val="57CD20C2"/>
    <w:rsid w:val="57D675AB"/>
    <w:rsid w:val="57D924A3"/>
    <w:rsid w:val="57D95FDD"/>
    <w:rsid w:val="57E842D2"/>
    <w:rsid w:val="57EA58F1"/>
    <w:rsid w:val="57FF17AF"/>
    <w:rsid w:val="58131835"/>
    <w:rsid w:val="58142FFC"/>
    <w:rsid w:val="585B1424"/>
    <w:rsid w:val="587421E3"/>
    <w:rsid w:val="58917D2F"/>
    <w:rsid w:val="5894085C"/>
    <w:rsid w:val="58AE4F0C"/>
    <w:rsid w:val="58B8581B"/>
    <w:rsid w:val="58B85899"/>
    <w:rsid w:val="58E363A9"/>
    <w:rsid w:val="58E43708"/>
    <w:rsid w:val="590E29AC"/>
    <w:rsid w:val="5915214E"/>
    <w:rsid w:val="595649FB"/>
    <w:rsid w:val="595E1678"/>
    <w:rsid w:val="59647D01"/>
    <w:rsid w:val="596D5BD4"/>
    <w:rsid w:val="59782F99"/>
    <w:rsid w:val="597E3DD8"/>
    <w:rsid w:val="59B5222F"/>
    <w:rsid w:val="59D634DF"/>
    <w:rsid w:val="59F80043"/>
    <w:rsid w:val="5A020A23"/>
    <w:rsid w:val="5A031E2D"/>
    <w:rsid w:val="5A09252F"/>
    <w:rsid w:val="5A0B2778"/>
    <w:rsid w:val="5A133E67"/>
    <w:rsid w:val="5A1D5B0A"/>
    <w:rsid w:val="5A2A7C7B"/>
    <w:rsid w:val="5A312F50"/>
    <w:rsid w:val="5A3E2560"/>
    <w:rsid w:val="5A5D3B6E"/>
    <w:rsid w:val="5A637A76"/>
    <w:rsid w:val="5A6D33BA"/>
    <w:rsid w:val="5A792B1F"/>
    <w:rsid w:val="5A7D5519"/>
    <w:rsid w:val="5A874767"/>
    <w:rsid w:val="5A8C7BCC"/>
    <w:rsid w:val="5A8D7133"/>
    <w:rsid w:val="5A944CE3"/>
    <w:rsid w:val="5AAD6F28"/>
    <w:rsid w:val="5AD63A24"/>
    <w:rsid w:val="5AEA5EB6"/>
    <w:rsid w:val="5AEA62E5"/>
    <w:rsid w:val="5AFF3461"/>
    <w:rsid w:val="5B1511F3"/>
    <w:rsid w:val="5B167F88"/>
    <w:rsid w:val="5B2E1A1D"/>
    <w:rsid w:val="5B317CC1"/>
    <w:rsid w:val="5B6B0A58"/>
    <w:rsid w:val="5B843A1C"/>
    <w:rsid w:val="5B873E3F"/>
    <w:rsid w:val="5B897053"/>
    <w:rsid w:val="5BA83A02"/>
    <w:rsid w:val="5BE73E9B"/>
    <w:rsid w:val="5C02690E"/>
    <w:rsid w:val="5C196DA7"/>
    <w:rsid w:val="5C197FC5"/>
    <w:rsid w:val="5C1D0043"/>
    <w:rsid w:val="5C2A048C"/>
    <w:rsid w:val="5C4035E0"/>
    <w:rsid w:val="5C80234E"/>
    <w:rsid w:val="5C8A680C"/>
    <w:rsid w:val="5C9D0B44"/>
    <w:rsid w:val="5CA644DC"/>
    <w:rsid w:val="5CBF10FA"/>
    <w:rsid w:val="5CE01922"/>
    <w:rsid w:val="5CEC7655"/>
    <w:rsid w:val="5D0C4701"/>
    <w:rsid w:val="5D0F0395"/>
    <w:rsid w:val="5D221076"/>
    <w:rsid w:val="5D32382D"/>
    <w:rsid w:val="5D397964"/>
    <w:rsid w:val="5D3C099D"/>
    <w:rsid w:val="5D5A391C"/>
    <w:rsid w:val="5D5F10C0"/>
    <w:rsid w:val="5D891B7B"/>
    <w:rsid w:val="5DA35AD2"/>
    <w:rsid w:val="5DAA5DD8"/>
    <w:rsid w:val="5DAD38EE"/>
    <w:rsid w:val="5DCE5EE9"/>
    <w:rsid w:val="5E006862"/>
    <w:rsid w:val="5E0207B9"/>
    <w:rsid w:val="5E0A4510"/>
    <w:rsid w:val="5E0B0AD6"/>
    <w:rsid w:val="5E1834A1"/>
    <w:rsid w:val="5E261785"/>
    <w:rsid w:val="5E4A7017"/>
    <w:rsid w:val="5E4F2952"/>
    <w:rsid w:val="5E552BBA"/>
    <w:rsid w:val="5E610D01"/>
    <w:rsid w:val="5E611C10"/>
    <w:rsid w:val="5E655CD1"/>
    <w:rsid w:val="5E6E102A"/>
    <w:rsid w:val="5E766130"/>
    <w:rsid w:val="5E81584B"/>
    <w:rsid w:val="5EA31D4C"/>
    <w:rsid w:val="5EF217F7"/>
    <w:rsid w:val="5EFC7377"/>
    <w:rsid w:val="5F06174D"/>
    <w:rsid w:val="5F1162B8"/>
    <w:rsid w:val="5F3A3602"/>
    <w:rsid w:val="5F6277C6"/>
    <w:rsid w:val="5F6D0B1D"/>
    <w:rsid w:val="5F6FF5AD"/>
    <w:rsid w:val="5F775CBC"/>
    <w:rsid w:val="5F8D0B82"/>
    <w:rsid w:val="5FCC5339"/>
    <w:rsid w:val="5FD06E49"/>
    <w:rsid w:val="5FE34A5B"/>
    <w:rsid w:val="5FE66179"/>
    <w:rsid w:val="5FFE1E36"/>
    <w:rsid w:val="600502B2"/>
    <w:rsid w:val="60232584"/>
    <w:rsid w:val="602C4E9D"/>
    <w:rsid w:val="602F0036"/>
    <w:rsid w:val="6060009F"/>
    <w:rsid w:val="606B090E"/>
    <w:rsid w:val="606D29BB"/>
    <w:rsid w:val="607330CE"/>
    <w:rsid w:val="60825176"/>
    <w:rsid w:val="609F2AC4"/>
    <w:rsid w:val="60FA2EE8"/>
    <w:rsid w:val="61054A27"/>
    <w:rsid w:val="610A52BC"/>
    <w:rsid w:val="611D2366"/>
    <w:rsid w:val="61401BAF"/>
    <w:rsid w:val="61421856"/>
    <w:rsid w:val="615227C4"/>
    <w:rsid w:val="6153074E"/>
    <w:rsid w:val="61654E3F"/>
    <w:rsid w:val="616A7C2A"/>
    <w:rsid w:val="61721216"/>
    <w:rsid w:val="6182292A"/>
    <w:rsid w:val="618D5C6B"/>
    <w:rsid w:val="61943DE0"/>
    <w:rsid w:val="619F7F92"/>
    <w:rsid w:val="61B50D1E"/>
    <w:rsid w:val="61B60EF8"/>
    <w:rsid w:val="61F94C26"/>
    <w:rsid w:val="62000E56"/>
    <w:rsid w:val="620A1913"/>
    <w:rsid w:val="620E01E9"/>
    <w:rsid w:val="620F44F5"/>
    <w:rsid w:val="62330149"/>
    <w:rsid w:val="62391DFE"/>
    <w:rsid w:val="624E346D"/>
    <w:rsid w:val="624F3E49"/>
    <w:rsid w:val="625C73EB"/>
    <w:rsid w:val="62632286"/>
    <w:rsid w:val="627553F0"/>
    <w:rsid w:val="62885958"/>
    <w:rsid w:val="62922E0D"/>
    <w:rsid w:val="62B674A5"/>
    <w:rsid w:val="62BE0683"/>
    <w:rsid w:val="62F40B65"/>
    <w:rsid w:val="62FC2CFE"/>
    <w:rsid w:val="63024505"/>
    <w:rsid w:val="631E1D46"/>
    <w:rsid w:val="63250F66"/>
    <w:rsid w:val="632C6FB1"/>
    <w:rsid w:val="633D721D"/>
    <w:rsid w:val="635B1DB5"/>
    <w:rsid w:val="63612F0B"/>
    <w:rsid w:val="636B0439"/>
    <w:rsid w:val="63711FED"/>
    <w:rsid w:val="63880DDC"/>
    <w:rsid w:val="638D750D"/>
    <w:rsid w:val="63A36518"/>
    <w:rsid w:val="63AC6CC0"/>
    <w:rsid w:val="63D066D2"/>
    <w:rsid w:val="63F65BAE"/>
    <w:rsid w:val="64055776"/>
    <w:rsid w:val="640C0875"/>
    <w:rsid w:val="640E127D"/>
    <w:rsid w:val="64134DD9"/>
    <w:rsid w:val="64240056"/>
    <w:rsid w:val="64243F39"/>
    <w:rsid w:val="643A5CDC"/>
    <w:rsid w:val="643E143A"/>
    <w:rsid w:val="645A71B2"/>
    <w:rsid w:val="645F0EE1"/>
    <w:rsid w:val="648B6EEF"/>
    <w:rsid w:val="648C1B70"/>
    <w:rsid w:val="64C03C61"/>
    <w:rsid w:val="64C158BF"/>
    <w:rsid w:val="64C27B00"/>
    <w:rsid w:val="64CE2EAA"/>
    <w:rsid w:val="64D66A7C"/>
    <w:rsid w:val="65261304"/>
    <w:rsid w:val="653C3090"/>
    <w:rsid w:val="65405CCA"/>
    <w:rsid w:val="655A3BEA"/>
    <w:rsid w:val="65854376"/>
    <w:rsid w:val="658767BE"/>
    <w:rsid w:val="65892531"/>
    <w:rsid w:val="65BA52F7"/>
    <w:rsid w:val="6600182C"/>
    <w:rsid w:val="66065A48"/>
    <w:rsid w:val="66195831"/>
    <w:rsid w:val="662B5A52"/>
    <w:rsid w:val="662D6DA8"/>
    <w:rsid w:val="662E75B1"/>
    <w:rsid w:val="66342C2E"/>
    <w:rsid w:val="663E784C"/>
    <w:rsid w:val="666F1528"/>
    <w:rsid w:val="667016B7"/>
    <w:rsid w:val="667A09B7"/>
    <w:rsid w:val="66815672"/>
    <w:rsid w:val="6688675D"/>
    <w:rsid w:val="668B6A45"/>
    <w:rsid w:val="66A45BDC"/>
    <w:rsid w:val="66B138C2"/>
    <w:rsid w:val="66C74351"/>
    <w:rsid w:val="671B2C97"/>
    <w:rsid w:val="672F3F24"/>
    <w:rsid w:val="67376F04"/>
    <w:rsid w:val="673E055F"/>
    <w:rsid w:val="67551CE3"/>
    <w:rsid w:val="67762F9E"/>
    <w:rsid w:val="67927D1C"/>
    <w:rsid w:val="679413D5"/>
    <w:rsid w:val="679B2025"/>
    <w:rsid w:val="67A22552"/>
    <w:rsid w:val="67B22DCC"/>
    <w:rsid w:val="67BE71AA"/>
    <w:rsid w:val="67D117A6"/>
    <w:rsid w:val="67D90273"/>
    <w:rsid w:val="67DE5875"/>
    <w:rsid w:val="67E55852"/>
    <w:rsid w:val="67EB1AB4"/>
    <w:rsid w:val="67FA1285"/>
    <w:rsid w:val="683F7593"/>
    <w:rsid w:val="68551F4F"/>
    <w:rsid w:val="685847A6"/>
    <w:rsid w:val="68666CAF"/>
    <w:rsid w:val="687C10C9"/>
    <w:rsid w:val="68840C16"/>
    <w:rsid w:val="68876EFB"/>
    <w:rsid w:val="68884654"/>
    <w:rsid w:val="689403A4"/>
    <w:rsid w:val="689F444F"/>
    <w:rsid w:val="68B96DBB"/>
    <w:rsid w:val="68BB37A7"/>
    <w:rsid w:val="68CA2805"/>
    <w:rsid w:val="68E72104"/>
    <w:rsid w:val="68E937A3"/>
    <w:rsid w:val="69196B57"/>
    <w:rsid w:val="691C4BA2"/>
    <w:rsid w:val="693E15D3"/>
    <w:rsid w:val="694A2693"/>
    <w:rsid w:val="694E7060"/>
    <w:rsid w:val="69627681"/>
    <w:rsid w:val="69701FBE"/>
    <w:rsid w:val="6977531D"/>
    <w:rsid w:val="697B1F3A"/>
    <w:rsid w:val="69A53598"/>
    <w:rsid w:val="69C85FF1"/>
    <w:rsid w:val="69CC2BFF"/>
    <w:rsid w:val="69DB32EB"/>
    <w:rsid w:val="69FD55B8"/>
    <w:rsid w:val="69FF2E21"/>
    <w:rsid w:val="6A0B1C62"/>
    <w:rsid w:val="6A2406C8"/>
    <w:rsid w:val="6A2C3AC3"/>
    <w:rsid w:val="6A4B7311"/>
    <w:rsid w:val="6A834F5B"/>
    <w:rsid w:val="6A8453C5"/>
    <w:rsid w:val="6A9A6657"/>
    <w:rsid w:val="6AA602C6"/>
    <w:rsid w:val="6AA933EA"/>
    <w:rsid w:val="6AB51F9B"/>
    <w:rsid w:val="6ABD1305"/>
    <w:rsid w:val="6ADE0BD1"/>
    <w:rsid w:val="6AE96859"/>
    <w:rsid w:val="6B0455BE"/>
    <w:rsid w:val="6B10503F"/>
    <w:rsid w:val="6B147746"/>
    <w:rsid w:val="6B24787C"/>
    <w:rsid w:val="6B26761E"/>
    <w:rsid w:val="6B380B3D"/>
    <w:rsid w:val="6B426AD4"/>
    <w:rsid w:val="6B511028"/>
    <w:rsid w:val="6B573233"/>
    <w:rsid w:val="6B5B6274"/>
    <w:rsid w:val="6B701F5B"/>
    <w:rsid w:val="6B935D53"/>
    <w:rsid w:val="6BBC5A21"/>
    <w:rsid w:val="6BDA1BDD"/>
    <w:rsid w:val="6BDC30C6"/>
    <w:rsid w:val="6C133194"/>
    <w:rsid w:val="6C196F71"/>
    <w:rsid w:val="6C1A6BD0"/>
    <w:rsid w:val="6C2257EF"/>
    <w:rsid w:val="6C226FCB"/>
    <w:rsid w:val="6C31226F"/>
    <w:rsid w:val="6C514E57"/>
    <w:rsid w:val="6C552F0B"/>
    <w:rsid w:val="6C8934D3"/>
    <w:rsid w:val="6C8C67B7"/>
    <w:rsid w:val="6C9D744C"/>
    <w:rsid w:val="6CC55D31"/>
    <w:rsid w:val="6CFC684D"/>
    <w:rsid w:val="6D167928"/>
    <w:rsid w:val="6D260D22"/>
    <w:rsid w:val="6D26299B"/>
    <w:rsid w:val="6D411D30"/>
    <w:rsid w:val="6D4772EC"/>
    <w:rsid w:val="6D6B3A4C"/>
    <w:rsid w:val="6D9078AF"/>
    <w:rsid w:val="6DAA3FEF"/>
    <w:rsid w:val="6DBF2DB2"/>
    <w:rsid w:val="6DC0172B"/>
    <w:rsid w:val="6DCB690C"/>
    <w:rsid w:val="6DD41A5B"/>
    <w:rsid w:val="6DDF42D4"/>
    <w:rsid w:val="6DF43C2E"/>
    <w:rsid w:val="6DF51CA3"/>
    <w:rsid w:val="6E0863D3"/>
    <w:rsid w:val="6E8335BD"/>
    <w:rsid w:val="6E8E12EF"/>
    <w:rsid w:val="6E972936"/>
    <w:rsid w:val="6EAC5256"/>
    <w:rsid w:val="6EBF1DC3"/>
    <w:rsid w:val="6ED446C5"/>
    <w:rsid w:val="6EF74766"/>
    <w:rsid w:val="6EFC484A"/>
    <w:rsid w:val="6F2A7D94"/>
    <w:rsid w:val="6F4F7E59"/>
    <w:rsid w:val="6F730377"/>
    <w:rsid w:val="6F8331F1"/>
    <w:rsid w:val="6F8A0F8C"/>
    <w:rsid w:val="6FAE1A09"/>
    <w:rsid w:val="6FB47687"/>
    <w:rsid w:val="6FBE0242"/>
    <w:rsid w:val="6FC00FB9"/>
    <w:rsid w:val="6FD44A65"/>
    <w:rsid w:val="6FD75BF8"/>
    <w:rsid w:val="70206492"/>
    <w:rsid w:val="704E0CBB"/>
    <w:rsid w:val="7060404E"/>
    <w:rsid w:val="706F5019"/>
    <w:rsid w:val="707723D0"/>
    <w:rsid w:val="70BF3010"/>
    <w:rsid w:val="70E5507E"/>
    <w:rsid w:val="70F5661B"/>
    <w:rsid w:val="71084023"/>
    <w:rsid w:val="710E183A"/>
    <w:rsid w:val="711B4915"/>
    <w:rsid w:val="71360107"/>
    <w:rsid w:val="713B688E"/>
    <w:rsid w:val="7151750C"/>
    <w:rsid w:val="719E1B85"/>
    <w:rsid w:val="71A265F4"/>
    <w:rsid w:val="71D43752"/>
    <w:rsid w:val="71F1796A"/>
    <w:rsid w:val="71F81B46"/>
    <w:rsid w:val="72093BA6"/>
    <w:rsid w:val="720C45CB"/>
    <w:rsid w:val="72132D4D"/>
    <w:rsid w:val="72154626"/>
    <w:rsid w:val="72262B5D"/>
    <w:rsid w:val="72283FF7"/>
    <w:rsid w:val="722E7212"/>
    <w:rsid w:val="723A0474"/>
    <w:rsid w:val="72456E5C"/>
    <w:rsid w:val="724F0D1A"/>
    <w:rsid w:val="724F4877"/>
    <w:rsid w:val="725923E4"/>
    <w:rsid w:val="727163BD"/>
    <w:rsid w:val="72777EDD"/>
    <w:rsid w:val="72810791"/>
    <w:rsid w:val="72864BF7"/>
    <w:rsid w:val="729023FC"/>
    <w:rsid w:val="72A44DFF"/>
    <w:rsid w:val="72B62B48"/>
    <w:rsid w:val="72BD5C84"/>
    <w:rsid w:val="72BD7A32"/>
    <w:rsid w:val="72CD7453"/>
    <w:rsid w:val="72CE1FD6"/>
    <w:rsid w:val="73124077"/>
    <w:rsid w:val="7328339C"/>
    <w:rsid w:val="73286404"/>
    <w:rsid w:val="73460898"/>
    <w:rsid w:val="734B48DF"/>
    <w:rsid w:val="737C5229"/>
    <w:rsid w:val="73871376"/>
    <w:rsid w:val="739233B0"/>
    <w:rsid w:val="73B95C72"/>
    <w:rsid w:val="73C0646E"/>
    <w:rsid w:val="73D239B1"/>
    <w:rsid w:val="73D96AEE"/>
    <w:rsid w:val="73E6120B"/>
    <w:rsid w:val="73EF1E6D"/>
    <w:rsid w:val="73F4237C"/>
    <w:rsid w:val="740D6797"/>
    <w:rsid w:val="742222F5"/>
    <w:rsid w:val="743F27C9"/>
    <w:rsid w:val="74416AC4"/>
    <w:rsid w:val="74476126"/>
    <w:rsid w:val="7463243A"/>
    <w:rsid w:val="74706664"/>
    <w:rsid w:val="747F3682"/>
    <w:rsid w:val="749173C8"/>
    <w:rsid w:val="749C4185"/>
    <w:rsid w:val="74BC6A08"/>
    <w:rsid w:val="74F45B7B"/>
    <w:rsid w:val="75067759"/>
    <w:rsid w:val="750E2C5D"/>
    <w:rsid w:val="752E6DCD"/>
    <w:rsid w:val="754405BD"/>
    <w:rsid w:val="754F2B6C"/>
    <w:rsid w:val="7551380D"/>
    <w:rsid w:val="75600BE5"/>
    <w:rsid w:val="7564475C"/>
    <w:rsid w:val="7583797F"/>
    <w:rsid w:val="75D20F1D"/>
    <w:rsid w:val="75DA2C18"/>
    <w:rsid w:val="75F54412"/>
    <w:rsid w:val="761D08E0"/>
    <w:rsid w:val="763A5CD8"/>
    <w:rsid w:val="76405D44"/>
    <w:rsid w:val="765D347C"/>
    <w:rsid w:val="76826699"/>
    <w:rsid w:val="76960CC6"/>
    <w:rsid w:val="76B800A3"/>
    <w:rsid w:val="76C87133"/>
    <w:rsid w:val="76CD08D5"/>
    <w:rsid w:val="76DB4B92"/>
    <w:rsid w:val="77020D9E"/>
    <w:rsid w:val="770428B4"/>
    <w:rsid w:val="77052AA4"/>
    <w:rsid w:val="77136511"/>
    <w:rsid w:val="77315B09"/>
    <w:rsid w:val="77340A39"/>
    <w:rsid w:val="77351FD0"/>
    <w:rsid w:val="77472422"/>
    <w:rsid w:val="77692B6F"/>
    <w:rsid w:val="77781EB2"/>
    <w:rsid w:val="777F31F2"/>
    <w:rsid w:val="778C6817"/>
    <w:rsid w:val="779C6247"/>
    <w:rsid w:val="77D1700D"/>
    <w:rsid w:val="77DF044B"/>
    <w:rsid w:val="77E12CB2"/>
    <w:rsid w:val="77EC04CC"/>
    <w:rsid w:val="77ED2B68"/>
    <w:rsid w:val="77FDDB5F"/>
    <w:rsid w:val="78063EE4"/>
    <w:rsid w:val="781A0520"/>
    <w:rsid w:val="783B4121"/>
    <w:rsid w:val="78412EB3"/>
    <w:rsid w:val="78602ACB"/>
    <w:rsid w:val="78664675"/>
    <w:rsid w:val="78775729"/>
    <w:rsid w:val="789324D6"/>
    <w:rsid w:val="78A42DB0"/>
    <w:rsid w:val="78A656AB"/>
    <w:rsid w:val="78B2245C"/>
    <w:rsid w:val="78CC2A74"/>
    <w:rsid w:val="78E172CC"/>
    <w:rsid w:val="78E201F2"/>
    <w:rsid w:val="78EA1D1F"/>
    <w:rsid w:val="7904172F"/>
    <w:rsid w:val="790F7E27"/>
    <w:rsid w:val="792A231A"/>
    <w:rsid w:val="79316829"/>
    <w:rsid w:val="793D2C83"/>
    <w:rsid w:val="794415D2"/>
    <w:rsid w:val="79450781"/>
    <w:rsid w:val="79475498"/>
    <w:rsid w:val="7955321E"/>
    <w:rsid w:val="797E66A9"/>
    <w:rsid w:val="79A97383"/>
    <w:rsid w:val="79B70FAA"/>
    <w:rsid w:val="79B7342D"/>
    <w:rsid w:val="79D35D8D"/>
    <w:rsid w:val="79DF4732"/>
    <w:rsid w:val="79E27E8B"/>
    <w:rsid w:val="79F850CE"/>
    <w:rsid w:val="79FA0199"/>
    <w:rsid w:val="79FD443C"/>
    <w:rsid w:val="7A066163"/>
    <w:rsid w:val="7A15183B"/>
    <w:rsid w:val="7A1D1975"/>
    <w:rsid w:val="7A230AC3"/>
    <w:rsid w:val="7A307068"/>
    <w:rsid w:val="7A3E5150"/>
    <w:rsid w:val="7A4670D6"/>
    <w:rsid w:val="7A534B63"/>
    <w:rsid w:val="7A615382"/>
    <w:rsid w:val="7A67303B"/>
    <w:rsid w:val="7A7922C8"/>
    <w:rsid w:val="7A8D0413"/>
    <w:rsid w:val="7AAB1D04"/>
    <w:rsid w:val="7ABA4368"/>
    <w:rsid w:val="7ACD1C1E"/>
    <w:rsid w:val="7AD05746"/>
    <w:rsid w:val="7B0F5D55"/>
    <w:rsid w:val="7B2173E8"/>
    <w:rsid w:val="7B257FFD"/>
    <w:rsid w:val="7B343476"/>
    <w:rsid w:val="7B366CA3"/>
    <w:rsid w:val="7B5A2978"/>
    <w:rsid w:val="7B5A7E4C"/>
    <w:rsid w:val="7B667AF9"/>
    <w:rsid w:val="7B6B7668"/>
    <w:rsid w:val="7B7468F8"/>
    <w:rsid w:val="7B7C1ABA"/>
    <w:rsid w:val="7B882919"/>
    <w:rsid w:val="7BC30888"/>
    <w:rsid w:val="7BD43BD2"/>
    <w:rsid w:val="7BEE0103"/>
    <w:rsid w:val="7BEF462D"/>
    <w:rsid w:val="7BF56183"/>
    <w:rsid w:val="7C036B92"/>
    <w:rsid w:val="7C0A0FE4"/>
    <w:rsid w:val="7C1A1F01"/>
    <w:rsid w:val="7C254906"/>
    <w:rsid w:val="7C30396B"/>
    <w:rsid w:val="7C3A6597"/>
    <w:rsid w:val="7C4E5B9F"/>
    <w:rsid w:val="7C590818"/>
    <w:rsid w:val="7C6FCA9D"/>
    <w:rsid w:val="7C7C10F6"/>
    <w:rsid w:val="7C853BEA"/>
    <w:rsid w:val="7C881368"/>
    <w:rsid w:val="7C9C65D2"/>
    <w:rsid w:val="7CD128CB"/>
    <w:rsid w:val="7CE00EED"/>
    <w:rsid w:val="7CE27788"/>
    <w:rsid w:val="7CF229CE"/>
    <w:rsid w:val="7D004545"/>
    <w:rsid w:val="7D0C32F1"/>
    <w:rsid w:val="7D0F408D"/>
    <w:rsid w:val="7D491C6C"/>
    <w:rsid w:val="7D5429C0"/>
    <w:rsid w:val="7D59561F"/>
    <w:rsid w:val="7D5A740B"/>
    <w:rsid w:val="7D6E6D43"/>
    <w:rsid w:val="7D7C41AA"/>
    <w:rsid w:val="7D7E1AD8"/>
    <w:rsid w:val="7DA0067C"/>
    <w:rsid w:val="7DB57A34"/>
    <w:rsid w:val="7DE60973"/>
    <w:rsid w:val="7DEF0916"/>
    <w:rsid w:val="7DF74B1D"/>
    <w:rsid w:val="7E1E5218"/>
    <w:rsid w:val="7E290672"/>
    <w:rsid w:val="7E8D00FD"/>
    <w:rsid w:val="7E924985"/>
    <w:rsid w:val="7E9A4E1F"/>
    <w:rsid w:val="7EA7723A"/>
    <w:rsid w:val="7EBD532E"/>
    <w:rsid w:val="7ED02A96"/>
    <w:rsid w:val="7EF56FBB"/>
    <w:rsid w:val="7F0768EB"/>
    <w:rsid w:val="7F143BEC"/>
    <w:rsid w:val="7F1A53A7"/>
    <w:rsid w:val="7F28097A"/>
    <w:rsid w:val="7F715AF2"/>
    <w:rsid w:val="7F886E69"/>
    <w:rsid w:val="7FA36202"/>
    <w:rsid w:val="7FA426A6"/>
    <w:rsid w:val="7FBB6B37"/>
    <w:rsid w:val="7FC83E64"/>
    <w:rsid w:val="7FD420D3"/>
    <w:rsid w:val="7FFA4FF3"/>
    <w:rsid w:val="BB7FA927"/>
    <w:rsid w:val="DEFFAD92"/>
    <w:rsid w:val="F5FFD31F"/>
    <w:rsid w:val="FA47BF2E"/>
    <w:rsid w:val="FA7DB66F"/>
    <w:rsid w:val="FE9FDD2A"/>
    <w:rsid w:val="FEEF3596"/>
    <w:rsid w:val="FFF7D9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3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300"/>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3"/>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14"/>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65"/>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8"/>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6"/>
    <w:link w:val="199"/>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5"/>
    <w:basedOn w:val="1"/>
    <w:next w:val="1"/>
    <w:autoRedefine/>
    <w:qFormat/>
    <w:uiPriority w:val="0"/>
    <w:pPr>
      <w:ind w:left="1680" w:leftChars="800"/>
    </w:pPr>
  </w:style>
  <w:style w:type="paragraph" w:styleId="17">
    <w:name w:val="caption"/>
    <w:basedOn w:val="1"/>
    <w:next w:val="1"/>
    <w:link w:val="235"/>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8"/>
    <w:autoRedefine/>
    <w:qFormat/>
    <w:uiPriority w:val="0"/>
    <w:pPr>
      <w:shd w:val="clear" w:color="auto" w:fill="000080"/>
    </w:pPr>
  </w:style>
  <w:style w:type="paragraph" w:styleId="20">
    <w:name w:val="toa heading"/>
    <w:basedOn w:val="1"/>
    <w:next w:val="1"/>
    <w:autoRedefine/>
    <w:unhideWhenUsed/>
    <w:qFormat/>
    <w:uiPriority w:val="0"/>
    <w:pPr>
      <w:spacing w:before="120"/>
    </w:pPr>
    <w:rPr>
      <w:rFonts w:ascii="Arial" w:hAnsi="Arial" w:cs="Arial"/>
    </w:rPr>
  </w:style>
  <w:style w:type="paragraph" w:styleId="21">
    <w:name w:val="annotation text"/>
    <w:basedOn w:val="1"/>
    <w:link w:val="351"/>
    <w:autoRedefine/>
    <w:qFormat/>
    <w:uiPriority w:val="99"/>
    <w:pPr>
      <w:jc w:val="left"/>
    </w:pPr>
  </w:style>
  <w:style w:type="paragraph" w:styleId="22">
    <w:name w:val="Salutation"/>
    <w:basedOn w:val="1"/>
    <w:next w:val="1"/>
    <w:link w:val="305"/>
    <w:autoRedefine/>
    <w:qFormat/>
    <w:uiPriority w:val="0"/>
    <w:rPr>
      <w:rFonts w:ascii="仿宋_GB2312" w:eastAsia="仿宋_GB2312"/>
      <w:sz w:val="28"/>
      <w:szCs w:val="20"/>
    </w:rPr>
  </w:style>
  <w:style w:type="paragraph" w:styleId="23">
    <w:name w:val="Body Text 3"/>
    <w:basedOn w:val="1"/>
    <w:link w:val="337"/>
    <w:autoRedefine/>
    <w:qFormat/>
    <w:uiPriority w:val="0"/>
    <w:pPr>
      <w:jc w:val="center"/>
    </w:pPr>
    <w:rPr>
      <w:szCs w:val="20"/>
    </w:rPr>
  </w:style>
  <w:style w:type="paragraph" w:styleId="24">
    <w:name w:val="List Bullet 3"/>
    <w:basedOn w:val="1"/>
    <w:autoRedefine/>
    <w:unhideWhenUsed/>
    <w:qFormat/>
    <w:uiPriority w:val="0"/>
    <w:pPr>
      <w:snapToGrid w:val="0"/>
      <w:spacing w:line="360" w:lineRule="auto"/>
      <w:ind w:left="360" w:right="238" w:hanging="360"/>
      <w:contextualSpacing/>
    </w:pPr>
    <w:rPr>
      <w:sz w:val="24"/>
    </w:rPr>
  </w:style>
  <w:style w:type="paragraph" w:styleId="25">
    <w:name w:val="Body Text"/>
    <w:basedOn w:val="1"/>
    <w:next w:val="26"/>
    <w:link w:val="437"/>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8"/>
    <w:autoRedefine/>
    <w:qFormat/>
    <w:uiPriority w:val="0"/>
    <w:pPr>
      <w:ind w:firstLine="420"/>
    </w:pPr>
    <w:rPr>
      <w:rFonts w:hAnsi="Calibri" w:cs="Times New Roman"/>
      <w:snapToGrid/>
      <w:szCs w:val="20"/>
    </w:rPr>
  </w:style>
  <w:style w:type="paragraph" w:styleId="27">
    <w:name w:val="Body Text Indent"/>
    <w:basedOn w:val="1"/>
    <w:next w:val="28"/>
    <w:link w:val="272"/>
    <w:autoRedefine/>
    <w:qFormat/>
    <w:uiPriority w:val="0"/>
    <w:pPr>
      <w:spacing w:line="480" w:lineRule="exact"/>
      <w:ind w:firstLine="480" w:firstLineChars="200"/>
    </w:pPr>
    <w:rPr>
      <w:rFonts w:ascii="宋体" w:hAnsi="宋体"/>
      <w:sz w:val="24"/>
    </w:rPr>
  </w:style>
  <w:style w:type="paragraph" w:styleId="28">
    <w:name w:val="envelope return"/>
    <w:basedOn w:val="1"/>
    <w:autoRedefine/>
    <w:qFormat/>
    <w:uiPriority w:val="0"/>
    <w:pPr>
      <w:snapToGrid w:val="0"/>
    </w:pPr>
    <w:rPr>
      <w:rFonts w:ascii="Arial" w:hAnsi="Arial" w:cs="Arial"/>
    </w:rPr>
  </w:style>
  <w:style w:type="paragraph" w:styleId="29">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30">
    <w:name w:val="List 2"/>
    <w:basedOn w:val="1"/>
    <w:autoRedefine/>
    <w:qFormat/>
    <w:uiPriority w:val="0"/>
    <w:pPr>
      <w:adjustRightInd/>
      <w:spacing w:line="360" w:lineRule="auto"/>
      <w:ind w:left="100" w:leftChars="200" w:hanging="200" w:hangingChars="200"/>
    </w:pPr>
    <w:rPr>
      <w:rFonts w:eastAsia="微软雅黑"/>
    </w:rPr>
  </w:style>
  <w:style w:type="paragraph" w:styleId="31">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25"/>
    <w:autoRedefine/>
    <w:qFormat/>
    <w:uiPriority w:val="0"/>
    <w:pPr>
      <w:widowControl/>
      <w:adjustRightInd/>
      <w:ind w:firstLine="200" w:firstLineChars="200"/>
      <w:jc w:val="left"/>
    </w:pPr>
    <w:rPr>
      <w:rFonts w:ascii="宋体" w:hAnsi="宋体"/>
      <w:i/>
      <w:iCs/>
      <w:kern w:val="0"/>
      <w:sz w:val="24"/>
    </w:r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31"/>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7"/>
    <w:autoRedefine/>
    <w:qFormat/>
    <w:uiPriority w:val="0"/>
    <w:pPr>
      <w:ind w:left="100" w:leftChars="2500"/>
    </w:pPr>
    <w:rPr>
      <w:rFonts w:ascii="宋体"/>
      <w:sz w:val="24"/>
      <w:szCs w:val="21"/>
      <w:lang w:val="zh-CN"/>
    </w:rPr>
  </w:style>
  <w:style w:type="paragraph" w:styleId="39">
    <w:name w:val="Body Text Indent 2"/>
    <w:basedOn w:val="1"/>
    <w:next w:val="1"/>
    <w:link w:val="315"/>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6"/>
    <w:autoRedefine/>
    <w:qFormat/>
    <w:uiPriority w:val="0"/>
    <w:rPr>
      <w:lang w:val="zh-CN"/>
    </w:rPr>
  </w:style>
  <w:style w:type="paragraph" w:styleId="41">
    <w:name w:val="Balloon Text"/>
    <w:basedOn w:val="1"/>
    <w:link w:val="194"/>
    <w:autoRedefine/>
    <w:qFormat/>
    <w:uiPriority w:val="0"/>
    <w:rPr>
      <w:sz w:val="18"/>
      <w:szCs w:val="18"/>
    </w:rPr>
  </w:style>
  <w:style w:type="paragraph" w:styleId="42">
    <w:name w:val="footer"/>
    <w:basedOn w:val="1"/>
    <w:link w:val="390"/>
    <w:autoRedefine/>
    <w:qFormat/>
    <w:uiPriority w:val="99"/>
    <w:pPr>
      <w:tabs>
        <w:tab w:val="center" w:pos="4153"/>
        <w:tab w:val="right" w:pos="8306"/>
      </w:tabs>
      <w:snapToGrid w:val="0"/>
      <w:jc w:val="left"/>
    </w:pPr>
    <w:rPr>
      <w:sz w:val="18"/>
      <w:szCs w:val="18"/>
    </w:rPr>
  </w:style>
  <w:style w:type="paragraph" w:styleId="43">
    <w:name w:val="header"/>
    <w:basedOn w:val="1"/>
    <w:link w:val="399"/>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52"/>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39"/>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1"/>
    <w:link w:val="317"/>
    <w:autoRedefine/>
    <w:qFormat/>
    <w:uiPriority w:val="0"/>
    <w:pPr>
      <w:adjustRightInd/>
      <w:spacing w:before="60" w:after="60" w:line="300" w:lineRule="exact"/>
    </w:pPr>
    <w:rPr>
      <w:rFonts w:ascii="Calibri"/>
      <w:color w:val="0000FF"/>
      <w:kern w:val="0"/>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382"/>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next w:val="1"/>
    <w:link w:val="309"/>
    <w:autoRedefine/>
    <w:qFormat/>
    <w:uiPriority w:val="0"/>
    <w:pPr>
      <w:spacing w:after="120" w:line="480" w:lineRule="auto"/>
    </w:pPr>
  </w:style>
  <w:style w:type="paragraph" w:styleId="59">
    <w:name w:val="HTML Preformatted"/>
    <w:basedOn w:val="1"/>
    <w:link w:val="30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next w:val="1"/>
    <w:link w:val="293"/>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102"/>
    <w:autoRedefine/>
    <w:qFormat/>
    <w:uiPriority w:val="0"/>
    <w:rPr>
      <w:b/>
      <w:bCs/>
    </w:rPr>
  </w:style>
  <w:style w:type="paragraph" w:styleId="63">
    <w:name w:val="Body Text First Indent 2"/>
    <w:basedOn w:val="27"/>
    <w:link w:val="127"/>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basedOn w:val="71"/>
    <w:autoRedefine/>
    <w:qFormat/>
    <w:uiPriority w:val="99"/>
    <w:rPr>
      <w:rFonts w:ascii="Times New Roman" w:hAnsi="Times New Roman" w:eastAsia="宋体" w:cs="Times New Roman"/>
      <w:kern w:val="2"/>
      <w:sz w:val="21"/>
      <w:szCs w:val="24"/>
      <w:lang w:val="en-US" w:eastAsia="zh-CN" w:bidi="ar-SA"/>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82">
    <w:name w:val="xl53"/>
    <w:basedOn w:val="1"/>
    <w:next w:val="1"/>
    <w:autoRedefine/>
    <w:qFormat/>
    <w:uiPriority w:val="0"/>
    <w:pPr>
      <w:spacing w:before="280" w:after="280" w:line="100" w:lineRule="exact"/>
      <w:jc w:val="center"/>
    </w:pPr>
    <w:rPr>
      <w:rFonts w:ascii="宋体"/>
      <w:b/>
      <w:sz w:val="20"/>
    </w:rPr>
  </w:style>
  <w:style w:type="paragraph" w:customStyle="1" w:styleId="83">
    <w:name w:val="DAS正文"/>
    <w:basedOn w:val="1"/>
    <w:autoRedefine/>
    <w:qFormat/>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84">
    <w:name w:val="正文1"/>
    <w:basedOn w:val="34"/>
    <w:next w:val="1"/>
    <w:autoRedefine/>
    <w:qFormat/>
    <w:uiPriority w:val="0"/>
    <w:pPr>
      <w:ind w:left="0" w:leftChars="0" w:firstLine="480" w:firstLineChars="200"/>
    </w:pPr>
    <w:rPr>
      <w:rFonts w:ascii="仿宋_GB2312" w:hAnsi="Courier New" w:eastAsia="仿宋_GB2312"/>
      <w:kern w:val="28"/>
      <w:sz w:val="24"/>
    </w:rPr>
  </w:style>
  <w:style w:type="paragraph" w:customStyle="1" w:styleId="85">
    <w:name w:val="文章正文"/>
    <w:basedOn w:val="1"/>
    <w:autoRedefine/>
    <w:qFormat/>
    <w:uiPriority w:val="0"/>
    <w:pPr>
      <w:spacing w:line="360" w:lineRule="auto"/>
      <w:ind w:firstLine="200" w:firstLineChars="200"/>
    </w:pPr>
    <w:rPr>
      <w:rFonts w:ascii="Calibri" w:hAnsi="Calibri"/>
      <w:sz w:val="24"/>
    </w:rPr>
  </w:style>
  <w:style w:type="paragraph" w:customStyle="1" w:styleId="86">
    <w:name w:val="_Style 2"/>
    <w:basedOn w:val="1"/>
    <w:autoRedefine/>
    <w:qFormat/>
    <w:uiPriority w:val="0"/>
    <w:pPr>
      <w:ind w:firstLine="200" w:firstLineChars="200"/>
    </w:pPr>
    <w:rPr>
      <w:rFonts w:ascii="Calibri" w:hAnsi="Calibri"/>
      <w:sz w:val="28"/>
    </w:rPr>
  </w:style>
  <w:style w:type="paragraph" w:customStyle="1" w:styleId="87">
    <w:name w:val="标准正文"/>
    <w:basedOn w:val="1"/>
    <w:autoRedefine/>
    <w:qFormat/>
    <w:uiPriority w:val="0"/>
    <w:pPr>
      <w:tabs>
        <w:tab w:val="left" w:pos="780"/>
      </w:tabs>
      <w:adjustRightInd/>
      <w:spacing w:line="360" w:lineRule="auto"/>
      <w:ind w:left="200" w:leftChars="200" w:firstLine="200" w:firstLineChars="200"/>
    </w:pPr>
    <w:rPr>
      <w:sz w:val="24"/>
    </w:rPr>
  </w:style>
  <w:style w:type="character" w:customStyle="1" w:styleId="88">
    <w:name w:val="表格非标题文字 Char"/>
    <w:link w:val="89"/>
    <w:autoRedefine/>
    <w:qFormat/>
    <w:uiPriority w:val="0"/>
    <w:rPr>
      <w:rFonts w:ascii="Futura Bk" w:hAnsi="Futura Bk"/>
      <w:kern w:val="2"/>
      <w:sz w:val="18"/>
      <w:szCs w:val="21"/>
      <w:lang w:val="en-US" w:eastAsia="zh-CN" w:bidi="ar-SA"/>
    </w:rPr>
  </w:style>
  <w:style w:type="paragraph" w:customStyle="1" w:styleId="89">
    <w:name w:val="表格非标题文字"/>
    <w:link w:val="88"/>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autoRedefine/>
    <w:qFormat/>
    <w:locked/>
    <w:uiPriority w:val="0"/>
    <w:rPr>
      <w:rFonts w:ascii="宋体" w:hAnsi="宋体"/>
      <w:sz w:val="24"/>
    </w:rPr>
  </w:style>
  <w:style w:type="paragraph" w:customStyle="1" w:styleId="91">
    <w:name w:val="*正文"/>
    <w:basedOn w:val="1"/>
    <w:link w:val="90"/>
    <w:autoRedefine/>
    <w:qFormat/>
    <w:uiPriority w:val="0"/>
    <w:pPr>
      <w:snapToGrid w:val="0"/>
      <w:spacing w:line="360" w:lineRule="auto"/>
      <w:ind w:firstLine="482"/>
      <w:jc w:val="left"/>
    </w:pPr>
    <w:rPr>
      <w:rFonts w:ascii="宋体" w:hAnsi="宋体"/>
      <w:kern w:val="0"/>
      <w:sz w:val="24"/>
      <w:szCs w:val="20"/>
    </w:rPr>
  </w:style>
  <w:style w:type="character" w:customStyle="1" w:styleId="92">
    <w:name w:val="Char Char71"/>
    <w:autoRedefine/>
    <w:semiHidden/>
    <w:qFormat/>
    <w:uiPriority w:val="0"/>
    <w:rPr>
      <w:rFonts w:eastAsia="宋体"/>
      <w:kern w:val="2"/>
      <w:sz w:val="21"/>
      <w:szCs w:val="24"/>
      <w:lang w:val="en-US" w:eastAsia="zh-CN" w:bidi="ar-SA"/>
    </w:rPr>
  </w:style>
  <w:style w:type="character" w:customStyle="1" w:styleId="93">
    <w:name w:val="Char Char6"/>
    <w:autoRedefine/>
    <w:qFormat/>
    <w:uiPriority w:val="0"/>
    <w:rPr>
      <w:rFonts w:eastAsia="宋体"/>
      <w:kern w:val="2"/>
      <w:sz w:val="21"/>
      <w:szCs w:val="24"/>
      <w:lang w:val="en-US" w:eastAsia="zh-CN" w:bidi="ar-SA"/>
    </w:rPr>
  </w:style>
  <w:style w:type="character" w:customStyle="1" w:styleId="94">
    <w:name w:val="正文缩进 Char"/>
    <w:autoRedefine/>
    <w:qFormat/>
    <w:uiPriority w:val="0"/>
    <w:rPr>
      <w:rFonts w:eastAsia="宋体"/>
      <w:kern w:val="2"/>
      <w:sz w:val="21"/>
      <w:lang w:val="en-US" w:eastAsia="zh-CN"/>
    </w:rPr>
  </w:style>
  <w:style w:type="character" w:customStyle="1" w:styleId="95">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6">
    <w:name w:val="Char Char28"/>
    <w:autoRedefine/>
    <w:qFormat/>
    <w:uiPriority w:val="6"/>
    <w:rPr>
      <w:rFonts w:ascii="仿宋_GB2312" w:hAnsi="仿宋_GB2312" w:eastAsia="仿宋_GB2312"/>
      <w:kern w:val="1"/>
      <w:sz w:val="28"/>
    </w:rPr>
  </w:style>
  <w:style w:type="character" w:customStyle="1" w:styleId="97">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
    <w:autoRedefine/>
    <w:qFormat/>
    <w:uiPriority w:val="6"/>
    <w:rPr>
      <w:rFonts w:ascii="Times New Roman" w:hAnsi="Times New Roman" w:eastAsia="黑体" w:cs="Times New Roman"/>
      <w:b/>
      <w:kern w:val="0"/>
      <w:sz w:val="24"/>
      <w:szCs w:val="24"/>
    </w:rPr>
  </w:style>
  <w:style w:type="character" w:customStyle="1" w:styleId="99">
    <w:name w:val="U_正文 Char"/>
    <w:link w:val="100"/>
    <w:autoRedefine/>
    <w:qFormat/>
    <w:uiPriority w:val="0"/>
    <w:rPr>
      <w:sz w:val="24"/>
      <w:szCs w:val="24"/>
    </w:rPr>
  </w:style>
  <w:style w:type="paragraph" w:customStyle="1" w:styleId="100">
    <w:name w:val="U_正文"/>
    <w:basedOn w:val="1"/>
    <w:link w:val="99"/>
    <w:autoRedefine/>
    <w:qFormat/>
    <w:uiPriority w:val="0"/>
    <w:pPr>
      <w:adjustRightInd/>
      <w:spacing w:beforeLines="20" w:afterLines="20" w:line="300" w:lineRule="auto"/>
      <w:ind w:firstLine="200" w:firstLineChars="200"/>
    </w:pPr>
    <w:rPr>
      <w:kern w:val="0"/>
      <w:sz w:val="24"/>
    </w:rPr>
  </w:style>
  <w:style w:type="character" w:customStyle="1" w:styleId="101">
    <w:name w:val="HTML 地址 Char1"/>
    <w:autoRedefine/>
    <w:qFormat/>
    <w:uiPriority w:val="0"/>
    <w:rPr>
      <w:rFonts w:ascii="Times New Roman" w:hAnsi="Times New Roman" w:eastAsia="宋体" w:cs="Times New Roman"/>
      <w:i/>
      <w:iCs/>
      <w:szCs w:val="24"/>
    </w:rPr>
  </w:style>
  <w:style w:type="character" w:customStyle="1" w:styleId="102">
    <w:name w:val="批注主题 Char1"/>
    <w:link w:val="62"/>
    <w:autoRedefine/>
    <w:qFormat/>
    <w:uiPriority w:val="0"/>
    <w:rPr>
      <w:b/>
      <w:bCs/>
      <w:kern w:val="2"/>
      <w:sz w:val="21"/>
      <w:szCs w:val="24"/>
    </w:rPr>
  </w:style>
  <w:style w:type="character" w:customStyle="1" w:styleId="103">
    <w:name w:val="Char Char51"/>
    <w:autoRedefine/>
    <w:qFormat/>
    <w:uiPriority w:val="0"/>
    <w:rPr>
      <w:rFonts w:ascii="宋体" w:hAnsi="Courier New" w:eastAsia="宋体"/>
      <w:kern w:val="2"/>
      <w:sz w:val="21"/>
      <w:lang w:val="en-US" w:eastAsia="zh-CN"/>
    </w:rPr>
  </w:style>
  <w:style w:type="character" w:customStyle="1" w:styleId="104">
    <w:name w:val="表正文 Char"/>
    <w:autoRedefine/>
    <w:qFormat/>
    <w:uiPriority w:val="0"/>
    <w:rPr>
      <w:rFonts w:ascii="宋体" w:eastAsia="宋体"/>
      <w:snapToGrid w:val="0"/>
      <w:color w:val="000000"/>
      <w:kern w:val="28"/>
      <w:sz w:val="28"/>
      <w:lang w:val="en-US" w:eastAsia="zh-CN" w:bidi="ar-SA"/>
    </w:rPr>
  </w:style>
  <w:style w:type="character" w:customStyle="1" w:styleId="105">
    <w:name w:val="Char Char34"/>
    <w:autoRedefine/>
    <w:qFormat/>
    <w:uiPriority w:val="6"/>
    <w:rPr>
      <w:b/>
      <w:kern w:val="1"/>
      <w:sz w:val="28"/>
      <w:szCs w:val="28"/>
    </w:rPr>
  </w:style>
  <w:style w:type="character" w:customStyle="1" w:styleId="106">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autoRedefine/>
    <w:qFormat/>
    <w:uiPriority w:val="0"/>
    <w:rPr>
      <w:rFonts w:ascii="宋体" w:hAnsi="宋体" w:eastAsia="宋体"/>
      <w:kern w:val="2"/>
      <w:sz w:val="24"/>
      <w:lang w:bidi="ar-SA"/>
    </w:rPr>
  </w:style>
  <w:style w:type="paragraph" w:customStyle="1" w:styleId="108">
    <w:name w:val="哈哈正文"/>
    <w:basedOn w:val="1"/>
    <w:link w:val="107"/>
    <w:autoRedefine/>
    <w:qFormat/>
    <w:uiPriority w:val="0"/>
    <w:pPr>
      <w:adjustRightInd/>
      <w:spacing w:line="360" w:lineRule="auto"/>
      <w:ind w:firstLine="200" w:firstLineChars="200"/>
    </w:pPr>
    <w:rPr>
      <w:rFonts w:ascii="宋体" w:hAnsi="宋体"/>
      <w:sz w:val="24"/>
      <w:szCs w:val="20"/>
    </w:rPr>
  </w:style>
  <w:style w:type="character" w:customStyle="1" w:styleId="109">
    <w:name w:val="未处理的提及1"/>
    <w:autoRedefine/>
    <w:qFormat/>
    <w:uiPriority w:val="0"/>
    <w:rPr>
      <w:color w:val="808080"/>
      <w:shd w:val="clear" w:color="auto" w:fill="E6E6E6"/>
    </w:rPr>
  </w:style>
  <w:style w:type="character" w:customStyle="1" w:styleId="110">
    <w:name w:val="txt"/>
    <w:autoRedefine/>
    <w:qFormat/>
    <w:uiPriority w:val="0"/>
    <w:rPr>
      <w:rFonts w:ascii="仿宋_GB2312" w:eastAsia="微软雅黑"/>
      <w:b/>
      <w:kern w:val="2"/>
      <w:sz w:val="32"/>
      <w:szCs w:val="32"/>
      <w:lang w:val="en-US" w:eastAsia="zh-CN" w:bidi="ar-SA"/>
    </w:rPr>
  </w:style>
  <w:style w:type="character" w:customStyle="1" w:styleId="111">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2">
    <w:name w:val="Char Char32"/>
    <w:autoRedefine/>
    <w:qFormat/>
    <w:uiPriority w:val="6"/>
    <w:rPr>
      <w:b/>
      <w:kern w:val="1"/>
      <w:sz w:val="24"/>
      <w:szCs w:val="24"/>
    </w:rPr>
  </w:style>
  <w:style w:type="character" w:customStyle="1" w:styleId="113">
    <w:name w:val="PI Char1"/>
    <w:autoRedefine/>
    <w:qFormat/>
    <w:uiPriority w:val="0"/>
    <w:rPr>
      <w:rFonts w:ascii="宋体" w:hAnsi="宋体"/>
      <w:kern w:val="2"/>
      <w:sz w:val="24"/>
      <w:szCs w:val="24"/>
    </w:rPr>
  </w:style>
  <w:style w:type="character" w:customStyle="1" w:styleId="114">
    <w:name w:val="tw4winTerm"/>
    <w:autoRedefine/>
    <w:qFormat/>
    <w:uiPriority w:val="0"/>
    <w:rPr>
      <w:color w:val="0000FF"/>
    </w:rPr>
  </w:style>
  <w:style w:type="character" w:customStyle="1" w:styleId="115">
    <w:name w:val="Footer Char"/>
    <w:autoRedefine/>
    <w:qFormat/>
    <w:locked/>
    <w:uiPriority w:val="0"/>
    <w:rPr>
      <w:rFonts w:eastAsia="宋体"/>
      <w:kern w:val="2"/>
      <w:sz w:val="18"/>
      <w:lang w:val="en-US" w:eastAsia="zh-CN" w:bidi="ar-SA"/>
    </w:rPr>
  </w:style>
  <w:style w:type="character" w:customStyle="1" w:styleId="116">
    <w:name w:val="普通文字 Char Char1"/>
    <w:autoRedefine/>
    <w:qFormat/>
    <w:uiPriority w:val="0"/>
    <w:rPr>
      <w:rFonts w:ascii="宋体" w:hAnsi="Courier New"/>
      <w:kern w:val="2"/>
      <w:sz w:val="21"/>
    </w:rPr>
  </w:style>
  <w:style w:type="character" w:customStyle="1" w:styleId="117">
    <w:name w:val="Char Char101"/>
    <w:autoRedefine/>
    <w:qFormat/>
    <w:uiPriority w:val="6"/>
    <w:rPr>
      <w:rFonts w:ascii="宋体" w:hAnsi="宋体"/>
      <w:kern w:val="2"/>
      <w:sz w:val="21"/>
      <w:szCs w:val="24"/>
      <w:lang w:val="en-US" w:eastAsia="zh-CN"/>
    </w:rPr>
  </w:style>
  <w:style w:type="character" w:customStyle="1" w:styleId="118">
    <w:name w:val="标题 4 Char"/>
    <w:autoRedefine/>
    <w:qFormat/>
    <w:uiPriority w:val="0"/>
    <w:rPr>
      <w:rFonts w:ascii="Arial" w:hAnsi="Arial" w:eastAsia="黑体"/>
      <w:b/>
      <w:kern w:val="2"/>
      <w:sz w:val="28"/>
    </w:rPr>
  </w:style>
  <w:style w:type="character" w:customStyle="1" w:styleId="119">
    <w:name w:val="链接"/>
    <w:autoRedefine/>
    <w:qFormat/>
    <w:uiPriority w:val="0"/>
    <w:rPr>
      <w:color w:val="0000FF"/>
      <w:sz w:val="21"/>
      <w:szCs w:val="21"/>
      <w:u w:val="single"/>
    </w:rPr>
  </w:style>
  <w:style w:type="character" w:customStyle="1" w:styleId="120">
    <w:name w:val="h4 Char"/>
    <w:autoRedefine/>
    <w:qFormat/>
    <w:uiPriority w:val="0"/>
    <w:rPr>
      <w:rFonts w:ascii="Arial" w:hAnsi="Arial" w:eastAsia="黑体"/>
      <w:b/>
      <w:bCs/>
      <w:kern w:val="2"/>
      <w:sz w:val="28"/>
      <w:szCs w:val="28"/>
      <w:lang w:val="zh-CN" w:eastAsia="zh-CN" w:bidi="ar-SA"/>
    </w:rPr>
  </w:style>
  <w:style w:type="character" w:customStyle="1" w:styleId="121">
    <w:name w:val="5正文 Char"/>
    <w:link w:val="122"/>
    <w:autoRedefine/>
    <w:qFormat/>
    <w:uiPriority w:val="0"/>
    <w:rPr>
      <w:rFonts w:ascii="仿宋_GB2312" w:hAnsi="微软雅黑" w:eastAsia="仿宋_GB2312"/>
      <w:sz w:val="28"/>
      <w:szCs w:val="21"/>
    </w:rPr>
  </w:style>
  <w:style w:type="paragraph" w:customStyle="1" w:styleId="122">
    <w:name w:val="5正文"/>
    <w:basedOn w:val="1"/>
    <w:link w:val="121"/>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标题 3 字符"/>
    <w:autoRedefine/>
    <w:qFormat/>
    <w:uiPriority w:val="9"/>
    <w:rPr>
      <w:b/>
      <w:bCs/>
      <w:kern w:val="2"/>
      <w:sz w:val="32"/>
      <w:szCs w:val="32"/>
    </w:rPr>
  </w:style>
  <w:style w:type="character" w:customStyle="1" w:styleId="124">
    <w:name w:val="样式6 Char"/>
    <w:autoRedefine/>
    <w:qFormat/>
    <w:uiPriority w:val="0"/>
    <w:rPr>
      <w:rFonts w:ascii="仿宋_GB2312" w:hAnsi="宋体" w:eastAsia="仿宋_GB2312"/>
      <w:b/>
      <w:bCs/>
      <w:kern w:val="2"/>
      <w:sz w:val="24"/>
      <w:szCs w:val="24"/>
      <w:lang w:val="en-US" w:eastAsia="zh-CN" w:bidi="ar-SA"/>
    </w:rPr>
  </w:style>
  <w:style w:type="character" w:customStyle="1" w:styleId="125">
    <w:name w:val="Char Char14"/>
    <w:autoRedefine/>
    <w:qFormat/>
    <w:uiPriority w:val="6"/>
    <w:rPr>
      <w:rFonts w:ascii="黑体" w:hAnsi="黑体" w:eastAsia="黑体"/>
    </w:rPr>
  </w:style>
  <w:style w:type="character" w:customStyle="1" w:styleId="126">
    <w:name w:val="Heading 2 Hidden Char"/>
    <w:autoRedefine/>
    <w:qFormat/>
    <w:uiPriority w:val="0"/>
    <w:rPr>
      <w:rFonts w:ascii="仿宋_GB2312" w:eastAsia="仿宋_GB2312"/>
      <w:b/>
      <w:bCs/>
      <w:kern w:val="2"/>
      <w:sz w:val="24"/>
      <w:szCs w:val="24"/>
      <w:lang w:val="zh-CN" w:eastAsia="zh-CN" w:bidi="ar-SA"/>
    </w:rPr>
  </w:style>
  <w:style w:type="character" w:customStyle="1" w:styleId="127">
    <w:name w:val="正文首行缩进 2 Char"/>
    <w:link w:val="63"/>
    <w:autoRedefine/>
    <w:qFormat/>
    <w:uiPriority w:val="0"/>
    <w:rPr>
      <w:rFonts w:ascii="宋体" w:hAnsi="宋体"/>
      <w:kern w:val="2"/>
      <w:sz w:val="21"/>
      <w:szCs w:val="24"/>
    </w:rPr>
  </w:style>
  <w:style w:type="character" w:customStyle="1" w:styleId="128">
    <w:name w:val="font11"/>
    <w:basedOn w:val="71"/>
    <w:autoRedefine/>
    <w:qFormat/>
    <w:uiPriority w:val="0"/>
    <w:rPr>
      <w:rFonts w:hint="default" w:ascii="Times New Roman" w:hAnsi="Times New Roman" w:cs="Times New Roman"/>
      <w:color w:val="000000"/>
      <w:sz w:val="22"/>
      <w:szCs w:val="22"/>
      <w:u w:val="none"/>
    </w:rPr>
  </w:style>
  <w:style w:type="character" w:customStyle="1" w:styleId="129">
    <w:name w:val="表正文 Char1"/>
    <w:autoRedefine/>
    <w:qFormat/>
    <w:uiPriority w:val="0"/>
    <w:rPr>
      <w:rFonts w:ascii="宋体" w:eastAsia="宋体"/>
      <w:snapToGrid w:val="0"/>
      <w:color w:val="000000"/>
      <w:kern w:val="28"/>
      <w:sz w:val="28"/>
    </w:rPr>
  </w:style>
  <w:style w:type="character" w:customStyle="1" w:styleId="130">
    <w:name w:val="blue1"/>
    <w:basedOn w:val="71"/>
    <w:autoRedefine/>
    <w:qFormat/>
    <w:uiPriority w:val="0"/>
    <w:rPr>
      <w:rFonts w:ascii="Arial" w:hAnsi="Arial" w:eastAsia="黑体" w:cs="Arial"/>
      <w:snapToGrid w:val="0"/>
      <w:kern w:val="0"/>
      <w:szCs w:val="21"/>
    </w:rPr>
  </w:style>
  <w:style w:type="character" w:customStyle="1" w:styleId="131">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32">
    <w:name w:val="标书1 Char"/>
    <w:autoRedefine/>
    <w:qFormat/>
    <w:uiPriority w:val="0"/>
    <w:rPr>
      <w:rFonts w:eastAsia="宋体"/>
      <w:b/>
      <w:bCs/>
      <w:kern w:val="44"/>
      <w:sz w:val="44"/>
      <w:szCs w:val="44"/>
      <w:lang w:val="en-US" w:eastAsia="zh-CN" w:bidi="ar-SA"/>
    </w:rPr>
  </w:style>
  <w:style w:type="character" w:customStyle="1" w:styleId="133">
    <w:name w:val="样式5 Char"/>
    <w:autoRedefine/>
    <w:qFormat/>
    <w:uiPriority w:val="0"/>
    <w:rPr>
      <w:rFonts w:ascii="仿宋_GB2312" w:hAnsi="仿宋" w:eastAsia="仿宋_GB2312"/>
      <w:kern w:val="2"/>
      <w:sz w:val="24"/>
      <w:szCs w:val="24"/>
    </w:rPr>
  </w:style>
  <w:style w:type="character" w:customStyle="1" w:styleId="134">
    <w:name w:val="样式4 Char"/>
    <w:autoRedefine/>
    <w:qFormat/>
    <w:uiPriority w:val="0"/>
    <w:rPr>
      <w:rFonts w:ascii="仿宋_GB2312" w:hAnsi="仿宋" w:eastAsia="仿宋_GB2312"/>
      <w:b/>
      <w:kern w:val="2"/>
      <w:sz w:val="32"/>
      <w:szCs w:val="32"/>
      <w:lang w:bidi="ar-SA"/>
    </w:rPr>
  </w:style>
  <w:style w:type="character" w:customStyle="1" w:styleId="135">
    <w:name w:val="插图说明 Char"/>
    <w:autoRedefine/>
    <w:qFormat/>
    <w:uiPriority w:val="0"/>
    <w:rPr>
      <w:rFonts w:eastAsia="黑体"/>
      <w:sz w:val="24"/>
      <w:lang w:val="en-US" w:eastAsia="zh-CN"/>
    </w:rPr>
  </w:style>
  <w:style w:type="character" w:customStyle="1" w:styleId="136">
    <w:name w:val="正文2 Char Char"/>
    <w:link w:val="137"/>
    <w:autoRedefine/>
    <w:qFormat/>
    <w:uiPriority w:val="0"/>
    <w:rPr>
      <w:rFonts w:eastAsia="宋体"/>
      <w:kern w:val="2"/>
      <w:sz w:val="24"/>
      <w:lang w:val="en-US" w:eastAsia="zh-CN" w:bidi="ar-SA"/>
    </w:rPr>
  </w:style>
  <w:style w:type="paragraph" w:customStyle="1" w:styleId="137">
    <w:name w:val="正文2"/>
    <w:basedOn w:val="1"/>
    <w:link w:val="136"/>
    <w:autoRedefine/>
    <w:qFormat/>
    <w:uiPriority w:val="0"/>
    <w:pPr>
      <w:spacing w:before="156" w:line="360" w:lineRule="auto"/>
      <w:ind w:firstLine="510" w:firstLineChars="200"/>
    </w:pPr>
    <w:rPr>
      <w:sz w:val="24"/>
      <w:szCs w:val="20"/>
    </w:rPr>
  </w:style>
  <w:style w:type="character" w:customStyle="1" w:styleId="138">
    <w:name w:val="Char Char24"/>
    <w:autoRedefine/>
    <w:qFormat/>
    <w:uiPriority w:val="6"/>
    <w:rPr>
      <w:kern w:val="1"/>
      <w:sz w:val="21"/>
    </w:rPr>
  </w:style>
  <w:style w:type="character" w:customStyle="1" w:styleId="139">
    <w:name w:val="副标题 Char"/>
    <w:link w:val="49"/>
    <w:autoRedefine/>
    <w:qFormat/>
    <w:uiPriority w:val="0"/>
    <w:rPr>
      <w:rFonts w:ascii="Arial" w:hAnsi="Arial" w:eastAsia="隶书"/>
      <w:b/>
      <w:bCs/>
      <w:kern w:val="28"/>
      <w:sz w:val="44"/>
      <w:szCs w:val="32"/>
      <w:lang w:val="en-US" w:eastAsia="zh-CN" w:bidi="ar-SA"/>
    </w:rPr>
  </w:style>
  <w:style w:type="character" w:customStyle="1" w:styleId="140">
    <w:name w:val="普通文字 Char1 Char"/>
    <w:autoRedefine/>
    <w:qFormat/>
    <w:uiPriority w:val="0"/>
    <w:rPr>
      <w:rFonts w:ascii="宋体" w:hAnsi="Courier New" w:eastAsia="宋体"/>
      <w:kern w:val="2"/>
      <w:sz w:val="21"/>
      <w:szCs w:val="24"/>
      <w:lang w:val="en-US" w:eastAsia="zh-CN" w:bidi="ar-SA"/>
    </w:rPr>
  </w:style>
  <w:style w:type="character" w:customStyle="1" w:styleId="141">
    <w:name w:val="h3 Char1"/>
    <w:autoRedefine/>
    <w:qFormat/>
    <w:uiPriority w:val="0"/>
    <w:rPr>
      <w:rFonts w:eastAsia="宋体"/>
      <w:b/>
      <w:bCs/>
      <w:kern w:val="2"/>
      <w:sz w:val="32"/>
      <w:szCs w:val="32"/>
      <w:lang w:bidi="ar-SA"/>
    </w:rPr>
  </w:style>
  <w:style w:type="character" w:customStyle="1" w:styleId="142">
    <w:name w:val="标题 Char1"/>
    <w:autoRedefine/>
    <w:qFormat/>
    <w:uiPriority w:val="0"/>
    <w:rPr>
      <w:rFonts w:ascii="Cambria" w:hAnsi="Cambria" w:eastAsia="宋体" w:cs="Times New Roman"/>
      <w:b/>
      <w:bCs/>
      <w:sz w:val="32"/>
      <w:szCs w:val="32"/>
      <w:lang w:bidi="ar-SA"/>
    </w:rPr>
  </w:style>
  <w:style w:type="character" w:customStyle="1" w:styleId="143">
    <w:name w:val="gf正文1 Char"/>
    <w:autoRedefine/>
    <w:qFormat/>
    <w:uiPriority w:val="0"/>
    <w:rPr>
      <w:rFonts w:ascii="宋体" w:hAnsi="宋体" w:eastAsia="宋体" w:cs="宋体"/>
      <w:kern w:val="2"/>
      <w:sz w:val="24"/>
      <w:szCs w:val="24"/>
      <w:lang w:val="en-US" w:eastAsia="zh-CN" w:bidi="ar-SA"/>
    </w:rPr>
  </w:style>
  <w:style w:type="character" w:customStyle="1" w:styleId="144">
    <w:name w:val="正文文本缩进 Char1"/>
    <w:autoRedefine/>
    <w:qFormat/>
    <w:uiPriority w:val="0"/>
    <w:rPr>
      <w:rFonts w:ascii="Calibri" w:hAnsi="Calibri"/>
      <w:sz w:val="28"/>
    </w:rPr>
  </w:style>
  <w:style w:type="character" w:customStyle="1" w:styleId="145">
    <w:name w:val="No Spacing Char"/>
    <w:link w:val="146"/>
    <w:autoRedefine/>
    <w:qFormat/>
    <w:uiPriority w:val="1"/>
    <w:rPr>
      <w:sz w:val="22"/>
      <w:szCs w:val="22"/>
      <w:lang w:val="en-US" w:eastAsia="zh-CN" w:bidi="ar-SA"/>
    </w:rPr>
  </w:style>
  <w:style w:type="paragraph" w:customStyle="1" w:styleId="146">
    <w:name w:val="无间隔1"/>
    <w:link w:val="145"/>
    <w:autoRedefine/>
    <w:qFormat/>
    <w:uiPriority w:val="1"/>
    <w:rPr>
      <w:rFonts w:ascii="Times New Roman" w:hAnsi="Times New Roman" w:eastAsia="宋体" w:cs="Times New Roman"/>
      <w:sz w:val="22"/>
      <w:szCs w:val="22"/>
      <w:lang w:val="en-US" w:eastAsia="zh-CN" w:bidi="ar-SA"/>
    </w:rPr>
  </w:style>
  <w:style w:type="character" w:customStyle="1" w:styleId="147">
    <w:name w:val="样式7 Char"/>
    <w:autoRedefine/>
    <w:qFormat/>
    <w:uiPriority w:val="0"/>
    <w:rPr>
      <w:rFonts w:ascii="仿宋_GB2312" w:hAnsi="仿宋" w:eastAsia="仿宋_GB2312"/>
      <w:b/>
      <w:kern w:val="2"/>
      <w:sz w:val="24"/>
      <w:szCs w:val="24"/>
    </w:rPr>
  </w:style>
  <w:style w:type="character" w:customStyle="1" w:styleId="148">
    <w:name w:val="font12gray1"/>
    <w:autoRedefine/>
    <w:qFormat/>
    <w:uiPriority w:val="0"/>
    <w:rPr>
      <w:rFonts w:ascii="仿宋_GB2312" w:eastAsia="微软雅黑"/>
      <w:b/>
      <w:spacing w:val="300"/>
      <w:kern w:val="2"/>
      <w:sz w:val="18"/>
      <w:szCs w:val="18"/>
      <w:lang w:val="en-US" w:eastAsia="zh-CN" w:bidi="ar-SA"/>
    </w:rPr>
  </w:style>
  <w:style w:type="character" w:customStyle="1" w:styleId="149">
    <w:name w:val="Char Char7"/>
    <w:autoRedefine/>
    <w:semiHidden/>
    <w:qFormat/>
    <w:uiPriority w:val="0"/>
    <w:rPr>
      <w:rFonts w:eastAsia="宋体"/>
      <w:kern w:val="2"/>
      <w:sz w:val="21"/>
      <w:szCs w:val="24"/>
      <w:lang w:val="en-US" w:eastAsia="zh-CN" w:bidi="ar-SA"/>
    </w:rPr>
  </w:style>
  <w:style w:type="character" w:customStyle="1" w:styleId="150">
    <w:name w:val="表名 Char"/>
    <w:autoRedefine/>
    <w:qFormat/>
    <w:uiPriority w:val="0"/>
    <w:rPr>
      <w:rFonts w:eastAsia="宋体"/>
      <w:b/>
      <w:bCs/>
      <w:kern w:val="2"/>
      <w:sz w:val="24"/>
      <w:szCs w:val="24"/>
      <w:lang w:val="en-US" w:eastAsia="zh-CN" w:bidi="ar-SA"/>
    </w:rPr>
  </w:style>
  <w:style w:type="character" w:customStyle="1" w:styleId="151">
    <w:name w:val="Document Map Char"/>
    <w:autoRedefine/>
    <w:qFormat/>
    <w:locked/>
    <w:uiPriority w:val="0"/>
    <w:rPr>
      <w:rFonts w:eastAsia="宋体"/>
      <w:kern w:val="2"/>
      <w:sz w:val="21"/>
      <w:szCs w:val="24"/>
      <w:lang w:val="en-US" w:eastAsia="zh-CN" w:bidi="ar-SA"/>
    </w:rPr>
  </w:style>
  <w:style w:type="character" w:customStyle="1" w:styleId="152">
    <w:name w:val="font41"/>
    <w:basedOn w:val="71"/>
    <w:autoRedefine/>
    <w:qFormat/>
    <w:uiPriority w:val="0"/>
    <w:rPr>
      <w:rFonts w:hint="eastAsia" w:ascii="仿宋_GB2312" w:eastAsia="仿宋_GB2312" w:cs="仿宋_GB2312"/>
      <w:color w:val="000000"/>
      <w:sz w:val="22"/>
      <w:szCs w:val="22"/>
      <w:u w:val="none"/>
    </w:rPr>
  </w:style>
  <w:style w:type="character" w:customStyle="1" w:styleId="153">
    <w:name w:val="标题 6 Char"/>
    <w:link w:val="7"/>
    <w:autoRedefine/>
    <w:qFormat/>
    <w:uiPriority w:val="0"/>
    <w:rPr>
      <w:rFonts w:ascii="Arial" w:hAnsi="Arial" w:eastAsia="黑体"/>
      <w:b/>
      <w:bCs/>
      <w:kern w:val="2"/>
      <w:sz w:val="24"/>
      <w:szCs w:val="24"/>
    </w:rPr>
  </w:style>
  <w:style w:type="character" w:customStyle="1" w:styleId="154">
    <w:name w:val="纯文本 Char_0"/>
    <w:link w:val="155"/>
    <w:autoRedefine/>
    <w:qFormat/>
    <w:uiPriority w:val="0"/>
    <w:rPr>
      <w:rFonts w:ascii="宋体" w:hAnsi="Courier New"/>
      <w:kern w:val="2"/>
      <w:sz w:val="21"/>
      <w:szCs w:val="21"/>
      <w:lang w:val="en-US" w:eastAsia="zh-CN"/>
    </w:rPr>
  </w:style>
  <w:style w:type="paragraph" w:customStyle="1" w:styleId="155">
    <w:name w:val="纯文本_0_0"/>
    <w:basedOn w:val="156"/>
    <w:link w:val="154"/>
    <w:autoRedefine/>
    <w:qFormat/>
    <w:uiPriority w:val="0"/>
    <w:rPr>
      <w:rFonts w:ascii="宋体" w:hAnsi="Courier New"/>
      <w:szCs w:val="21"/>
    </w:rPr>
  </w:style>
  <w:style w:type="paragraph" w:customStyle="1" w:styleId="156">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autoRedefine/>
    <w:qFormat/>
    <w:locked/>
    <w:uiPriority w:val="0"/>
    <w:rPr>
      <w:rFonts w:eastAsia="宋体"/>
      <w:kern w:val="2"/>
      <w:sz w:val="18"/>
      <w:szCs w:val="18"/>
      <w:lang w:val="en-US" w:eastAsia="zh-CN" w:bidi="ar-SA"/>
    </w:rPr>
  </w:style>
  <w:style w:type="character" w:customStyle="1" w:styleId="158">
    <w:name w:val="正文 项目2 Char"/>
    <w:basedOn w:val="159"/>
    <w:autoRedefine/>
    <w:qFormat/>
    <w:uiPriority w:val="0"/>
    <w:rPr>
      <w:rFonts w:ascii="仿宋_GB2312" w:hAnsi="仿宋_GB2312" w:eastAsia="仿宋_GB2312"/>
      <w:kern w:val="2"/>
      <w:sz w:val="24"/>
      <w:lang w:bidi="ar-SA"/>
    </w:rPr>
  </w:style>
  <w:style w:type="character" w:customStyle="1" w:styleId="159">
    <w:name w:val="正文 项目 Char"/>
    <w:autoRedefine/>
    <w:qFormat/>
    <w:uiPriority w:val="0"/>
    <w:rPr>
      <w:rFonts w:ascii="仿宋_GB2312" w:hAnsi="仿宋_GB2312" w:eastAsia="仿宋_GB2312"/>
      <w:kern w:val="2"/>
      <w:sz w:val="24"/>
      <w:lang w:bidi="ar-SA"/>
    </w:rPr>
  </w:style>
  <w:style w:type="character" w:customStyle="1" w:styleId="160">
    <w:name w:val="h Char Char1"/>
    <w:autoRedefine/>
    <w:qFormat/>
    <w:uiPriority w:val="0"/>
    <w:rPr>
      <w:rFonts w:eastAsia="宋体"/>
      <w:kern w:val="2"/>
      <w:sz w:val="18"/>
      <w:szCs w:val="18"/>
      <w:lang w:val="en-US" w:eastAsia="zh-CN" w:bidi="ar-SA"/>
    </w:rPr>
  </w:style>
  <w:style w:type="character" w:customStyle="1" w:styleId="161">
    <w:name w:val="Char Char27"/>
    <w:autoRedefine/>
    <w:qFormat/>
    <w:uiPriority w:val="6"/>
    <w:rPr>
      <w:rFonts w:ascii="宋体" w:hAnsi="宋体" w:eastAsia="宋体"/>
      <w:color w:val="000000"/>
      <w:kern w:val="1"/>
      <w:sz w:val="28"/>
      <w:lang w:val="en-US" w:eastAsia="zh-CN" w:bidi="ar-SA"/>
    </w:rPr>
  </w:style>
  <w:style w:type="character" w:customStyle="1" w:styleId="162">
    <w:name w:val="px14"/>
    <w:autoRedefine/>
    <w:qFormat/>
    <w:uiPriority w:val="0"/>
    <w:rPr>
      <w:rFonts w:ascii="仿宋_GB2312" w:eastAsia="微软雅黑" w:cs="Times New Roman"/>
      <w:b/>
      <w:kern w:val="2"/>
      <w:sz w:val="32"/>
      <w:szCs w:val="32"/>
      <w:lang w:val="en-US" w:eastAsia="zh-CN" w:bidi="ar-SA"/>
    </w:rPr>
  </w:style>
  <w:style w:type="character" w:customStyle="1" w:styleId="163">
    <w:name w:val="HTML 预设格式 Char1"/>
    <w:autoRedefine/>
    <w:qFormat/>
    <w:uiPriority w:val="0"/>
    <w:rPr>
      <w:rFonts w:ascii="Courier New" w:hAnsi="Courier New" w:eastAsia="宋体" w:cs="Courier New"/>
      <w:sz w:val="20"/>
      <w:szCs w:val="20"/>
    </w:rPr>
  </w:style>
  <w:style w:type="character" w:customStyle="1" w:styleId="164">
    <w:name w:val="普通文字 Char1"/>
    <w:autoRedefine/>
    <w:qFormat/>
    <w:uiPriority w:val="0"/>
    <w:rPr>
      <w:rFonts w:ascii="宋体" w:hAnsi="Courier New" w:eastAsia="宋体"/>
      <w:kern w:val="2"/>
      <w:sz w:val="21"/>
      <w:lang w:val="en-US" w:eastAsia="zh-CN"/>
    </w:rPr>
  </w:style>
  <w:style w:type="character" w:customStyle="1" w:styleId="165">
    <w:name w:val="hei16b1"/>
    <w:autoRedefine/>
    <w:qFormat/>
    <w:uiPriority w:val="0"/>
    <w:rPr>
      <w:rFonts w:hint="default" w:ascii="Arial" w:hAnsi="Arial" w:cs="Arial"/>
      <w:b/>
      <w:bCs/>
      <w:color w:val="000000"/>
      <w:sz w:val="24"/>
      <w:szCs w:val="24"/>
    </w:rPr>
  </w:style>
  <w:style w:type="character" w:customStyle="1" w:styleId="166">
    <w:name w:val="正文（绿盟科技） Char"/>
    <w:link w:val="167"/>
    <w:autoRedefine/>
    <w:qFormat/>
    <w:uiPriority w:val="0"/>
    <w:rPr>
      <w:rFonts w:ascii="Arial" w:hAnsi="Arial"/>
      <w:sz w:val="21"/>
      <w:szCs w:val="21"/>
    </w:rPr>
  </w:style>
  <w:style w:type="paragraph" w:customStyle="1" w:styleId="167">
    <w:name w:val="正文（绿盟科技）"/>
    <w:link w:val="166"/>
    <w:autoRedefine/>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autoRedefine/>
    <w:qFormat/>
    <w:uiPriority w:val="6"/>
    <w:rPr>
      <w:rFonts w:ascii="宋体" w:hAnsi="宋体"/>
      <w:i/>
      <w:sz w:val="24"/>
      <w:szCs w:val="24"/>
    </w:rPr>
  </w:style>
  <w:style w:type="character" w:customStyle="1" w:styleId="169">
    <w:name w:val="页脚 Char"/>
    <w:autoRedefine/>
    <w:qFormat/>
    <w:uiPriority w:val="0"/>
    <w:rPr>
      <w:rFonts w:eastAsia="仿宋_GB2312"/>
      <w:kern w:val="2"/>
      <w:sz w:val="18"/>
      <w:lang w:val="en-US" w:eastAsia="zh-CN"/>
    </w:rPr>
  </w:style>
  <w:style w:type="character" w:customStyle="1" w:styleId="170">
    <w:name w:val="批注主题 Char"/>
    <w:autoRedefine/>
    <w:qFormat/>
    <w:uiPriority w:val="0"/>
    <w:rPr>
      <w:rFonts w:eastAsia="宋体"/>
      <w:b/>
      <w:bCs/>
      <w:kern w:val="2"/>
      <w:sz w:val="21"/>
      <w:szCs w:val="24"/>
      <w:lang w:val="en-US" w:eastAsia="zh-CN" w:bidi="ar-SA"/>
    </w:rPr>
  </w:style>
  <w:style w:type="character" w:customStyle="1" w:styleId="171">
    <w:name w:val="Comment Text Char"/>
    <w:autoRedefine/>
    <w:qFormat/>
    <w:locked/>
    <w:uiPriority w:val="0"/>
    <w:rPr>
      <w:rFonts w:ascii="宋体" w:hAnsi="宋体" w:eastAsia="宋体"/>
      <w:kern w:val="2"/>
      <w:sz w:val="24"/>
      <w:lang w:val="en-US" w:eastAsia="zh-CN" w:bidi="ar-SA"/>
    </w:rPr>
  </w:style>
  <w:style w:type="character" w:customStyle="1" w:styleId="172">
    <w:name w:val="标题 2 字符"/>
    <w:autoRedefine/>
    <w:qFormat/>
    <w:uiPriority w:val="1"/>
    <w:rPr>
      <w:rFonts w:ascii="仿宋_GB2312" w:hAnsi="Times New Roman" w:eastAsia="仿宋_GB2312" w:cs="Times New Roman"/>
      <w:b/>
      <w:kern w:val="2"/>
      <w:sz w:val="24"/>
      <w:lang w:val="zh-CN"/>
    </w:rPr>
  </w:style>
  <w:style w:type="character" w:customStyle="1" w:styleId="173">
    <w:name w:val="Char Char72"/>
    <w:autoRedefine/>
    <w:qFormat/>
    <w:uiPriority w:val="0"/>
    <w:rPr>
      <w:rFonts w:eastAsia="宋体"/>
      <w:kern w:val="2"/>
      <w:sz w:val="21"/>
      <w:szCs w:val="24"/>
      <w:lang w:val="en-US" w:eastAsia="zh-CN" w:bidi="ar-SA"/>
    </w:rPr>
  </w:style>
  <w:style w:type="character" w:customStyle="1" w:styleId="174">
    <w:name w:val="正文文本缩进 Char2"/>
    <w:autoRedefine/>
    <w:qFormat/>
    <w:uiPriority w:val="0"/>
    <w:rPr>
      <w:rFonts w:ascii="Times New Roman" w:hAnsi="Times New Roman" w:eastAsia="宋体" w:cs="Times New Roman"/>
      <w:snapToGrid w:val="0"/>
      <w:kern w:val="0"/>
      <w:szCs w:val="24"/>
    </w:rPr>
  </w:style>
  <w:style w:type="character" w:customStyle="1" w:styleId="175">
    <w:name w:val="样式2 Char"/>
    <w:autoRedefine/>
    <w:qFormat/>
    <w:uiPriority w:val="0"/>
    <w:rPr>
      <w:rFonts w:ascii="仿宋_GB2312" w:hAnsi="仿宋" w:eastAsia="仿宋_GB2312" w:cs="仿宋_GB2312"/>
      <w:b/>
      <w:bCs/>
      <w:sz w:val="32"/>
      <w:szCs w:val="30"/>
      <w:lang w:val="zh-CN"/>
    </w:rPr>
  </w:style>
  <w:style w:type="character" w:customStyle="1" w:styleId="176">
    <w:name w:val="表格名称[858D7CFB-ED40-4347-BF05-701D383B685F]"/>
    <w:link w:val="177"/>
    <w:autoRedefine/>
    <w:qFormat/>
    <w:uiPriority w:val="0"/>
    <w:rPr>
      <w:sz w:val="32"/>
    </w:rPr>
  </w:style>
  <w:style w:type="paragraph" w:customStyle="1" w:styleId="177">
    <w:name w:val="表格名称"/>
    <w:basedOn w:val="3"/>
    <w:link w:val="176"/>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autoRedefine/>
    <w:qFormat/>
    <w:uiPriority w:val="0"/>
    <w:rPr>
      <w:rFonts w:eastAsia="宋体"/>
      <w:b/>
      <w:sz w:val="24"/>
      <w:lang w:val="en-GB" w:eastAsia="zh-CN" w:bidi="ar-SA"/>
    </w:rPr>
  </w:style>
  <w:style w:type="character" w:customStyle="1" w:styleId="179">
    <w:name w:val="c7 style3"/>
    <w:autoRedefine/>
    <w:qFormat/>
    <w:uiPriority w:val="0"/>
  </w:style>
  <w:style w:type="character" w:customStyle="1" w:styleId="180">
    <w:name w:val="正文文本 3 Char1"/>
    <w:autoRedefine/>
    <w:semiHidden/>
    <w:qFormat/>
    <w:uiPriority w:val="99"/>
    <w:rPr>
      <w:rFonts w:ascii="Times New Roman" w:hAnsi="Times New Roman" w:eastAsia="宋体" w:cs="Times New Roman"/>
      <w:sz w:val="16"/>
      <w:szCs w:val="16"/>
    </w:rPr>
  </w:style>
  <w:style w:type="character" w:customStyle="1" w:styleId="181">
    <w:name w:val="tw4winInternal"/>
    <w:autoRedefine/>
    <w:qFormat/>
    <w:uiPriority w:val="0"/>
    <w:rPr>
      <w:rFonts w:ascii="Courier New" w:hAnsi="Courier New" w:cs="Courier New"/>
      <w:color w:val="FF0000"/>
      <w:lang w:val="en-US" w:eastAsia="zh-CN"/>
    </w:rPr>
  </w:style>
  <w:style w:type="character" w:customStyle="1" w:styleId="182">
    <w:name w:val="Char Char10"/>
    <w:autoRedefine/>
    <w:semiHidden/>
    <w:qFormat/>
    <w:uiPriority w:val="0"/>
    <w:rPr>
      <w:rFonts w:ascii="宋体" w:hAnsi="宋体"/>
      <w:kern w:val="2"/>
      <w:sz w:val="21"/>
      <w:szCs w:val="24"/>
      <w:lang w:val="en-US" w:eastAsia="zh-CN"/>
    </w:rPr>
  </w:style>
  <w:style w:type="character" w:customStyle="1" w:styleId="183">
    <w:name w:val="shadow11"/>
    <w:autoRedefine/>
    <w:qFormat/>
    <w:uiPriority w:val="0"/>
    <w:rPr>
      <w:color w:val="000000"/>
      <w:sz w:val="21"/>
    </w:rPr>
  </w:style>
  <w:style w:type="character" w:customStyle="1" w:styleId="184">
    <w:name w:val="正文非缩进 Char3"/>
    <w:autoRedefine/>
    <w:qFormat/>
    <w:uiPriority w:val="0"/>
    <w:rPr>
      <w:rFonts w:ascii="宋体" w:eastAsia="宋体"/>
      <w:snapToGrid w:val="0"/>
      <w:color w:val="000000"/>
      <w:kern w:val="28"/>
      <w:sz w:val="28"/>
      <w:lang w:val="en-US" w:eastAsia="zh-CN" w:bidi="ar-SA"/>
    </w:rPr>
  </w:style>
  <w:style w:type="character" w:customStyle="1" w:styleId="185">
    <w:name w:val="Char Char"/>
    <w:autoRedefine/>
    <w:qFormat/>
    <w:uiPriority w:val="0"/>
    <w:rPr>
      <w:rFonts w:ascii="宋体" w:hAnsi="Courier New" w:eastAsia="宋体"/>
      <w:kern w:val="2"/>
      <w:sz w:val="21"/>
      <w:lang w:val="en-US" w:eastAsia="zh-CN" w:bidi="ar-SA"/>
    </w:rPr>
  </w:style>
  <w:style w:type="character" w:customStyle="1" w:styleId="186">
    <w:name w:val="签名 Char1"/>
    <w:autoRedefine/>
    <w:qFormat/>
    <w:uiPriority w:val="0"/>
    <w:rPr>
      <w:rFonts w:ascii="Times New Roman" w:hAnsi="Times New Roman" w:eastAsia="宋体" w:cs="Times New Roman"/>
      <w:szCs w:val="24"/>
    </w:rPr>
  </w:style>
  <w:style w:type="character" w:customStyle="1" w:styleId="187">
    <w:name w:val="日期 Char"/>
    <w:link w:val="38"/>
    <w:autoRedefine/>
    <w:qFormat/>
    <w:uiPriority w:val="0"/>
    <w:rPr>
      <w:rFonts w:ascii="宋体"/>
      <w:kern w:val="2"/>
      <w:sz w:val="24"/>
      <w:szCs w:val="21"/>
      <w:lang w:val="zh-CN"/>
    </w:rPr>
  </w:style>
  <w:style w:type="character" w:customStyle="1" w:styleId="188">
    <w:name w:val="标题 9 Char"/>
    <w:link w:val="10"/>
    <w:autoRedefine/>
    <w:qFormat/>
    <w:uiPriority w:val="0"/>
    <w:rPr>
      <w:rFonts w:ascii="Arial" w:hAnsi="Arial" w:eastAsia="黑体"/>
      <w:kern w:val="2"/>
      <w:sz w:val="21"/>
      <w:szCs w:val="21"/>
    </w:rPr>
  </w:style>
  <w:style w:type="character" w:customStyle="1" w:styleId="189">
    <w:name w:val="Char Char18"/>
    <w:autoRedefine/>
    <w:qFormat/>
    <w:uiPriority w:val="6"/>
    <w:rPr>
      <w:rFonts w:ascii="宋体" w:hAnsi="宋体"/>
      <w:sz w:val="28"/>
    </w:rPr>
  </w:style>
  <w:style w:type="character" w:customStyle="1" w:styleId="190">
    <w:name w:val="批注文字 Char"/>
    <w:autoRedefine/>
    <w:qFormat/>
    <w:uiPriority w:val="99"/>
    <w:rPr>
      <w:kern w:val="2"/>
      <w:sz w:val="21"/>
      <w:szCs w:val="24"/>
    </w:rPr>
  </w:style>
  <w:style w:type="character" w:customStyle="1" w:styleId="191">
    <w:name w:val="Char Char22"/>
    <w:autoRedefine/>
    <w:qFormat/>
    <w:uiPriority w:val="6"/>
    <w:rPr>
      <w:rFonts w:ascii="宋体" w:hAnsi="宋体"/>
      <w:kern w:val="1"/>
      <w:sz w:val="24"/>
      <w:szCs w:val="24"/>
    </w:rPr>
  </w:style>
  <w:style w:type="character" w:customStyle="1" w:styleId="192">
    <w:name w:val="pt141"/>
    <w:autoRedefine/>
    <w:qFormat/>
    <w:uiPriority w:val="0"/>
    <w:rPr>
      <w:color w:val="330066"/>
      <w:sz w:val="22"/>
      <w:szCs w:val="22"/>
    </w:rPr>
  </w:style>
  <w:style w:type="character" w:customStyle="1" w:styleId="193">
    <w:name w:val="正文文本缩进 2 Char1"/>
    <w:autoRedefine/>
    <w:semiHidden/>
    <w:qFormat/>
    <w:uiPriority w:val="99"/>
    <w:rPr>
      <w:rFonts w:ascii="Times New Roman" w:hAnsi="Times New Roman" w:eastAsia="宋体" w:cs="Times New Roman"/>
      <w:szCs w:val="24"/>
    </w:rPr>
  </w:style>
  <w:style w:type="character" w:customStyle="1" w:styleId="194">
    <w:name w:val="批注框文本 Char"/>
    <w:link w:val="41"/>
    <w:autoRedefine/>
    <w:qFormat/>
    <w:uiPriority w:val="0"/>
    <w:rPr>
      <w:kern w:val="2"/>
      <w:sz w:val="18"/>
      <w:szCs w:val="18"/>
    </w:rPr>
  </w:style>
  <w:style w:type="character" w:customStyle="1" w:styleId="195">
    <w:name w:val="Char Char611"/>
    <w:autoRedefine/>
    <w:qFormat/>
    <w:uiPriority w:val="0"/>
    <w:rPr>
      <w:rFonts w:eastAsia="宋体"/>
      <w:kern w:val="2"/>
      <w:sz w:val="21"/>
      <w:szCs w:val="24"/>
      <w:lang w:val="en-US" w:eastAsia="zh-CN" w:bidi="ar-SA"/>
    </w:rPr>
  </w:style>
  <w:style w:type="character" w:customStyle="1" w:styleId="196">
    <w:name w:val="highlight1"/>
    <w:autoRedefine/>
    <w:qFormat/>
    <w:uiPriority w:val="0"/>
    <w:rPr>
      <w:rFonts w:ascii="仿宋_GB2312" w:eastAsia="微软雅黑"/>
      <w:b/>
      <w:kern w:val="2"/>
      <w:sz w:val="23"/>
      <w:szCs w:val="23"/>
      <w:lang w:val="en-US" w:eastAsia="zh-CN" w:bidi="ar-SA"/>
    </w:rPr>
  </w:style>
  <w:style w:type="character" w:customStyle="1" w:styleId="197">
    <w:name w:val="my正文 Char"/>
    <w:link w:val="198"/>
    <w:autoRedefine/>
    <w:qFormat/>
    <w:locked/>
    <w:uiPriority w:val="0"/>
    <w:rPr>
      <w:rFonts w:ascii="Tahoma" w:hAnsi="Tahoma"/>
      <w:sz w:val="24"/>
      <w:szCs w:val="24"/>
    </w:rPr>
  </w:style>
  <w:style w:type="paragraph" w:customStyle="1" w:styleId="198">
    <w:name w:val="my正文"/>
    <w:basedOn w:val="1"/>
    <w:link w:val="197"/>
    <w:autoRedefine/>
    <w:qFormat/>
    <w:uiPriority w:val="0"/>
    <w:pPr>
      <w:adjustRightInd/>
      <w:spacing w:line="360" w:lineRule="auto"/>
      <w:ind w:firstLine="480" w:firstLineChars="200"/>
    </w:pPr>
    <w:rPr>
      <w:rFonts w:ascii="Tahoma" w:hAnsi="Tahoma"/>
      <w:kern w:val="0"/>
      <w:sz w:val="24"/>
    </w:rPr>
  </w:style>
  <w:style w:type="character" w:customStyle="1" w:styleId="199">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autoRedefine/>
    <w:qFormat/>
    <w:uiPriority w:val="0"/>
    <w:rPr>
      <w:color w:val="0000FF"/>
      <w:sz w:val="21"/>
    </w:rPr>
  </w:style>
  <w:style w:type="character" w:customStyle="1" w:styleId="201">
    <w:name w:val="页眉 Char"/>
    <w:autoRedefine/>
    <w:qFormat/>
    <w:uiPriority w:val="0"/>
    <w:rPr>
      <w:rFonts w:eastAsia="仿宋_GB2312"/>
      <w:kern w:val="2"/>
      <w:sz w:val="18"/>
      <w:lang w:val="en-US" w:eastAsia="zh-CN"/>
    </w:rPr>
  </w:style>
  <w:style w:type="character" w:customStyle="1" w:styleId="202">
    <w:name w:val="FA正文 Char Char"/>
    <w:autoRedefine/>
    <w:qFormat/>
    <w:uiPriority w:val="0"/>
    <w:rPr>
      <w:rFonts w:hAnsi="宋体"/>
      <w:kern w:val="2"/>
      <w:sz w:val="24"/>
      <w:lang w:bidi="ar-SA"/>
    </w:rPr>
  </w:style>
  <w:style w:type="character" w:customStyle="1" w:styleId="20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autoRedefine/>
    <w:qFormat/>
    <w:uiPriority w:val="0"/>
    <w:rPr>
      <w:rFonts w:ascii="宋体" w:hAnsi="宋体"/>
      <w:b/>
      <w:bCs/>
      <w:snapToGrid/>
      <w:sz w:val="28"/>
    </w:rPr>
  </w:style>
  <w:style w:type="paragraph" w:customStyle="1" w:styleId="205">
    <w:name w:val="3级"/>
    <w:basedOn w:val="206"/>
    <w:link w:val="204"/>
    <w:autoRedefine/>
    <w:qFormat/>
    <w:uiPriority w:val="0"/>
    <w:pPr>
      <w:ind w:left="0" w:right="466" w:firstLine="288"/>
    </w:pPr>
    <w:rPr>
      <w:rFonts w:hAnsi="宋体"/>
      <w:snapToGrid/>
    </w:rPr>
  </w:style>
  <w:style w:type="paragraph" w:customStyle="1" w:styleId="206">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autoRedefine/>
    <w:qFormat/>
    <w:uiPriority w:val="0"/>
    <w:rPr>
      <w:rFonts w:ascii="仿宋_GB2312" w:eastAsia="微软雅黑"/>
      <w:b/>
      <w:kern w:val="2"/>
      <w:sz w:val="32"/>
      <w:szCs w:val="32"/>
      <w:lang w:val="en-US" w:eastAsia="zh-CN" w:bidi="ar-SA"/>
    </w:rPr>
  </w:style>
  <w:style w:type="character" w:customStyle="1" w:styleId="208">
    <w:name w:val="文档结构图 Char1"/>
    <w:link w:val="19"/>
    <w:autoRedefine/>
    <w:qFormat/>
    <w:uiPriority w:val="0"/>
    <w:rPr>
      <w:kern w:val="2"/>
      <w:sz w:val="21"/>
      <w:szCs w:val="24"/>
      <w:shd w:val="clear" w:color="auto" w:fill="000080"/>
    </w:rPr>
  </w:style>
  <w:style w:type="character" w:customStyle="1" w:styleId="209">
    <w:name w:val="H6 Char"/>
    <w:autoRedefine/>
    <w:qFormat/>
    <w:uiPriority w:val="0"/>
    <w:rPr>
      <w:rFonts w:ascii="Arial" w:hAnsi="Arial" w:eastAsia="黑体"/>
      <w:b/>
      <w:bCs/>
      <w:kern w:val="2"/>
      <w:sz w:val="24"/>
      <w:szCs w:val="24"/>
    </w:rPr>
  </w:style>
  <w:style w:type="character" w:customStyle="1" w:styleId="210">
    <w:name w:val="Char Char91"/>
    <w:autoRedefine/>
    <w:qFormat/>
    <w:uiPriority w:val="0"/>
    <w:rPr>
      <w:rFonts w:eastAsia="宋体"/>
      <w:kern w:val="2"/>
      <w:sz w:val="18"/>
      <w:szCs w:val="18"/>
      <w:lang w:val="en-US" w:eastAsia="zh-CN" w:bidi="ar-SA"/>
    </w:rPr>
  </w:style>
  <w:style w:type="character" w:customStyle="1" w:styleId="211">
    <w:name w:val="副标题 Char1"/>
    <w:autoRedefine/>
    <w:qFormat/>
    <w:uiPriority w:val="0"/>
    <w:rPr>
      <w:rFonts w:ascii="Cambria" w:hAnsi="Cambria" w:eastAsia="宋体" w:cs="Times New Roman"/>
      <w:b/>
      <w:bCs/>
      <w:snapToGrid w:val="0"/>
      <w:kern w:val="28"/>
      <w:sz w:val="32"/>
      <w:szCs w:val="32"/>
    </w:rPr>
  </w:style>
  <w:style w:type="character" w:customStyle="1" w:styleId="212">
    <w:name w:val="font61"/>
    <w:basedOn w:val="71"/>
    <w:autoRedefine/>
    <w:qFormat/>
    <w:uiPriority w:val="0"/>
    <w:rPr>
      <w:rFonts w:hint="eastAsia" w:ascii="仿宋" w:hAnsi="仿宋" w:eastAsia="仿宋" w:cs="仿宋"/>
      <w:color w:val="000000"/>
      <w:sz w:val="20"/>
      <w:szCs w:val="20"/>
      <w:u w:val="none"/>
    </w:rPr>
  </w:style>
  <w:style w:type="character" w:customStyle="1" w:styleId="21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4">
    <w:name w:val="Char Char211"/>
    <w:autoRedefine/>
    <w:qFormat/>
    <w:uiPriority w:val="0"/>
    <w:rPr>
      <w:rFonts w:eastAsia="宋体"/>
      <w:b/>
      <w:bCs/>
      <w:kern w:val="2"/>
      <w:sz w:val="21"/>
      <w:szCs w:val="24"/>
      <w:lang w:val="en-US" w:eastAsia="zh-CN" w:bidi="ar-SA"/>
    </w:rPr>
  </w:style>
  <w:style w:type="character" w:customStyle="1" w:styleId="215">
    <w:name w:val="标题 2 Char"/>
    <w:autoRedefine/>
    <w:qFormat/>
    <w:uiPriority w:val="0"/>
    <w:rPr>
      <w:rFonts w:ascii="Arial" w:hAnsi="Arial" w:eastAsia="黑体"/>
      <w:b/>
      <w:kern w:val="2"/>
      <w:sz w:val="32"/>
      <w:lang w:val="en-US" w:eastAsia="zh-CN"/>
    </w:rPr>
  </w:style>
  <w:style w:type="character" w:customStyle="1" w:styleId="216">
    <w:name w:val="maywed421"/>
    <w:autoRedefine/>
    <w:qFormat/>
    <w:uiPriority w:val="0"/>
    <w:rPr>
      <w:color w:val="366FB6"/>
      <w:u w:val="none"/>
    </w:rPr>
  </w:style>
  <w:style w:type="character" w:customStyle="1" w:styleId="217">
    <w:name w:val="正文文本缩进 Char"/>
    <w:autoRedefine/>
    <w:qFormat/>
    <w:uiPriority w:val="0"/>
    <w:rPr>
      <w:rFonts w:ascii="宋体" w:hAnsi="宋体"/>
      <w:kern w:val="2"/>
      <w:sz w:val="24"/>
      <w:szCs w:val="24"/>
    </w:rPr>
  </w:style>
  <w:style w:type="character" w:customStyle="1" w:styleId="218">
    <w:name w:val="Char Char102"/>
    <w:autoRedefine/>
    <w:semiHidden/>
    <w:qFormat/>
    <w:uiPriority w:val="0"/>
    <w:rPr>
      <w:rFonts w:ascii="宋体" w:hAnsi="宋体"/>
      <w:kern w:val="2"/>
      <w:sz w:val="21"/>
      <w:szCs w:val="24"/>
      <w:lang w:val="en-US" w:eastAsia="zh-CN"/>
    </w:rPr>
  </w:style>
  <w:style w:type="character" w:customStyle="1" w:styleId="219">
    <w:name w:val="页眉 Char1"/>
    <w:autoRedefine/>
    <w:qFormat/>
    <w:uiPriority w:val="0"/>
    <w:rPr>
      <w:rFonts w:eastAsia="宋体"/>
      <w:kern w:val="2"/>
      <w:sz w:val="18"/>
      <w:szCs w:val="18"/>
      <w:lang w:val="en-US" w:eastAsia="zh-CN" w:bidi="ar-SA"/>
    </w:rPr>
  </w:style>
  <w:style w:type="character" w:customStyle="1" w:styleId="220">
    <w:name w:val="md"/>
    <w:basedOn w:val="71"/>
    <w:autoRedefine/>
    <w:qFormat/>
    <w:uiPriority w:val="0"/>
    <w:rPr>
      <w:rFonts w:ascii="Arial" w:hAnsi="Arial" w:eastAsia="黑体" w:cs="Arial"/>
      <w:snapToGrid w:val="0"/>
      <w:kern w:val="0"/>
      <w:szCs w:val="21"/>
    </w:rPr>
  </w:style>
  <w:style w:type="character" w:customStyle="1" w:styleId="221">
    <w:name w:val="big1"/>
    <w:autoRedefine/>
    <w:qFormat/>
    <w:uiPriority w:val="0"/>
    <w:rPr>
      <w:rFonts w:hint="eastAsia" w:ascii="宋体" w:hAnsi="宋体" w:eastAsia="宋体"/>
      <w:color w:val="333333"/>
      <w:sz w:val="22"/>
      <w:szCs w:val="22"/>
    </w:rPr>
  </w:style>
  <w:style w:type="character" w:customStyle="1" w:styleId="222">
    <w:name w:val="Char Char311"/>
    <w:autoRedefine/>
    <w:qFormat/>
    <w:uiPriority w:val="0"/>
    <w:rPr>
      <w:rFonts w:eastAsia="宋体"/>
      <w:kern w:val="2"/>
      <w:sz w:val="21"/>
      <w:szCs w:val="24"/>
      <w:lang w:val="en-US" w:eastAsia="zh-CN" w:bidi="ar-SA"/>
    </w:rPr>
  </w:style>
  <w:style w:type="character" w:customStyle="1" w:styleId="223">
    <w:name w:val="Char Char81"/>
    <w:autoRedefine/>
    <w:qFormat/>
    <w:uiPriority w:val="6"/>
    <w:rPr>
      <w:rFonts w:eastAsia="宋体"/>
      <w:b/>
      <w:sz w:val="24"/>
      <w:lang w:val="en-GB" w:eastAsia="zh-CN"/>
    </w:rPr>
  </w:style>
  <w:style w:type="character" w:customStyle="1" w:styleId="224">
    <w:name w:val="样式3 Char"/>
    <w:basedOn w:val="175"/>
    <w:autoRedefine/>
    <w:qFormat/>
    <w:uiPriority w:val="0"/>
    <w:rPr>
      <w:rFonts w:ascii="仿宋_GB2312" w:hAnsi="仿宋" w:eastAsia="仿宋_GB2312" w:cs="仿宋_GB2312"/>
      <w:sz w:val="32"/>
      <w:szCs w:val="30"/>
      <w:lang w:val="zh-CN"/>
    </w:rPr>
  </w:style>
  <w:style w:type="character" w:customStyle="1" w:styleId="225">
    <w:name w:val="HTML 地址 Char"/>
    <w:link w:val="33"/>
    <w:autoRedefine/>
    <w:qFormat/>
    <w:uiPriority w:val="0"/>
    <w:rPr>
      <w:rFonts w:ascii="宋体" w:hAnsi="宋体"/>
      <w:i/>
      <w:iCs/>
      <w:sz w:val="24"/>
      <w:szCs w:val="24"/>
    </w:rPr>
  </w:style>
  <w:style w:type="character" w:customStyle="1" w:styleId="226">
    <w:name w:val="正文首行缩进 2 Char1"/>
    <w:autoRedefine/>
    <w:qFormat/>
    <w:uiPriority w:val="0"/>
    <w:rPr>
      <w:rFonts w:ascii="Times New Roman" w:hAnsi="Times New Roman" w:eastAsia="宋体" w:cs="Times New Roman"/>
      <w:kern w:val="2"/>
      <w:sz w:val="24"/>
      <w:szCs w:val="24"/>
    </w:rPr>
  </w:style>
  <w:style w:type="character" w:customStyle="1" w:styleId="227">
    <w:name w:val="副标题 Char2"/>
    <w:autoRedefine/>
    <w:qFormat/>
    <w:uiPriority w:val="0"/>
    <w:rPr>
      <w:rFonts w:ascii="Cambria" w:hAnsi="Cambria" w:eastAsia="宋体" w:cs="Times New Roman"/>
      <w:b/>
      <w:bCs/>
      <w:snapToGrid w:val="0"/>
      <w:kern w:val="28"/>
      <w:sz w:val="32"/>
      <w:szCs w:val="32"/>
    </w:rPr>
  </w:style>
  <w:style w:type="character" w:customStyle="1" w:styleId="228">
    <w:name w:val="标题4-dyf Char"/>
    <w:link w:val="229"/>
    <w:autoRedefine/>
    <w:qFormat/>
    <w:uiPriority w:val="0"/>
    <w:rPr>
      <w:rFonts w:ascii="Cambria" w:hAnsi="Cambria"/>
      <w:b/>
      <w:bCs/>
      <w:color w:val="000000"/>
      <w:kern w:val="2"/>
      <w:sz w:val="21"/>
      <w:szCs w:val="21"/>
    </w:rPr>
  </w:style>
  <w:style w:type="paragraph" w:customStyle="1" w:styleId="229">
    <w:name w:val="标题4-dyf"/>
    <w:basedOn w:val="5"/>
    <w:link w:val="228"/>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0">
    <w:name w:val="dectext1"/>
    <w:autoRedefine/>
    <w:qFormat/>
    <w:uiPriority w:val="0"/>
    <w:rPr>
      <w:rFonts w:ascii="宋体" w:hAnsi="宋体" w:eastAsia="宋体"/>
      <w:color w:val="333333"/>
      <w:sz w:val="21"/>
      <w:szCs w:val="21"/>
      <w:u w:val="none"/>
    </w:rPr>
  </w:style>
  <w:style w:type="character" w:customStyle="1" w:styleId="231">
    <w:name w:val="冯 Char"/>
    <w:link w:val="232"/>
    <w:autoRedefine/>
    <w:qFormat/>
    <w:uiPriority w:val="0"/>
    <w:rPr>
      <w:rFonts w:ascii="宋体" w:hAnsi="宋体"/>
      <w:color w:val="000000"/>
      <w:sz w:val="24"/>
      <w:szCs w:val="24"/>
    </w:rPr>
  </w:style>
  <w:style w:type="paragraph" w:customStyle="1" w:styleId="232">
    <w:name w:val="冯"/>
    <w:basedOn w:val="1"/>
    <w:link w:val="231"/>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3">
    <w:name w:val="Header Char"/>
    <w:autoRedefine/>
    <w:qFormat/>
    <w:locked/>
    <w:uiPriority w:val="0"/>
    <w:rPr>
      <w:rFonts w:eastAsia="宋体"/>
      <w:kern w:val="2"/>
      <w:sz w:val="18"/>
      <w:szCs w:val="18"/>
      <w:lang w:val="en-US" w:eastAsia="zh-CN" w:bidi="ar-SA"/>
    </w:rPr>
  </w:style>
  <w:style w:type="character" w:customStyle="1" w:styleId="234">
    <w:name w:val="Char Char12"/>
    <w:autoRedefine/>
    <w:qFormat/>
    <w:uiPriority w:val="0"/>
    <w:rPr>
      <w:rFonts w:ascii="仿宋_GB2312" w:eastAsia="仿宋_GB2312"/>
      <w:b/>
      <w:bCs/>
      <w:kern w:val="2"/>
      <w:sz w:val="24"/>
      <w:szCs w:val="24"/>
      <w:lang w:val="zh-CN" w:eastAsia="zh-CN" w:bidi="ar-SA"/>
    </w:rPr>
  </w:style>
  <w:style w:type="character" w:customStyle="1" w:styleId="235">
    <w:name w:val="题注 Char"/>
    <w:link w:val="17"/>
    <w:autoRedefine/>
    <w:qFormat/>
    <w:uiPriority w:val="0"/>
    <w:rPr>
      <w:b/>
      <w:kern w:val="2"/>
      <w:sz w:val="28"/>
    </w:rPr>
  </w:style>
  <w:style w:type="character" w:customStyle="1" w:styleId="236">
    <w:name w:val="普通文字 Char3"/>
    <w:autoRedefine/>
    <w:qFormat/>
    <w:uiPriority w:val="0"/>
    <w:rPr>
      <w:rFonts w:ascii="宋体" w:hAnsi="Courier New" w:eastAsia="宋体"/>
      <w:kern w:val="2"/>
      <w:sz w:val="21"/>
      <w:lang w:val="en-US" w:eastAsia="zh-CN" w:bidi="ar-SA"/>
    </w:rPr>
  </w:style>
  <w:style w:type="character" w:customStyle="1" w:styleId="237">
    <w:name w:val="公文正文 Char"/>
    <w:autoRedefine/>
    <w:qFormat/>
    <w:uiPriority w:val="0"/>
    <w:rPr>
      <w:rFonts w:ascii="仿宋_GB2312" w:eastAsia="仿宋_GB2312"/>
      <w:kern w:val="2"/>
      <w:sz w:val="24"/>
      <w:szCs w:val="24"/>
      <w:lang w:val="en-US" w:eastAsia="zh-CN" w:bidi="ar-SA"/>
    </w:rPr>
  </w:style>
  <w:style w:type="character" w:customStyle="1" w:styleId="238">
    <w:name w:val="正文首行缩进 Char Char Char Char Char"/>
    <w:autoRedefine/>
    <w:qFormat/>
    <w:uiPriority w:val="0"/>
    <w:rPr>
      <w:rFonts w:ascii="宋体"/>
      <w:kern w:val="2"/>
      <w:sz w:val="24"/>
      <w:lang w:val="zh-CN"/>
    </w:rPr>
  </w:style>
  <w:style w:type="character" w:customStyle="1" w:styleId="239">
    <w:name w:val="PI Char"/>
    <w:autoRedefine/>
    <w:qFormat/>
    <w:uiPriority w:val="0"/>
    <w:rPr>
      <w:rFonts w:ascii="宋体" w:hAnsi="宋体" w:eastAsia="宋体"/>
      <w:kern w:val="2"/>
      <w:sz w:val="24"/>
      <w:szCs w:val="24"/>
      <w:lang w:val="en-US" w:eastAsia="zh-CN" w:bidi="ar-SA"/>
    </w:rPr>
  </w:style>
  <w:style w:type="character" w:customStyle="1" w:styleId="240">
    <w:name w:val="Default Char"/>
    <w:link w:val="241"/>
    <w:autoRedefine/>
    <w:qFormat/>
    <w:uiPriority w:val="0"/>
    <w:rPr>
      <w:rFonts w:ascii="仿宋_GB2312" w:eastAsia="仿宋_GB2312" w:cs="仿宋_GB2312"/>
      <w:color w:val="000000"/>
      <w:sz w:val="24"/>
      <w:szCs w:val="24"/>
      <w:lang w:val="en-US" w:eastAsia="zh-CN" w:bidi="ar-SA"/>
    </w:rPr>
  </w:style>
  <w:style w:type="paragraph" w:customStyle="1" w:styleId="241">
    <w:name w:val="Default"/>
    <w:next w:val="242"/>
    <w:link w:val="240"/>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42">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43">
    <w:name w:val="style91"/>
    <w:autoRedefine/>
    <w:qFormat/>
    <w:uiPriority w:val="0"/>
    <w:rPr>
      <w:color w:val="333333"/>
    </w:rPr>
  </w:style>
  <w:style w:type="character" w:customStyle="1" w:styleId="244">
    <w:name w:val="列出段落 Char2"/>
    <w:autoRedefine/>
    <w:qFormat/>
    <w:uiPriority w:val="34"/>
    <w:rPr>
      <w:rFonts w:ascii="Calibri" w:hAnsi="Calibri"/>
      <w:kern w:val="2"/>
      <w:sz w:val="28"/>
    </w:rPr>
  </w:style>
  <w:style w:type="character" w:customStyle="1" w:styleId="245">
    <w:name w:val="mdeck"/>
    <w:autoRedefine/>
    <w:qFormat/>
    <w:uiPriority w:val="0"/>
    <w:rPr>
      <w:rFonts w:ascii="仿宋_GB2312" w:eastAsia="微软雅黑"/>
      <w:b/>
      <w:kern w:val="2"/>
      <w:sz w:val="32"/>
      <w:szCs w:val="32"/>
      <w:lang w:val="en-US" w:eastAsia="zh-CN" w:bidi="ar-SA"/>
    </w:rPr>
  </w:style>
  <w:style w:type="character" w:customStyle="1" w:styleId="246">
    <w:name w:val="unnamed11"/>
    <w:autoRedefine/>
    <w:qFormat/>
    <w:uiPriority w:val="0"/>
    <w:rPr>
      <w:sz w:val="20"/>
      <w:szCs w:val="20"/>
    </w:rPr>
  </w:style>
  <w:style w:type="character" w:customStyle="1" w:styleId="247">
    <w:name w:val="正文文本 Char2"/>
    <w:autoRedefine/>
    <w:semiHidden/>
    <w:qFormat/>
    <w:uiPriority w:val="99"/>
    <w:rPr>
      <w:rFonts w:ascii="Times New Roman" w:hAnsi="Times New Roman" w:eastAsia="宋体" w:cs="Times New Roman"/>
      <w:snapToGrid w:val="0"/>
      <w:kern w:val="0"/>
      <w:szCs w:val="24"/>
    </w:rPr>
  </w:style>
  <w:style w:type="character" w:customStyle="1" w:styleId="248">
    <w:name w:val="标书正文格式 Char"/>
    <w:autoRedefine/>
    <w:qFormat/>
    <w:uiPriority w:val="0"/>
    <w:rPr>
      <w:rFonts w:eastAsia="楷体_GB2312"/>
      <w:kern w:val="2"/>
      <w:sz w:val="24"/>
      <w:szCs w:val="24"/>
      <w:lang w:bidi="ar-SA"/>
    </w:rPr>
  </w:style>
  <w:style w:type="character" w:customStyle="1" w:styleId="249">
    <w:name w:val="Char Char11"/>
    <w:autoRedefine/>
    <w:qFormat/>
    <w:locked/>
    <w:uiPriority w:val="0"/>
    <w:rPr>
      <w:rFonts w:ascii="宋体" w:hAnsi="宋体" w:eastAsia="宋体"/>
      <w:b/>
      <w:kern w:val="2"/>
      <w:sz w:val="24"/>
      <w:szCs w:val="24"/>
      <w:lang w:val="en-US" w:eastAsia="zh-CN" w:bidi="ar-SA"/>
    </w:rPr>
  </w:style>
  <w:style w:type="character" w:customStyle="1" w:styleId="250">
    <w:name w:val="ca-131"/>
    <w:autoRedefine/>
    <w:qFormat/>
    <w:uiPriority w:val="0"/>
    <w:rPr>
      <w:rFonts w:hint="eastAsia" w:ascii="仿宋_GB2312" w:eastAsia="仿宋_GB2312"/>
      <w:b/>
      <w:bCs/>
      <w:color w:val="000000"/>
      <w:spacing w:val="-20"/>
      <w:sz w:val="24"/>
      <w:szCs w:val="24"/>
    </w:rPr>
  </w:style>
  <w:style w:type="character" w:customStyle="1" w:styleId="251">
    <w:name w:val="tw4winMark"/>
    <w:autoRedefine/>
    <w:qFormat/>
    <w:uiPriority w:val="0"/>
    <w:rPr>
      <w:rFonts w:ascii="Courier New" w:hAnsi="Courier New" w:cs="Courier New"/>
      <w:vanish/>
      <w:color w:val="800080"/>
      <w:sz w:val="24"/>
      <w:szCs w:val="24"/>
      <w:vertAlign w:val="subscript"/>
    </w:rPr>
  </w:style>
  <w:style w:type="character" w:customStyle="1" w:styleId="252">
    <w:name w:val="正文样式 Char"/>
    <w:link w:val="253"/>
    <w:autoRedefine/>
    <w:qFormat/>
    <w:uiPriority w:val="0"/>
    <w:rPr>
      <w:rFonts w:ascii="Calibri" w:hAnsi="Calibri"/>
      <w:sz w:val="24"/>
      <w:szCs w:val="24"/>
    </w:rPr>
  </w:style>
  <w:style w:type="paragraph" w:customStyle="1" w:styleId="253">
    <w:name w:val="正文样式"/>
    <w:basedOn w:val="1"/>
    <w:link w:val="252"/>
    <w:autoRedefine/>
    <w:qFormat/>
    <w:uiPriority w:val="0"/>
    <w:pPr>
      <w:adjustRightInd/>
      <w:spacing w:line="360" w:lineRule="auto"/>
      <w:ind w:firstLine="480" w:firstLineChars="200"/>
    </w:pPr>
    <w:rPr>
      <w:kern w:val="0"/>
      <w:sz w:val="24"/>
    </w:rPr>
  </w:style>
  <w:style w:type="character" w:customStyle="1" w:styleId="254">
    <w:name w:val="表正文 Char3"/>
    <w:autoRedefine/>
    <w:qFormat/>
    <w:uiPriority w:val="0"/>
    <w:rPr>
      <w:rFonts w:eastAsia="宋体"/>
    </w:rPr>
  </w:style>
  <w:style w:type="character" w:customStyle="1" w:styleId="255">
    <w:name w:val="H5 Char"/>
    <w:autoRedefine/>
    <w:qFormat/>
    <w:uiPriority w:val="0"/>
    <w:rPr>
      <w:b/>
      <w:bCs/>
      <w:kern w:val="2"/>
      <w:sz w:val="28"/>
      <w:szCs w:val="28"/>
    </w:rPr>
  </w:style>
  <w:style w:type="character" w:customStyle="1" w:styleId="256">
    <w:name w:val="Char Char3"/>
    <w:autoRedefine/>
    <w:qFormat/>
    <w:uiPriority w:val="0"/>
    <w:rPr>
      <w:rFonts w:eastAsia="宋体"/>
      <w:kern w:val="2"/>
      <w:sz w:val="21"/>
      <w:szCs w:val="24"/>
      <w:lang w:val="en-US" w:eastAsia="zh-CN" w:bidi="ar-SA"/>
    </w:rPr>
  </w:style>
  <w:style w:type="character" w:customStyle="1" w:styleId="257">
    <w:name w:val="正文 编号 Char"/>
    <w:autoRedefine/>
    <w:qFormat/>
    <w:uiPriority w:val="0"/>
    <w:rPr>
      <w:rFonts w:ascii="仿宋_GB2312" w:hAnsi="仿宋_GB2312" w:eastAsia="仿宋_GB2312"/>
      <w:kern w:val="2"/>
      <w:sz w:val="24"/>
      <w:lang w:bidi="ar-SA"/>
    </w:rPr>
  </w:style>
  <w:style w:type="character" w:customStyle="1" w:styleId="258">
    <w:name w:val="question-title2"/>
    <w:autoRedefine/>
    <w:qFormat/>
    <w:uiPriority w:val="6"/>
    <w:rPr>
      <w:rFonts w:ascii="Arial" w:hAnsi="Arial" w:eastAsia="黑体" w:cs="Arial"/>
      <w:snapToGrid w:val="0"/>
      <w:kern w:val="0"/>
      <w:szCs w:val="21"/>
    </w:rPr>
  </w:style>
  <w:style w:type="character" w:customStyle="1" w:styleId="259">
    <w:name w:val="gf正文1 Char Char"/>
    <w:link w:val="260"/>
    <w:autoRedefine/>
    <w:qFormat/>
    <w:uiPriority w:val="0"/>
    <w:rPr>
      <w:rFonts w:ascii="宋体" w:hAnsi="宋体" w:cs="宋体"/>
      <w:kern w:val="2"/>
      <w:sz w:val="24"/>
      <w:szCs w:val="24"/>
    </w:rPr>
  </w:style>
  <w:style w:type="paragraph" w:customStyle="1" w:styleId="260">
    <w:name w:val="gf正文1"/>
    <w:basedOn w:val="1"/>
    <w:link w:val="259"/>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1">
    <w:name w:val="Char Char15"/>
    <w:autoRedefine/>
    <w:qFormat/>
    <w:uiPriority w:val="6"/>
    <w:rPr>
      <w:rFonts w:ascii="宋体" w:hAnsi="宋体"/>
      <w:kern w:val="1"/>
      <w:sz w:val="21"/>
    </w:rPr>
  </w:style>
  <w:style w:type="character" w:customStyle="1" w:styleId="262">
    <w:name w:val="正文缩进 Char3"/>
    <w:autoRedefine/>
    <w:qFormat/>
    <w:uiPriority w:val="0"/>
    <w:rPr>
      <w:rFonts w:ascii="宋体" w:eastAsia="宋体"/>
      <w:snapToGrid w:val="0"/>
      <w:color w:val="000000"/>
      <w:kern w:val="28"/>
      <w:sz w:val="28"/>
      <w:lang w:val="en-US" w:eastAsia="zh-CN" w:bidi="ar-SA"/>
    </w:rPr>
  </w:style>
  <w:style w:type="character" w:customStyle="1" w:styleId="263">
    <w:name w:val="列出段落 Char1"/>
    <w:link w:val="264"/>
    <w:autoRedefine/>
    <w:qFormat/>
    <w:uiPriority w:val="0"/>
    <w:rPr>
      <w:rFonts w:ascii="Calibri" w:hAnsi="Calibri"/>
      <w:sz w:val="24"/>
      <w:lang w:eastAsia="en-US"/>
    </w:rPr>
  </w:style>
  <w:style w:type="paragraph" w:customStyle="1" w:styleId="264">
    <w:name w:val="列表1"/>
    <w:basedOn w:val="1"/>
    <w:next w:val="265"/>
    <w:link w:val="263"/>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65">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6">
    <w:name w:val="Char Char8"/>
    <w:autoRedefine/>
    <w:qFormat/>
    <w:uiPriority w:val="0"/>
    <w:rPr>
      <w:rFonts w:eastAsia="宋体"/>
      <w:b/>
      <w:sz w:val="24"/>
      <w:lang w:val="en-GB" w:eastAsia="zh-CN"/>
    </w:rPr>
  </w:style>
  <w:style w:type="character" w:customStyle="1" w:styleId="267">
    <w:name w:val="Normal Indent Char Char"/>
    <w:autoRedefine/>
    <w:qFormat/>
    <w:uiPriority w:val="0"/>
    <w:rPr>
      <w:rFonts w:eastAsia="宋体"/>
      <w:kern w:val="2"/>
      <w:sz w:val="21"/>
      <w:lang w:val="en-US" w:eastAsia="zh-CN" w:bidi="ar-SA"/>
    </w:rPr>
  </w:style>
  <w:style w:type="character" w:customStyle="1" w:styleId="268">
    <w:name w:val="列表段落 字符"/>
    <w:autoRedefine/>
    <w:qFormat/>
    <w:uiPriority w:val="99"/>
  </w:style>
  <w:style w:type="character" w:customStyle="1" w:styleId="269">
    <w:name w:val="Ò³Ã¼ Char Char1"/>
    <w:autoRedefine/>
    <w:qFormat/>
    <w:uiPriority w:val="0"/>
    <w:rPr>
      <w:rFonts w:eastAsia="宋体"/>
      <w:kern w:val="2"/>
      <w:sz w:val="18"/>
      <w:szCs w:val="18"/>
      <w:lang w:val="en-US" w:eastAsia="zh-CN" w:bidi="ar-SA"/>
    </w:rPr>
  </w:style>
  <w:style w:type="character" w:customStyle="1" w:styleId="270">
    <w:name w:val="方案正文 Char"/>
    <w:autoRedefine/>
    <w:qFormat/>
    <w:uiPriority w:val="0"/>
    <w:rPr>
      <w:rFonts w:ascii="仿宋_GB2312" w:eastAsia="仿宋_GB2312"/>
      <w:b/>
      <w:color w:val="000000"/>
      <w:kern w:val="2"/>
      <w:sz w:val="24"/>
      <w:lang w:val="en-US" w:eastAsia="zh-CN" w:bidi="ar-SA"/>
    </w:rPr>
  </w:style>
  <w:style w:type="character" w:customStyle="1" w:styleId="271">
    <w:name w:val="Char Char30"/>
    <w:autoRedefine/>
    <w:qFormat/>
    <w:uiPriority w:val="6"/>
    <w:rPr>
      <w:rFonts w:ascii="Arial" w:hAnsi="Arial" w:eastAsia="黑体"/>
      <w:kern w:val="1"/>
      <w:sz w:val="21"/>
      <w:szCs w:val="21"/>
    </w:rPr>
  </w:style>
  <w:style w:type="character" w:customStyle="1" w:styleId="272">
    <w:name w:val="正文文本缩进 Char3"/>
    <w:link w:val="27"/>
    <w:autoRedefine/>
    <w:qFormat/>
    <w:uiPriority w:val="0"/>
    <w:rPr>
      <w:rFonts w:ascii="宋体" w:hAnsi="宋体"/>
      <w:kern w:val="2"/>
      <w:sz w:val="24"/>
      <w:szCs w:val="24"/>
    </w:rPr>
  </w:style>
  <w:style w:type="character" w:customStyle="1" w:styleId="273">
    <w:name w:val="font01"/>
    <w:basedOn w:val="71"/>
    <w:autoRedefine/>
    <w:qFormat/>
    <w:uiPriority w:val="0"/>
    <w:rPr>
      <w:rFonts w:hint="eastAsia" w:ascii="微软雅黑" w:hAnsi="微软雅黑" w:eastAsia="微软雅黑" w:cs="微软雅黑"/>
      <w:color w:val="000000"/>
      <w:sz w:val="20"/>
      <w:szCs w:val="20"/>
      <w:u w:val="none"/>
    </w:rPr>
  </w:style>
  <w:style w:type="character" w:customStyle="1" w:styleId="274">
    <w:name w:val="Char Char20"/>
    <w:autoRedefine/>
    <w:qFormat/>
    <w:uiPriority w:val="6"/>
    <w:rPr>
      <w:kern w:val="1"/>
      <w:sz w:val="24"/>
    </w:rPr>
  </w:style>
  <w:style w:type="character" w:customStyle="1" w:styleId="275">
    <w:name w:val="tw4winExternal"/>
    <w:autoRedefine/>
    <w:qFormat/>
    <w:uiPriority w:val="0"/>
    <w:rPr>
      <w:rFonts w:ascii="Courier New" w:hAnsi="Courier New" w:cs="Courier New"/>
      <w:color w:val="808080"/>
      <w:lang w:val="en-US" w:eastAsia="zh-CN"/>
    </w:rPr>
  </w:style>
  <w:style w:type="character" w:customStyle="1" w:styleId="276">
    <w:name w:val="标题 4 Char1"/>
    <w:autoRedefine/>
    <w:qFormat/>
    <w:uiPriority w:val="9"/>
    <w:rPr>
      <w:rFonts w:ascii="Cambria" w:hAnsi="Cambria" w:eastAsia="宋体" w:cs="Times New Roman"/>
      <w:b/>
      <w:bCs/>
      <w:kern w:val="2"/>
      <w:sz w:val="28"/>
      <w:szCs w:val="28"/>
    </w:rPr>
  </w:style>
  <w:style w:type="character" w:customStyle="1" w:styleId="277">
    <w:name w:val="批注文字 Char2"/>
    <w:autoRedefine/>
    <w:qFormat/>
    <w:uiPriority w:val="99"/>
    <w:rPr>
      <w:rFonts w:ascii="Times New Roman" w:hAnsi="Times New Roman" w:eastAsia="宋体" w:cs="Times New Roman"/>
      <w:snapToGrid w:val="0"/>
      <w:kern w:val="0"/>
      <w:szCs w:val="24"/>
    </w:rPr>
  </w:style>
  <w:style w:type="character" w:customStyle="1" w:styleId="278">
    <w:name w:val="正文文本 2 Char"/>
    <w:autoRedefine/>
    <w:qFormat/>
    <w:uiPriority w:val="0"/>
    <w:rPr>
      <w:rFonts w:eastAsia="宋体"/>
      <w:kern w:val="2"/>
      <w:sz w:val="21"/>
      <w:szCs w:val="24"/>
      <w:lang w:val="en-US" w:eastAsia="zh-CN" w:bidi="ar-SA"/>
    </w:rPr>
  </w:style>
  <w:style w:type="character" w:customStyle="1" w:styleId="279">
    <w:name w:val="Ò³Ã¼ Char Char"/>
    <w:autoRedefine/>
    <w:qFormat/>
    <w:uiPriority w:val="0"/>
    <w:rPr>
      <w:rFonts w:eastAsia="宋体"/>
      <w:kern w:val="2"/>
      <w:sz w:val="18"/>
      <w:lang w:val="en-US" w:eastAsia="zh-CN" w:bidi="ar-SA"/>
    </w:rPr>
  </w:style>
  <w:style w:type="character" w:customStyle="1" w:styleId="280">
    <w:name w:val="message1"/>
    <w:autoRedefine/>
    <w:qFormat/>
    <w:uiPriority w:val="0"/>
    <w:rPr>
      <w:rFonts w:hint="default" w:ascii="Tahoma" w:hAnsi="Tahoma" w:cs="Tahoma"/>
      <w:sz w:val="18"/>
      <w:szCs w:val="18"/>
    </w:rPr>
  </w:style>
  <w:style w:type="character" w:customStyle="1" w:styleId="281">
    <w:name w:val="Char Char23"/>
    <w:autoRedefine/>
    <w:qFormat/>
    <w:uiPriority w:val="6"/>
    <w:rPr>
      <w:color w:val="0000FF"/>
      <w:sz w:val="21"/>
    </w:rPr>
  </w:style>
  <w:style w:type="character" w:customStyle="1" w:styleId="282">
    <w:name w:val="批注框文本 字符"/>
    <w:autoRedefine/>
    <w:qFormat/>
    <w:uiPriority w:val="0"/>
    <w:rPr>
      <w:rFonts w:ascii="Arial" w:hAnsi="Arial" w:eastAsia="黑体" w:cs="Arial"/>
      <w:snapToGrid w:val="0"/>
      <w:kern w:val="0"/>
      <w:sz w:val="18"/>
      <w:szCs w:val="18"/>
    </w:rPr>
  </w:style>
  <w:style w:type="character" w:customStyle="1" w:styleId="283">
    <w:name w:val="纯文本 Char2"/>
    <w:autoRedefine/>
    <w:semiHidden/>
    <w:qFormat/>
    <w:uiPriority w:val="99"/>
    <w:rPr>
      <w:rFonts w:ascii="宋体" w:hAnsi="Courier New" w:eastAsia="宋体" w:cs="Courier New"/>
    </w:rPr>
  </w:style>
  <w:style w:type="character" w:customStyle="1" w:styleId="284">
    <w:name w:val="Char Char25"/>
    <w:autoRedefine/>
    <w:qFormat/>
    <w:uiPriority w:val="6"/>
    <w:rPr>
      <w:rFonts w:ascii="宋体" w:hAnsi="宋体"/>
      <w:kern w:val="1"/>
      <w:sz w:val="24"/>
      <w:lang w:val="zh-CN"/>
    </w:rPr>
  </w:style>
  <w:style w:type="character" w:customStyle="1" w:styleId="285">
    <w:name w:val="Char Char411"/>
    <w:autoRedefine/>
    <w:qFormat/>
    <w:uiPriority w:val="0"/>
    <w:rPr>
      <w:rFonts w:eastAsia="宋体"/>
      <w:b/>
      <w:sz w:val="24"/>
      <w:lang w:val="en-GB" w:eastAsia="zh-CN" w:bidi="ar-SA"/>
    </w:rPr>
  </w:style>
  <w:style w:type="character" w:customStyle="1" w:styleId="286">
    <w:name w:val="Heading 7 Char"/>
    <w:autoRedefine/>
    <w:qFormat/>
    <w:locked/>
    <w:uiPriority w:val="0"/>
    <w:rPr>
      <w:rFonts w:ascii="宋体" w:hAnsi="宋体" w:eastAsia="宋体"/>
      <w:b/>
      <w:bCs/>
      <w:kern w:val="2"/>
      <w:sz w:val="24"/>
      <w:szCs w:val="24"/>
      <w:lang w:val="en-US" w:eastAsia="zh-CN" w:bidi="ar-SA"/>
    </w:rPr>
  </w:style>
  <w:style w:type="character" w:customStyle="1" w:styleId="287">
    <w:name w:val="此正文 Char"/>
    <w:link w:val="288"/>
    <w:autoRedefine/>
    <w:qFormat/>
    <w:uiPriority w:val="0"/>
    <w:rPr>
      <w:kern w:val="2"/>
      <w:sz w:val="24"/>
      <w:szCs w:val="24"/>
    </w:rPr>
  </w:style>
  <w:style w:type="paragraph" w:customStyle="1" w:styleId="288">
    <w:name w:val="此正文"/>
    <w:basedOn w:val="1"/>
    <w:link w:val="287"/>
    <w:autoRedefine/>
    <w:qFormat/>
    <w:uiPriority w:val="0"/>
    <w:pPr>
      <w:adjustRightInd/>
      <w:spacing w:line="360" w:lineRule="auto"/>
      <w:ind w:firstLine="200" w:firstLineChars="200"/>
    </w:pPr>
    <w:rPr>
      <w:sz w:val="24"/>
    </w:rPr>
  </w:style>
  <w:style w:type="character" w:customStyle="1" w:styleId="289">
    <w:name w:val="Char Char2"/>
    <w:autoRedefine/>
    <w:qFormat/>
    <w:uiPriority w:val="0"/>
    <w:rPr>
      <w:rFonts w:eastAsia="宋体"/>
      <w:b/>
      <w:bCs/>
      <w:kern w:val="2"/>
      <w:sz w:val="21"/>
      <w:szCs w:val="24"/>
      <w:lang w:val="en-US" w:eastAsia="zh-CN" w:bidi="ar-SA"/>
    </w:rPr>
  </w:style>
  <w:style w:type="character" w:customStyle="1" w:styleId="290">
    <w:name w:val="标题 1 Char"/>
    <w:link w:val="2"/>
    <w:autoRedefine/>
    <w:qFormat/>
    <w:uiPriority w:val="9"/>
    <w:rPr>
      <w:b/>
      <w:bCs/>
      <w:kern w:val="44"/>
      <w:sz w:val="44"/>
      <w:szCs w:val="44"/>
    </w:rPr>
  </w:style>
  <w:style w:type="character" w:customStyle="1" w:styleId="291">
    <w:name w:val="Footer-Even Char1"/>
    <w:autoRedefine/>
    <w:qFormat/>
    <w:uiPriority w:val="0"/>
    <w:rPr>
      <w:rFonts w:eastAsia="宋体"/>
      <w:kern w:val="2"/>
      <w:sz w:val="18"/>
      <w:szCs w:val="18"/>
      <w:lang w:val="en-US" w:eastAsia="zh-CN" w:bidi="ar-SA"/>
    </w:rPr>
  </w:style>
  <w:style w:type="character" w:customStyle="1" w:styleId="292">
    <w:name w:val="Char Char29"/>
    <w:autoRedefine/>
    <w:qFormat/>
    <w:uiPriority w:val="6"/>
    <w:rPr>
      <w:rFonts w:ascii="Arial" w:hAnsi="Arial" w:eastAsia="微软雅黑"/>
      <w:b/>
      <w:kern w:val="1"/>
      <w:sz w:val="44"/>
      <w:szCs w:val="32"/>
      <w:lang w:val="en-US" w:eastAsia="zh-CN" w:bidi="ar-SA"/>
    </w:rPr>
  </w:style>
  <w:style w:type="character" w:customStyle="1" w:styleId="293">
    <w:name w:val="标题 Char2"/>
    <w:link w:val="61"/>
    <w:autoRedefine/>
    <w:qFormat/>
    <w:uiPriority w:val="10"/>
    <w:rPr>
      <w:b/>
      <w:sz w:val="24"/>
      <w:lang w:val="en-GB"/>
    </w:rPr>
  </w:style>
  <w:style w:type="character" w:customStyle="1" w:styleId="294">
    <w:name w:val="font81"/>
    <w:autoRedefine/>
    <w:qFormat/>
    <w:uiPriority w:val="0"/>
    <w:rPr>
      <w:rFonts w:ascii="微软雅黑" w:hAnsi="微软雅黑" w:eastAsia="微软雅黑" w:cs="微软雅黑"/>
      <w:color w:val="000000"/>
      <w:sz w:val="20"/>
      <w:szCs w:val="20"/>
      <w:u w:val="none"/>
    </w:rPr>
  </w:style>
  <w:style w:type="character" w:customStyle="1" w:styleId="295">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6">
    <w:name w:val="t21"/>
    <w:autoRedefine/>
    <w:qFormat/>
    <w:uiPriority w:val="0"/>
    <w:rPr>
      <w:rFonts w:ascii="仿宋_GB2312" w:eastAsia="微软雅黑"/>
      <w:b/>
      <w:kern w:val="2"/>
      <w:sz w:val="23"/>
      <w:szCs w:val="23"/>
      <w:lang w:val="en-US" w:eastAsia="zh-CN" w:bidi="ar-SA"/>
    </w:rPr>
  </w:style>
  <w:style w:type="character" w:customStyle="1" w:styleId="297">
    <w:name w:val="样式8 Char"/>
    <w:autoRedefine/>
    <w:qFormat/>
    <w:uiPriority w:val="0"/>
    <w:rPr>
      <w:rFonts w:ascii="仿宋_GB2312" w:hAnsi="宋体" w:eastAsia="仿宋_GB2312"/>
      <w:b/>
      <w:bCs/>
      <w:kern w:val="2"/>
      <w:sz w:val="24"/>
      <w:szCs w:val="24"/>
    </w:rPr>
  </w:style>
  <w:style w:type="character" w:customStyle="1" w:styleId="298">
    <w:name w:val="表格 Char Char"/>
    <w:autoRedefine/>
    <w:qFormat/>
    <w:uiPriority w:val="0"/>
    <w:rPr>
      <w:rFonts w:ascii="宋体" w:hAnsi="宋体" w:eastAsia="宋体"/>
      <w:lang w:bidi="ar-SA"/>
    </w:rPr>
  </w:style>
  <w:style w:type="character" w:customStyle="1" w:styleId="299">
    <w:name w:val="正文文本 字符1"/>
    <w:autoRedefine/>
    <w:qFormat/>
    <w:uiPriority w:val="0"/>
    <w:rPr>
      <w:rFonts w:ascii="Calibri" w:hAnsi="Calibri" w:eastAsia="黑体" w:cs="Arial"/>
      <w:snapToGrid w:val="0"/>
      <w:kern w:val="2"/>
      <w:sz w:val="28"/>
      <w:szCs w:val="21"/>
    </w:rPr>
  </w:style>
  <w:style w:type="character" w:customStyle="1" w:styleId="300">
    <w:name w:val="标题 5 Char"/>
    <w:link w:val="6"/>
    <w:autoRedefine/>
    <w:qFormat/>
    <w:uiPriority w:val="9"/>
    <w:rPr>
      <w:b/>
      <w:bCs/>
      <w:kern w:val="2"/>
      <w:sz w:val="28"/>
      <w:szCs w:val="28"/>
    </w:rPr>
  </w:style>
  <w:style w:type="character" w:customStyle="1" w:styleId="301">
    <w:name w:val="标题 6 Char1"/>
    <w:autoRedefine/>
    <w:qFormat/>
    <w:uiPriority w:val="0"/>
    <w:rPr>
      <w:rFonts w:ascii="Arial" w:hAnsi="Arial" w:eastAsia="黑体" w:cs="Times New Roman"/>
      <w:b/>
      <w:sz w:val="24"/>
      <w:szCs w:val="20"/>
      <w:lang w:bidi="ar-SA"/>
    </w:rPr>
  </w:style>
  <w:style w:type="character" w:customStyle="1" w:styleId="302">
    <w:name w:val="带编号样式 Char"/>
    <w:autoRedefine/>
    <w:qFormat/>
    <w:uiPriority w:val="0"/>
    <w:rPr>
      <w:rFonts w:ascii="仿宋_GB2312" w:eastAsia="仿宋_GB2312"/>
      <w:color w:val="000000"/>
      <w:sz w:val="24"/>
      <w:lang w:bidi="ar-SA"/>
    </w:rPr>
  </w:style>
  <w:style w:type="character" w:customStyle="1" w:styleId="303">
    <w:name w:val="unnamed31"/>
    <w:autoRedefine/>
    <w:qFormat/>
    <w:uiPriority w:val="0"/>
    <w:rPr>
      <w:rFonts w:ascii="Tahoma" w:hAnsi="Tahoma" w:eastAsia="宋体"/>
      <w:b/>
      <w:kern w:val="2"/>
      <w:sz w:val="24"/>
      <w:szCs w:val="32"/>
      <w:u w:val="none"/>
      <w:lang w:val="en-US" w:eastAsia="zh-CN" w:bidi="ar-SA"/>
    </w:rPr>
  </w:style>
  <w:style w:type="character" w:customStyle="1" w:styleId="304">
    <w:name w:val="正文首行缩进 Char Char Char Char Char Char1"/>
    <w:autoRedefine/>
    <w:qFormat/>
    <w:uiPriority w:val="0"/>
    <w:rPr>
      <w:rFonts w:ascii="宋体" w:eastAsia="宋体"/>
      <w:kern w:val="2"/>
      <w:sz w:val="24"/>
      <w:szCs w:val="24"/>
      <w:lang w:val="zh-CN" w:bidi="ar-SA"/>
    </w:rPr>
  </w:style>
  <w:style w:type="character" w:customStyle="1" w:styleId="305">
    <w:name w:val="称呼 Char"/>
    <w:link w:val="22"/>
    <w:autoRedefine/>
    <w:qFormat/>
    <w:uiPriority w:val="0"/>
    <w:rPr>
      <w:rFonts w:ascii="仿宋_GB2312" w:eastAsia="仿宋_GB2312"/>
      <w:kern w:val="2"/>
      <w:sz w:val="28"/>
    </w:rPr>
  </w:style>
  <w:style w:type="character" w:customStyle="1" w:styleId="306">
    <w:name w:val="文本正文 Char Char"/>
    <w:autoRedefine/>
    <w:qFormat/>
    <w:locked/>
    <w:uiPriority w:val="0"/>
    <w:rPr>
      <w:sz w:val="24"/>
      <w:lang w:bidi="ar-SA"/>
    </w:rPr>
  </w:style>
  <w:style w:type="character" w:customStyle="1" w:styleId="307">
    <w:name w:val="正文缩进 字符"/>
    <w:autoRedefine/>
    <w:qFormat/>
    <w:uiPriority w:val="0"/>
    <w:rPr>
      <w:rFonts w:ascii="宋体" w:eastAsia="宋体"/>
      <w:snapToGrid w:val="0"/>
      <w:color w:val="000000"/>
      <w:kern w:val="28"/>
      <w:sz w:val="28"/>
      <w:lang w:val="en-US" w:eastAsia="zh-CN" w:bidi="ar-SA"/>
    </w:rPr>
  </w:style>
  <w:style w:type="character" w:customStyle="1" w:styleId="308">
    <w:name w:val="HTML 预设格式 Char"/>
    <w:link w:val="59"/>
    <w:autoRedefine/>
    <w:qFormat/>
    <w:uiPriority w:val="0"/>
    <w:rPr>
      <w:rFonts w:ascii="黑体" w:hAnsi="Courier New" w:eastAsia="黑体"/>
    </w:rPr>
  </w:style>
  <w:style w:type="character" w:customStyle="1" w:styleId="309">
    <w:name w:val="正文文本 2 Char1"/>
    <w:link w:val="58"/>
    <w:autoRedefine/>
    <w:qFormat/>
    <w:uiPriority w:val="0"/>
    <w:rPr>
      <w:kern w:val="2"/>
      <w:sz w:val="21"/>
      <w:szCs w:val="24"/>
    </w:rPr>
  </w:style>
  <w:style w:type="character" w:customStyle="1" w:styleId="310">
    <w:name w:val="样式 样式 标题 4h4H4Fab-4T5Ref Heading 1rh1Heading sqlsect 1.2.3.... +... Char"/>
    <w:link w:val="311"/>
    <w:autoRedefine/>
    <w:qFormat/>
    <w:uiPriority w:val="0"/>
    <w:rPr>
      <w:rFonts w:ascii="微软雅黑" w:hAnsi="微软雅黑" w:eastAsia="微软雅黑"/>
      <w:b/>
      <w:bCs/>
      <w:kern w:val="2"/>
      <w:sz w:val="24"/>
      <w:szCs w:val="28"/>
    </w:rPr>
  </w:style>
  <w:style w:type="paragraph" w:customStyle="1" w:styleId="311">
    <w:name w:val="样式 样式 标题 4h4H4Fab-4T5Ref Heading 1rh1Heading sqlsect 1.2.3.... +..."/>
    <w:basedOn w:val="312"/>
    <w:link w:val="310"/>
    <w:autoRedefine/>
    <w:qFormat/>
    <w:uiPriority w:val="0"/>
    <w:pPr>
      <w:tabs>
        <w:tab w:val="left" w:pos="2356"/>
      </w:tabs>
    </w:pPr>
  </w:style>
  <w:style w:type="paragraph" w:customStyle="1" w:styleId="312">
    <w:name w:val="样式 标题 4h4H4Fab-4T5Ref Heading 1rh1Heading sqlsect 1.2.3...."/>
    <w:basedOn w:val="5"/>
    <w:link w:val="420"/>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3">
    <w:name w:val="正文非缩进 Char"/>
    <w:autoRedefine/>
    <w:qFormat/>
    <w:uiPriority w:val="0"/>
    <w:rPr>
      <w:rFonts w:ascii="宋体" w:eastAsia="宋体"/>
      <w:snapToGrid w:val="0"/>
      <w:color w:val="000000"/>
      <w:kern w:val="28"/>
      <w:sz w:val="28"/>
      <w:lang w:val="en-US" w:eastAsia="zh-CN" w:bidi="ar-SA"/>
    </w:rPr>
  </w:style>
  <w:style w:type="character" w:customStyle="1" w:styleId="314">
    <w:name w:val="标题 7 Char"/>
    <w:link w:val="8"/>
    <w:autoRedefine/>
    <w:qFormat/>
    <w:uiPriority w:val="0"/>
    <w:rPr>
      <w:b/>
      <w:bCs/>
      <w:kern w:val="2"/>
      <w:sz w:val="24"/>
      <w:szCs w:val="24"/>
    </w:rPr>
  </w:style>
  <w:style w:type="character" w:customStyle="1" w:styleId="315">
    <w:name w:val="正文文本缩进 2 Char"/>
    <w:link w:val="39"/>
    <w:autoRedefine/>
    <w:qFormat/>
    <w:uiPriority w:val="0"/>
    <w:rPr>
      <w:rFonts w:ascii="宋体"/>
      <w:sz w:val="28"/>
    </w:rPr>
  </w:style>
  <w:style w:type="character" w:customStyle="1" w:styleId="316">
    <w:name w:val="Char Char5"/>
    <w:autoRedefine/>
    <w:qFormat/>
    <w:uiPriority w:val="0"/>
    <w:rPr>
      <w:rFonts w:ascii="宋体" w:hAnsi="Courier New" w:eastAsia="宋体"/>
      <w:kern w:val="2"/>
      <w:sz w:val="21"/>
      <w:lang w:val="en-US" w:eastAsia="zh-CN"/>
    </w:rPr>
  </w:style>
  <w:style w:type="character" w:customStyle="1" w:styleId="317">
    <w:name w:val="脚注文本 Char"/>
    <w:link w:val="52"/>
    <w:autoRedefine/>
    <w:qFormat/>
    <w:uiPriority w:val="0"/>
    <w:rPr>
      <w:color w:val="0000FF"/>
      <w:sz w:val="21"/>
    </w:rPr>
  </w:style>
  <w:style w:type="character" w:customStyle="1" w:styleId="318">
    <w:name w:val="称呼 Char1"/>
    <w:autoRedefine/>
    <w:qFormat/>
    <w:uiPriority w:val="0"/>
    <w:rPr>
      <w:rFonts w:ascii="Times New Roman" w:hAnsi="Times New Roman" w:eastAsia="宋体" w:cs="Times New Roman"/>
      <w:szCs w:val="24"/>
    </w:rPr>
  </w:style>
  <w:style w:type="character" w:customStyle="1" w:styleId="319">
    <w:name w:val="正文1 Char"/>
    <w:autoRedefine/>
    <w:qFormat/>
    <w:uiPriority w:val="0"/>
    <w:rPr>
      <w:rFonts w:ascii="宋体" w:eastAsia="宋体"/>
      <w:snapToGrid w:val="0"/>
      <w:color w:val="000000"/>
      <w:kern w:val="28"/>
      <w:sz w:val="28"/>
      <w:lang w:val="en-US" w:eastAsia="zh-CN" w:bidi="ar-SA"/>
    </w:rPr>
  </w:style>
  <w:style w:type="character" w:customStyle="1" w:styleId="320">
    <w:name w:val="正文缩进 Char1"/>
    <w:autoRedefine/>
    <w:qFormat/>
    <w:uiPriority w:val="0"/>
    <w:rPr>
      <w:rFonts w:ascii="宋体" w:eastAsia="宋体"/>
      <w:snapToGrid w:val="0"/>
      <w:color w:val="000000"/>
      <w:kern w:val="28"/>
      <w:sz w:val="28"/>
      <w:lang w:val="en-US" w:eastAsia="zh-CN" w:bidi="ar-SA"/>
    </w:rPr>
  </w:style>
  <w:style w:type="character" w:customStyle="1" w:styleId="321">
    <w:name w:val="font21"/>
    <w:basedOn w:val="71"/>
    <w:autoRedefine/>
    <w:qFormat/>
    <w:uiPriority w:val="0"/>
    <w:rPr>
      <w:rFonts w:hint="eastAsia" w:ascii="宋体" w:hAnsi="宋体" w:eastAsia="宋体"/>
      <w:kern w:val="2"/>
      <w:sz w:val="28"/>
      <w:szCs w:val="28"/>
      <w:lang w:val="en-US" w:eastAsia="zh-CN" w:bidi="ar-SA"/>
    </w:rPr>
  </w:style>
  <w:style w:type="character" w:customStyle="1" w:styleId="322">
    <w:name w:val="Char Char26"/>
    <w:autoRedefine/>
    <w:qFormat/>
    <w:uiPriority w:val="6"/>
    <w:rPr>
      <w:kern w:val="1"/>
      <w:sz w:val="21"/>
      <w:szCs w:val="24"/>
    </w:rPr>
  </w:style>
  <w:style w:type="character" w:customStyle="1" w:styleId="323">
    <w:name w:val="Item List Char"/>
    <w:link w:val="324"/>
    <w:autoRedefine/>
    <w:qFormat/>
    <w:uiPriority w:val="0"/>
    <w:rPr>
      <w:rFonts w:ascii="Arial"/>
      <w:bCs/>
      <w:sz w:val="21"/>
      <w:szCs w:val="21"/>
      <w:lang w:val="en-US" w:eastAsia="zh-CN" w:bidi="ar-SA"/>
    </w:rPr>
  </w:style>
  <w:style w:type="paragraph" w:customStyle="1" w:styleId="324">
    <w:name w:val="Item List"/>
    <w:link w:val="323"/>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5">
    <w:name w:val="批注框文本 Char1"/>
    <w:autoRedefine/>
    <w:qFormat/>
    <w:uiPriority w:val="0"/>
    <w:rPr>
      <w:rFonts w:ascii="Times New Roman" w:hAnsi="Times New Roman" w:eastAsia="宋体" w:cs="Times New Roman"/>
      <w:sz w:val="18"/>
      <w:szCs w:val="18"/>
    </w:rPr>
  </w:style>
  <w:style w:type="character" w:customStyle="1" w:styleId="326">
    <w:name w:val="纯文本 Char1"/>
    <w:link w:val="327"/>
    <w:autoRedefine/>
    <w:qFormat/>
    <w:uiPriority w:val="0"/>
    <w:rPr>
      <w:rFonts w:ascii="宋体" w:hAnsi="Courier New"/>
    </w:rPr>
  </w:style>
  <w:style w:type="paragraph" w:customStyle="1" w:styleId="327">
    <w:name w:val="纯文本1"/>
    <w:basedOn w:val="84"/>
    <w:link w:val="326"/>
    <w:autoRedefine/>
    <w:qFormat/>
    <w:uiPriority w:val="0"/>
    <w:pPr>
      <w:adjustRightInd/>
    </w:pPr>
    <w:rPr>
      <w:rFonts w:ascii="宋体"/>
      <w:kern w:val="0"/>
      <w:sz w:val="20"/>
      <w:szCs w:val="20"/>
    </w:rPr>
  </w:style>
  <w:style w:type="character" w:customStyle="1" w:styleId="328">
    <w:name w:val="正文首行缩进 Char"/>
    <w:link w:val="26"/>
    <w:autoRedefine/>
    <w:qFormat/>
    <w:uiPriority w:val="0"/>
    <w:rPr>
      <w:rFonts w:ascii="宋体"/>
      <w:kern w:val="2"/>
      <w:sz w:val="24"/>
      <w:lang w:val="zh-CN"/>
    </w:rPr>
  </w:style>
  <w:style w:type="character" w:customStyle="1" w:styleId="329">
    <w:name w:val="h3 Char"/>
    <w:autoRedefine/>
    <w:qFormat/>
    <w:uiPriority w:val="0"/>
    <w:rPr>
      <w:rFonts w:eastAsia="宋体"/>
      <w:b/>
      <w:kern w:val="2"/>
      <w:sz w:val="32"/>
      <w:lang w:val="en-US" w:eastAsia="zh-CN" w:bidi="ar-SA"/>
    </w:rPr>
  </w:style>
  <w:style w:type="character" w:customStyle="1" w:styleId="330">
    <w:name w:val="dandyren_title1"/>
    <w:autoRedefine/>
    <w:qFormat/>
    <w:uiPriority w:val="0"/>
    <w:rPr>
      <w:b/>
      <w:bCs/>
      <w:color w:val="FF6633"/>
      <w:sz w:val="18"/>
      <w:szCs w:val="18"/>
    </w:rPr>
  </w:style>
  <w:style w:type="character" w:customStyle="1" w:styleId="331">
    <w:name w:val="Char Char31"/>
    <w:autoRedefine/>
    <w:qFormat/>
    <w:uiPriority w:val="6"/>
    <w:rPr>
      <w:rFonts w:ascii="Arial" w:hAnsi="Arial" w:eastAsia="黑体"/>
      <w:kern w:val="1"/>
      <w:sz w:val="24"/>
      <w:szCs w:val="24"/>
    </w:rPr>
  </w:style>
  <w:style w:type="character" w:customStyle="1" w:styleId="332">
    <w:name w:val="h Char1"/>
    <w:autoRedefine/>
    <w:qFormat/>
    <w:uiPriority w:val="0"/>
    <w:rPr>
      <w:sz w:val="18"/>
      <w:szCs w:val="18"/>
    </w:rPr>
  </w:style>
  <w:style w:type="character" w:customStyle="1" w:styleId="333">
    <w:name w:val="solutionfonts"/>
    <w:autoRedefine/>
    <w:qFormat/>
    <w:uiPriority w:val="0"/>
  </w:style>
  <w:style w:type="character" w:customStyle="1" w:styleId="334">
    <w:name w:val="标题 4 Char2"/>
    <w:link w:val="5"/>
    <w:autoRedefine/>
    <w:qFormat/>
    <w:uiPriority w:val="9"/>
    <w:rPr>
      <w:rFonts w:ascii="Arial" w:hAnsi="Arial" w:eastAsia="黑体"/>
      <w:b/>
      <w:bCs/>
      <w:kern w:val="2"/>
      <w:sz w:val="28"/>
      <w:szCs w:val="28"/>
      <w:lang w:val="zh-CN"/>
    </w:rPr>
  </w:style>
  <w:style w:type="character" w:customStyle="1" w:styleId="335">
    <w:name w:val="首行缩进 Char"/>
    <w:autoRedefine/>
    <w:qFormat/>
    <w:uiPriority w:val="0"/>
    <w:rPr>
      <w:rFonts w:ascii="宋体" w:eastAsia="宋体"/>
      <w:kern w:val="2"/>
      <w:sz w:val="24"/>
      <w:lang w:val="en-US" w:eastAsia="zh-CN" w:bidi="ar-SA"/>
    </w:rPr>
  </w:style>
  <w:style w:type="character" w:customStyle="1" w:styleId="336">
    <w:name w:val="Char Char52"/>
    <w:autoRedefine/>
    <w:qFormat/>
    <w:uiPriority w:val="0"/>
    <w:rPr>
      <w:rFonts w:ascii="宋体" w:hAnsi="Courier New" w:eastAsia="宋体"/>
      <w:kern w:val="2"/>
      <w:sz w:val="21"/>
      <w:lang w:val="en-US" w:eastAsia="zh-CN"/>
    </w:rPr>
  </w:style>
  <w:style w:type="character" w:customStyle="1" w:styleId="337">
    <w:name w:val="正文文本 3 Char"/>
    <w:link w:val="23"/>
    <w:autoRedefine/>
    <w:qFormat/>
    <w:uiPriority w:val="0"/>
    <w:rPr>
      <w:kern w:val="2"/>
      <w:sz w:val="21"/>
    </w:rPr>
  </w:style>
  <w:style w:type="character" w:customStyle="1" w:styleId="338">
    <w:name w:val="font31"/>
    <w:basedOn w:val="71"/>
    <w:autoRedefine/>
    <w:qFormat/>
    <w:uiPriority w:val="0"/>
    <w:rPr>
      <w:rFonts w:hint="eastAsia" w:ascii="仿宋" w:hAnsi="仿宋" w:eastAsia="仿宋" w:cs="仿宋"/>
      <w:color w:val="000000"/>
      <w:sz w:val="20"/>
      <w:szCs w:val="20"/>
      <w:u w:val="none"/>
    </w:rPr>
  </w:style>
  <w:style w:type="character" w:customStyle="1" w:styleId="339">
    <w:name w:val="正文说明 Char"/>
    <w:link w:val="340"/>
    <w:autoRedefine/>
    <w:qFormat/>
    <w:uiPriority w:val="0"/>
    <w:rPr>
      <w:sz w:val="24"/>
      <w:szCs w:val="24"/>
    </w:rPr>
  </w:style>
  <w:style w:type="paragraph" w:customStyle="1" w:styleId="340">
    <w:name w:val="正文说明"/>
    <w:basedOn w:val="1"/>
    <w:link w:val="339"/>
    <w:autoRedefine/>
    <w:qFormat/>
    <w:uiPriority w:val="0"/>
    <w:pPr>
      <w:adjustRightInd/>
      <w:spacing w:line="360" w:lineRule="auto"/>
    </w:pPr>
    <w:rPr>
      <w:kern w:val="0"/>
      <w:sz w:val="24"/>
    </w:rPr>
  </w:style>
  <w:style w:type="character" w:customStyle="1" w:styleId="341">
    <w:name w:val="脚注文本 Char1"/>
    <w:autoRedefine/>
    <w:qFormat/>
    <w:uiPriority w:val="0"/>
    <w:rPr>
      <w:rFonts w:ascii="Times New Roman" w:hAnsi="Times New Roman" w:eastAsia="宋体" w:cs="Times New Roman"/>
      <w:sz w:val="18"/>
      <w:szCs w:val="18"/>
    </w:rPr>
  </w:style>
  <w:style w:type="character" w:customStyle="1" w:styleId="342">
    <w:name w:val="Char Char1211"/>
    <w:autoRedefine/>
    <w:qFormat/>
    <w:uiPriority w:val="0"/>
    <w:rPr>
      <w:rFonts w:ascii="仿宋_GB2312" w:eastAsia="仿宋_GB2312"/>
      <w:b/>
      <w:bCs/>
      <w:kern w:val="2"/>
      <w:sz w:val="24"/>
      <w:szCs w:val="24"/>
      <w:lang w:val="zh-CN" w:eastAsia="zh-CN" w:bidi="ar-SA"/>
    </w:rPr>
  </w:style>
  <w:style w:type="character" w:customStyle="1" w:styleId="343">
    <w:name w:val="标题 Char"/>
    <w:autoRedefine/>
    <w:qFormat/>
    <w:uiPriority w:val="0"/>
    <w:rPr>
      <w:rFonts w:eastAsia="宋体"/>
      <w:b/>
      <w:sz w:val="24"/>
      <w:lang w:val="en-GB" w:eastAsia="zh-CN" w:bidi="ar-SA"/>
    </w:rPr>
  </w:style>
  <w:style w:type="character" w:customStyle="1" w:styleId="344">
    <w:name w:val="Char Char35"/>
    <w:autoRedefine/>
    <w:qFormat/>
    <w:uiPriority w:val="6"/>
    <w:rPr>
      <w:rFonts w:ascii="Arial" w:hAnsi="Arial" w:eastAsia="黑体"/>
      <w:b/>
      <w:kern w:val="1"/>
      <w:sz w:val="28"/>
      <w:szCs w:val="28"/>
      <w:lang w:val="zh-CN"/>
    </w:rPr>
  </w:style>
  <w:style w:type="character" w:customStyle="1" w:styleId="345">
    <w:name w:val="纯文本 Char Char Char"/>
    <w:autoRedefine/>
    <w:qFormat/>
    <w:uiPriority w:val="0"/>
    <w:rPr>
      <w:rFonts w:ascii="宋体" w:hAnsi="Courier New" w:eastAsia="宋体"/>
      <w:kern w:val="2"/>
      <w:sz w:val="21"/>
      <w:lang w:val="en-US" w:eastAsia="zh-CN" w:bidi="ar-SA"/>
    </w:rPr>
  </w:style>
  <w:style w:type="character" w:customStyle="1" w:styleId="346">
    <w:name w:val="Table Text Char"/>
    <w:link w:val="347"/>
    <w:autoRedefine/>
    <w:qFormat/>
    <w:uiPriority w:val="0"/>
    <w:rPr>
      <w:sz w:val="24"/>
      <w:szCs w:val="24"/>
    </w:rPr>
  </w:style>
  <w:style w:type="paragraph" w:customStyle="1" w:styleId="347">
    <w:name w:val="Table Text"/>
    <w:basedOn w:val="1"/>
    <w:link w:val="346"/>
    <w:autoRedefine/>
    <w:qFormat/>
    <w:uiPriority w:val="0"/>
    <w:pPr>
      <w:widowControl/>
      <w:spacing w:before="60" w:after="60"/>
      <w:jc w:val="left"/>
    </w:pPr>
    <w:rPr>
      <w:kern w:val="0"/>
      <w:sz w:val="24"/>
    </w:rPr>
  </w:style>
  <w:style w:type="character" w:customStyle="1" w:styleId="348">
    <w:name w:val="正文1 Char1"/>
    <w:autoRedefine/>
    <w:qFormat/>
    <w:uiPriority w:val="0"/>
    <w:rPr>
      <w:rFonts w:ascii="仿宋_GB2312" w:hAnsi="Courier New" w:eastAsia="仿宋_GB2312"/>
      <w:kern w:val="28"/>
      <w:sz w:val="24"/>
      <w:szCs w:val="24"/>
      <w:lang w:val="en-US" w:eastAsia="zh-CN"/>
    </w:rPr>
  </w:style>
  <w:style w:type="character" w:customStyle="1" w:styleId="349">
    <w:name w:val="页脚 Char1"/>
    <w:autoRedefine/>
    <w:qFormat/>
    <w:uiPriority w:val="0"/>
    <w:rPr>
      <w:rFonts w:eastAsia="宋体"/>
      <w:kern w:val="2"/>
      <w:sz w:val="18"/>
      <w:szCs w:val="18"/>
      <w:lang w:val="en-US" w:eastAsia="zh-CN" w:bidi="ar-SA"/>
    </w:rPr>
  </w:style>
  <w:style w:type="character" w:customStyle="1" w:styleId="350">
    <w:name w:val="Bold"/>
    <w:autoRedefine/>
    <w:qFormat/>
    <w:uiPriority w:val="0"/>
    <w:rPr>
      <w:rFonts w:ascii="Arial" w:hAnsi="Arial" w:eastAsia="黑体" w:cs="Times New Roman"/>
      <w:b/>
      <w:kern w:val="2"/>
      <w:sz w:val="32"/>
      <w:szCs w:val="32"/>
      <w:lang w:val="en-US" w:eastAsia="zh-CN" w:bidi="ar-SA"/>
    </w:rPr>
  </w:style>
  <w:style w:type="character" w:customStyle="1" w:styleId="351">
    <w:name w:val="批注文字 Char1"/>
    <w:link w:val="21"/>
    <w:autoRedefine/>
    <w:qFormat/>
    <w:uiPriority w:val="0"/>
    <w:rPr>
      <w:kern w:val="2"/>
      <w:sz w:val="21"/>
      <w:szCs w:val="24"/>
    </w:rPr>
  </w:style>
  <w:style w:type="character" w:customStyle="1" w:styleId="352">
    <w:name w:val="签名 Char"/>
    <w:link w:val="44"/>
    <w:autoRedefine/>
    <w:qFormat/>
    <w:uiPriority w:val="0"/>
    <w:rPr>
      <w:rFonts w:eastAsia="仿宋_GB2312"/>
      <w:sz w:val="24"/>
    </w:rPr>
  </w:style>
  <w:style w:type="character" w:customStyle="1" w:styleId="353">
    <w:name w:val="hui3"/>
    <w:autoRedefine/>
    <w:qFormat/>
    <w:uiPriority w:val="0"/>
    <w:rPr>
      <w:color w:val="333333"/>
    </w:rPr>
  </w:style>
  <w:style w:type="character" w:customStyle="1" w:styleId="354">
    <w:name w:val="Char Char17"/>
    <w:autoRedefine/>
    <w:qFormat/>
    <w:uiPriority w:val="6"/>
    <w:rPr>
      <w:rFonts w:eastAsia="仿宋_GB2312"/>
      <w:sz w:val="24"/>
    </w:rPr>
  </w:style>
  <w:style w:type="character" w:customStyle="1" w:styleId="355">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6">
    <w:name w:val="Char Char37"/>
    <w:autoRedefine/>
    <w:qFormat/>
    <w:uiPriority w:val="6"/>
    <w:rPr>
      <w:b/>
      <w:kern w:val="1"/>
      <w:sz w:val="44"/>
      <w:szCs w:val="44"/>
    </w:rPr>
  </w:style>
  <w:style w:type="character" w:customStyle="1" w:styleId="357">
    <w:name w:val="列出段落 Char"/>
    <w:autoRedefine/>
    <w:qFormat/>
    <w:uiPriority w:val="0"/>
    <w:rPr>
      <w:rFonts w:eastAsia="楷体_GB2312" w:cs="Lucida Sans"/>
      <w:kern w:val="2"/>
      <w:sz w:val="24"/>
      <w:szCs w:val="24"/>
      <w:lang w:val="en-US" w:eastAsia="zh-CN" w:bidi="ar-SA"/>
    </w:rPr>
  </w:style>
  <w:style w:type="character" w:customStyle="1" w:styleId="358">
    <w:name w:val="正文文本缩进 3 Char1"/>
    <w:autoRedefine/>
    <w:semiHidden/>
    <w:qFormat/>
    <w:uiPriority w:val="99"/>
    <w:rPr>
      <w:rFonts w:ascii="Times New Roman" w:hAnsi="Times New Roman" w:eastAsia="宋体" w:cs="Times New Roman"/>
      <w:sz w:val="16"/>
      <w:szCs w:val="16"/>
    </w:rPr>
  </w:style>
  <w:style w:type="character" w:customStyle="1" w:styleId="359">
    <w:name w:val="公文正文 Char Char"/>
    <w:link w:val="360"/>
    <w:autoRedefine/>
    <w:qFormat/>
    <w:uiPriority w:val="0"/>
    <w:rPr>
      <w:rFonts w:ascii="仿宋_GB2312" w:eastAsia="仿宋_GB2312"/>
      <w:kern w:val="2"/>
      <w:sz w:val="24"/>
      <w:szCs w:val="24"/>
    </w:rPr>
  </w:style>
  <w:style w:type="paragraph" w:customStyle="1" w:styleId="360">
    <w:name w:val="公文正文"/>
    <w:basedOn w:val="1"/>
    <w:link w:val="359"/>
    <w:autoRedefine/>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autoRedefine/>
    <w:qFormat/>
    <w:uiPriority w:val="0"/>
    <w:rPr>
      <w:rFonts w:eastAsia="宋体"/>
      <w:sz w:val="24"/>
      <w:szCs w:val="24"/>
      <w:lang w:val="en-US" w:eastAsia="zh-CN" w:bidi="ar-SA"/>
    </w:rPr>
  </w:style>
  <w:style w:type="character" w:customStyle="1" w:styleId="362">
    <w:name w:val="标题 1 Char Char"/>
    <w:autoRedefine/>
    <w:qFormat/>
    <w:uiPriority w:val="0"/>
    <w:rPr>
      <w:rFonts w:hint="eastAsia" w:ascii="宋体" w:hAnsi="宋体" w:eastAsia="宋体"/>
      <w:b/>
      <w:spacing w:val="-2"/>
      <w:sz w:val="24"/>
      <w:lang w:val="en-US" w:eastAsia="zh-CN" w:bidi="ar-SA"/>
    </w:rPr>
  </w:style>
  <w:style w:type="character" w:customStyle="1" w:styleId="363">
    <w:name w:val="正文（缩进2汉字） Char"/>
    <w:link w:val="364"/>
    <w:autoRedefine/>
    <w:qFormat/>
    <w:uiPriority w:val="0"/>
    <w:rPr>
      <w:rFonts w:ascii="宋体"/>
    </w:rPr>
  </w:style>
  <w:style w:type="paragraph" w:customStyle="1" w:styleId="364">
    <w:name w:val="正文（缩进2汉字）"/>
    <w:basedOn w:val="1"/>
    <w:link w:val="363"/>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题 8 Char"/>
    <w:link w:val="9"/>
    <w:autoRedefine/>
    <w:qFormat/>
    <w:uiPriority w:val="0"/>
    <w:rPr>
      <w:rFonts w:ascii="Arial" w:hAnsi="Arial" w:eastAsia="黑体"/>
      <w:kern w:val="2"/>
      <w:sz w:val="24"/>
      <w:szCs w:val="24"/>
    </w:rPr>
  </w:style>
  <w:style w:type="character" w:customStyle="1" w:styleId="366">
    <w:name w:val="标书表格字体格式 Char"/>
    <w:autoRedefine/>
    <w:qFormat/>
    <w:uiPriority w:val="0"/>
    <w:rPr>
      <w:kern w:val="2"/>
      <w:sz w:val="21"/>
      <w:szCs w:val="24"/>
      <w:lang w:bidi="ar-SA"/>
    </w:rPr>
  </w:style>
  <w:style w:type="character" w:customStyle="1" w:styleId="367">
    <w:name w:val="tw4winError"/>
    <w:autoRedefine/>
    <w:qFormat/>
    <w:uiPriority w:val="0"/>
    <w:rPr>
      <w:rFonts w:ascii="Courier New" w:hAnsi="Courier New" w:cs="Courier New"/>
      <w:color w:val="00FF00"/>
      <w:sz w:val="40"/>
      <w:szCs w:val="40"/>
    </w:rPr>
  </w:style>
  <w:style w:type="character" w:customStyle="1" w:styleId="368">
    <w:name w:val="Body Text(ch) Char Char"/>
    <w:autoRedefine/>
    <w:qFormat/>
    <w:uiPriority w:val="0"/>
    <w:rPr>
      <w:rFonts w:ascii="宋体"/>
      <w:kern w:val="2"/>
      <w:sz w:val="24"/>
      <w:szCs w:val="21"/>
      <w:lang w:val="zh-CN"/>
    </w:rPr>
  </w:style>
  <w:style w:type="character" w:customStyle="1" w:styleId="369">
    <w:name w:val="正文首行缩进两字 Char"/>
    <w:autoRedefine/>
    <w:qFormat/>
    <w:uiPriority w:val="0"/>
    <w:rPr>
      <w:sz w:val="24"/>
      <w:szCs w:val="24"/>
      <w:lang w:val="en-US" w:eastAsia="zh-CN" w:bidi="ar-SA"/>
    </w:rPr>
  </w:style>
  <w:style w:type="character" w:customStyle="1" w:styleId="370">
    <w:name w:val="正文文本 Char"/>
    <w:autoRedefine/>
    <w:qFormat/>
    <w:uiPriority w:val="0"/>
    <w:rPr>
      <w:rFonts w:eastAsia="宋体"/>
      <w:kern w:val="2"/>
      <w:sz w:val="24"/>
      <w:szCs w:val="24"/>
      <w:lang w:val="en-US" w:eastAsia="zh-CN" w:bidi="ar-SA"/>
    </w:rPr>
  </w:style>
  <w:style w:type="character" w:customStyle="1" w:styleId="371">
    <w:name w:val="文档结构图 字符1"/>
    <w:autoRedefine/>
    <w:qFormat/>
    <w:uiPriority w:val="0"/>
    <w:rPr>
      <w:rFonts w:ascii="宋体" w:hAnsi="Calibri" w:eastAsia="黑体" w:cs="Arial"/>
      <w:snapToGrid w:val="0"/>
      <w:kern w:val="2"/>
      <w:sz w:val="18"/>
      <w:szCs w:val="18"/>
    </w:rPr>
  </w:style>
  <w:style w:type="character" w:customStyle="1" w:styleId="372">
    <w:name w:val="content"/>
    <w:autoRedefine/>
    <w:qFormat/>
    <w:uiPriority w:val="0"/>
  </w:style>
  <w:style w:type="character" w:customStyle="1" w:styleId="373">
    <w:name w:val="tw4winPopup"/>
    <w:autoRedefine/>
    <w:qFormat/>
    <w:uiPriority w:val="0"/>
    <w:rPr>
      <w:rFonts w:ascii="Courier New" w:hAnsi="Courier New" w:cs="Courier New"/>
      <w:color w:val="008000"/>
      <w:lang w:val="en-US" w:eastAsia="zh-CN"/>
    </w:rPr>
  </w:style>
  <w:style w:type="character" w:customStyle="1" w:styleId="374">
    <w:name w:val="param-name"/>
    <w:autoRedefine/>
    <w:qFormat/>
    <w:uiPriority w:val="99"/>
    <w:rPr>
      <w:rFonts w:ascii="Arial" w:hAnsi="Arial" w:eastAsia="黑体" w:cs="Arial"/>
      <w:snapToGrid w:val="0"/>
      <w:kern w:val="0"/>
      <w:szCs w:val="21"/>
    </w:rPr>
  </w:style>
  <w:style w:type="character" w:customStyle="1" w:styleId="375">
    <w:name w:val="标准正文格式 Char"/>
    <w:autoRedefine/>
    <w:qFormat/>
    <w:uiPriority w:val="0"/>
    <w:rPr>
      <w:rFonts w:ascii="宋体" w:eastAsia="仿宋_GB2312" w:cs="宋体"/>
      <w:color w:val="000000"/>
      <w:sz w:val="24"/>
      <w:lang w:val="en-US" w:eastAsia="zh-CN" w:bidi="ar-SA"/>
    </w:rPr>
  </w:style>
  <w:style w:type="character" w:customStyle="1" w:styleId="376">
    <w:name w:val="Char Char212"/>
    <w:autoRedefine/>
    <w:qFormat/>
    <w:uiPriority w:val="0"/>
    <w:rPr>
      <w:rFonts w:eastAsia="宋体"/>
      <w:b/>
      <w:bCs/>
      <w:kern w:val="2"/>
      <w:sz w:val="21"/>
      <w:szCs w:val="24"/>
      <w:lang w:val="en-US" w:eastAsia="zh-CN" w:bidi="ar-SA"/>
    </w:rPr>
  </w:style>
  <w:style w:type="character" w:customStyle="1" w:styleId="377">
    <w:name w:val="文档结构图 Char"/>
    <w:autoRedefine/>
    <w:qFormat/>
    <w:uiPriority w:val="0"/>
    <w:rPr>
      <w:rFonts w:eastAsia="宋体"/>
      <w:kern w:val="2"/>
      <w:sz w:val="21"/>
      <w:szCs w:val="24"/>
      <w:lang w:val="en-US" w:eastAsia="zh-CN" w:bidi="ar-SA"/>
    </w:rPr>
  </w:style>
  <w:style w:type="character" w:customStyle="1" w:styleId="378">
    <w:name w:val="zbggmain style9"/>
    <w:autoRedefine/>
    <w:qFormat/>
    <w:uiPriority w:val="0"/>
  </w:style>
  <w:style w:type="character" w:customStyle="1" w:styleId="379">
    <w:name w:val="Char Char16"/>
    <w:autoRedefine/>
    <w:qFormat/>
    <w:uiPriority w:val="6"/>
    <w:rPr>
      <w:kern w:val="1"/>
      <w:sz w:val="18"/>
      <w:szCs w:val="18"/>
    </w:rPr>
  </w:style>
  <w:style w:type="character" w:customStyle="1" w:styleId="380">
    <w:name w:val="font51"/>
    <w:autoRedefine/>
    <w:qFormat/>
    <w:uiPriority w:val="0"/>
    <w:rPr>
      <w:rFonts w:hint="eastAsia" w:ascii="仿宋" w:hAnsi="仿宋" w:eastAsia="仿宋" w:cs="仿宋"/>
      <w:color w:val="000000"/>
      <w:sz w:val="20"/>
      <w:szCs w:val="20"/>
      <w:u w:val="none"/>
    </w:rPr>
  </w:style>
  <w:style w:type="character" w:customStyle="1" w:styleId="381">
    <w:name w:val="Char Char82"/>
    <w:autoRedefine/>
    <w:qFormat/>
    <w:uiPriority w:val="0"/>
    <w:rPr>
      <w:rFonts w:eastAsia="宋体"/>
      <w:b/>
      <w:sz w:val="24"/>
      <w:lang w:val="en-GB" w:eastAsia="zh-CN"/>
    </w:rPr>
  </w:style>
  <w:style w:type="character" w:customStyle="1" w:styleId="382">
    <w:name w:val="正文文本缩进 3 Char"/>
    <w:link w:val="55"/>
    <w:autoRedefine/>
    <w:qFormat/>
    <w:uiPriority w:val="0"/>
    <w:rPr>
      <w:kern w:val="2"/>
      <w:sz w:val="24"/>
    </w:rPr>
  </w:style>
  <w:style w:type="character" w:customStyle="1" w:styleId="383">
    <w:name w:val="日期 Char1"/>
    <w:autoRedefine/>
    <w:semiHidden/>
    <w:qFormat/>
    <w:uiPriority w:val="99"/>
    <w:rPr>
      <w:rFonts w:ascii="Times New Roman" w:hAnsi="Times New Roman" w:eastAsia="宋体" w:cs="Times New Roman"/>
      <w:szCs w:val="24"/>
    </w:rPr>
  </w:style>
  <w:style w:type="character" w:customStyle="1" w:styleId="384">
    <w:name w:val="页眉 字符"/>
    <w:autoRedefine/>
    <w:qFormat/>
    <w:uiPriority w:val="99"/>
    <w:rPr>
      <w:kern w:val="2"/>
      <w:sz w:val="18"/>
      <w:szCs w:val="18"/>
    </w:rPr>
  </w:style>
  <w:style w:type="character" w:customStyle="1" w:styleId="385">
    <w:name w:val="Char Char33"/>
    <w:autoRedefine/>
    <w:qFormat/>
    <w:uiPriority w:val="6"/>
    <w:rPr>
      <w:rFonts w:ascii="Arial" w:hAnsi="Arial" w:eastAsia="黑体"/>
      <w:b/>
      <w:kern w:val="1"/>
      <w:sz w:val="24"/>
      <w:szCs w:val="24"/>
    </w:rPr>
  </w:style>
  <w:style w:type="character" w:customStyle="1" w:styleId="386">
    <w:name w:val="b11_01b Char"/>
    <w:link w:val="387"/>
    <w:autoRedefine/>
    <w:qFormat/>
    <w:uiPriority w:val="0"/>
    <w:rPr>
      <w:rFonts w:ascii="Verdana" w:hAnsi="Verdana"/>
      <w:b/>
      <w:bCs/>
      <w:color w:val="4A82CA"/>
      <w:sz w:val="17"/>
      <w:szCs w:val="17"/>
    </w:rPr>
  </w:style>
  <w:style w:type="paragraph" w:customStyle="1" w:styleId="387">
    <w:name w:val="b11_01b"/>
    <w:basedOn w:val="1"/>
    <w:next w:val="1"/>
    <w:link w:val="386"/>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autoRedefine/>
    <w:qFormat/>
    <w:uiPriority w:val="6"/>
    <w:rPr>
      <w:rFonts w:ascii="仿宋_GB2312" w:eastAsia="仿宋_GB2312"/>
      <w:b/>
      <w:bCs/>
      <w:kern w:val="2"/>
      <w:sz w:val="24"/>
      <w:szCs w:val="24"/>
      <w:lang w:val="zh-CN" w:eastAsia="zh-CN" w:bidi="ar-SA"/>
    </w:rPr>
  </w:style>
  <w:style w:type="character" w:customStyle="1" w:styleId="389">
    <w:name w:val="Footer-Even Char"/>
    <w:autoRedefine/>
    <w:qFormat/>
    <w:uiPriority w:val="0"/>
    <w:rPr>
      <w:rFonts w:eastAsia="宋体"/>
      <w:kern w:val="2"/>
      <w:sz w:val="18"/>
      <w:lang w:val="en-US" w:eastAsia="zh-CN" w:bidi="ar-SA"/>
    </w:rPr>
  </w:style>
  <w:style w:type="character" w:customStyle="1" w:styleId="390">
    <w:name w:val="页脚 Char2"/>
    <w:link w:val="42"/>
    <w:autoRedefine/>
    <w:qFormat/>
    <w:locked/>
    <w:uiPriority w:val="99"/>
    <w:rPr>
      <w:kern w:val="2"/>
      <w:sz w:val="18"/>
      <w:szCs w:val="18"/>
    </w:rPr>
  </w:style>
  <w:style w:type="character" w:customStyle="1" w:styleId="391">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2">
    <w:name w:val="Char Char61"/>
    <w:autoRedefine/>
    <w:qFormat/>
    <w:uiPriority w:val="6"/>
    <w:rPr>
      <w:rFonts w:eastAsia="宋体"/>
      <w:kern w:val="2"/>
      <w:sz w:val="21"/>
      <w:szCs w:val="24"/>
      <w:lang w:val="en-US" w:eastAsia="zh-CN" w:bidi="ar-SA"/>
    </w:rPr>
  </w:style>
  <w:style w:type="character" w:customStyle="1" w:styleId="393">
    <w:name w:val="正文文字缩进 2 Char Char"/>
    <w:autoRedefine/>
    <w:qFormat/>
    <w:uiPriority w:val="0"/>
    <w:rPr>
      <w:rFonts w:ascii="宋体"/>
      <w:sz w:val="28"/>
    </w:rPr>
  </w:style>
  <w:style w:type="character" w:customStyle="1" w:styleId="394">
    <w:name w:val="f141"/>
    <w:autoRedefine/>
    <w:qFormat/>
    <w:uiPriority w:val="0"/>
    <w:rPr>
      <w:rFonts w:ascii="Tahoma" w:hAnsi="Tahoma" w:eastAsia="宋体"/>
      <w:b/>
      <w:kern w:val="2"/>
      <w:sz w:val="21"/>
      <w:szCs w:val="21"/>
      <w:lang w:val="en-US" w:eastAsia="zh-CN" w:bidi="ar-SA"/>
    </w:rPr>
  </w:style>
  <w:style w:type="character" w:customStyle="1" w:styleId="395">
    <w:name w:val="段落 Char Char"/>
    <w:link w:val="396"/>
    <w:autoRedefine/>
    <w:qFormat/>
    <w:uiPriority w:val="0"/>
    <w:rPr>
      <w:rFonts w:ascii="宋体" w:hAnsi="宋体"/>
      <w:sz w:val="24"/>
    </w:rPr>
  </w:style>
  <w:style w:type="paragraph" w:customStyle="1" w:styleId="396">
    <w:name w:val="段落"/>
    <w:basedOn w:val="1"/>
    <w:link w:val="395"/>
    <w:autoRedefine/>
    <w:qFormat/>
    <w:uiPriority w:val="0"/>
    <w:pPr>
      <w:adjustRightInd/>
      <w:spacing w:line="360" w:lineRule="auto"/>
      <w:ind w:firstLine="480" w:firstLineChars="200"/>
    </w:pPr>
    <w:rPr>
      <w:rFonts w:ascii="宋体" w:hAnsi="宋体"/>
      <w:kern w:val="0"/>
      <w:sz w:val="24"/>
      <w:szCs w:val="20"/>
    </w:rPr>
  </w:style>
  <w:style w:type="character" w:customStyle="1" w:styleId="397">
    <w:name w:val="标题 3 Char2"/>
    <w:autoRedefine/>
    <w:qFormat/>
    <w:uiPriority w:val="0"/>
    <w:rPr>
      <w:rFonts w:eastAsia="宋体"/>
      <w:b/>
      <w:bCs/>
      <w:kern w:val="2"/>
      <w:sz w:val="32"/>
      <w:szCs w:val="32"/>
      <w:lang w:val="en-US" w:eastAsia="zh-CN" w:bidi="ar-SA"/>
    </w:rPr>
  </w:style>
  <w:style w:type="character" w:customStyle="1" w:styleId="398">
    <w:name w:val="apple-converted-space"/>
    <w:autoRedefine/>
    <w:qFormat/>
    <w:uiPriority w:val="0"/>
  </w:style>
  <w:style w:type="character" w:customStyle="1" w:styleId="399">
    <w:name w:val="页眉 Char2"/>
    <w:link w:val="43"/>
    <w:autoRedefine/>
    <w:qFormat/>
    <w:uiPriority w:val="99"/>
    <w:rPr>
      <w:kern w:val="2"/>
      <w:sz w:val="18"/>
      <w:szCs w:val="18"/>
    </w:rPr>
  </w:style>
  <w:style w:type="character" w:customStyle="1" w:styleId="400">
    <w:name w:val="Char Char9"/>
    <w:autoRedefine/>
    <w:qFormat/>
    <w:uiPriority w:val="0"/>
    <w:rPr>
      <w:rFonts w:eastAsia="宋体"/>
      <w:kern w:val="2"/>
      <w:sz w:val="18"/>
      <w:szCs w:val="18"/>
      <w:lang w:val="en-US" w:eastAsia="zh-CN" w:bidi="ar-SA"/>
    </w:rPr>
  </w:style>
  <w:style w:type="character" w:customStyle="1" w:styleId="401">
    <w:name w:val="Char Char41"/>
    <w:autoRedefine/>
    <w:qFormat/>
    <w:uiPriority w:val="0"/>
    <w:rPr>
      <w:rFonts w:eastAsia="宋体"/>
      <w:b/>
      <w:sz w:val="24"/>
      <w:lang w:val="en-GB" w:eastAsia="zh-CN" w:bidi="ar-SA"/>
    </w:rPr>
  </w:style>
  <w:style w:type="character" w:customStyle="1" w:styleId="402">
    <w:name w:val="large1"/>
    <w:autoRedefine/>
    <w:qFormat/>
    <w:uiPriority w:val="0"/>
    <w:rPr>
      <w:rFonts w:hint="eastAsia" w:ascii="宋体" w:hAnsi="宋体" w:eastAsia="宋体"/>
      <w:sz w:val="21"/>
      <w:szCs w:val="21"/>
    </w:rPr>
  </w:style>
  <w:style w:type="character" w:customStyle="1" w:styleId="403">
    <w:name w:val="正文段 Char"/>
    <w:link w:val="404"/>
    <w:autoRedefine/>
    <w:qFormat/>
    <w:uiPriority w:val="0"/>
    <w:rPr>
      <w:sz w:val="24"/>
    </w:rPr>
  </w:style>
  <w:style w:type="paragraph" w:customStyle="1" w:styleId="404">
    <w:name w:val="正文段"/>
    <w:basedOn w:val="1"/>
    <w:link w:val="403"/>
    <w:autoRedefine/>
    <w:qFormat/>
    <w:uiPriority w:val="0"/>
    <w:pPr>
      <w:widowControl/>
      <w:snapToGrid w:val="0"/>
      <w:spacing w:afterLines="50"/>
      <w:ind w:firstLine="200" w:firstLineChars="200"/>
    </w:pPr>
    <w:rPr>
      <w:kern w:val="0"/>
      <w:sz w:val="24"/>
      <w:szCs w:val="20"/>
    </w:rPr>
  </w:style>
  <w:style w:type="character" w:customStyle="1" w:styleId="405">
    <w:name w:val="Char Char13"/>
    <w:autoRedefine/>
    <w:qFormat/>
    <w:uiPriority w:val="6"/>
    <w:rPr>
      <w:rFonts w:ascii="宋体" w:hAnsi="宋体"/>
      <w:kern w:val="1"/>
      <w:sz w:val="21"/>
      <w:szCs w:val="24"/>
    </w:rPr>
  </w:style>
  <w:style w:type="character" w:customStyle="1" w:styleId="406">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7">
    <w:name w:val="冯广丽 Char"/>
    <w:link w:val="408"/>
    <w:autoRedefine/>
    <w:qFormat/>
    <w:uiPriority w:val="0"/>
    <w:rPr>
      <w:rFonts w:ascii="宋体" w:hAnsi="宋体"/>
      <w:kern w:val="2"/>
      <w:sz w:val="24"/>
      <w:szCs w:val="22"/>
    </w:rPr>
  </w:style>
  <w:style w:type="paragraph" w:customStyle="1" w:styleId="408">
    <w:name w:val="冯广丽"/>
    <w:basedOn w:val="1"/>
    <w:link w:val="407"/>
    <w:autoRedefine/>
    <w:qFormat/>
    <w:uiPriority w:val="0"/>
    <w:pPr>
      <w:adjustRightInd/>
      <w:spacing w:line="360" w:lineRule="auto"/>
      <w:ind w:firstLine="480" w:firstLineChars="200"/>
    </w:pPr>
    <w:rPr>
      <w:rFonts w:ascii="宋体" w:hAnsi="宋体"/>
      <w:sz w:val="24"/>
      <w:szCs w:val="22"/>
    </w:rPr>
  </w:style>
  <w:style w:type="character" w:customStyle="1" w:styleId="409">
    <w:name w:val="批注文字 字符"/>
    <w:autoRedefine/>
    <w:qFormat/>
    <w:uiPriority w:val="0"/>
    <w:rPr>
      <w:rFonts w:ascii="Arial" w:hAnsi="Arial" w:eastAsia="黑体" w:cs="Arial"/>
      <w:snapToGrid w:val="0"/>
      <w:kern w:val="0"/>
      <w:szCs w:val="21"/>
    </w:rPr>
  </w:style>
  <w:style w:type="character" w:customStyle="1" w:styleId="410">
    <w:name w:val="Char Char161"/>
    <w:autoRedefine/>
    <w:qFormat/>
    <w:uiPriority w:val="0"/>
    <w:rPr>
      <w:rFonts w:eastAsia="宋体"/>
      <w:b/>
      <w:kern w:val="2"/>
      <w:sz w:val="32"/>
      <w:lang w:val="en-US" w:eastAsia="zh-CN"/>
    </w:rPr>
  </w:style>
  <w:style w:type="character" w:customStyle="1" w:styleId="411">
    <w:name w:val="javascript"/>
    <w:autoRedefine/>
    <w:qFormat/>
    <w:uiPriority w:val="0"/>
  </w:style>
  <w:style w:type="character" w:customStyle="1" w:styleId="412">
    <w:name w:val="图名 Char"/>
    <w:autoRedefine/>
    <w:qFormat/>
    <w:uiPriority w:val="0"/>
    <w:rPr>
      <w:rFonts w:ascii="Arial" w:hAnsi="Arial" w:eastAsia="黑体"/>
      <w:kern w:val="2"/>
      <w:sz w:val="24"/>
      <w:szCs w:val="24"/>
      <w:lang w:val="en-US" w:eastAsia="zh-CN" w:bidi="ar-SA"/>
    </w:rPr>
  </w:style>
  <w:style w:type="character" w:customStyle="1" w:styleId="413">
    <w:name w:val="Used by Word for text of Help footnotes Char Char"/>
    <w:autoRedefine/>
    <w:qFormat/>
    <w:uiPriority w:val="0"/>
    <w:rPr>
      <w:rFonts w:ascii="Times New Roman" w:hAnsi="Times New Roman" w:eastAsia="宋体" w:cs="Times New Roman"/>
      <w:sz w:val="20"/>
      <w:szCs w:val="20"/>
    </w:rPr>
  </w:style>
  <w:style w:type="character" w:customStyle="1" w:styleId="414">
    <w:name w:val="编号，小四 Char"/>
    <w:link w:val="415"/>
    <w:autoRedefine/>
    <w:qFormat/>
    <w:uiPriority w:val="0"/>
    <w:rPr>
      <w:rFonts w:ascii="Arial" w:hAnsi="Arial"/>
      <w:sz w:val="24"/>
    </w:rPr>
  </w:style>
  <w:style w:type="paragraph" w:customStyle="1" w:styleId="415">
    <w:name w:val="编号，小四"/>
    <w:basedOn w:val="1"/>
    <w:link w:val="414"/>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6">
    <w:name w:val="Font Style82"/>
    <w:autoRedefine/>
    <w:qFormat/>
    <w:uiPriority w:val="99"/>
    <w:rPr>
      <w:rFonts w:ascii="宋体" w:eastAsia="宋体" w:cs="宋体"/>
      <w:color w:val="000000"/>
      <w:sz w:val="14"/>
      <w:szCs w:val="14"/>
    </w:rPr>
  </w:style>
  <w:style w:type="character" w:customStyle="1" w:styleId="417">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8">
    <w:name w:val="未用 Char"/>
    <w:autoRedefine/>
    <w:qFormat/>
    <w:uiPriority w:val="0"/>
    <w:rPr>
      <w:rFonts w:ascii="Arial" w:hAnsi="Arial" w:eastAsia="黑体"/>
      <w:kern w:val="2"/>
      <w:sz w:val="21"/>
      <w:szCs w:val="21"/>
      <w:lang w:val="en-US" w:eastAsia="zh-CN" w:bidi="ar-SA"/>
    </w:rPr>
  </w:style>
  <w:style w:type="character" w:customStyle="1" w:styleId="419">
    <w:name w:val="myp1111"/>
    <w:autoRedefine/>
    <w:qFormat/>
    <w:uiPriority w:val="0"/>
    <w:rPr>
      <w:rFonts w:hint="default" w:ascii="ˎ̥" w:hAnsi="ˎ̥"/>
      <w:color w:val="000000"/>
      <w:sz w:val="20"/>
      <w:szCs w:val="20"/>
      <w:u w:val="none"/>
    </w:rPr>
  </w:style>
  <w:style w:type="character" w:customStyle="1" w:styleId="420">
    <w:name w:val="样式 标题 4h4H4Fab-4T5Ref Heading 1rh1Heading sqlsect 1.2.3.... Char"/>
    <w:link w:val="312"/>
    <w:autoRedefine/>
    <w:qFormat/>
    <w:uiPriority w:val="0"/>
    <w:rPr>
      <w:rFonts w:ascii="微软雅黑" w:hAnsi="微软雅黑" w:eastAsia="微软雅黑"/>
      <w:b/>
      <w:bCs/>
      <w:kern w:val="2"/>
      <w:sz w:val="24"/>
      <w:szCs w:val="28"/>
    </w:rPr>
  </w:style>
  <w:style w:type="character" w:customStyle="1" w:styleId="421">
    <w:name w:val="h Char Char"/>
    <w:autoRedefine/>
    <w:qFormat/>
    <w:uiPriority w:val="0"/>
    <w:rPr>
      <w:rFonts w:eastAsia="宋体"/>
      <w:kern w:val="2"/>
      <w:sz w:val="18"/>
      <w:lang w:val="en-US" w:eastAsia="zh-CN" w:bidi="ar-SA"/>
    </w:rPr>
  </w:style>
  <w:style w:type="character" w:customStyle="1" w:styleId="422">
    <w:name w:val="仿宋正文 Char"/>
    <w:link w:val="423"/>
    <w:autoRedefine/>
    <w:qFormat/>
    <w:uiPriority w:val="0"/>
    <w:rPr>
      <w:rFonts w:ascii="仿宋_GB2312" w:eastAsia="仿宋_GB2312"/>
      <w:kern w:val="2"/>
      <w:sz w:val="24"/>
      <w:lang w:val="en-US" w:eastAsia="zh-CN" w:bidi="ar-SA"/>
    </w:rPr>
  </w:style>
  <w:style w:type="paragraph" w:customStyle="1" w:styleId="423">
    <w:name w:val="仿宋正文"/>
    <w:basedOn w:val="1"/>
    <w:link w:val="422"/>
    <w:autoRedefine/>
    <w:qFormat/>
    <w:uiPriority w:val="0"/>
    <w:pPr>
      <w:adjustRightInd/>
      <w:spacing w:line="360" w:lineRule="auto"/>
      <w:ind w:firstLine="480" w:firstLineChars="200"/>
    </w:pPr>
    <w:rPr>
      <w:rFonts w:ascii="仿宋_GB2312" w:eastAsia="仿宋_GB2312"/>
      <w:sz w:val="24"/>
      <w:szCs w:val="20"/>
    </w:rPr>
  </w:style>
  <w:style w:type="character" w:customStyle="1" w:styleId="424">
    <w:name w:val="正文首行缩进 Char Char Char Char Char Char"/>
    <w:autoRedefine/>
    <w:qFormat/>
    <w:uiPriority w:val="0"/>
    <w:rPr>
      <w:rFonts w:ascii="宋体" w:eastAsia="宋体"/>
      <w:kern w:val="2"/>
      <w:sz w:val="24"/>
      <w:lang w:val="zh-CN" w:bidi="ar-SA"/>
    </w:rPr>
  </w:style>
  <w:style w:type="character" w:customStyle="1" w:styleId="425">
    <w:name w:val="样式 宋体"/>
    <w:autoRedefine/>
    <w:qFormat/>
    <w:uiPriority w:val="0"/>
    <w:rPr>
      <w:rFonts w:ascii="宋体" w:hAnsi="宋体"/>
      <w:sz w:val="24"/>
    </w:rPr>
  </w:style>
  <w:style w:type="character" w:customStyle="1" w:styleId="426">
    <w:name w:val="tw4winJump"/>
    <w:autoRedefine/>
    <w:qFormat/>
    <w:uiPriority w:val="0"/>
    <w:rPr>
      <w:rFonts w:ascii="Courier New" w:hAnsi="Courier New" w:cs="Courier New"/>
      <w:color w:val="008080"/>
      <w:lang w:val="en-US" w:eastAsia="zh-CN"/>
    </w:rPr>
  </w:style>
  <w:style w:type="character" w:customStyle="1" w:styleId="427">
    <w:name w:val="标题 1 字符"/>
    <w:autoRedefine/>
    <w:qFormat/>
    <w:uiPriority w:val="9"/>
    <w:rPr>
      <w:rFonts w:ascii="Arial" w:hAnsi="Arial" w:eastAsia="黑体" w:cs="Arial"/>
      <w:b/>
      <w:bCs/>
      <w:snapToGrid w:val="0"/>
      <w:kern w:val="44"/>
      <w:sz w:val="44"/>
      <w:szCs w:val="44"/>
    </w:rPr>
  </w:style>
  <w:style w:type="character" w:customStyle="1" w:styleId="428">
    <w:name w:val="style36"/>
    <w:basedOn w:val="71"/>
    <w:autoRedefine/>
    <w:qFormat/>
    <w:uiPriority w:val="0"/>
    <w:rPr>
      <w:rFonts w:ascii="Arial" w:hAnsi="Arial" w:eastAsia="黑体" w:cs="Arial"/>
      <w:snapToGrid w:val="0"/>
      <w:kern w:val="0"/>
      <w:szCs w:val="21"/>
    </w:rPr>
  </w:style>
  <w:style w:type="character" w:customStyle="1" w:styleId="429">
    <w:name w:val="pt9"/>
    <w:autoRedefine/>
    <w:qFormat/>
    <w:uiPriority w:val="0"/>
    <w:rPr>
      <w:rFonts w:ascii="仿宋_GB2312" w:eastAsia="微软雅黑"/>
      <w:b/>
      <w:kern w:val="2"/>
      <w:sz w:val="32"/>
      <w:szCs w:val="32"/>
      <w:lang w:val="en-US" w:eastAsia="zh-CN" w:bidi="ar-SA"/>
    </w:rPr>
  </w:style>
  <w:style w:type="character" w:customStyle="1" w:styleId="430">
    <w:name w:val="DO_NOT_TRANSLATE"/>
    <w:autoRedefine/>
    <w:qFormat/>
    <w:uiPriority w:val="0"/>
    <w:rPr>
      <w:rFonts w:ascii="Courier New" w:hAnsi="Courier New" w:cs="Courier New"/>
      <w:color w:val="800000"/>
      <w:lang w:val="en-US" w:eastAsia="zh-CN"/>
    </w:rPr>
  </w:style>
  <w:style w:type="character" w:customStyle="1" w:styleId="431">
    <w:name w:val="标书1 Char1"/>
    <w:autoRedefine/>
    <w:qFormat/>
    <w:uiPriority w:val="0"/>
    <w:rPr>
      <w:rFonts w:eastAsia="宋体"/>
      <w:b/>
      <w:bCs/>
      <w:kern w:val="44"/>
      <w:sz w:val="44"/>
      <w:szCs w:val="44"/>
      <w:lang w:val="en-US" w:eastAsia="zh-CN" w:bidi="ar-SA"/>
    </w:rPr>
  </w:style>
  <w:style w:type="character" w:customStyle="1" w:styleId="432">
    <w:name w:val="页脚 字符"/>
    <w:autoRedefine/>
    <w:qFormat/>
    <w:uiPriority w:val="99"/>
    <w:rPr>
      <w:kern w:val="2"/>
      <w:sz w:val="18"/>
      <w:szCs w:val="18"/>
    </w:rPr>
  </w:style>
  <w:style w:type="character" w:customStyle="1" w:styleId="433">
    <w:name w:val="正文2 Char"/>
    <w:autoRedefine/>
    <w:qFormat/>
    <w:uiPriority w:val="0"/>
    <w:rPr>
      <w:rFonts w:eastAsia="宋体"/>
      <w:kern w:val="2"/>
      <w:sz w:val="24"/>
      <w:lang w:val="en-US" w:eastAsia="zh-CN" w:bidi="ar-SA"/>
    </w:rPr>
  </w:style>
  <w:style w:type="character" w:customStyle="1" w:styleId="434">
    <w:name w:val="Char Char21"/>
    <w:autoRedefine/>
    <w:qFormat/>
    <w:uiPriority w:val="6"/>
    <w:rPr>
      <w:rFonts w:ascii="宋体" w:hAnsi="宋体"/>
      <w:kern w:val="1"/>
      <w:sz w:val="24"/>
      <w:szCs w:val="21"/>
      <w:lang w:val="zh-CN"/>
    </w:rPr>
  </w:style>
  <w:style w:type="character" w:customStyle="1" w:styleId="435">
    <w:name w:val="样式 正文缩进 + 首行缩进:  2 字符 Char Char"/>
    <w:link w:val="436"/>
    <w:autoRedefine/>
    <w:qFormat/>
    <w:uiPriority w:val="0"/>
    <w:rPr>
      <w:rFonts w:cs="宋体"/>
      <w:kern w:val="2"/>
      <w:sz w:val="24"/>
    </w:rPr>
  </w:style>
  <w:style w:type="paragraph" w:customStyle="1" w:styleId="436">
    <w:name w:val="样式 正文缩进 + 首行缩进:  2 字符"/>
    <w:basedOn w:val="15"/>
    <w:link w:val="435"/>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7">
    <w:name w:val="正文文本 Char1"/>
    <w:link w:val="25"/>
    <w:autoRedefine/>
    <w:qFormat/>
    <w:uiPriority w:val="0"/>
    <w:rPr>
      <w:rFonts w:ascii="宋体" w:hAnsi="Arial" w:eastAsia="宋体" w:cs="Arial"/>
      <w:snapToGrid w:val="0"/>
      <w:kern w:val="2"/>
      <w:sz w:val="24"/>
      <w:szCs w:val="21"/>
      <w:lang w:val="zh-CN" w:eastAsia="zh-CN" w:bidi="ar-SA"/>
    </w:rPr>
  </w:style>
  <w:style w:type="character" w:customStyle="1" w:styleId="438">
    <w:name w:val="gray6"/>
    <w:basedOn w:val="71"/>
    <w:autoRedefine/>
    <w:qFormat/>
    <w:uiPriority w:val="0"/>
    <w:rPr>
      <w:rFonts w:ascii="Arial" w:hAnsi="Arial" w:eastAsia="黑体" w:cs="Arial"/>
      <w:snapToGrid w:val="0"/>
      <w:kern w:val="0"/>
      <w:szCs w:val="21"/>
    </w:rPr>
  </w:style>
  <w:style w:type="character" w:customStyle="1" w:styleId="439">
    <w:name w:val="hui"/>
    <w:basedOn w:val="71"/>
    <w:autoRedefine/>
    <w:qFormat/>
    <w:uiPriority w:val="0"/>
    <w:rPr>
      <w:rFonts w:ascii="Arial" w:hAnsi="Arial" w:eastAsia="黑体" w:cs="Arial"/>
      <w:snapToGrid w:val="0"/>
      <w:kern w:val="0"/>
      <w:szCs w:val="21"/>
    </w:rPr>
  </w:style>
  <w:style w:type="character" w:customStyle="1" w:styleId="440">
    <w:name w:val="哈哈正文 Char Char"/>
    <w:autoRedefine/>
    <w:qFormat/>
    <w:uiPriority w:val="0"/>
    <w:rPr>
      <w:rFonts w:ascii="宋体" w:hAnsi="宋体" w:eastAsia="宋体" w:cs="宋体"/>
      <w:kern w:val="2"/>
      <w:sz w:val="24"/>
      <w:lang w:val="en-US" w:eastAsia="zh-CN" w:bidi="ar-SA"/>
    </w:rPr>
  </w:style>
  <w:style w:type="paragraph" w:customStyle="1" w:styleId="441">
    <w:name w:val="样式 正文文本缩进 + 左侧:  2 字符 首行缩进:  2 字符"/>
    <w:basedOn w:val="2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2">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43">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4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5">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7">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8">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9">
    <w:name w:val="正文 内标 序号标"/>
    <w:basedOn w:val="450"/>
    <w:autoRedefine/>
    <w:qFormat/>
    <w:uiPriority w:val="0"/>
    <w:pPr>
      <w:tabs>
        <w:tab w:val="left" w:pos="0"/>
      </w:tabs>
      <w:adjustRightInd/>
      <w:spacing w:before="0"/>
      <w:ind w:firstLine="482"/>
    </w:pPr>
    <w:rPr>
      <w:rFonts w:ascii="微软雅黑" w:hAnsi="微软雅黑"/>
      <w:sz w:val="24"/>
      <w:szCs w:val="24"/>
    </w:rPr>
  </w:style>
  <w:style w:type="paragraph" w:customStyle="1" w:styleId="450">
    <w:name w:val="My正文"/>
    <w:basedOn w:val="1"/>
    <w:autoRedefine/>
    <w:qFormat/>
    <w:uiPriority w:val="0"/>
    <w:pPr>
      <w:spacing w:before="120" w:line="360" w:lineRule="auto"/>
      <w:ind w:firstLine="567"/>
    </w:pPr>
    <w:rPr>
      <w:rFonts w:ascii="Arial" w:hAnsi="Arial"/>
      <w:sz w:val="20"/>
      <w:szCs w:val="20"/>
    </w:rPr>
  </w:style>
  <w:style w:type="paragraph" w:customStyle="1" w:styleId="4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52">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5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4">
    <w:name w:val="修订2"/>
    <w:autoRedefine/>
    <w:qFormat/>
    <w:uiPriority w:val="0"/>
    <w:rPr>
      <w:rFonts w:ascii="Times New Roman" w:hAnsi="Times New Roman" w:eastAsia="宋体" w:cs="Times New Roman"/>
      <w:kern w:val="2"/>
      <w:sz w:val="21"/>
      <w:lang w:val="en-US" w:eastAsia="zh-CN" w:bidi="ar-SA"/>
    </w:rPr>
  </w:style>
  <w:style w:type="paragraph" w:customStyle="1" w:styleId="455">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6">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7">
    <w:name w:val="文章标题"/>
    <w:next w:val="458"/>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8">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9">
    <w:name w:val="Char1 Char Char Char5"/>
    <w:basedOn w:val="1"/>
    <w:autoRedefine/>
    <w:qFormat/>
    <w:uiPriority w:val="0"/>
    <w:pPr>
      <w:adjustRightInd/>
      <w:ind w:firstLine="200" w:firstLineChars="200"/>
    </w:pPr>
    <w:rPr>
      <w:rFonts w:ascii="Tahoma" w:hAnsi="Tahoma"/>
      <w:sz w:val="24"/>
      <w:szCs w:val="20"/>
    </w:rPr>
  </w:style>
  <w:style w:type="paragraph" w:customStyle="1" w:styleId="46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2">
    <w:name w:val="Char Char Char Char Char Char Char Char"/>
    <w:basedOn w:val="1"/>
    <w:autoRedefine/>
    <w:qFormat/>
    <w:uiPriority w:val="0"/>
    <w:pPr>
      <w:tabs>
        <w:tab w:val="left" w:pos="360"/>
      </w:tabs>
    </w:pPr>
    <w:rPr>
      <w:sz w:val="24"/>
      <w:szCs w:val="20"/>
    </w:rPr>
  </w:style>
  <w:style w:type="paragraph" w:customStyle="1" w:styleId="463">
    <w:name w:val="Char Char11 Char Char Char"/>
    <w:basedOn w:val="1"/>
    <w:autoRedefine/>
    <w:qFormat/>
    <w:uiPriority w:val="0"/>
    <w:pPr>
      <w:spacing w:line="360" w:lineRule="auto"/>
    </w:pPr>
    <w:rPr>
      <w:szCs w:val="20"/>
    </w:rPr>
  </w:style>
  <w:style w:type="paragraph" w:customStyle="1" w:styleId="464">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5">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6">
    <w:name w:val="样式3"/>
    <w:basedOn w:val="467"/>
    <w:autoRedefine/>
    <w:qFormat/>
    <w:uiPriority w:val="0"/>
    <w:pPr>
      <w:tabs>
        <w:tab w:val="left" w:pos="2790"/>
        <w:tab w:val="left" w:pos="4230"/>
      </w:tabs>
      <w:spacing w:beforeLines="100"/>
      <w:jc w:val="left"/>
    </w:pPr>
  </w:style>
  <w:style w:type="paragraph" w:customStyle="1" w:styleId="46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8">
    <w:name w:val="Char Char1 Char Char1 Char Char1"/>
    <w:basedOn w:val="1"/>
    <w:autoRedefine/>
    <w:qFormat/>
    <w:uiPriority w:val="0"/>
    <w:pPr>
      <w:tabs>
        <w:tab w:val="left" w:pos="840"/>
      </w:tabs>
      <w:ind w:left="840" w:hanging="420"/>
    </w:pPr>
    <w:rPr>
      <w:rFonts w:ascii="Tahoma" w:hAnsi="Tahoma"/>
      <w:sz w:val="24"/>
    </w:rPr>
  </w:style>
  <w:style w:type="paragraph" w:customStyle="1" w:styleId="46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70">
    <w:name w:val="标书标题2"/>
    <w:basedOn w:val="3"/>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7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72">
    <w:name w:val="正文21"/>
    <w:basedOn w:val="1"/>
    <w:autoRedefine/>
    <w:qFormat/>
    <w:uiPriority w:val="0"/>
    <w:pPr>
      <w:adjustRightInd/>
      <w:spacing w:before="156" w:line="360" w:lineRule="auto"/>
      <w:ind w:firstLine="510" w:firstLineChars="200"/>
    </w:pPr>
    <w:rPr>
      <w:sz w:val="24"/>
      <w:szCs w:val="20"/>
    </w:rPr>
  </w:style>
  <w:style w:type="paragraph" w:customStyle="1" w:styleId="473">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5">
    <w:name w:val="Char1"/>
    <w:basedOn w:val="1"/>
    <w:autoRedefine/>
    <w:qFormat/>
    <w:uiPriority w:val="0"/>
    <w:rPr>
      <w:rFonts w:ascii="仿宋_GB2312" w:eastAsia="仿宋_GB2312"/>
      <w:b/>
      <w:sz w:val="32"/>
      <w:szCs w:val="32"/>
    </w:rPr>
  </w:style>
  <w:style w:type="paragraph" w:customStyle="1" w:styleId="47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7">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8">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9">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0">
    <w:name w:val="6级标题"/>
    <w:basedOn w:val="481"/>
    <w:autoRedefine/>
    <w:qFormat/>
    <w:uiPriority w:val="0"/>
    <w:pPr>
      <w:keepNext/>
      <w:tabs>
        <w:tab w:val="left" w:pos="360"/>
      </w:tabs>
      <w:outlineLvl w:val="5"/>
    </w:pPr>
  </w:style>
  <w:style w:type="paragraph" w:customStyle="1" w:styleId="481">
    <w:name w:val="5级标题"/>
    <w:basedOn w:val="48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82">
    <w:name w:val="4级标题"/>
    <w:basedOn w:val="265"/>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4">
    <w:name w:val="Char2 Char Char"/>
    <w:basedOn w:val="1"/>
    <w:autoRedefine/>
    <w:qFormat/>
    <w:uiPriority w:val="0"/>
    <w:pPr>
      <w:adjustRightInd/>
    </w:pPr>
    <w:rPr>
      <w:rFonts w:ascii="Tahoma" w:hAnsi="Tahoma"/>
      <w:sz w:val="24"/>
      <w:szCs w:val="20"/>
    </w:rPr>
  </w:style>
  <w:style w:type="paragraph" w:customStyle="1" w:styleId="485">
    <w:name w:val="_Style 11"/>
    <w:basedOn w:val="1"/>
    <w:autoRedefine/>
    <w:qFormat/>
    <w:uiPriority w:val="34"/>
    <w:pPr>
      <w:adjustRightInd/>
      <w:ind w:firstLine="420" w:firstLineChars="200"/>
    </w:pPr>
    <w:rPr>
      <w:rFonts w:eastAsia="仿宋_GB2312"/>
      <w:sz w:val="28"/>
    </w:rPr>
  </w:style>
  <w:style w:type="paragraph" w:customStyle="1" w:styleId="486">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7">
    <w:name w:val="Char Char Char"/>
    <w:basedOn w:val="1"/>
    <w:autoRedefine/>
    <w:qFormat/>
    <w:uiPriority w:val="0"/>
    <w:rPr>
      <w:rFonts w:ascii="Tahoma" w:hAnsi="Tahoma"/>
      <w:sz w:val="24"/>
      <w:szCs w:val="20"/>
    </w:rPr>
  </w:style>
  <w:style w:type="paragraph" w:customStyle="1" w:styleId="488">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90">
    <w:name w:val="No Spacing"/>
    <w:basedOn w:val="1"/>
    <w:link w:val="937"/>
    <w:autoRedefine/>
    <w:qFormat/>
    <w:uiPriority w:val="99"/>
    <w:rPr>
      <w:szCs w:val="22"/>
    </w:rPr>
  </w:style>
  <w:style w:type="paragraph" w:customStyle="1" w:styleId="49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2">
    <w:name w:val="Char Char Char Char Char Char Char Char Char Char Char Char1 Char1"/>
    <w:basedOn w:val="1"/>
    <w:autoRedefine/>
    <w:qFormat/>
    <w:uiPriority w:val="6"/>
    <w:rPr>
      <w:rFonts w:ascii="Tahoma" w:hAnsi="Tahoma" w:cs="仿宋_GB2312"/>
      <w:sz w:val="24"/>
      <w:szCs w:val="20"/>
    </w:rPr>
  </w:style>
  <w:style w:type="paragraph" w:customStyle="1" w:styleId="49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4">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6">
    <w:name w:val="MM Topic 2"/>
    <w:basedOn w:val="3"/>
    <w:autoRedefine/>
    <w:qFormat/>
    <w:uiPriority w:val="0"/>
    <w:pPr>
      <w:tabs>
        <w:tab w:val="left" w:pos="1260"/>
      </w:tabs>
      <w:ind w:left="1260" w:hanging="420"/>
    </w:pPr>
    <w:rPr>
      <w:rFonts w:ascii="Arial" w:hAnsi="Arial" w:eastAsia="黑体"/>
      <w:lang w:val="en-US"/>
    </w:rPr>
  </w:style>
  <w:style w:type="paragraph" w:customStyle="1" w:styleId="497">
    <w:name w:val="五级无标题条"/>
    <w:basedOn w:val="1"/>
    <w:autoRedefine/>
    <w:qFormat/>
    <w:uiPriority w:val="0"/>
    <w:pPr>
      <w:adjustRightInd/>
    </w:pPr>
  </w:style>
  <w:style w:type="paragraph" w:customStyle="1" w:styleId="498">
    <w:name w:val="Char5"/>
    <w:basedOn w:val="1"/>
    <w:autoRedefine/>
    <w:qFormat/>
    <w:uiPriority w:val="0"/>
    <w:rPr>
      <w:rFonts w:ascii="仿宋_GB2312" w:eastAsia="仿宋_GB2312"/>
      <w:b/>
      <w:sz w:val="32"/>
      <w:szCs w:val="32"/>
    </w:rPr>
  </w:style>
  <w:style w:type="paragraph" w:customStyle="1" w:styleId="499">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0">
    <w:name w:val="彩色列表 - 强调文字颜色 12"/>
    <w:basedOn w:val="1"/>
    <w:autoRedefine/>
    <w:qFormat/>
    <w:uiPriority w:val="0"/>
    <w:pPr>
      <w:adjustRightInd/>
      <w:ind w:firstLine="420" w:firstLineChars="200"/>
    </w:pPr>
    <w:rPr>
      <w:rFonts w:ascii="Calibri" w:hAnsi="Calibri"/>
      <w:szCs w:val="22"/>
    </w:rPr>
  </w:style>
  <w:style w:type="paragraph" w:customStyle="1" w:styleId="501">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502">
    <w:name w:val="Char2"/>
    <w:basedOn w:val="1"/>
    <w:autoRedefine/>
    <w:qFormat/>
    <w:uiPriority w:val="0"/>
    <w:rPr>
      <w:rFonts w:ascii="仿宋_GB2312" w:eastAsia="仿宋_GB2312"/>
      <w:b/>
      <w:sz w:val="32"/>
      <w:szCs w:val="32"/>
    </w:rPr>
  </w:style>
  <w:style w:type="paragraph" w:customStyle="1" w:styleId="503">
    <w:name w:val="数字标题3"/>
    <w:basedOn w:val="4"/>
    <w:next w:val="1"/>
    <w:autoRedefine/>
    <w:qFormat/>
    <w:uiPriority w:val="0"/>
    <w:pPr>
      <w:spacing w:line="240" w:lineRule="auto"/>
    </w:pPr>
    <w:rPr>
      <w:sz w:val="28"/>
      <w:szCs w:val="28"/>
    </w:rPr>
  </w:style>
  <w:style w:type="paragraph" w:customStyle="1" w:styleId="504">
    <w:name w:val="FA正文"/>
    <w:basedOn w:val="1"/>
    <w:autoRedefine/>
    <w:qFormat/>
    <w:uiPriority w:val="0"/>
    <w:pPr>
      <w:spacing w:line="360" w:lineRule="auto"/>
      <w:ind w:firstLine="480" w:firstLineChars="200"/>
    </w:pPr>
    <w:rPr>
      <w:rFonts w:hAnsi="宋体"/>
      <w:sz w:val="24"/>
      <w:szCs w:val="20"/>
    </w:rPr>
  </w:style>
  <w:style w:type="paragraph" w:customStyle="1" w:styleId="505">
    <w:name w:val="MM Topic 5"/>
    <w:basedOn w:val="6"/>
    <w:autoRedefine/>
    <w:qFormat/>
    <w:uiPriority w:val="0"/>
    <w:pPr>
      <w:tabs>
        <w:tab w:val="left" w:pos="2520"/>
      </w:tabs>
      <w:adjustRightInd/>
      <w:ind w:left="2520" w:hanging="420"/>
    </w:pPr>
  </w:style>
  <w:style w:type="paragraph" w:customStyle="1" w:styleId="506">
    <w:name w:val="Char Char Char Char Char Char Char Char Char Char1"/>
    <w:basedOn w:val="1"/>
    <w:autoRedefine/>
    <w:qFormat/>
    <w:uiPriority w:val="0"/>
    <w:rPr>
      <w:rFonts w:ascii="仿宋_GB2312" w:eastAsia="仿宋_GB2312"/>
      <w:b/>
      <w:sz w:val="32"/>
      <w:szCs w:val="32"/>
    </w:rPr>
  </w:style>
  <w:style w:type="paragraph" w:customStyle="1" w:styleId="50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8">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9">
    <w:name w:val="Char2 Char Char Char"/>
    <w:basedOn w:val="1"/>
    <w:autoRedefine/>
    <w:qFormat/>
    <w:uiPriority w:val="0"/>
    <w:rPr>
      <w:rFonts w:ascii="仿宋_GB2312" w:eastAsia="仿宋_GB2312"/>
      <w:b/>
      <w:sz w:val="32"/>
      <w:szCs w:val="32"/>
    </w:rPr>
  </w:style>
  <w:style w:type="paragraph" w:customStyle="1" w:styleId="510">
    <w:name w:val="Char2 Char Char Char1"/>
    <w:basedOn w:val="1"/>
    <w:autoRedefine/>
    <w:qFormat/>
    <w:uiPriority w:val="6"/>
    <w:rPr>
      <w:rFonts w:ascii="仿宋_GB2312" w:eastAsia="仿宋_GB2312"/>
      <w:b/>
      <w:sz w:val="32"/>
      <w:szCs w:val="32"/>
    </w:rPr>
  </w:style>
  <w:style w:type="paragraph" w:customStyle="1" w:styleId="511">
    <w:name w:val="默认段落样式"/>
    <w:basedOn w:val="137"/>
    <w:autoRedefine/>
    <w:qFormat/>
    <w:uiPriority w:val="0"/>
    <w:pPr>
      <w:spacing w:before="0"/>
      <w:ind w:firstLine="480"/>
      <w:outlineLvl w:val="2"/>
    </w:pPr>
    <w:rPr>
      <w:rFonts w:ascii="仿宋_GB2312" w:hAnsi="宋体" w:eastAsia="仿宋_GB2312"/>
      <w:color w:val="000000"/>
      <w:szCs w:val="24"/>
    </w:rPr>
  </w:style>
  <w:style w:type="paragraph" w:customStyle="1" w:styleId="51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4">
    <w:name w:val="MM Topic 3"/>
    <w:basedOn w:val="4"/>
    <w:autoRedefine/>
    <w:qFormat/>
    <w:uiPriority w:val="0"/>
    <w:pPr>
      <w:tabs>
        <w:tab w:val="left" w:pos="1680"/>
      </w:tabs>
      <w:adjustRightInd/>
      <w:ind w:left="1680" w:hanging="420"/>
    </w:pPr>
  </w:style>
  <w:style w:type="paragraph" w:customStyle="1" w:styleId="515">
    <w:name w:val="标准小四"/>
    <w:basedOn w:val="1"/>
    <w:autoRedefine/>
    <w:qFormat/>
    <w:uiPriority w:val="0"/>
    <w:pPr>
      <w:spacing w:line="360" w:lineRule="auto"/>
      <w:ind w:firstLine="480" w:firstLineChars="200"/>
    </w:pPr>
    <w:rPr>
      <w:rFonts w:ascii="Arial" w:hAnsi="Arial"/>
      <w:sz w:val="24"/>
      <w:szCs w:val="21"/>
    </w:rPr>
  </w:style>
  <w:style w:type="paragraph" w:customStyle="1" w:styleId="516">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7">
    <w:name w:val="表格（小）"/>
    <w:basedOn w:val="1"/>
    <w:autoRedefine/>
    <w:qFormat/>
    <w:uiPriority w:val="0"/>
    <w:pPr>
      <w:adjustRightInd/>
      <w:snapToGrid w:val="0"/>
      <w:spacing w:line="300" w:lineRule="auto"/>
    </w:pPr>
    <w:rPr>
      <w:rFonts w:eastAsia="仿宋"/>
      <w:szCs w:val="21"/>
    </w:rPr>
  </w:style>
  <w:style w:type="paragraph" w:customStyle="1" w:styleId="518">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9">
    <w:name w:val="Char2 Char Char1"/>
    <w:basedOn w:val="1"/>
    <w:autoRedefine/>
    <w:qFormat/>
    <w:uiPriority w:val="6"/>
    <w:pPr>
      <w:adjustRightInd/>
    </w:pPr>
    <w:rPr>
      <w:rFonts w:ascii="Tahoma" w:hAnsi="Tahoma"/>
      <w:sz w:val="24"/>
      <w:szCs w:val="20"/>
    </w:rPr>
  </w:style>
  <w:style w:type="paragraph" w:customStyle="1" w:styleId="520">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2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2">
    <w:name w:val="表格文字"/>
    <w:basedOn w:val="27"/>
    <w:next w:val="25"/>
    <w:autoRedefine/>
    <w:qFormat/>
    <w:uiPriority w:val="0"/>
    <w:pPr>
      <w:adjustRightInd/>
      <w:ind w:firstLine="200"/>
    </w:pPr>
    <w:rPr>
      <w:rFonts w:ascii="Arial" w:hAnsi="Arial"/>
      <w:spacing w:val="-5"/>
      <w:kern w:val="0"/>
      <w:szCs w:val="20"/>
    </w:rPr>
  </w:style>
  <w:style w:type="paragraph" w:customStyle="1" w:styleId="523">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8">
    <w:name w:val="_Style 3"/>
    <w:basedOn w:val="1"/>
    <w:autoRedefine/>
    <w:qFormat/>
    <w:uiPriority w:val="0"/>
    <w:pPr>
      <w:adjustRightInd/>
      <w:ind w:firstLine="420" w:firstLineChars="200"/>
    </w:pPr>
    <w:rPr>
      <w:rFonts w:eastAsia="仿宋_GB2312"/>
      <w:sz w:val="28"/>
    </w:rPr>
  </w:style>
  <w:style w:type="paragraph" w:customStyle="1" w:styleId="529">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26"/>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autoRedefine/>
    <w:qFormat/>
    <w:uiPriority w:val="0"/>
    <w:pPr>
      <w:adjustRightInd/>
      <w:ind w:firstLine="200" w:firstLineChars="200"/>
      <w:jc w:val="right"/>
    </w:pPr>
  </w:style>
  <w:style w:type="paragraph" w:customStyle="1" w:styleId="532">
    <w:name w:val="Char Char11 Char Char Char Char Char Char Char Char Char"/>
    <w:basedOn w:val="1"/>
    <w:autoRedefine/>
    <w:qFormat/>
    <w:uiPriority w:val="0"/>
    <w:pPr>
      <w:spacing w:line="360" w:lineRule="auto"/>
    </w:pPr>
    <w:rPr>
      <w:szCs w:val="20"/>
    </w:rPr>
  </w:style>
  <w:style w:type="paragraph" w:customStyle="1" w:styleId="533">
    <w:name w:val="正文1.25"/>
    <w:basedOn w:val="1"/>
    <w:autoRedefine/>
    <w:qFormat/>
    <w:uiPriority w:val="0"/>
    <w:pPr>
      <w:adjustRightInd/>
      <w:spacing w:line="300" w:lineRule="auto"/>
      <w:ind w:firstLine="480" w:firstLineChars="200"/>
    </w:pPr>
    <w:rPr>
      <w:sz w:val="24"/>
      <w:szCs w:val="20"/>
    </w:rPr>
  </w:style>
  <w:style w:type="paragraph" w:customStyle="1" w:styleId="534">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6">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autoRedefine/>
    <w:qFormat/>
    <w:uiPriority w:val="6"/>
    <w:rPr>
      <w:rFonts w:ascii="仿宋_GB2312" w:eastAsia="仿宋_GB2312"/>
      <w:b/>
      <w:sz w:val="32"/>
      <w:szCs w:val="20"/>
    </w:rPr>
  </w:style>
  <w:style w:type="paragraph" w:customStyle="1" w:styleId="538">
    <w:name w:val="列出段落2"/>
    <w:basedOn w:val="1"/>
    <w:autoRedefine/>
    <w:qFormat/>
    <w:uiPriority w:val="0"/>
    <w:pPr>
      <w:adjustRightInd/>
      <w:ind w:firstLine="420" w:firstLineChars="200"/>
    </w:pPr>
    <w:rPr>
      <w:rFonts w:ascii="宋体" w:hAnsi="宋体"/>
      <w:sz w:val="24"/>
    </w:rPr>
  </w:style>
  <w:style w:type="paragraph" w:customStyle="1" w:styleId="539">
    <w:name w:val="默认段落字体 Para Char Char Char Char Char Char Char"/>
    <w:basedOn w:val="1"/>
    <w:autoRedefine/>
    <w:qFormat/>
    <w:uiPriority w:val="0"/>
    <w:rPr>
      <w:rFonts w:eastAsia="仿宋_GB2312"/>
      <w:sz w:val="28"/>
      <w:szCs w:val="20"/>
    </w:rPr>
  </w:style>
  <w:style w:type="paragraph" w:customStyle="1" w:styleId="540">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5"/>
    <w:autoRedefine/>
    <w:qFormat/>
    <w:uiPriority w:val="0"/>
    <w:pPr>
      <w:widowControl/>
      <w:jc w:val="left"/>
    </w:pPr>
    <w:rPr>
      <w:rFonts w:cs="宋体"/>
      <w:sz w:val="24"/>
      <w:szCs w:val="20"/>
    </w:rPr>
  </w:style>
  <w:style w:type="paragraph" w:customStyle="1" w:styleId="542">
    <w:name w:val="彩色列表 - 强调文字颜色 11"/>
    <w:basedOn w:val="1"/>
    <w:autoRedefine/>
    <w:qFormat/>
    <w:uiPriority w:val="0"/>
    <w:pPr>
      <w:adjustRightInd/>
      <w:ind w:firstLine="420" w:firstLineChars="200"/>
    </w:pPr>
    <w:rPr>
      <w:rFonts w:ascii="Calibri" w:hAnsi="Calibri"/>
      <w:szCs w:val="22"/>
    </w:rPr>
  </w:style>
  <w:style w:type="paragraph" w:customStyle="1" w:styleId="543">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44">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autoRedefine/>
    <w:qFormat/>
    <w:uiPriority w:val="6"/>
    <w:rPr>
      <w:szCs w:val="20"/>
    </w:rPr>
  </w:style>
  <w:style w:type="paragraph" w:customStyle="1" w:styleId="54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5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241"/>
    <w:next w:val="241"/>
    <w:autoRedefine/>
    <w:qFormat/>
    <w:uiPriority w:val="0"/>
    <w:pPr>
      <w:spacing w:after="68"/>
    </w:pPr>
    <w:rPr>
      <w:rFonts w:ascii="FHLHE E+ Futura Bk" w:eastAsia="FHLHE E+ Futura Bk" w:cs="Times New Roman"/>
      <w:color w:val="auto"/>
    </w:rPr>
  </w:style>
  <w:style w:type="paragraph" w:customStyle="1" w:styleId="553">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6">
    <w:name w:val="正文文字 2"/>
    <w:basedOn w:val="241"/>
    <w:next w:val="241"/>
    <w:autoRedefine/>
    <w:qFormat/>
    <w:uiPriority w:val="0"/>
    <w:rPr>
      <w:rFonts w:ascii="宋体" w:eastAsia="宋体" w:cs="Times New Roman"/>
      <w:color w:val="auto"/>
    </w:rPr>
  </w:style>
  <w:style w:type="paragraph" w:customStyle="1" w:styleId="557">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autoRedefine/>
    <w:qFormat/>
    <w:uiPriority w:val="0"/>
    <w:rPr>
      <w:rFonts w:ascii="仿宋_GB2312" w:eastAsia="仿宋_GB2312"/>
      <w:b/>
      <w:sz w:val="32"/>
      <w:szCs w:val="32"/>
    </w:rPr>
  </w:style>
  <w:style w:type="paragraph" w:customStyle="1" w:styleId="55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61">
    <w:name w:val="Char Char111"/>
    <w:basedOn w:val="1"/>
    <w:autoRedefine/>
    <w:qFormat/>
    <w:uiPriority w:val="0"/>
    <w:pPr>
      <w:spacing w:line="360" w:lineRule="auto"/>
    </w:pPr>
    <w:rPr>
      <w:szCs w:val="20"/>
    </w:rPr>
  </w:style>
  <w:style w:type="paragraph" w:customStyle="1" w:styleId="562">
    <w:name w:val="Char"/>
    <w:basedOn w:val="1"/>
    <w:autoRedefine/>
    <w:qFormat/>
    <w:uiPriority w:val="0"/>
    <w:rPr>
      <w:rFonts w:ascii="仿宋_GB2312" w:eastAsia="仿宋_GB2312"/>
      <w:b/>
      <w:sz w:val="32"/>
      <w:szCs w:val="32"/>
    </w:rPr>
  </w:style>
  <w:style w:type="paragraph" w:customStyle="1" w:styleId="56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5">
    <w:name w:val="Char Char Char1 Char"/>
    <w:basedOn w:val="1"/>
    <w:autoRedefine/>
    <w:qFormat/>
    <w:uiPriority w:val="0"/>
    <w:rPr>
      <w:szCs w:val="20"/>
    </w:rPr>
  </w:style>
  <w:style w:type="paragraph" w:customStyle="1" w:styleId="566">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9">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0">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71">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4">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9">
    <w:name w:val="Char Char Char Char Char Char Char Char Char Char"/>
    <w:basedOn w:val="1"/>
    <w:autoRedefine/>
    <w:qFormat/>
    <w:uiPriority w:val="0"/>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81">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82">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8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4">
    <w:name w:val="正文（首行缩进）"/>
    <w:basedOn w:val="27"/>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autoRedefine/>
    <w:qFormat/>
    <w:uiPriority w:val="0"/>
    <w:rPr>
      <w:szCs w:val="20"/>
    </w:rPr>
  </w:style>
  <w:style w:type="paragraph" w:customStyle="1" w:styleId="589">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90">
    <w:name w:val="默认段落字体 Para Char"/>
    <w:basedOn w:val="1"/>
    <w:autoRedefine/>
    <w:qFormat/>
    <w:uiPriority w:val="0"/>
    <w:rPr>
      <w:rFonts w:ascii="Tahoma" w:hAnsi="Tahoma"/>
      <w:sz w:val="24"/>
      <w:szCs w:val="20"/>
    </w:rPr>
  </w:style>
  <w:style w:type="paragraph" w:customStyle="1" w:styleId="591">
    <w:name w:val="标题五"/>
    <w:basedOn w:val="1"/>
    <w:autoRedefine/>
    <w:qFormat/>
    <w:uiPriority w:val="0"/>
    <w:pPr>
      <w:adjustRightInd/>
      <w:spacing w:beforeLines="50" w:line="360" w:lineRule="auto"/>
    </w:pPr>
    <w:rPr>
      <w:b/>
      <w:sz w:val="24"/>
    </w:rPr>
  </w:style>
  <w:style w:type="paragraph" w:customStyle="1" w:styleId="592">
    <w:name w:val="Char Char1101"/>
    <w:basedOn w:val="1"/>
    <w:autoRedefine/>
    <w:qFormat/>
    <w:uiPriority w:val="0"/>
    <w:pPr>
      <w:spacing w:line="360" w:lineRule="auto"/>
    </w:pPr>
    <w:rPr>
      <w:rFonts w:ascii="Tahoma" w:hAnsi="Tahoma"/>
      <w:sz w:val="24"/>
      <w:szCs w:val="20"/>
    </w:rPr>
  </w:style>
  <w:style w:type="paragraph" w:customStyle="1" w:styleId="593">
    <w:name w:val="Char Char Char Char Char Char Char Char1"/>
    <w:basedOn w:val="1"/>
    <w:autoRedefine/>
    <w:qFormat/>
    <w:uiPriority w:val="0"/>
    <w:pPr>
      <w:tabs>
        <w:tab w:val="left" w:pos="360"/>
      </w:tabs>
    </w:pPr>
    <w:rPr>
      <w:sz w:val="24"/>
      <w:szCs w:val="20"/>
    </w:rPr>
  </w:style>
  <w:style w:type="paragraph" w:customStyle="1" w:styleId="594">
    <w:name w:val="Char Char Char 字元 字元"/>
    <w:basedOn w:val="1"/>
    <w:autoRedefine/>
    <w:qFormat/>
    <w:uiPriority w:val="0"/>
    <w:pPr>
      <w:adjustRightInd/>
      <w:spacing w:line="360" w:lineRule="auto"/>
      <w:ind w:firstLine="200" w:firstLineChars="200"/>
    </w:pPr>
    <w:rPr>
      <w:szCs w:val="20"/>
    </w:rPr>
  </w:style>
  <w:style w:type="paragraph" w:customStyle="1" w:styleId="59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autoRedefine/>
    <w:qFormat/>
    <w:uiPriority w:val="0"/>
    <w:rPr>
      <w:rFonts w:ascii="仿宋_GB2312" w:eastAsia="仿宋_GB2312"/>
      <w:b/>
      <w:sz w:val="32"/>
      <w:szCs w:val="32"/>
    </w:rPr>
  </w:style>
  <w:style w:type="paragraph" w:customStyle="1" w:styleId="59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601">
    <w:name w:val="批注框文本 Char Char"/>
    <w:basedOn w:val="1"/>
    <w:autoRedefine/>
    <w:qFormat/>
    <w:uiPriority w:val="0"/>
    <w:pPr>
      <w:adjustRightInd/>
    </w:pPr>
    <w:rPr>
      <w:sz w:val="18"/>
      <w:szCs w:val="20"/>
    </w:rPr>
  </w:style>
  <w:style w:type="paragraph" w:customStyle="1" w:styleId="60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9">
    <w:name w:val="正文文字缩进项目"/>
    <w:basedOn w:val="27"/>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autoRedefine/>
    <w:qFormat/>
    <w:uiPriority w:val="0"/>
    <w:pPr>
      <w:spacing w:line="480" w:lineRule="atLeast"/>
      <w:ind w:firstLine="567"/>
      <w:textAlignment w:val="baseline"/>
    </w:pPr>
    <w:rPr>
      <w:kern w:val="0"/>
      <w:sz w:val="24"/>
      <w:szCs w:val="20"/>
    </w:rPr>
  </w:style>
  <w:style w:type="paragraph" w:customStyle="1" w:styleId="611">
    <w:name w:val="正文文字表格居中"/>
    <w:basedOn w:val="1"/>
    <w:next w:val="58"/>
    <w:autoRedefine/>
    <w:qFormat/>
    <w:uiPriority w:val="0"/>
    <w:pPr>
      <w:snapToGrid w:val="0"/>
      <w:spacing w:line="360" w:lineRule="auto"/>
    </w:pPr>
    <w:rPr>
      <w:rFonts w:ascii="宋体"/>
      <w:b/>
      <w:sz w:val="24"/>
      <w:szCs w:val="20"/>
    </w:rPr>
  </w:style>
  <w:style w:type="paragraph" w:customStyle="1" w:styleId="61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13">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autoRedefine/>
    <w:qFormat/>
    <w:uiPriority w:val="7"/>
    <w:pPr>
      <w:adjustRightInd/>
    </w:pPr>
    <w:rPr>
      <w:rFonts w:ascii="宋体" w:hAnsi="Courier New"/>
    </w:rPr>
  </w:style>
  <w:style w:type="paragraph" w:customStyle="1" w:styleId="615">
    <w:name w:val="Char3"/>
    <w:basedOn w:val="1"/>
    <w:autoRedefine/>
    <w:qFormat/>
    <w:uiPriority w:val="0"/>
    <w:pPr>
      <w:adjustRightInd/>
    </w:pPr>
    <w:rPr>
      <w:rFonts w:ascii="仿宋_GB2312" w:eastAsia="仿宋_GB2312"/>
      <w:b/>
      <w:sz w:val="32"/>
      <w:szCs w:val="32"/>
    </w:rPr>
  </w:style>
  <w:style w:type="paragraph" w:customStyle="1" w:styleId="61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8">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autoRedefine/>
    <w:qFormat/>
    <w:uiPriority w:val="0"/>
    <w:pPr>
      <w:widowControl/>
      <w:adjustRightInd/>
      <w:spacing w:after="160" w:line="240" w:lineRule="exact"/>
      <w:jc w:val="left"/>
    </w:pPr>
    <w:rPr>
      <w:szCs w:val="20"/>
    </w:rPr>
  </w:style>
  <w:style w:type="paragraph" w:customStyle="1" w:styleId="624">
    <w:name w:val="表格标题2"/>
    <w:basedOn w:val="625"/>
    <w:autoRedefine/>
    <w:qFormat/>
    <w:uiPriority w:val="0"/>
    <w:rPr>
      <w:b/>
    </w:rPr>
  </w:style>
  <w:style w:type="paragraph" w:customStyle="1" w:styleId="625">
    <w:name w:val="表格内文"/>
    <w:basedOn w:val="1"/>
    <w:autoRedefine/>
    <w:qFormat/>
    <w:uiPriority w:val="0"/>
    <w:pPr>
      <w:adjustRightInd/>
      <w:spacing w:line="360" w:lineRule="auto"/>
    </w:pPr>
    <w:rPr>
      <w:rFonts w:ascii="宋体" w:hAnsi="宋体" w:cs="宋体"/>
      <w:color w:val="000000"/>
      <w:szCs w:val="20"/>
    </w:rPr>
  </w:style>
  <w:style w:type="paragraph" w:customStyle="1" w:styleId="626">
    <w:name w:val="Char Char Char Char Char Char Char Char Char Char2"/>
    <w:basedOn w:val="1"/>
    <w:autoRedefine/>
    <w:qFormat/>
    <w:uiPriority w:val="0"/>
    <w:rPr>
      <w:rFonts w:ascii="仿宋_GB2312" w:eastAsia="仿宋_GB2312"/>
      <w:b/>
      <w:sz w:val="32"/>
      <w:szCs w:val="32"/>
    </w:rPr>
  </w:style>
  <w:style w:type="paragraph" w:customStyle="1" w:styleId="62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9">
    <w:name w:val="Char Char11 Char Char Char Char Char Char Char Char Char11"/>
    <w:basedOn w:val="1"/>
    <w:autoRedefine/>
    <w:qFormat/>
    <w:uiPriority w:val="0"/>
    <w:pPr>
      <w:spacing w:line="360" w:lineRule="auto"/>
    </w:pPr>
    <w:rPr>
      <w:szCs w:val="20"/>
    </w:rPr>
  </w:style>
  <w:style w:type="paragraph" w:customStyle="1" w:styleId="630">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32">
    <w:name w:val="MM Topic 1"/>
    <w:basedOn w:val="2"/>
    <w:autoRedefine/>
    <w:qFormat/>
    <w:uiPriority w:val="0"/>
    <w:pPr>
      <w:tabs>
        <w:tab w:val="left" w:pos="840"/>
      </w:tabs>
      <w:adjustRightInd/>
      <w:ind w:left="840" w:hanging="420"/>
    </w:pPr>
  </w:style>
  <w:style w:type="paragraph" w:customStyle="1" w:styleId="633">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autoRedefine/>
    <w:qFormat/>
    <w:uiPriority w:val="0"/>
    <w:pPr>
      <w:spacing w:line="360" w:lineRule="auto"/>
      <w:ind w:firstLine="200" w:firstLineChars="200"/>
    </w:pPr>
    <w:rPr>
      <w:kern w:val="0"/>
      <w:sz w:val="24"/>
      <w:szCs w:val="20"/>
    </w:rPr>
  </w:style>
  <w:style w:type="paragraph" w:customStyle="1" w:styleId="635">
    <w:name w:val="表格"/>
    <w:basedOn w:val="1"/>
    <w:autoRedefine/>
    <w:qFormat/>
    <w:uiPriority w:val="0"/>
    <w:pPr>
      <w:snapToGrid w:val="0"/>
      <w:ind w:firstLine="42" w:firstLineChars="21"/>
    </w:pPr>
    <w:rPr>
      <w:rFonts w:ascii="宋体" w:hAnsi="宋体"/>
      <w:kern w:val="0"/>
      <w:sz w:val="20"/>
      <w:szCs w:val="20"/>
    </w:rPr>
  </w:style>
  <w:style w:type="paragraph" w:customStyle="1" w:styleId="636">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7">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8">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9">
    <w:name w:val="表格项目符号 2"/>
    <w:basedOn w:val="32"/>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0">
    <w:name w:val="EB_表格"/>
    <w:basedOn w:val="1"/>
    <w:autoRedefine/>
    <w:qFormat/>
    <w:uiPriority w:val="0"/>
    <w:pPr>
      <w:adjustRightInd/>
      <w:spacing w:line="300" w:lineRule="auto"/>
      <w:jc w:val="center"/>
    </w:pPr>
  </w:style>
  <w:style w:type="paragraph" w:customStyle="1" w:styleId="641">
    <w:name w:val="_Style 6"/>
    <w:basedOn w:val="1"/>
    <w:autoRedefine/>
    <w:qFormat/>
    <w:uiPriority w:val="34"/>
    <w:pPr>
      <w:adjustRightInd/>
      <w:ind w:firstLine="420" w:firstLineChars="200"/>
    </w:pPr>
    <w:rPr>
      <w:rFonts w:eastAsia="仿宋_GB2312"/>
      <w:sz w:val="28"/>
    </w:rPr>
  </w:style>
  <w:style w:type="paragraph" w:customStyle="1" w:styleId="64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4">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5">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6">
    <w:name w:val="正文表标题"/>
    <w:next w:val="64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8">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9">
    <w:name w:val="trademark"/>
    <w:autoRedefine/>
    <w:qFormat/>
    <w:uiPriority w:val="0"/>
    <w:pPr>
      <w:spacing w:after="60"/>
    </w:pPr>
    <w:rPr>
      <w:rFonts w:ascii="Futura Bk" w:hAnsi="Futura Bk" w:eastAsia="宋体" w:cs="Times New Roman"/>
      <w:sz w:val="15"/>
      <w:lang w:val="en-US" w:eastAsia="en-US" w:bidi="ar-SA"/>
    </w:rPr>
  </w:style>
  <w:style w:type="paragraph" w:customStyle="1" w:styleId="650">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1">
    <w:name w:val="Char Char1 Char Char Char Char Char Char1"/>
    <w:basedOn w:val="1"/>
    <w:autoRedefine/>
    <w:qFormat/>
    <w:uiPriority w:val="0"/>
    <w:rPr>
      <w:rFonts w:ascii="仿宋_GB2312" w:eastAsia="仿宋_GB2312"/>
      <w:b/>
      <w:sz w:val="32"/>
      <w:szCs w:val="20"/>
    </w:rPr>
  </w:style>
  <w:style w:type="paragraph" w:customStyle="1" w:styleId="652">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3">
    <w:name w:val="Char1 Char Char Char1"/>
    <w:basedOn w:val="1"/>
    <w:autoRedefine/>
    <w:qFormat/>
    <w:uiPriority w:val="0"/>
    <w:pPr>
      <w:adjustRightInd/>
      <w:ind w:firstLine="200" w:firstLineChars="200"/>
    </w:pPr>
    <w:rPr>
      <w:rFonts w:ascii="Tahoma" w:hAnsi="Tahoma"/>
      <w:sz w:val="24"/>
      <w:szCs w:val="20"/>
    </w:rPr>
  </w:style>
  <w:style w:type="paragraph" w:customStyle="1" w:styleId="654">
    <w:name w:val="a1"/>
    <w:basedOn w:val="1"/>
    <w:autoRedefine/>
    <w:qFormat/>
    <w:uiPriority w:val="0"/>
    <w:pPr>
      <w:widowControl/>
      <w:spacing w:line="300" w:lineRule="atLeast"/>
      <w:jc w:val="left"/>
    </w:pPr>
    <w:rPr>
      <w:rFonts w:ascii="宋体" w:hAnsi="宋体"/>
      <w:kern w:val="0"/>
      <w:sz w:val="18"/>
      <w:szCs w:val="20"/>
    </w:rPr>
  </w:style>
  <w:style w:type="paragraph" w:customStyle="1" w:styleId="655">
    <w:name w:val="样式7"/>
    <w:basedOn w:val="656"/>
    <w:next w:val="1"/>
    <w:autoRedefine/>
    <w:qFormat/>
    <w:uiPriority w:val="0"/>
    <w:pPr>
      <w:spacing w:afterLines="50"/>
      <w:jc w:val="left"/>
      <w:outlineLvl w:val="3"/>
    </w:pPr>
    <w:rPr>
      <w:sz w:val="24"/>
      <w:szCs w:val="24"/>
    </w:rPr>
  </w:style>
  <w:style w:type="paragraph" w:customStyle="1" w:styleId="65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7">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8">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9">
    <w:name w:val="样式 样式2 + 左侧:  1 字符 右侧:  1 字符"/>
    <w:basedOn w:val="46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0">
    <w:name w:val="Char2 Char Char2"/>
    <w:basedOn w:val="1"/>
    <w:autoRedefine/>
    <w:qFormat/>
    <w:uiPriority w:val="0"/>
    <w:pPr>
      <w:adjustRightInd/>
    </w:pPr>
    <w:rPr>
      <w:rFonts w:ascii="Tahoma" w:hAnsi="Tahoma"/>
      <w:sz w:val="24"/>
      <w:szCs w:val="20"/>
    </w:rPr>
  </w:style>
  <w:style w:type="paragraph" w:customStyle="1" w:styleId="661">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2">
    <w:name w:val="三级条标题"/>
    <w:basedOn w:val="663"/>
    <w:next w:val="647"/>
    <w:autoRedefine/>
    <w:qFormat/>
    <w:uiPriority w:val="0"/>
    <w:pPr>
      <w:tabs>
        <w:tab w:val="left" w:pos="1260"/>
        <w:tab w:val="left" w:pos="1680"/>
        <w:tab w:val="left" w:pos="2100"/>
        <w:tab w:val="left" w:pos="2520"/>
      </w:tabs>
      <w:ind w:left="2520"/>
      <w:outlineLvl w:val="4"/>
    </w:pPr>
  </w:style>
  <w:style w:type="paragraph" w:customStyle="1" w:styleId="663">
    <w:name w:val="二级条标题"/>
    <w:basedOn w:val="664"/>
    <w:next w:val="647"/>
    <w:autoRedefine/>
    <w:qFormat/>
    <w:uiPriority w:val="0"/>
    <w:pPr>
      <w:tabs>
        <w:tab w:val="left" w:pos="1260"/>
        <w:tab w:val="left" w:pos="1680"/>
        <w:tab w:val="left" w:pos="2100"/>
      </w:tabs>
      <w:ind w:left="0"/>
      <w:outlineLvl w:val="3"/>
    </w:pPr>
  </w:style>
  <w:style w:type="paragraph" w:customStyle="1" w:styleId="664">
    <w:name w:val="一级条标题"/>
    <w:basedOn w:val="665"/>
    <w:next w:val="647"/>
    <w:autoRedefine/>
    <w:qFormat/>
    <w:uiPriority w:val="0"/>
    <w:pPr>
      <w:tabs>
        <w:tab w:val="left" w:pos="1260"/>
        <w:tab w:val="left" w:pos="1680"/>
      </w:tabs>
      <w:spacing w:beforeLines="0" w:afterLines="0"/>
      <w:ind w:left="1680"/>
      <w:outlineLvl w:val="2"/>
    </w:pPr>
  </w:style>
  <w:style w:type="paragraph" w:customStyle="1" w:styleId="665">
    <w:name w:val="章标题"/>
    <w:next w:val="647"/>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6">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8">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0">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2">
    <w:name w:val="正文 项目2"/>
    <w:basedOn w:val="673"/>
    <w:autoRedefine/>
    <w:qFormat/>
    <w:uiPriority w:val="0"/>
    <w:pPr>
      <w:tabs>
        <w:tab w:val="left" w:pos="840"/>
      </w:tabs>
      <w:spacing w:after="0"/>
      <w:ind w:left="900"/>
    </w:pPr>
  </w:style>
  <w:style w:type="paragraph" w:customStyle="1" w:styleId="673">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4">
    <w:name w:val="Body Text 2*"/>
    <w:basedOn w:val="1"/>
    <w:autoRedefine/>
    <w:qFormat/>
    <w:uiPriority w:val="6"/>
    <w:pPr>
      <w:widowControl/>
      <w:adjustRightInd/>
      <w:ind w:left="720" w:hanging="720"/>
    </w:pPr>
    <w:rPr>
      <w:color w:val="000000"/>
      <w:kern w:val="0"/>
      <w:sz w:val="24"/>
      <w:szCs w:val="20"/>
      <w:lang w:val="en-GB"/>
    </w:rPr>
  </w:style>
  <w:style w:type="paragraph" w:customStyle="1" w:styleId="675">
    <w:name w:val="表1"/>
    <w:basedOn w:val="1"/>
    <w:autoRedefine/>
    <w:qFormat/>
    <w:uiPriority w:val="0"/>
    <w:pPr>
      <w:tabs>
        <w:tab w:val="left" w:pos="703"/>
      </w:tabs>
      <w:adjustRightInd/>
      <w:spacing w:line="360" w:lineRule="auto"/>
      <w:ind w:left="703"/>
      <w:jc w:val="center"/>
    </w:pPr>
  </w:style>
  <w:style w:type="paragraph" w:customStyle="1" w:styleId="67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7">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8">
    <w:name w:val="2级标题"/>
    <w:basedOn w:val="679"/>
    <w:autoRedefine/>
    <w:qFormat/>
    <w:uiPriority w:val="0"/>
    <w:pPr>
      <w:jc w:val="left"/>
      <w:outlineLvl w:val="1"/>
    </w:pPr>
    <w:rPr>
      <w:rFonts w:ascii="Times New Roman" w:hAnsi="Times New Roman" w:eastAsia="仿宋"/>
      <w:sz w:val="30"/>
    </w:rPr>
  </w:style>
  <w:style w:type="paragraph" w:customStyle="1" w:styleId="679">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80">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2">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3">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4">
    <w:name w:val="bullet"/>
    <w:basedOn w:val="1"/>
    <w:autoRedefine/>
    <w:qFormat/>
    <w:uiPriority w:val="0"/>
    <w:pPr>
      <w:tabs>
        <w:tab w:val="left" w:pos="840"/>
      </w:tabs>
      <w:adjustRightInd/>
      <w:ind w:left="840" w:hanging="420"/>
    </w:pPr>
  </w:style>
  <w:style w:type="paragraph" w:customStyle="1" w:styleId="685">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6">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7">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8">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9">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90">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1">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2">
    <w:name w:val="MM Topic 4"/>
    <w:basedOn w:val="5"/>
    <w:autoRedefine/>
    <w:qFormat/>
    <w:uiPriority w:val="0"/>
    <w:pPr>
      <w:tabs>
        <w:tab w:val="left" w:pos="2100"/>
      </w:tabs>
      <w:adjustRightInd/>
      <w:ind w:left="2100" w:hanging="420"/>
    </w:pPr>
    <w:rPr>
      <w:lang w:val="en-US"/>
    </w:rPr>
  </w:style>
  <w:style w:type="paragraph" w:customStyle="1" w:styleId="693">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94">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5">
    <w:name w:val="Char Char11 Char Char Char Char Char Char Char Char Char1"/>
    <w:basedOn w:val="1"/>
    <w:autoRedefine/>
    <w:qFormat/>
    <w:uiPriority w:val="6"/>
    <w:pPr>
      <w:spacing w:line="360" w:lineRule="auto"/>
    </w:pPr>
    <w:rPr>
      <w:szCs w:val="20"/>
    </w:rPr>
  </w:style>
  <w:style w:type="paragraph" w:customStyle="1" w:styleId="696">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7">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8">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700">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1">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2">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3">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4">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5">
    <w:name w:val="单元格居中"/>
    <w:basedOn w:val="1"/>
    <w:autoRedefine/>
    <w:qFormat/>
    <w:uiPriority w:val="0"/>
    <w:pPr>
      <w:adjustRightInd/>
      <w:spacing w:line="360" w:lineRule="auto"/>
      <w:jc w:val="center"/>
    </w:pPr>
    <w:rPr>
      <w:sz w:val="24"/>
    </w:rPr>
  </w:style>
  <w:style w:type="paragraph" w:customStyle="1" w:styleId="706">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7">
    <w:name w:val="Char Char Char Char Char Char Char1"/>
    <w:basedOn w:val="1"/>
    <w:autoRedefine/>
    <w:qFormat/>
    <w:uiPriority w:val="6"/>
    <w:rPr>
      <w:rFonts w:ascii="仿宋_GB2312" w:eastAsia="仿宋_GB2312"/>
      <w:b/>
      <w:sz w:val="32"/>
      <w:szCs w:val="32"/>
    </w:rPr>
  </w:style>
  <w:style w:type="paragraph" w:customStyle="1" w:styleId="708">
    <w:name w:val="正文缩进1"/>
    <w:basedOn w:val="1"/>
    <w:next w:val="2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9">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0">
    <w:name w:val="Char3 Char Char Char11"/>
    <w:basedOn w:val="1"/>
    <w:autoRedefine/>
    <w:qFormat/>
    <w:uiPriority w:val="0"/>
    <w:pPr>
      <w:widowControl/>
      <w:adjustRightInd/>
      <w:spacing w:after="160" w:line="240" w:lineRule="exact"/>
      <w:jc w:val="left"/>
    </w:pPr>
    <w:rPr>
      <w:szCs w:val="20"/>
    </w:rPr>
  </w:style>
  <w:style w:type="paragraph" w:customStyle="1" w:styleId="711">
    <w:name w:val="Char Char1121"/>
    <w:basedOn w:val="1"/>
    <w:autoRedefine/>
    <w:qFormat/>
    <w:uiPriority w:val="0"/>
    <w:pPr>
      <w:spacing w:line="360" w:lineRule="auto"/>
    </w:pPr>
    <w:rPr>
      <w:szCs w:val="20"/>
    </w:rPr>
  </w:style>
  <w:style w:type="paragraph" w:customStyle="1" w:styleId="712">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3">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4">
    <w:name w:val="Normal0"/>
    <w:autoRedefine/>
    <w:qFormat/>
    <w:uiPriority w:val="0"/>
    <w:rPr>
      <w:rFonts w:ascii="Times New Roman" w:hAnsi="Times New Roman" w:eastAsia="宋体" w:cs="Times New Roman"/>
      <w:lang w:val="en-US" w:eastAsia="en-US" w:bidi="ar-SA"/>
    </w:rPr>
  </w:style>
  <w:style w:type="paragraph" w:customStyle="1" w:styleId="715">
    <w:name w:val="带编号样式"/>
    <w:basedOn w:val="634"/>
    <w:autoRedefine/>
    <w:qFormat/>
    <w:uiPriority w:val="0"/>
    <w:pPr>
      <w:tabs>
        <w:tab w:val="left" w:pos="840"/>
      </w:tabs>
      <w:snapToGrid w:val="0"/>
      <w:ind w:left="840" w:hanging="420" w:firstLineChars="0"/>
    </w:pPr>
    <w:rPr>
      <w:rFonts w:ascii="仿宋_GB2312" w:eastAsia="仿宋_GB2312"/>
      <w:color w:val="000000"/>
    </w:rPr>
  </w:style>
  <w:style w:type="paragraph" w:customStyle="1" w:styleId="716">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7">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8">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9">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0">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1">
    <w:name w:val="默认段落字体 Para Char Char Char1 Char"/>
    <w:basedOn w:val="1"/>
    <w:autoRedefine/>
    <w:qFormat/>
    <w:uiPriority w:val="0"/>
    <w:pPr>
      <w:spacing w:line="240" w:lineRule="atLeast"/>
      <w:ind w:left="420" w:firstLine="420"/>
    </w:pPr>
    <w:rPr>
      <w:sz w:val="24"/>
    </w:rPr>
  </w:style>
  <w:style w:type="paragraph" w:customStyle="1" w:styleId="722">
    <w:name w:val="WW-正文文字缩进 2"/>
    <w:basedOn w:val="1"/>
    <w:autoRedefine/>
    <w:qFormat/>
    <w:uiPriority w:val="0"/>
    <w:pPr>
      <w:suppressAutoHyphens/>
      <w:adjustRightInd/>
      <w:ind w:firstLine="420"/>
    </w:pPr>
    <w:rPr>
      <w:kern w:val="1"/>
      <w:szCs w:val="20"/>
    </w:rPr>
  </w:style>
  <w:style w:type="paragraph" w:customStyle="1" w:styleId="723">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4">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5">
    <w:name w:val="有符号正文"/>
    <w:basedOn w:val="1"/>
    <w:autoRedefine/>
    <w:qFormat/>
    <w:uiPriority w:val="0"/>
    <w:pPr>
      <w:adjustRightInd/>
      <w:spacing w:line="400" w:lineRule="exact"/>
      <w:ind w:firstLine="200" w:firstLineChars="200"/>
    </w:pPr>
    <w:rPr>
      <w:rFonts w:ascii="Arial" w:hAnsi="Arial"/>
    </w:rPr>
  </w:style>
  <w:style w:type="paragraph" w:customStyle="1" w:styleId="726">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7">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8">
    <w:name w:val="4"/>
    <w:basedOn w:val="1"/>
    <w:next w:val="39"/>
    <w:autoRedefine/>
    <w:qFormat/>
    <w:uiPriority w:val="0"/>
    <w:pPr>
      <w:spacing w:after="120" w:line="480" w:lineRule="auto"/>
      <w:ind w:left="420" w:leftChars="200"/>
    </w:pPr>
    <w:rPr>
      <w:sz w:val="24"/>
      <w:szCs w:val="20"/>
    </w:rPr>
  </w:style>
  <w:style w:type="paragraph" w:customStyle="1" w:styleId="729">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1">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32">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4">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5">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6">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7">
    <w:name w:val="Char Char1 Char Char Char"/>
    <w:basedOn w:val="1"/>
    <w:autoRedefine/>
    <w:qFormat/>
    <w:uiPriority w:val="0"/>
    <w:rPr>
      <w:rFonts w:ascii="仿宋_GB2312" w:eastAsia="仿宋_GB2312"/>
      <w:b/>
      <w:sz w:val="32"/>
      <w:szCs w:val="20"/>
    </w:rPr>
  </w:style>
  <w:style w:type="paragraph" w:customStyle="1" w:styleId="73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9">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1">
    <w:name w:val="Char Char1 Char Char Char2"/>
    <w:basedOn w:val="1"/>
    <w:autoRedefine/>
    <w:qFormat/>
    <w:uiPriority w:val="0"/>
    <w:rPr>
      <w:rFonts w:ascii="仿宋_GB2312" w:eastAsia="仿宋_GB2312"/>
      <w:b/>
      <w:sz w:val="32"/>
      <w:szCs w:val="32"/>
    </w:rPr>
  </w:style>
  <w:style w:type="paragraph" w:customStyle="1" w:styleId="742">
    <w:name w:val="Char3 Char Char Char1"/>
    <w:basedOn w:val="1"/>
    <w:autoRedefine/>
    <w:qFormat/>
    <w:uiPriority w:val="6"/>
    <w:pPr>
      <w:widowControl/>
      <w:adjustRightInd/>
      <w:spacing w:after="160" w:line="240" w:lineRule="exact"/>
      <w:jc w:val="left"/>
    </w:pPr>
    <w:rPr>
      <w:szCs w:val="20"/>
    </w:rPr>
  </w:style>
  <w:style w:type="paragraph" w:customStyle="1" w:styleId="743">
    <w:name w:val="Char1 Char Char Char21"/>
    <w:basedOn w:val="1"/>
    <w:autoRedefine/>
    <w:qFormat/>
    <w:uiPriority w:val="0"/>
    <w:rPr>
      <w:rFonts w:ascii="Tahoma" w:hAnsi="Tahoma"/>
      <w:sz w:val="24"/>
      <w:szCs w:val="20"/>
    </w:rPr>
  </w:style>
  <w:style w:type="paragraph" w:customStyle="1" w:styleId="744">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5">
    <w:name w:val="正文（标题三）"/>
    <w:basedOn w:val="1"/>
    <w:autoRedefine/>
    <w:qFormat/>
    <w:uiPriority w:val="0"/>
    <w:pPr>
      <w:spacing w:line="360" w:lineRule="auto"/>
      <w:ind w:firstLine="200" w:firstLineChars="200"/>
    </w:pPr>
    <w:rPr>
      <w:sz w:val="24"/>
    </w:rPr>
  </w:style>
  <w:style w:type="paragraph" w:customStyle="1" w:styleId="746">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7">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8">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9">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0">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51">
    <w:name w:val="Char1 Char Char Char4"/>
    <w:basedOn w:val="1"/>
    <w:autoRedefine/>
    <w:qFormat/>
    <w:uiPriority w:val="0"/>
    <w:pPr>
      <w:adjustRightInd/>
      <w:ind w:firstLine="200" w:firstLineChars="200"/>
    </w:pPr>
    <w:rPr>
      <w:rFonts w:ascii="Tahoma" w:hAnsi="Tahoma"/>
      <w:sz w:val="24"/>
      <w:szCs w:val="20"/>
    </w:rPr>
  </w:style>
  <w:style w:type="paragraph" w:customStyle="1" w:styleId="752">
    <w:name w:val="_标题2"/>
    <w:basedOn w:val="719"/>
    <w:next w:val="719"/>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3">
    <w:name w:val="样式1 + (中宋体"/>
    <w:basedOn w:val="730"/>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4">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5">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6">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7">
    <w:name w:val="四号　首行缩进"/>
    <w:basedOn w:val="1"/>
    <w:autoRedefine/>
    <w:qFormat/>
    <w:uiPriority w:val="0"/>
    <w:pPr>
      <w:adjustRightInd/>
      <w:spacing w:line="360" w:lineRule="auto"/>
    </w:pPr>
    <w:rPr>
      <w:rFonts w:ascii="宋体" w:hAnsi="宋体"/>
      <w:szCs w:val="20"/>
    </w:rPr>
  </w:style>
  <w:style w:type="paragraph" w:customStyle="1" w:styleId="758">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9">
    <w:name w:val="Char Char Char Char Char Char Char Char Char Char Char1 Char"/>
    <w:basedOn w:val="1"/>
    <w:autoRedefine/>
    <w:qFormat/>
    <w:uiPriority w:val="0"/>
    <w:pPr>
      <w:adjustRightInd/>
    </w:pPr>
    <w:rPr>
      <w:rFonts w:ascii="Tahoma" w:hAnsi="Tahoma"/>
      <w:sz w:val="24"/>
    </w:rPr>
  </w:style>
  <w:style w:type="paragraph" w:customStyle="1" w:styleId="760">
    <w:name w:val="Char Char Char Char11"/>
    <w:basedOn w:val="1"/>
    <w:autoRedefine/>
    <w:qFormat/>
    <w:uiPriority w:val="0"/>
    <w:rPr>
      <w:rFonts w:ascii="Tahoma" w:hAnsi="Tahoma"/>
      <w:sz w:val="24"/>
      <w:szCs w:val="20"/>
    </w:rPr>
  </w:style>
  <w:style w:type="paragraph" w:customStyle="1" w:styleId="761">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2">
    <w:name w:val="Char Char Char Char"/>
    <w:basedOn w:val="1"/>
    <w:autoRedefine/>
    <w:qFormat/>
    <w:uiPriority w:val="0"/>
    <w:rPr>
      <w:rFonts w:ascii="Tahoma" w:hAnsi="Tahoma"/>
      <w:sz w:val="24"/>
      <w:szCs w:val="20"/>
    </w:rPr>
  </w:style>
  <w:style w:type="paragraph" w:customStyle="1" w:styleId="763">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4">
    <w:name w:val="Char19"/>
    <w:basedOn w:val="1"/>
    <w:autoRedefine/>
    <w:qFormat/>
    <w:uiPriority w:val="0"/>
    <w:pPr>
      <w:adjustRightInd/>
    </w:pPr>
    <w:rPr>
      <w:szCs w:val="20"/>
    </w:rPr>
  </w:style>
  <w:style w:type="paragraph" w:customStyle="1" w:styleId="765">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6">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7">
    <w:name w:val="_Style 5"/>
    <w:basedOn w:val="1"/>
    <w:autoRedefine/>
    <w:qFormat/>
    <w:uiPriority w:val="34"/>
    <w:pPr>
      <w:adjustRightInd/>
      <w:ind w:firstLine="420" w:firstLineChars="200"/>
    </w:pPr>
    <w:rPr>
      <w:rFonts w:eastAsia="仿宋_GB2312"/>
      <w:sz w:val="28"/>
    </w:rPr>
  </w:style>
  <w:style w:type="paragraph" w:customStyle="1" w:styleId="76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9">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70">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1">
    <w:name w:val="标书表格字体格式"/>
    <w:next w:val="765"/>
    <w:autoRedefine/>
    <w:qFormat/>
    <w:uiPriority w:val="0"/>
    <w:rPr>
      <w:rFonts w:ascii="Times New Roman" w:hAnsi="Times New Roman" w:eastAsia="宋体" w:cs="Times New Roman"/>
      <w:kern w:val="2"/>
      <w:sz w:val="21"/>
      <w:szCs w:val="24"/>
      <w:lang w:val="en-US" w:eastAsia="zh-CN" w:bidi="ar-SA"/>
    </w:rPr>
  </w:style>
  <w:style w:type="paragraph" w:customStyle="1" w:styleId="772">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3">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4">
    <w:name w:val="修订3"/>
    <w:autoRedefine/>
    <w:qFormat/>
    <w:uiPriority w:val="0"/>
    <w:rPr>
      <w:rFonts w:ascii="Times New Roman" w:hAnsi="Times New Roman" w:eastAsia="宋体" w:cs="Times New Roman"/>
      <w:kern w:val="2"/>
      <w:sz w:val="21"/>
      <w:lang w:val="en-US" w:eastAsia="zh-CN" w:bidi="ar-SA"/>
    </w:rPr>
  </w:style>
  <w:style w:type="paragraph" w:customStyle="1" w:styleId="775">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76">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7">
    <w:name w:val="表文字"/>
    <w:autoRedefine/>
    <w:qFormat/>
    <w:uiPriority w:val="0"/>
    <w:rPr>
      <w:rFonts w:ascii="宋体" w:hAnsi="Times New Roman" w:eastAsia="宋体" w:cs="Times New Roman"/>
      <w:kern w:val="2"/>
      <w:lang w:val="en-US" w:eastAsia="zh-CN" w:bidi="ar-SA"/>
    </w:rPr>
  </w:style>
  <w:style w:type="paragraph" w:customStyle="1" w:styleId="778">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9">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0">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81">
    <w:name w:val="Char Char Char Char Char Char Char Char2"/>
    <w:basedOn w:val="1"/>
    <w:autoRedefine/>
    <w:qFormat/>
    <w:uiPriority w:val="0"/>
    <w:pPr>
      <w:tabs>
        <w:tab w:val="left" w:pos="360"/>
      </w:tabs>
    </w:pPr>
    <w:rPr>
      <w:sz w:val="24"/>
      <w:szCs w:val="20"/>
    </w:rPr>
  </w:style>
  <w:style w:type="paragraph" w:customStyle="1" w:styleId="782">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3">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4">
    <w:name w:val="中文标题 3"/>
    <w:basedOn w:val="27"/>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5">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6">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7">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8">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9">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0">
    <w:name w:val="p0"/>
    <w:basedOn w:val="1"/>
    <w:autoRedefine/>
    <w:qFormat/>
    <w:uiPriority w:val="0"/>
    <w:pPr>
      <w:widowControl/>
      <w:adjustRightInd/>
    </w:pPr>
    <w:rPr>
      <w:kern w:val="0"/>
      <w:szCs w:val="21"/>
    </w:rPr>
  </w:style>
  <w:style w:type="paragraph" w:customStyle="1" w:styleId="791">
    <w:name w:val="Char6"/>
    <w:basedOn w:val="1"/>
    <w:autoRedefine/>
    <w:qFormat/>
    <w:uiPriority w:val="0"/>
    <w:rPr>
      <w:rFonts w:ascii="仿宋_GB2312" w:eastAsia="仿宋_GB2312"/>
      <w:b/>
      <w:sz w:val="32"/>
      <w:szCs w:val="32"/>
    </w:rPr>
  </w:style>
  <w:style w:type="paragraph" w:customStyle="1" w:styleId="792">
    <w:name w:val="Char111"/>
    <w:basedOn w:val="1"/>
    <w:autoRedefine/>
    <w:qFormat/>
    <w:uiPriority w:val="0"/>
    <w:rPr>
      <w:rFonts w:ascii="仿宋_GB2312" w:eastAsia="仿宋_GB2312"/>
      <w:b/>
      <w:sz w:val="32"/>
      <w:szCs w:val="32"/>
    </w:rPr>
  </w:style>
  <w:style w:type="paragraph" w:customStyle="1" w:styleId="793">
    <w:name w:val="标题3"/>
    <w:basedOn w:val="4"/>
    <w:next w:val="55"/>
    <w:autoRedefine/>
    <w:qFormat/>
    <w:uiPriority w:val="0"/>
    <w:pPr>
      <w:tabs>
        <w:tab w:val="clear" w:pos="900"/>
      </w:tabs>
      <w:spacing w:after="0" w:line="360" w:lineRule="auto"/>
    </w:pPr>
    <w:rPr>
      <w:rFonts w:ascii="仿宋" w:hAnsi="仿宋" w:eastAsia="仿宋" w:cs="仿宋"/>
    </w:rPr>
  </w:style>
  <w:style w:type="paragraph" w:customStyle="1" w:styleId="794">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5">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6">
    <w:name w:val="Char1 Char Char Char2"/>
    <w:basedOn w:val="1"/>
    <w:autoRedefine/>
    <w:qFormat/>
    <w:uiPriority w:val="0"/>
    <w:pPr>
      <w:adjustRightInd/>
      <w:ind w:firstLine="200" w:firstLineChars="200"/>
    </w:pPr>
    <w:rPr>
      <w:rFonts w:ascii="Tahoma" w:hAnsi="Tahoma"/>
      <w:sz w:val="24"/>
      <w:szCs w:val="20"/>
    </w:rPr>
  </w:style>
  <w:style w:type="paragraph" w:customStyle="1" w:styleId="797">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8">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9">
    <w:name w:val="Char Char Char Char Char Char Char2"/>
    <w:basedOn w:val="1"/>
    <w:autoRedefine/>
    <w:qFormat/>
    <w:uiPriority w:val="0"/>
    <w:rPr>
      <w:rFonts w:ascii="仿宋_GB2312" w:eastAsia="仿宋_GB2312"/>
      <w:b/>
      <w:sz w:val="32"/>
      <w:szCs w:val="32"/>
    </w:rPr>
  </w:style>
  <w:style w:type="paragraph" w:customStyle="1" w:styleId="800">
    <w:name w:val="五级条标题"/>
    <w:basedOn w:val="801"/>
    <w:next w:val="647"/>
    <w:autoRedefine/>
    <w:qFormat/>
    <w:uiPriority w:val="0"/>
    <w:pPr>
      <w:tabs>
        <w:tab w:val="left" w:pos="1260"/>
        <w:tab w:val="left" w:pos="1680"/>
        <w:tab w:val="left" w:pos="2100"/>
        <w:tab w:val="left" w:pos="2940"/>
        <w:tab w:val="left" w:pos="3360"/>
      </w:tabs>
      <w:ind w:left="3360"/>
      <w:outlineLvl w:val="6"/>
    </w:pPr>
  </w:style>
  <w:style w:type="paragraph" w:customStyle="1" w:styleId="801">
    <w:name w:val="四级条标题"/>
    <w:basedOn w:val="662"/>
    <w:next w:val="647"/>
    <w:autoRedefine/>
    <w:qFormat/>
    <w:uiPriority w:val="0"/>
    <w:pPr>
      <w:tabs>
        <w:tab w:val="left" w:pos="2940"/>
        <w:tab w:val="clear" w:pos="2520"/>
      </w:tabs>
      <w:ind w:left="2940"/>
      <w:outlineLvl w:val="5"/>
    </w:pPr>
  </w:style>
  <w:style w:type="paragraph" w:customStyle="1" w:styleId="802">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3">
    <w:name w:val="Char23"/>
    <w:basedOn w:val="1"/>
    <w:autoRedefine/>
    <w:qFormat/>
    <w:uiPriority w:val="0"/>
    <w:rPr>
      <w:rFonts w:ascii="仿宋_GB2312" w:eastAsia="仿宋_GB2312"/>
      <w:b/>
      <w:sz w:val="32"/>
      <w:szCs w:val="32"/>
    </w:rPr>
  </w:style>
  <w:style w:type="paragraph" w:customStyle="1" w:styleId="804">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5">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6">
    <w:name w:val="首行缩进"/>
    <w:basedOn w:val="1"/>
    <w:autoRedefine/>
    <w:qFormat/>
    <w:uiPriority w:val="0"/>
    <w:pPr>
      <w:spacing w:line="360" w:lineRule="auto"/>
      <w:ind w:firstLine="480" w:firstLineChars="200"/>
    </w:pPr>
    <w:rPr>
      <w:rFonts w:ascii="宋体"/>
      <w:sz w:val="24"/>
      <w:szCs w:val="20"/>
    </w:rPr>
  </w:style>
  <w:style w:type="paragraph" w:customStyle="1" w:styleId="807">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8">
    <w:name w:val="单元格左对齐"/>
    <w:basedOn w:val="1"/>
    <w:autoRedefine/>
    <w:qFormat/>
    <w:uiPriority w:val="0"/>
    <w:pPr>
      <w:adjustRightInd/>
      <w:spacing w:line="360" w:lineRule="auto"/>
    </w:pPr>
    <w:rPr>
      <w:sz w:val="24"/>
    </w:rPr>
  </w:style>
  <w:style w:type="paragraph" w:customStyle="1" w:styleId="809">
    <w:name w:val="正文主体"/>
    <w:basedOn w:val="631"/>
    <w:autoRedefine/>
    <w:qFormat/>
    <w:uiPriority w:val="0"/>
  </w:style>
  <w:style w:type="paragraph" w:customStyle="1" w:styleId="810">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1">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12">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13">
    <w:name w:val="正文（首行缩进2字符）"/>
    <w:basedOn w:val="1"/>
    <w:autoRedefine/>
    <w:qFormat/>
    <w:uiPriority w:val="0"/>
    <w:pPr>
      <w:adjustRightInd/>
      <w:spacing w:line="360" w:lineRule="auto"/>
      <w:ind w:firstLine="480" w:firstLineChars="200"/>
    </w:pPr>
    <w:rPr>
      <w:sz w:val="24"/>
      <w:szCs w:val="20"/>
    </w:rPr>
  </w:style>
  <w:style w:type="paragraph" w:customStyle="1" w:styleId="814">
    <w:name w:val="P1"/>
    <w:basedOn w:val="1"/>
    <w:autoRedefine/>
    <w:qFormat/>
    <w:uiPriority w:val="0"/>
    <w:pPr>
      <w:adjustRightInd/>
      <w:spacing w:line="288" w:lineRule="auto"/>
      <w:ind w:firstLine="425" w:firstLineChars="200"/>
    </w:pPr>
  </w:style>
  <w:style w:type="paragraph" w:customStyle="1" w:styleId="815">
    <w:name w:val="列表内容"/>
    <w:basedOn w:val="1"/>
    <w:next w:val="1"/>
    <w:autoRedefine/>
    <w:qFormat/>
    <w:uiPriority w:val="0"/>
    <w:pPr>
      <w:widowControl/>
      <w:tabs>
        <w:tab w:val="left" w:pos="840"/>
      </w:tabs>
      <w:ind w:left="840" w:hanging="420"/>
      <w:jc w:val="left"/>
    </w:pPr>
    <w:rPr>
      <w:kern w:val="0"/>
      <w:sz w:val="18"/>
    </w:rPr>
  </w:style>
  <w:style w:type="paragraph" w:customStyle="1" w:styleId="816">
    <w:name w:val="Char Char11 Char Char Char1"/>
    <w:basedOn w:val="1"/>
    <w:autoRedefine/>
    <w:qFormat/>
    <w:uiPriority w:val="6"/>
    <w:pPr>
      <w:spacing w:line="360" w:lineRule="auto"/>
    </w:pPr>
    <w:rPr>
      <w:szCs w:val="20"/>
    </w:rPr>
  </w:style>
  <w:style w:type="paragraph" w:customStyle="1" w:styleId="817">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8">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9">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20">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21">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22">
    <w:name w:val="默认段落字体 Para Char Char Char Char"/>
    <w:basedOn w:val="1"/>
    <w:autoRedefine/>
    <w:qFormat/>
    <w:uiPriority w:val="0"/>
    <w:pPr>
      <w:spacing w:line="360" w:lineRule="auto"/>
    </w:pPr>
    <w:rPr>
      <w:szCs w:val="20"/>
    </w:rPr>
  </w:style>
  <w:style w:type="paragraph" w:customStyle="1" w:styleId="823">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4">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5">
    <w:name w:val="Char2 Char Char Char2"/>
    <w:basedOn w:val="1"/>
    <w:autoRedefine/>
    <w:qFormat/>
    <w:uiPriority w:val="0"/>
    <w:rPr>
      <w:rFonts w:ascii="仿宋_GB2312" w:eastAsia="仿宋_GB2312"/>
      <w:b/>
      <w:sz w:val="32"/>
      <w:szCs w:val="32"/>
    </w:rPr>
  </w:style>
  <w:style w:type="paragraph" w:customStyle="1" w:styleId="826">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7">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8">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9">
    <w:name w:val="Char Char4 Char Char"/>
    <w:basedOn w:val="1"/>
    <w:autoRedefine/>
    <w:qFormat/>
    <w:uiPriority w:val="0"/>
    <w:pPr>
      <w:widowControl/>
      <w:adjustRightInd/>
      <w:spacing w:after="160" w:line="240" w:lineRule="exact"/>
      <w:jc w:val="left"/>
    </w:pPr>
  </w:style>
  <w:style w:type="paragraph" w:customStyle="1" w:styleId="830">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1">
    <w:name w:val="Char Char11 Char Char Char2"/>
    <w:basedOn w:val="1"/>
    <w:autoRedefine/>
    <w:qFormat/>
    <w:uiPriority w:val="0"/>
    <w:pPr>
      <w:spacing w:line="360" w:lineRule="auto"/>
    </w:pPr>
    <w:rPr>
      <w:szCs w:val="20"/>
    </w:rPr>
  </w:style>
  <w:style w:type="paragraph" w:customStyle="1" w:styleId="832">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3">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4">
    <w:name w:val="数字标题4"/>
    <w:basedOn w:val="5"/>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5">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6">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7">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8">
    <w:name w:val="Char311"/>
    <w:basedOn w:val="1"/>
    <w:autoRedefine/>
    <w:qFormat/>
    <w:uiPriority w:val="0"/>
    <w:pPr>
      <w:adjustRightInd/>
      <w:ind w:firstLine="200" w:firstLineChars="200"/>
    </w:pPr>
    <w:rPr>
      <w:rFonts w:ascii="Tahoma" w:hAnsi="Tahoma"/>
      <w:sz w:val="24"/>
      <w:szCs w:val="20"/>
    </w:rPr>
  </w:style>
  <w:style w:type="paragraph" w:customStyle="1" w:styleId="839">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40">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1">
    <w:name w:val="正文 内标"/>
    <w:basedOn w:val="756"/>
    <w:autoRedefine/>
    <w:qFormat/>
    <w:uiPriority w:val="0"/>
    <w:pPr>
      <w:tabs>
        <w:tab w:val="left" w:pos="0"/>
      </w:tabs>
      <w:ind w:left="900" w:firstLine="0" w:firstLineChars="0"/>
    </w:pPr>
  </w:style>
  <w:style w:type="paragraph" w:customStyle="1" w:styleId="842">
    <w:name w:val="Bulleted List"/>
    <w:basedOn w:val="1"/>
    <w:autoRedefine/>
    <w:qFormat/>
    <w:uiPriority w:val="0"/>
    <w:pPr>
      <w:tabs>
        <w:tab w:val="left" w:pos="1260"/>
      </w:tabs>
      <w:adjustRightInd/>
      <w:ind w:left="1260" w:hanging="420"/>
    </w:pPr>
  </w:style>
  <w:style w:type="paragraph" w:customStyle="1" w:styleId="843">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44">
    <w:name w:val="样式 左侧:  0.85 厘米"/>
    <w:basedOn w:val="1"/>
    <w:autoRedefine/>
    <w:qFormat/>
    <w:uiPriority w:val="2"/>
    <w:pPr>
      <w:adjustRightInd/>
      <w:spacing w:line="360" w:lineRule="auto"/>
    </w:pPr>
    <w:rPr>
      <w:rFonts w:cs="宋体"/>
      <w:sz w:val="24"/>
      <w:szCs w:val="20"/>
    </w:rPr>
  </w:style>
  <w:style w:type="paragraph" w:customStyle="1" w:styleId="845">
    <w:name w:val="Char Char Char Char Char Char Char Char Char Char Char Char1 Char"/>
    <w:basedOn w:val="1"/>
    <w:autoRedefine/>
    <w:qFormat/>
    <w:uiPriority w:val="0"/>
    <w:rPr>
      <w:rFonts w:ascii="Tahoma" w:hAnsi="Tahoma" w:cs="仿宋_GB2312"/>
      <w:sz w:val="24"/>
      <w:szCs w:val="20"/>
    </w:rPr>
  </w:style>
  <w:style w:type="paragraph" w:customStyle="1" w:styleId="846">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7">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8">
    <w:name w:val="模板普通正文"/>
    <w:basedOn w:val="27"/>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9">
    <w:name w:val="Char Char1 Char Char Char Char Char Char"/>
    <w:basedOn w:val="1"/>
    <w:autoRedefine/>
    <w:qFormat/>
    <w:uiPriority w:val="0"/>
    <w:rPr>
      <w:rFonts w:ascii="仿宋_GB2312" w:eastAsia="仿宋_GB2312"/>
      <w:b/>
      <w:sz w:val="32"/>
      <w:szCs w:val="20"/>
    </w:rPr>
  </w:style>
  <w:style w:type="paragraph" w:customStyle="1" w:styleId="850">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51">
    <w:name w:val="Char Char1 Char Char Char Char Char Char2"/>
    <w:basedOn w:val="1"/>
    <w:autoRedefine/>
    <w:qFormat/>
    <w:uiPriority w:val="0"/>
    <w:rPr>
      <w:rFonts w:ascii="仿宋_GB2312" w:eastAsia="仿宋_GB2312"/>
      <w:b/>
      <w:sz w:val="32"/>
      <w:szCs w:val="20"/>
    </w:rPr>
  </w:style>
  <w:style w:type="paragraph" w:customStyle="1" w:styleId="852">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3">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5">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6">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7">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8">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9">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0">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1">
    <w:name w:val="Char31"/>
    <w:basedOn w:val="1"/>
    <w:autoRedefine/>
    <w:qFormat/>
    <w:uiPriority w:val="0"/>
    <w:pPr>
      <w:adjustRightInd/>
    </w:pPr>
    <w:rPr>
      <w:rFonts w:ascii="仿宋_GB2312" w:eastAsia="仿宋_GB2312"/>
      <w:b/>
      <w:sz w:val="32"/>
      <w:szCs w:val="32"/>
    </w:rPr>
  </w:style>
  <w:style w:type="paragraph" w:customStyle="1" w:styleId="862">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63">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4">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5">
    <w:name w:val="Char Char1"/>
    <w:basedOn w:val="1"/>
    <w:autoRedefine/>
    <w:qFormat/>
    <w:uiPriority w:val="0"/>
    <w:pPr>
      <w:widowControl/>
      <w:spacing w:after="160" w:line="240" w:lineRule="exact"/>
      <w:jc w:val="left"/>
    </w:pPr>
    <w:rPr>
      <w:rFonts w:eastAsia="仿宋_GB2312"/>
      <w:sz w:val="28"/>
    </w:rPr>
  </w:style>
  <w:style w:type="paragraph" w:customStyle="1" w:styleId="866">
    <w:name w:val="Char21"/>
    <w:basedOn w:val="1"/>
    <w:autoRedefine/>
    <w:qFormat/>
    <w:uiPriority w:val="0"/>
    <w:pPr>
      <w:adjustRightInd/>
      <w:ind w:firstLine="200" w:firstLineChars="200"/>
    </w:pPr>
    <w:rPr>
      <w:rFonts w:ascii="仿宋_GB2312" w:eastAsia="仿宋_GB2312"/>
      <w:b/>
      <w:sz w:val="32"/>
      <w:szCs w:val="32"/>
    </w:rPr>
  </w:style>
  <w:style w:type="paragraph" w:customStyle="1" w:styleId="867">
    <w:name w:val="列表段落1"/>
    <w:basedOn w:val="1"/>
    <w:autoRedefine/>
    <w:qFormat/>
    <w:uiPriority w:val="34"/>
    <w:pPr>
      <w:adjustRightInd/>
      <w:ind w:right="238" w:firstLine="420"/>
    </w:pPr>
    <w:rPr>
      <w:rFonts w:ascii="Calibri" w:hAnsi="Calibri"/>
      <w:sz w:val="24"/>
    </w:rPr>
  </w:style>
  <w:style w:type="paragraph" w:customStyle="1" w:styleId="868">
    <w:name w:val="Char Char110"/>
    <w:basedOn w:val="1"/>
    <w:autoRedefine/>
    <w:qFormat/>
    <w:uiPriority w:val="6"/>
    <w:pPr>
      <w:spacing w:line="360" w:lineRule="auto"/>
    </w:pPr>
    <w:rPr>
      <w:rFonts w:ascii="Tahoma" w:hAnsi="Tahoma"/>
      <w:sz w:val="24"/>
      <w:szCs w:val="20"/>
    </w:rPr>
  </w:style>
  <w:style w:type="paragraph" w:customStyle="1" w:styleId="869">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0">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71">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2">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3">
    <w:name w:val="Char Char Char Char Char Char Char Char Char Char Char Char1 Char2"/>
    <w:basedOn w:val="1"/>
    <w:autoRedefine/>
    <w:qFormat/>
    <w:uiPriority w:val="0"/>
    <w:rPr>
      <w:rFonts w:ascii="Tahoma" w:hAnsi="Tahoma" w:cs="仿宋_GB2312"/>
      <w:sz w:val="24"/>
      <w:szCs w:val="20"/>
    </w:rPr>
  </w:style>
  <w:style w:type="paragraph" w:customStyle="1" w:styleId="874">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5">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6">
    <w:name w:val="样式 列表编号 + 段后: 0.5 行"/>
    <w:basedOn w:val="14"/>
    <w:autoRedefine/>
    <w:qFormat/>
    <w:uiPriority w:val="2"/>
    <w:pPr>
      <w:tabs>
        <w:tab w:val="clear" w:pos="390"/>
        <w:tab w:val="clear" w:pos="454"/>
      </w:tabs>
      <w:ind w:left="840" w:hanging="420"/>
      <w:contextualSpacing/>
    </w:pPr>
    <w:rPr>
      <w:rFonts w:cs="宋体"/>
    </w:rPr>
  </w:style>
  <w:style w:type="paragraph" w:customStyle="1" w:styleId="877">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8">
    <w:name w:val="_Style 12"/>
    <w:basedOn w:val="19"/>
    <w:autoRedefine/>
    <w:qFormat/>
    <w:uiPriority w:val="0"/>
    <w:pPr>
      <w:snapToGrid w:val="0"/>
      <w:spacing w:line="360" w:lineRule="auto"/>
    </w:pPr>
  </w:style>
  <w:style w:type="paragraph" w:customStyle="1" w:styleId="879">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80">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1">
    <w:name w:val="_Style 94"/>
    <w:basedOn w:val="1"/>
    <w:next w:val="265"/>
    <w:autoRedefine/>
    <w:qFormat/>
    <w:uiPriority w:val="34"/>
    <w:pPr>
      <w:adjustRightInd/>
      <w:spacing w:line="360" w:lineRule="auto"/>
      <w:ind w:firstLine="200" w:firstLineChars="200"/>
    </w:pPr>
    <w:rPr>
      <w:rFonts w:ascii="Calibri" w:hAnsi="Calibri"/>
      <w:sz w:val="28"/>
      <w:szCs w:val="20"/>
    </w:rPr>
  </w:style>
  <w:style w:type="paragraph" w:customStyle="1" w:styleId="882">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3">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4">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5">
    <w:name w:val="3级标题"/>
    <w:basedOn w:val="678"/>
    <w:autoRedefine/>
    <w:qFormat/>
    <w:uiPriority w:val="0"/>
    <w:pPr>
      <w:outlineLvl w:val="2"/>
    </w:pPr>
  </w:style>
  <w:style w:type="paragraph" w:customStyle="1" w:styleId="886">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7">
    <w:name w:val="Char1 Char Char Char3"/>
    <w:basedOn w:val="1"/>
    <w:autoRedefine/>
    <w:qFormat/>
    <w:uiPriority w:val="0"/>
    <w:pPr>
      <w:adjustRightInd/>
      <w:ind w:firstLine="200" w:firstLineChars="200"/>
    </w:pPr>
    <w:rPr>
      <w:rFonts w:ascii="Tahoma" w:hAnsi="Tahoma"/>
      <w:sz w:val="24"/>
      <w:szCs w:val="20"/>
    </w:rPr>
  </w:style>
  <w:style w:type="paragraph" w:customStyle="1" w:styleId="888">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9">
    <w:name w:val="MM Empty"/>
    <w:basedOn w:val="1"/>
    <w:autoRedefine/>
    <w:qFormat/>
    <w:uiPriority w:val="0"/>
    <w:pPr>
      <w:adjustRightInd/>
    </w:pPr>
  </w:style>
  <w:style w:type="paragraph" w:customStyle="1" w:styleId="890">
    <w:name w:val="Char24"/>
    <w:basedOn w:val="1"/>
    <w:autoRedefine/>
    <w:qFormat/>
    <w:uiPriority w:val="0"/>
    <w:rPr>
      <w:rFonts w:ascii="仿宋_GB2312" w:eastAsia="仿宋_GB2312"/>
      <w:b/>
      <w:sz w:val="32"/>
      <w:szCs w:val="32"/>
    </w:rPr>
  </w:style>
  <w:style w:type="paragraph" w:customStyle="1" w:styleId="891">
    <w:name w:val="正文箭头"/>
    <w:basedOn w:val="545"/>
    <w:autoRedefine/>
    <w:qFormat/>
    <w:uiPriority w:val="0"/>
  </w:style>
  <w:style w:type="paragraph" w:customStyle="1" w:styleId="892">
    <w:name w:val="U_编号2"/>
    <w:basedOn w:val="1"/>
    <w:autoRedefine/>
    <w:qFormat/>
    <w:uiPriority w:val="0"/>
    <w:pPr>
      <w:tabs>
        <w:tab w:val="left" w:pos="785"/>
      </w:tabs>
      <w:adjustRightInd/>
      <w:spacing w:beforeLines="10" w:afterLines="10" w:line="300" w:lineRule="auto"/>
    </w:pPr>
    <w:rPr>
      <w:sz w:val="24"/>
    </w:rPr>
  </w:style>
  <w:style w:type="paragraph" w:customStyle="1" w:styleId="893">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4">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5">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6">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7">
    <w:name w:val="_Style 1"/>
    <w:basedOn w:val="1"/>
    <w:autoRedefine/>
    <w:qFormat/>
    <w:uiPriority w:val="34"/>
    <w:pPr>
      <w:adjustRightInd/>
      <w:ind w:firstLine="420" w:firstLineChars="200"/>
    </w:pPr>
    <w:rPr>
      <w:rFonts w:eastAsia="仿宋_GB2312"/>
      <w:sz w:val="28"/>
    </w:rPr>
  </w:style>
  <w:style w:type="paragraph" w:customStyle="1" w:styleId="898">
    <w:name w:val="表格 内容"/>
    <w:basedOn w:val="735"/>
    <w:autoRedefine/>
    <w:qFormat/>
    <w:uiPriority w:val="0"/>
    <w:rPr>
      <w:b w:val="0"/>
      <w:sz w:val="20"/>
    </w:rPr>
  </w:style>
  <w:style w:type="paragraph" w:customStyle="1" w:styleId="899">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0">
    <w:name w:val="数字标题5"/>
    <w:basedOn w:val="6"/>
    <w:next w:val="1"/>
    <w:autoRedefine/>
    <w:qFormat/>
    <w:uiPriority w:val="0"/>
    <w:pPr>
      <w:tabs>
        <w:tab w:val="left" w:pos="1080"/>
      </w:tabs>
      <w:ind w:left="1080" w:hanging="1080"/>
    </w:pPr>
  </w:style>
  <w:style w:type="paragraph" w:customStyle="1" w:styleId="901">
    <w:name w:val="数字标题1"/>
    <w:basedOn w:val="2"/>
    <w:next w:val="1"/>
    <w:autoRedefine/>
    <w:qFormat/>
    <w:uiPriority w:val="0"/>
    <w:pPr>
      <w:tabs>
        <w:tab w:val="left" w:pos="480"/>
      </w:tabs>
      <w:ind w:left="480" w:hanging="480"/>
    </w:pPr>
  </w:style>
  <w:style w:type="paragraph" w:customStyle="1" w:styleId="902">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4">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5">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6">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7">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8">
    <w:name w:val="0"/>
    <w:basedOn w:val="1"/>
    <w:autoRedefine/>
    <w:qFormat/>
    <w:uiPriority w:val="0"/>
    <w:pPr>
      <w:widowControl/>
    </w:pPr>
    <w:rPr>
      <w:kern w:val="0"/>
      <w:sz w:val="24"/>
      <w:szCs w:val="20"/>
    </w:rPr>
  </w:style>
  <w:style w:type="paragraph" w:customStyle="1" w:styleId="909">
    <w:name w:val="Char Char113"/>
    <w:basedOn w:val="1"/>
    <w:autoRedefine/>
    <w:qFormat/>
    <w:uiPriority w:val="0"/>
    <w:pPr>
      <w:widowControl/>
      <w:spacing w:after="160" w:line="240" w:lineRule="exact"/>
      <w:jc w:val="left"/>
    </w:pPr>
    <w:rPr>
      <w:rFonts w:eastAsia="仿宋_GB2312"/>
      <w:sz w:val="28"/>
    </w:rPr>
  </w:style>
  <w:style w:type="paragraph" w:customStyle="1" w:styleId="910">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11">
    <w:name w:val="_Style 8"/>
    <w:basedOn w:val="1"/>
    <w:autoRedefine/>
    <w:qFormat/>
    <w:uiPriority w:val="34"/>
    <w:pPr>
      <w:adjustRightInd/>
      <w:ind w:firstLine="420" w:firstLineChars="200"/>
    </w:pPr>
    <w:rPr>
      <w:rFonts w:eastAsia="仿宋_GB2312"/>
      <w:sz w:val="28"/>
    </w:rPr>
  </w:style>
  <w:style w:type="paragraph" w:customStyle="1" w:styleId="912">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3">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4">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5">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7">
    <w:name w:val="Char Char112"/>
    <w:basedOn w:val="1"/>
    <w:autoRedefine/>
    <w:qFormat/>
    <w:uiPriority w:val="6"/>
    <w:pPr>
      <w:widowControl/>
      <w:spacing w:after="160" w:line="240" w:lineRule="exact"/>
      <w:jc w:val="left"/>
    </w:pPr>
    <w:rPr>
      <w:rFonts w:eastAsia="仿宋_GB2312"/>
      <w:sz w:val="28"/>
    </w:rPr>
  </w:style>
  <w:style w:type="paragraph" w:customStyle="1" w:styleId="918">
    <w:name w:val="正文 图"/>
    <w:basedOn w:val="450"/>
    <w:autoRedefine/>
    <w:qFormat/>
    <w:uiPriority w:val="0"/>
    <w:pPr>
      <w:adjustRightInd/>
      <w:spacing w:before="0"/>
      <w:ind w:firstLine="0"/>
      <w:jc w:val="center"/>
    </w:pPr>
    <w:rPr>
      <w:rFonts w:ascii="微软雅黑" w:hAnsi="微软雅黑"/>
    </w:rPr>
  </w:style>
  <w:style w:type="paragraph" w:customStyle="1" w:styleId="919">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0">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1">
    <w:name w:val="Thf"/>
    <w:basedOn w:val="569"/>
    <w:autoRedefine/>
    <w:qFormat/>
    <w:uiPriority w:val="0"/>
    <w:pPr>
      <w:ind w:left="0"/>
    </w:pPr>
  </w:style>
  <w:style w:type="paragraph" w:customStyle="1" w:styleId="922">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4">
    <w:name w:val="注释"/>
    <w:basedOn w:val="1"/>
    <w:autoRedefine/>
    <w:qFormat/>
    <w:uiPriority w:val="0"/>
    <w:pPr>
      <w:adjustRightInd/>
      <w:spacing w:line="360" w:lineRule="auto"/>
      <w:ind w:firstLine="480"/>
    </w:pPr>
    <w:rPr>
      <w:sz w:val="24"/>
    </w:rPr>
  </w:style>
  <w:style w:type="table" w:customStyle="1" w:styleId="925">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1">
    <w:name w:val="列出段落111"/>
    <w:basedOn w:val="1"/>
    <w:autoRedefine/>
    <w:qFormat/>
    <w:uiPriority w:val="34"/>
    <w:pPr>
      <w:ind w:firstLine="420" w:firstLineChars="200"/>
    </w:pPr>
  </w:style>
  <w:style w:type="character" w:customStyle="1" w:styleId="932">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3">
    <w:name w:val="正文缩进 字符1"/>
    <w:autoRedefine/>
    <w:qFormat/>
    <w:uiPriority w:val="0"/>
    <w:rPr>
      <w:rFonts w:ascii="宋体" w:eastAsia="宋体"/>
      <w:snapToGrid w:val="0"/>
      <w:color w:val="000000"/>
      <w:kern w:val="28"/>
      <w:sz w:val="28"/>
      <w:lang w:val="en-US" w:eastAsia="zh-CN" w:bidi="ar-SA"/>
    </w:rPr>
  </w:style>
  <w:style w:type="character" w:customStyle="1" w:styleId="934">
    <w:name w:val="页脚 字符1"/>
    <w:autoRedefine/>
    <w:qFormat/>
    <w:locked/>
    <w:uiPriority w:val="99"/>
    <w:rPr>
      <w:kern w:val="2"/>
      <w:sz w:val="18"/>
      <w:szCs w:val="18"/>
    </w:rPr>
  </w:style>
  <w:style w:type="character" w:customStyle="1" w:styleId="935">
    <w:name w:val="页眉 字符1"/>
    <w:autoRedefine/>
    <w:qFormat/>
    <w:uiPriority w:val="99"/>
    <w:rPr>
      <w:kern w:val="2"/>
      <w:sz w:val="18"/>
      <w:szCs w:val="18"/>
    </w:rPr>
  </w:style>
  <w:style w:type="character" w:customStyle="1" w:styleId="936">
    <w:name w:val="尾注文本 Char"/>
    <w:link w:val="40"/>
    <w:autoRedefine/>
    <w:qFormat/>
    <w:uiPriority w:val="0"/>
    <w:rPr>
      <w:kern w:val="2"/>
      <w:sz w:val="21"/>
      <w:szCs w:val="24"/>
      <w:lang w:val="zh-CN"/>
    </w:rPr>
  </w:style>
  <w:style w:type="character" w:customStyle="1" w:styleId="937">
    <w:name w:val="无间隔 Char"/>
    <w:link w:val="490"/>
    <w:autoRedefine/>
    <w:qFormat/>
    <w:uiPriority w:val="99"/>
    <w:rPr>
      <w:kern w:val="2"/>
      <w:sz w:val="21"/>
      <w:szCs w:val="22"/>
    </w:rPr>
  </w:style>
  <w:style w:type="character" w:customStyle="1" w:styleId="938">
    <w:name w:val="标准文本 Char Char"/>
    <w:link w:val="939"/>
    <w:autoRedefine/>
    <w:qFormat/>
    <w:uiPriority w:val="0"/>
    <w:rPr>
      <w:rFonts w:cs="宋体"/>
      <w:kern w:val="2"/>
      <w:sz w:val="24"/>
    </w:rPr>
  </w:style>
  <w:style w:type="paragraph" w:customStyle="1" w:styleId="939">
    <w:name w:val="标准文本"/>
    <w:basedOn w:val="1"/>
    <w:link w:val="938"/>
    <w:autoRedefine/>
    <w:qFormat/>
    <w:uiPriority w:val="0"/>
    <w:pPr>
      <w:adjustRightInd/>
      <w:spacing w:line="360" w:lineRule="auto"/>
      <w:ind w:firstLine="480" w:firstLineChars="200"/>
    </w:pPr>
    <w:rPr>
      <w:rFonts w:cs="宋体"/>
      <w:sz w:val="24"/>
      <w:szCs w:val="20"/>
    </w:rPr>
  </w:style>
  <w:style w:type="character" w:customStyle="1" w:styleId="940">
    <w:name w:val="Char Char213"/>
    <w:autoRedefine/>
    <w:qFormat/>
    <w:uiPriority w:val="0"/>
    <w:rPr>
      <w:rFonts w:eastAsia="Century Gothic"/>
      <w:b/>
      <w:bCs/>
      <w:kern w:val="44"/>
      <w:sz w:val="32"/>
      <w:szCs w:val="44"/>
      <w:lang w:val="en-US" w:eastAsia="zh-CN" w:bidi="ar-SA"/>
    </w:rPr>
  </w:style>
  <w:style w:type="character" w:customStyle="1" w:styleId="941">
    <w:name w:val="apple-style-span"/>
    <w:autoRedefine/>
    <w:qFormat/>
    <w:uiPriority w:val="0"/>
    <w:rPr>
      <w:rFonts w:ascii="Arial" w:hAnsi="Arial" w:eastAsia="黑体" w:cs="Arial"/>
      <w:snapToGrid w:val="0"/>
      <w:kern w:val="0"/>
      <w:szCs w:val="21"/>
    </w:rPr>
  </w:style>
  <w:style w:type="character" w:customStyle="1" w:styleId="942">
    <w:name w:val="15"/>
    <w:autoRedefine/>
    <w:qFormat/>
    <w:uiPriority w:val="0"/>
    <w:rPr>
      <w:rFonts w:hint="default" w:ascii="Calibri" w:hAnsi="Calibri"/>
      <w:color w:val="0000FF"/>
      <w:u w:val="single"/>
    </w:rPr>
  </w:style>
  <w:style w:type="character" w:customStyle="1" w:styleId="943">
    <w:name w:val="16"/>
    <w:autoRedefine/>
    <w:qFormat/>
    <w:uiPriority w:val="0"/>
    <w:rPr>
      <w:rFonts w:hint="eastAsia" w:ascii="宋体" w:hAnsi="宋体" w:eastAsia="宋体"/>
      <w:color w:val="000000"/>
      <w:sz w:val="20"/>
      <w:szCs w:val="20"/>
    </w:rPr>
  </w:style>
  <w:style w:type="character" w:customStyle="1" w:styleId="944">
    <w:name w:val="edui-unclickable"/>
    <w:autoRedefine/>
    <w:qFormat/>
    <w:uiPriority w:val="0"/>
    <w:rPr>
      <w:color w:val="808080"/>
    </w:rPr>
  </w:style>
  <w:style w:type="character" w:customStyle="1" w:styleId="945">
    <w:name w:val="tpc_content1"/>
    <w:autoRedefine/>
    <w:qFormat/>
    <w:uiPriority w:val="0"/>
    <w:rPr>
      <w:sz w:val="20"/>
      <w:szCs w:val="20"/>
    </w:rPr>
  </w:style>
  <w:style w:type="character" w:customStyle="1" w:styleId="946">
    <w:name w:val="正文文本缩进 字符"/>
    <w:autoRedefine/>
    <w:qFormat/>
    <w:uiPriority w:val="0"/>
    <w:rPr>
      <w:rFonts w:ascii="Century Gothic" w:hAnsi="Century Gothic" w:eastAsia="Century Gothic"/>
      <w:kern w:val="2"/>
      <w:sz w:val="24"/>
      <w:lang w:val="en-US" w:eastAsia="zh-CN" w:bidi="ar-SA"/>
    </w:rPr>
  </w:style>
  <w:style w:type="character" w:customStyle="1" w:styleId="947">
    <w:name w:val="正文文本 2 字符"/>
    <w:autoRedefine/>
    <w:qFormat/>
    <w:uiPriority w:val="0"/>
    <w:rPr>
      <w:rFonts w:ascii="Arial" w:hAnsi="Arial" w:eastAsia="宋体"/>
      <w:kern w:val="2"/>
      <w:sz w:val="24"/>
      <w:szCs w:val="24"/>
      <w:lang w:val="en-US" w:eastAsia="zh-CN" w:bidi="ar-SA"/>
    </w:rPr>
  </w:style>
  <w:style w:type="character" w:customStyle="1" w:styleId="948">
    <w:name w:val="edui-clickable2"/>
    <w:autoRedefine/>
    <w:qFormat/>
    <w:uiPriority w:val="0"/>
    <w:rPr>
      <w:color w:val="0000FF"/>
      <w:u w:val="single"/>
    </w:rPr>
  </w:style>
  <w:style w:type="character" w:customStyle="1" w:styleId="949">
    <w:name w:val="style1"/>
    <w:autoRedefine/>
    <w:qFormat/>
    <w:uiPriority w:val="0"/>
    <w:rPr>
      <w:rFonts w:ascii="Arial" w:hAnsi="Arial" w:eastAsia="黑体" w:cs="Arial"/>
      <w:snapToGrid w:val="0"/>
      <w:kern w:val="0"/>
      <w:szCs w:val="21"/>
    </w:rPr>
  </w:style>
  <w:style w:type="character" w:customStyle="1" w:styleId="950">
    <w:name w:val="zbggtop11 style5"/>
    <w:autoRedefine/>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2">
    <w:name w:val="bulletintext1"/>
    <w:autoRedefine/>
    <w:qFormat/>
    <w:uiPriority w:val="0"/>
    <w:rPr>
      <w:color w:val="000000"/>
      <w:sz w:val="18"/>
    </w:rPr>
  </w:style>
  <w:style w:type="paragraph" w:customStyle="1" w:styleId="953">
    <w:name w:val="_Style 947"/>
    <w:basedOn w:val="1"/>
    <w:next w:val="265"/>
    <w:autoRedefine/>
    <w:qFormat/>
    <w:uiPriority w:val="34"/>
    <w:pPr>
      <w:adjustRightInd/>
      <w:ind w:firstLine="420" w:firstLineChars="200"/>
    </w:pPr>
  </w:style>
  <w:style w:type="paragraph" w:customStyle="1" w:styleId="954">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5">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6">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7">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8">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9">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60">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61">
    <w:name w:val="Table Paragraph"/>
    <w:basedOn w:val="1"/>
    <w:autoRedefine/>
    <w:qFormat/>
    <w:uiPriority w:val="0"/>
    <w:pPr>
      <w:adjustRightInd/>
      <w:jc w:val="left"/>
    </w:pPr>
    <w:rPr>
      <w:rFonts w:ascii="Calibri" w:hAnsi="Calibri"/>
      <w:kern w:val="0"/>
      <w:sz w:val="22"/>
      <w:szCs w:val="22"/>
      <w:lang w:eastAsia="en-US"/>
    </w:rPr>
  </w:style>
  <w:style w:type="paragraph" w:customStyle="1" w:styleId="962">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3">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4">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5">
    <w:name w:val="ksfind_class_select1"/>
    <w:basedOn w:val="71"/>
    <w:autoRedefine/>
    <w:qFormat/>
    <w:uiPriority w:val="0"/>
    <w:rPr>
      <w:color w:val="000000"/>
      <w:shd w:val="clear" w:color="auto" w:fill="EFD200"/>
    </w:rPr>
  </w:style>
  <w:style w:type="character" w:customStyle="1" w:styleId="966">
    <w:name w:val="font71"/>
    <w:autoRedefine/>
    <w:qFormat/>
    <w:uiPriority w:val="0"/>
    <w:rPr>
      <w:rFonts w:hint="eastAsia" w:ascii="宋体" w:hAnsi="宋体" w:eastAsia="宋体" w:cs="宋体"/>
      <w:color w:val="000000"/>
      <w:sz w:val="22"/>
      <w:szCs w:val="22"/>
      <w:u w:val="none"/>
    </w:rPr>
  </w:style>
  <w:style w:type="character" w:customStyle="1" w:styleId="967">
    <w:name w:val="font91"/>
    <w:autoRedefine/>
    <w:qFormat/>
    <w:uiPriority w:val="0"/>
    <w:rPr>
      <w:rFonts w:hint="eastAsia" w:ascii="仿宋" w:hAnsi="仿宋" w:eastAsia="仿宋" w:cs="仿宋"/>
      <w:color w:val="000000"/>
      <w:sz w:val="22"/>
      <w:szCs w:val="22"/>
      <w:u w:val="none"/>
    </w:rPr>
  </w:style>
  <w:style w:type="paragraph" w:customStyle="1" w:styleId="968">
    <w:name w:val="正文7"/>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69">
    <w:name w:val="纯文本3"/>
    <w:basedOn w:val="1"/>
    <w:autoRedefine/>
    <w:qFormat/>
    <w:uiPriority w:val="0"/>
    <w:pPr>
      <w:textAlignment w:val="baseline"/>
    </w:pPr>
    <w:rPr>
      <w:rFonts w:ascii="宋体" w:hAnsi="Courier New" w:eastAsia="楷体_GB2312"/>
      <w:sz w:val="26"/>
      <w:szCs w:val="20"/>
    </w:rPr>
  </w:style>
  <w:style w:type="paragraph" w:customStyle="1" w:styleId="970">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971">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2">
    <w:name w:val="Heading1"/>
    <w:basedOn w:val="1"/>
    <w:next w:val="1"/>
    <w:autoRedefine/>
    <w:qFormat/>
    <w:uiPriority w:val="0"/>
    <w:pPr>
      <w:keepNext/>
      <w:keepLines/>
      <w:spacing w:before="340" w:after="330" w:line="578" w:lineRule="auto"/>
      <w:textAlignment w:val="baseline"/>
    </w:pPr>
    <w:rPr>
      <w:b/>
      <w:bCs/>
      <w:kern w:val="44"/>
      <w:sz w:val="44"/>
      <w:szCs w:val="44"/>
    </w:rPr>
  </w:style>
  <w:style w:type="character" w:customStyle="1" w:styleId="973">
    <w:name w:val="NormalCharacter"/>
    <w:autoRedefine/>
    <w:qFormat/>
    <w:uiPriority w:val="0"/>
    <w:rPr>
      <w:kern w:val="2"/>
      <w:sz w:val="21"/>
      <w:szCs w:val="24"/>
      <w:lang w:val="en-US" w:eastAsia="zh-CN" w:bidi="ar-SA"/>
    </w:rPr>
  </w:style>
  <w:style w:type="character" w:customStyle="1" w:styleId="974">
    <w:name w:val="UserStyle_12"/>
    <w:autoRedefine/>
    <w:qFormat/>
    <w:uiPriority w:val="0"/>
    <w:rPr>
      <w:kern w:val="2"/>
      <w:sz w:val="21"/>
      <w:szCs w:val="24"/>
      <w:lang w:val="en-US" w:eastAsia="zh-CN" w:bidi="ar-SA"/>
    </w:rPr>
  </w:style>
  <w:style w:type="paragraph" w:customStyle="1" w:styleId="975">
    <w:name w:val="BodyText"/>
    <w:basedOn w:val="1"/>
    <w:next w:val="976"/>
    <w:autoRedefine/>
    <w:qFormat/>
    <w:uiPriority w:val="0"/>
    <w:pPr>
      <w:spacing w:after="120"/>
      <w:textAlignment w:val="baseline"/>
    </w:pPr>
    <w:rPr>
      <w:rFonts w:ascii="Calibri" w:hAnsi="Calibri"/>
    </w:rPr>
  </w:style>
  <w:style w:type="paragraph" w:customStyle="1" w:styleId="976">
    <w:name w:val="BodyText2"/>
    <w:basedOn w:val="1"/>
    <w:next w:val="1"/>
    <w:autoRedefine/>
    <w:qFormat/>
    <w:uiPriority w:val="0"/>
    <w:pPr>
      <w:widowControl/>
      <w:snapToGrid w:val="0"/>
      <w:spacing w:before="50" w:after="156" w:line="400" w:lineRule="exact"/>
      <w:jc w:val="left"/>
      <w:textAlignment w:val="baseline"/>
    </w:pPr>
    <w:rPr>
      <w:rFonts w:ascii="宋体" w:hAnsi="宋体"/>
      <w:color w:val="000000"/>
      <w:sz w:val="24"/>
    </w:rPr>
  </w:style>
  <w:style w:type="paragraph" w:customStyle="1" w:styleId="977">
    <w:name w:val="纯文本4"/>
    <w:basedOn w:val="1"/>
    <w:autoRedefine/>
    <w:qFormat/>
    <w:uiPriority w:val="0"/>
    <w:pPr>
      <w:textAlignment w:val="baseline"/>
    </w:pPr>
    <w:rPr>
      <w:rFonts w:ascii="宋体" w:hAnsi="Courier New" w:eastAsia="楷体_GB2312"/>
      <w:sz w:val="26"/>
      <w:szCs w:val="20"/>
    </w:rPr>
  </w:style>
  <w:style w:type="paragraph" w:customStyle="1" w:styleId="978">
    <w:name w:val="toc 21"/>
    <w:next w:val="1"/>
    <w:autoRedefine/>
    <w:qFormat/>
    <w:uiPriority w:val="0"/>
    <w:pPr>
      <w:wordWrap w:val="0"/>
      <w:ind w:left="425"/>
      <w:jc w:val="both"/>
    </w:pPr>
    <w:rPr>
      <w:rFonts w:ascii="Times New Roman" w:hAnsi="Times New Roman" w:eastAsia="宋体" w:cs="Times New Roman"/>
      <w:sz w:val="21"/>
      <w:lang w:val="en-US" w:eastAsia="zh-CN" w:bidi="ar-SA"/>
    </w:rPr>
  </w:style>
  <w:style w:type="character" w:customStyle="1" w:styleId="979">
    <w:name w:val="font101"/>
    <w:basedOn w:val="71"/>
    <w:autoRedefine/>
    <w:qFormat/>
    <w:uiPriority w:val="0"/>
    <w:rPr>
      <w:rFonts w:hint="eastAsia" w:ascii="宋体" w:hAnsi="宋体" w:eastAsia="宋体" w:cs="宋体"/>
      <w:color w:val="000000"/>
      <w:sz w:val="18"/>
      <w:szCs w:val="18"/>
      <w:u w:val="none"/>
    </w:rPr>
  </w:style>
  <w:style w:type="character" w:customStyle="1" w:styleId="980">
    <w:name w:val="font111"/>
    <w:basedOn w:val="71"/>
    <w:autoRedefine/>
    <w:qFormat/>
    <w:uiPriority w:val="0"/>
    <w:rPr>
      <w:rFonts w:hint="default" w:ascii="Times New Roman" w:hAnsi="Times New Roman" w:cs="Times New Roman"/>
      <w:color w:val="000000"/>
      <w:sz w:val="18"/>
      <w:szCs w:val="18"/>
      <w:u w:val="none"/>
      <w:vertAlign w:val="superscript"/>
    </w:rPr>
  </w:style>
  <w:style w:type="character" w:customStyle="1" w:styleId="981">
    <w:name w:val="font122"/>
    <w:basedOn w:val="71"/>
    <w:autoRedefine/>
    <w:qFormat/>
    <w:uiPriority w:val="0"/>
    <w:rPr>
      <w:rFonts w:hint="eastAsia" w:ascii="微软雅黑" w:hAnsi="微软雅黑" w:eastAsia="微软雅黑" w:cs="微软雅黑"/>
      <w:color w:val="000000"/>
      <w:sz w:val="18"/>
      <w:szCs w:val="18"/>
      <w:u w:val="none"/>
      <w:vertAlign w:val="superscript"/>
    </w:rPr>
  </w:style>
  <w:style w:type="character" w:customStyle="1" w:styleId="982">
    <w:name w:val="font131"/>
    <w:basedOn w:val="71"/>
    <w:autoRedefine/>
    <w:qFormat/>
    <w:uiPriority w:val="0"/>
    <w:rPr>
      <w:rFonts w:hint="eastAsia" w:ascii="微软雅黑" w:hAnsi="微软雅黑" w:eastAsia="微软雅黑" w:cs="微软雅黑"/>
      <w:color w:val="000000"/>
      <w:sz w:val="18"/>
      <w:szCs w:val="18"/>
      <w:u w:val="none"/>
      <w:vertAlign w:val="subscript"/>
    </w:rPr>
  </w:style>
  <w:style w:type="character" w:customStyle="1" w:styleId="983">
    <w:name w:val="font141"/>
    <w:basedOn w:val="71"/>
    <w:autoRedefine/>
    <w:qFormat/>
    <w:uiPriority w:val="0"/>
    <w:rPr>
      <w:rFonts w:hint="default" w:ascii="Times New Roman" w:hAnsi="Times New Roman" w:cs="Times New Roman"/>
      <w:color w:val="000000"/>
      <w:sz w:val="18"/>
      <w:szCs w:val="18"/>
      <w:u w:val="none"/>
      <w:vertAlign w:val="subscript"/>
    </w:rPr>
  </w:style>
  <w:style w:type="character" w:customStyle="1" w:styleId="984">
    <w:name w:val="font151"/>
    <w:basedOn w:val="71"/>
    <w:autoRedefine/>
    <w:qFormat/>
    <w:uiPriority w:val="0"/>
    <w:rPr>
      <w:rFonts w:hint="default" w:ascii="Times New Roman" w:hAnsi="Times New Roman" w:cs="Times New Roman"/>
      <w:b/>
      <w:bCs/>
      <w:color w:val="000000"/>
      <w:sz w:val="18"/>
      <w:szCs w:val="18"/>
      <w:u w:val="none"/>
    </w:rPr>
  </w:style>
  <w:style w:type="character" w:customStyle="1" w:styleId="985">
    <w:name w:val="font161"/>
    <w:basedOn w:val="71"/>
    <w:autoRedefine/>
    <w:qFormat/>
    <w:uiPriority w:val="0"/>
    <w:rPr>
      <w:rFonts w:hint="eastAsia" w:ascii="微软雅黑" w:hAnsi="微软雅黑" w:eastAsia="微软雅黑" w:cs="微软雅黑"/>
      <w:b/>
      <w:bCs/>
      <w:color w:val="000000"/>
      <w:sz w:val="18"/>
      <w:szCs w:val="18"/>
      <w:u w:val="none"/>
    </w:rPr>
  </w:style>
  <w:style w:type="character" w:customStyle="1" w:styleId="986">
    <w:name w:val="font112"/>
    <w:basedOn w:val="71"/>
    <w:autoRedefine/>
    <w:qFormat/>
    <w:uiPriority w:val="0"/>
    <w:rPr>
      <w:rFonts w:hint="default" w:ascii="Times New Roman" w:hAnsi="Times New Roman" w:cs="Times New Roman"/>
      <w:color w:val="000000"/>
      <w:sz w:val="18"/>
      <w:szCs w:val="18"/>
      <w:u w:val="none"/>
      <w:vertAlign w:val="superscript"/>
    </w:rPr>
  </w:style>
  <w:style w:type="character" w:customStyle="1" w:styleId="987">
    <w:name w:val="font121"/>
    <w:basedOn w:val="71"/>
    <w:autoRedefine/>
    <w:qFormat/>
    <w:uiPriority w:val="0"/>
    <w:rPr>
      <w:rFonts w:hint="eastAsia" w:ascii="微软雅黑" w:hAnsi="微软雅黑" w:eastAsia="微软雅黑" w:cs="微软雅黑"/>
      <w:color w:val="000000"/>
      <w:sz w:val="18"/>
      <w:szCs w:val="18"/>
      <w:u w:val="none"/>
      <w:vertAlign w:val="superscript"/>
    </w:rPr>
  </w:style>
  <w:style w:type="character" w:customStyle="1" w:styleId="988">
    <w:name w:val="font191"/>
    <w:basedOn w:val="7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footer" Target="footer4.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3.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footer" Target="footer2.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1.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3.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2" Type="http://schemas.openxmlformats.org/officeDocument/2006/relationships/fontTable" Target="fontTable.xml"/><Relationship Id="rId161" Type="http://schemas.openxmlformats.org/officeDocument/2006/relationships/numbering" Target="numbering.xml"/><Relationship Id="rId160" Type="http://schemas.openxmlformats.org/officeDocument/2006/relationships/customXml" Target="../customXml/item1.xml"/><Relationship Id="rId16" Type="http://schemas.openxmlformats.org/officeDocument/2006/relationships/theme" Target="theme/theme1.xml"/><Relationship Id="rId159" Type="http://schemas.openxmlformats.org/officeDocument/2006/relationships/image" Target="media/image143.png"/><Relationship Id="rId158" Type="http://schemas.openxmlformats.org/officeDocument/2006/relationships/image" Target="media/image142.png"/><Relationship Id="rId157" Type="http://schemas.openxmlformats.org/officeDocument/2006/relationships/image" Target="media/image141.png"/><Relationship Id="rId156" Type="http://schemas.openxmlformats.org/officeDocument/2006/relationships/image" Target="media/image140.png"/><Relationship Id="rId155" Type="http://schemas.openxmlformats.org/officeDocument/2006/relationships/image" Target="media/image139.png"/><Relationship Id="rId154" Type="http://schemas.openxmlformats.org/officeDocument/2006/relationships/image" Target="media/image138.png"/><Relationship Id="rId153" Type="http://schemas.openxmlformats.org/officeDocument/2006/relationships/image" Target="media/image137.png"/><Relationship Id="rId152" Type="http://schemas.openxmlformats.org/officeDocument/2006/relationships/image" Target="media/image136.png"/><Relationship Id="rId151" Type="http://schemas.openxmlformats.org/officeDocument/2006/relationships/image" Target="media/image135.png"/><Relationship Id="rId150" Type="http://schemas.openxmlformats.org/officeDocument/2006/relationships/image" Target="media/image134.png"/><Relationship Id="rId15" Type="http://schemas.openxmlformats.org/officeDocument/2006/relationships/footer" Target="footer8.xml"/><Relationship Id="rId149" Type="http://schemas.openxmlformats.org/officeDocument/2006/relationships/image" Target="media/image133.png"/><Relationship Id="rId148" Type="http://schemas.openxmlformats.org/officeDocument/2006/relationships/image" Target="media/image132.png"/><Relationship Id="rId147" Type="http://schemas.openxmlformats.org/officeDocument/2006/relationships/image" Target="media/image131.png"/><Relationship Id="rId146" Type="http://schemas.openxmlformats.org/officeDocument/2006/relationships/image" Target="media/image130.png"/><Relationship Id="rId145" Type="http://schemas.openxmlformats.org/officeDocument/2006/relationships/image" Target="media/image129.png"/><Relationship Id="rId144" Type="http://schemas.openxmlformats.org/officeDocument/2006/relationships/image" Target="media/image128.png"/><Relationship Id="rId143" Type="http://schemas.openxmlformats.org/officeDocument/2006/relationships/image" Target="media/image127.png"/><Relationship Id="rId142" Type="http://schemas.openxmlformats.org/officeDocument/2006/relationships/image" Target="media/image126.png"/><Relationship Id="rId141" Type="http://schemas.openxmlformats.org/officeDocument/2006/relationships/image" Target="media/image125.png"/><Relationship Id="rId140" Type="http://schemas.openxmlformats.org/officeDocument/2006/relationships/image" Target="media/image124.png"/><Relationship Id="rId14" Type="http://schemas.openxmlformats.org/officeDocument/2006/relationships/footer" Target="footer7.xml"/><Relationship Id="rId139" Type="http://schemas.openxmlformats.org/officeDocument/2006/relationships/image" Target="media/image123.png"/><Relationship Id="rId138" Type="http://schemas.openxmlformats.org/officeDocument/2006/relationships/image" Target="media/image122.png"/><Relationship Id="rId137" Type="http://schemas.openxmlformats.org/officeDocument/2006/relationships/image" Target="media/image121.png"/><Relationship Id="rId136" Type="http://schemas.openxmlformats.org/officeDocument/2006/relationships/image" Target="media/image120.png"/><Relationship Id="rId135" Type="http://schemas.openxmlformats.org/officeDocument/2006/relationships/image" Target="media/image119.png"/><Relationship Id="rId134" Type="http://schemas.openxmlformats.org/officeDocument/2006/relationships/image" Target="media/image118.png"/><Relationship Id="rId133" Type="http://schemas.openxmlformats.org/officeDocument/2006/relationships/image" Target="media/image117.png"/><Relationship Id="rId132" Type="http://schemas.openxmlformats.org/officeDocument/2006/relationships/image" Target="media/image116.png"/><Relationship Id="rId131" Type="http://schemas.openxmlformats.org/officeDocument/2006/relationships/image" Target="media/image115.png"/><Relationship Id="rId130" Type="http://schemas.openxmlformats.org/officeDocument/2006/relationships/image" Target="media/image114.png"/><Relationship Id="rId13" Type="http://schemas.openxmlformats.org/officeDocument/2006/relationships/header" Target="header5.xml"/><Relationship Id="rId129" Type="http://schemas.openxmlformats.org/officeDocument/2006/relationships/image" Target="media/image113.png"/><Relationship Id="rId128" Type="http://schemas.openxmlformats.org/officeDocument/2006/relationships/image" Target="media/image112.png"/><Relationship Id="rId127" Type="http://schemas.openxmlformats.org/officeDocument/2006/relationships/image" Target="media/image111.png"/><Relationship Id="rId126" Type="http://schemas.openxmlformats.org/officeDocument/2006/relationships/image" Target="media/image110.png"/><Relationship Id="rId125" Type="http://schemas.openxmlformats.org/officeDocument/2006/relationships/image" Target="media/image109.png"/><Relationship Id="rId124" Type="http://schemas.openxmlformats.org/officeDocument/2006/relationships/image" Target="media/image108.png"/><Relationship Id="rId123" Type="http://schemas.openxmlformats.org/officeDocument/2006/relationships/image" Target="media/image107.png"/><Relationship Id="rId122" Type="http://schemas.openxmlformats.org/officeDocument/2006/relationships/image" Target="media/image106.png"/><Relationship Id="rId121" Type="http://schemas.openxmlformats.org/officeDocument/2006/relationships/image" Target="media/image105.png"/><Relationship Id="rId120" Type="http://schemas.openxmlformats.org/officeDocument/2006/relationships/image" Target="media/image104.png"/><Relationship Id="rId12" Type="http://schemas.openxmlformats.org/officeDocument/2006/relationships/header" Target="header4.xml"/><Relationship Id="rId119" Type="http://schemas.openxmlformats.org/officeDocument/2006/relationships/image" Target="media/image103.png"/><Relationship Id="rId118" Type="http://schemas.openxmlformats.org/officeDocument/2006/relationships/image" Target="media/image102.png"/><Relationship Id="rId117" Type="http://schemas.openxmlformats.org/officeDocument/2006/relationships/image" Target="media/image101.png"/><Relationship Id="rId116" Type="http://schemas.openxmlformats.org/officeDocument/2006/relationships/image" Target="media/image100.png"/><Relationship Id="rId115" Type="http://schemas.openxmlformats.org/officeDocument/2006/relationships/image" Target="media/image99.png"/><Relationship Id="rId114" Type="http://schemas.openxmlformats.org/officeDocument/2006/relationships/image" Target="media/image98.png"/><Relationship Id="rId113" Type="http://schemas.openxmlformats.org/officeDocument/2006/relationships/image" Target="media/image97.pn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footer" Target="footer6.xml"/><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png"/><Relationship Id="rId106" Type="http://schemas.openxmlformats.org/officeDocument/2006/relationships/image" Target="media/image90.png"/><Relationship Id="rId105" Type="http://schemas.openxmlformats.org/officeDocument/2006/relationships/image" Target="media/image89.png"/><Relationship Id="rId104" Type="http://schemas.openxmlformats.org/officeDocument/2006/relationships/image" Target="media/image88.png"/><Relationship Id="rId103" Type="http://schemas.openxmlformats.org/officeDocument/2006/relationships/image" Target="media/image87.png"/><Relationship Id="rId102" Type="http://schemas.openxmlformats.org/officeDocument/2006/relationships/image" Target="media/image86.png"/><Relationship Id="rId101" Type="http://schemas.openxmlformats.org/officeDocument/2006/relationships/image" Target="media/image85.png"/><Relationship Id="rId100" Type="http://schemas.openxmlformats.org/officeDocument/2006/relationships/image" Target="media/image84.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79</Pages>
  <Words>50763</Words>
  <Characters>60011</Characters>
  <Lines>461</Lines>
  <Paragraphs>129</Paragraphs>
  <TotalTime>14</TotalTime>
  <ScaleCrop>false</ScaleCrop>
  <LinksUpToDate>false</LinksUpToDate>
  <CharactersWithSpaces>61869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EVEN</cp:lastModifiedBy>
  <cp:lastPrinted>2023-07-18T16:30:00Z</cp:lastPrinted>
  <dcterms:modified xsi:type="dcterms:W3CDTF">2024-07-24T00:51:04Z</dcterms:modified>
  <dc:title>杭州市市民卡扩大发卡工程</dc:title>
  <cp:revision>206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54F158F8B7E94B00A290F02CAFA8D816_13</vt:lpwstr>
  </property>
  <property fmtid="{D5CDD505-2E9C-101B-9397-08002B2CF9AE}" pid="5" name="commondata">
    <vt:lpwstr>eyJoZGlkIjoiMGMzMTVmNWQ0ZWUwMDFhMGMxMjI0ODY0ODBlMmFiN2UifQ==</vt:lpwstr>
  </property>
</Properties>
</file>