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7126E">
      <w:pPr>
        <w:rPr>
          <w:rFonts w:asciiTheme="majorEastAsia" w:hAnsiTheme="majorEastAsia" w:eastAsiaTheme="majorEastAsia" w:cstheme="majorEastAsia"/>
        </w:rPr>
      </w:pPr>
      <w:bookmarkStart w:id="0" w:name="_Toc381081805"/>
      <w:bookmarkStart w:id="1" w:name="_Toc380429933"/>
    </w:p>
    <w:p w14:paraId="2CCC4ACD">
      <w:pPr>
        <w:snapToGrid w:val="0"/>
        <w:jc w:val="center"/>
        <w:rPr>
          <w:rFonts w:hint="eastAsia" w:ascii="宋体" w:hAnsi="宋体"/>
          <w:b/>
          <w:sz w:val="52"/>
          <w:szCs w:val="52"/>
        </w:rPr>
      </w:pPr>
    </w:p>
    <w:p w14:paraId="2886CF7D">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宋体" w:hAnsi="宋体" w:eastAsia="宋体"/>
          <w:b/>
          <w:sz w:val="52"/>
          <w:szCs w:val="52"/>
          <w:lang w:eastAsia="zh-CN"/>
        </w:rPr>
      </w:pPr>
      <w:r>
        <w:rPr>
          <w:rFonts w:hint="eastAsia" w:ascii="宋体" w:hAnsi="宋体"/>
          <w:b/>
          <w:sz w:val="52"/>
          <w:szCs w:val="52"/>
        </w:rPr>
        <w:t>202</w:t>
      </w:r>
      <w:r>
        <w:rPr>
          <w:rFonts w:hint="eastAsia" w:ascii="宋体" w:hAnsi="宋体"/>
          <w:b/>
          <w:sz w:val="52"/>
          <w:szCs w:val="52"/>
          <w:lang w:val="en-US" w:eastAsia="zh-CN"/>
        </w:rPr>
        <w:t>5</w:t>
      </w:r>
      <w:r>
        <w:rPr>
          <w:rFonts w:hint="eastAsia" w:ascii="宋体" w:hAnsi="宋体"/>
          <w:b/>
          <w:sz w:val="52"/>
          <w:szCs w:val="52"/>
        </w:rPr>
        <w:t>-202</w:t>
      </w:r>
      <w:r>
        <w:rPr>
          <w:rFonts w:hint="eastAsia" w:ascii="宋体" w:hAnsi="宋体"/>
          <w:b/>
          <w:sz w:val="52"/>
          <w:szCs w:val="52"/>
          <w:lang w:val="en-US" w:eastAsia="zh-CN"/>
        </w:rPr>
        <w:t>6年</w:t>
      </w:r>
      <w:r>
        <w:rPr>
          <w:rFonts w:hint="eastAsia" w:ascii="宋体" w:hAnsi="宋体"/>
          <w:b/>
          <w:sz w:val="52"/>
          <w:szCs w:val="52"/>
        </w:rPr>
        <w:t>嘉善县政府投资项目工程造价咨询服务框架协议</w:t>
      </w:r>
      <w:r>
        <w:rPr>
          <w:rFonts w:hint="eastAsia" w:ascii="宋体" w:hAnsi="宋体"/>
          <w:b/>
          <w:sz w:val="52"/>
          <w:szCs w:val="52"/>
          <w:lang w:eastAsia="zh-CN"/>
        </w:rPr>
        <w:t>采购</w:t>
      </w:r>
    </w:p>
    <w:p w14:paraId="7D1BD7D8">
      <w:pPr>
        <w:spacing w:beforeLines="50"/>
        <w:jc w:val="center"/>
        <w:rPr>
          <w:rFonts w:hint="eastAsia" w:asciiTheme="majorEastAsia" w:hAnsiTheme="majorEastAsia" w:eastAsiaTheme="majorEastAsia" w:cstheme="majorEastAsia"/>
          <w:b/>
          <w:spacing w:val="-20"/>
          <w:sz w:val="48"/>
          <w:szCs w:val="48"/>
          <w:highlight w:val="none"/>
          <w:lang w:eastAsia="zh-CN"/>
        </w:rPr>
      </w:pPr>
    </w:p>
    <w:p w14:paraId="119FB47C">
      <w:pPr>
        <w:spacing w:beforeLines="50"/>
        <w:jc w:val="center"/>
        <w:rPr>
          <w:rFonts w:hint="eastAsia" w:asciiTheme="majorEastAsia" w:hAnsiTheme="majorEastAsia" w:eastAsiaTheme="majorEastAsia" w:cstheme="majorEastAsia"/>
          <w:b/>
          <w:spacing w:val="-20"/>
          <w:sz w:val="48"/>
          <w:szCs w:val="48"/>
          <w:highlight w:val="none"/>
          <w:lang w:eastAsia="zh-CN"/>
        </w:rPr>
      </w:pPr>
    </w:p>
    <w:p w14:paraId="01A2FBF9">
      <w:pPr>
        <w:pStyle w:val="2"/>
        <w:rPr>
          <w:rFonts w:hint="eastAsia"/>
          <w:lang w:eastAsia="zh-CN"/>
        </w:rPr>
      </w:pPr>
    </w:p>
    <w:p w14:paraId="75F2CBEF">
      <w:pPr>
        <w:spacing w:beforeLines="50"/>
        <w:jc w:val="center"/>
        <w:rPr>
          <w:rFonts w:hint="eastAsia" w:asciiTheme="majorEastAsia" w:hAnsiTheme="majorEastAsia" w:eastAsiaTheme="majorEastAsia" w:cstheme="majorEastAsia"/>
          <w:b/>
          <w:spacing w:val="-20"/>
          <w:sz w:val="48"/>
          <w:szCs w:val="48"/>
          <w:highlight w:val="none"/>
          <w:lang w:eastAsia="zh-CN"/>
        </w:rPr>
      </w:pPr>
    </w:p>
    <w:p w14:paraId="6010C631">
      <w:pPr>
        <w:pStyle w:val="2"/>
        <w:rPr>
          <w:rFonts w:hint="eastAsia"/>
          <w:lang w:eastAsia="zh-CN"/>
        </w:rPr>
      </w:pPr>
    </w:p>
    <w:p w14:paraId="5D62288D">
      <w:pPr>
        <w:spacing w:beforeLines="50"/>
        <w:jc w:val="center"/>
        <w:rPr>
          <w:rFonts w:asciiTheme="majorEastAsia" w:hAnsiTheme="majorEastAsia" w:eastAsiaTheme="majorEastAsia" w:cstheme="majorEastAsia"/>
          <w:b/>
          <w:sz w:val="48"/>
          <w:szCs w:val="48"/>
        </w:rPr>
      </w:pPr>
      <w:r>
        <w:rPr>
          <w:rFonts w:hint="eastAsia" w:asciiTheme="majorEastAsia" w:hAnsiTheme="majorEastAsia" w:eastAsiaTheme="majorEastAsia" w:cstheme="majorEastAsia"/>
          <w:b/>
          <w:spacing w:val="-20"/>
          <w:sz w:val="48"/>
          <w:szCs w:val="48"/>
          <w:highlight w:val="none"/>
          <w:lang w:eastAsia="zh-CN"/>
        </w:rPr>
        <w:t>框架协议</w:t>
      </w:r>
      <w:r>
        <w:rPr>
          <w:rFonts w:hint="eastAsia" w:asciiTheme="majorEastAsia" w:hAnsiTheme="majorEastAsia" w:eastAsiaTheme="majorEastAsia" w:cstheme="majorEastAsia"/>
          <w:b/>
          <w:sz w:val="44"/>
          <w:szCs w:val="44"/>
        </w:rPr>
        <w:t>征集文件</w:t>
      </w:r>
    </w:p>
    <w:p w14:paraId="506EB035">
      <w:pPr>
        <w:spacing w:line="360" w:lineRule="auto"/>
        <w:jc w:val="left"/>
        <w:rPr>
          <w:rFonts w:hint="eastAsia" w:asciiTheme="majorEastAsia" w:hAnsiTheme="majorEastAsia" w:eastAsiaTheme="majorEastAsia" w:cstheme="majorEastAsia"/>
          <w:b/>
          <w:sz w:val="30"/>
          <w:szCs w:val="30"/>
        </w:rPr>
      </w:pPr>
    </w:p>
    <w:p w14:paraId="23C24BDA">
      <w:pPr>
        <w:pStyle w:val="6"/>
        <w:rPr>
          <w:rFonts w:hint="eastAsia" w:asciiTheme="majorEastAsia" w:hAnsiTheme="majorEastAsia" w:eastAsiaTheme="majorEastAsia" w:cstheme="majorEastAsia"/>
          <w:b/>
          <w:sz w:val="30"/>
          <w:szCs w:val="30"/>
        </w:rPr>
      </w:pPr>
    </w:p>
    <w:p w14:paraId="2CE0C4DA">
      <w:pPr>
        <w:rPr>
          <w:rFonts w:hint="eastAsia" w:asciiTheme="majorEastAsia" w:hAnsiTheme="majorEastAsia" w:eastAsiaTheme="majorEastAsia" w:cstheme="majorEastAsia"/>
          <w:b/>
          <w:sz w:val="30"/>
          <w:szCs w:val="30"/>
        </w:rPr>
      </w:pPr>
    </w:p>
    <w:p w14:paraId="609A62DB">
      <w:pPr>
        <w:pStyle w:val="2"/>
        <w:rPr>
          <w:rFonts w:hint="eastAsia"/>
        </w:rPr>
      </w:pPr>
    </w:p>
    <w:p w14:paraId="0BAB2DD5">
      <w:pPr>
        <w:pStyle w:val="6"/>
        <w:rPr>
          <w:rFonts w:hint="eastAsia"/>
        </w:rPr>
      </w:pPr>
    </w:p>
    <w:p w14:paraId="351C4A48">
      <w:pPr>
        <w:spacing w:line="360" w:lineRule="auto"/>
        <w:jc w:val="left"/>
        <w:rPr>
          <w:rFonts w:hint="eastAsia" w:asciiTheme="majorEastAsia" w:hAnsiTheme="majorEastAsia" w:eastAsiaTheme="majorEastAsia" w:cstheme="majorEastAsia"/>
          <w:b/>
          <w:sz w:val="30"/>
          <w:szCs w:val="30"/>
        </w:rPr>
      </w:pPr>
    </w:p>
    <w:p w14:paraId="01282B25">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heme="majorEastAsia" w:hAnsiTheme="majorEastAsia" w:eastAsiaTheme="majorEastAsia" w:cstheme="majorEastAsia"/>
          <w:b/>
          <w:color w:val="FF0000"/>
          <w:sz w:val="30"/>
          <w:szCs w:val="30"/>
          <w:highlight w:val="none"/>
          <w:lang w:val="en-US" w:eastAsia="zh-CN"/>
        </w:rPr>
      </w:pPr>
      <w:r>
        <w:rPr>
          <w:rFonts w:hint="eastAsia" w:asciiTheme="majorEastAsia" w:hAnsiTheme="majorEastAsia" w:eastAsiaTheme="majorEastAsia" w:cstheme="majorEastAsia"/>
          <w:b/>
          <w:sz w:val="30"/>
          <w:szCs w:val="30"/>
          <w:highlight w:val="none"/>
        </w:rPr>
        <w:t>项目编号：</w:t>
      </w:r>
      <w:r>
        <w:rPr>
          <w:rFonts w:hint="eastAsia" w:asciiTheme="majorEastAsia" w:hAnsiTheme="majorEastAsia" w:eastAsiaTheme="majorEastAsia" w:cstheme="majorEastAsia"/>
          <w:b/>
          <w:sz w:val="30"/>
          <w:szCs w:val="30"/>
          <w:highlight w:val="none"/>
          <w:lang w:val="en-US" w:eastAsia="zh-CN"/>
        </w:rPr>
        <w:t>JSCG2024022（G）</w:t>
      </w:r>
    </w:p>
    <w:p w14:paraId="65EBD746">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Theme="majorEastAsia" w:hAnsiTheme="majorEastAsia" w:eastAsiaTheme="majorEastAsia" w:cstheme="majorEastAsia"/>
          <w:b/>
          <w:sz w:val="30"/>
          <w:szCs w:val="30"/>
          <w:highlight w:val="none"/>
          <w:lang w:eastAsia="zh-CN"/>
        </w:rPr>
      </w:pPr>
      <w:r>
        <w:rPr>
          <w:rFonts w:hint="eastAsia" w:asciiTheme="majorEastAsia" w:hAnsiTheme="majorEastAsia" w:eastAsiaTheme="majorEastAsia" w:cstheme="majorEastAsia"/>
          <w:b/>
          <w:sz w:val="30"/>
          <w:szCs w:val="30"/>
          <w:highlight w:val="none"/>
        </w:rPr>
        <w:t>项目名称</w:t>
      </w:r>
      <w:r>
        <w:rPr>
          <w:rFonts w:hint="eastAsia" w:asciiTheme="majorEastAsia" w:hAnsiTheme="majorEastAsia" w:eastAsiaTheme="majorEastAsia" w:cstheme="majorEastAsia"/>
          <w:b/>
          <w:sz w:val="30"/>
          <w:szCs w:val="30"/>
          <w:highlight w:val="none"/>
          <w:lang w:eastAsia="zh-CN"/>
        </w:rPr>
        <w:t>：202</w:t>
      </w:r>
      <w:r>
        <w:rPr>
          <w:rFonts w:hint="eastAsia" w:asciiTheme="majorEastAsia" w:hAnsiTheme="majorEastAsia" w:eastAsiaTheme="majorEastAsia" w:cstheme="majorEastAsia"/>
          <w:b/>
          <w:sz w:val="30"/>
          <w:szCs w:val="30"/>
          <w:highlight w:val="none"/>
          <w:lang w:val="en-US" w:eastAsia="zh-CN"/>
        </w:rPr>
        <w:t>5</w:t>
      </w:r>
      <w:r>
        <w:rPr>
          <w:rFonts w:hint="eastAsia" w:asciiTheme="majorEastAsia" w:hAnsiTheme="majorEastAsia" w:eastAsiaTheme="majorEastAsia" w:cstheme="majorEastAsia"/>
          <w:b/>
          <w:sz w:val="30"/>
          <w:szCs w:val="30"/>
          <w:highlight w:val="none"/>
          <w:lang w:eastAsia="zh-CN"/>
        </w:rPr>
        <w:t>-202</w:t>
      </w:r>
      <w:r>
        <w:rPr>
          <w:rFonts w:hint="eastAsia" w:asciiTheme="majorEastAsia" w:hAnsiTheme="majorEastAsia" w:eastAsiaTheme="majorEastAsia" w:cstheme="majorEastAsia"/>
          <w:b/>
          <w:sz w:val="30"/>
          <w:szCs w:val="30"/>
          <w:highlight w:val="none"/>
          <w:lang w:val="en-US" w:eastAsia="zh-CN"/>
        </w:rPr>
        <w:t>6年</w:t>
      </w:r>
      <w:r>
        <w:rPr>
          <w:rFonts w:hint="eastAsia" w:asciiTheme="majorEastAsia" w:hAnsiTheme="majorEastAsia" w:eastAsiaTheme="majorEastAsia" w:cstheme="majorEastAsia"/>
          <w:b/>
          <w:sz w:val="30"/>
          <w:szCs w:val="30"/>
          <w:highlight w:val="none"/>
          <w:lang w:eastAsia="zh-CN"/>
        </w:rPr>
        <w:t>嘉善县政府投资项目工程造价咨询服务框架协议采购</w:t>
      </w:r>
    </w:p>
    <w:p w14:paraId="6371C1DF">
      <w:pPr>
        <w:spacing w:line="600" w:lineRule="exact"/>
        <w:rPr>
          <w:rFonts w:hint="eastAsia" w:asciiTheme="majorEastAsia" w:hAnsiTheme="majorEastAsia" w:eastAsiaTheme="majorEastAsia" w:cstheme="majorEastAsia"/>
          <w:b/>
          <w:bCs w:val="0"/>
          <w:w w:val="100"/>
          <w:kern w:val="2"/>
          <w:sz w:val="30"/>
          <w:szCs w:val="30"/>
          <w:highlight w:val="none"/>
          <w:lang w:val="en-US"/>
        </w:rPr>
      </w:pPr>
      <w:r>
        <w:rPr>
          <w:rFonts w:hint="eastAsia" w:asciiTheme="majorEastAsia" w:hAnsiTheme="majorEastAsia" w:eastAsiaTheme="majorEastAsia" w:cstheme="majorEastAsia"/>
          <w:b/>
          <w:sz w:val="30"/>
          <w:szCs w:val="30"/>
          <w:highlight w:val="none"/>
          <w:lang w:eastAsia="zh-CN"/>
        </w:rPr>
        <w:t>征集人</w:t>
      </w:r>
      <w:r>
        <w:rPr>
          <w:rFonts w:hint="eastAsia" w:asciiTheme="majorEastAsia" w:hAnsiTheme="majorEastAsia" w:eastAsiaTheme="majorEastAsia" w:cstheme="majorEastAsia"/>
          <w:b/>
          <w:color w:val="auto"/>
          <w:sz w:val="30"/>
          <w:szCs w:val="30"/>
          <w:highlight w:val="none"/>
          <w:lang w:eastAsia="zh-CN"/>
        </w:rPr>
        <w:t>（</w:t>
      </w:r>
      <w:r>
        <w:rPr>
          <w:rFonts w:hint="eastAsia" w:asciiTheme="majorEastAsia" w:hAnsiTheme="majorEastAsia" w:eastAsiaTheme="majorEastAsia" w:cstheme="majorEastAsia"/>
          <w:b/>
          <w:color w:val="auto"/>
          <w:sz w:val="30"/>
          <w:szCs w:val="30"/>
          <w:highlight w:val="none"/>
        </w:rPr>
        <w:t>集中采购机构</w:t>
      </w:r>
      <w:r>
        <w:rPr>
          <w:rFonts w:hint="eastAsia" w:asciiTheme="majorEastAsia" w:hAnsiTheme="majorEastAsia" w:eastAsiaTheme="majorEastAsia" w:cstheme="majorEastAsia"/>
          <w:b/>
          <w:color w:val="auto"/>
          <w:sz w:val="30"/>
          <w:szCs w:val="30"/>
          <w:highlight w:val="none"/>
          <w:lang w:eastAsia="zh-CN"/>
        </w:rPr>
        <w:t>）</w:t>
      </w:r>
      <w:r>
        <w:rPr>
          <w:rFonts w:hint="eastAsia" w:asciiTheme="majorEastAsia" w:hAnsiTheme="majorEastAsia" w:eastAsiaTheme="majorEastAsia" w:cstheme="majorEastAsia"/>
          <w:b/>
          <w:sz w:val="30"/>
          <w:szCs w:val="30"/>
          <w:highlight w:val="none"/>
          <w:lang w:eastAsia="zh-CN"/>
        </w:rPr>
        <w:t>：</w:t>
      </w:r>
      <w:r>
        <w:rPr>
          <w:rFonts w:hint="eastAsia" w:asciiTheme="majorEastAsia" w:hAnsiTheme="majorEastAsia" w:eastAsiaTheme="majorEastAsia" w:cstheme="majorEastAsia"/>
          <w:b/>
          <w:bCs w:val="0"/>
          <w:kern w:val="2"/>
          <w:sz w:val="30"/>
          <w:szCs w:val="30"/>
          <w:highlight w:val="none"/>
          <w:lang w:val="en-US" w:eastAsia="zh-CN"/>
        </w:rPr>
        <w:t>嘉善县公共资源交易中心</w:t>
      </w:r>
    </w:p>
    <w:p w14:paraId="04D41D61">
      <w:pPr>
        <w:rPr>
          <w:highlight w:val="none"/>
        </w:rPr>
      </w:pPr>
    </w:p>
    <w:p w14:paraId="2B46CE34">
      <w:pPr>
        <w:pStyle w:val="18"/>
        <w:spacing w:before="120" w:after="120" w:line="600" w:lineRule="exact"/>
        <w:jc w:val="right"/>
        <w:rPr>
          <w:rFonts w:hint="eastAsia" w:asciiTheme="majorEastAsia" w:hAnsiTheme="majorEastAsia" w:eastAsiaTheme="majorEastAsia" w:cstheme="majorEastAsia"/>
          <w:b/>
          <w:bCs/>
          <w:w w:val="95"/>
          <w:sz w:val="32"/>
          <w:szCs w:val="32"/>
          <w:highlight w:val="none"/>
          <w:lang w:eastAsia="zh-CN"/>
        </w:rPr>
      </w:pPr>
    </w:p>
    <w:p w14:paraId="271F9D48">
      <w:pPr>
        <w:pStyle w:val="18"/>
        <w:spacing w:before="120" w:after="120" w:line="600" w:lineRule="exact"/>
        <w:jc w:val="right"/>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b/>
          <w:bCs/>
          <w:w w:val="95"/>
          <w:sz w:val="32"/>
          <w:szCs w:val="32"/>
          <w:highlight w:val="none"/>
          <w:lang w:eastAsia="zh-CN"/>
        </w:rPr>
        <w:t>202</w:t>
      </w:r>
      <w:r>
        <w:rPr>
          <w:rFonts w:hint="eastAsia" w:asciiTheme="majorEastAsia" w:hAnsiTheme="majorEastAsia" w:eastAsiaTheme="majorEastAsia" w:cstheme="majorEastAsia"/>
          <w:b/>
          <w:bCs/>
          <w:w w:val="95"/>
          <w:sz w:val="32"/>
          <w:szCs w:val="32"/>
          <w:highlight w:val="none"/>
          <w:lang w:val="en-US" w:eastAsia="zh-CN"/>
        </w:rPr>
        <w:t>4</w:t>
      </w:r>
      <w:r>
        <w:rPr>
          <w:rFonts w:hint="eastAsia" w:asciiTheme="majorEastAsia" w:hAnsiTheme="majorEastAsia" w:eastAsiaTheme="majorEastAsia" w:cstheme="majorEastAsia"/>
          <w:b/>
          <w:bCs/>
          <w:w w:val="95"/>
          <w:sz w:val="32"/>
          <w:szCs w:val="32"/>
          <w:highlight w:val="none"/>
          <w:lang w:eastAsia="zh-CN"/>
        </w:rPr>
        <w:t>年</w:t>
      </w:r>
      <w:r>
        <w:rPr>
          <w:rFonts w:hint="eastAsia" w:asciiTheme="majorEastAsia" w:hAnsiTheme="majorEastAsia" w:eastAsiaTheme="majorEastAsia" w:cstheme="majorEastAsia"/>
          <w:b/>
          <w:bCs/>
          <w:w w:val="95"/>
          <w:sz w:val="32"/>
          <w:szCs w:val="32"/>
          <w:highlight w:val="none"/>
          <w:lang w:val="en-US" w:eastAsia="zh-CN"/>
        </w:rPr>
        <w:t>12</w:t>
      </w:r>
      <w:r>
        <w:rPr>
          <w:rFonts w:hint="eastAsia" w:asciiTheme="majorEastAsia" w:hAnsiTheme="majorEastAsia" w:eastAsiaTheme="majorEastAsia" w:cstheme="majorEastAsia"/>
          <w:b/>
          <w:bCs/>
          <w:w w:val="95"/>
          <w:sz w:val="32"/>
          <w:szCs w:val="32"/>
          <w:highlight w:val="none"/>
          <w:lang w:eastAsia="zh-CN"/>
        </w:rPr>
        <w:t>月</w:t>
      </w:r>
      <w:r>
        <w:rPr>
          <w:rFonts w:hint="eastAsia" w:asciiTheme="majorEastAsia" w:hAnsiTheme="majorEastAsia" w:eastAsiaTheme="majorEastAsia" w:cstheme="majorEastAsia"/>
          <w:b/>
          <w:bCs/>
          <w:w w:val="95"/>
          <w:sz w:val="32"/>
          <w:szCs w:val="32"/>
          <w:highlight w:val="none"/>
          <w:lang w:val="en-US" w:eastAsia="zh-CN"/>
        </w:rPr>
        <w:t>18</w:t>
      </w:r>
      <w:r>
        <w:rPr>
          <w:rFonts w:hint="eastAsia" w:asciiTheme="majorEastAsia" w:hAnsiTheme="majorEastAsia" w:eastAsiaTheme="majorEastAsia" w:cstheme="majorEastAsia"/>
          <w:b/>
          <w:bCs/>
          <w:w w:val="95"/>
          <w:sz w:val="32"/>
          <w:szCs w:val="32"/>
          <w:highlight w:val="none"/>
          <w:lang w:eastAsia="zh-CN"/>
        </w:rPr>
        <w:t>日</w:t>
      </w:r>
    </w:p>
    <w:p w14:paraId="2B397273">
      <w:pPr>
        <w:bidi w:val="0"/>
        <w:jc w:val="left"/>
        <w:rPr>
          <w:rFonts w:hint="eastAsia" w:eastAsia="宋体"/>
          <w:lang w:eastAsia="zh-CN"/>
        </w:rPr>
      </w:pPr>
    </w:p>
    <w:p w14:paraId="27C40A23">
      <w:pPr>
        <w:pStyle w:val="2"/>
        <w:rPr>
          <w:rFonts w:hint="eastAsia" w:eastAsia="宋体"/>
          <w:lang w:eastAsia="zh-CN"/>
        </w:rPr>
      </w:pPr>
    </w:p>
    <w:p w14:paraId="5B6320D8">
      <w:pPr>
        <w:pStyle w:val="4"/>
        <w:rPr>
          <w:rFonts w:hint="eastAsia"/>
          <w:lang w:eastAsia="zh-CN"/>
        </w:rPr>
        <w:sectPr>
          <w:footerReference r:id="rId3" w:type="default"/>
          <w:pgSz w:w="11849" w:h="16781"/>
          <w:pgMar w:top="1247" w:right="1247" w:bottom="1247" w:left="1247" w:header="851" w:footer="850" w:gutter="0"/>
          <w:pgBorders>
            <w:top w:val="none" w:sz="0" w:space="0"/>
            <w:left w:val="none" w:sz="0" w:space="0"/>
            <w:bottom w:val="none" w:sz="0" w:space="0"/>
            <w:right w:val="none" w:sz="0" w:space="0"/>
          </w:pgBorders>
          <w:pgNumType w:fmt="decimal" w:start="1"/>
          <w:cols w:space="720" w:num="1"/>
          <w:docGrid w:linePitch="312" w:charSpace="0"/>
        </w:sectPr>
      </w:pPr>
    </w:p>
    <w:p w14:paraId="7BE22098">
      <w:pPr>
        <w:pStyle w:val="18"/>
        <w:spacing w:beforeLines="100" w:afterLines="100" w:line="600" w:lineRule="exact"/>
        <w:jc w:val="both"/>
        <w:rPr>
          <w:rFonts w:hint="eastAsia" w:asciiTheme="majorEastAsia" w:hAnsiTheme="majorEastAsia" w:eastAsiaTheme="majorEastAsia" w:cstheme="majorEastAsia"/>
          <w:b/>
          <w:sz w:val="52"/>
          <w:szCs w:val="52"/>
        </w:rPr>
      </w:pPr>
    </w:p>
    <w:p w14:paraId="72C56D4C">
      <w:pPr>
        <w:pStyle w:val="18"/>
        <w:spacing w:beforeLines="100" w:afterLines="100" w:line="600" w:lineRule="exact"/>
        <w:jc w:val="center"/>
        <w:rPr>
          <w:rFonts w:asciiTheme="majorEastAsia" w:hAnsiTheme="majorEastAsia" w:eastAsiaTheme="majorEastAsia" w:cstheme="majorEastAsia"/>
          <w:b/>
          <w:sz w:val="52"/>
          <w:szCs w:val="52"/>
        </w:rPr>
      </w:pPr>
      <w:r>
        <w:rPr>
          <w:rFonts w:hint="eastAsia" w:asciiTheme="majorEastAsia" w:hAnsiTheme="majorEastAsia" w:eastAsiaTheme="majorEastAsia" w:cstheme="majorEastAsia"/>
          <w:b/>
          <w:sz w:val="52"/>
          <w:szCs w:val="52"/>
        </w:rPr>
        <w:t>目    录</w:t>
      </w:r>
    </w:p>
    <w:p w14:paraId="01C60882">
      <w:pPr>
        <w:pStyle w:val="18"/>
        <w:spacing w:beforeLines="100" w:afterLines="100" w:line="600" w:lineRule="exact"/>
        <w:jc w:val="center"/>
        <w:rPr>
          <w:rFonts w:asciiTheme="majorEastAsia" w:hAnsiTheme="majorEastAsia" w:eastAsiaTheme="majorEastAsia" w:cstheme="majorEastAsia"/>
          <w:b/>
          <w:sz w:val="52"/>
          <w:szCs w:val="52"/>
        </w:rPr>
      </w:pPr>
    </w:p>
    <w:p w14:paraId="2EC03650">
      <w:pPr>
        <w:pStyle w:val="26"/>
        <w:tabs>
          <w:tab w:val="right" w:leader="hyphen" w:pos="8255"/>
        </w:tabs>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u w:val="single"/>
        </w:rPr>
        <w:fldChar w:fldCharType="begin"/>
      </w:r>
      <w:r>
        <w:rPr>
          <w:rFonts w:hint="eastAsia" w:asciiTheme="minorEastAsia" w:hAnsiTheme="minorEastAsia" w:eastAsiaTheme="minorEastAsia" w:cstheme="minorEastAsia"/>
          <w:b/>
          <w:sz w:val="28"/>
          <w:szCs w:val="28"/>
          <w:u w:val="single"/>
        </w:rPr>
        <w:instrText xml:space="preserve"> TOC \o "1-1" \h \z \u </w:instrText>
      </w:r>
      <w:r>
        <w:rPr>
          <w:rFonts w:hint="eastAsia" w:asciiTheme="minorEastAsia" w:hAnsiTheme="minorEastAsia" w:eastAsiaTheme="minorEastAsia" w:cstheme="minorEastAsia"/>
          <w:b/>
          <w:sz w:val="28"/>
          <w:szCs w:val="28"/>
          <w:u w:val="single"/>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"_Toc1308133736"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第一章  框架协议采购公告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fldChar w:fldCharType="end"/>
      </w:r>
    </w:p>
    <w:p w14:paraId="2636E9D6">
      <w:pPr>
        <w:pStyle w:val="26"/>
        <w:tabs>
          <w:tab w:val="right" w:leader="hyphen" w:pos="8255"/>
        </w:tabs>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"_Toc1256940247"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第二章  框架协议采购需求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fldChar w:fldCharType="end"/>
      </w:r>
    </w:p>
    <w:p w14:paraId="719F71D0">
      <w:pPr>
        <w:pStyle w:val="26"/>
        <w:tabs>
          <w:tab w:val="right" w:leader="hyphen" w:pos="8255"/>
        </w:tabs>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"_Toc548118524"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第三章　供应商须知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1</w:t>
      </w:r>
    </w:p>
    <w:p w14:paraId="7BE76002">
      <w:pPr>
        <w:pStyle w:val="26"/>
        <w:tabs>
          <w:tab w:val="right" w:leader="hyphen" w:pos="8255"/>
        </w:tabs>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"_Toc35352908"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第四章  </w:t>
      </w:r>
      <w:r>
        <w:rPr>
          <w:rFonts w:hint="eastAsia" w:asciiTheme="minorEastAsia" w:hAnsiTheme="minorEastAsia" w:eastAsiaTheme="minorEastAsia" w:cstheme="minorEastAsia"/>
          <w:sz w:val="28"/>
          <w:szCs w:val="28"/>
          <w:lang w:eastAsia="zh-CN"/>
        </w:rPr>
        <w:t>评审办法</w:t>
      </w:r>
      <w:r>
        <w:rPr>
          <w:rFonts w:hint="eastAsia" w:asciiTheme="minorEastAsia" w:hAnsiTheme="minorEastAsia" w:eastAsiaTheme="minorEastAsia" w:cstheme="minorEastAsia"/>
          <w:sz w:val="28"/>
          <w:szCs w:val="28"/>
        </w:rPr>
        <w:t>及标准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5</w:t>
      </w:r>
    </w:p>
    <w:p w14:paraId="30B9733F">
      <w:pPr>
        <w:pStyle w:val="26"/>
        <w:tabs>
          <w:tab w:val="right" w:leader="hyphen" w:pos="8255"/>
        </w:tabs>
        <w:spacing w:line="360" w:lineRule="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"_Toc979480569"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第五章  框架协议主要条款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30</w:t>
      </w:r>
    </w:p>
    <w:p w14:paraId="1816C368">
      <w:pPr>
        <w:pStyle w:val="26"/>
        <w:tabs>
          <w:tab w:val="right" w:leader="hyphen" w:pos="8255"/>
        </w:tabs>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"_Toc1409419452"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第六章  </w:t>
      </w:r>
      <w:r>
        <w:rPr>
          <w:rFonts w:hint="eastAsia" w:asciiTheme="minorEastAsia" w:hAnsiTheme="minorEastAsia" w:eastAsiaTheme="minorEastAsia" w:cstheme="minorEastAsia"/>
          <w:sz w:val="28"/>
          <w:szCs w:val="28"/>
          <w:highlight w:val="none"/>
        </w:rPr>
        <w:t>响应</w:t>
      </w:r>
      <w:r>
        <w:rPr>
          <w:rFonts w:hint="eastAsia" w:asciiTheme="minorEastAsia" w:hAnsiTheme="minorEastAsia" w:eastAsiaTheme="minorEastAsia" w:cstheme="minorEastAsia"/>
          <w:sz w:val="28"/>
          <w:szCs w:val="28"/>
        </w:rPr>
        <w:t>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40</w:t>
      </w:r>
      <w:r>
        <w:rPr>
          <w:rFonts w:hint="eastAsia" w:asciiTheme="minorEastAsia" w:hAnsiTheme="minorEastAsia" w:eastAsiaTheme="minorEastAsia" w:cstheme="minorEastAsia"/>
          <w:sz w:val="28"/>
          <w:szCs w:val="28"/>
        </w:rPr>
        <w:fldChar w:fldCharType="end"/>
      </w:r>
    </w:p>
    <w:p w14:paraId="3AA51FD0">
      <w:pPr>
        <w:pStyle w:val="18"/>
        <w:spacing w:before="120" w:after="12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fldChar w:fldCharType="end"/>
      </w:r>
    </w:p>
    <w:p w14:paraId="09AF9634">
      <w:pPr>
        <w:pStyle w:val="15"/>
        <w:ind w:left="480" w:firstLine="404"/>
        <w:rPr>
          <w:rFonts w:asciiTheme="majorEastAsia" w:hAnsiTheme="majorEastAsia" w:eastAsiaTheme="majorEastAsia" w:cstheme="majorEastAsia"/>
        </w:rPr>
      </w:pPr>
    </w:p>
    <w:p w14:paraId="31113BD2">
      <w:pPr>
        <w:pStyle w:val="41"/>
        <w:rPr>
          <w:rFonts w:asciiTheme="majorEastAsia" w:hAnsiTheme="majorEastAsia" w:eastAsiaTheme="majorEastAsia" w:cstheme="majorEastAsia"/>
        </w:rPr>
      </w:pPr>
    </w:p>
    <w:p w14:paraId="5357645E">
      <w:pPr>
        <w:rPr>
          <w:rFonts w:asciiTheme="majorEastAsia" w:hAnsiTheme="majorEastAsia" w:eastAsiaTheme="majorEastAsia" w:cstheme="majorEastAsia"/>
        </w:rPr>
      </w:pPr>
    </w:p>
    <w:p w14:paraId="19131031">
      <w:pPr>
        <w:pStyle w:val="2"/>
        <w:rPr>
          <w:rFonts w:asciiTheme="majorEastAsia" w:hAnsiTheme="majorEastAsia" w:eastAsiaTheme="majorEastAsia" w:cstheme="majorEastAsia"/>
        </w:rPr>
      </w:pPr>
    </w:p>
    <w:p w14:paraId="31BC1490"/>
    <w:p w14:paraId="56C51DEA">
      <w:pPr>
        <w:rPr>
          <w:rFonts w:asciiTheme="majorEastAsia" w:hAnsiTheme="majorEastAsia" w:eastAsiaTheme="majorEastAsia" w:cstheme="majorEastAsia"/>
        </w:rPr>
      </w:pPr>
    </w:p>
    <w:p w14:paraId="2AE82CF9">
      <w:pPr>
        <w:pStyle w:val="2"/>
        <w:rPr>
          <w:rFonts w:asciiTheme="majorEastAsia" w:hAnsiTheme="majorEastAsia" w:eastAsiaTheme="majorEastAsia" w:cstheme="majorEastAsia"/>
        </w:rPr>
      </w:pPr>
    </w:p>
    <w:p w14:paraId="2ED5BA87">
      <w:pPr>
        <w:rPr>
          <w:rFonts w:asciiTheme="majorEastAsia" w:hAnsiTheme="majorEastAsia" w:eastAsiaTheme="majorEastAsia" w:cstheme="majorEastAsia"/>
        </w:rPr>
      </w:pPr>
    </w:p>
    <w:p w14:paraId="0D19EED9">
      <w:pPr>
        <w:pStyle w:val="6"/>
        <w:rPr>
          <w:rFonts w:asciiTheme="majorEastAsia" w:hAnsiTheme="majorEastAsia" w:eastAsiaTheme="majorEastAsia" w:cstheme="majorEastAsia"/>
        </w:rPr>
      </w:pPr>
    </w:p>
    <w:p w14:paraId="03954300"/>
    <w:p w14:paraId="4F2F6E95">
      <w:pPr>
        <w:pStyle w:val="5"/>
        <w:tabs>
          <w:tab w:val="left" w:pos="822"/>
        </w:tabs>
        <w:spacing w:before="0" w:after="0" w:line="240" w:lineRule="auto"/>
        <w:jc w:val="both"/>
        <w:rPr>
          <w:rFonts w:hint="eastAsia" w:asciiTheme="majorEastAsia" w:hAnsiTheme="majorEastAsia" w:eastAsiaTheme="majorEastAsia" w:cstheme="majorEastAsia"/>
          <w:sz w:val="32"/>
          <w:lang w:eastAsia="zh-CN"/>
        </w:rPr>
      </w:pPr>
      <w:bookmarkStart w:id="2" w:name="_Toc1308133736"/>
    </w:p>
    <w:p w14:paraId="15A2E88F">
      <w:pPr>
        <w:pStyle w:val="5"/>
        <w:spacing w:before="0" w:after="0" w:line="240" w:lineRule="auto"/>
        <w:jc w:val="both"/>
        <w:rPr>
          <w:rFonts w:hint="eastAsia" w:asciiTheme="majorEastAsia" w:hAnsiTheme="majorEastAsia" w:eastAsiaTheme="majorEastAsia" w:cstheme="majorEastAsia"/>
          <w:sz w:val="32"/>
        </w:rPr>
      </w:pPr>
    </w:p>
    <w:p w14:paraId="625DE2A7">
      <w:pPr>
        <w:pStyle w:val="5"/>
        <w:pageBreakBefore/>
        <w:spacing w:before="0" w:after="0" w:line="240" w:lineRule="auto"/>
        <w:jc w:val="center"/>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第一章  框架协议采购公告</w:t>
      </w:r>
    </w:p>
    <w:bookmarkEnd w:id="2"/>
    <w:p w14:paraId="4204FDE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rPr>
      </w:pPr>
      <w:bookmarkStart w:id="3" w:name="_Toc439666950"/>
      <w:r>
        <w:rPr>
          <w:rFonts w:hint="eastAsia" w:ascii="仿宋" w:hAnsi="仿宋" w:eastAsia="仿宋" w:cs="仿宋"/>
        </w:rPr>
        <w:t>项目概况</w:t>
      </w:r>
    </w:p>
    <w:p w14:paraId="37EAD90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highlight w:val="none"/>
        </w:rPr>
      </w:pPr>
      <w:r>
        <w:rPr>
          <w:rFonts w:hint="eastAsia" w:ascii="仿宋" w:hAnsi="仿宋" w:eastAsia="仿宋" w:cs="仿宋"/>
          <w:highlight w:val="none"/>
          <w:u w:val="single"/>
          <w:lang w:eastAsia="zh-CN"/>
        </w:rPr>
        <w:t>202</w:t>
      </w:r>
      <w:r>
        <w:rPr>
          <w:rFonts w:hint="eastAsia" w:ascii="仿宋" w:hAnsi="仿宋" w:eastAsia="仿宋" w:cs="仿宋"/>
          <w:highlight w:val="none"/>
          <w:u w:val="single"/>
          <w:lang w:val="en-US" w:eastAsia="zh-CN"/>
        </w:rPr>
        <w:t>5</w:t>
      </w:r>
      <w:r>
        <w:rPr>
          <w:rFonts w:hint="eastAsia" w:ascii="仿宋" w:hAnsi="仿宋" w:eastAsia="仿宋" w:cs="仿宋"/>
          <w:highlight w:val="none"/>
          <w:u w:val="single"/>
          <w:lang w:eastAsia="zh-CN"/>
        </w:rPr>
        <w:t>-202</w:t>
      </w:r>
      <w:r>
        <w:rPr>
          <w:rFonts w:hint="eastAsia" w:ascii="仿宋" w:hAnsi="仿宋" w:eastAsia="仿宋" w:cs="仿宋"/>
          <w:highlight w:val="none"/>
          <w:u w:val="single"/>
          <w:lang w:val="en-US" w:eastAsia="zh-CN"/>
        </w:rPr>
        <w:t>6年</w:t>
      </w:r>
      <w:r>
        <w:rPr>
          <w:rFonts w:hint="eastAsia" w:ascii="仿宋" w:hAnsi="仿宋" w:eastAsia="仿宋" w:cs="仿宋"/>
          <w:highlight w:val="none"/>
          <w:u w:val="single"/>
          <w:lang w:eastAsia="zh-CN"/>
        </w:rPr>
        <w:t>嘉善县政府投资项目工程造价咨询服务框架协议采购</w:t>
      </w:r>
      <w:r>
        <w:rPr>
          <w:rFonts w:hint="eastAsia" w:ascii="仿宋" w:hAnsi="仿宋" w:eastAsia="仿宋" w:cs="仿宋"/>
          <w:highlight w:val="none"/>
          <w:u w:val="none"/>
          <w:lang w:eastAsia="zh-CN"/>
        </w:rPr>
        <w:t>的潜在供应商应在浙江政府采购网（</w:t>
      </w:r>
      <w:r>
        <w:rPr>
          <w:rFonts w:hint="eastAsia" w:ascii="仿宋" w:hAnsi="仿宋" w:eastAsia="仿宋" w:cs="仿宋"/>
          <w:highlight w:val="none"/>
          <w:u w:val="none"/>
          <w:lang w:eastAsia="zh-CN"/>
        </w:rPr>
        <w:fldChar w:fldCharType="begin"/>
      </w:r>
      <w:r>
        <w:rPr>
          <w:rFonts w:hint="eastAsia" w:ascii="仿宋" w:hAnsi="仿宋" w:eastAsia="仿宋" w:cs="仿宋"/>
          <w:highlight w:val="none"/>
          <w:u w:val="none"/>
          <w:lang w:eastAsia="zh-CN"/>
        </w:rPr>
        <w:instrText xml:space="preserve"> HYPERLINK "http://zfcg.czt.zj.gov.cn" </w:instrText>
      </w:r>
      <w:r>
        <w:rPr>
          <w:rFonts w:hint="eastAsia" w:ascii="仿宋" w:hAnsi="仿宋" w:eastAsia="仿宋" w:cs="仿宋"/>
          <w:highlight w:val="none"/>
          <w:u w:val="none"/>
          <w:lang w:eastAsia="zh-CN"/>
        </w:rPr>
        <w:fldChar w:fldCharType="separate"/>
      </w:r>
      <w:r>
        <w:rPr>
          <w:rFonts w:hint="eastAsia" w:ascii="仿宋" w:hAnsi="仿宋" w:eastAsia="仿宋" w:cs="仿宋"/>
          <w:highlight w:val="none"/>
          <w:u w:val="none"/>
          <w:lang w:eastAsia="zh-CN"/>
        </w:rPr>
        <w:t>http://zfcg.czt.zj.gov.cn</w:t>
      </w:r>
      <w:r>
        <w:rPr>
          <w:rFonts w:hint="eastAsia" w:ascii="仿宋" w:hAnsi="仿宋" w:eastAsia="仿宋" w:cs="仿宋"/>
          <w:highlight w:val="none"/>
          <w:u w:val="none"/>
          <w:lang w:eastAsia="zh-CN"/>
        </w:rPr>
        <w:fldChar w:fldCharType="end"/>
      </w:r>
      <w:r>
        <w:rPr>
          <w:rFonts w:hint="eastAsia" w:ascii="仿宋" w:hAnsi="仿宋" w:eastAsia="仿宋" w:cs="仿宋"/>
          <w:highlight w:val="none"/>
          <w:u w:val="none"/>
          <w:lang w:eastAsia="zh-CN"/>
        </w:rPr>
        <w:t>）获取征集文件，</w:t>
      </w:r>
      <w:r>
        <w:rPr>
          <w:rFonts w:hint="eastAsia" w:ascii="仿宋" w:hAnsi="仿宋" w:eastAsia="仿宋" w:cs="仿宋"/>
          <w:highlight w:val="none"/>
          <w:u w:val="single"/>
          <w:lang w:eastAsia="zh-CN"/>
        </w:rPr>
        <w:t>并于202</w:t>
      </w:r>
      <w:r>
        <w:rPr>
          <w:rFonts w:hint="eastAsia" w:ascii="仿宋" w:hAnsi="仿宋" w:eastAsia="仿宋" w:cs="仿宋"/>
          <w:highlight w:val="none"/>
          <w:u w:val="single"/>
          <w:lang w:val="en-US" w:eastAsia="zh-CN"/>
        </w:rPr>
        <w:t>5</w:t>
      </w:r>
      <w:r>
        <w:rPr>
          <w:rFonts w:hint="eastAsia" w:ascii="仿宋" w:hAnsi="仿宋" w:eastAsia="仿宋" w:cs="仿宋"/>
          <w:highlight w:val="none"/>
          <w:u w:val="single"/>
          <w:lang w:eastAsia="zh-CN"/>
        </w:rPr>
        <w:t>年</w:t>
      </w:r>
      <w:r>
        <w:rPr>
          <w:rFonts w:hint="eastAsia" w:ascii="仿宋" w:hAnsi="仿宋" w:eastAsia="仿宋" w:cs="仿宋"/>
          <w:highlight w:val="none"/>
          <w:u w:val="single"/>
          <w:lang w:val="en-US" w:eastAsia="zh-CN"/>
        </w:rPr>
        <w:t>1</w:t>
      </w:r>
      <w:r>
        <w:rPr>
          <w:rFonts w:hint="eastAsia" w:ascii="仿宋" w:hAnsi="仿宋" w:eastAsia="仿宋" w:cs="仿宋"/>
          <w:highlight w:val="none"/>
          <w:u w:val="single"/>
          <w:lang w:eastAsia="zh-CN"/>
        </w:rPr>
        <w:t>月</w:t>
      </w:r>
      <w:r>
        <w:rPr>
          <w:rFonts w:hint="eastAsia" w:ascii="仿宋" w:hAnsi="仿宋" w:eastAsia="仿宋" w:cs="仿宋"/>
          <w:highlight w:val="none"/>
          <w:u w:val="single"/>
          <w:lang w:val="en-US" w:eastAsia="zh-CN"/>
        </w:rPr>
        <w:t>8</w:t>
      </w:r>
      <w:r>
        <w:rPr>
          <w:rFonts w:hint="eastAsia" w:ascii="仿宋" w:hAnsi="仿宋" w:eastAsia="仿宋" w:cs="仿宋"/>
          <w:highlight w:val="none"/>
          <w:u w:val="single"/>
          <w:lang w:eastAsia="zh-CN"/>
        </w:rPr>
        <w:t>日</w:t>
      </w:r>
      <w:r>
        <w:rPr>
          <w:rFonts w:hint="eastAsia" w:ascii="仿宋" w:hAnsi="仿宋" w:eastAsia="仿宋" w:cs="仿宋"/>
          <w:highlight w:val="none"/>
          <w:u w:val="single"/>
          <w:lang w:val="en-US" w:eastAsia="zh-CN"/>
        </w:rPr>
        <w:t>9：30</w:t>
      </w:r>
      <w:r>
        <w:rPr>
          <w:rFonts w:hint="eastAsia" w:ascii="仿宋" w:hAnsi="仿宋" w:eastAsia="仿宋" w:cs="仿宋"/>
          <w:highlight w:val="none"/>
          <w:u w:val="single"/>
          <w:lang w:eastAsia="zh-CN"/>
        </w:rPr>
        <w:t>（北京时间）前递交响应文件。</w:t>
      </w:r>
    </w:p>
    <w:p w14:paraId="1B0502CA">
      <w:pPr>
        <w:pStyle w:val="6"/>
        <w:pageBreakBefore w:val="0"/>
        <w:kinsoku/>
        <w:wordWrap/>
        <w:overflowPunct/>
        <w:topLinePunct w:val="0"/>
        <w:autoSpaceDE/>
        <w:autoSpaceDN/>
        <w:bidi w:val="0"/>
        <w:spacing w:line="480" w:lineRule="exact"/>
        <w:textAlignment w:val="auto"/>
        <w:rPr>
          <w:rFonts w:hint="eastAsia" w:ascii="仿宋" w:hAnsi="仿宋" w:eastAsia="仿宋" w:cs="仿宋"/>
          <w:highlight w:val="none"/>
        </w:rPr>
      </w:pPr>
      <w:r>
        <w:rPr>
          <w:rFonts w:hint="eastAsia" w:ascii="仿宋" w:hAnsi="仿宋" w:eastAsia="仿宋" w:cs="仿宋"/>
          <w:highlight w:val="none"/>
        </w:rPr>
        <w:t>一、项目基本情况</w:t>
      </w:r>
    </w:p>
    <w:p w14:paraId="1D7D7DF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rPr>
        <w:t>项目编号：</w:t>
      </w:r>
      <w:r>
        <w:rPr>
          <w:rFonts w:hint="eastAsia" w:ascii="仿宋" w:hAnsi="仿宋" w:eastAsia="仿宋" w:cs="仿宋"/>
          <w:highlight w:val="none"/>
          <w:lang w:val="en-US" w:eastAsia="zh-CN"/>
        </w:rPr>
        <w:t>JSCG2024022（G）</w:t>
      </w:r>
    </w:p>
    <w:p w14:paraId="229A7BD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仿宋" w:hAnsi="仿宋" w:eastAsia="仿宋" w:cs="仿宋"/>
          <w:highlight w:val="none"/>
          <w:lang w:val="en-US" w:eastAsia="zh-CN"/>
        </w:rPr>
      </w:pPr>
      <w:r>
        <w:rPr>
          <w:rFonts w:hint="eastAsia" w:ascii="仿宋" w:hAnsi="仿宋" w:eastAsia="仿宋" w:cs="仿宋"/>
          <w:highlight w:val="none"/>
        </w:rPr>
        <w:t>项目名称：202</w:t>
      </w:r>
      <w:r>
        <w:rPr>
          <w:rFonts w:hint="eastAsia" w:ascii="仿宋" w:hAnsi="仿宋" w:eastAsia="仿宋" w:cs="仿宋"/>
          <w:highlight w:val="none"/>
          <w:lang w:val="en-US" w:eastAsia="zh-CN"/>
        </w:rPr>
        <w:t>5</w:t>
      </w:r>
      <w:r>
        <w:rPr>
          <w:rFonts w:hint="eastAsia" w:ascii="仿宋" w:hAnsi="仿宋" w:eastAsia="仿宋" w:cs="仿宋"/>
          <w:highlight w:val="none"/>
        </w:rPr>
        <w:t>-202</w:t>
      </w:r>
      <w:r>
        <w:rPr>
          <w:rFonts w:hint="eastAsia" w:ascii="仿宋" w:hAnsi="仿宋" w:eastAsia="仿宋" w:cs="仿宋"/>
          <w:highlight w:val="none"/>
          <w:lang w:val="en-US" w:eastAsia="zh-CN"/>
        </w:rPr>
        <w:t>6年</w:t>
      </w:r>
      <w:r>
        <w:rPr>
          <w:rFonts w:hint="eastAsia" w:ascii="仿宋" w:hAnsi="仿宋" w:eastAsia="仿宋" w:cs="仿宋"/>
          <w:highlight w:val="none"/>
        </w:rPr>
        <w:t>嘉善县政府投资项目工程造价咨询服务框架协议采购</w:t>
      </w:r>
    </w:p>
    <w:p w14:paraId="4C3AE84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480" w:firstLineChars="200"/>
        <w:textAlignment w:val="auto"/>
        <w:outlineLvl w:val="9"/>
        <w:rPr>
          <w:rFonts w:hint="eastAsia" w:ascii="仿宋" w:hAnsi="仿宋" w:eastAsia="仿宋" w:cs="仿宋"/>
          <w:b/>
          <w:bCs/>
          <w:color w:val="auto"/>
          <w:sz w:val="24"/>
          <w:szCs w:val="24"/>
          <w:highlight w:val="none"/>
          <w:u w:val="none"/>
          <w:lang w:eastAsia="zh-CN"/>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u w:val="none"/>
        </w:rPr>
        <w:t>：</w:t>
      </w:r>
      <w:r>
        <w:rPr>
          <w:rFonts w:hint="eastAsia" w:ascii="仿宋" w:hAnsi="仿宋" w:eastAsia="仿宋" w:cs="仿宋"/>
          <w:b/>
          <w:bCs/>
          <w:color w:val="auto"/>
          <w:sz w:val="24"/>
          <w:szCs w:val="24"/>
          <w:highlight w:val="none"/>
          <w:u w:val="none"/>
          <w:lang w:eastAsia="zh-CN"/>
        </w:rPr>
        <w:t>框架协议采购</w:t>
      </w:r>
    </w:p>
    <w:p w14:paraId="5D6F318C">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480" w:lineRule="exact"/>
        <w:ind w:firstLine="480" w:firstLineChars="200"/>
        <w:textAlignment w:val="auto"/>
        <w:outlineLvl w:val="9"/>
        <w:rPr>
          <w:rFonts w:hint="eastAsia" w:ascii="仿宋" w:hAnsi="仿宋" w:eastAsia="仿宋" w:cs="仿宋"/>
          <w:color w:val="auto"/>
          <w:sz w:val="24"/>
          <w:szCs w:val="24"/>
          <w:highlight w:val="none"/>
          <w:u w:val="none"/>
          <w:lang w:val="en-US"/>
        </w:rPr>
      </w:pPr>
      <w:r>
        <w:rPr>
          <w:rFonts w:hint="eastAsia" w:ascii="仿宋" w:hAnsi="仿宋" w:eastAsia="仿宋" w:cs="仿宋"/>
          <w:color w:val="auto"/>
          <w:szCs w:val="21"/>
          <w:highlight w:val="none"/>
          <w:u w:val="none"/>
        </w:rPr>
        <w:t>框架协议采购类型</w:t>
      </w:r>
      <w:r>
        <w:rPr>
          <w:rFonts w:hint="eastAsia" w:ascii="仿宋" w:hAnsi="仿宋" w:eastAsia="仿宋" w:cs="仿宋"/>
          <w:color w:val="auto"/>
          <w:szCs w:val="21"/>
          <w:highlight w:val="none"/>
          <w:u w:val="none"/>
          <w:lang w:eastAsia="zh-CN"/>
        </w:rPr>
        <w:t>：</w:t>
      </w:r>
      <w:r>
        <w:rPr>
          <w:rFonts w:hint="eastAsia" w:ascii="仿宋" w:hAnsi="仿宋" w:eastAsia="仿宋" w:cs="仿宋"/>
          <w:b/>
          <w:bCs/>
          <w:color w:val="auto"/>
          <w:szCs w:val="21"/>
          <w:highlight w:val="none"/>
          <w:u w:val="none"/>
          <w:lang w:val="en-US" w:eastAsia="zh-CN"/>
        </w:rPr>
        <w:t>封闭式</w:t>
      </w:r>
      <w:r>
        <w:rPr>
          <w:rFonts w:hint="eastAsia" w:ascii="仿宋" w:hAnsi="仿宋" w:eastAsia="仿宋" w:cs="仿宋"/>
          <w:color w:val="auto"/>
          <w:sz w:val="24"/>
          <w:szCs w:val="24"/>
          <w:highlight w:val="none"/>
          <w:u w:val="none"/>
        </w:rPr>
        <w:t> </w:t>
      </w:r>
    </w:p>
    <w:p w14:paraId="7DF7AB85">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本次框架协议采购适用对象</w:t>
      </w:r>
    </w:p>
    <w:p w14:paraId="14A0D66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嘉善县</w:t>
      </w:r>
      <w:r>
        <w:rPr>
          <w:rFonts w:hint="eastAsia" w:ascii="仿宋" w:hAnsi="仿宋" w:eastAsia="仿宋" w:cs="仿宋"/>
          <w:color w:val="auto"/>
          <w:sz w:val="24"/>
          <w:szCs w:val="24"/>
          <w:highlight w:val="none"/>
        </w:rPr>
        <w:t>政府投资项目服务费在分散采购招标限额（</w:t>
      </w:r>
      <w:r>
        <w:rPr>
          <w:rFonts w:hint="eastAsia" w:ascii="仿宋" w:hAnsi="仿宋" w:eastAsia="仿宋" w:cs="仿宋"/>
          <w:color w:val="auto"/>
          <w:sz w:val="24"/>
          <w:szCs w:val="24"/>
          <w:highlight w:val="none"/>
          <w:lang w:eastAsia="zh-CN"/>
        </w:rPr>
        <w:t>30万元</w:t>
      </w:r>
      <w:r>
        <w:rPr>
          <w:rFonts w:hint="eastAsia" w:ascii="仿宋" w:hAnsi="仿宋" w:eastAsia="仿宋" w:cs="仿宋"/>
          <w:color w:val="auto"/>
          <w:sz w:val="24"/>
          <w:szCs w:val="24"/>
          <w:highlight w:val="none"/>
        </w:rPr>
        <w:t>）以下的</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概算审核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工程</w:t>
      </w:r>
      <w:r>
        <w:rPr>
          <w:rFonts w:hint="eastAsia" w:ascii="仿宋" w:hAnsi="仿宋" w:eastAsia="仿宋" w:cs="仿宋"/>
          <w:color w:val="auto"/>
          <w:sz w:val="24"/>
          <w:szCs w:val="24"/>
          <w:highlight w:val="none"/>
          <w:lang w:eastAsia="zh-CN"/>
        </w:rPr>
        <w:t>结算审核服务</w:t>
      </w:r>
      <w:r>
        <w:rPr>
          <w:rFonts w:hint="eastAsia" w:ascii="仿宋" w:hAnsi="仿宋" w:eastAsia="仿宋" w:cs="仿宋"/>
          <w:color w:val="auto"/>
          <w:sz w:val="24"/>
          <w:szCs w:val="24"/>
          <w:highlight w:val="none"/>
        </w:rPr>
        <w:t>。</w:t>
      </w:r>
    </w:p>
    <w:p w14:paraId="5245A22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firstLine="480" w:firstLineChars="200"/>
        <w:textAlignment w:val="auto"/>
        <w:outlineLvl w:val="9"/>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框架协议服务期限：</w:t>
      </w:r>
      <w:r>
        <w:rPr>
          <w:rFonts w:hint="eastAsia" w:ascii="宋体" w:hAnsi="宋体" w:eastAsia="宋体" w:cs="宋体"/>
          <w:color w:val="auto"/>
          <w:sz w:val="24"/>
          <w:szCs w:val="24"/>
          <w:highlight w:val="none"/>
        </w:rPr>
        <w:t>服务期限为二年</w:t>
      </w:r>
      <w:r>
        <w:rPr>
          <w:rFonts w:hint="eastAsia" w:ascii="宋体" w:hAnsi="宋体" w:cs="宋体"/>
          <w:color w:val="auto"/>
          <w:sz w:val="24"/>
          <w:szCs w:val="24"/>
          <w:highlight w:val="none"/>
          <w:lang w:eastAsia="zh-CN"/>
        </w:rPr>
        <w:t>。</w:t>
      </w:r>
      <w:r>
        <w:rPr>
          <w:rFonts w:hint="eastAsia" w:ascii="宋体" w:hAnsi="宋体"/>
          <w:sz w:val="28"/>
          <w:szCs w:val="28"/>
          <w:highlight w:val="none"/>
        </w:rPr>
        <w:t>（</w:t>
      </w:r>
      <w:r>
        <w:rPr>
          <w:rFonts w:hint="eastAsia" w:ascii="宋体" w:hAnsi="宋体" w:eastAsia="宋体" w:cs="宋体"/>
          <w:color w:val="auto"/>
          <w:sz w:val="24"/>
          <w:szCs w:val="24"/>
          <w:highlight w:val="none"/>
        </w:rPr>
        <w:t>具体执行起始时间以</w:t>
      </w:r>
      <w:r>
        <w:rPr>
          <w:rFonts w:hint="eastAsia" w:ascii="宋体" w:hAnsi="宋体" w:cs="宋体"/>
          <w:color w:val="auto"/>
          <w:sz w:val="24"/>
          <w:szCs w:val="24"/>
          <w:highlight w:val="none"/>
          <w:lang w:eastAsia="zh-CN"/>
        </w:rPr>
        <w:t>县</w:t>
      </w:r>
      <w:r>
        <w:rPr>
          <w:rFonts w:hint="eastAsia" w:ascii="宋体" w:hAnsi="宋体" w:eastAsia="宋体" w:cs="宋体"/>
          <w:color w:val="auto"/>
          <w:sz w:val="24"/>
          <w:szCs w:val="24"/>
          <w:highlight w:val="none"/>
        </w:rPr>
        <w:t>财政部门发文为准）。</w:t>
      </w:r>
    </w:p>
    <w:p w14:paraId="38F1AF3D">
      <w:pPr>
        <w:pStyle w:val="15"/>
        <w:keepNext w:val="0"/>
        <w:keepLines w:val="0"/>
        <w:pageBreakBefore w:val="0"/>
        <w:numPr>
          <w:ilvl w:val="0"/>
          <w:numId w:val="0"/>
        </w:numPr>
        <w:kinsoku/>
        <w:wordWrap/>
        <w:overflowPunct/>
        <w:topLinePunct w:val="0"/>
        <w:autoSpaceDE/>
        <w:autoSpaceDN/>
        <w:bidi w:val="0"/>
        <w:adjustRightInd/>
        <w:snapToGrid/>
        <w:spacing w:after="0" w:line="480" w:lineRule="exact"/>
        <w:ind w:firstLine="464" w:firstLineChars="20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本项目接受联合体投标：</w:t>
      </w:r>
      <w:r>
        <w:rPr>
          <w:rFonts w:hint="eastAsia" w:ascii="仿宋" w:hAnsi="仿宋" w:eastAsia="仿宋" w:cs="仿宋"/>
          <w:color w:val="auto"/>
          <w:kern w:val="2"/>
          <w:sz w:val="24"/>
          <w:szCs w:val="24"/>
          <w:highlight w:val="none"/>
          <w:lang w:val="en-US" w:eastAsia="zh-CN" w:bidi="ar-SA"/>
        </w:rPr>
        <w:sym w:font="Wingdings" w:char="00A8"/>
      </w:r>
      <w:r>
        <w:rPr>
          <w:rFonts w:hint="eastAsia" w:ascii="仿宋" w:hAnsi="仿宋" w:eastAsia="仿宋" w:cs="仿宋"/>
          <w:color w:val="auto"/>
          <w:kern w:val="2"/>
          <w:sz w:val="24"/>
          <w:szCs w:val="24"/>
          <w:highlight w:val="none"/>
          <w:lang w:val="en-US" w:eastAsia="zh-CN" w:bidi="ar-SA"/>
        </w:rPr>
        <w:t xml:space="preserve"> 是，</w:t>
      </w:r>
      <w:r>
        <w:rPr>
          <w:rFonts w:hint="eastAsia" w:ascii="仿宋" w:hAnsi="仿宋" w:eastAsia="仿宋" w:cs="仿宋"/>
          <w:color w:val="auto"/>
          <w:kern w:val="2"/>
          <w:sz w:val="24"/>
          <w:szCs w:val="24"/>
          <w:highlight w:val="none"/>
          <w:lang w:val="en-US" w:eastAsia="zh-CN" w:bidi="ar-SA"/>
        </w:rPr>
        <w:sym w:font="Wingdings" w:char="00FE"/>
      </w:r>
      <w:r>
        <w:rPr>
          <w:rFonts w:hint="eastAsia" w:ascii="仿宋" w:hAnsi="仿宋" w:eastAsia="仿宋" w:cs="仿宋"/>
          <w:color w:val="auto"/>
          <w:kern w:val="2"/>
          <w:sz w:val="24"/>
          <w:szCs w:val="24"/>
          <w:highlight w:val="none"/>
          <w:lang w:val="en-US" w:eastAsia="zh-CN" w:bidi="ar-SA"/>
        </w:rPr>
        <w:t xml:space="preserve">否。 </w:t>
      </w:r>
    </w:p>
    <w:p w14:paraId="23F531B1">
      <w:pPr>
        <w:pStyle w:val="6"/>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b/>
          <w:bCs/>
          <w:snapToGrid w:val="0"/>
          <w:kern w:val="28"/>
          <w:sz w:val="24"/>
          <w:szCs w:val="20"/>
          <w:highlight w:val="none"/>
          <w:lang w:val="en-US" w:eastAsia="zh-CN" w:bidi="ar-SA"/>
        </w:rPr>
      </w:pPr>
      <w:bookmarkStart w:id="4" w:name="_Toc28359080"/>
      <w:bookmarkStart w:id="5" w:name="_Toc35393791"/>
      <w:bookmarkStart w:id="6" w:name="_Toc28359003"/>
      <w:bookmarkStart w:id="7" w:name="_Toc35393622"/>
      <w:r>
        <w:rPr>
          <w:rFonts w:hint="eastAsia" w:ascii="仿宋" w:hAnsi="仿宋" w:eastAsia="仿宋" w:cs="仿宋_GB2312"/>
          <w:b/>
          <w:bCs/>
          <w:snapToGrid w:val="0"/>
          <w:kern w:val="28"/>
          <w:sz w:val="24"/>
          <w:szCs w:val="20"/>
          <w:highlight w:val="none"/>
          <w:lang w:val="en-US" w:eastAsia="zh-CN" w:bidi="ar-SA"/>
        </w:rPr>
        <w:t>二、申请人的资格要求</w:t>
      </w:r>
      <w:bookmarkEnd w:id="4"/>
      <w:bookmarkEnd w:id="5"/>
      <w:bookmarkEnd w:id="6"/>
      <w:bookmarkEnd w:id="7"/>
    </w:p>
    <w:p w14:paraId="139D9CA4">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_GB2312"/>
          <w:b w:val="0"/>
          <w:bCs w:val="0"/>
          <w:snapToGrid w:val="0"/>
          <w:kern w:val="28"/>
          <w:sz w:val="24"/>
          <w:szCs w:val="20"/>
          <w:highlight w:val="none"/>
          <w:lang w:val="en-US" w:eastAsia="zh-CN" w:bidi="ar-SA"/>
        </w:rPr>
      </w:pPr>
      <w:bookmarkStart w:id="8" w:name="_Toc28359081"/>
      <w:bookmarkStart w:id="9" w:name="_Toc28359004"/>
      <w:r>
        <w:rPr>
          <w:rFonts w:hint="eastAsia" w:ascii="仿宋" w:hAnsi="仿宋" w:eastAsia="仿宋" w:cs="仿宋_GB2312"/>
          <w:b w:val="0"/>
          <w:bCs w:val="0"/>
          <w:snapToGrid w:val="0"/>
          <w:kern w:val="28"/>
          <w:sz w:val="24"/>
          <w:szCs w:val="20"/>
          <w:highlight w:val="none"/>
          <w:lang w:val="en-US" w:eastAsia="zh-CN" w:bidi="ar-SA"/>
        </w:rPr>
        <w:t>1. 满足《中华人民共和国政府采购法》第二十二条规定；未被“信用中国”（www.creditchina.gov.cn)、中国政府采购网（www.ccgp.gov.cn）列入失信被执行人、重大税收违法案件当事人名单、政府采购严重违法失信行为记录名单；</w:t>
      </w:r>
    </w:p>
    <w:p w14:paraId="2082B37B">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_GB2312"/>
          <w:b w:val="0"/>
          <w:bCs w:val="0"/>
          <w:snapToGrid w:val="0"/>
          <w:kern w:val="28"/>
          <w:sz w:val="24"/>
          <w:szCs w:val="20"/>
          <w:highlight w:val="none"/>
          <w:lang w:val="en-US" w:eastAsia="zh-CN" w:bidi="ar-SA"/>
        </w:rPr>
      </w:pPr>
      <w:r>
        <w:rPr>
          <w:rFonts w:hint="eastAsia" w:ascii="仿宋" w:hAnsi="仿宋" w:eastAsia="仿宋" w:cs="仿宋_GB2312"/>
          <w:b w:val="0"/>
          <w:bCs w:val="0"/>
          <w:snapToGrid w:val="0"/>
          <w:kern w:val="28"/>
          <w:sz w:val="24"/>
          <w:szCs w:val="20"/>
          <w:highlight w:val="none"/>
          <w:lang w:val="en-US" w:eastAsia="zh-CN" w:bidi="ar-SA"/>
        </w:rPr>
        <w:t xml:space="preserve">2.落实政府采购支持中小企业政策需满足的资格要求： </w:t>
      </w:r>
    </w:p>
    <w:p w14:paraId="42832761">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_GB2312"/>
          <w:b w:val="0"/>
          <w:bCs w:val="0"/>
          <w:snapToGrid w:val="0"/>
          <w:kern w:val="28"/>
          <w:sz w:val="24"/>
          <w:szCs w:val="20"/>
          <w:highlight w:val="none"/>
          <w:lang w:val="en-US" w:eastAsia="zh-CN" w:bidi="ar-SA"/>
        </w:rPr>
      </w:pPr>
      <w:r>
        <w:rPr>
          <w:rFonts w:hint="eastAsia" w:ascii="仿宋" w:hAnsi="仿宋" w:eastAsia="仿宋" w:cs="仿宋_GB2312"/>
          <w:b w:val="0"/>
          <w:bCs w:val="0"/>
          <w:snapToGrid w:val="0"/>
          <w:kern w:val="28"/>
          <w:sz w:val="24"/>
          <w:szCs w:val="20"/>
          <w:highlight w:val="none"/>
          <w:lang w:val="en-US" w:eastAsia="zh-CN" w:bidi="ar-SA"/>
        </w:rPr>
        <w:t>2.1</w:t>
      </w:r>
      <w:r>
        <w:rPr>
          <w:rFonts w:hint="eastAsia" w:ascii="仿宋" w:hAnsi="仿宋" w:eastAsia="仿宋" w:cs="仿宋_GB2312"/>
          <w:b w:val="0"/>
          <w:bCs w:val="0"/>
          <w:snapToGrid w:val="0"/>
          <w:kern w:val="28"/>
          <w:sz w:val="24"/>
          <w:szCs w:val="20"/>
          <w:highlight w:val="none"/>
          <w:lang w:val="en-US" w:eastAsia="zh-CN" w:bidi="ar-SA"/>
        </w:rPr>
        <w:sym w:font="Wingdings" w:char="00FE"/>
      </w:r>
      <w:r>
        <w:rPr>
          <w:rFonts w:hint="eastAsia" w:ascii="仿宋" w:hAnsi="仿宋" w:eastAsia="仿宋" w:cs="仿宋_GB2312"/>
          <w:b w:val="0"/>
          <w:bCs w:val="0"/>
          <w:snapToGrid w:val="0"/>
          <w:kern w:val="28"/>
          <w:sz w:val="24"/>
          <w:szCs w:val="20"/>
          <w:highlight w:val="none"/>
          <w:lang w:val="en-US" w:eastAsia="zh-CN" w:bidi="ar-SA"/>
        </w:rPr>
        <w:t xml:space="preserve"> 无需落实；</w:t>
      </w:r>
    </w:p>
    <w:p w14:paraId="3711251D">
      <w:pPr>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_GB2312"/>
          <w:b w:val="0"/>
          <w:bCs w:val="0"/>
          <w:snapToGrid w:val="0"/>
          <w:kern w:val="28"/>
          <w:sz w:val="24"/>
          <w:szCs w:val="20"/>
          <w:highlight w:val="none"/>
          <w:lang w:val="en-US" w:eastAsia="zh-CN" w:bidi="ar-SA"/>
        </w:rPr>
      </w:pPr>
      <w:r>
        <w:rPr>
          <w:rFonts w:hint="eastAsia" w:ascii="仿宋" w:hAnsi="仿宋" w:eastAsia="仿宋" w:cs="仿宋_GB2312"/>
          <w:b w:val="0"/>
          <w:bCs w:val="0"/>
          <w:snapToGrid w:val="0"/>
          <w:kern w:val="28"/>
          <w:sz w:val="24"/>
          <w:szCs w:val="20"/>
          <w:highlight w:val="none"/>
          <w:lang w:val="en-US" w:eastAsia="zh-CN" w:bidi="ar-SA"/>
        </w:rPr>
        <w:t>2.2</w:t>
      </w:r>
      <w:r>
        <w:rPr>
          <w:rFonts w:hint="eastAsia" w:ascii="仿宋" w:hAnsi="仿宋" w:eastAsia="仿宋" w:cs="仿宋_GB2312"/>
          <w:b w:val="0"/>
          <w:bCs w:val="0"/>
          <w:snapToGrid w:val="0"/>
          <w:kern w:val="28"/>
          <w:sz w:val="24"/>
          <w:szCs w:val="20"/>
          <w:highlight w:val="none"/>
          <w:lang w:val="en-US" w:eastAsia="zh-CN" w:bidi="ar-SA"/>
        </w:rPr>
        <w:sym w:font="Wingdings" w:char="00A8"/>
      </w:r>
      <w:r>
        <w:rPr>
          <w:rFonts w:hint="eastAsia" w:ascii="仿宋" w:hAnsi="仿宋" w:eastAsia="仿宋" w:cs="仿宋_GB2312"/>
          <w:b w:val="0"/>
          <w:bCs w:val="0"/>
          <w:snapToGrid w:val="0"/>
          <w:kern w:val="28"/>
          <w:sz w:val="24"/>
          <w:szCs w:val="20"/>
          <w:highlight w:val="none"/>
          <w:lang w:val="en-US" w:eastAsia="zh-CN" w:bidi="ar-SA"/>
        </w:rPr>
        <w:t xml:space="preserve"> 需要落实：</w:t>
      </w:r>
    </w:p>
    <w:p w14:paraId="7506EEEA">
      <w:pPr>
        <w:pageBreakBefore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_GB2312"/>
          <w:b w:val="0"/>
          <w:bCs w:val="0"/>
          <w:snapToGrid w:val="0"/>
          <w:kern w:val="28"/>
          <w:sz w:val="24"/>
          <w:szCs w:val="20"/>
          <w:highlight w:val="none"/>
          <w:lang w:val="en-US" w:eastAsia="zh-CN" w:bidi="ar-SA"/>
        </w:rPr>
      </w:pPr>
      <w:r>
        <w:rPr>
          <w:rFonts w:hint="eastAsia" w:ascii="仿宋" w:hAnsi="仿宋" w:eastAsia="仿宋" w:cs="仿宋_GB2312"/>
          <w:b w:val="0"/>
          <w:bCs w:val="0"/>
          <w:snapToGrid w:val="0"/>
          <w:kern w:val="28"/>
          <w:sz w:val="24"/>
          <w:szCs w:val="20"/>
          <w:highlight w:val="none"/>
          <w:lang w:val="en-US" w:eastAsia="zh-CN" w:bidi="ar-SA"/>
        </w:rPr>
        <w:t>2.2.1专门面向中小企业</w:t>
      </w:r>
    </w:p>
    <w:p w14:paraId="5EBE5982">
      <w:pPr>
        <w:pageBreakBefore w:val="0"/>
        <w:kinsoku/>
        <w:wordWrap/>
        <w:overflowPunct/>
        <w:topLinePunct w:val="0"/>
        <w:autoSpaceDE/>
        <w:autoSpaceDN/>
        <w:bidi w:val="0"/>
        <w:adjustRightInd/>
        <w:snapToGrid/>
        <w:spacing w:line="440" w:lineRule="exact"/>
        <w:ind w:firstLine="960" w:firstLineChars="400"/>
        <w:textAlignment w:val="auto"/>
        <w:rPr>
          <w:rFonts w:hint="eastAsia" w:ascii="仿宋" w:hAnsi="仿宋" w:eastAsia="仿宋" w:cs="仿宋_GB2312"/>
          <w:b w:val="0"/>
          <w:bCs w:val="0"/>
          <w:snapToGrid w:val="0"/>
          <w:kern w:val="28"/>
          <w:sz w:val="24"/>
          <w:szCs w:val="20"/>
          <w:highlight w:val="none"/>
          <w:lang w:val="en-US" w:eastAsia="zh-CN" w:bidi="ar-SA"/>
        </w:rPr>
      </w:pPr>
      <w:r>
        <w:rPr>
          <w:rFonts w:hint="eastAsia" w:ascii="仿宋" w:hAnsi="仿宋" w:eastAsia="仿宋" w:cs="仿宋_GB2312"/>
          <w:b w:val="0"/>
          <w:bCs w:val="0"/>
          <w:snapToGrid w:val="0"/>
          <w:kern w:val="28"/>
          <w:sz w:val="24"/>
          <w:szCs w:val="20"/>
          <w:highlight w:val="none"/>
          <w:lang w:val="en-US" w:eastAsia="zh-CN" w:bidi="ar-SA"/>
        </w:rPr>
        <w:sym w:font="Wingdings" w:char="00A8"/>
      </w:r>
      <w:r>
        <w:rPr>
          <w:rFonts w:hint="eastAsia" w:ascii="仿宋" w:hAnsi="仿宋" w:eastAsia="仿宋" w:cs="仿宋_GB2312"/>
          <w:b w:val="0"/>
          <w:bCs w:val="0"/>
          <w:snapToGrid w:val="0"/>
          <w:kern w:val="28"/>
          <w:sz w:val="24"/>
          <w:szCs w:val="20"/>
          <w:highlight w:val="none"/>
          <w:lang w:val="en-US" w:eastAsia="zh-CN" w:bidi="ar-SA"/>
        </w:rPr>
        <w:t xml:space="preserve"> 货物全部由符合政策要求的中小企业制造，提供中小企业声明函；</w:t>
      </w:r>
    </w:p>
    <w:p w14:paraId="4A8DC0B1">
      <w:pPr>
        <w:pageBreakBefore w:val="0"/>
        <w:kinsoku/>
        <w:wordWrap/>
        <w:overflowPunct/>
        <w:topLinePunct w:val="0"/>
        <w:autoSpaceDE/>
        <w:autoSpaceDN/>
        <w:bidi w:val="0"/>
        <w:adjustRightInd/>
        <w:snapToGrid/>
        <w:spacing w:line="440" w:lineRule="exact"/>
        <w:ind w:firstLine="960" w:firstLineChars="400"/>
        <w:textAlignment w:val="auto"/>
        <w:rPr>
          <w:rFonts w:hint="eastAsia" w:ascii="仿宋" w:hAnsi="仿宋" w:eastAsia="仿宋" w:cs="仿宋_GB2312"/>
          <w:b w:val="0"/>
          <w:bCs w:val="0"/>
          <w:snapToGrid w:val="0"/>
          <w:kern w:val="28"/>
          <w:sz w:val="24"/>
          <w:szCs w:val="20"/>
          <w:highlight w:val="none"/>
          <w:lang w:val="en-US" w:eastAsia="zh-CN" w:bidi="ar-SA"/>
        </w:rPr>
      </w:pPr>
      <w:r>
        <w:rPr>
          <w:rFonts w:hint="eastAsia" w:ascii="仿宋" w:hAnsi="仿宋" w:eastAsia="仿宋" w:cs="仿宋_GB2312"/>
          <w:b w:val="0"/>
          <w:bCs w:val="0"/>
          <w:snapToGrid w:val="0"/>
          <w:kern w:val="28"/>
          <w:sz w:val="24"/>
          <w:szCs w:val="20"/>
          <w:highlight w:val="none"/>
          <w:lang w:val="en-US" w:eastAsia="zh-CN" w:bidi="ar-SA"/>
        </w:rPr>
        <w:sym w:font="Wingdings" w:char="00A8"/>
      </w:r>
      <w:r>
        <w:rPr>
          <w:rFonts w:hint="eastAsia" w:ascii="仿宋" w:hAnsi="仿宋" w:eastAsia="仿宋" w:cs="仿宋_GB2312"/>
          <w:b w:val="0"/>
          <w:bCs w:val="0"/>
          <w:snapToGrid w:val="0"/>
          <w:kern w:val="28"/>
          <w:sz w:val="24"/>
          <w:szCs w:val="20"/>
          <w:highlight w:val="none"/>
          <w:lang w:val="en-US" w:eastAsia="zh-CN" w:bidi="ar-SA"/>
        </w:rPr>
        <w:t xml:space="preserve"> 货物全部由符合政策要求的小微企业制造，提供中小企业声明函；</w:t>
      </w:r>
    </w:p>
    <w:p w14:paraId="4CC23F85">
      <w:pPr>
        <w:pageBreakBefore w:val="0"/>
        <w:kinsoku/>
        <w:wordWrap/>
        <w:overflowPunct/>
        <w:topLinePunct w:val="0"/>
        <w:autoSpaceDE/>
        <w:autoSpaceDN/>
        <w:bidi w:val="0"/>
        <w:adjustRightInd/>
        <w:snapToGrid/>
        <w:spacing w:line="440" w:lineRule="exact"/>
        <w:ind w:firstLine="960" w:firstLineChars="400"/>
        <w:textAlignment w:val="auto"/>
        <w:rPr>
          <w:rFonts w:hint="eastAsia" w:ascii="仿宋" w:hAnsi="仿宋" w:eastAsia="仿宋" w:cs="仿宋_GB2312"/>
          <w:b w:val="0"/>
          <w:bCs w:val="0"/>
          <w:snapToGrid w:val="0"/>
          <w:kern w:val="28"/>
          <w:sz w:val="24"/>
          <w:szCs w:val="20"/>
          <w:highlight w:val="none"/>
          <w:lang w:val="en-US" w:eastAsia="zh-CN" w:bidi="ar-SA"/>
        </w:rPr>
      </w:pPr>
      <w:r>
        <w:rPr>
          <w:rFonts w:hint="eastAsia" w:ascii="仿宋" w:hAnsi="仿宋" w:eastAsia="仿宋" w:cs="仿宋_GB2312"/>
          <w:b w:val="0"/>
          <w:bCs w:val="0"/>
          <w:snapToGrid w:val="0"/>
          <w:kern w:val="28"/>
          <w:sz w:val="24"/>
          <w:szCs w:val="20"/>
          <w:highlight w:val="none"/>
          <w:lang w:val="en-US" w:eastAsia="zh-CN" w:bidi="ar-SA"/>
        </w:rPr>
        <w:sym w:font="Wingdings" w:char="00A8"/>
      </w:r>
      <w:r>
        <w:rPr>
          <w:rFonts w:hint="eastAsia" w:ascii="仿宋" w:hAnsi="仿宋" w:eastAsia="仿宋" w:cs="仿宋_GB2312"/>
          <w:b w:val="0"/>
          <w:bCs w:val="0"/>
          <w:snapToGrid w:val="0"/>
          <w:kern w:val="28"/>
          <w:sz w:val="24"/>
          <w:szCs w:val="20"/>
          <w:highlight w:val="none"/>
          <w:lang w:val="en-US" w:eastAsia="zh-CN" w:bidi="ar-SA"/>
        </w:rPr>
        <w:t xml:space="preserve"> 服务全部由符合政策要求的中小企业承接，提供中小企业声明函；</w:t>
      </w:r>
    </w:p>
    <w:p w14:paraId="636BD365">
      <w:pPr>
        <w:pageBreakBefore w:val="0"/>
        <w:tabs>
          <w:tab w:val="left" w:pos="470"/>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_GB2312"/>
          <w:b w:val="0"/>
          <w:bCs w:val="0"/>
          <w:snapToGrid w:val="0"/>
          <w:kern w:val="28"/>
          <w:sz w:val="24"/>
          <w:szCs w:val="20"/>
          <w:highlight w:val="none"/>
          <w:lang w:val="en-US" w:eastAsia="zh-CN" w:bidi="ar-SA"/>
        </w:rPr>
      </w:pPr>
      <w:r>
        <w:rPr>
          <w:rFonts w:hint="eastAsia" w:ascii="仿宋" w:hAnsi="仿宋" w:eastAsia="仿宋" w:cs="仿宋_GB2312"/>
          <w:b w:val="0"/>
          <w:bCs w:val="0"/>
          <w:snapToGrid w:val="0"/>
          <w:kern w:val="28"/>
          <w:sz w:val="24"/>
          <w:szCs w:val="20"/>
          <w:highlight w:val="none"/>
          <w:lang w:val="en-US" w:eastAsia="zh-CN" w:bidi="ar-SA"/>
        </w:rPr>
        <w:tab/>
      </w:r>
      <w:r>
        <w:rPr>
          <w:rFonts w:hint="eastAsia" w:ascii="仿宋" w:hAnsi="仿宋" w:eastAsia="仿宋" w:cs="仿宋_GB2312"/>
          <w:b w:val="0"/>
          <w:bCs w:val="0"/>
          <w:snapToGrid w:val="0"/>
          <w:kern w:val="28"/>
          <w:sz w:val="24"/>
          <w:szCs w:val="20"/>
          <w:highlight w:val="none"/>
          <w:lang w:val="en-US" w:eastAsia="zh-CN" w:bidi="ar-SA"/>
        </w:rPr>
        <w:t xml:space="preserve"> </w:t>
      </w:r>
      <w:r>
        <w:rPr>
          <w:rFonts w:hint="eastAsia" w:ascii="仿宋" w:hAnsi="仿宋" w:eastAsia="仿宋" w:cs="仿宋_GB2312"/>
          <w:b w:val="0"/>
          <w:bCs w:val="0"/>
          <w:snapToGrid w:val="0"/>
          <w:kern w:val="28"/>
          <w:sz w:val="24"/>
          <w:szCs w:val="20"/>
          <w:highlight w:val="none"/>
          <w:lang w:val="en-US" w:eastAsia="zh-CN" w:bidi="ar-SA"/>
        </w:rPr>
        <w:sym w:font="Wingdings" w:char="00A8"/>
      </w:r>
      <w:r>
        <w:rPr>
          <w:rFonts w:hint="eastAsia" w:ascii="仿宋" w:hAnsi="仿宋" w:eastAsia="仿宋" w:cs="仿宋_GB2312"/>
          <w:b w:val="0"/>
          <w:bCs w:val="0"/>
          <w:snapToGrid w:val="0"/>
          <w:kern w:val="28"/>
          <w:sz w:val="24"/>
          <w:szCs w:val="20"/>
          <w:highlight w:val="none"/>
          <w:lang w:val="en-US" w:eastAsia="zh-CN" w:bidi="ar-SA"/>
        </w:rPr>
        <w:t xml:space="preserve"> 服务全部由符合政策要求的小微企业承接，提供中小企业声明函；</w:t>
      </w:r>
    </w:p>
    <w:p w14:paraId="7C5A40AB">
      <w:pPr>
        <w:pageBreakBefore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_GB2312"/>
          <w:b w:val="0"/>
          <w:bCs w:val="0"/>
          <w:snapToGrid w:val="0"/>
          <w:kern w:val="28"/>
          <w:sz w:val="24"/>
          <w:szCs w:val="20"/>
          <w:lang w:val="en-US" w:eastAsia="zh-CN" w:bidi="ar-SA"/>
        </w:rPr>
      </w:pPr>
      <w:r>
        <w:rPr>
          <w:rFonts w:hint="eastAsia" w:ascii="仿宋" w:hAnsi="仿宋" w:eastAsia="仿宋" w:cs="仿宋_GB2312"/>
          <w:b w:val="0"/>
          <w:bCs w:val="0"/>
          <w:snapToGrid w:val="0"/>
          <w:kern w:val="28"/>
          <w:sz w:val="24"/>
          <w:szCs w:val="20"/>
          <w:highlight w:val="none"/>
          <w:lang w:val="en-US" w:eastAsia="zh-CN" w:bidi="ar-SA"/>
        </w:rPr>
        <w:t>2.2.2</w:t>
      </w:r>
      <w:r>
        <w:rPr>
          <w:rFonts w:hint="eastAsia" w:ascii="仿宋" w:hAnsi="仿宋" w:eastAsia="仿宋" w:cs="仿宋_GB2312"/>
          <w:b w:val="0"/>
          <w:bCs w:val="0"/>
          <w:snapToGrid w:val="0"/>
          <w:kern w:val="28"/>
          <w:sz w:val="24"/>
          <w:szCs w:val="20"/>
          <w:highlight w:val="none"/>
          <w:lang w:val="en-US" w:eastAsia="zh-CN" w:bidi="ar-SA"/>
        </w:rPr>
        <w:sym w:font="Wingdings" w:char="00A8"/>
      </w:r>
      <w:r>
        <w:rPr>
          <w:rFonts w:hint="eastAsia" w:ascii="仿宋" w:hAnsi="仿宋" w:eastAsia="仿宋" w:cs="仿宋_GB2312"/>
          <w:b w:val="0"/>
          <w:bCs w:val="0"/>
          <w:snapToGrid w:val="0"/>
          <w:kern w:val="28"/>
          <w:sz w:val="24"/>
          <w:szCs w:val="20"/>
          <w:highlight w:val="none"/>
          <w:lang w:val="en-US" w:eastAsia="zh-CN" w:bidi="ar-SA"/>
        </w:rPr>
        <w:t xml:space="preserve"> 要求以联合体形式参加，提供联合协议和中小企业声明函，联合协议中</w:t>
      </w:r>
      <w:r>
        <w:rPr>
          <w:rFonts w:hint="eastAsia" w:ascii="仿宋" w:hAnsi="仿宋" w:eastAsia="仿宋" w:cs="仿宋_GB2312"/>
          <w:b w:val="0"/>
          <w:bCs w:val="0"/>
          <w:snapToGrid w:val="0"/>
          <w:kern w:val="28"/>
          <w:sz w:val="24"/>
          <w:szCs w:val="20"/>
          <w:lang w:val="en-US" w:eastAsia="zh-CN" w:bidi="ar-SA"/>
        </w:rPr>
        <w:t>中小企业合同金额应当达到 / %，其中小微企业合同金额应当达到 / %;如果供应商本身提供所有标的均由中小企业制造、承建或承接，视同符合了资格条件，无需再与其他中小企业组成联合体参加政府采购活动，无需提供联合协议；</w:t>
      </w:r>
    </w:p>
    <w:p w14:paraId="75AFC27E">
      <w:pPr>
        <w:pageBreakBefore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_GB2312"/>
          <w:b w:val="0"/>
          <w:bCs w:val="0"/>
          <w:snapToGrid w:val="0"/>
          <w:kern w:val="28"/>
          <w:sz w:val="24"/>
          <w:szCs w:val="20"/>
          <w:lang w:val="en-US" w:eastAsia="zh-CN" w:bidi="ar-SA"/>
        </w:rPr>
      </w:pPr>
      <w:r>
        <w:rPr>
          <w:rFonts w:hint="eastAsia" w:ascii="仿宋" w:hAnsi="仿宋" w:eastAsia="仿宋" w:cs="仿宋_GB2312"/>
          <w:b w:val="0"/>
          <w:bCs w:val="0"/>
          <w:snapToGrid w:val="0"/>
          <w:kern w:val="28"/>
          <w:sz w:val="24"/>
          <w:szCs w:val="20"/>
          <w:lang w:val="en-US" w:eastAsia="zh-CN" w:bidi="ar-SA"/>
        </w:rPr>
        <w:t>2.2.3</w:t>
      </w:r>
      <w:r>
        <w:rPr>
          <w:rFonts w:hint="eastAsia" w:ascii="仿宋" w:hAnsi="仿宋" w:eastAsia="仿宋" w:cs="仿宋_GB2312"/>
          <w:b w:val="0"/>
          <w:bCs w:val="0"/>
          <w:snapToGrid w:val="0"/>
          <w:kern w:val="28"/>
          <w:sz w:val="24"/>
          <w:szCs w:val="20"/>
          <w:lang w:val="en-US" w:eastAsia="zh-CN" w:bidi="ar-SA"/>
        </w:rPr>
        <w:sym w:font="Wingdings" w:char="00A8"/>
      </w:r>
      <w:r>
        <w:rPr>
          <w:rFonts w:hint="eastAsia" w:ascii="仿宋" w:hAnsi="仿宋" w:eastAsia="仿宋" w:cs="仿宋_GB2312"/>
          <w:b w:val="0"/>
          <w:bCs w:val="0"/>
          <w:snapToGrid w:val="0"/>
          <w:kern w:val="28"/>
          <w:sz w:val="24"/>
          <w:szCs w:val="20"/>
          <w:lang w:val="en-US" w:eastAsia="zh-CN" w:bidi="ar-SA"/>
        </w:rPr>
        <w:t>要求合同分包，提供分包意向协议和中小企业声明函，分包意向协议中中小企业合同金额应当达到 / % ，其中小微企业合同金额应当达到 / % ;如果供应商本身提供所有标的均由中小企业制造、承建或承接，视同符合了资格条件，无需再向中小企业分包，无需提供分包意向协议；</w:t>
      </w:r>
    </w:p>
    <w:p w14:paraId="23C9A232">
      <w:pPr>
        <w:pageBreakBefore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_GB2312"/>
          <w:b w:val="0"/>
          <w:bCs w:val="0"/>
          <w:snapToGrid w:val="0"/>
          <w:kern w:val="28"/>
          <w:sz w:val="24"/>
          <w:szCs w:val="20"/>
          <w:highlight w:val="none"/>
          <w:lang w:val="en-US" w:eastAsia="zh-CN" w:bidi="ar-SA"/>
        </w:rPr>
      </w:pPr>
      <w:r>
        <w:rPr>
          <w:rFonts w:hint="eastAsia" w:ascii="仿宋" w:hAnsi="仿宋" w:eastAsia="仿宋" w:cs="仿宋_GB2312"/>
          <w:b w:val="0"/>
          <w:bCs w:val="0"/>
          <w:snapToGrid w:val="0"/>
          <w:kern w:val="28"/>
          <w:sz w:val="24"/>
          <w:szCs w:val="20"/>
          <w:highlight w:val="none"/>
          <w:lang w:val="en-US" w:eastAsia="zh-CN" w:bidi="ar-SA"/>
        </w:rPr>
        <w:t>3.本项目的特定资格要求：供应商拟派本项目人员中具有有效期内的国家一级注册造价工程师资格不少于2人。</w:t>
      </w:r>
    </w:p>
    <w:p w14:paraId="0238FBF5">
      <w:pPr>
        <w:pStyle w:val="6"/>
        <w:pageBreakBefore w:val="0"/>
        <w:kinsoku/>
        <w:wordWrap/>
        <w:overflowPunct/>
        <w:topLinePunct w:val="0"/>
        <w:autoSpaceDE/>
        <w:autoSpaceDN/>
        <w:bidi w:val="0"/>
        <w:adjustRightInd/>
        <w:snapToGrid/>
        <w:spacing w:line="440" w:lineRule="exact"/>
        <w:textAlignment w:val="auto"/>
        <w:rPr>
          <w:rFonts w:asciiTheme="majorEastAsia" w:hAnsiTheme="majorEastAsia" w:eastAsiaTheme="majorEastAsia" w:cstheme="majorEastAsia"/>
        </w:rPr>
      </w:pPr>
      <w:bookmarkStart w:id="10" w:name="_Toc35393623"/>
      <w:bookmarkStart w:id="11" w:name="_Toc35393792"/>
      <w:r>
        <w:rPr>
          <w:rFonts w:hint="eastAsia" w:asciiTheme="majorEastAsia" w:hAnsiTheme="majorEastAsia" w:eastAsiaTheme="majorEastAsia" w:cstheme="majorEastAsia"/>
        </w:rPr>
        <w:t>三、获取</w:t>
      </w:r>
      <w:bookmarkEnd w:id="8"/>
      <w:bookmarkEnd w:id="9"/>
      <w:bookmarkEnd w:id="10"/>
      <w:bookmarkEnd w:id="11"/>
      <w:r>
        <w:rPr>
          <w:rFonts w:hint="eastAsia" w:asciiTheme="majorEastAsia" w:hAnsiTheme="majorEastAsia" w:eastAsiaTheme="majorEastAsia" w:cstheme="majorEastAsia"/>
        </w:rPr>
        <w:t>征集文件</w:t>
      </w:r>
    </w:p>
    <w:p w14:paraId="4B9ACDB7">
      <w:pPr>
        <w:pageBreakBefore w:val="0"/>
        <w:kinsoku/>
        <w:wordWrap/>
        <w:overflowPunct/>
        <w:topLinePunct w:val="0"/>
        <w:autoSpaceDE/>
        <w:autoSpaceDN/>
        <w:bidi w:val="0"/>
        <w:adjustRightInd/>
        <w:snapToGrid/>
        <w:spacing w:line="440" w:lineRule="exact"/>
        <w:ind w:firstLine="482" w:firstLineChars="200"/>
        <w:textAlignment w:val="auto"/>
        <w:rPr>
          <w:rFonts w:ascii="仿宋_GB2312" w:hAnsi="仿宋" w:eastAsia="仿宋_GB2312"/>
          <w:sz w:val="24"/>
          <w:highlight w:val="none"/>
        </w:rPr>
      </w:pPr>
      <w:bookmarkStart w:id="12" w:name="_Toc35393793"/>
      <w:bookmarkStart w:id="13" w:name="_Toc35393624"/>
      <w:bookmarkStart w:id="14" w:name="_Toc28359082"/>
      <w:bookmarkStart w:id="15" w:name="_Toc28359005"/>
      <w:r>
        <w:rPr>
          <w:rFonts w:hint="eastAsia" w:ascii="仿宋_GB2312" w:hAnsi="仿宋" w:eastAsia="仿宋_GB2312"/>
          <w:b/>
          <w:sz w:val="24"/>
        </w:rPr>
        <w:t>时间</w:t>
      </w:r>
      <w:r>
        <w:rPr>
          <w:rFonts w:hint="eastAsia" w:ascii="仿宋_GB2312" w:hAnsi="仿宋" w:eastAsia="仿宋_GB2312"/>
          <w:b/>
          <w:sz w:val="24"/>
          <w:highlight w:val="none"/>
        </w:rPr>
        <w:t>：</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8</w:t>
      </w:r>
      <w:r>
        <w:rPr>
          <w:rFonts w:hint="eastAsia"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14:paraId="53CBE5FF">
      <w:pPr>
        <w:pageBreakBefore w:val="0"/>
        <w:kinsoku/>
        <w:wordWrap/>
        <w:overflowPunct/>
        <w:topLinePunct w:val="0"/>
        <w:autoSpaceDE/>
        <w:autoSpaceDN/>
        <w:bidi w:val="0"/>
        <w:adjustRightInd/>
        <w:snapToGrid/>
        <w:spacing w:line="440" w:lineRule="exact"/>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14:paraId="10EFBB2C">
      <w:pPr>
        <w:pageBreakBefore w:val="0"/>
        <w:kinsoku/>
        <w:wordWrap/>
        <w:overflowPunct/>
        <w:topLinePunct w:val="0"/>
        <w:autoSpaceDE/>
        <w:autoSpaceDN/>
        <w:bidi w:val="0"/>
        <w:adjustRightInd/>
        <w:snapToGrid/>
        <w:spacing w:line="440" w:lineRule="exact"/>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https://www.zcygov.cn/在线申请获取</w:t>
      </w:r>
      <w:r>
        <w:rPr>
          <w:rFonts w:hint="eastAsia" w:ascii="仿宋_GB2312" w:hAnsi="仿宋" w:eastAsia="仿宋_GB2312"/>
          <w:sz w:val="24"/>
          <w:highlight w:val="none"/>
          <w:lang w:val="en-US" w:eastAsia="zh-CN"/>
        </w:rPr>
        <w:t>征集</w:t>
      </w:r>
      <w:r>
        <w:rPr>
          <w:rFonts w:ascii="仿宋_GB2312" w:hAnsi="仿宋" w:eastAsia="仿宋_GB2312"/>
          <w:sz w:val="24"/>
          <w:highlight w:val="none"/>
        </w:rPr>
        <w:t>文件（进入“项目采购”应用，在获取</w:t>
      </w:r>
      <w:r>
        <w:rPr>
          <w:rFonts w:hint="eastAsia" w:ascii="仿宋_GB2312" w:hAnsi="仿宋" w:eastAsia="仿宋_GB2312"/>
          <w:sz w:val="24"/>
          <w:highlight w:val="none"/>
          <w:lang w:val="en-US" w:eastAsia="zh-CN"/>
        </w:rPr>
        <w:t>征集</w:t>
      </w:r>
      <w:r>
        <w:rPr>
          <w:rFonts w:ascii="仿宋_GB2312" w:hAnsi="仿宋" w:eastAsia="仿宋_GB2312"/>
          <w:sz w:val="24"/>
          <w:highlight w:val="none"/>
        </w:rPr>
        <w:t>文件菜单中选择项目，申请获取</w:t>
      </w:r>
      <w:r>
        <w:rPr>
          <w:rFonts w:hint="eastAsia" w:ascii="仿宋_GB2312" w:hAnsi="仿宋" w:eastAsia="仿宋_GB2312"/>
          <w:sz w:val="24"/>
          <w:highlight w:val="none"/>
          <w:lang w:val="en-US" w:eastAsia="zh-CN"/>
        </w:rPr>
        <w:t>征集</w:t>
      </w:r>
      <w:r>
        <w:rPr>
          <w:rFonts w:ascii="仿宋_GB2312" w:hAnsi="仿宋" w:eastAsia="仿宋_GB2312"/>
          <w:sz w:val="24"/>
          <w:highlight w:val="none"/>
        </w:rPr>
        <w:t xml:space="preserve">文件）。 </w:t>
      </w:r>
    </w:p>
    <w:p w14:paraId="77375679">
      <w:pPr>
        <w:pageBreakBefore w:val="0"/>
        <w:kinsoku/>
        <w:wordWrap/>
        <w:overflowPunct/>
        <w:topLinePunct w:val="0"/>
        <w:autoSpaceDE/>
        <w:autoSpaceDN/>
        <w:bidi w:val="0"/>
        <w:adjustRightInd/>
        <w:snapToGrid/>
        <w:spacing w:line="440" w:lineRule="exact"/>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14:paraId="003F8B5E">
      <w:pPr>
        <w:pageBreakBefore w:val="0"/>
        <w:kinsoku/>
        <w:wordWrap/>
        <w:overflowPunct/>
        <w:topLinePunct w:val="0"/>
        <w:autoSpaceDE/>
        <w:autoSpaceDN/>
        <w:bidi w:val="0"/>
        <w:adjustRightInd/>
        <w:snapToGrid/>
        <w:spacing w:line="440" w:lineRule="exact"/>
        <w:textAlignment w:val="auto"/>
        <w:rPr>
          <w:rFonts w:ascii="仿宋_GB2312" w:hAnsi="仿宋" w:eastAsia="仿宋_GB2312"/>
          <w:b/>
          <w:sz w:val="24"/>
          <w:highlight w:val="none"/>
        </w:rPr>
      </w:pPr>
      <w:r>
        <w:rPr>
          <w:rFonts w:hint="eastAsia" w:ascii="仿宋_GB2312" w:hAnsi="仿宋" w:eastAsia="仿宋_GB2312"/>
          <w:b/>
          <w:sz w:val="24"/>
          <w:highlight w:val="none"/>
        </w:rPr>
        <w:t>四、提交</w:t>
      </w:r>
      <w:r>
        <w:rPr>
          <w:rFonts w:hint="eastAsia" w:ascii="仿宋_GB2312" w:hAnsi="仿宋" w:eastAsia="仿宋_GB2312"/>
          <w:b/>
          <w:sz w:val="24"/>
          <w:highlight w:val="none"/>
          <w:lang w:eastAsia="zh-CN"/>
        </w:rPr>
        <w:t>响应文件</w:t>
      </w:r>
      <w:r>
        <w:rPr>
          <w:rFonts w:hint="eastAsia" w:ascii="仿宋_GB2312" w:hAnsi="仿宋" w:eastAsia="仿宋_GB2312"/>
          <w:b/>
          <w:sz w:val="24"/>
          <w:highlight w:val="none"/>
        </w:rPr>
        <w:t>截止时间、开标时间和地点</w:t>
      </w:r>
    </w:p>
    <w:p w14:paraId="2028C595">
      <w:pPr>
        <w:pageBreakBefore w:val="0"/>
        <w:kinsoku/>
        <w:wordWrap/>
        <w:overflowPunct/>
        <w:topLinePunct w:val="0"/>
        <w:autoSpaceDE/>
        <w:autoSpaceDN/>
        <w:bidi w:val="0"/>
        <w:adjustRightInd/>
        <w:snapToGrid/>
        <w:spacing w:line="440" w:lineRule="exact"/>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提交</w:t>
      </w:r>
      <w:r>
        <w:rPr>
          <w:rFonts w:hint="eastAsia" w:ascii="仿宋_GB2312" w:hAnsi="仿宋" w:eastAsia="仿宋_GB2312"/>
          <w:b/>
          <w:sz w:val="24"/>
          <w:highlight w:val="none"/>
          <w:lang w:eastAsia="zh-CN"/>
        </w:rPr>
        <w:t>响应文件</w:t>
      </w:r>
      <w:r>
        <w:rPr>
          <w:rFonts w:hint="eastAsia" w:ascii="仿宋_GB2312" w:hAnsi="仿宋" w:eastAsia="仿宋_GB2312"/>
          <w:b/>
          <w:sz w:val="24"/>
          <w:highlight w:val="none"/>
        </w:rPr>
        <w:t>截止时间：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8</w:t>
      </w:r>
      <w:r>
        <w:rPr>
          <w:rFonts w:hint="eastAsia" w:ascii="仿宋_GB2312" w:hAnsi="仿宋" w:eastAsia="仿宋_GB2312"/>
          <w:sz w:val="24"/>
          <w:highlight w:val="none"/>
          <w:u w:val="single"/>
        </w:rPr>
        <w:t>日9点30分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14:paraId="0F7A1723">
      <w:pPr>
        <w:pageBreakBefore w:val="0"/>
        <w:kinsoku/>
        <w:wordWrap/>
        <w:overflowPunct/>
        <w:topLinePunct w:val="0"/>
        <w:autoSpaceDE/>
        <w:autoSpaceDN/>
        <w:bidi w:val="0"/>
        <w:adjustRightInd/>
        <w:snapToGrid/>
        <w:spacing w:line="440" w:lineRule="exact"/>
        <w:ind w:firstLine="482" w:firstLineChars="200"/>
        <w:textAlignment w:val="auto"/>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14:paraId="02A155F3">
      <w:pPr>
        <w:pageBreakBefore w:val="0"/>
        <w:kinsoku/>
        <w:wordWrap/>
        <w:overflowPunct/>
        <w:topLinePunct w:val="0"/>
        <w:autoSpaceDE/>
        <w:autoSpaceDN/>
        <w:bidi w:val="0"/>
        <w:adjustRightInd/>
        <w:snapToGrid/>
        <w:spacing w:line="440" w:lineRule="exact"/>
        <w:ind w:firstLine="482" w:firstLineChars="200"/>
        <w:textAlignment w:val="auto"/>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8</w:t>
      </w:r>
      <w:r>
        <w:rPr>
          <w:rFonts w:hint="eastAsia" w:ascii="仿宋_GB2312" w:hAnsi="仿宋" w:eastAsia="仿宋_GB2312"/>
          <w:sz w:val="24"/>
          <w:highlight w:val="none"/>
          <w:u w:val="single"/>
        </w:rPr>
        <w:t>日9点30分</w:t>
      </w:r>
      <w:r>
        <w:rPr>
          <w:rFonts w:hint="eastAsia" w:ascii="仿宋_GB2312" w:hAnsi="仿宋" w:eastAsia="仿宋_GB2312"/>
          <w:bCs/>
          <w:sz w:val="24"/>
          <w:highlight w:val="none"/>
          <w:u w:val="single"/>
        </w:rPr>
        <w:t xml:space="preserve"> </w:t>
      </w:r>
    </w:p>
    <w:p w14:paraId="6464CD83">
      <w:pPr>
        <w:pageBreakBefore w:val="0"/>
        <w:kinsoku/>
        <w:wordWrap/>
        <w:overflowPunct/>
        <w:topLinePunct w:val="0"/>
        <w:autoSpaceDE/>
        <w:autoSpaceDN/>
        <w:bidi w:val="0"/>
        <w:adjustRightInd/>
        <w:snapToGrid/>
        <w:spacing w:line="440" w:lineRule="exact"/>
        <w:ind w:firstLine="482" w:firstLineChars="200"/>
        <w:textAlignment w:val="auto"/>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bookmarkEnd w:id="12"/>
    <w:bookmarkEnd w:id="13"/>
    <w:bookmarkEnd w:id="14"/>
    <w:bookmarkEnd w:id="15"/>
    <w:p w14:paraId="11937C9B">
      <w:pPr>
        <w:pStyle w:val="6"/>
        <w:pageBreakBefore w:val="0"/>
        <w:kinsoku/>
        <w:wordWrap/>
        <w:overflowPunct/>
        <w:topLinePunct w:val="0"/>
        <w:autoSpaceDE/>
        <w:autoSpaceDN/>
        <w:bidi w:val="0"/>
        <w:adjustRightInd/>
        <w:snapToGrid/>
        <w:spacing w:line="440" w:lineRule="exact"/>
        <w:textAlignment w:val="auto"/>
        <w:rPr>
          <w:rFonts w:asciiTheme="majorEastAsia" w:hAnsiTheme="majorEastAsia" w:eastAsiaTheme="majorEastAsia" w:cstheme="majorEastAsia"/>
        </w:rPr>
      </w:pPr>
      <w:bookmarkStart w:id="16" w:name="_Toc35393625"/>
      <w:bookmarkStart w:id="17" w:name="_Toc35393794"/>
      <w:bookmarkStart w:id="18" w:name="_Toc28359007"/>
      <w:bookmarkStart w:id="19" w:name="_Toc28359084"/>
      <w:r>
        <w:rPr>
          <w:rFonts w:hint="eastAsia" w:asciiTheme="majorEastAsia" w:hAnsiTheme="majorEastAsia" w:eastAsiaTheme="majorEastAsia" w:cstheme="majorEastAsia"/>
        </w:rPr>
        <w:t>五、公告期限</w:t>
      </w:r>
      <w:bookmarkEnd w:id="16"/>
      <w:bookmarkEnd w:id="17"/>
      <w:bookmarkEnd w:id="18"/>
      <w:bookmarkEnd w:id="19"/>
    </w:p>
    <w:p w14:paraId="1A25A4C0">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rPr>
      </w:pPr>
      <w:r>
        <w:rPr>
          <w:rFonts w:hint="eastAsia" w:ascii="仿宋" w:hAnsi="仿宋" w:eastAsia="仿宋" w:cs="仿宋"/>
        </w:rPr>
        <w:t>自本公告发布之日起5个工作日。</w:t>
      </w:r>
    </w:p>
    <w:p w14:paraId="6F699F6E">
      <w:pPr>
        <w:pStyle w:val="6"/>
        <w:pageBreakBefore w:val="0"/>
        <w:kinsoku/>
        <w:wordWrap/>
        <w:overflowPunct/>
        <w:topLinePunct w:val="0"/>
        <w:autoSpaceDE/>
        <w:autoSpaceDN/>
        <w:bidi w:val="0"/>
        <w:spacing w:line="480" w:lineRule="exact"/>
        <w:textAlignment w:val="auto"/>
        <w:rPr>
          <w:rFonts w:asciiTheme="majorEastAsia" w:hAnsiTheme="majorEastAsia" w:eastAsiaTheme="majorEastAsia" w:cstheme="majorEastAsia"/>
        </w:rPr>
      </w:pPr>
      <w:bookmarkStart w:id="20" w:name="_Toc35393795"/>
      <w:bookmarkStart w:id="21" w:name="_Toc35393626"/>
      <w:r>
        <w:rPr>
          <w:rFonts w:hint="eastAsia" w:asciiTheme="majorEastAsia" w:hAnsiTheme="majorEastAsia" w:eastAsiaTheme="majorEastAsia" w:cstheme="majorEastAsia"/>
        </w:rPr>
        <w:t>六、其他补充事宜</w:t>
      </w:r>
      <w:bookmarkEnd w:id="20"/>
      <w:bookmarkEnd w:id="21"/>
    </w:p>
    <w:p w14:paraId="14DB5AEC">
      <w:pPr>
        <w:pageBreakBefore w:val="0"/>
        <w:kinsoku/>
        <w:wordWrap/>
        <w:overflowPunct/>
        <w:topLinePunct w:val="0"/>
        <w:autoSpaceDE/>
        <w:autoSpaceDN/>
        <w:bidi w:val="0"/>
        <w:spacing w:line="480" w:lineRule="exact"/>
        <w:ind w:firstLine="480" w:firstLineChars="200"/>
        <w:textAlignment w:val="auto"/>
        <w:rPr>
          <w:rFonts w:ascii="仿宋_GB2312" w:hAnsi="仿宋" w:eastAsia="仿宋_GB2312"/>
          <w:sz w:val="24"/>
        </w:rPr>
      </w:pPr>
      <w:bookmarkStart w:id="22" w:name="_Toc35393796"/>
      <w:bookmarkStart w:id="23" w:name="_Toc35393627"/>
      <w:bookmarkStart w:id="24" w:name="_Toc28359085"/>
      <w:bookmarkStart w:id="25" w:name="_Toc28359008"/>
      <w:r>
        <w:rPr>
          <w:rFonts w:hint="eastAsia"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BECE036">
      <w:pPr>
        <w:pageBreakBefore w:val="0"/>
        <w:kinsoku/>
        <w:wordWrap/>
        <w:overflowPunct/>
        <w:topLinePunct w:val="0"/>
        <w:autoSpaceDE/>
        <w:autoSpaceDN/>
        <w:bidi w:val="0"/>
        <w:spacing w:line="480" w:lineRule="exact"/>
        <w:ind w:firstLine="480" w:firstLineChars="200"/>
        <w:textAlignment w:val="auto"/>
        <w:rPr>
          <w:rFonts w:ascii="仿宋_GB2312" w:hAnsi="仿宋" w:eastAsia="仿宋_GB2312"/>
          <w:sz w:val="24"/>
          <w:highlight w:val="none"/>
        </w:rPr>
      </w:pPr>
      <w:r>
        <w:rPr>
          <w:rFonts w:hint="eastAsia"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w:t>
      </w:r>
      <w:r>
        <w:rPr>
          <w:rFonts w:hint="eastAsia" w:ascii="仿宋_GB2312" w:hAnsi="仿宋" w:eastAsia="仿宋_GB2312"/>
          <w:sz w:val="24"/>
          <w:highlight w:val="none"/>
        </w:rPr>
        <w:t xml:space="preserve">投诉-质疑列表。质疑供应商对在线质疑答复不满意的，可在线提起投诉，路径为：浙江政府服务网-政府采购投诉处理-在线办理。    </w:t>
      </w:r>
    </w:p>
    <w:p w14:paraId="4E5A5557">
      <w:pPr>
        <w:pageBreakBefore w:val="0"/>
        <w:kinsoku/>
        <w:wordWrap/>
        <w:overflowPunct/>
        <w:topLinePunct w:val="0"/>
        <w:autoSpaceDE/>
        <w:autoSpaceDN/>
        <w:bidi w:val="0"/>
        <w:spacing w:line="480" w:lineRule="exact"/>
        <w:ind w:firstLine="480" w:firstLineChars="200"/>
        <w:textAlignment w:val="auto"/>
        <w:rPr>
          <w:rFonts w:ascii="仿宋_GB2312" w:hAnsi="仿宋" w:eastAsia="仿宋_GB2312"/>
          <w:sz w:val="24"/>
        </w:rPr>
      </w:pPr>
      <w:r>
        <w:rPr>
          <w:rFonts w:hint="eastAsia" w:ascii="仿宋_GB2312" w:hAnsi="仿宋" w:eastAsia="仿宋_GB2312"/>
          <w:sz w:val="24"/>
          <w:highlight w:val="none"/>
        </w:rPr>
        <w:t>3.供应商认为</w:t>
      </w:r>
      <w:r>
        <w:rPr>
          <w:rFonts w:hint="eastAsia" w:ascii="仿宋_GB2312" w:hAnsi="仿宋" w:eastAsia="仿宋_GB2312"/>
          <w:sz w:val="24"/>
          <w:highlight w:val="none"/>
          <w:lang w:val="en-US" w:eastAsia="zh-CN"/>
        </w:rPr>
        <w:t>征集</w:t>
      </w:r>
      <w:r>
        <w:rPr>
          <w:rFonts w:hint="eastAsia" w:ascii="仿宋_GB2312" w:hAnsi="仿宋" w:eastAsia="仿宋_GB2312"/>
          <w:sz w:val="24"/>
          <w:highlight w:val="none"/>
        </w:rPr>
        <w:t>文件使自己的权益受到损害的，可以自获取</w:t>
      </w:r>
      <w:r>
        <w:rPr>
          <w:rFonts w:hint="eastAsia" w:ascii="仿宋_GB2312" w:hAnsi="仿宋" w:eastAsia="仿宋_GB2312"/>
          <w:sz w:val="24"/>
          <w:highlight w:val="none"/>
          <w:lang w:val="en-US" w:eastAsia="zh-CN"/>
        </w:rPr>
        <w:t>征集</w:t>
      </w:r>
      <w:r>
        <w:rPr>
          <w:rFonts w:hint="eastAsia" w:ascii="仿宋_GB2312" w:hAnsi="仿宋" w:eastAsia="仿宋_GB2312"/>
          <w:sz w:val="24"/>
          <w:highlight w:val="none"/>
        </w:rPr>
        <w:t>文件之日或者</w:t>
      </w:r>
      <w:r>
        <w:rPr>
          <w:rFonts w:hint="default" w:ascii="仿宋_GB2312" w:hAnsi="仿宋" w:eastAsia="仿宋_GB2312"/>
          <w:sz w:val="24"/>
          <w:highlight w:val="none"/>
          <w:lang w:val="en-US"/>
        </w:rPr>
        <w:t>采购</w:t>
      </w:r>
      <w:r>
        <w:rPr>
          <w:rFonts w:hint="eastAsia" w:ascii="仿宋_GB2312" w:hAnsi="仿宋" w:eastAsia="仿宋_GB2312"/>
          <w:sz w:val="24"/>
          <w:highlight w:val="none"/>
        </w:rPr>
        <w:t>公告期限届满之日（公告期限届满后获取</w:t>
      </w:r>
      <w:r>
        <w:rPr>
          <w:rFonts w:hint="eastAsia" w:ascii="仿宋_GB2312" w:hAnsi="仿宋" w:eastAsia="仿宋_GB2312"/>
          <w:sz w:val="24"/>
          <w:highlight w:val="none"/>
          <w:lang w:val="en-US" w:eastAsia="zh-CN"/>
        </w:rPr>
        <w:t>征集</w:t>
      </w:r>
      <w:r>
        <w:rPr>
          <w:rFonts w:hint="eastAsia" w:ascii="仿宋_GB2312" w:hAnsi="仿宋" w:eastAsia="仿宋_GB2312"/>
          <w:sz w:val="24"/>
          <w:highlight w:val="none"/>
        </w:rPr>
        <w:t>文件的，以公告期限届满之日为准）起7个工作日内，对</w:t>
      </w:r>
      <w:r>
        <w:rPr>
          <w:rFonts w:hint="eastAsia" w:ascii="仿宋_GB2312" w:hAnsi="仿宋" w:eastAsia="仿宋_GB2312"/>
          <w:sz w:val="24"/>
          <w:highlight w:val="none"/>
          <w:lang w:val="en-US" w:eastAsia="zh-CN"/>
        </w:rPr>
        <w:t>征集</w:t>
      </w:r>
      <w:r>
        <w:rPr>
          <w:rFonts w:hint="eastAsia" w:ascii="仿宋_GB2312" w:hAnsi="仿宋" w:eastAsia="仿宋_GB2312"/>
          <w:sz w:val="24"/>
          <w:highlight w:val="none"/>
        </w:rPr>
        <w:t>文件需求的以书面形式向采购人提出质疑，对其他内容的</w:t>
      </w:r>
      <w:r>
        <w:rPr>
          <w:rFonts w:hint="eastAsia" w:ascii="仿宋_GB2312" w:hAnsi="仿宋" w:eastAsia="仿宋_GB2312"/>
          <w:sz w:val="24"/>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6E366F">
      <w:pPr>
        <w:pageBreakBefore w:val="0"/>
        <w:kinsoku/>
        <w:wordWrap/>
        <w:overflowPunct/>
        <w:topLinePunct w:val="0"/>
        <w:autoSpaceDE/>
        <w:autoSpaceDN/>
        <w:bidi w:val="0"/>
        <w:spacing w:line="480" w:lineRule="exact"/>
        <w:ind w:firstLine="480" w:firstLineChars="200"/>
        <w:textAlignment w:val="auto"/>
        <w:rPr>
          <w:rFonts w:ascii="仿宋" w:hAnsi="仿宋" w:eastAsia="仿宋" w:cs="仿宋_GB2312"/>
          <w:sz w:val="24"/>
        </w:rPr>
      </w:pPr>
      <w:r>
        <w:rPr>
          <w:rFonts w:hint="eastAsia" w:ascii="仿宋_GB2312" w:hAnsi="仿宋" w:eastAsia="仿宋_GB2312"/>
          <w:sz w:val="24"/>
        </w:rPr>
        <w:t>4.其他事项：</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w:t>
      </w:r>
      <w:r>
        <w:rPr>
          <w:rFonts w:hint="eastAsia" w:ascii="仿宋_GB2312" w:hAnsi="仿宋" w:eastAsia="仿宋_GB2312" w:cs="仿宋_GB2312"/>
          <w:sz w:val="24"/>
          <w:lang w:eastAsia="zh-CN"/>
        </w:rPr>
        <w:t>响应文件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hint="eastAsia" w:ascii="仿宋_GB2312" w:hAnsi="仿宋" w:eastAsia="仿宋_GB2312" w:cs="仿宋_GB2312"/>
          <w:sz w:val="24"/>
          <w:lang w:eastAsia="zh-CN"/>
        </w:rPr>
        <w:t>征集文件</w:t>
      </w:r>
      <w:r>
        <w:rPr>
          <w:rFonts w:ascii="仿宋_GB2312" w:hAnsi="仿宋" w:eastAsia="仿宋_GB2312" w:cs="仿宋_GB2312"/>
          <w:sz w:val="24"/>
        </w:rPr>
        <w:t>的获取：使用账号登录或者使用CA登录政</w:t>
      </w:r>
      <w:r>
        <w:rPr>
          <w:rFonts w:hint="eastAsia" w:ascii="仿宋_GB2312" w:hAnsi="仿宋" w:eastAsia="仿宋_GB2312" w:cs="仿宋_GB2312"/>
          <w:sz w:val="24"/>
        </w:rPr>
        <w:t>采云平台；进入“项目采购”应用，在获取采购文件菜单中选择项目，获取</w:t>
      </w:r>
      <w:r>
        <w:rPr>
          <w:rFonts w:hint="eastAsia" w:ascii="仿宋_GB2312" w:hAnsi="仿宋" w:eastAsia="仿宋_GB2312" w:cs="仿宋_GB2312"/>
          <w:sz w:val="24"/>
          <w:lang w:eastAsia="zh-CN"/>
        </w:rPr>
        <w:t>征集文件</w:t>
      </w:r>
      <w:r>
        <w:rPr>
          <w:rFonts w:hint="eastAsia" w:ascii="仿宋_GB2312" w:hAnsi="仿宋" w:eastAsia="仿宋_GB2312" w:cs="仿宋_GB2312"/>
          <w:sz w:val="24"/>
        </w:rPr>
        <w:t>；④</w:t>
      </w:r>
      <w:r>
        <w:rPr>
          <w:rFonts w:hint="eastAsia" w:ascii="仿宋_GB2312" w:hAnsi="仿宋" w:eastAsia="仿宋_GB2312" w:cs="仿宋_GB2312"/>
          <w:sz w:val="24"/>
          <w:lang w:eastAsia="zh-CN"/>
        </w:rPr>
        <w:t>响应文件</w:t>
      </w:r>
      <w:r>
        <w:rPr>
          <w:rFonts w:ascii="仿宋_GB2312" w:hAnsi="仿宋" w:eastAsia="仿宋_GB2312" w:cs="仿宋_GB2312"/>
          <w:sz w:val="24"/>
        </w:rPr>
        <w:t>的制作：在“政</w:t>
      </w:r>
      <w:r>
        <w:rPr>
          <w:rFonts w:hint="eastAsia" w:ascii="仿宋_GB2312" w:hAnsi="仿宋" w:eastAsia="仿宋_GB2312" w:cs="仿宋_GB2312"/>
          <w:sz w:val="24"/>
        </w:rPr>
        <w:t>采云电子交易客户端”中完成“填写基本信息”、“导入</w:t>
      </w:r>
      <w:r>
        <w:rPr>
          <w:rFonts w:hint="eastAsia" w:ascii="仿宋_GB2312" w:hAnsi="仿宋" w:eastAsia="仿宋_GB2312" w:cs="仿宋_GB2312"/>
          <w:sz w:val="24"/>
          <w:lang w:eastAsia="zh-CN"/>
        </w:rPr>
        <w:t>响应文件</w:t>
      </w:r>
      <w:r>
        <w:rPr>
          <w:rFonts w:hint="eastAsia" w:ascii="仿宋_GB2312" w:hAnsi="仿宋" w:eastAsia="仿宋_GB2312" w:cs="仿宋_GB2312"/>
          <w:sz w:val="24"/>
        </w:rPr>
        <w:t>”、“标书关联”、“标书检查”、“电子签名”、“生成电子标书”等操作；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w:t>
      </w:r>
      <w:r>
        <w:rPr>
          <w:rFonts w:hint="eastAsia" w:ascii="仿宋_GB2312" w:hAnsi="仿宋" w:eastAsia="仿宋_GB2312"/>
          <w:sz w:val="24"/>
          <w:lang w:eastAsia="zh-CN"/>
        </w:rPr>
        <w:t>征集文件</w:t>
      </w:r>
      <w:r>
        <w:rPr>
          <w:rFonts w:hint="eastAsia" w:ascii="仿宋_GB2312" w:hAnsi="仿宋" w:eastAsia="仿宋_GB2312"/>
          <w:sz w:val="24"/>
        </w:rPr>
        <w:t>的供应商进行投标活动；⑥</w:t>
      </w:r>
      <w:r>
        <w:rPr>
          <w:rFonts w:ascii="仿宋_GB2312" w:hAnsi="仿宋" w:eastAsia="仿宋_GB2312"/>
          <w:sz w:val="24"/>
        </w:rPr>
        <w:t>对未按上述方式获取</w:t>
      </w:r>
      <w:r>
        <w:rPr>
          <w:rFonts w:hint="eastAsia" w:ascii="仿宋_GB2312" w:hAnsi="仿宋" w:eastAsia="仿宋_GB2312"/>
          <w:sz w:val="24"/>
          <w:lang w:eastAsia="zh-CN"/>
        </w:rPr>
        <w:t>征集文件</w:t>
      </w:r>
      <w:r>
        <w:rPr>
          <w:rFonts w:ascii="仿宋_GB2312" w:hAnsi="仿宋" w:eastAsia="仿宋_GB2312"/>
          <w:sz w:val="24"/>
        </w:rPr>
        <w:t>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w:t>
      </w:r>
      <w:r>
        <w:rPr>
          <w:rFonts w:hint="eastAsia" w:ascii="仿宋_GB2312" w:hAnsi="仿宋" w:eastAsia="仿宋_GB2312"/>
          <w:sz w:val="24"/>
          <w:lang w:eastAsia="zh-CN"/>
        </w:rPr>
        <w:t>征集文件</w:t>
      </w:r>
      <w:r>
        <w:rPr>
          <w:rFonts w:ascii="仿宋_GB2312" w:hAnsi="仿宋" w:eastAsia="仿宋_GB2312"/>
          <w:sz w:val="24"/>
        </w:rPr>
        <w:t>纸质版</w:t>
      </w:r>
      <w:r>
        <w:rPr>
          <w:rFonts w:hint="eastAsia" w:ascii="仿宋_GB2312" w:hAnsi="仿宋" w:eastAsia="仿宋_GB2312"/>
          <w:sz w:val="24"/>
        </w:rPr>
        <w:t>；</w:t>
      </w:r>
      <w:r>
        <w:rPr>
          <w:rFonts w:hint="eastAsia" w:ascii="仿宋_GB2312" w:hAnsi="仿宋" w:eastAsia="仿宋_GB2312" w:cs="仿宋_GB2312"/>
          <w:sz w:val="24"/>
        </w:rPr>
        <w:t>⑧</w:t>
      </w:r>
      <w:r>
        <w:rPr>
          <w:rFonts w:hint="eastAsia" w:ascii="仿宋_GB2312" w:hAnsi="仿宋" w:eastAsia="仿宋_GB2312" w:cs="仿宋_GB2312"/>
          <w:sz w:val="24"/>
          <w:lang w:eastAsia="zh-CN"/>
        </w:rPr>
        <w:t>响应文件</w:t>
      </w:r>
      <w:r>
        <w:rPr>
          <w:rFonts w:ascii="仿宋_GB2312" w:hAnsi="仿宋" w:eastAsia="仿宋_GB2312" w:cs="仿宋_GB2312"/>
          <w:sz w:val="24"/>
        </w:rPr>
        <w:t>的传输递交：</w:t>
      </w:r>
      <w:r>
        <w:rPr>
          <w:rFonts w:hint="eastAsia" w:ascii="仿宋_GB2312" w:hAnsi="仿宋" w:eastAsia="仿宋_GB2312" w:cs="仿宋_GB2312"/>
          <w:sz w:val="24"/>
          <w:lang w:eastAsia="zh-CN"/>
        </w:rPr>
        <w:t>供应商</w:t>
      </w:r>
      <w:r>
        <w:rPr>
          <w:rFonts w:ascii="仿宋_GB2312" w:hAnsi="仿宋" w:eastAsia="仿宋_GB2312" w:cs="仿宋_GB2312"/>
          <w:sz w:val="24"/>
        </w:rPr>
        <w:t>在投标截止时间前将加密的</w:t>
      </w:r>
      <w:r>
        <w:rPr>
          <w:rFonts w:hint="eastAsia" w:ascii="仿宋_GB2312" w:hAnsi="仿宋" w:eastAsia="仿宋_GB2312" w:cs="仿宋_GB2312"/>
          <w:sz w:val="24"/>
          <w:lang w:eastAsia="zh-CN"/>
        </w:rPr>
        <w:t>响应文件</w:t>
      </w:r>
      <w:r>
        <w:rPr>
          <w:rFonts w:ascii="仿宋_GB2312" w:hAnsi="仿宋" w:eastAsia="仿宋_GB2312" w:cs="仿宋_GB2312"/>
          <w:sz w:val="24"/>
        </w:rPr>
        <w:t>上传至政府采购云平台，还可以在投标截止时间前直接提交或者以邮政快递方式递交备份</w:t>
      </w:r>
      <w:r>
        <w:rPr>
          <w:rFonts w:hint="eastAsia" w:ascii="仿宋_GB2312" w:hAnsi="仿宋" w:eastAsia="仿宋_GB2312" w:cs="仿宋_GB2312"/>
          <w:sz w:val="24"/>
          <w:lang w:eastAsia="zh-CN"/>
        </w:rPr>
        <w:t>响应文件</w:t>
      </w:r>
      <w:r>
        <w:rPr>
          <w:rFonts w:ascii="仿宋_GB2312" w:hAnsi="仿宋" w:eastAsia="仿宋_GB2312" w:cs="仿宋_GB2312"/>
          <w:sz w:val="24"/>
        </w:rPr>
        <w:t>1份</w:t>
      </w:r>
      <w:r>
        <w:rPr>
          <w:rFonts w:hint="eastAsia" w:ascii="仿宋_GB2312" w:hAnsi="仿宋" w:eastAsia="仿宋_GB2312" w:cs="仿宋_GB2312"/>
          <w:sz w:val="24"/>
        </w:rPr>
        <w:t>【地址：</w:t>
      </w:r>
      <w:r>
        <w:rPr>
          <w:rFonts w:hint="eastAsia" w:ascii="仿宋_GB2312" w:hAnsi="仿宋" w:eastAsia="仿宋_GB2312"/>
          <w:sz w:val="24"/>
        </w:rPr>
        <w:t>嘉善县大云镇创业路388号云帆大厦（嘉善县政务服务中心三楼嘉善县公共资源交易中心）；收件人：李先生</w:t>
      </w:r>
      <w:r>
        <w:rPr>
          <w:rFonts w:hint="eastAsia" w:ascii="仿宋_GB2312" w:hAnsi="仿宋" w:eastAsia="仿宋_GB2312" w:cs="仿宋_GB2312"/>
          <w:sz w:val="24"/>
        </w:rPr>
        <w:t>；电话：0573-84129502；快递寄出同时，项目被授权代表须以邮件方式将快递单号、项目名称、公司名称、被授权代表姓名及联系方式等内容（邮件格式为：项目编号+快递单号+公司名称+被授权代表姓名及联系方式）发送至集中采购机构联系人邮箱(</w:t>
      </w:r>
      <w:r>
        <w:rPr>
          <w:rFonts w:hint="default" w:ascii="仿宋_GB2312" w:hAnsi="仿宋" w:eastAsia="仿宋_GB2312" w:cs="仿宋_GB2312"/>
          <w:sz w:val="24"/>
          <w:lang w:val="en"/>
        </w:rPr>
        <w:t>635948626</w:t>
      </w:r>
      <w:r>
        <w:rPr>
          <w:rFonts w:hint="eastAsia" w:ascii="仿宋_GB2312" w:hAnsi="仿宋" w:eastAsia="仿宋_GB2312" w:cs="仿宋_GB2312"/>
          <w:sz w:val="24"/>
        </w:rPr>
        <w:t>@qq.com)。如供应商选择快递费到付，集中采购机构将拒签。】</w:t>
      </w:r>
      <w:r>
        <w:rPr>
          <w:rFonts w:ascii="仿宋_GB2312" w:hAnsi="仿宋" w:eastAsia="仿宋_GB2312" w:cs="仿宋_GB2312"/>
          <w:sz w:val="24"/>
        </w:rPr>
        <w:t>备份</w:t>
      </w:r>
      <w:r>
        <w:rPr>
          <w:rFonts w:hint="eastAsia" w:ascii="仿宋_GB2312" w:hAnsi="仿宋" w:eastAsia="仿宋_GB2312" w:cs="仿宋_GB2312"/>
          <w:sz w:val="24"/>
          <w:lang w:eastAsia="zh-CN"/>
        </w:rPr>
        <w:t>响应文件</w:t>
      </w:r>
      <w:r>
        <w:rPr>
          <w:rFonts w:ascii="仿宋_GB2312" w:hAnsi="仿宋" w:eastAsia="仿宋_GB2312" w:cs="仿宋_GB2312"/>
          <w:sz w:val="24"/>
        </w:rPr>
        <w:t>的制作、存储、密封详见</w:t>
      </w:r>
      <w:r>
        <w:rPr>
          <w:rFonts w:hint="eastAsia" w:ascii="仿宋_GB2312" w:hAnsi="仿宋" w:eastAsia="仿宋_GB2312" w:cs="仿宋_GB2312"/>
          <w:sz w:val="24"/>
          <w:lang w:eastAsia="zh-CN"/>
        </w:rPr>
        <w:t>征集文件</w:t>
      </w:r>
      <w:r>
        <w:rPr>
          <w:rFonts w:ascii="仿宋_GB2312" w:hAnsi="仿宋" w:eastAsia="仿宋_GB2312" w:cs="仿宋_GB2312"/>
          <w:sz w:val="24"/>
        </w:rPr>
        <w:t>第</w:t>
      </w:r>
      <w:r>
        <w:rPr>
          <w:rFonts w:hint="eastAsia" w:ascii="仿宋_GB2312" w:hAnsi="仿宋" w:eastAsia="仿宋_GB2312" w:cs="仿宋_GB2312"/>
          <w:sz w:val="24"/>
        </w:rPr>
        <w:t>三章</w:t>
      </w:r>
      <w:r>
        <w:rPr>
          <w:rFonts w:ascii="仿宋_GB2312" w:hAnsi="仿宋" w:eastAsia="仿宋_GB2312" w:cs="仿宋_GB2312"/>
          <w:sz w:val="24"/>
        </w:rPr>
        <w:t>—“备份</w:t>
      </w:r>
      <w:r>
        <w:rPr>
          <w:rFonts w:hint="eastAsia" w:ascii="仿宋_GB2312" w:hAnsi="仿宋" w:eastAsia="仿宋_GB2312" w:cs="仿宋_GB2312"/>
          <w:sz w:val="24"/>
          <w:lang w:eastAsia="zh-CN"/>
        </w:rPr>
        <w:t>响应文件</w:t>
      </w:r>
      <w:r>
        <w:rPr>
          <w:rFonts w:ascii="仿宋_GB2312" w:hAnsi="仿宋" w:eastAsia="仿宋_GB2312" w:cs="仿宋_GB2312"/>
          <w:sz w:val="24"/>
        </w:rPr>
        <w:t>”</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lang w:eastAsia="zh-CN"/>
        </w:rPr>
        <w:t>响应文件</w:t>
      </w:r>
      <w:r>
        <w:rPr>
          <w:rFonts w:hint="eastAsia" w:ascii="仿宋_GB2312" w:hAnsi="仿宋" w:eastAsia="仿宋_GB2312" w:cs="仿宋_GB2312"/>
          <w:sz w:val="24"/>
        </w:rPr>
        <w:t>的解密：</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按照平台提示和</w:t>
      </w:r>
      <w:r>
        <w:rPr>
          <w:rFonts w:hint="eastAsia" w:ascii="仿宋_GB2312" w:hAnsi="仿宋" w:eastAsia="仿宋_GB2312" w:cs="仿宋_GB2312"/>
          <w:sz w:val="24"/>
          <w:lang w:eastAsia="zh-CN"/>
        </w:rPr>
        <w:t>征集文件</w:t>
      </w:r>
      <w:r>
        <w:rPr>
          <w:rFonts w:hint="eastAsia" w:ascii="仿宋_GB2312" w:hAnsi="仿宋" w:eastAsia="仿宋_GB2312" w:cs="仿宋_GB2312"/>
          <w:sz w:val="24"/>
        </w:rPr>
        <w:t>的规定在半小时内完成在线解密。通过“政府采购云平台”上传递交的</w:t>
      </w:r>
      <w:r>
        <w:rPr>
          <w:rFonts w:hint="eastAsia" w:ascii="仿宋_GB2312" w:hAnsi="仿宋" w:eastAsia="仿宋_GB2312" w:cs="仿宋_GB2312"/>
          <w:sz w:val="24"/>
          <w:lang w:eastAsia="zh-CN"/>
        </w:rPr>
        <w:t>响应文件</w:t>
      </w:r>
      <w:r>
        <w:rPr>
          <w:rFonts w:hint="eastAsia" w:ascii="仿宋_GB2312" w:hAnsi="仿宋" w:eastAsia="仿宋_GB2312" w:cs="仿宋_GB2312"/>
          <w:sz w:val="24"/>
        </w:rPr>
        <w:t>无法按时解密，投标供应商递交了备份</w:t>
      </w:r>
      <w:r>
        <w:rPr>
          <w:rFonts w:hint="eastAsia" w:ascii="仿宋_GB2312" w:hAnsi="仿宋" w:eastAsia="仿宋_GB2312" w:cs="仿宋_GB2312"/>
          <w:sz w:val="24"/>
          <w:lang w:eastAsia="zh-CN"/>
        </w:rPr>
        <w:t>响应文件</w:t>
      </w:r>
      <w:r>
        <w:rPr>
          <w:rFonts w:hint="eastAsia" w:ascii="仿宋_GB2312" w:hAnsi="仿宋" w:eastAsia="仿宋_GB2312" w:cs="仿宋_GB2312"/>
          <w:sz w:val="24"/>
        </w:rPr>
        <w:t>的，以备份</w:t>
      </w:r>
      <w:r>
        <w:rPr>
          <w:rFonts w:hint="eastAsia" w:ascii="仿宋_GB2312" w:hAnsi="仿宋" w:eastAsia="仿宋_GB2312" w:cs="仿宋_GB2312"/>
          <w:sz w:val="24"/>
          <w:lang w:eastAsia="zh-CN"/>
        </w:rPr>
        <w:t>响应文件</w:t>
      </w:r>
      <w:r>
        <w:rPr>
          <w:rFonts w:hint="eastAsia" w:ascii="仿宋_GB2312" w:hAnsi="仿宋" w:eastAsia="仿宋_GB2312" w:cs="仿宋_GB2312"/>
          <w:sz w:val="24"/>
        </w:rPr>
        <w:t>为依据，否则视为</w:t>
      </w:r>
      <w:r>
        <w:rPr>
          <w:rFonts w:hint="eastAsia" w:ascii="仿宋_GB2312" w:hAnsi="仿宋" w:eastAsia="仿宋_GB2312" w:cs="仿宋_GB2312"/>
          <w:sz w:val="24"/>
          <w:lang w:eastAsia="zh-CN"/>
        </w:rPr>
        <w:t>响应文件</w:t>
      </w:r>
      <w:r>
        <w:rPr>
          <w:rFonts w:hint="eastAsia" w:ascii="仿宋_GB2312" w:hAnsi="仿宋" w:eastAsia="仿宋_GB2312" w:cs="仿宋_GB2312"/>
          <w:sz w:val="24"/>
        </w:rPr>
        <w:t>撤回。通过“政府采购云平台”上传递交的</w:t>
      </w:r>
      <w:r>
        <w:rPr>
          <w:rFonts w:hint="eastAsia" w:ascii="仿宋_GB2312" w:hAnsi="仿宋" w:eastAsia="仿宋_GB2312" w:cs="仿宋_GB2312"/>
          <w:sz w:val="24"/>
          <w:lang w:eastAsia="zh-CN"/>
        </w:rPr>
        <w:t>响应文件</w:t>
      </w:r>
      <w:r>
        <w:rPr>
          <w:rFonts w:hint="eastAsia" w:ascii="仿宋_GB2312" w:hAnsi="仿宋" w:eastAsia="仿宋_GB2312" w:cs="仿宋_GB2312"/>
          <w:sz w:val="24"/>
        </w:rPr>
        <w:t>已按时解密的，备份</w:t>
      </w:r>
      <w:r>
        <w:rPr>
          <w:rFonts w:hint="eastAsia" w:ascii="仿宋_GB2312" w:hAnsi="仿宋" w:eastAsia="仿宋_GB2312" w:cs="仿宋_GB2312"/>
          <w:sz w:val="24"/>
          <w:lang w:eastAsia="zh-CN"/>
        </w:rPr>
        <w:t>响应文件</w:t>
      </w:r>
      <w:r>
        <w:rPr>
          <w:rFonts w:hint="eastAsia" w:ascii="仿宋_GB2312" w:hAnsi="仿宋" w:eastAsia="仿宋_GB2312" w:cs="仿宋_GB2312"/>
          <w:sz w:val="24"/>
        </w:rPr>
        <w:t>自动失效。</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仅提交备份</w:t>
      </w:r>
      <w:r>
        <w:rPr>
          <w:rFonts w:hint="eastAsia" w:ascii="仿宋_GB2312" w:hAnsi="仿宋" w:eastAsia="仿宋_GB2312" w:cs="仿宋_GB2312"/>
          <w:sz w:val="24"/>
          <w:lang w:eastAsia="zh-CN"/>
        </w:rPr>
        <w:t>响应文件</w:t>
      </w:r>
      <w:r>
        <w:rPr>
          <w:rFonts w:hint="eastAsia" w:ascii="仿宋_GB2312" w:hAnsi="仿宋" w:eastAsia="仿宋_GB2312" w:cs="仿宋_GB2312"/>
          <w:sz w:val="24"/>
        </w:rPr>
        <w:t>，没有在电子交易平台传输递交</w:t>
      </w:r>
      <w:r>
        <w:rPr>
          <w:rFonts w:hint="eastAsia" w:ascii="仿宋_GB2312" w:hAnsi="仿宋" w:eastAsia="仿宋_GB2312" w:cs="仿宋_GB2312"/>
          <w:sz w:val="24"/>
          <w:lang w:eastAsia="zh-CN"/>
        </w:rPr>
        <w:t>响应文件</w:t>
      </w:r>
      <w:r>
        <w:rPr>
          <w:rFonts w:hint="eastAsia" w:ascii="仿宋_GB2312" w:hAnsi="仿宋" w:eastAsia="仿宋_GB2312" w:cs="仿宋_GB2312"/>
          <w:sz w:val="24"/>
        </w:rPr>
        <w:t>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2A6D7CEF">
      <w:pPr>
        <w:pageBreakBefore w:val="0"/>
        <w:kinsoku/>
        <w:wordWrap/>
        <w:overflowPunct/>
        <w:topLinePunct w:val="0"/>
        <w:autoSpaceDE/>
        <w:autoSpaceDN/>
        <w:bidi w:val="0"/>
        <w:adjustRightInd w:val="0"/>
        <w:spacing w:line="480" w:lineRule="exact"/>
        <w:textAlignment w:val="auto"/>
        <w:rPr>
          <w:rFonts w:hint="eastAsia" w:ascii="仿宋_GB2312" w:hAnsi="仿宋" w:eastAsia="仿宋_GB2312" w:cs="Times New Roman"/>
          <w:b/>
          <w:sz w:val="24"/>
        </w:rPr>
      </w:pPr>
      <w:r>
        <w:rPr>
          <w:rFonts w:hint="eastAsia" w:ascii="仿宋_GB2312" w:hAnsi="仿宋" w:eastAsia="仿宋_GB2312" w:cs="Times New Roman"/>
          <w:b/>
          <w:sz w:val="24"/>
        </w:rPr>
        <w:t>七、对本次招标提出询问，请按以下方式联系</w:t>
      </w:r>
      <w:bookmarkEnd w:id="22"/>
      <w:bookmarkEnd w:id="23"/>
      <w:bookmarkEnd w:id="24"/>
      <w:bookmarkEnd w:id="25"/>
    </w:p>
    <w:p w14:paraId="6ECEDAAA">
      <w:pPr>
        <w:pageBreakBefore w:val="0"/>
        <w:kinsoku/>
        <w:wordWrap/>
        <w:overflowPunct/>
        <w:topLinePunct w:val="0"/>
        <w:autoSpaceDE/>
        <w:autoSpaceDN/>
        <w:bidi w:val="0"/>
        <w:spacing w:line="480" w:lineRule="exact"/>
        <w:ind w:firstLine="482" w:firstLineChars="200"/>
        <w:textAlignment w:val="auto"/>
        <w:rPr>
          <w:rFonts w:hint="default" w:ascii="仿宋_GB2312" w:hAnsi="仿宋" w:eastAsia="仿宋_GB2312"/>
          <w:b/>
          <w:bCs/>
          <w:sz w:val="24"/>
          <w:lang w:val="en-US" w:eastAsia="zh-CN"/>
        </w:rPr>
      </w:pPr>
      <w:bookmarkStart w:id="26" w:name="_Toc28359009"/>
      <w:bookmarkStart w:id="27" w:name="_Toc28359086"/>
      <w:r>
        <w:rPr>
          <w:rFonts w:hint="eastAsia" w:ascii="仿宋_GB2312" w:hAnsi="仿宋" w:eastAsia="仿宋_GB2312"/>
          <w:b/>
          <w:bCs/>
          <w:sz w:val="24"/>
          <w:lang w:val="en-US" w:eastAsia="zh-CN"/>
        </w:rPr>
        <w:t>1.征集人信息</w:t>
      </w:r>
    </w:p>
    <w:p w14:paraId="3C9E147D">
      <w:pPr>
        <w:pageBreakBefore w:val="0"/>
        <w:kinsoku/>
        <w:wordWrap/>
        <w:overflowPunct/>
        <w:topLinePunct w:val="0"/>
        <w:autoSpaceDE/>
        <w:autoSpaceDN/>
        <w:bidi w:val="0"/>
        <w:spacing w:line="480" w:lineRule="exact"/>
        <w:ind w:firstLine="480" w:firstLineChars="200"/>
        <w:textAlignment w:val="auto"/>
        <w:rPr>
          <w:rFonts w:hint="eastAsia" w:ascii="仿宋_GB2312" w:hAnsi="仿宋" w:eastAsia="仿宋_GB2312"/>
          <w:sz w:val="24"/>
        </w:rPr>
      </w:pPr>
      <w:r>
        <w:rPr>
          <w:rFonts w:hint="eastAsia" w:ascii="仿宋_GB2312" w:hAnsi="仿宋" w:eastAsia="仿宋_GB2312"/>
          <w:sz w:val="24"/>
        </w:rPr>
        <w:t>名 称：</w:t>
      </w:r>
      <w:r>
        <w:rPr>
          <w:rFonts w:hint="eastAsia" w:ascii="仿宋_GB2312" w:hAnsi="仿宋" w:eastAsia="仿宋_GB2312"/>
          <w:sz w:val="24"/>
          <w:lang w:eastAsia="zh-CN"/>
        </w:rPr>
        <w:t>嘉善县</w:t>
      </w:r>
      <w:r>
        <w:rPr>
          <w:rFonts w:hint="eastAsia" w:ascii="仿宋_GB2312" w:hAnsi="仿宋" w:eastAsia="仿宋_GB2312"/>
          <w:sz w:val="24"/>
        </w:rPr>
        <w:t>公共资源交易中心</w:t>
      </w:r>
    </w:p>
    <w:p w14:paraId="28CD6443">
      <w:pPr>
        <w:pageBreakBefore w:val="0"/>
        <w:kinsoku/>
        <w:wordWrap/>
        <w:overflowPunct/>
        <w:topLinePunct w:val="0"/>
        <w:autoSpaceDE/>
        <w:autoSpaceDN/>
        <w:bidi w:val="0"/>
        <w:spacing w:line="480" w:lineRule="exact"/>
        <w:ind w:firstLine="480" w:firstLineChars="200"/>
        <w:textAlignment w:val="auto"/>
        <w:rPr>
          <w:rFonts w:hint="eastAsia" w:ascii="仿宋_GB2312" w:hAnsi="仿宋" w:eastAsia="仿宋_GB2312"/>
          <w:sz w:val="24"/>
          <w:lang w:val="en-US" w:eastAsia="zh-CN"/>
        </w:rPr>
      </w:pPr>
      <w:r>
        <w:rPr>
          <w:rFonts w:hint="eastAsia" w:ascii="仿宋_GB2312" w:hAnsi="仿宋" w:eastAsia="仿宋_GB2312"/>
          <w:sz w:val="24"/>
        </w:rPr>
        <w:t>项目联系人：</w:t>
      </w:r>
      <w:r>
        <w:rPr>
          <w:rFonts w:hint="eastAsia" w:ascii="仿宋_GB2312" w:hAnsi="仿宋" w:eastAsia="仿宋_GB2312"/>
          <w:sz w:val="24"/>
          <w:lang w:eastAsia="zh-CN"/>
        </w:rPr>
        <w:t>李</w:t>
      </w:r>
      <w:r>
        <w:rPr>
          <w:rFonts w:hint="eastAsia" w:ascii="仿宋_GB2312" w:hAnsi="仿宋" w:eastAsia="仿宋_GB2312"/>
          <w:sz w:val="24"/>
          <w:lang w:val="en-US" w:eastAsia="zh-CN"/>
        </w:rPr>
        <w:t>先生</w:t>
      </w:r>
    </w:p>
    <w:p w14:paraId="13C51571">
      <w:pPr>
        <w:pageBreakBefore w:val="0"/>
        <w:kinsoku/>
        <w:wordWrap/>
        <w:overflowPunct/>
        <w:topLinePunct w:val="0"/>
        <w:autoSpaceDE/>
        <w:autoSpaceDN/>
        <w:bidi w:val="0"/>
        <w:spacing w:line="480" w:lineRule="exact"/>
        <w:ind w:firstLine="480" w:firstLineChars="200"/>
        <w:textAlignment w:val="auto"/>
        <w:rPr>
          <w:rFonts w:hint="eastAsia" w:ascii="仿宋_GB2312" w:hAnsi="仿宋" w:eastAsia="仿宋_GB2312"/>
          <w:sz w:val="24"/>
          <w:lang w:val="en-US" w:eastAsia="zh-CN"/>
        </w:rPr>
      </w:pPr>
      <w:r>
        <w:rPr>
          <w:rFonts w:hint="eastAsia" w:ascii="仿宋_GB2312" w:hAnsi="仿宋" w:eastAsia="仿宋_GB2312"/>
          <w:sz w:val="24"/>
        </w:rPr>
        <w:t>地</w:t>
      </w:r>
      <w:r>
        <w:rPr>
          <w:rFonts w:hint="eastAsia" w:ascii="仿宋_GB2312" w:hAnsi="仿宋" w:eastAsia="仿宋_GB2312"/>
          <w:sz w:val="24"/>
          <w:lang w:val="en-US" w:eastAsia="zh-CN"/>
        </w:rPr>
        <w:t xml:space="preserve"> </w:t>
      </w:r>
      <w:r>
        <w:rPr>
          <w:rFonts w:hint="eastAsia" w:ascii="仿宋_GB2312" w:hAnsi="仿宋" w:eastAsia="仿宋_GB2312"/>
          <w:sz w:val="24"/>
        </w:rPr>
        <w:t>址：</w:t>
      </w:r>
      <w:r>
        <w:rPr>
          <w:rFonts w:hint="eastAsia" w:ascii="仿宋_GB2312" w:hAnsi="仿宋" w:eastAsia="仿宋_GB2312"/>
          <w:sz w:val="24"/>
          <w:lang w:eastAsia="zh-CN"/>
        </w:rPr>
        <w:t>嘉善县大云镇创业路388号云帆大厦</w:t>
      </w:r>
    </w:p>
    <w:p w14:paraId="3EEB677B">
      <w:pPr>
        <w:pageBreakBefore w:val="0"/>
        <w:kinsoku/>
        <w:wordWrap/>
        <w:overflowPunct/>
        <w:topLinePunct w:val="0"/>
        <w:autoSpaceDE/>
        <w:autoSpaceDN/>
        <w:bidi w:val="0"/>
        <w:spacing w:line="480" w:lineRule="exact"/>
        <w:ind w:firstLine="480" w:firstLineChars="200"/>
        <w:textAlignment w:val="auto"/>
        <w:rPr>
          <w:rFonts w:hint="default" w:ascii="仿宋_GB2312" w:hAnsi="仿宋" w:eastAsia="仿宋_GB2312"/>
          <w:sz w:val="24"/>
          <w:lang w:val="en-US" w:eastAsia="zh-CN"/>
        </w:rPr>
      </w:pPr>
      <w:r>
        <w:rPr>
          <w:rFonts w:hint="eastAsia" w:ascii="仿宋_GB2312" w:hAnsi="仿宋" w:eastAsia="仿宋_GB2312"/>
          <w:sz w:val="24"/>
        </w:rPr>
        <w:t>联系方式：</w:t>
      </w:r>
      <w:r>
        <w:rPr>
          <w:rFonts w:hint="eastAsia" w:ascii="仿宋_GB2312" w:hAnsi="仿宋" w:eastAsia="仿宋_GB2312"/>
          <w:sz w:val="24"/>
          <w:lang w:eastAsia="zh-CN"/>
        </w:rPr>
        <w:t>0573-8</w:t>
      </w:r>
      <w:r>
        <w:rPr>
          <w:rFonts w:hint="eastAsia" w:ascii="仿宋_GB2312" w:hAnsi="仿宋" w:eastAsia="仿宋_GB2312"/>
          <w:sz w:val="24"/>
          <w:lang w:val="en-US" w:eastAsia="zh-CN"/>
        </w:rPr>
        <w:t>4129502</w:t>
      </w:r>
    </w:p>
    <w:p w14:paraId="6228FD21">
      <w:pPr>
        <w:pageBreakBefore w:val="0"/>
        <w:kinsoku/>
        <w:wordWrap/>
        <w:overflowPunct/>
        <w:topLinePunct w:val="0"/>
        <w:autoSpaceDE/>
        <w:autoSpaceDN/>
        <w:bidi w:val="0"/>
        <w:spacing w:line="480" w:lineRule="exact"/>
        <w:ind w:firstLine="480" w:firstLineChars="200"/>
        <w:textAlignment w:val="auto"/>
        <w:rPr>
          <w:rFonts w:hint="eastAsia" w:ascii="仿宋_GB2312" w:hAnsi="仿宋" w:eastAsia="仿宋_GB2312"/>
          <w:sz w:val="24"/>
        </w:rPr>
      </w:pPr>
      <w:r>
        <w:rPr>
          <w:rFonts w:hint="eastAsia" w:ascii="仿宋_GB2312" w:hAnsi="仿宋" w:eastAsia="仿宋_GB2312"/>
          <w:sz w:val="24"/>
        </w:rPr>
        <w:t>传</w:t>
      </w:r>
      <w:r>
        <w:rPr>
          <w:rFonts w:hint="eastAsia" w:ascii="仿宋_GB2312" w:hAnsi="仿宋" w:eastAsia="仿宋_GB2312"/>
          <w:sz w:val="24"/>
          <w:lang w:val="en-US" w:eastAsia="zh-CN"/>
        </w:rPr>
        <w:t xml:space="preserve"> </w:t>
      </w:r>
      <w:r>
        <w:rPr>
          <w:rFonts w:hint="eastAsia" w:ascii="仿宋_GB2312" w:hAnsi="仿宋" w:eastAsia="仿宋_GB2312"/>
          <w:sz w:val="24"/>
        </w:rPr>
        <w:t>真：/</w:t>
      </w:r>
    </w:p>
    <w:p w14:paraId="17FFD4AD">
      <w:pPr>
        <w:pageBreakBefore w:val="0"/>
        <w:kinsoku/>
        <w:wordWrap/>
        <w:overflowPunct/>
        <w:topLinePunct w:val="0"/>
        <w:autoSpaceDE/>
        <w:autoSpaceDN/>
        <w:bidi w:val="0"/>
        <w:spacing w:line="480" w:lineRule="exact"/>
        <w:ind w:firstLine="480" w:firstLineChars="200"/>
        <w:textAlignment w:val="auto"/>
        <w:rPr>
          <w:rFonts w:hint="default" w:ascii="仿宋_GB2312" w:hAnsi="仿宋" w:eastAsia="仿宋_GB2312"/>
          <w:sz w:val="24"/>
          <w:lang w:val="en-US" w:eastAsia="zh-CN"/>
        </w:rPr>
      </w:pPr>
      <w:r>
        <w:rPr>
          <w:rFonts w:hint="eastAsia" w:ascii="仿宋_GB2312" w:hAnsi="仿宋" w:eastAsia="仿宋_GB2312"/>
          <w:sz w:val="24"/>
        </w:rPr>
        <w:t>质疑联系人：</w:t>
      </w:r>
      <w:r>
        <w:rPr>
          <w:rFonts w:hint="eastAsia" w:ascii="仿宋_GB2312" w:hAnsi="仿宋" w:eastAsia="仿宋_GB2312"/>
          <w:sz w:val="24"/>
          <w:lang w:val="en-US" w:eastAsia="zh-CN"/>
        </w:rPr>
        <w:t>王先生</w:t>
      </w:r>
    </w:p>
    <w:p w14:paraId="06CB7B9F">
      <w:pPr>
        <w:pageBreakBefore w:val="0"/>
        <w:kinsoku/>
        <w:wordWrap/>
        <w:overflowPunct/>
        <w:topLinePunct w:val="0"/>
        <w:autoSpaceDE/>
        <w:autoSpaceDN/>
        <w:bidi w:val="0"/>
        <w:spacing w:line="480" w:lineRule="exact"/>
        <w:ind w:firstLine="480" w:firstLineChars="200"/>
        <w:textAlignment w:val="auto"/>
        <w:rPr>
          <w:rFonts w:hint="eastAsia" w:ascii="仿宋_GB2312" w:hAnsi="仿宋" w:eastAsia="仿宋_GB2312"/>
          <w:sz w:val="24"/>
          <w:lang w:val="en-US" w:eastAsia="zh-CN"/>
        </w:rPr>
      </w:pPr>
      <w:r>
        <w:rPr>
          <w:rFonts w:hint="eastAsia" w:ascii="仿宋_GB2312" w:hAnsi="仿宋" w:eastAsia="仿宋_GB2312"/>
          <w:sz w:val="24"/>
        </w:rPr>
        <w:t>联系方式：0573-8</w:t>
      </w:r>
      <w:r>
        <w:rPr>
          <w:rFonts w:hint="eastAsia" w:ascii="仿宋_GB2312" w:hAnsi="仿宋" w:eastAsia="仿宋_GB2312"/>
          <w:sz w:val="24"/>
          <w:lang w:val="en-US" w:eastAsia="zh-CN"/>
        </w:rPr>
        <w:t>4129393</w:t>
      </w:r>
    </w:p>
    <w:bookmarkEnd w:id="26"/>
    <w:bookmarkEnd w:id="27"/>
    <w:p w14:paraId="0A3A2DCA">
      <w:pPr>
        <w:pageBreakBefore w:val="0"/>
        <w:kinsoku/>
        <w:wordWrap/>
        <w:overflowPunct/>
        <w:topLinePunct w:val="0"/>
        <w:autoSpaceDE/>
        <w:autoSpaceDN/>
        <w:bidi w:val="0"/>
        <w:spacing w:line="480" w:lineRule="exact"/>
        <w:ind w:firstLine="482" w:firstLineChars="200"/>
        <w:textAlignment w:val="auto"/>
        <w:rPr>
          <w:rFonts w:hint="eastAsia" w:ascii="仿宋_GB2312" w:hAnsi="仿宋" w:eastAsia="仿宋_GB2312"/>
          <w:b/>
          <w:bCs/>
          <w:sz w:val="24"/>
        </w:rPr>
      </w:pPr>
      <w:r>
        <w:rPr>
          <w:rFonts w:hint="eastAsia" w:ascii="仿宋_GB2312" w:hAnsi="仿宋" w:eastAsia="仿宋_GB2312"/>
          <w:b/>
          <w:bCs/>
          <w:sz w:val="24"/>
          <w:lang w:val="en-US" w:eastAsia="zh-CN"/>
        </w:rPr>
        <w:t>2.</w:t>
      </w:r>
      <w:r>
        <w:rPr>
          <w:rFonts w:hint="eastAsia" w:ascii="仿宋_GB2312" w:hAnsi="仿宋" w:eastAsia="仿宋_GB2312"/>
          <w:b/>
          <w:bCs/>
          <w:sz w:val="24"/>
        </w:rPr>
        <w:t>同级政府采购监督管理部门</w:t>
      </w:r>
    </w:p>
    <w:p w14:paraId="6B958D6A">
      <w:pPr>
        <w:pageBreakBefore w:val="0"/>
        <w:kinsoku/>
        <w:wordWrap/>
        <w:overflowPunct/>
        <w:topLinePunct w:val="0"/>
        <w:autoSpaceDE/>
        <w:autoSpaceDN/>
        <w:bidi w:val="0"/>
        <w:spacing w:line="480" w:lineRule="exact"/>
        <w:ind w:firstLine="480" w:firstLineChars="200"/>
        <w:textAlignment w:val="auto"/>
        <w:rPr>
          <w:rFonts w:hint="eastAsia" w:ascii="仿宋_GB2312" w:hAnsi="仿宋" w:eastAsia="仿宋_GB2312"/>
          <w:sz w:val="24"/>
        </w:rPr>
      </w:pPr>
      <w:r>
        <w:rPr>
          <w:rFonts w:hint="eastAsia" w:ascii="仿宋_GB2312" w:hAnsi="仿宋" w:eastAsia="仿宋_GB2312"/>
          <w:sz w:val="24"/>
        </w:rPr>
        <w:t>政府采购行政监管及投诉受理部门：</w:t>
      </w:r>
      <w:r>
        <w:rPr>
          <w:rFonts w:hint="eastAsia" w:ascii="仿宋_GB2312" w:hAnsi="仿宋" w:eastAsia="仿宋_GB2312"/>
          <w:sz w:val="24"/>
          <w:lang w:eastAsia="zh-CN"/>
        </w:rPr>
        <w:t>嘉善县</w:t>
      </w:r>
      <w:r>
        <w:rPr>
          <w:rFonts w:hint="eastAsia" w:ascii="仿宋_GB2312" w:hAnsi="仿宋" w:eastAsia="仿宋_GB2312"/>
          <w:sz w:val="24"/>
        </w:rPr>
        <w:t>财政局</w:t>
      </w:r>
    </w:p>
    <w:p w14:paraId="0EC2662A">
      <w:pPr>
        <w:pageBreakBefore w:val="0"/>
        <w:kinsoku/>
        <w:wordWrap/>
        <w:overflowPunct/>
        <w:topLinePunct w:val="0"/>
        <w:autoSpaceDE/>
        <w:autoSpaceDN/>
        <w:bidi w:val="0"/>
        <w:spacing w:line="480" w:lineRule="exact"/>
        <w:ind w:firstLine="480" w:firstLineChars="200"/>
        <w:textAlignment w:val="auto"/>
        <w:rPr>
          <w:rFonts w:hint="eastAsia" w:ascii="仿宋_GB2312" w:hAnsi="仿宋" w:eastAsia="仿宋_GB2312"/>
          <w:sz w:val="24"/>
          <w:lang w:eastAsia="zh-CN"/>
        </w:rPr>
      </w:pPr>
      <w:r>
        <w:rPr>
          <w:rFonts w:hint="eastAsia" w:ascii="仿宋_GB2312" w:hAnsi="仿宋" w:eastAsia="仿宋_GB2312"/>
          <w:sz w:val="24"/>
        </w:rPr>
        <w:t>联系人：</w:t>
      </w:r>
      <w:r>
        <w:rPr>
          <w:rFonts w:hint="eastAsia" w:ascii="仿宋_GB2312" w:hAnsi="仿宋" w:eastAsia="仿宋_GB2312"/>
          <w:sz w:val="24"/>
          <w:lang w:eastAsia="zh-CN"/>
        </w:rPr>
        <w:t>刘先生</w:t>
      </w:r>
    </w:p>
    <w:p w14:paraId="55D4C9E5">
      <w:pPr>
        <w:pageBreakBefore w:val="0"/>
        <w:kinsoku/>
        <w:wordWrap/>
        <w:overflowPunct/>
        <w:topLinePunct w:val="0"/>
        <w:autoSpaceDE/>
        <w:autoSpaceDN/>
        <w:bidi w:val="0"/>
        <w:spacing w:line="480" w:lineRule="exact"/>
        <w:ind w:firstLine="480" w:firstLineChars="200"/>
        <w:textAlignment w:val="auto"/>
        <w:rPr>
          <w:rFonts w:hint="default" w:ascii="仿宋_GB2312" w:hAnsi="仿宋" w:eastAsia="仿宋_GB2312"/>
          <w:sz w:val="24"/>
          <w:lang w:val="en-US" w:eastAsia="zh-CN"/>
        </w:rPr>
      </w:pPr>
      <w:r>
        <w:rPr>
          <w:rFonts w:hint="eastAsia" w:ascii="仿宋_GB2312" w:hAnsi="仿宋" w:eastAsia="仿宋_GB2312"/>
          <w:sz w:val="24"/>
        </w:rPr>
        <w:t>联系方式：0573-</w:t>
      </w:r>
      <w:r>
        <w:rPr>
          <w:rFonts w:hint="eastAsia" w:ascii="仿宋_GB2312" w:hAnsi="仿宋" w:eastAsia="仿宋_GB2312"/>
          <w:sz w:val="24"/>
          <w:lang w:val="en-US" w:eastAsia="zh-CN"/>
        </w:rPr>
        <w:t>84123310</w:t>
      </w:r>
    </w:p>
    <w:p w14:paraId="1C22D0B9">
      <w:pPr>
        <w:pageBreakBefore w:val="0"/>
        <w:kinsoku/>
        <w:wordWrap/>
        <w:overflowPunct/>
        <w:topLinePunct w:val="0"/>
        <w:autoSpaceDE/>
        <w:autoSpaceDN/>
        <w:bidi w:val="0"/>
        <w:spacing w:line="480" w:lineRule="exact"/>
        <w:ind w:firstLine="480" w:firstLineChars="200"/>
        <w:textAlignment w:val="auto"/>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hint="eastAsia" w:ascii="仿宋_GB2312" w:hAnsi="仿宋" w:eastAsia="仿宋_GB2312"/>
          <w:sz w:val="24"/>
          <w:lang w:eastAsia="zh-CN"/>
        </w:rPr>
        <w:t>95763</w:t>
      </w:r>
      <w:r>
        <w:rPr>
          <w:rFonts w:ascii="仿宋_GB2312" w:hAnsi="仿宋" w:eastAsia="仿宋_GB2312"/>
          <w:sz w:val="24"/>
        </w:rPr>
        <w:t>获取热线服务帮助。</w:t>
      </w:r>
    </w:p>
    <w:p w14:paraId="34084F0C">
      <w:pPr>
        <w:pageBreakBefore w:val="0"/>
        <w:kinsoku/>
        <w:wordWrap/>
        <w:overflowPunct/>
        <w:topLinePunct w:val="0"/>
        <w:autoSpaceDE/>
        <w:autoSpaceDN/>
        <w:bidi w:val="0"/>
        <w:spacing w:line="480" w:lineRule="exact"/>
        <w:ind w:firstLine="480" w:firstLineChars="200"/>
        <w:textAlignment w:val="auto"/>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14:paraId="25E8A38D">
      <w:pPr>
        <w:pStyle w:val="31"/>
        <w:keepNext/>
        <w:keepLines w:val="0"/>
        <w:pageBreakBefore/>
        <w:widowControl w:val="0"/>
        <w:numPr>
          <w:ilvl w:val="0"/>
          <w:numId w:val="0"/>
        </w:numPr>
        <w:kinsoku/>
        <w:wordWrap w:val="0"/>
        <w:overflowPunct/>
        <w:topLinePunct w:val="0"/>
        <w:autoSpaceDE/>
        <w:autoSpaceDN/>
        <w:bidi w:val="0"/>
        <w:adjustRightInd/>
        <w:snapToGrid/>
        <w:spacing w:before="0" w:beforeLines="0" w:after="0" w:line="400" w:lineRule="exact"/>
        <w:ind w:firstLine="0" w:firstLineChars="0"/>
        <w:jc w:val="center"/>
        <w:textAlignment w:val="auto"/>
        <w:outlineLvl w:val="9"/>
        <w:rPr>
          <w:rFonts w:hint="eastAsia" w:ascii="宋体" w:hAnsi="宋体" w:eastAsia="宋体" w:cs="宋体"/>
          <w:color w:val="auto"/>
          <w:sz w:val="32"/>
        </w:rPr>
      </w:pPr>
      <w:bookmarkStart w:id="28" w:name="_Toc548118524"/>
      <w:bookmarkStart w:id="29" w:name="_Toc485648402"/>
      <w:bookmarkStart w:id="30" w:name="_Toc82873328"/>
      <w:bookmarkStart w:id="31" w:name="_Toc211745569"/>
      <w:bookmarkStart w:id="32" w:name="_Toc82338245"/>
      <w:r>
        <w:rPr>
          <w:rFonts w:hint="eastAsia" w:ascii="宋体" w:hAnsi="宋体" w:eastAsia="宋体" w:cs="宋体"/>
          <w:color w:val="auto"/>
          <w:sz w:val="32"/>
          <w:lang w:eastAsia="zh-CN"/>
        </w:rPr>
        <w:t>第二章</w:t>
      </w:r>
      <w:r>
        <w:rPr>
          <w:rFonts w:hint="eastAsia" w:ascii="宋体" w:hAnsi="宋体" w:eastAsia="宋体" w:cs="宋体"/>
          <w:color w:val="auto"/>
          <w:sz w:val="32"/>
          <w:lang w:val="en-US" w:eastAsia="zh-CN"/>
        </w:rPr>
        <w:t xml:space="preserve"> </w:t>
      </w:r>
      <w:r>
        <w:rPr>
          <w:rFonts w:hint="eastAsia" w:ascii="宋体" w:hAnsi="宋体" w:eastAsia="宋体" w:cs="宋体"/>
          <w:color w:val="auto"/>
          <w:sz w:val="32"/>
          <w:lang w:eastAsia="zh-CN"/>
        </w:rPr>
        <w:t>框架协议采购</w:t>
      </w:r>
      <w:r>
        <w:rPr>
          <w:rFonts w:hint="eastAsia" w:ascii="宋体" w:hAnsi="宋体" w:eastAsia="宋体" w:cs="宋体"/>
          <w:color w:val="auto"/>
          <w:sz w:val="32"/>
        </w:rPr>
        <w:t>需求</w:t>
      </w:r>
    </w:p>
    <w:p w14:paraId="62ED1ED3">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Theme="minorEastAsia" w:hAnsiTheme="minorEastAsia" w:eastAsiaTheme="minorEastAsia" w:cstheme="minorEastAsia"/>
          <w:b/>
          <w:sz w:val="24"/>
          <w:szCs w:val="24"/>
        </w:rPr>
      </w:pPr>
      <w:bookmarkStart w:id="33" w:name="_Toc481247033"/>
      <w:bookmarkStart w:id="34" w:name="_Toc481247036"/>
      <w:r>
        <w:rPr>
          <w:rFonts w:hint="eastAsia" w:asciiTheme="minorEastAsia" w:hAnsiTheme="minorEastAsia" w:eastAsiaTheme="minorEastAsia" w:cstheme="minorEastAsia"/>
          <w:b/>
          <w:sz w:val="24"/>
          <w:szCs w:val="24"/>
        </w:rPr>
        <w:t>一、本次框架协议采购适用范围及第一阶段入围数量</w:t>
      </w:r>
    </w:p>
    <w:bookmarkEnd w:id="33"/>
    <w:bookmarkEnd w:id="34"/>
    <w:p w14:paraId="30BE0F76">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1.适用范围：</w:t>
      </w:r>
      <w:r>
        <w:rPr>
          <w:rFonts w:hint="eastAsia" w:asciiTheme="minorEastAsia" w:hAnsiTheme="minorEastAsia" w:eastAsiaTheme="minorEastAsia" w:cstheme="minorEastAsia"/>
          <w:sz w:val="24"/>
          <w:szCs w:val="24"/>
          <w:highlight w:val="none"/>
          <w:lang w:eastAsia="zh-CN"/>
        </w:rPr>
        <w:t>嘉善县</w:t>
      </w:r>
      <w:r>
        <w:rPr>
          <w:rFonts w:hint="eastAsia" w:asciiTheme="minorEastAsia" w:hAnsiTheme="minorEastAsia" w:eastAsiaTheme="minorEastAsia" w:cstheme="minorEastAsia"/>
          <w:sz w:val="24"/>
          <w:szCs w:val="24"/>
          <w:highlight w:val="none"/>
        </w:rPr>
        <w:t>政府投资项目服务费在分散采购招标限额（</w:t>
      </w:r>
      <w:r>
        <w:rPr>
          <w:rFonts w:hint="eastAsia" w:asciiTheme="minorEastAsia" w:hAnsiTheme="minorEastAsia" w:eastAsiaTheme="minorEastAsia" w:cstheme="minorEastAsia"/>
          <w:sz w:val="24"/>
          <w:szCs w:val="24"/>
          <w:highlight w:val="none"/>
          <w:lang w:eastAsia="zh-CN"/>
        </w:rPr>
        <w:t>30万元</w:t>
      </w:r>
      <w:r>
        <w:rPr>
          <w:rFonts w:hint="eastAsia" w:asciiTheme="minorEastAsia" w:hAnsiTheme="minorEastAsia" w:eastAsiaTheme="minorEastAsia" w:cstheme="minorEastAsia"/>
          <w:sz w:val="24"/>
          <w:szCs w:val="24"/>
          <w:highlight w:val="none"/>
        </w:rPr>
        <w:t>）以下的</w:t>
      </w:r>
      <w:r>
        <w:rPr>
          <w:rFonts w:hint="eastAsia" w:asciiTheme="minorEastAsia" w:hAnsiTheme="minorEastAsia" w:eastAsiaTheme="minorEastAsia" w:cstheme="minorEastAsia"/>
          <w:sz w:val="24"/>
          <w:szCs w:val="24"/>
          <w:highlight w:val="none"/>
          <w:lang w:val="en-US" w:eastAsia="zh-CN"/>
        </w:rPr>
        <w:t>项目</w:t>
      </w:r>
      <w:r>
        <w:rPr>
          <w:rFonts w:hint="eastAsia" w:asciiTheme="minorEastAsia" w:hAnsiTheme="minorEastAsia" w:eastAsiaTheme="minorEastAsia" w:cstheme="minorEastAsia"/>
          <w:sz w:val="24"/>
          <w:szCs w:val="24"/>
          <w:highlight w:val="none"/>
        </w:rPr>
        <w:t>概算审核</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工程</w:t>
      </w:r>
      <w:r>
        <w:rPr>
          <w:rFonts w:hint="eastAsia" w:asciiTheme="minorEastAsia" w:hAnsiTheme="minorEastAsia" w:eastAsiaTheme="minorEastAsia" w:cstheme="minorEastAsia"/>
          <w:sz w:val="24"/>
          <w:szCs w:val="24"/>
          <w:highlight w:val="none"/>
        </w:rPr>
        <w:t>结算审核服务。</w:t>
      </w:r>
    </w:p>
    <w:p w14:paraId="3454869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2.入围数量:</w:t>
      </w:r>
      <w:r>
        <w:rPr>
          <w:rFonts w:hint="eastAsia" w:ascii="宋体" w:hAnsi="宋体" w:eastAsia="宋体" w:cs="宋体"/>
          <w:bCs/>
          <w:color w:val="auto"/>
          <w:sz w:val="24"/>
          <w:szCs w:val="24"/>
          <w:highlight w:val="none"/>
        </w:rPr>
        <w:t>本次采购入围数量</w:t>
      </w:r>
      <w:r>
        <w:rPr>
          <w:rFonts w:hint="eastAsia" w:asciiTheme="minorEastAsia" w:hAnsiTheme="minorEastAsia" w:eastAsiaTheme="minorEastAsia" w:cstheme="minorEastAsia"/>
          <w:sz w:val="24"/>
          <w:szCs w:val="24"/>
          <w:highlight w:val="none"/>
        </w:rPr>
        <w:t>不超过有效供应商总数的80%（采用向下取整法）。</w:t>
      </w:r>
      <w:r>
        <w:rPr>
          <w:rFonts w:hint="eastAsia" w:asciiTheme="minorEastAsia" w:hAnsiTheme="minorEastAsia" w:eastAsiaTheme="minorEastAsia" w:cstheme="minorEastAsia"/>
          <w:b/>
          <w:bCs/>
          <w:sz w:val="24"/>
          <w:szCs w:val="24"/>
          <w:highlight w:val="none"/>
        </w:rPr>
        <w:t>特别说明：本次入围的供应商不保证实际业务量。</w:t>
      </w:r>
    </w:p>
    <w:p w14:paraId="5F5372AB">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二、审核费用最高限价及结算方式</w:t>
      </w:r>
    </w:p>
    <w:p w14:paraId="04F5FC2F">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宋体" w:hAnsi="宋体" w:cs="宋体"/>
          <w:color w:val="auto"/>
          <w:sz w:val="24"/>
          <w:szCs w:val="24"/>
          <w:highlight w:val="none"/>
          <w:lang w:val="en-US" w:eastAsia="zh-CN"/>
        </w:rPr>
      </w:pPr>
      <w:r>
        <w:rPr>
          <w:rFonts w:hint="eastAsia" w:asciiTheme="minorEastAsia" w:hAnsiTheme="minorEastAsia" w:eastAsiaTheme="minorEastAsia" w:cstheme="minorEastAsia"/>
          <w:kern w:val="2"/>
          <w:sz w:val="24"/>
          <w:szCs w:val="24"/>
          <w:highlight w:val="none"/>
        </w:rPr>
        <w:t>1.</w:t>
      </w:r>
      <w:r>
        <w:rPr>
          <w:rFonts w:hint="eastAsia" w:asciiTheme="minorEastAsia" w:hAnsiTheme="minorEastAsia" w:eastAsiaTheme="minorEastAsia" w:cstheme="minorEastAsia"/>
          <w:kern w:val="2"/>
          <w:sz w:val="24"/>
          <w:szCs w:val="24"/>
          <w:highlight w:val="none"/>
          <w:lang w:eastAsia="zh-CN"/>
        </w:rPr>
        <w:t>本次采购的</w:t>
      </w:r>
      <w:r>
        <w:rPr>
          <w:rFonts w:hint="eastAsia" w:asciiTheme="minorEastAsia" w:hAnsiTheme="minorEastAsia" w:eastAsiaTheme="minorEastAsia" w:cstheme="minorEastAsia"/>
          <w:sz w:val="24"/>
          <w:highlight w:val="none"/>
        </w:rPr>
        <w:t>审核</w:t>
      </w:r>
      <w:r>
        <w:rPr>
          <w:rFonts w:hint="eastAsia" w:asciiTheme="minorEastAsia" w:hAnsiTheme="minorEastAsia" w:eastAsiaTheme="minorEastAsia" w:cstheme="minorEastAsia"/>
          <w:sz w:val="24"/>
          <w:highlight w:val="none"/>
          <w:lang w:eastAsia="zh-CN"/>
        </w:rPr>
        <w:t>费用最高限价，</w:t>
      </w:r>
      <w:r>
        <w:rPr>
          <w:rFonts w:hint="eastAsia" w:asciiTheme="minorEastAsia" w:hAnsiTheme="minorEastAsia" w:eastAsiaTheme="minorEastAsia" w:cstheme="minorEastAsia"/>
          <w:sz w:val="24"/>
          <w:highlight w:val="none"/>
        </w:rPr>
        <w:t>参照《浙江省建设工程造价咨询服务项目及收费指引》（浙建价协〔2021〕13号）文件规定</w:t>
      </w:r>
      <w:r>
        <w:rPr>
          <w:rFonts w:hint="eastAsia" w:asciiTheme="minorEastAsia" w:hAnsiTheme="minorEastAsia" w:eastAsiaTheme="minorEastAsia" w:cstheme="minorEastAsia"/>
          <w:sz w:val="24"/>
          <w:highlight w:val="none"/>
          <w:lang w:eastAsia="zh-CN"/>
        </w:rPr>
        <w:t>，并适当</w:t>
      </w:r>
      <w:r>
        <w:rPr>
          <w:rFonts w:hint="eastAsia" w:asciiTheme="minorEastAsia" w:hAnsiTheme="minorEastAsia" w:eastAsiaTheme="minorEastAsia" w:cstheme="minorEastAsia"/>
          <w:sz w:val="24"/>
          <w:highlight w:val="none"/>
        </w:rPr>
        <w:t>优惠</w:t>
      </w:r>
      <w:r>
        <w:rPr>
          <w:rFonts w:hint="eastAsia" w:asciiTheme="minorEastAsia" w:hAnsiTheme="minorEastAsia" w:eastAsiaTheme="minorEastAsia" w:cstheme="minorEastAsia"/>
          <w:sz w:val="24"/>
          <w:highlight w:val="none"/>
          <w:lang w:eastAsia="zh-CN"/>
        </w:rPr>
        <w:t>、细化调整后确定</w:t>
      </w:r>
      <w:r>
        <w:rPr>
          <w:rFonts w:hint="eastAsia" w:asciiTheme="minorEastAsia" w:hAnsiTheme="minorEastAsia" w:eastAsiaTheme="minorEastAsia" w:cstheme="minorEastAsia"/>
          <w:sz w:val="24"/>
          <w:highlight w:val="none"/>
        </w:rPr>
        <w:t>，具体见下表</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项目收费最高限价表</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kern w:val="2"/>
          <w:sz w:val="24"/>
          <w:szCs w:val="24"/>
          <w:highlight w:val="none"/>
        </w:rPr>
        <w:t>审核费用采用费率方式报价</w:t>
      </w:r>
      <w:r>
        <w:rPr>
          <w:rFonts w:hint="eastAsia" w:asciiTheme="minorEastAsia" w:hAnsiTheme="minorEastAsia" w:eastAsiaTheme="minorEastAsia" w:cstheme="minorEastAsia"/>
          <w:kern w:val="2"/>
          <w:sz w:val="24"/>
          <w:szCs w:val="24"/>
          <w:highlight w:val="none"/>
          <w:lang w:eastAsia="zh-CN"/>
        </w:rPr>
        <w:t>，</w:t>
      </w:r>
      <w:r>
        <w:rPr>
          <w:rFonts w:hint="eastAsia" w:ascii="宋体" w:hAnsi="宋体" w:eastAsia="宋体" w:cs="宋体"/>
          <w:color w:val="auto"/>
          <w:sz w:val="24"/>
          <w:szCs w:val="24"/>
          <w:highlight w:val="none"/>
          <w:lang w:val="en-US" w:eastAsia="zh-CN"/>
        </w:rPr>
        <w:t>供应商在最高限价的基础上报投标优惠率（即按照</w:t>
      </w:r>
      <w:r>
        <w:rPr>
          <w:rFonts w:hint="eastAsia" w:ascii="宋体" w:hAnsi="宋体" w:cs="宋体"/>
          <w:color w:val="auto"/>
          <w:sz w:val="24"/>
          <w:szCs w:val="24"/>
          <w:highlight w:val="none"/>
          <w:lang w:val="en-US" w:eastAsia="zh-CN"/>
        </w:rPr>
        <w:t>征集文件</w:t>
      </w:r>
      <w:r>
        <w:rPr>
          <w:rFonts w:hint="eastAsia" w:ascii="宋体" w:hAnsi="宋体" w:eastAsia="宋体" w:cs="宋体"/>
          <w:color w:val="auto"/>
          <w:sz w:val="24"/>
          <w:szCs w:val="24"/>
          <w:highlight w:val="none"/>
          <w:lang w:val="en-US" w:eastAsia="zh-CN"/>
        </w:rPr>
        <w:t>规定收费标准的百分比计费）</w:t>
      </w:r>
      <w:r>
        <w:rPr>
          <w:rFonts w:hint="eastAsia" w:ascii="宋体" w:hAnsi="宋体" w:cs="宋体"/>
          <w:color w:val="auto"/>
          <w:sz w:val="24"/>
          <w:szCs w:val="24"/>
          <w:highlight w:val="none"/>
          <w:lang w:val="en-US" w:eastAsia="zh-CN"/>
        </w:rPr>
        <w:t>，报价不应超出</w:t>
      </w:r>
      <w:r>
        <w:rPr>
          <w:rFonts w:hint="eastAsia" w:asciiTheme="minorEastAsia" w:hAnsiTheme="minorEastAsia" w:eastAsiaTheme="minorEastAsia" w:cstheme="minorEastAsia"/>
          <w:kern w:val="2"/>
          <w:sz w:val="24"/>
          <w:szCs w:val="24"/>
          <w:highlight w:val="none"/>
          <w:lang w:eastAsia="zh-CN"/>
        </w:rPr>
        <w:t>下表计费标准</w:t>
      </w:r>
      <w:r>
        <w:rPr>
          <w:rFonts w:hint="eastAsia" w:ascii="宋体" w:hAnsi="宋体" w:eastAsia="宋体" w:cs="宋体"/>
          <w:color w:val="auto"/>
          <w:sz w:val="24"/>
          <w:szCs w:val="24"/>
          <w:highlight w:val="none"/>
          <w:lang w:val="en-US" w:eastAsia="zh-CN"/>
        </w:rPr>
        <w:t>的</w:t>
      </w:r>
      <w:r>
        <w:rPr>
          <w:rFonts w:hint="eastAsia" w:ascii="宋体" w:hAnsi="宋体" w:cs="宋体"/>
          <w:b/>
          <w:bCs/>
          <w:color w:val="auto"/>
          <w:sz w:val="24"/>
          <w:szCs w:val="24"/>
          <w:highlight w:val="none"/>
          <w:lang w:val="en-US" w:eastAsia="zh-CN"/>
        </w:rPr>
        <w:t>99</w:t>
      </w:r>
      <w:r>
        <w:rPr>
          <w:rFonts w:hint="eastAsia" w:ascii="宋体" w:hAnsi="宋体" w:eastAsia="宋体" w:cs="宋体"/>
          <w:b/>
          <w:bCs/>
          <w:color w:val="auto"/>
          <w:sz w:val="24"/>
          <w:szCs w:val="24"/>
          <w:highlight w:val="none"/>
          <w:lang w:val="en-US" w:eastAsia="zh-CN"/>
        </w:rPr>
        <w:t>%</w:t>
      </w:r>
      <w:r>
        <w:rPr>
          <w:rFonts w:hint="eastAsia" w:ascii="宋体" w:hAnsi="宋体" w:cs="宋体"/>
          <w:color w:val="auto"/>
          <w:sz w:val="24"/>
          <w:szCs w:val="24"/>
          <w:highlight w:val="none"/>
          <w:lang w:val="en-US" w:eastAsia="zh-CN"/>
        </w:rPr>
        <w:t>。</w:t>
      </w:r>
    </w:p>
    <w:p w14:paraId="290AAA16">
      <w:pPr>
        <w:pStyle w:val="57"/>
        <w:keepNext w:val="0"/>
        <w:keepLines w:val="0"/>
        <w:pageBreakBefore w:val="0"/>
        <w:kinsoku/>
        <w:wordWrap/>
        <w:overflowPunct/>
        <w:topLinePunct w:val="0"/>
        <w:autoSpaceDE/>
        <w:autoSpaceDN/>
        <w:bidi w:val="0"/>
        <w:snapToGrid w:val="0"/>
        <w:spacing w:after="0" w:afterLines="0" w:line="440" w:lineRule="exact"/>
        <w:ind w:firstLine="560"/>
        <w:jc w:val="center"/>
        <w:textAlignment w:val="auto"/>
        <w:rPr>
          <w:rFonts w:hint="eastAsia" w:asciiTheme="minorEastAsia" w:hAnsiTheme="minorEastAsia" w:eastAsiaTheme="minorEastAsia" w:cstheme="minorEastAsia"/>
          <w:kern w:val="0"/>
          <w:sz w:val="24"/>
          <w:szCs w:val="20"/>
          <w:highlight w:val="none"/>
        </w:rPr>
      </w:pPr>
      <w:r>
        <w:rPr>
          <w:rFonts w:hint="eastAsia" w:asciiTheme="minorEastAsia" w:hAnsiTheme="minorEastAsia" w:eastAsiaTheme="minorEastAsia" w:cstheme="minorEastAsia"/>
          <w:sz w:val="24"/>
          <w:szCs w:val="20"/>
          <w:highlight w:val="none"/>
          <w:lang w:val="en-US" w:eastAsia="zh-CN"/>
        </w:rPr>
        <w:t>项目收费最高限价表</w:t>
      </w:r>
    </w:p>
    <w:p w14:paraId="1851C313">
      <w:pPr>
        <w:pStyle w:val="4"/>
        <w:snapToGrid w:val="0"/>
        <w:ind w:left="0"/>
        <w:jc w:val="right"/>
        <w:rPr>
          <w:rFonts w:ascii="宋体" w:hAnsi="宋体" w:eastAsia="宋体" w:cs="宋体"/>
          <w:color w:val="auto"/>
          <w:w w:val="95"/>
          <w:sz w:val="21"/>
          <w:szCs w:val="21"/>
          <w:highlight w:val="none"/>
        </w:rPr>
      </w:pPr>
      <w:r>
        <w:rPr>
          <w:rFonts w:hint="eastAsia" w:ascii="宋体" w:hAnsi="宋体" w:eastAsia="宋体" w:cs="宋体"/>
          <w:color w:val="auto"/>
          <w:w w:val="95"/>
          <w:sz w:val="21"/>
          <w:szCs w:val="21"/>
          <w:highlight w:val="none"/>
        </w:rPr>
        <w:t>费率：‰</w:t>
      </w:r>
    </w:p>
    <w:tbl>
      <w:tblPr>
        <w:tblStyle w:val="32"/>
        <w:tblW w:w="9879" w:type="dxa"/>
        <w:jc w:val="center"/>
        <w:tblLayout w:type="fixed"/>
        <w:tblCellMar>
          <w:top w:w="0" w:type="dxa"/>
          <w:left w:w="108" w:type="dxa"/>
          <w:bottom w:w="0" w:type="dxa"/>
          <w:right w:w="108" w:type="dxa"/>
        </w:tblCellMar>
      </w:tblPr>
      <w:tblGrid>
        <w:gridCol w:w="503"/>
        <w:gridCol w:w="556"/>
        <w:gridCol w:w="556"/>
        <w:gridCol w:w="713"/>
        <w:gridCol w:w="737"/>
        <w:gridCol w:w="763"/>
        <w:gridCol w:w="712"/>
        <w:gridCol w:w="813"/>
        <w:gridCol w:w="800"/>
        <w:gridCol w:w="825"/>
        <w:gridCol w:w="887"/>
        <w:gridCol w:w="929"/>
        <w:gridCol w:w="1085"/>
      </w:tblGrid>
      <w:tr w14:paraId="6637A0AC">
        <w:tblPrEx>
          <w:tblCellMar>
            <w:top w:w="0" w:type="dxa"/>
            <w:left w:w="108" w:type="dxa"/>
            <w:bottom w:w="0" w:type="dxa"/>
            <w:right w:w="108" w:type="dxa"/>
          </w:tblCellMar>
        </w:tblPrEx>
        <w:trPr>
          <w:trHeight w:val="602"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A93E772">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b/>
                <w:bCs/>
                <w:color w:val="auto"/>
                <w:sz w:val="21"/>
                <w:szCs w:val="21"/>
                <w:highlight w:val="none"/>
              </w:rPr>
            </w:pPr>
            <w:r>
              <w:rPr>
                <w:rFonts w:hint="eastAsia" w:ascii="宋体" w:hAnsi="宋体" w:eastAsia="宋体"/>
                <w:b/>
                <w:bCs/>
                <w:color w:val="auto"/>
                <w:kern w:val="0"/>
                <w:sz w:val="21"/>
                <w:szCs w:val="21"/>
                <w:highlight w:val="none"/>
              </w:rPr>
              <w:t>序号</w:t>
            </w:r>
          </w:p>
        </w:tc>
        <w:tc>
          <w:tcPr>
            <w:tcW w:w="11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8A0C820">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b/>
                <w:bCs/>
                <w:color w:val="auto"/>
                <w:sz w:val="21"/>
                <w:szCs w:val="21"/>
                <w:highlight w:val="none"/>
              </w:rPr>
            </w:pPr>
            <w:r>
              <w:rPr>
                <w:rFonts w:hint="eastAsia" w:ascii="宋体" w:hAnsi="宋体" w:eastAsia="宋体"/>
                <w:b/>
                <w:bCs/>
                <w:color w:val="auto"/>
                <w:kern w:val="0"/>
                <w:sz w:val="21"/>
                <w:szCs w:val="21"/>
                <w:highlight w:val="none"/>
              </w:rPr>
              <w:t>咨询项目</w:t>
            </w:r>
          </w:p>
        </w:tc>
        <w:tc>
          <w:tcPr>
            <w:tcW w:w="7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DF748BE">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b/>
                <w:bCs/>
                <w:color w:val="auto"/>
                <w:sz w:val="21"/>
                <w:szCs w:val="21"/>
                <w:highlight w:val="none"/>
              </w:rPr>
            </w:pPr>
            <w:r>
              <w:rPr>
                <w:rFonts w:hint="eastAsia" w:ascii="宋体" w:hAnsi="宋体" w:eastAsia="宋体"/>
                <w:b/>
                <w:bCs/>
                <w:color w:val="auto"/>
                <w:kern w:val="0"/>
                <w:sz w:val="21"/>
                <w:szCs w:val="21"/>
                <w:highlight w:val="none"/>
              </w:rPr>
              <w:t>收费基数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170A8523">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b/>
                <w:bCs/>
                <w:color w:val="auto"/>
                <w:sz w:val="21"/>
                <w:szCs w:val="21"/>
                <w:highlight w:val="none"/>
              </w:rPr>
            </w:pPr>
            <w:r>
              <w:rPr>
                <w:rFonts w:hint="eastAsia" w:ascii="宋体" w:hAnsi="宋体" w:eastAsia="宋体"/>
                <w:b/>
                <w:bCs/>
                <w:color w:val="auto"/>
                <w:kern w:val="0"/>
                <w:sz w:val="21"/>
                <w:szCs w:val="21"/>
                <w:highlight w:val="none"/>
              </w:rPr>
              <w:t>分档累进计费标准</w:t>
            </w:r>
          </w:p>
        </w:tc>
      </w:tr>
      <w:tr w14:paraId="318ABAC6">
        <w:tblPrEx>
          <w:tblCellMar>
            <w:top w:w="0" w:type="dxa"/>
            <w:left w:w="108" w:type="dxa"/>
            <w:bottom w:w="0" w:type="dxa"/>
            <w:right w:w="108" w:type="dxa"/>
          </w:tblCellMar>
        </w:tblPrEx>
        <w:trPr>
          <w:trHeight w:val="28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31153">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1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0B6FF65">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7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794BB">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14:paraId="27F9E0D8">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100万元以内</w:t>
            </w:r>
          </w:p>
        </w:tc>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65734786">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101-500万元</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B6905A">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501-1000万元</w:t>
            </w:r>
          </w:p>
        </w:tc>
        <w:tc>
          <w:tcPr>
            <w:tcW w:w="813" w:type="dxa"/>
            <w:vMerge w:val="restart"/>
            <w:tcBorders>
              <w:top w:val="single" w:color="000000" w:sz="4" w:space="0"/>
              <w:left w:val="single" w:color="000000" w:sz="4" w:space="0"/>
              <w:bottom w:val="single" w:color="000000" w:sz="4" w:space="0"/>
              <w:right w:val="single" w:color="000000" w:sz="4" w:space="0"/>
            </w:tcBorders>
            <w:noWrap w:val="0"/>
            <w:vAlign w:val="center"/>
          </w:tcPr>
          <w:p w14:paraId="607CC0F2">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1001-2000万元</w:t>
            </w:r>
          </w:p>
        </w:tc>
        <w:tc>
          <w:tcPr>
            <w:tcW w:w="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558CEF3">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2001-5000万元</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9B5B234">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5001-10000万元</w:t>
            </w:r>
          </w:p>
        </w:tc>
        <w:tc>
          <w:tcPr>
            <w:tcW w:w="887" w:type="dxa"/>
            <w:vMerge w:val="restart"/>
            <w:tcBorders>
              <w:top w:val="single" w:color="000000" w:sz="4" w:space="0"/>
              <w:left w:val="single" w:color="000000" w:sz="4" w:space="0"/>
              <w:bottom w:val="single" w:color="000000" w:sz="4" w:space="0"/>
              <w:right w:val="single" w:color="000000" w:sz="4" w:space="0"/>
            </w:tcBorders>
            <w:noWrap w:val="0"/>
            <w:vAlign w:val="center"/>
          </w:tcPr>
          <w:p w14:paraId="394C88CC">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10001-50000万元</w:t>
            </w:r>
          </w:p>
        </w:tc>
        <w:tc>
          <w:tcPr>
            <w:tcW w:w="929" w:type="dxa"/>
            <w:vMerge w:val="restart"/>
            <w:tcBorders>
              <w:top w:val="single" w:color="000000" w:sz="4" w:space="0"/>
              <w:left w:val="single" w:color="000000" w:sz="4" w:space="0"/>
              <w:bottom w:val="single" w:color="000000" w:sz="4" w:space="0"/>
              <w:right w:val="single" w:color="000000" w:sz="4" w:space="0"/>
            </w:tcBorders>
            <w:noWrap w:val="0"/>
            <w:vAlign w:val="center"/>
          </w:tcPr>
          <w:p w14:paraId="6FC311B4">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50001-100000万元</w:t>
            </w:r>
          </w:p>
        </w:tc>
        <w:tc>
          <w:tcPr>
            <w:tcW w:w="10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0CB4CC3">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100000万元以上</w:t>
            </w:r>
          </w:p>
        </w:tc>
      </w:tr>
      <w:tr w14:paraId="70A3C456">
        <w:tblPrEx>
          <w:tblCellMar>
            <w:top w:w="0" w:type="dxa"/>
            <w:left w:w="108" w:type="dxa"/>
            <w:bottom w:w="0" w:type="dxa"/>
            <w:right w:w="108" w:type="dxa"/>
          </w:tblCellMar>
        </w:tblPrEx>
        <w:trPr>
          <w:trHeight w:val="28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8073AD">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1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AD2C88B">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7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E0218B">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E4C2E">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CC9BB">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50C8D">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8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913A2">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D13D1">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DE55A">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18459">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9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B26B24">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1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53A37">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r>
      <w:tr w14:paraId="2612D2A7">
        <w:tblPrEx>
          <w:tblCellMar>
            <w:top w:w="0" w:type="dxa"/>
            <w:left w:w="108" w:type="dxa"/>
            <w:bottom w:w="0" w:type="dxa"/>
            <w:right w:w="108" w:type="dxa"/>
          </w:tblCellMar>
        </w:tblPrEx>
        <w:trPr>
          <w:trHeight w:val="513"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53CC8">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1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9726169">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7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01F02">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E69F26">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F31151">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265399">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8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916E7">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9C007">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91EE5">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85412">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9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71024">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1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D659E">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r>
      <w:tr w14:paraId="5203A29D">
        <w:tblPrEx>
          <w:tblCellMar>
            <w:top w:w="0" w:type="dxa"/>
            <w:left w:w="108" w:type="dxa"/>
            <w:bottom w:w="0" w:type="dxa"/>
            <w:right w:w="108" w:type="dxa"/>
          </w:tblCellMar>
        </w:tblPrEx>
        <w:trPr>
          <w:trHeight w:val="750" w:hRule="atLeast"/>
          <w:jc w:val="center"/>
        </w:trPr>
        <w:tc>
          <w:tcPr>
            <w:tcW w:w="503" w:type="dxa"/>
            <w:tcBorders>
              <w:top w:val="single" w:color="000000" w:sz="4" w:space="0"/>
              <w:left w:val="single" w:color="000000" w:sz="4" w:space="0"/>
              <w:bottom w:val="single" w:color="000000" w:sz="4" w:space="0"/>
              <w:right w:val="single" w:color="000000" w:sz="4" w:space="0"/>
            </w:tcBorders>
            <w:noWrap w:val="0"/>
            <w:vAlign w:val="center"/>
          </w:tcPr>
          <w:p w14:paraId="40EC9339">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w:t>
            </w: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14:paraId="100A38E2">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项目概算审核</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D1405CF">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送审金额</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310575A">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0.68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F94A7EA">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0.6</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1323CC0">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0.52</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01A77C4">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0.44</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EF50455">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501B863">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0.36</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AAFF1C2">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0.3</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1264BBA6">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0.15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630F6945">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0.05</w:t>
            </w:r>
          </w:p>
        </w:tc>
      </w:tr>
      <w:tr w14:paraId="0F1A4162">
        <w:tblPrEx>
          <w:tblCellMar>
            <w:top w:w="0" w:type="dxa"/>
            <w:left w:w="108" w:type="dxa"/>
            <w:bottom w:w="0" w:type="dxa"/>
            <w:right w:w="108" w:type="dxa"/>
          </w:tblCellMar>
        </w:tblPrEx>
        <w:trPr>
          <w:trHeight w:val="783" w:hRule="atLeast"/>
          <w:jc w:val="center"/>
        </w:trPr>
        <w:tc>
          <w:tcPr>
            <w:tcW w:w="503" w:type="dxa"/>
            <w:tcBorders>
              <w:top w:val="single" w:color="auto" w:sz="4" w:space="0"/>
              <w:left w:val="single" w:color="auto" w:sz="4" w:space="0"/>
              <w:bottom w:val="single" w:color="auto" w:sz="4" w:space="0"/>
              <w:right w:val="single" w:color="000000" w:sz="4" w:space="0"/>
            </w:tcBorders>
            <w:noWrap w:val="0"/>
            <w:vAlign w:val="center"/>
          </w:tcPr>
          <w:p w14:paraId="5606AA3A">
            <w:pPr>
              <w:keepNext w:val="0"/>
              <w:keepLines w:val="0"/>
              <w:widowControl/>
              <w:suppressLineNumbers w:val="0"/>
              <w:snapToGrid w:val="0"/>
              <w:spacing w:before="0" w:beforeAutospacing="0" w:after="0" w:afterAutospacing="0"/>
              <w:ind w:left="0" w:leftChars="0" w:right="0" w:rightChars="0"/>
              <w:jc w:val="center"/>
              <w:textAlignment w:val="center"/>
              <w:rPr>
                <w:rFonts w:hint="default" w:ascii="宋体" w:hAnsi="宋体" w:eastAsia="宋体"/>
                <w:color w:val="auto"/>
                <w:sz w:val="21"/>
                <w:szCs w:val="21"/>
                <w:highlight w:val="none"/>
              </w:rPr>
            </w:pPr>
            <w:r>
              <w:rPr>
                <w:rFonts w:hint="eastAsia" w:ascii="宋体" w:hAnsi="宋体"/>
                <w:color w:val="auto"/>
                <w:kern w:val="0"/>
                <w:sz w:val="21"/>
                <w:szCs w:val="21"/>
                <w:highlight w:val="none"/>
                <w:lang w:val="en-US" w:eastAsia="zh-CN"/>
              </w:rPr>
              <w:t>2</w:t>
            </w:r>
          </w:p>
        </w:tc>
        <w:tc>
          <w:tcPr>
            <w:tcW w:w="556" w:type="dxa"/>
            <w:tcBorders>
              <w:top w:val="single" w:color="auto" w:sz="4" w:space="0"/>
              <w:left w:val="single" w:color="000000" w:sz="4" w:space="0"/>
              <w:bottom w:val="single" w:color="auto" w:sz="4" w:space="0"/>
              <w:right w:val="single" w:color="auto" w:sz="4" w:space="0"/>
            </w:tcBorders>
            <w:noWrap w:val="0"/>
            <w:vAlign w:val="center"/>
          </w:tcPr>
          <w:p w14:paraId="5B3AD7A5">
            <w:pPr>
              <w:keepNext w:val="0"/>
              <w:keepLines w:val="0"/>
              <w:widowControl/>
              <w:suppressLineNumbers w:val="0"/>
              <w:snapToGrid w:val="0"/>
              <w:spacing w:before="0" w:beforeAutospacing="0" w:after="0" w:afterAutospacing="0"/>
              <w:ind w:left="0" w:leftChars="0" w:right="0" w:rightChars="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工程结算审核</w:t>
            </w:r>
          </w:p>
        </w:tc>
        <w:tc>
          <w:tcPr>
            <w:tcW w:w="556" w:type="dxa"/>
            <w:tcBorders>
              <w:top w:val="single" w:color="000000" w:sz="4" w:space="0"/>
              <w:left w:val="single" w:color="auto" w:sz="4" w:space="0"/>
              <w:bottom w:val="single" w:color="000000" w:sz="4" w:space="0"/>
              <w:right w:val="single" w:color="000000" w:sz="4" w:space="0"/>
            </w:tcBorders>
            <w:noWrap w:val="0"/>
            <w:vAlign w:val="center"/>
          </w:tcPr>
          <w:p w14:paraId="10BF8F59">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olor w:val="auto"/>
                <w:kern w:val="0"/>
                <w:sz w:val="21"/>
                <w:szCs w:val="21"/>
                <w:highlight w:val="none"/>
                <w:lang w:eastAsia="zh-CN"/>
              </w:rPr>
            </w:pPr>
            <w:r>
              <w:rPr>
                <w:rFonts w:hint="eastAsia" w:ascii="宋体" w:hAnsi="宋体"/>
                <w:color w:val="auto"/>
                <w:kern w:val="0"/>
                <w:sz w:val="21"/>
                <w:szCs w:val="21"/>
                <w:highlight w:val="none"/>
                <w:lang w:eastAsia="zh-CN"/>
              </w:rPr>
              <w:t>基本收费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B4929DF">
            <w:pPr>
              <w:keepNext w:val="0"/>
              <w:keepLines w:val="0"/>
              <w:widowControl/>
              <w:suppressLineNumbers w:val="0"/>
              <w:snapToGrid w:val="0"/>
              <w:spacing w:before="0" w:beforeAutospacing="0" w:after="0" w:afterAutospacing="0"/>
              <w:ind w:left="0" w:leftChars="0" w:right="0" w:rightChars="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送审金额</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77A84B41">
            <w:pPr>
              <w:keepNext w:val="0"/>
              <w:keepLines w:val="0"/>
              <w:widowControl/>
              <w:suppressLineNumbers w:val="0"/>
              <w:snapToGrid w:val="0"/>
              <w:spacing w:before="0" w:beforeAutospacing="0" w:after="0" w:afterAutospacing="0"/>
              <w:ind w:left="0" w:leftChars="0" w:right="0" w:rightChars="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1.68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52C3162">
            <w:pPr>
              <w:keepNext w:val="0"/>
              <w:keepLines w:val="0"/>
              <w:widowControl/>
              <w:suppressLineNumbers w:val="0"/>
              <w:snapToGrid w:val="0"/>
              <w:spacing w:before="0" w:beforeAutospacing="0" w:after="0" w:afterAutospacing="0"/>
              <w:ind w:left="0" w:leftChars="0" w:right="0" w:rightChars="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1.5</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930B520">
            <w:pPr>
              <w:keepNext w:val="0"/>
              <w:keepLines w:val="0"/>
              <w:widowControl/>
              <w:suppressLineNumbers w:val="0"/>
              <w:snapToGrid w:val="0"/>
              <w:spacing w:before="0" w:beforeAutospacing="0" w:after="0" w:afterAutospacing="0"/>
              <w:ind w:left="0" w:leftChars="0" w:right="0" w:rightChars="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1.32</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10EA741">
            <w:pPr>
              <w:keepNext w:val="0"/>
              <w:keepLines w:val="0"/>
              <w:widowControl/>
              <w:suppressLineNumbers w:val="0"/>
              <w:snapToGrid w:val="0"/>
              <w:spacing w:before="0" w:beforeAutospacing="0" w:after="0" w:afterAutospacing="0"/>
              <w:ind w:left="0" w:leftChars="0" w:right="0" w:rightChars="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1.14</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E176E3E">
            <w:pPr>
              <w:keepNext w:val="0"/>
              <w:keepLines w:val="0"/>
              <w:widowControl/>
              <w:suppressLineNumbers w:val="0"/>
              <w:snapToGrid w:val="0"/>
              <w:spacing w:before="0" w:beforeAutospacing="0" w:after="0" w:afterAutospacing="0"/>
              <w:ind w:left="0" w:leftChars="0" w:right="0" w:rightChars="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0.96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4874CD9">
            <w:pPr>
              <w:keepNext w:val="0"/>
              <w:keepLines w:val="0"/>
              <w:widowControl/>
              <w:suppressLineNumbers w:val="0"/>
              <w:snapToGrid w:val="0"/>
              <w:spacing w:before="0" w:beforeAutospacing="0" w:after="0" w:afterAutospacing="0"/>
              <w:ind w:left="0" w:leftChars="0" w:right="0" w:rightChars="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0.78</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1D01EFD">
            <w:pPr>
              <w:keepNext w:val="0"/>
              <w:keepLines w:val="0"/>
              <w:widowControl/>
              <w:suppressLineNumbers w:val="0"/>
              <w:snapToGrid w:val="0"/>
              <w:spacing w:before="0" w:beforeAutospacing="0" w:after="0" w:afterAutospacing="0"/>
              <w:ind w:left="0" w:leftChars="0" w:right="0" w:rightChars="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0.6</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3F9B49FF">
            <w:pPr>
              <w:keepNext w:val="0"/>
              <w:keepLines w:val="0"/>
              <w:widowControl/>
              <w:suppressLineNumbers w:val="0"/>
              <w:snapToGrid w:val="0"/>
              <w:spacing w:before="0" w:beforeAutospacing="0" w:after="0" w:afterAutospacing="0"/>
              <w:ind w:left="0" w:leftChars="0" w:right="0" w:rightChars="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268661B7">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0.2</w:t>
            </w:r>
          </w:p>
        </w:tc>
      </w:tr>
    </w:tbl>
    <w:p w14:paraId="18A574DF">
      <w:pPr>
        <w:snapToGrid w:val="0"/>
        <w:rPr>
          <w:rFonts w:ascii="宋体" w:hAnsi="宋体" w:eastAsia="宋体"/>
          <w:color w:val="auto"/>
          <w:highlight w:val="none"/>
        </w:rPr>
      </w:pPr>
    </w:p>
    <w:p w14:paraId="18C50CEA">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2.服务费用结算</w:t>
      </w:r>
    </w:p>
    <w:p w14:paraId="420C002A">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w:t>
      </w:r>
      <w:r>
        <w:rPr>
          <w:rFonts w:hint="eastAsia" w:asciiTheme="minorEastAsia" w:hAnsiTheme="minorEastAsia" w:eastAsiaTheme="minorEastAsia" w:cstheme="minorEastAsia"/>
          <w:kern w:val="2"/>
          <w:sz w:val="24"/>
          <w:szCs w:val="24"/>
          <w:highlight w:val="none"/>
          <w:lang w:val="en-US" w:eastAsia="zh-CN"/>
        </w:rPr>
        <w:t>项目</w:t>
      </w:r>
      <w:r>
        <w:rPr>
          <w:rFonts w:hint="eastAsia" w:asciiTheme="minorEastAsia" w:hAnsiTheme="minorEastAsia" w:eastAsiaTheme="minorEastAsia" w:cstheme="minorEastAsia"/>
          <w:kern w:val="2"/>
          <w:sz w:val="24"/>
          <w:szCs w:val="24"/>
          <w:highlight w:val="none"/>
        </w:rPr>
        <w:t>采购人</w:t>
      </w:r>
      <w:r>
        <w:rPr>
          <w:rFonts w:hint="eastAsia" w:asciiTheme="minorEastAsia" w:hAnsiTheme="minorEastAsia" w:eastAsiaTheme="minorEastAsia" w:cstheme="minorEastAsia"/>
          <w:kern w:val="2"/>
          <w:sz w:val="24"/>
          <w:szCs w:val="24"/>
          <w:highlight w:val="none"/>
          <w:lang w:eastAsia="zh-CN"/>
        </w:rPr>
        <w:t>或委托人与</w:t>
      </w:r>
      <w:r>
        <w:rPr>
          <w:rFonts w:hint="eastAsia" w:asciiTheme="minorEastAsia" w:hAnsiTheme="minorEastAsia" w:eastAsiaTheme="minorEastAsia" w:cstheme="minorEastAsia"/>
          <w:kern w:val="2"/>
          <w:sz w:val="24"/>
          <w:szCs w:val="24"/>
          <w:highlight w:val="none"/>
        </w:rPr>
        <w:t>入围供应商</w:t>
      </w:r>
      <w:r>
        <w:rPr>
          <w:rFonts w:hint="eastAsia" w:ascii="宋体" w:hAnsi="宋体" w:cs="宋体"/>
          <w:color w:val="auto"/>
          <w:sz w:val="24"/>
          <w:szCs w:val="24"/>
          <w:highlight w:val="none"/>
          <w:lang w:eastAsia="zh-CN"/>
        </w:rPr>
        <w:t>签订委托合同，</w:t>
      </w:r>
      <w:r>
        <w:rPr>
          <w:rFonts w:hint="eastAsia" w:asciiTheme="minorEastAsia" w:hAnsiTheme="minorEastAsia" w:eastAsiaTheme="minorEastAsia" w:cstheme="minorEastAsia"/>
          <w:kern w:val="2"/>
          <w:sz w:val="24"/>
          <w:szCs w:val="24"/>
          <w:highlight w:val="none"/>
        </w:rPr>
        <w:t>入围供应商按时、按质、按量完成审核业务后</w:t>
      </w:r>
      <w:r>
        <w:rPr>
          <w:rFonts w:hint="eastAsia" w:asciiTheme="minorEastAsia" w:hAnsiTheme="minorEastAsia" w:eastAsiaTheme="minorEastAsia" w:cstheme="minorEastAsia"/>
          <w:kern w:val="2"/>
          <w:sz w:val="24"/>
          <w:szCs w:val="24"/>
          <w:highlight w:val="none"/>
          <w:lang w:eastAsia="zh-CN"/>
        </w:rPr>
        <w:t>，由项目</w:t>
      </w:r>
      <w:r>
        <w:rPr>
          <w:rFonts w:hint="eastAsia" w:asciiTheme="minorEastAsia" w:hAnsiTheme="minorEastAsia" w:eastAsiaTheme="minorEastAsia" w:cstheme="minorEastAsia"/>
          <w:kern w:val="2"/>
          <w:sz w:val="24"/>
          <w:szCs w:val="24"/>
          <w:highlight w:val="none"/>
        </w:rPr>
        <w:t>采购人</w:t>
      </w:r>
      <w:r>
        <w:rPr>
          <w:rFonts w:hint="eastAsia" w:asciiTheme="minorEastAsia" w:hAnsiTheme="minorEastAsia" w:eastAsiaTheme="minorEastAsia" w:cstheme="minorEastAsia"/>
          <w:kern w:val="2"/>
          <w:sz w:val="24"/>
          <w:szCs w:val="24"/>
          <w:highlight w:val="none"/>
          <w:lang w:eastAsia="zh-CN"/>
        </w:rPr>
        <w:t>或委托人</w:t>
      </w:r>
      <w:r>
        <w:rPr>
          <w:rFonts w:hint="eastAsia" w:asciiTheme="minorEastAsia" w:hAnsiTheme="minorEastAsia" w:eastAsiaTheme="minorEastAsia" w:cstheme="minorEastAsia"/>
          <w:kern w:val="2"/>
          <w:sz w:val="24"/>
          <w:szCs w:val="24"/>
          <w:highlight w:val="none"/>
        </w:rPr>
        <w:t>支付服务费用。</w:t>
      </w:r>
    </w:p>
    <w:p w14:paraId="2F5C6A4A">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（2）每件咨询服务合同按上述计算基本收费不足2000元的，按2000元计算。</w:t>
      </w:r>
    </w:p>
    <w:p w14:paraId="7149F22D">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（3）项目概算审核收费基数中不包括项目</w:t>
      </w:r>
      <w:r>
        <w:rPr>
          <w:rFonts w:hint="eastAsia" w:asciiTheme="minorEastAsia" w:hAnsiTheme="minorEastAsia" w:eastAsiaTheme="minorEastAsia" w:cstheme="minorEastAsia"/>
          <w:kern w:val="2"/>
          <w:sz w:val="24"/>
          <w:szCs w:val="24"/>
          <w:highlight w:val="none"/>
          <w:lang w:eastAsia="zh-CN"/>
        </w:rPr>
        <w:t>土地</w:t>
      </w:r>
      <w:r>
        <w:rPr>
          <w:rFonts w:hint="eastAsia" w:asciiTheme="minorEastAsia" w:hAnsiTheme="minorEastAsia" w:eastAsiaTheme="minorEastAsia" w:cstheme="minorEastAsia"/>
          <w:kern w:val="2"/>
          <w:sz w:val="24"/>
          <w:szCs w:val="24"/>
          <w:highlight w:val="none"/>
        </w:rPr>
        <w:t>征迁</w:t>
      </w:r>
      <w:r>
        <w:rPr>
          <w:rFonts w:hint="eastAsia" w:asciiTheme="minorEastAsia" w:hAnsiTheme="minorEastAsia" w:eastAsiaTheme="minorEastAsia" w:cstheme="minorEastAsia"/>
          <w:kern w:val="2"/>
          <w:sz w:val="24"/>
          <w:szCs w:val="24"/>
          <w:highlight w:val="none"/>
          <w:lang w:eastAsia="zh-CN"/>
        </w:rPr>
        <w:t>等相关</w:t>
      </w:r>
      <w:r>
        <w:rPr>
          <w:rFonts w:hint="eastAsia" w:asciiTheme="minorEastAsia" w:hAnsiTheme="minorEastAsia" w:eastAsiaTheme="minorEastAsia" w:cstheme="minorEastAsia"/>
          <w:kern w:val="2"/>
          <w:sz w:val="24"/>
          <w:szCs w:val="24"/>
          <w:highlight w:val="none"/>
        </w:rPr>
        <w:t>费用。</w:t>
      </w:r>
    </w:p>
    <w:p w14:paraId="4F1B8DD6">
      <w:pPr>
        <w:pStyle w:val="57"/>
        <w:spacing w:beforeLines="-2147483648" w:after="0" w:afterLines="0" w:line="440" w:lineRule="exact"/>
        <w:ind w:firstLine="560"/>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rPr>
        <w:t>（4）工程结算审核</w:t>
      </w:r>
      <w:r>
        <w:rPr>
          <w:rFonts w:hint="eastAsia" w:asciiTheme="minorEastAsia" w:hAnsiTheme="minorEastAsia" w:eastAsiaTheme="minorEastAsia" w:cstheme="minorEastAsia"/>
          <w:kern w:val="2"/>
          <w:sz w:val="24"/>
          <w:szCs w:val="24"/>
          <w:highlight w:val="none"/>
          <w:lang w:eastAsia="zh-CN"/>
        </w:rPr>
        <w:t>基本收费</w:t>
      </w:r>
      <w:r>
        <w:rPr>
          <w:rFonts w:hint="eastAsia" w:asciiTheme="minorEastAsia" w:hAnsiTheme="minorEastAsia" w:eastAsiaTheme="minorEastAsia" w:cstheme="minorEastAsia"/>
          <w:kern w:val="2"/>
          <w:sz w:val="24"/>
          <w:szCs w:val="24"/>
          <w:highlight w:val="none"/>
        </w:rPr>
        <w:t>以送审金额为基数</w:t>
      </w:r>
      <w:r>
        <w:rPr>
          <w:rFonts w:hint="eastAsia" w:asciiTheme="minorEastAsia" w:hAnsiTheme="minorEastAsia" w:eastAsiaTheme="minorEastAsia" w:cstheme="minorEastAsia"/>
          <w:kern w:val="2"/>
          <w:sz w:val="24"/>
          <w:szCs w:val="24"/>
          <w:highlight w:val="none"/>
          <w:lang w:eastAsia="zh-CN"/>
        </w:rPr>
        <w:t>，计算表中费率仅为基本收费（不含绩效收费）；绩效收费可参照《浙江省建设工程造价咨询服务项目及收费指引》（浙建价协〔2021〕13号）执行。</w:t>
      </w:r>
    </w:p>
    <w:p w14:paraId="3FEA5CEF">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宋体" w:hAnsi="宋体" w:cs="Arial"/>
          <w:b/>
          <w:highlight w:val="none"/>
        </w:rPr>
      </w:pPr>
      <w:r>
        <w:rPr>
          <w:rFonts w:hint="eastAsia" w:asciiTheme="minorEastAsia" w:hAnsiTheme="minorEastAsia" w:eastAsiaTheme="minorEastAsia" w:cstheme="minorEastAsia"/>
          <w:kern w:val="2"/>
          <w:sz w:val="24"/>
          <w:szCs w:val="24"/>
          <w:highlight w:val="none"/>
        </w:rPr>
        <w:t>（</w:t>
      </w:r>
      <w:r>
        <w:rPr>
          <w:rFonts w:hint="eastAsia" w:asciiTheme="minorEastAsia" w:hAnsiTheme="minorEastAsia" w:eastAsiaTheme="minorEastAsia" w:cstheme="minorEastAsia"/>
          <w:kern w:val="2"/>
          <w:sz w:val="24"/>
          <w:szCs w:val="24"/>
          <w:highlight w:val="none"/>
          <w:lang w:val="en-US" w:eastAsia="zh-CN"/>
        </w:rPr>
        <w:t>5</w:t>
      </w:r>
      <w:r>
        <w:rPr>
          <w:rFonts w:hint="eastAsia" w:asciiTheme="minorEastAsia" w:hAnsiTheme="minorEastAsia" w:eastAsiaTheme="minorEastAsia" w:cstheme="minorEastAsia"/>
          <w:kern w:val="2"/>
          <w:sz w:val="24"/>
          <w:szCs w:val="24"/>
          <w:highlight w:val="none"/>
        </w:rPr>
        <w:t>）响应报价包括项目实施所需的人工费、服务费、企业管理费、利</w:t>
      </w:r>
      <w:r>
        <w:rPr>
          <w:rFonts w:hint="eastAsia" w:asciiTheme="minorEastAsia" w:hAnsiTheme="minorEastAsia" w:eastAsiaTheme="minorEastAsia" w:cstheme="minorEastAsia"/>
          <w:kern w:val="2"/>
          <w:sz w:val="24"/>
          <w:szCs w:val="24"/>
          <w:highlight w:val="none"/>
          <w:lang w:eastAsia="zh-CN"/>
        </w:rPr>
        <w:t>润及</w:t>
      </w:r>
      <w:r>
        <w:rPr>
          <w:rFonts w:hint="eastAsia" w:asciiTheme="minorEastAsia" w:hAnsiTheme="minorEastAsia" w:eastAsiaTheme="minorEastAsia" w:cstheme="minorEastAsia"/>
          <w:kern w:val="2"/>
          <w:sz w:val="24"/>
          <w:szCs w:val="24"/>
          <w:highlight w:val="none"/>
        </w:rPr>
        <w:t>税金等一切费用。</w:t>
      </w:r>
    </w:p>
    <w:p w14:paraId="01228BFB">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三</w:t>
      </w:r>
      <w:r>
        <w:rPr>
          <w:rFonts w:hint="eastAsia" w:asciiTheme="minorEastAsia" w:hAnsiTheme="minorEastAsia" w:eastAsiaTheme="minorEastAsia" w:cstheme="minorEastAsia"/>
          <w:b/>
          <w:sz w:val="24"/>
          <w:szCs w:val="24"/>
          <w:highlight w:val="none"/>
        </w:rPr>
        <w:t>、服务要求：</w:t>
      </w:r>
    </w:p>
    <w:p w14:paraId="67EEFB76">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1.必须组建专业工作团队。</w:t>
      </w:r>
    </w:p>
    <w:p w14:paraId="69BDE30C">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(1)拟派</w:t>
      </w:r>
      <w:r>
        <w:rPr>
          <w:rFonts w:hint="eastAsia" w:asciiTheme="minorEastAsia" w:hAnsiTheme="minorEastAsia" w:eastAsiaTheme="minorEastAsia" w:cstheme="minorEastAsia"/>
          <w:kern w:val="2"/>
          <w:sz w:val="24"/>
          <w:szCs w:val="24"/>
          <w:lang w:val="en-US" w:eastAsia="zh-CN"/>
        </w:rPr>
        <w:t>项目</w:t>
      </w:r>
      <w:r>
        <w:rPr>
          <w:rFonts w:hint="eastAsia" w:asciiTheme="minorEastAsia" w:hAnsiTheme="minorEastAsia" w:eastAsiaTheme="minorEastAsia" w:cstheme="minorEastAsia"/>
          <w:kern w:val="2"/>
          <w:sz w:val="24"/>
          <w:szCs w:val="24"/>
        </w:rPr>
        <w:t>负责人1人</w:t>
      </w:r>
      <w:r>
        <w:rPr>
          <w:rFonts w:hint="eastAsia" w:asciiTheme="minorEastAsia" w:hAnsiTheme="minorEastAsia" w:eastAsiaTheme="minorEastAsia" w:cstheme="minorEastAsia"/>
          <w:kern w:val="2"/>
          <w:sz w:val="24"/>
          <w:szCs w:val="24"/>
          <w:highlight w:val="none"/>
          <w:lang w:val="en-US" w:eastAsia="zh-CN"/>
        </w:rPr>
        <w:t>，</w:t>
      </w:r>
      <w:r>
        <w:rPr>
          <w:rFonts w:hint="eastAsia" w:asciiTheme="minorEastAsia" w:hAnsiTheme="minorEastAsia" w:eastAsiaTheme="minorEastAsia" w:cstheme="minorEastAsia"/>
          <w:kern w:val="2"/>
          <w:sz w:val="24"/>
          <w:szCs w:val="24"/>
          <w:lang w:val="en-US" w:eastAsia="zh-CN"/>
        </w:rPr>
        <w:t>在供应商处具有造价工作经历（提供响应截止时间前半年内任意一个月的社会保险参保证明，出具时参保单</w:t>
      </w:r>
      <w:r>
        <w:rPr>
          <w:rFonts w:hint="eastAsia" w:asciiTheme="minorEastAsia" w:hAnsiTheme="minorEastAsia" w:eastAsiaTheme="minorEastAsia" w:cstheme="minorEastAsia"/>
          <w:kern w:val="2"/>
          <w:sz w:val="24"/>
          <w:szCs w:val="24"/>
        </w:rPr>
        <w:t>位须与响应供应商一致，如参保单位为响应供应商总公司</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rPr>
        <w:t>或分公司</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rPr>
        <w:t>或响应供应商母公司</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rPr>
        <w:t>或子公司</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rPr>
        <w:t>，均予以认可；无社保的退休人员须提供与响应供应商签订的劳动合同），并具备相关专业的注册一级造价工程师证书（造价工程师需注册在供应商处）。</w:t>
      </w:r>
    </w:p>
    <w:p w14:paraId="41858C5D">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(2)拟派团</w:t>
      </w:r>
      <w:r>
        <w:rPr>
          <w:rFonts w:hint="eastAsia" w:asciiTheme="minorEastAsia" w:hAnsiTheme="minorEastAsia" w:eastAsiaTheme="minorEastAsia" w:cstheme="minorEastAsia"/>
          <w:kern w:val="2"/>
          <w:sz w:val="24"/>
          <w:szCs w:val="24"/>
          <w:highlight w:val="none"/>
        </w:rPr>
        <w:t>队</w:t>
      </w:r>
      <w:r>
        <w:rPr>
          <w:rFonts w:hint="eastAsia" w:asciiTheme="minorEastAsia" w:hAnsiTheme="minorEastAsia" w:eastAsiaTheme="minorEastAsia" w:cstheme="minorEastAsia"/>
          <w:kern w:val="2"/>
          <w:sz w:val="24"/>
          <w:szCs w:val="24"/>
          <w:highlight w:val="none"/>
          <w:lang w:val="en-US" w:eastAsia="zh-CN"/>
        </w:rPr>
        <w:t>人员</w:t>
      </w:r>
      <w:r>
        <w:rPr>
          <w:rFonts w:hint="eastAsia" w:asciiTheme="minorEastAsia" w:hAnsiTheme="minorEastAsia" w:eastAsiaTheme="minorEastAsia" w:cstheme="minorEastAsia"/>
          <w:kern w:val="2"/>
          <w:sz w:val="24"/>
          <w:szCs w:val="24"/>
          <w:highlight w:val="none"/>
        </w:rPr>
        <w:t>（</w:t>
      </w:r>
      <w:r>
        <w:rPr>
          <w:rFonts w:hint="eastAsia" w:asciiTheme="minorEastAsia" w:hAnsiTheme="minorEastAsia" w:eastAsiaTheme="minorEastAsia" w:cstheme="minorEastAsia"/>
          <w:kern w:val="2"/>
          <w:sz w:val="24"/>
          <w:szCs w:val="24"/>
        </w:rPr>
        <w:t>不含</w:t>
      </w:r>
      <w:r>
        <w:rPr>
          <w:rFonts w:hint="eastAsia" w:asciiTheme="minorEastAsia" w:hAnsiTheme="minorEastAsia" w:eastAsiaTheme="minorEastAsia" w:cstheme="minorEastAsia"/>
          <w:kern w:val="2"/>
          <w:sz w:val="24"/>
          <w:szCs w:val="24"/>
          <w:lang w:val="en-US" w:eastAsia="zh-CN"/>
        </w:rPr>
        <w:t>项目</w:t>
      </w:r>
      <w:r>
        <w:rPr>
          <w:rFonts w:hint="eastAsia" w:asciiTheme="minorEastAsia" w:hAnsiTheme="minorEastAsia" w:eastAsiaTheme="minorEastAsia" w:cstheme="minorEastAsia"/>
          <w:kern w:val="2"/>
          <w:sz w:val="24"/>
          <w:szCs w:val="24"/>
        </w:rPr>
        <w:t>负责人，一般不少于6人），在供应商处具有造价工作经历（提供响应截止时间</w:t>
      </w:r>
      <w:r>
        <w:rPr>
          <w:rFonts w:hint="eastAsia" w:asciiTheme="minorEastAsia" w:hAnsiTheme="minorEastAsia" w:eastAsiaTheme="minorEastAsia" w:cstheme="minorEastAsia"/>
          <w:kern w:val="2"/>
          <w:sz w:val="24"/>
          <w:szCs w:val="24"/>
          <w:lang w:eastAsia="zh-CN"/>
        </w:rPr>
        <w:t>前半年内任意一个月的社会保险参保证明</w:t>
      </w:r>
      <w:r>
        <w:rPr>
          <w:rFonts w:hint="eastAsia" w:asciiTheme="minorEastAsia" w:hAnsiTheme="minorEastAsia" w:eastAsiaTheme="minorEastAsia" w:cstheme="minorEastAsia"/>
          <w:kern w:val="2"/>
          <w:sz w:val="24"/>
          <w:szCs w:val="24"/>
        </w:rPr>
        <w:t>，出具时参保单位须与响应供应商一致，如参保单位为响应供应商总公司（或分公司）或响应供应商母公司（或子公司），均予以认可；无社保的退休人员须提供与响应供应商签订的劳动合同），并具备相关专业的注册二级造价工程师及以上证书（造价工程师需注册在供应商处）。</w:t>
      </w:r>
    </w:p>
    <w:p w14:paraId="2C1CDCBF">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团队成员一旦确定，人员不得变更，实际项目审核人员必须为响应时拟派团队成员名单之列。注：中华人民共和国交通运输部颁发的甲级公路工程造价员资格证书视同一级，乙级公路工程造价员资格证书视同二级，中华人民共和国交通运输部颁发的水运工程造价师资格证书视同一级；中国水利工程协会颁布或水利部注册颁发的水利工程造价工程师资格证书视同一级；建设部原注册造价工程师视同为一级，其专业的认定需提供造价信息网或全国建筑市场监管公共服务平台或交通执业资格网能体现专业的查询截图。</w:t>
      </w:r>
    </w:p>
    <w:p w14:paraId="4C6E907E">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2.审核资料由拟派具体项目负责人在规定期限内亲自领取，当场复核，不得委托第三人前来领取。</w:t>
      </w:r>
    </w:p>
    <w:p w14:paraId="23EAB6BC">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3.项目概算审核工作要求：</w:t>
      </w:r>
    </w:p>
    <w:p w14:paraId="7C5F77A5">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审核内容：审查项目的立项和审批情况；审查概算的编制范围及具体内容是否与批准的项目范围及具体工程内容相一致，有无擅自改变建设内容、扩大建设规模、提高建设标准；审查概算编制依据的正确性，概算所采用的定额体系是否正确；审查概算编制的准确性、完整性，对定额套用、工程量、取费、材料价格及有无漏项等进行审核，审查工程建设其他费是否符合国家和省市地方的有关规定。</w:t>
      </w:r>
    </w:p>
    <w:p w14:paraId="451C0D04">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审核时限：在确保审核质量的同时，着力缩短审核时间，提升审核效率，推进项目建设进程；根据项目审核委托合同约定的期限完成项目审核工作，并出具相应的审核报告及完成归档工作。送审资料齐全的，在</w:t>
      </w:r>
      <w:r>
        <w:rPr>
          <w:rFonts w:hint="eastAsia" w:asciiTheme="minorEastAsia" w:hAnsiTheme="minorEastAsia" w:eastAsiaTheme="minorEastAsia" w:cstheme="minorEastAsia"/>
          <w:kern w:val="2"/>
          <w:sz w:val="24"/>
          <w:szCs w:val="24"/>
          <w:lang w:val="en-US" w:eastAsia="zh-CN"/>
        </w:rPr>
        <w:t>10</w:t>
      </w:r>
      <w:r>
        <w:rPr>
          <w:rFonts w:hint="eastAsia" w:asciiTheme="minorEastAsia" w:hAnsiTheme="minorEastAsia" w:eastAsiaTheme="minorEastAsia" w:cstheme="minorEastAsia"/>
          <w:kern w:val="2"/>
          <w:sz w:val="24"/>
          <w:szCs w:val="24"/>
        </w:rPr>
        <w:t>个工作日出初稿，如需补充资料的，审核时间从送审资料补齐之日起计算；特大型项目或特殊项目确需延长审核时限的，确有特殊原因不能审结而要求延期的，入围供应商需及时向业务委托人提交审核时间延长报批单并提供书面情况说明，经同意后方可延长审核期限，但最长不超过</w:t>
      </w:r>
      <w:r>
        <w:rPr>
          <w:rFonts w:hint="eastAsia" w:asciiTheme="minorEastAsia" w:hAnsiTheme="minorEastAsia" w:eastAsiaTheme="minorEastAsia" w:cstheme="minorEastAsia"/>
          <w:kern w:val="2"/>
          <w:sz w:val="24"/>
          <w:szCs w:val="24"/>
          <w:lang w:val="en-US" w:eastAsia="zh-CN"/>
        </w:rPr>
        <w:t>30</w:t>
      </w:r>
      <w:r>
        <w:rPr>
          <w:rFonts w:hint="eastAsia" w:asciiTheme="minorEastAsia" w:hAnsiTheme="minorEastAsia" w:eastAsiaTheme="minorEastAsia" w:cstheme="minorEastAsia"/>
          <w:kern w:val="2"/>
          <w:sz w:val="24"/>
          <w:szCs w:val="24"/>
        </w:rPr>
        <w:t>个工作日。</w:t>
      </w:r>
    </w:p>
    <w:p w14:paraId="1DC0E3E2">
      <w:pPr>
        <w:pStyle w:val="57"/>
        <w:keepNext w:val="0"/>
        <w:keepLines w:val="0"/>
        <w:pageBreakBefore w:val="0"/>
        <w:kinsoku/>
        <w:wordWrap/>
        <w:overflowPunct/>
        <w:topLinePunct w:val="0"/>
        <w:autoSpaceDE/>
        <w:autoSpaceDN/>
        <w:bidi w:val="0"/>
        <w:snapToGrid w:val="0"/>
        <w:spacing w:after="0" w:afterLines="0" w:line="440" w:lineRule="exact"/>
        <w:ind w:firstLine="0" w:firstLineChars="0"/>
        <w:textAlignment w:val="auto"/>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highlight w:val="none"/>
        </w:rPr>
        <w:t>（3）审核质量：审核综合误差率不得超过±</w:t>
      </w:r>
      <w:r>
        <w:rPr>
          <w:rFonts w:hint="eastAsia" w:asciiTheme="minorEastAsia" w:hAnsiTheme="minorEastAsia" w:eastAsiaTheme="minorEastAsia" w:cstheme="minorEastAsia"/>
          <w:kern w:val="2"/>
          <w:sz w:val="24"/>
          <w:szCs w:val="24"/>
          <w:highlight w:val="none"/>
          <w:lang w:val="en-US" w:eastAsia="zh-CN"/>
        </w:rPr>
        <w:t>4</w:t>
      </w:r>
      <w:r>
        <w:rPr>
          <w:rFonts w:hint="eastAsia" w:asciiTheme="minorEastAsia" w:hAnsiTheme="minorEastAsia" w:eastAsiaTheme="minorEastAsia" w:cstheme="minorEastAsia"/>
          <w:kern w:val="2"/>
          <w:sz w:val="24"/>
          <w:szCs w:val="24"/>
          <w:highlight w:val="none"/>
        </w:rPr>
        <w:t>%（含本数）。经业务委托人</w:t>
      </w:r>
      <w:r>
        <w:rPr>
          <w:rFonts w:hint="eastAsia" w:asciiTheme="minorEastAsia" w:hAnsiTheme="minorEastAsia" w:eastAsiaTheme="minorEastAsia" w:cstheme="minorEastAsia"/>
          <w:kern w:val="2"/>
          <w:sz w:val="24"/>
          <w:szCs w:val="24"/>
          <w:highlight w:val="none"/>
          <w:lang w:eastAsia="zh-CN"/>
        </w:rPr>
        <w:t>或</w:t>
      </w:r>
      <w:r>
        <w:rPr>
          <w:rFonts w:hint="eastAsia" w:asciiTheme="minorEastAsia" w:hAnsiTheme="minorEastAsia" w:eastAsiaTheme="minorEastAsia" w:cstheme="minorEastAsia"/>
          <w:kern w:val="2"/>
          <w:sz w:val="24"/>
          <w:szCs w:val="24"/>
          <w:highlight w:val="none"/>
        </w:rPr>
        <w:t>相关部门复核抽查</w:t>
      </w:r>
      <w:r>
        <w:rPr>
          <w:rFonts w:hint="eastAsia" w:asciiTheme="minorEastAsia" w:hAnsiTheme="minorEastAsia" w:eastAsiaTheme="minorEastAsia" w:cstheme="minorEastAsia"/>
          <w:kern w:val="2"/>
          <w:sz w:val="24"/>
          <w:szCs w:val="24"/>
          <w:highlight w:val="none"/>
          <w:u w:val="none"/>
          <w:lang w:eastAsia="zh-CN"/>
        </w:rPr>
        <w:t>，</w:t>
      </w:r>
      <w:r>
        <w:rPr>
          <w:rFonts w:hint="default" w:cs="宋体"/>
          <w:spacing w:val="-4"/>
          <w:highlight w:val="none"/>
          <w:u w:val="none"/>
        </w:rPr>
        <w:t>审核结果综合误差率大于±</w:t>
      </w:r>
      <w:r>
        <w:rPr>
          <w:rFonts w:hint="eastAsia" w:cs="宋体"/>
          <w:spacing w:val="-4"/>
          <w:highlight w:val="none"/>
          <w:u w:val="none"/>
          <w:lang w:val="en-US" w:eastAsia="zh-CN"/>
        </w:rPr>
        <w:t>4</w:t>
      </w:r>
      <w:r>
        <w:rPr>
          <w:rFonts w:hint="default" w:cs="宋体"/>
          <w:spacing w:val="-4"/>
          <w:highlight w:val="none"/>
          <w:u w:val="none"/>
        </w:rPr>
        <w:t>%</w:t>
      </w:r>
      <w:r>
        <w:rPr>
          <w:rFonts w:hint="eastAsia" w:cs="宋体"/>
          <w:spacing w:val="-4"/>
          <w:highlight w:val="none"/>
          <w:u w:val="none"/>
          <w:lang w:eastAsia="zh-CN"/>
        </w:rPr>
        <w:t>，小于</w:t>
      </w:r>
      <w:r>
        <w:rPr>
          <w:rFonts w:hint="default" w:cs="宋体"/>
          <w:spacing w:val="-4"/>
          <w:highlight w:val="none"/>
          <w:u w:val="none"/>
        </w:rPr>
        <w:t>±</w:t>
      </w:r>
      <w:r>
        <w:rPr>
          <w:rFonts w:hint="eastAsia" w:cs="宋体"/>
          <w:spacing w:val="-4"/>
          <w:highlight w:val="none"/>
          <w:u w:val="none"/>
          <w:lang w:val="en-US" w:eastAsia="zh-CN"/>
        </w:rPr>
        <w:t>5</w:t>
      </w:r>
      <w:r>
        <w:rPr>
          <w:rFonts w:hint="default" w:cs="宋体"/>
          <w:spacing w:val="-4"/>
          <w:highlight w:val="none"/>
          <w:u w:val="none"/>
        </w:rPr>
        <w:t>%时，采购人将扣除应支付审核费用的50%</w:t>
      </w:r>
      <w:r>
        <w:rPr>
          <w:rFonts w:hint="eastAsia" w:cs="宋体"/>
          <w:spacing w:val="-4"/>
          <w:highlight w:val="none"/>
          <w:u w:val="none"/>
          <w:lang w:eastAsia="zh-CN"/>
        </w:rPr>
        <w:t>；</w:t>
      </w:r>
      <w:r>
        <w:rPr>
          <w:rFonts w:hint="eastAsia" w:asciiTheme="minorEastAsia" w:hAnsiTheme="minorEastAsia" w:eastAsiaTheme="minorEastAsia" w:cstheme="minorEastAsia"/>
          <w:kern w:val="2"/>
          <w:sz w:val="24"/>
          <w:szCs w:val="24"/>
          <w:highlight w:val="none"/>
          <w:u w:val="none"/>
        </w:rPr>
        <w:t>综</w:t>
      </w:r>
      <w:r>
        <w:rPr>
          <w:rFonts w:hint="eastAsia" w:asciiTheme="minorEastAsia" w:hAnsiTheme="minorEastAsia" w:eastAsiaTheme="minorEastAsia" w:cstheme="minorEastAsia"/>
          <w:kern w:val="2"/>
          <w:sz w:val="24"/>
          <w:szCs w:val="24"/>
          <w:highlight w:val="none"/>
        </w:rPr>
        <w:t>合误差率超过</w:t>
      </w:r>
      <w:r>
        <w:rPr>
          <w:rFonts w:hint="eastAsia" w:asciiTheme="minorEastAsia" w:hAnsiTheme="minorEastAsia" w:eastAsiaTheme="minorEastAsia" w:cstheme="minorEastAsia"/>
          <w:kern w:val="2"/>
          <w:sz w:val="24"/>
          <w:szCs w:val="24"/>
          <w:highlight w:val="none"/>
          <w:lang w:val="en-US" w:eastAsia="zh-CN"/>
        </w:rPr>
        <w:t>±5</w:t>
      </w:r>
      <w:r>
        <w:rPr>
          <w:rFonts w:hint="eastAsia" w:asciiTheme="minorEastAsia" w:hAnsiTheme="minorEastAsia" w:eastAsiaTheme="minorEastAsia" w:cstheme="minorEastAsia"/>
          <w:kern w:val="2"/>
          <w:sz w:val="24"/>
          <w:szCs w:val="24"/>
          <w:highlight w:val="none"/>
        </w:rPr>
        <w:t>%的，审核费用不予支付。非供应商造成的可例外，但如存在严重质量问题的，采购人将扣除全部审核费用。</w:t>
      </w:r>
    </w:p>
    <w:p w14:paraId="0C201144">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4.工程结算审核工作要求：</w:t>
      </w:r>
    </w:p>
    <w:p w14:paraId="247ABA8F">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审核内容：审查工程概算的执行情况，项目建设内容是否与概算批复一致，项目投资是否控制在概算投资额内；审查工程招投标程序、合同签订是否合法、合规，审查施工合同的执行情况；完工实际与施工图、竣工图、隐蔽工程验收单的一致性；联系单、重大设计变更的真实性和有效性、合法性；工程结算计价方式是否符合施工合同约定；工程量和单价的计算是否准确。</w:t>
      </w:r>
    </w:p>
    <w:p w14:paraId="5EE02572">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审核时限：在确保审核质量的同时，着力缩短审核时间，提升审核效率，推进项目建设进程；根据项目审核委托合同约定的期限完成项目审核工作，并出具相应的审核报告及完成归档工作。从接到竣工结算报告和完整的竣工结算资料起，送审价500万元以下20日历天、500万元-2000万元30日历天、2000万元-5000万元45日历天、5000万元以上60日历天内提出审核初步报告。确有特殊原因不能审结而要求延期的，入围供应商需及时向业务委托人提交审核时间延长报批单并提供书面情况说明，经同意后方可延长审核期限。</w:t>
      </w:r>
    </w:p>
    <w:p w14:paraId="075A29D9">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（3）审核质量：审核结果综合误差率不得超过</w:t>
      </w:r>
      <w:r>
        <w:rPr>
          <w:rFonts w:hint="default" w:cs="宋体"/>
          <w:spacing w:val="-4"/>
          <w:highlight w:val="none"/>
        </w:rPr>
        <w:t>±</w:t>
      </w:r>
      <w:r>
        <w:rPr>
          <w:rFonts w:hint="eastAsia" w:asciiTheme="minorEastAsia" w:hAnsiTheme="minorEastAsia" w:eastAsiaTheme="minorEastAsia" w:cstheme="minorEastAsia"/>
          <w:kern w:val="2"/>
          <w:sz w:val="24"/>
          <w:szCs w:val="24"/>
          <w:highlight w:val="none"/>
          <w:lang w:val="en-US" w:eastAsia="zh-CN"/>
        </w:rPr>
        <w:t>3</w:t>
      </w:r>
      <w:r>
        <w:rPr>
          <w:rFonts w:hint="eastAsia" w:asciiTheme="minorEastAsia" w:hAnsiTheme="minorEastAsia" w:eastAsiaTheme="minorEastAsia" w:cstheme="minorEastAsia"/>
          <w:kern w:val="2"/>
          <w:sz w:val="24"/>
          <w:szCs w:val="24"/>
          <w:highlight w:val="none"/>
        </w:rPr>
        <w:t>%。经业务委托人</w:t>
      </w:r>
      <w:r>
        <w:rPr>
          <w:rFonts w:hint="eastAsia" w:asciiTheme="minorEastAsia" w:hAnsiTheme="minorEastAsia" w:eastAsiaTheme="minorEastAsia" w:cstheme="minorEastAsia"/>
          <w:kern w:val="2"/>
          <w:sz w:val="24"/>
          <w:szCs w:val="24"/>
          <w:highlight w:val="none"/>
          <w:lang w:eastAsia="zh-CN"/>
        </w:rPr>
        <w:t>或</w:t>
      </w:r>
      <w:r>
        <w:rPr>
          <w:rFonts w:hint="eastAsia" w:asciiTheme="minorEastAsia" w:hAnsiTheme="minorEastAsia" w:eastAsiaTheme="minorEastAsia" w:cstheme="minorEastAsia"/>
          <w:kern w:val="2"/>
          <w:sz w:val="24"/>
          <w:szCs w:val="24"/>
          <w:highlight w:val="none"/>
        </w:rPr>
        <w:t>相关部门复核抽查</w:t>
      </w:r>
      <w:r>
        <w:rPr>
          <w:rFonts w:hint="eastAsia" w:asciiTheme="minorEastAsia" w:hAnsiTheme="minorEastAsia" w:eastAsiaTheme="minorEastAsia" w:cstheme="minorEastAsia"/>
          <w:kern w:val="2"/>
          <w:sz w:val="24"/>
          <w:szCs w:val="24"/>
          <w:highlight w:val="none"/>
          <w:lang w:eastAsia="zh-CN"/>
        </w:rPr>
        <w:t>，</w:t>
      </w:r>
      <w:r>
        <w:rPr>
          <w:rFonts w:hint="default" w:cs="宋体"/>
          <w:spacing w:val="-4"/>
          <w:highlight w:val="none"/>
        </w:rPr>
        <w:t>审核结果综合误差率大于±</w:t>
      </w:r>
      <w:r>
        <w:rPr>
          <w:rFonts w:hint="eastAsia" w:cs="宋体"/>
          <w:spacing w:val="-4"/>
          <w:highlight w:val="none"/>
          <w:lang w:val="en-US" w:eastAsia="zh-CN"/>
        </w:rPr>
        <w:t>3</w:t>
      </w:r>
      <w:r>
        <w:rPr>
          <w:rFonts w:hint="default" w:cs="宋体"/>
          <w:spacing w:val="-4"/>
          <w:highlight w:val="none"/>
        </w:rPr>
        <w:t>%</w:t>
      </w:r>
      <w:r>
        <w:rPr>
          <w:rFonts w:hint="eastAsia" w:cs="宋体"/>
          <w:spacing w:val="-4"/>
          <w:highlight w:val="none"/>
          <w:lang w:eastAsia="zh-CN"/>
        </w:rPr>
        <w:t>，小于</w:t>
      </w:r>
      <w:r>
        <w:rPr>
          <w:rFonts w:hint="default" w:cs="宋体"/>
          <w:spacing w:val="-4"/>
          <w:highlight w:val="none"/>
        </w:rPr>
        <w:t>±</w:t>
      </w:r>
      <w:r>
        <w:rPr>
          <w:rFonts w:hint="eastAsia" w:cs="宋体"/>
          <w:spacing w:val="-4"/>
          <w:highlight w:val="none"/>
          <w:lang w:val="en-US" w:eastAsia="zh-CN"/>
        </w:rPr>
        <w:t>4</w:t>
      </w:r>
      <w:r>
        <w:rPr>
          <w:rFonts w:hint="default" w:cs="宋体"/>
          <w:spacing w:val="-4"/>
          <w:highlight w:val="none"/>
        </w:rPr>
        <w:t>%时，采购人将扣除应支付审核费用的50%</w:t>
      </w:r>
      <w:r>
        <w:rPr>
          <w:rFonts w:hint="eastAsia" w:cs="宋体"/>
          <w:spacing w:val="-4"/>
          <w:highlight w:val="none"/>
          <w:lang w:eastAsia="zh-CN"/>
        </w:rPr>
        <w:t>；</w:t>
      </w:r>
      <w:r>
        <w:rPr>
          <w:rFonts w:hint="eastAsia" w:asciiTheme="minorEastAsia" w:hAnsiTheme="minorEastAsia" w:eastAsiaTheme="minorEastAsia" w:cstheme="minorEastAsia"/>
          <w:kern w:val="2"/>
          <w:sz w:val="24"/>
          <w:szCs w:val="24"/>
          <w:highlight w:val="none"/>
        </w:rPr>
        <w:t>综合误差率超过</w:t>
      </w:r>
      <w:r>
        <w:rPr>
          <w:rFonts w:hint="eastAsia" w:asciiTheme="minorEastAsia" w:hAnsiTheme="minorEastAsia" w:eastAsiaTheme="minorEastAsia" w:cstheme="minorEastAsia"/>
          <w:kern w:val="2"/>
          <w:sz w:val="24"/>
          <w:szCs w:val="24"/>
          <w:highlight w:val="none"/>
          <w:lang w:val="en-US" w:eastAsia="zh-CN"/>
        </w:rPr>
        <w:t>±4</w:t>
      </w:r>
      <w:r>
        <w:rPr>
          <w:rFonts w:hint="eastAsia" w:asciiTheme="minorEastAsia" w:hAnsiTheme="minorEastAsia" w:eastAsiaTheme="minorEastAsia" w:cstheme="minorEastAsia"/>
          <w:kern w:val="2"/>
          <w:sz w:val="24"/>
          <w:szCs w:val="24"/>
          <w:highlight w:val="none"/>
        </w:rPr>
        <w:t>%的，审核费用不予支付。非供应商造成的可例外，但如存在严重质量问题的，采购人将扣除全部审核费用。</w:t>
      </w:r>
    </w:p>
    <w:p w14:paraId="2CD82A01">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kern w:val="2"/>
          <w:sz w:val="24"/>
          <w:szCs w:val="24"/>
          <w:lang w:val="en-US" w:eastAsia="zh-CN" w:bidi="ar-SA"/>
        </w:rPr>
        <w:t>四、供应商第一阶段成交方式</w:t>
      </w:r>
      <w:r>
        <w:rPr>
          <w:rFonts w:hint="eastAsia" w:asciiTheme="minorEastAsia" w:hAnsiTheme="minorEastAsia" w:eastAsiaTheme="minorEastAsia" w:cstheme="minorEastAsia"/>
          <w:kern w:val="2"/>
          <w:sz w:val="24"/>
          <w:szCs w:val="24"/>
        </w:rPr>
        <w:t>：质量优先法，详见第四章。</w:t>
      </w:r>
    </w:p>
    <w:p w14:paraId="0D51BDF5">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kern w:val="2"/>
          <w:sz w:val="24"/>
          <w:szCs w:val="24"/>
          <w:lang w:val="en-US" w:eastAsia="zh-CN" w:bidi="ar-SA"/>
        </w:rPr>
        <w:t>五、供应商第二阶段成交方式</w:t>
      </w:r>
      <w:r>
        <w:rPr>
          <w:rFonts w:hint="eastAsia" w:asciiTheme="minorEastAsia" w:hAnsiTheme="minorEastAsia" w:eastAsiaTheme="minorEastAsia" w:cstheme="minorEastAsia"/>
          <w:kern w:val="2"/>
          <w:sz w:val="24"/>
          <w:szCs w:val="24"/>
        </w:rPr>
        <w:t>：直接选定，指由采购人或者服务对象依据入围产品价格、质量以及服务便利性、用户评价等因素，从第一阶段入围供应商中直接选定。</w:t>
      </w:r>
    </w:p>
    <w:p w14:paraId="4C93A36F">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六、违约责任</w:t>
      </w:r>
    </w:p>
    <w:p w14:paraId="1577E5D4">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入围供应商</w:t>
      </w:r>
      <w:r>
        <w:rPr>
          <w:rFonts w:hint="eastAsia" w:asciiTheme="minorEastAsia" w:hAnsiTheme="minorEastAsia" w:eastAsiaTheme="minorEastAsia" w:cstheme="minorEastAsia"/>
          <w:kern w:val="2"/>
          <w:sz w:val="24"/>
          <w:szCs w:val="24"/>
        </w:rPr>
        <w:t>如擅自毁约</w:t>
      </w:r>
      <w:r>
        <w:rPr>
          <w:rFonts w:hint="default"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kern w:val="2"/>
          <w:sz w:val="24"/>
          <w:szCs w:val="24"/>
        </w:rPr>
        <w:t>如审核时间未经批准超过公开</w:t>
      </w:r>
      <w:r>
        <w:rPr>
          <w:rFonts w:hint="eastAsia" w:asciiTheme="minorEastAsia" w:hAnsiTheme="minorEastAsia" w:eastAsiaTheme="minorEastAsia" w:cstheme="minorEastAsia"/>
          <w:kern w:val="2"/>
          <w:sz w:val="24"/>
          <w:szCs w:val="24"/>
          <w:lang w:eastAsia="zh-CN"/>
        </w:rPr>
        <w:t>征集文件</w:t>
      </w:r>
      <w:r>
        <w:rPr>
          <w:rFonts w:hint="eastAsia" w:asciiTheme="minorEastAsia" w:hAnsiTheme="minorEastAsia" w:eastAsiaTheme="minorEastAsia" w:cstheme="minorEastAsia"/>
          <w:kern w:val="2"/>
          <w:sz w:val="24"/>
          <w:szCs w:val="24"/>
        </w:rPr>
        <w:t>规定的审核时间</w:t>
      </w:r>
      <w:r>
        <w:rPr>
          <w:rFonts w:hint="default" w:asciiTheme="minorEastAsia" w:hAnsiTheme="minorEastAsia" w:eastAsiaTheme="minorEastAsia" w:cstheme="minorEastAsia"/>
          <w:kern w:val="2"/>
          <w:sz w:val="24"/>
          <w:szCs w:val="24"/>
        </w:rPr>
        <w:t>，如</w:t>
      </w:r>
      <w:r>
        <w:rPr>
          <w:rFonts w:hint="eastAsia" w:asciiTheme="minorEastAsia" w:hAnsiTheme="minorEastAsia" w:eastAsiaTheme="minorEastAsia" w:cstheme="minorEastAsia"/>
          <w:kern w:val="2"/>
          <w:sz w:val="24"/>
          <w:szCs w:val="24"/>
        </w:rPr>
        <w:t>未按规定</w:t>
      </w:r>
      <w:r>
        <w:rPr>
          <w:rFonts w:hint="eastAsia" w:asciiTheme="minorEastAsia" w:hAnsiTheme="minorEastAsia" w:eastAsiaTheme="minorEastAsia" w:cstheme="minorEastAsia"/>
          <w:kern w:val="2"/>
          <w:sz w:val="24"/>
          <w:szCs w:val="24"/>
          <w:lang w:eastAsia="zh-CN"/>
        </w:rPr>
        <w:t>响应</w:t>
      </w:r>
      <w:r>
        <w:rPr>
          <w:rFonts w:hint="eastAsia" w:asciiTheme="minorEastAsia" w:hAnsiTheme="minorEastAsia" w:eastAsiaTheme="minorEastAsia" w:cstheme="minorEastAsia"/>
          <w:kern w:val="2"/>
          <w:sz w:val="24"/>
          <w:szCs w:val="24"/>
        </w:rPr>
        <w:t>承诺等情形</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rPr>
        <w:t>采购人将视情况采取违约措施、或取消其承接审核业务资格并追究其经济责任且按有关规定进行处罚。</w:t>
      </w:r>
    </w:p>
    <w:p w14:paraId="18D746E9">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default"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r>
        <w:rPr>
          <w:rFonts w:hint="eastAsia" w:asciiTheme="minorEastAsia" w:hAnsiTheme="minorEastAsia" w:eastAsiaTheme="minorEastAsia" w:cstheme="minorEastAsia"/>
          <w:kern w:val="2"/>
          <w:sz w:val="24"/>
          <w:szCs w:val="24"/>
          <w:lang w:eastAsia="zh-CN"/>
        </w:rPr>
        <w:t>入围供应商</w:t>
      </w:r>
      <w:r>
        <w:rPr>
          <w:rFonts w:hint="eastAsia" w:asciiTheme="minorEastAsia" w:hAnsiTheme="minorEastAsia" w:eastAsiaTheme="minorEastAsia" w:cstheme="minorEastAsia"/>
          <w:kern w:val="2"/>
          <w:sz w:val="24"/>
          <w:szCs w:val="24"/>
        </w:rPr>
        <w:t>审核人员滥用职权、循私舞弊、玩忽职守，尚不构成犯罪但造成损失的，采购人将依法追究</w:t>
      </w:r>
      <w:r>
        <w:rPr>
          <w:rFonts w:hint="eastAsia" w:asciiTheme="minorEastAsia" w:hAnsiTheme="minorEastAsia" w:eastAsiaTheme="minorEastAsia" w:cstheme="minorEastAsia"/>
          <w:kern w:val="2"/>
          <w:sz w:val="24"/>
          <w:szCs w:val="24"/>
          <w:lang w:eastAsia="zh-CN"/>
        </w:rPr>
        <w:t>入围供应商</w:t>
      </w:r>
      <w:r>
        <w:rPr>
          <w:rFonts w:hint="eastAsia" w:asciiTheme="minorEastAsia" w:hAnsiTheme="minorEastAsia" w:eastAsiaTheme="minorEastAsia" w:cstheme="minorEastAsia"/>
          <w:kern w:val="2"/>
          <w:sz w:val="24"/>
          <w:szCs w:val="24"/>
        </w:rPr>
        <w:t>审核人员的赔偿责任；如构成犯罪的，依法移交司法机关追究刑事责任</w:t>
      </w:r>
      <w:r>
        <w:rPr>
          <w:rFonts w:hint="default" w:asciiTheme="minorEastAsia" w:hAnsiTheme="minorEastAsia" w:eastAsiaTheme="minorEastAsia" w:cstheme="minorEastAsia"/>
          <w:kern w:val="2"/>
          <w:sz w:val="24"/>
          <w:szCs w:val="24"/>
        </w:rPr>
        <w:t>。</w:t>
      </w:r>
    </w:p>
    <w:p w14:paraId="4F9C3254">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default"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r>
        <w:rPr>
          <w:rFonts w:hint="eastAsia" w:asciiTheme="minorEastAsia" w:hAnsiTheme="minorEastAsia" w:eastAsiaTheme="minorEastAsia" w:cstheme="minorEastAsia"/>
          <w:kern w:val="2"/>
          <w:sz w:val="24"/>
          <w:szCs w:val="24"/>
          <w:lang w:eastAsia="zh-CN"/>
        </w:rPr>
        <w:t>入围供应商</w:t>
      </w:r>
      <w:r>
        <w:rPr>
          <w:rFonts w:hint="eastAsia" w:asciiTheme="minorEastAsia" w:hAnsiTheme="minorEastAsia" w:eastAsiaTheme="minorEastAsia" w:cstheme="minorEastAsia"/>
          <w:kern w:val="2"/>
          <w:sz w:val="24"/>
          <w:szCs w:val="24"/>
        </w:rPr>
        <w:t>未按采购人的要求开展工作的，取消其承接审核业务资格</w:t>
      </w:r>
      <w:r>
        <w:rPr>
          <w:rFonts w:hint="default" w:asciiTheme="minorEastAsia" w:hAnsiTheme="minorEastAsia" w:eastAsiaTheme="minorEastAsia" w:cstheme="minorEastAsia"/>
          <w:kern w:val="2"/>
          <w:sz w:val="24"/>
          <w:szCs w:val="24"/>
        </w:rPr>
        <w:t>。</w:t>
      </w:r>
    </w:p>
    <w:p w14:paraId="77DF8DFC">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七、入围供应商清退和补充规则</w:t>
      </w:r>
    </w:p>
    <w:p w14:paraId="6C6E0F6A">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（一）清退</w:t>
      </w:r>
    </w:p>
    <w:p w14:paraId="6AD24AF7">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入围供应商有下列情形之一，尚未签订框架协议的，取消其入围资格；已经签订框架协议的，解除与其签订的框架协议：</w:t>
      </w:r>
    </w:p>
    <w:p w14:paraId="708B0010">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1.恶意串通谋取入围或者合同成交的；</w:t>
      </w:r>
    </w:p>
    <w:p w14:paraId="1912AEBE">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2.提供虚假材料谋取入围或者合同成交的；</w:t>
      </w:r>
    </w:p>
    <w:p w14:paraId="31846909">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3.无正当理由拒不接受合同授予的；</w:t>
      </w:r>
    </w:p>
    <w:p w14:paraId="08E6DEB3">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4.不履行合同义务或者履行合同义务不符合约定，经采购人请求履行后仍不履行或者仍未按约定履行的；</w:t>
      </w:r>
    </w:p>
    <w:p w14:paraId="69193E9F">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5.框架协议有效期内，因违法行为被禁止或限制参加政府采购活动的；</w:t>
      </w:r>
    </w:p>
    <w:p w14:paraId="06866071">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6.框架协议约定的其他情形。</w:t>
      </w:r>
    </w:p>
    <w:p w14:paraId="5E1B4A37">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被取消入围资格或者被解除框架协议的供应商不得参加同一封闭式框架协议补充征集，或者重新申请加入同一开放式框架协议。</w:t>
      </w:r>
    </w:p>
    <w:p w14:paraId="34ED7678">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（二）补充</w:t>
      </w:r>
    </w:p>
    <w:p w14:paraId="24275148">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剩余入围供应商不足入围供应商总数80%且影响框架协议执行，征集人可以补充征集供应商。补充征集的条件、程序、评审方法和淘汰比例与初次征集相同。补充征集期间，原框架协议继续履行。</w:t>
      </w:r>
    </w:p>
    <w:p w14:paraId="27ED4B90">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kern w:val="2"/>
          <w:sz w:val="24"/>
          <w:szCs w:val="24"/>
          <w:lang w:val="en-US" w:eastAsia="zh-CN" w:bidi="ar-SA"/>
        </w:rPr>
        <w:t>八、用户反馈和评价机制</w:t>
      </w:r>
      <w:r>
        <w:rPr>
          <w:rFonts w:hint="eastAsia" w:asciiTheme="minorEastAsia" w:hAnsiTheme="minorEastAsia" w:eastAsiaTheme="minorEastAsia" w:cstheme="minorEastAsia"/>
          <w:kern w:val="2"/>
          <w:sz w:val="24"/>
          <w:szCs w:val="24"/>
        </w:rPr>
        <w:t>：接受采购人对入围供应商履行框架协议和采购合同情况的反馈与评价，并将用户反馈和评价情况向采购人公开，作为第二阶段选定成交供应商的参考。</w:t>
      </w:r>
    </w:p>
    <w:p w14:paraId="3FA40396">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1.征集人组织对供应商履约的验收（考核）。如果发现与合同中要求不符，供应商须承担由此发生的一切损失和费用，并接受相应的处理。</w:t>
      </w:r>
    </w:p>
    <w:p w14:paraId="532B62C2">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2.征集人可以邀请参加本项目的其他供应商或者第三方机构参与验收（考核）。参与验收（考核）的供应商或者第三方机构的意见作为验收（考核）书的参考资料一并存档。</w:t>
      </w:r>
    </w:p>
    <w:p w14:paraId="27AE62C1">
      <w:pPr>
        <w:pStyle w:val="57"/>
        <w:keepNext w:val="0"/>
        <w:keepLines w:val="0"/>
        <w:pageBreakBefore w:val="0"/>
        <w:kinsoku/>
        <w:wordWrap/>
        <w:overflowPunct/>
        <w:topLinePunct w:val="0"/>
        <w:autoSpaceDE/>
        <w:autoSpaceDN/>
        <w:bidi w:val="0"/>
        <w:snapToGrid w:val="0"/>
        <w:spacing w:after="0" w:afterLines="0" w:line="440" w:lineRule="exact"/>
        <w:ind w:firstLine="56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br w:type="page"/>
      </w:r>
    </w:p>
    <w:p w14:paraId="06FDD4CF">
      <w:pPr>
        <w:pStyle w:val="5"/>
        <w:keepNext w:val="0"/>
        <w:keepLines w:val="0"/>
        <w:pageBreakBefore/>
        <w:widowControl w:val="0"/>
        <w:numPr>
          <w:ilvl w:val="0"/>
          <w:numId w:val="0"/>
        </w:numPr>
        <w:kinsoku/>
        <w:wordWrap w:val="0"/>
        <w:overflowPunct/>
        <w:topLinePunct/>
        <w:autoSpaceDE/>
        <w:autoSpaceDN/>
        <w:bidi w:val="0"/>
        <w:adjustRightInd/>
        <w:snapToGrid/>
        <w:spacing w:before="0" w:after="0" w:line="360" w:lineRule="auto"/>
        <w:jc w:val="center"/>
        <w:textAlignment w:val="auto"/>
        <w:rPr>
          <w:rFonts w:hint="eastAsia" w:ascii="宋体" w:hAnsi="宋体" w:eastAsia="宋体" w:cs="宋体"/>
          <w:color w:val="auto"/>
          <w:sz w:val="32"/>
          <w:szCs w:val="44"/>
        </w:rPr>
      </w:pPr>
      <w:r>
        <w:rPr>
          <w:rFonts w:hint="eastAsia" w:ascii="宋体" w:hAnsi="宋体" w:eastAsia="宋体" w:cs="宋体"/>
          <w:color w:val="auto"/>
          <w:sz w:val="32"/>
          <w:szCs w:val="44"/>
        </w:rPr>
        <w:t>第三章　供应商须知</w:t>
      </w:r>
      <w:bookmarkEnd w:id="28"/>
    </w:p>
    <w:p w14:paraId="49DA3D63">
      <w:pPr>
        <w:spacing w:line="360" w:lineRule="auto"/>
        <w:ind w:firstLine="281" w:firstLineChars="100"/>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电子交易注意事项</w:t>
      </w:r>
    </w:p>
    <w:p w14:paraId="317178F8">
      <w:pPr>
        <w:spacing w:line="360" w:lineRule="auto"/>
        <w:ind w:firstLine="240" w:firstLineChars="100"/>
        <w:jc w:val="left"/>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　政府采购项目电子交易活动适用《浙江省政府采购项目电子交易管理暂行办法》，现将相关注意事项告知如下：</w:t>
      </w:r>
    </w:p>
    <w:p w14:paraId="22A14593">
      <w:pPr>
        <w:spacing w:line="360" w:lineRule="auto"/>
        <w:ind w:firstLine="240" w:firstLineChars="100"/>
        <w:jc w:val="left"/>
        <w:rPr>
          <w:rFonts w:asciiTheme="majorEastAsia" w:hAnsiTheme="majorEastAsia" w:eastAsiaTheme="majorEastAsia" w:cstheme="majorEastAsia"/>
        </w:rPr>
      </w:pPr>
      <w:r>
        <w:rPr>
          <w:rFonts w:hint="eastAsia" w:asciiTheme="majorEastAsia" w:hAnsiTheme="majorEastAsia" w:eastAsiaTheme="majorEastAsia" w:cstheme="majorEastAsia"/>
        </w:rPr>
        <w:t>　1.集中采购机构按照征集文件规定的时间通过电子交易平台组织开标、开启响应文件，所有供应商均应当准时在线参加，直至评审结束。</w:t>
      </w:r>
    </w:p>
    <w:p w14:paraId="17ED129D">
      <w:pPr>
        <w:pStyle w:val="31"/>
        <w:spacing w:beforeAutospacing="0" w:afterAutospacing="0" w:line="360" w:lineRule="auto"/>
        <w:ind w:firstLine="240" w:firstLineChars="100"/>
        <w:rPr>
          <w:rFonts w:asciiTheme="majorEastAsia" w:hAnsiTheme="majorEastAsia" w:eastAsiaTheme="majorEastAsia" w:cstheme="majorEastAsia"/>
          <w:kern w:val="2"/>
        </w:rPr>
      </w:pPr>
      <w:r>
        <w:rPr>
          <w:rFonts w:hint="eastAsia" w:asciiTheme="majorEastAsia" w:hAnsiTheme="majorEastAsia" w:eastAsiaTheme="majorEastAsia" w:cstheme="majorEastAsia"/>
          <w:kern w:val="2"/>
        </w:rPr>
        <w:t>　2. 响应文件未按时解密，供应商如提供备份响应文件的，以符合要求的备份响应文件作为依据，否则视为响应文件撤回。响应文件已按时解密的，备份响应文件自动失效。</w:t>
      </w:r>
    </w:p>
    <w:p w14:paraId="193F8CCC">
      <w:pPr>
        <w:pStyle w:val="31"/>
        <w:spacing w:beforeAutospacing="0" w:afterAutospacing="0" w:line="360" w:lineRule="auto"/>
        <w:ind w:firstLine="240" w:firstLineChars="100"/>
        <w:rPr>
          <w:rFonts w:asciiTheme="majorEastAsia" w:hAnsiTheme="majorEastAsia" w:eastAsiaTheme="majorEastAsia" w:cstheme="majorEastAsia"/>
          <w:kern w:val="2"/>
        </w:rPr>
      </w:pPr>
      <w:r>
        <w:rPr>
          <w:rFonts w:hint="eastAsia" w:asciiTheme="majorEastAsia" w:hAnsiTheme="majorEastAsia" w:eastAsiaTheme="majorEastAsia" w:cstheme="majorEastAsia"/>
          <w:kern w:val="2"/>
        </w:rPr>
        <w:t xml:space="preserve">　3. </w:t>
      </w:r>
      <w:r>
        <w:rPr>
          <w:rFonts w:hint="eastAsia" w:asciiTheme="majorEastAsia" w:hAnsiTheme="majorEastAsia" w:eastAsiaTheme="majorEastAsia" w:cstheme="majorEastAsia"/>
          <w:kern w:val="2"/>
          <w:lang w:eastAsia="zh-CN"/>
        </w:rPr>
        <w:t>征集</w:t>
      </w:r>
      <w:r>
        <w:rPr>
          <w:rFonts w:hint="eastAsia" w:asciiTheme="majorEastAsia" w:hAnsiTheme="majorEastAsia" w:eastAsiaTheme="majorEastAsia" w:cstheme="majorEastAsia"/>
          <w:kern w:val="2"/>
        </w:rPr>
        <w:t>过程中出现以下情形，导致电子交易平台无法正常运行，或者无法保证电子交易的公平、公正和安全时，集中采购机构可中止电子交易活动：</w:t>
      </w:r>
    </w:p>
    <w:p w14:paraId="71DE1AA7">
      <w:pPr>
        <w:pStyle w:val="31"/>
        <w:spacing w:beforeAutospacing="0" w:afterAutospacing="0" w:line="360" w:lineRule="auto"/>
        <w:ind w:firstLine="645"/>
        <w:rPr>
          <w:rFonts w:asciiTheme="majorEastAsia" w:hAnsiTheme="majorEastAsia" w:eastAsiaTheme="majorEastAsia" w:cstheme="majorEastAsia"/>
          <w:kern w:val="2"/>
        </w:rPr>
      </w:pPr>
      <w:r>
        <w:rPr>
          <w:rFonts w:hint="eastAsia" w:asciiTheme="majorEastAsia" w:hAnsiTheme="majorEastAsia" w:eastAsiaTheme="majorEastAsia" w:cstheme="majorEastAsia"/>
          <w:kern w:val="2"/>
        </w:rPr>
        <w:t>（一）电子交易平台发生故障而无法登录访问的。</w:t>
      </w:r>
    </w:p>
    <w:p w14:paraId="20BBEECE">
      <w:pPr>
        <w:pStyle w:val="31"/>
        <w:spacing w:beforeAutospacing="0" w:afterAutospacing="0" w:line="360" w:lineRule="auto"/>
        <w:ind w:firstLine="645"/>
        <w:rPr>
          <w:rFonts w:asciiTheme="majorEastAsia" w:hAnsiTheme="majorEastAsia" w:eastAsiaTheme="majorEastAsia" w:cstheme="majorEastAsia"/>
          <w:kern w:val="2"/>
        </w:rPr>
      </w:pPr>
      <w:r>
        <w:rPr>
          <w:rFonts w:hint="eastAsia" w:asciiTheme="majorEastAsia" w:hAnsiTheme="majorEastAsia" w:eastAsiaTheme="majorEastAsia" w:cstheme="majorEastAsia"/>
          <w:kern w:val="2"/>
        </w:rPr>
        <w:t>（二）电子交易平台应用或数据库出现错误，不能进行正常操作的。</w:t>
      </w:r>
    </w:p>
    <w:p w14:paraId="21CAC970">
      <w:pPr>
        <w:pStyle w:val="31"/>
        <w:spacing w:beforeAutospacing="0" w:afterAutospacing="0" w:line="360" w:lineRule="auto"/>
        <w:ind w:firstLine="645"/>
        <w:rPr>
          <w:rFonts w:asciiTheme="majorEastAsia" w:hAnsiTheme="majorEastAsia" w:eastAsiaTheme="majorEastAsia" w:cstheme="majorEastAsia"/>
          <w:kern w:val="2"/>
        </w:rPr>
      </w:pPr>
      <w:r>
        <w:rPr>
          <w:rFonts w:hint="eastAsia" w:asciiTheme="majorEastAsia" w:hAnsiTheme="majorEastAsia" w:eastAsiaTheme="majorEastAsia" w:cstheme="majorEastAsia"/>
          <w:kern w:val="2"/>
        </w:rPr>
        <w:t>（三）电子交易平台发现严重安全漏洞，有潜在泄密危险的。</w:t>
      </w:r>
    </w:p>
    <w:p w14:paraId="39F2464F">
      <w:pPr>
        <w:pStyle w:val="31"/>
        <w:spacing w:beforeAutospacing="0" w:afterAutospacing="0" w:line="360" w:lineRule="auto"/>
        <w:ind w:firstLine="645"/>
        <w:rPr>
          <w:rFonts w:asciiTheme="majorEastAsia" w:hAnsiTheme="majorEastAsia" w:eastAsiaTheme="majorEastAsia" w:cstheme="majorEastAsia"/>
          <w:kern w:val="2"/>
        </w:rPr>
      </w:pPr>
      <w:r>
        <w:rPr>
          <w:rFonts w:hint="eastAsia" w:asciiTheme="majorEastAsia" w:hAnsiTheme="majorEastAsia" w:eastAsiaTheme="majorEastAsia" w:cstheme="majorEastAsia"/>
          <w:kern w:val="2"/>
        </w:rPr>
        <w:t>（四）病毒发作导致不能进行正常操作的。 </w:t>
      </w:r>
    </w:p>
    <w:p w14:paraId="126972FA">
      <w:pPr>
        <w:pStyle w:val="31"/>
        <w:spacing w:beforeAutospacing="0" w:afterAutospacing="0" w:line="360" w:lineRule="auto"/>
        <w:ind w:firstLine="645"/>
        <w:rPr>
          <w:rFonts w:asciiTheme="majorEastAsia" w:hAnsiTheme="majorEastAsia" w:eastAsiaTheme="majorEastAsia" w:cstheme="majorEastAsia"/>
          <w:kern w:val="2"/>
        </w:rPr>
      </w:pPr>
      <w:r>
        <w:rPr>
          <w:rFonts w:hint="eastAsia" w:asciiTheme="majorEastAsia" w:hAnsiTheme="majorEastAsia" w:eastAsiaTheme="majorEastAsia" w:cstheme="majorEastAsia"/>
          <w:kern w:val="2"/>
        </w:rPr>
        <w:t>（五）其他无法保证电子交易的公平、公正和安全的情况。</w:t>
      </w:r>
    </w:p>
    <w:p w14:paraId="4A35DD5C">
      <w:pPr>
        <w:pStyle w:val="31"/>
        <w:spacing w:beforeAutospacing="0" w:afterAutospacing="0" w:line="360" w:lineRule="auto"/>
        <w:ind w:firstLine="480"/>
        <w:rPr>
          <w:rFonts w:asciiTheme="majorEastAsia" w:hAnsiTheme="majorEastAsia" w:eastAsiaTheme="majorEastAsia" w:cstheme="majorEastAsia"/>
          <w:kern w:val="2"/>
        </w:rPr>
      </w:pPr>
      <w:r>
        <w:rPr>
          <w:rFonts w:hint="eastAsia" w:asciiTheme="majorEastAsia" w:hAnsiTheme="majorEastAsia" w:eastAsiaTheme="majorEastAsia" w:cstheme="majorEastAsia"/>
          <w:kern w:val="2"/>
        </w:rPr>
        <w:t>出现前款规定情形，不影响采购公平、公正性的，集中采购机构可以待上述情形消除后继续组织电子交易活动，也可以决定某些环节以纸质形式进行；影响或可能影响采购公平、公正性的，应当重新采购。</w:t>
      </w:r>
    </w:p>
    <w:p w14:paraId="0ACDB346">
      <w:pPr>
        <w:pStyle w:val="31"/>
        <w:numPr>
          <w:ilvl w:val="0"/>
          <w:numId w:val="2"/>
        </w:numPr>
        <w:spacing w:beforeAutospacing="0" w:afterAutospacing="0" w:line="360" w:lineRule="auto"/>
        <w:ind w:firstLine="480"/>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评审中需要供应商对响应文件作出澄清、说明或者补正的，评审小组和供应商应当通过电子交易平台交换数据电文。供应商需在半小时内提交澄清说明或补正，供应商已经明确表示澄清说明或补正完毕的除外。</w:t>
      </w:r>
    </w:p>
    <w:p w14:paraId="0EC7B8F2">
      <w:pPr>
        <w:pStyle w:val="31"/>
        <w:spacing w:beforeAutospacing="0" w:afterAutospacing="0" w:line="360" w:lineRule="auto"/>
        <w:ind w:firstLine="480"/>
        <w:jc w:val="center"/>
        <w:rPr>
          <w:rFonts w:hint="eastAsia"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br w:type="page"/>
      </w:r>
    </w:p>
    <w:p w14:paraId="3ECDE601">
      <w:pPr>
        <w:wordWrap w:val="0"/>
        <w:overflowPunct w:val="0"/>
        <w:autoSpaceDE w:val="0"/>
        <w:autoSpaceDN w:val="0"/>
        <w:snapToGrid w:val="0"/>
        <w:spacing w:line="360" w:lineRule="auto"/>
        <w:jc w:val="center"/>
        <w:rPr>
          <w:rFonts w:ascii="宋体" w:hAnsi="宋体" w:cs="宋体"/>
          <w:b/>
          <w:bCs/>
          <w:sz w:val="28"/>
        </w:rPr>
      </w:pPr>
      <w:r>
        <w:rPr>
          <w:rFonts w:hint="eastAsia" w:ascii="宋体" w:hAnsi="宋体" w:cs="宋体"/>
          <w:b/>
          <w:bCs/>
          <w:sz w:val="28"/>
        </w:rPr>
        <w:t>前附表</w:t>
      </w:r>
    </w:p>
    <w:tbl>
      <w:tblPr>
        <w:tblStyle w:val="32"/>
        <w:tblW w:w="9143" w:type="dxa"/>
        <w:tblInd w:w="142" w:type="dxa"/>
        <w:tblLayout w:type="fixed"/>
        <w:tblCellMar>
          <w:top w:w="0" w:type="dxa"/>
          <w:left w:w="108" w:type="dxa"/>
          <w:bottom w:w="0" w:type="dxa"/>
          <w:right w:w="108" w:type="dxa"/>
        </w:tblCellMar>
      </w:tblPr>
      <w:tblGrid>
        <w:gridCol w:w="744"/>
        <w:gridCol w:w="8399"/>
      </w:tblGrid>
      <w:tr w14:paraId="627D12CE">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3EBE033C">
            <w:pPr>
              <w:keepNext w:val="0"/>
              <w:keepLines w:val="0"/>
              <w:suppressLineNumbers w:val="0"/>
              <w:wordWrap w:val="0"/>
              <w:overflowPunct w:val="0"/>
              <w:autoSpaceDE w:val="0"/>
              <w:autoSpaceDN w:val="0"/>
              <w:adjustRightInd/>
              <w:snapToGrid w:val="0"/>
              <w:spacing w:before="24" w:beforeLines="10" w:beforeAutospacing="0" w:after="24" w:afterLines="10" w:afterAutospacing="0" w:line="400" w:lineRule="exact"/>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8399" w:type="dxa"/>
            <w:tcBorders>
              <w:top w:val="single" w:color="auto" w:sz="4" w:space="0"/>
              <w:left w:val="nil"/>
              <w:bottom w:val="single" w:color="auto" w:sz="4" w:space="0"/>
              <w:right w:val="single" w:color="auto" w:sz="4" w:space="0"/>
            </w:tcBorders>
            <w:noWrap w:val="0"/>
            <w:vAlign w:val="center"/>
          </w:tcPr>
          <w:p w14:paraId="596A7C91">
            <w:pPr>
              <w:pStyle w:val="18"/>
              <w:keepNext w:val="0"/>
              <w:keepLines w:val="0"/>
              <w:suppressLineNumbers w:val="0"/>
              <w:wordWrap w:val="0"/>
              <w:overflowPunct w:val="0"/>
              <w:autoSpaceDE w:val="0"/>
              <w:autoSpaceDN w:val="0"/>
              <w:adjustRightInd/>
              <w:snapToGrid w:val="0"/>
              <w:spacing w:before="24" w:beforeLines="10" w:beforeAutospacing="0" w:after="24" w:afterLines="10" w:afterAutospacing="0" w:line="400" w:lineRule="exact"/>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内容、要求</w:t>
            </w:r>
          </w:p>
        </w:tc>
      </w:tr>
      <w:tr w14:paraId="7FDEDCEC">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5E85768F">
            <w:pPr>
              <w:keepNext w:val="0"/>
              <w:keepLines w:val="0"/>
              <w:suppressLineNumbers w:val="0"/>
              <w:wordWrap w:val="0"/>
              <w:overflowPunct w:val="0"/>
              <w:autoSpaceDE w:val="0"/>
              <w:autoSpaceDN w:val="0"/>
              <w:adjustRightInd/>
              <w:snapToGrid w:val="0"/>
              <w:spacing w:before="24" w:beforeLines="10" w:beforeAutospacing="0" w:after="24" w:afterLines="1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399" w:type="dxa"/>
            <w:tcBorders>
              <w:top w:val="single" w:color="auto" w:sz="4" w:space="0"/>
              <w:left w:val="nil"/>
              <w:bottom w:val="single" w:color="auto" w:sz="4" w:space="0"/>
              <w:right w:val="single" w:color="auto" w:sz="4" w:space="0"/>
            </w:tcBorders>
            <w:noWrap w:val="0"/>
            <w:vAlign w:val="center"/>
          </w:tcPr>
          <w:p w14:paraId="5A1426D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kern w:val="0"/>
                <w:sz w:val="21"/>
                <w:szCs w:val="21"/>
              </w:rPr>
              <w:t>：202</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-202</w:t>
            </w:r>
            <w:r>
              <w:rPr>
                <w:rFonts w:hint="eastAsia" w:asciiTheme="minorEastAsia" w:hAnsiTheme="minorEastAsia" w:eastAsiaTheme="minorEastAsia" w:cstheme="minorEastAsia"/>
                <w:kern w:val="0"/>
                <w:sz w:val="21"/>
                <w:szCs w:val="21"/>
                <w:lang w:val="en-US" w:eastAsia="zh-CN"/>
              </w:rPr>
              <w:t>6年</w:t>
            </w:r>
            <w:r>
              <w:rPr>
                <w:rFonts w:hint="eastAsia" w:asciiTheme="minorEastAsia" w:hAnsiTheme="minorEastAsia" w:eastAsiaTheme="minorEastAsia" w:cstheme="minorEastAsia"/>
                <w:kern w:val="0"/>
                <w:sz w:val="21"/>
                <w:szCs w:val="21"/>
              </w:rPr>
              <w:t>嘉善县政府投资项目工程造价咨询服务框架协议采购</w:t>
            </w:r>
          </w:p>
        </w:tc>
      </w:tr>
      <w:tr w14:paraId="23690050">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5EA3AB40">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399" w:type="dxa"/>
            <w:tcBorders>
              <w:top w:val="single" w:color="auto" w:sz="4" w:space="0"/>
              <w:left w:val="nil"/>
              <w:bottom w:val="single" w:color="auto" w:sz="4" w:space="0"/>
              <w:right w:val="single" w:color="auto" w:sz="4" w:space="0"/>
            </w:tcBorders>
            <w:noWrap w:val="0"/>
            <w:vAlign w:val="center"/>
          </w:tcPr>
          <w:p w14:paraId="4A22841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spacing w:val="-4"/>
                <w:sz w:val="21"/>
                <w:szCs w:val="21"/>
              </w:rPr>
              <w:t>采购内容：</w:t>
            </w:r>
            <w:r>
              <w:rPr>
                <w:rFonts w:hint="eastAsia" w:asciiTheme="minorEastAsia" w:hAnsiTheme="minorEastAsia" w:eastAsiaTheme="minorEastAsia" w:cstheme="minorEastAsia"/>
                <w:b w:val="0"/>
                <w:bCs w:val="0"/>
                <w:color w:val="auto"/>
                <w:sz w:val="21"/>
                <w:szCs w:val="21"/>
                <w:lang w:eastAsia="zh-CN"/>
              </w:rPr>
              <w:t>通过框架协议方式，</w:t>
            </w:r>
            <w:r>
              <w:rPr>
                <w:rFonts w:hint="eastAsia" w:asciiTheme="minorEastAsia" w:hAnsiTheme="minorEastAsia" w:eastAsiaTheme="minorEastAsia" w:cstheme="minorEastAsia"/>
                <w:b w:val="0"/>
                <w:bCs w:val="0"/>
                <w:color w:val="auto"/>
                <w:sz w:val="21"/>
                <w:szCs w:val="21"/>
                <w:lang w:val="en-US" w:eastAsia="zh-CN"/>
              </w:rPr>
              <w:t>确定2025-2026年嘉善县政府投资项目工程造价咨询服务框架协议采购供应商。</w:t>
            </w:r>
          </w:p>
        </w:tc>
      </w:tr>
      <w:tr w14:paraId="5CFDDEC0">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CCC12D2">
            <w:pPr>
              <w:keepNext w:val="0"/>
              <w:keepLines w:val="0"/>
              <w:suppressLineNumbers w:val="0"/>
              <w:wordWrap w:val="0"/>
              <w:overflowPunct w:val="0"/>
              <w:autoSpaceDE w:val="0"/>
              <w:autoSpaceDN w:val="0"/>
              <w:adjustRightInd/>
              <w:snapToGrid w:val="0"/>
              <w:spacing w:before="24" w:beforeLines="10" w:beforeAutospacing="0" w:after="24" w:afterLines="1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8399" w:type="dxa"/>
            <w:tcBorders>
              <w:top w:val="single" w:color="auto" w:sz="4" w:space="0"/>
              <w:left w:val="nil"/>
              <w:bottom w:val="single" w:color="auto" w:sz="4" w:space="0"/>
              <w:right w:val="single" w:color="auto" w:sz="4" w:space="0"/>
            </w:tcBorders>
            <w:noWrap w:val="0"/>
            <w:vAlign w:val="center"/>
          </w:tcPr>
          <w:p w14:paraId="04C254BF">
            <w:pPr>
              <w:keepNext w:val="0"/>
              <w:keepLines w:val="0"/>
              <w:widowControl/>
              <w:suppressLineNumbers w:val="0"/>
              <w:snapToGrid/>
              <w:spacing w:before="0" w:beforeAutospacing="0" w:after="0" w:afterAutospacing="0" w:line="440" w:lineRule="exact"/>
              <w:ind w:left="0" w:right="0"/>
              <w:jc w:val="left"/>
              <w:rPr>
                <w:rFonts w:hint="eastAsia" w:asciiTheme="minorEastAsia" w:hAnsiTheme="minorEastAsia" w:eastAsiaTheme="minorEastAsia" w:cstheme="minorEastAsia"/>
                <w:b/>
                <w:bCs/>
                <w:color w:val="auto"/>
                <w:spacing w:val="-4"/>
                <w:sz w:val="21"/>
                <w:szCs w:val="21"/>
              </w:rPr>
            </w:pPr>
            <w:r>
              <w:rPr>
                <w:rFonts w:hint="eastAsia" w:asciiTheme="minorEastAsia" w:hAnsiTheme="minorEastAsia" w:eastAsiaTheme="minorEastAsia" w:cstheme="minorEastAsia"/>
                <w:b/>
                <w:bCs/>
                <w:color w:val="auto"/>
                <w:spacing w:val="-4"/>
                <w:sz w:val="21"/>
                <w:szCs w:val="21"/>
              </w:rPr>
              <w:t>投标报价及费用：</w:t>
            </w:r>
          </w:p>
          <w:p w14:paraId="7A6AAE6B">
            <w:pPr>
              <w:keepNext w:val="0"/>
              <w:keepLines w:val="0"/>
              <w:widowControl/>
              <w:suppressLineNumbers w:val="0"/>
              <w:snapToGrid/>
              <w:spacing w:before="0" w:beforeAutospacing="0" w:after="0" w:afterAutospacing="0" w:line="440" w:lineRule="exact"/>
              <w:ind w:left="0" w:right="0"/>
              <w:jc w:val="left"/>
              <w:rPr>
                <w:rFonts w:hint="eastAsia" w:asciiTheme="minorEastAsia" w:hAnsiTheme="minorEastAsia" w:eastAsiaTheme="minorEastAsia" w:cstheme="minorEastAsia"/>
                <w:color w:val="auto"/>
                <w:spacing w:val="-4"/>
                <w:sz w:val="21"/>
                <w:szCs w:val="21"/>
                <w:lang w:eastAsia="zh-CN"/>
              </w:rPr>
            </w:pPr>
            <w:r>
              <w:rPr>
                <w:rFonts w:hint="eastAsia" w:asciiTheme="minorEastAsia" w:hAnsiTheme="minorEastAsia" w:eastAsiaTheme="minorEastAsia" w:cstheme="minorEastAsia"/>
                <w:color w:val="auto"/>
                <w:spacing w:val="-4"/>
                <w:sz w:val="21"/>
                <w:szCs w:val="21"/>
              </w:rPr>
              <w:t>1.</w:t>
            </w:r>
            <w:r>
              <w:rPr>
                <w:rFonts w:hint="eastAsia" w:asciiTheme="minorEastAsia" w:hAnsiTheme="minorEastAsia" w:eastAsiaTheme="minorEastAsia" w:cstheme="minorEastAsia"/>
                <w:color w:val="auto"/>
                <w:spacing w:val="-4"/>
                <w:kern w:val="2"/>
                <w:sz w:val="21"/>
                <w:szCs w:val="21"/>
              </w:rPr>
              <w:t>本项目报价采用</w:t>
            </w:r>
            <w:r>
              <w:rPr>
                <w:rFonts w:hint="eastAsia" w:asciiTheme="minorEastAsia" w:hAnsiTheme="minorEastAsia" w:eastAsiaTheme="minorEastAsia" w:cstheme="minorEastAsia"/>
                <w:color w:val="auto"/>
                <w:spacing w:val="-4"/>
                <w:kern w:val="2"/>
                <w:sz w:val="21"/>
                <w:szCs w:val="21"/>
                <w:lang w:eastAsia="zh-CN"/>
              </w:rPr>
              <w:t>优惠率方式</w:t>
            </w:r>
            <w:r>
              <w:rPr>
                <w:rFonts w:hint="eastAsia" w:asciiTheme="minorEastAsia" w:hAnsiTheme="minorEastAsia" w:eastAsiaTheme="minorEastAsia" w:cstheme="minorEastAsia"/>
                <w:color w:val="auto"/>
                <w:spacing w:val="-4"/>
                <w:kern w:val="2"/>
                <w:sz w:val="21"/>
                <w:szCs w:val="21"/>
              </w:rPr>
              <w:t>，响应时提供《报价</w:t>
            </w:r>
            <w:r>
              <w:rPr>
                <w:rFonts w:hint="eastAsia" w:asciiTheme="minorEastAsia" w:hAnsiTheme="minorEastAsia" w:eastAsiaTheme="minorEastAsia" w:cstheme="minorEastAsia"/>
                <w:color w:val="auto"/>
                <w:spacing w:val="-4"/>
                <w:kern w:val="2"/>
                <w:sz w:val="21"/>
                <w:szCs w:val="21"/>
                <w:lang w:eastAsia="zh-CN"/>
              </w:rPr>
              <w:t>一览表</w:t>
            </w:r>
            <w:r>
              <w:rPr>
                <w:rFonts w:hint="eastAsia" w:asciiTheme="minorEastAsia" w:hAnsiTheme="minorEastAsia" w:eastAsiaTheme="minorEastAsia" w:cstheme="minorEastAsia"/>
                <w:color w:val="auto"/>
                <w:spacing w:val="-4"/>
                <w:kern w:val="2"/>
                <w:sz w:val="21"/>
                <w:szCs w:val="21"/>
              </w:rPr>
              <w:t>》。</w:t>
            </w:r>
            <w:r>
              <w:rPr>
                <w:rFonts w:hint="eastAsia" w:asciiTheme="minorEastAsia" w:hAnsiTheme="minorEastAsia" w:eastAsiaTheme="minorEastAsia" w:cstheme="minorEastAsia"/>
                <w:b/>
                <w:bCs/>
                <w:color w:val="auto"/>
                <w:spacing w:val="-4"/>
                <w:kern w:val="2"/>
                <w:sz w:val="21"/>
                <w:szCs w:val="21"/>
                <w:lang w:val="en-US" w:eastAsia="zh-CN"/>
              </w:rPr>
              <w:t>供应商在项目收费最高限价表（见第二章 框架协议采购需求）的基础上</w:t>
            </w:r>
            <w:r>
              <w:rPr>
                <w:rFonts w:hint="eastAsia" w:asciiTheme="minorEastAsia" w:hAnsiTheme="minorEastAsia" w:eastAsiaTheme="minorEastAsia" w:cstheme="minorEastAsia"/>
                <w:b/>
                <w:bCs/>
                <w:color w:val="auto"/>
                <w:spacing w:val="-4"/>
                <w:kern w:val="2"/>
                <w:sz w:val="21"/>
                <w:szCs w:val="21"/>
              </w:rPr>
              <w:t>报投标优惠率（即按照</w:t>
            </w:r>
            <w:r>
              <w:rPr>
                <w:rFonts w:hint="eastAsia" w:asciiTheme="minorEastAsia" w:hAnsiTheme="minorEastAsia" w:eastAsiaTheme="minorEastAsia" w:cstheme="minorEastAsia"/>
                <w:b/>
                <w:bCs/>
                <w:color w:val="auto"/>
                <w:spacing w:val="-4"/>
                <w:kern w:val="2"/>
                <w:sz w:val="21"/>
                <w:szCs w:val="21"/>
                <w:lang w:eastAsia="zh-CN"/>
              </w:rPr>
              <w:t>征集文件</w:t>
            </w:r>
            <w:r>
              <w:rPr>
                <w:rFonts w:hint="eastAsia" w:asciiTheme="minorEastAsia" w:hAnsiTheme="minorEastAsia" w:eastAsiaTheme="minorEastAsia" w:cstheme="minorEastAsia"/>
                <w:b/>
                <w:bCs/>
                <w:color w:val="auto"/>
                <w:spacing w:val="-4"/>
                <w:kern w:val="2"/>
                <w:sz w:val="21"/>
                <w:szCs w:val="21"/>
              </w:rPr>
              <w:t>规定收费标准的百分比计费）</w:t>
            </w:r>
            <w:r>
              <w:rPr>
                <w:rFonts w:hint="eastAsia" w:asciiTheme="minorEastAsia" w:hAnsiTheme="minorEastAsia" w:eastAsiaTheme="minorEastAsia" w:cstheme="minorEastAsia"/>
                <w:b/>
                <w:bCs/>
                <w:color w:val="auto"/>
                <w:spacing w:val="-4"/>
                <w:kern w:val="2"/>
                <w:sz w:val="21"/>
                <w:szCs w:val="21"/>
                <w:lang w:val="en-US" w:eastAsia="zh-CN"/>
              </w:rPr>
              <w:t>作为入围价格，报价不应超出项目收费最高限价表计费标准的99%</w:t>
            </w:r>
            <w:r>
              <w:rPr>
                <w:rFonts w:hint="eastAsia" w:asciiTheme="minorEastAsia" w:hAnsiTheme="minorEastAsia" w:eastAsiaTheme="minorEastAsia" w:cstheme="minorEastAsia"/>
                <w:b/>
                <w:bCs/>
                <w:color w:val="auto"/>
                <w:spacing w:val="-4"/>
                <w:kern w:val="2"/>
                <w:sz w:val="21"/>
                <w:szCs w:val="21"/>
                <w:lang w:eastAsia="zh-CN"/>
              </w:rPr>
              <w:t>。</w:t>
            </w:r>
          </w:p>
          <w:p w14:paraId="4C42DAD2">
            <w:pPr>
              <w:keepNext w:val="0"/>
              <w:keepLines w:val="0"/>
              <w:widowControl/>
              <w:suppressLineNumbers w:val="0"/>
              <w:wordWrap/>
              <w:overflowPunct/>
              <w:autoSpaceDE/>
              <w:autoSpaceDN/>
              <w:adjustRightInd/>
              <w:snapToGrid/>
              <w:spacing w:before="0" w:beforeLines="-2147483648" w:beforeAutospacing="0" w:after="0" w:afterLines="-2147483648" w:afterAutospacing="0" w:line="44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pacing w:val="-4"/>
                <w:sz w:val="21"/>
                <w:szCs w:val="21"/>
              </w:rPr>
              <w:t>2.不论响应结果如何，供应商均应自行承担所有与响应有关的全部费用。</w:t>
            </w:r>
          </w:p>
        </w:tc>
      </w:tr>
      <w:tr w14:paraId="66278513">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206E77D7">
            <w:pPr>
              <w:keepNext w:val="0"/>
              <w:keepLines w:val="0"/>
              <w:suppressLineNumbers w:val="0"/>
              <w:wordWrap w:val="0"/>
              <w:overflowPunct w:val="0"/>
              <w:autoSpaceDE w:val="0"/>
              <w:autoSpaceDN w:val="0"/>
              <w:adjustRightInd/>
              <w:snapToGrid w:val="0"/>
              <w:spacing w:before="24" w:beforeLines="10" w:beforeAutospacing="0" w:after="24" w:afterLines="10" w:afterAutospacing="0" w:line="400" w:lineRule="exac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8399" w:type="dxa"/>
            <w:tcBorders>
              <w:top w:val="single" w:color="auto" w:sz="4" w:space="0"/>
              <w:left w:val="nil"/>
              <w:bottom w:val="single" w:color="auto" w:sz="4" w:space="0"/>
              <w:right w:val="single" w:color="auto" w:sz="4" w:space="0"/>
            </w:tcBorders>
            <w:noWrap w:val="0"/>
            <w:vAlign w:val="center"/>
          </w:tcPr>
          <w:p w14:paraId="6BCE8545">
            <w:pPr>
              <w:keepNext w:val="0"/>
              <w:keepLines w:val="0"/>
              <w:suppressLineNumbers w:val="0"/>
              <w:wordWrap w:val="0"/>
              <w:overflowPunct w:val="0"/>
              <w:autoSpaceDE w:val="0"/>
              <w:autoSpaceDN w:val="0"/>
              <w:adjustRightInd/>
              <w:snapToGrid w:val="0"/>
              <w:spacing w:before="24" w:beforeLines="10" w:beforeAutospacing="0" w:after="24" w:afterLines="1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投标保证金：无。</w:t>
            </w:r>
          </w:p>
        </w:tc>
      </w:tr>
      <w:tr w14:paraId="04A42A36">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60892F0C">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8399" w:type="dxa"/>
            <w:tcBorders>
              <w:top w:val="single" w:color="auto" w:sz="4" w:space="0"/>
              <w:left w:val="nil"/>
              <w:bottom w:val="single" w:color="auto" w:sz="4" w:space="0"/>
              <w:right w:val="single" w:color="auto" w:sz="4" w:space="0"/>
            </w:tcBorders>
            <w:noWrap w:val="0"/>
            <w:vAlign w:val="center"/>
          </w:tcPr>
          <w:p w14:paraId="5B0BB0EF">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答疑与澄清：</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应认真阅读本</w:t>
            </w:r>
            <w:r>
              <w:rPr>
                <w:rFonts w:hint="eastAsia" w:asciiTheme="minorEastAsia" w:hAnsiTheme="minorEastAsia" w:eastAsiaTheme="minorEastAsia" w:cstheme="minorEastAsia"/>
                <w:sz w:val="21"/>
                <w:szCs w:val="21"/>
                <w:lang w:eastAsia="zh-CN"/>
              </w:rPr>
              <w:t>征集文件</w:t>
            </w:r>
            <w:r>
              <w:rPr>
                <w:rFonts w:hint="eastAsia" w:asciiTheme="minorEastAsia" w:hAnsiTheme="minorEastAsia" w:eastAsiaTheme="minorEastAsia" w:cstheme="minorEastAsia"/>
                <w:sz w:val="21"/>
                <w:szCs w:val="21"/>
              </w:rPr>
              <w:t>，发现其中有误或有不合理要求的，</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必须在知道或者应当知道之日起七个工作日内以书面形式向招标人一次性提出。采购代理机构对已发出的</w:t>
            </w:r>
            <w:r>
              <w:rPr>
                <w:rFonts w:hint="eastAsia" w:asciiTheme="minorEastAsia" w:hAnsiTheme="minorEastAsia" w:eastAsiaTheme="minorEastAsia" w:cstheme="minorEastAsia"/>
                <w:sz w:val="21"/>
                <w:szCs w:val="21"/>
                <w:lang w:eastAsia="zh-CN"/>
              </w:rPr>
              <w:t>征集文件</w:t>
            </w:r>
            <w:r>
              <w:rPr>
                <w:rFonts w:hint="eastAsia" w:asciiTheme="minorEastAsia" w:hAnsiTheme="minorEastAsia" w:eastAsiaTheme="minorEastAsia" w:cstheme="minorEastAsia"/>
                <w:sz w:val="21"/>
                <w:szCs w:val="21"/>
              </w:rPr>
              <w:t>进行必要澄清、答复、修改或补充的，应当在</w:t>
            </w:r>
            <w:r>
              <w:rPr>
                <w:rFonts w:hint="eastAsia" w:asciiTheme="minorEastAsia" w:hAnsiTheme="minorEastAsia" w:eastAsiaTheme="minorEastAsia" w:cstheme="minorEastAsia"/>
                <w:sz w:val="21"/>
                <w:szCs w:val="21"/>
                <w:lang w:eastAsia="zh-CN"/>
              </w:rPr>
              <w:t>征集文件</w:t>
            </w:r>
            <w:r>
              <w:rPr>
                <w:rFonts w:hint="eastAsia" w:asciiTheme="minorEastAsia" w:hAnsiTheme="minorEastAsia" w:eastAsiaTheme="minorEastAsia" w:cstheme="minorEastAsia"/>
                <w:sz w:val="21"/>
                <w:szCs w:val="21"/>
              </w:rPr>
              <w:t>要求提交</w:t>
            </w:r>
            <w:r>
              <w:rPr>
                <w:rFonts w:hint="eastAsia" w:asciiTheme="minorEastAsia" w:hAnsiTheme="minorEastAsia" w:eastAsiaTheme="minorEastAsia" w:cstheme="minorEastAsia"/>
                <w:sz w:val="21"/>
                <w:szCs w:val="21"/>
                <w:lang w:eastAsia="zh-CN"/>
              </w:rPr>
              <w:t>响应文件</w:t>
            </w:r>
            <w:r>
              <w:rPr>
                <w:rFonts w:hint="eastAsia" w:asciiTheme="minorEastAsia" w:hAnsiTheme="minorEastAsia" w:eastAsiaTheme="minorEastAsia" w:cstheme="minorEastAsia"/>
                <w:sz w:val="21"/>
                <w:szCs w:val="21"/>
              </w:rPr>
              <w:t>截止时间十五日前，在浙江政府采购网(https://zfcg.czt.zj.gov.cn/)上发布更正公告，请</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在投标截止前及时关注。</w:t>
            </w:r>
            <w:r>
              <w:rPr>
                <w:rFonts w:hint="eastAsia" w:asciiTheme="minorEastAsia" w:hAnsiTheme="minorEastAsia" w:eastAsiaTheme="minorEastAsia" w:cstheme="minorEastAsia"/>
                <w:sz w:val="21"/>
                <w:szCs w:val="21"/>
                <w:lang w:eastAsia="zh-CN"/>
              </w:rPr>
              <w:t>征集文件</w:t>
            </w:r>
            <w:r>
              <w:rPr>
                <w:rFonts w:hint="eastAsia" w:asciiTheme="minorEastAsia" w:hAnsiTheme="minorEastAsia" w:eastAsiaTheme="minorEastAsia" w:cstheme="minorEastAsia"/>
                <w:sz w:val="21"/>
                <w:szCs w:val="21"/>
              </w:rPr>
              <w:t>的要澄清、答复、修改或补充，一经在上述媒体发布，即视所有</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都已经收到相关文件。</w:t>
            </w:r>
          </w:p>
        </w:tc>
      </w:tr>
      <w:tr w14:paraId="56EAE03A">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203C2420">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c>
          <w:tcPr>
            <w:tcW w:w="8399" w:type="dxa"/>
            <w:tcBorders>
              <w:top w:val="single" w:color="auto" w:sz="4" w:space="0"/>
              <w:left w:val="nil"/>
              <w:bottom w:val="single" w:color="auto" w:sz="4" w:space="0"/>
              <w:right w:val="single" w:color="auto" w:sz="4" w:space="0"/>
            </w:tcBorders>
            <w:noWrap w:val="0"/>
            <w:vAlign w:val="center"/>
          </w:tcPr>
          <w:p w14:paraId="1B205557">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采购公告发布后，在政采云平台已完成注册的供应商登录系统，申请获取</w:t>
            </w:r>
            <w:r>
              <w:rPr>
                <w:rFonts w:hint="eastAsia" w:asciiTheme="minorEastAsia" w:hAnsiTheme="minorEastAsia" w:eastAsiaTheme="minorEastAsia" w:cstheme="minorEastAsia"/>
                <w:bCs/>
                <w:sz w:val="21"/>
                <w:szCs w:val="21"/>
                <w:lang w:val="en-US" w:eastAsia="zh-CN"/>
              </w:rPr>
              <w:t>征集</w:t>
            </w:r>
            <w:r>
              <w:rPr>
                <w:rFonts w:hint="eastAsia" w:asciiTheme="minorEastAsia" w:hAnsiTheme="minorEastAsia" w:eastAsiaTheme="minorEastAsia" w:cstheme="minorEastAsia"/>
                <w:bCs/>
                <w:sz w:val="21"/>
                <w:szCs w:val="21"/>
              </w:rPr>
              <w:t>文件，待审核通过后，可下载</w:t>
            </w:r>
            <w:r>
              <w:rPr>
                <w:rFonts w:hint="eastAsia" w:asciiTheme="minorEastAsia" w:hAnsiTheme="minorEastAsia" w:eastAsiaTheme="minorEastAsia" w:cstheme="minorEastAsia"/>
                <w:bCs/>
                <w:sz w:val="21"/>
                <w:szCs w:val="21"/>
                <w:lang w:val="en-US" w:eastAsia="zh-CN"/>
              </w:rPr>
              <w:t>征集</w:t>
            </w:r>
            <w:r>
              <w:rPr>
                <w:rFonts w:hint="eastAsia" w:asciiTheme="minorEastAsia" w:hAnsiTheme="minorEastAsia" w:eastAsiaTheme="minorEastAsia" w:cstheme="minorEastAsia"/>
                <w:bCs/>
                <w:sz w:val="21"/>
                <w:szCs w:val="21"/>
              </w:rPr>
              <w:t>文件。如果“已申请”标签页显示状态为“审核通过”即为报名成功。</w:t>
            </w:r>
          </w:p>
          <w:p w14:paraId="2BFD246E">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路径：用户中心——项目采购——获取</w:t>
            </w:r>
            <w:r>
              <w:rPr>
                <w:rFonts w:hint="eastAsia" w:asciiTheme="minorEastAsia" w:hAnsiTheme="minorEastAsia" w:eastAsiaTheme="minorEastAsia" w:cstheme="minorEastAsia"/>
                <w:bCs/>
                <w:sz w:val="21"/>
                <w:szCs w:val="21"/>
                <w:lang w:eastAsia="zh-CN"/>
              </w:rPr>
              <w:t>征集</w:t>
            </w:r>
            <w:r>
              <w:rPr>
                <w:rFonts w:hint="eastAsia" w:asciiTheme="minorEastAsia" w:hAnsiTheme="minorEastAsia" w:eastAsiaTheme="minorEastAsia" w:cstheme="minorEastAsia"/>
                <w:bCs/>
                <w:sz w:val="21"/>
                <w:szCs w:val="21"/>
              </w:rPr>
              <w:t>文件管理。</w:t>
            </w:r>
          </w:p>
          <w:p w14:paraId="30357A0C">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在“已获取”的状态下，供应商可下载查看</w:t>
            </w:r>
            <w:r>
              <w:rPr>
                <w:rFonts w:hint="eastAsia" w:asciiTheme="minorEastAsia" w:hAnsiTheme="minorEastAsia" w:eastAsiaTheme="minorEastAsia" w:cstheme="minorEastAsia"/>
                <w:bCs/>
                <w:sz w:val="21"/>
                <w:szCs w:val="21"/>
                <w:lang w:eastAsia="zh-CN"/>
              </w:rPr>
              <w:t>征集</w:t>
            </w:r>
            <w:r>
              <w:rPr>
                <w:rFonts w:hint="eastAsia" w:asciiTheme="minorEastAsia" w:hAnsiTheme="minorEastAsia" w:eastAsiaTheme="minorEastAsia" w:cstheme="minorEastAsia"/>
                <w:bCs/>
                <w:sz w:val="21"/>
                <w:szCs w:val="21"/>
              </w:rPr>
              <w:t>文件。</w:t>
            </w:r>
          </w:p>
          <w:p w14:paraId="428CC0B6">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 xml:space="preserve">    获取</w:t>
            </w:r>
            <w:r>
              <w:rPr>
                <w:rFonts w:hint="eastAsia" w:asciiTheme="minorEastAsia" w:hAnsiTheme="minorEastAsia" w:eastAsiaTheme="minorEastAsia" w:cstheme="minorEastAsia"/>
                <w:bCs/>
                <w:sz w:val="21"/>
                <w:szCs w:val="21"/>
                <w:lang w:val="en-US" w:eastAsia="zh-CN"/>
              </w:rPr>
              <w:t>征集</w:t>
            </w:r>
            <w:r>
              <w:rPr>
                <w:rFonts w:hint="eastAsia" w:asciiTheme="minorEastAsia" w:hAnsiTheme="minorEastAsia" w:eastAsiaTheme="minorEastAsia" w:cstheme="minorEastAsia"/>
                <w:bCs/>
                <w:sz w:val="21"/>
                <w:szCs w:val="21"/>
              </w:rPr>
              <w:t>文件网址：浙江政府采购网（https://zfcg.czt.zj.gov.cn/）</w:t>
            </w:r>
          </w:p>
        </w:tc>
      </w:tr>
      <w:tr w14:paraId="06175D5D">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0F9EEAA">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8399" w:type="dxa"/>
            <w:tcBorders>
              <w:top w:val="single" w:color="auto" w:sz="4" w:space="0"/>
              <w:left w:val="nil"/>
              <w:bottom w:val="single" w:color="auto" w:sz="4" w:space="0"/>
              <w:right w:val="single" w:color="auto" w:sz="4" w:space="0"/>
            </w:tcBorders>
            <w:noWrap w:val="0"/>
            <w:vAlign w:val="center"/>
          </w:tcPr>
          <w:p w14:paraId="58AC2AAD">
            <w:pPr>
              <w:keepNext w:val="0"/>
              <w:keepLines w:val="0"/>
              <w:suppressLineNumbers w:val="0"/>
              <w:wordWrap w:val="0"/>
              <w:overflowPunct w:val="0"/>
              <w:autoSpaceDE w:val="0"/>
              <w:autoSpaceDN w:val="0"/>
              <w:spacing w:before="24" w:beforeLines="10" w:beforeAutospacing="0" w:after="24" w:afterLines="1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响应文件</w:t>
            </w:r>
            <w:r>
              <w:rPr>
                <w:rFonts w:hint="eastAsia" w:asciiTheme="minorEastAsia" w:hAnsiTheme="minorEastAsia" w:eastAsiaTheme="minorEastAsia" w:cstheme="minorEastAsia"/>
                <w:sz w:val="21"/>
                <w:szCs w:val="21"/>
              </w:rPr>
              <w:t>形式、制作及组成：</w:t>
            </w:r>
          </w:p>
          <w:p w14:paraId="4910D2BE">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kern w:val="0"/>
                <w:sz w:val="21"/>
                <w:szCs w:val="21"/>
                <w:lang w:eastAsia="zh-CN"/>
              </w:rPr>
              <w:t>供应商</w:t>
            </w:r>
            <w:r>
              <w:rPr>
                <w:rFonts w:hint="eastAsia" w:asciiTheme="minorEastAsia" w:hAnsiTheme="minorEastAsia" w:eastAsiaTheme="minorEastAsia" w:cstheme="minorEastAsia"/>
                <w:kern w:val="0"/>
                <w:sz w:val="21"/>
                <w:szCs w:val="21"/>
              </w:rPr>
              <w:t>应准备电子加密</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，按政采云平台供应商项目采购-电子招投标操作指南（网址：https://service.zcygov.cn/#/knowledges/CW1EtGwBFdiHxlNd6I3m/6IMVAG0BFdiHxlNdQ8Na?keyword）及本</w:t>
            </w:r>
            <w:r>
              <w:rPr>
                <w:rFonts w:hint="eastAsia" w:asciiTheme="minorEastAsia" w:hAnsiTheme="minorEastAsia" w:eastAsiaTheme="minorEastAsia" w:cstheme="minorEastAsia"/>
                <w:kern w:val="0"/>
                <w:sz w:val="21"/>
                <w:szCs w:val="21"/>
                <w:lang w:eastAsia="zh-CN"/>
              </w:rPr>
              <w:t>征集文件</w:t>
            </w:r>
            <w:r>
              <w:rPr>
                <w:rFonts w:hint="eastAsia" w:asciiTheme="minorEastAsia" w:hAnsiTheme="minorEastAsia" w:eastAsiaTheme="minorEastAsia" w:cstheme="minorEastAsia"/>
                <w:kern w:val="0"/>
                <w:sz w:val="21"/>
                <w:szCs w:val="21"/>
              </w:rPr>
              <w:t>要求递交。</w:t>
            </w:r>
          </w:p>
          <w:p w14:paraId="1850895D">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响应文件</w:t>
            </w:r>
            <w:r>
              <w:rPr>
                <w:rFonts w:hint="eastAsia" w:asciiTheme="minorEastAsia" w:hAnsiTheme="minorEastAsia" w:eastAsiaTheme="minorEastAsia" w:cstheme="minorEastAsia"/>
                <w:sz w:val="21"/>
                <w:szCs w:val="21"/>
              </w:rPr>
              <w:t>均由资格文件、商务技术文件、报价文件组成。</w:t>
            </w:r>
          </w:p>
        </w:tc>
      </w:tr>
      <w:tr w14:paraId="53C417DD">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6A0493C">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8399" w:type="dxa"/>
            <w:tcBorders>
              <w:top w:val="single" w:color="auto" w:sz="4" w:space="0"/>
              <w:left w:val="nil"/>
              <w:bottom w:val="single" w:color="auto" w:sz="4" w:space="0"/>
              <w:right w:val="single" w:color="auto" w:sz="4" w:space="0"/>
            </w:tcBorders>
            <w:noWrap w:val="0"/>
            <w:vAlign w:val="center"/>
          </w:tcPr>
          <w:p w14:paraId="5BAA13D7">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投标截止时间：</w:t>
            </w:r>
            <w:r>
              <w:rPr>
                <w:rFonts w:hint="eastAsia" w:asciiTheme="minorEastAsia" w:hAnsiTheme="minorEastAsia" w:eastAsiaTheme="minorEastAsia" w:cstheme="minorEastAsia"/>
                <w:sz w:val="21"/>
                <w:szCs w:val="21"/>
                <w:highlight w:val="none"/>
                <w:u w:val="single"/>
              </w:rPr>
              <w:t>202</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1</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8</w:t>
            </w:r>
            <w:r>
              <w:rPr>
                <w:rFonts w:hint="eastAsia" w:asciiTheme="minorEastAsia" w:hAnsiTheme="minorEastAsia" w:eastAsiaTheme="minorEastAsia" w:cstheme="minorEastAsia"/>
                <w:sz w:val="21"/>
                <w:szCs w:val="21"/>
                <w:highlight w:val="none"/>
                <w:u w:val="single"/>
              </w:rPr>
              <w:t>日9点30分</w:t>
            </w:r>
            <w:r>
              <w:rPr>
                <w:rFonts w:hint="eastAsia" w:asciiTheme="minorEastAsia" w:hAnsiTheme="minorEastAsia" w:eastAsiaTheme="minorEastAsia" w:cstheme="minorEastAsia"/>
                <w:bCs/>
                <w:sz w:val="21"/>
                <w:szCs w:val="21"/>
                <w:highlight w:val="none"/>
                <w:u w:val="single"/>
              </w:rPr>
              <w:t xml:space="preserve"> </w:t>
            </w:r>
          </w:p>
          <w:p w14:paraId="56CE720F">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投标地点：政采云平台（https://www.zcygov.cn/）</w:t>
            </w:r>
          </w:p>
        </w:tc>
      </w:tr>
      <w:tr w14:paraId="612443A4">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31A5884E">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9</w:t>
            </w:r>
          </w:p>
        </w:tc>
        <w:tc>
          <w:tcPr>
            <w:tcW w:w="8399" w:type="dxa"/>
            <w:tcBorders>
              <w:top w:val="single" w:color="auto" w:sz="4" w:space="0"/>
              <w:left w:val="nil"/>
              <w:bottom w:val="single" w:color="auto" w:sz="4" w:space="0"/>
              <w:right w:val="single" w:color="auto" w:sz="4" w:space="0"/>
            </w:tcBorders>
            <w:noWrap w:val="0"/>
            <w:vAlign w:val="center"/>
          </w:tcPr>
          <w:p w14:paraId="24298DD1">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eastAsia="zh-CN"/>
              </w:rPr>
              <w:t>电</w:t>
            </w:r>
            <w:r>
              <w:rPr>
                <w:rFonts w:hint="eastAsia" w:asciiTheme="minorEastAsia" w:hAnsiTheme="minorEastAsia" w:eastAsiaTheme="minorEastAsia" w:cstheme="minorEastAsia"/>
                <w:kern w:val="0"/>
                <w:sz w:val="21"/>
                <w:szCs w:val="21"/>
              </w:rPr>
              <w:t>子加密</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的传输递交：</w:t>
            </w:r>
            <w:r>
              <w:rPr>
                <w:rFonts w:hint="eastAsia" w:asciiTheme="minorEastAsia" w:hAnsiTheme="minorEastAsia" w:eastAsiaTheme="minorEastAsia" w:cstheme="minorEastAsia"/>
                <w:kern w:val="0"/>
                <w:sz w:val="21"/>
                <w:szCs w:val="21"/>
                <w:lang w:eastAsia="zh-CN"/>
              </w:rPr>
              <w:t>供应商</w:t>
            </w:r>
            <w:r>
              <w:rPr>
                <w:rFonts w:hint="eastAsia" w:asciiTheme="minorEastAsia" w:hAnsiTheme="minorEastAsia" w:eastAsiaTheme="minorEastAsia" w:cstheme="minorEastAsia"/>
                <w:kern w:val="0"/>
                <w:sz w:val="21"/>
                <w:szCs w:val="21"/>
              </w:rPr>
              <w:t>应当在投标截止时间前完成电子</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的传输递交，投标截止时间前可以补充、修改或者撤回电子</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。补充或者修改电子</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的，应当先行撤回原文件，补充、修改后重新传输递交。投标截止时间前未完成传输的，视为撤回</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。投标截止时间后送达的</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，将被拒收。</w:t>
            </w:r>
          </w:p>
        </w:tc>
      </w:tr>
      <w:tr w14:paraId="45B38014">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7B9443A">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8399" w:type="dxa"/>
            <w:tcBorders>
              <w:top w:val="single" w:color="auto" w:sz="4" w:space="0"/>
              <w:left w:val="nil"/>
              <w:bottom w:val="single" w:color="auto" w:sz="4" w:space="0"/>
              <w:right w:val="single" w:color="auto" w:sz="4" w:space="0"/>
            </w:tcBorders>
            <w:noWrap w:val="0"/>
            <w:vAlign w:val="center"/>
          </w:tcPr>
          <w:p w14:paraId="682EF8EF">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Theme="minorEastAsia" w:hAnsiTheme="minorEastAsia" w:eastAsiaTheme="minorEastAsia" w:cstheme="minorEastAsia"/>
                <w:bCs/>
                <w:sz w:val="21"/>
                <w:szCs w:val="21"/>
                <w:highlight w:val="none"/>
                <w:u w:val="single"/>
              </w:rPr>
            </w:pPr>
            <w:r>
              <w:rPr>
                <w:rFonts w:hint="eastAsia" w:asciiTheme="minorEastAsia" w:hAnsiTheme="minorEastAsia" w:eastAsiaTheme="minorEastAsia" w:cstheme="minorEastAsia"/>
                <w:sz w:val="21"/>
                <w:szCs w:val="21"/>
                <w:highlight w:val="none"/>
              </w:rPr>
              <w:t>开标时间：</w:t>
            </w:r>
            <w:r>
              <w:rPr>
                <w:rFonts w:hint="eastAsia" w:asciiTheme="minorEastAsia" w:hAnsiTheme="minorEastAsia" w:eastAsiaTheme="minorEastAsia" w:cstheme="minorEastAsia"/>
                <w:sz w:val="21"/>
                <w:szCs w:val="21"/>
                <w:highlight w:val="none"/>
                <w:u w:val="single"/>
              </w:rPr>
              <w:t>202</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1</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8</w:t>
            </w:r>
            <w:r>
              <w:rPr>
                <w:rFonts w:hint="eastAsia" w:asciiTheme="minorEastAsia" w:hAnsiTheme="minorEastAsia" w:eastAsiaTheme="minorEastAsia" w:cstheme="minorEastAsia"/>
                <w:sz w:val="21"/>
                <w:szCs w:val="21"/>
                <w:highlight w:val="none"/>
                <w:u w:val="single"/>
              </w:rPr>
              <w:t>日9点30分</w:t>
            </w:r>
            <w:r>
              <w:rPr>
                <w:rFonts w:hint="eastAsia" w:asciiTheme="minorEastAsia" w:hAnsiTheme="minorEastAsia" w:eastAsiaTheme="minorEastAsia" w:cstheme="minorEastAsia"/>
                <w:bCs/>
                <w:sz w:val="21"/>
                <w:szCs w:val="21"/>
                <w:highlight w:val="none"/>
                <w:u w:val="single"/>
              </w:rPr>
              <w:t xml:space="preserve"> </w:t>
            </w:r>
          </w:p>
          <w:p w14:paraId="032A3D73">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开标地点：政采云平台（https://www.zcygov.cn/</w:t>
            </w:r>
          </w:p>
          <w:p w14:paraId="03D0A876">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bCs/>
                <w:sz w:val="21"/>
                <w:szCs w:val="21"/>
                <w:highlight w:val="none"/>
                <w:shd w:val="clear" w:color="auto" w:fill="FFFFFF"/>
              </w:rPr>
              <w:t>供应商无需到开标现场，但须准时在线参加，直至评审结束。</w:t>
            </w:r>
          </w:p>
        </w:tc>
      </w:tr>
      <w:tr w14:paraId="0FE7B22D">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2644656A">
            <w:pPr>
              <w:keepNext w:val="0"/>
              <w:keepLines w:val="0"/>
              <w:suppressLineNumbers w:val="0"/>
              <w:wordWrap w:val="0"/>
              <w:overflowPunct w:val="0"/>
              <w:autoSpaceDE w:val="0"/>
              <w:autoSpaceDN w:val="0"/>
              <w:adjustRightInd/>
              <w:snapToGrid w:val="0"/>
              <w:spacing w:before="24" w:beforeLines="10" w:beforeAutospacing="0" w:after="24" w:afterLines="1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8399" w:type="dxa"/>
            <w:tcBorders>
              <w:top w:val="single" w:color="auto" w:sz="4" w:space="0"/>
              <w:left w:val="nil"/>
              <w:bottom w:val="single" w:color="auto" w:sz="4" w:space="0"/>
              <w:right w:val="single" w:color="auto" w:sz="4" w:space="0"/>
            </w:tcBorders>
            <w:noWrap w:val="0"/>
            <w:vAlign w:val="center"/>
          </w:tcPr>
          <w:p w14:paraId="1798AA17">
            <w:pPr>
              <w:keepNext w:val="0"/>
              <w:keepLines w:val="0"/>
              <w:suppressLineNumbers w:val="0"/>
              <w:wordWrap w:val="0"/>
              <w:overflowPunct w:val="0"/>
              <w:autoSpaceDE w:val="0"/>
              <w:autoSpaceDN w:val="0"/>
              <w:adjustRightInd/>
              <w:snapToGrid w:val="0"/>
              <w:spacing w:before="24" w:beforeLines="10" w:beforeAutospacing="0" w:after="24" w:afterLines="10" w:afterAutospacing="0" w:line="400" w:lineRule="exact"/>
              <w:ind w:left="0" w:right="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评标办法及评分标准：</w:t>
            </w:r>
            <w:r>
              <w:rPr>
                <w:rFonts w:hint="eastAsia" w:asciiTheme="minorEastAsia" w:hAnsiTheme="minorEastAsia" w:eastAsiaTheme="minorEastAsia" w:cstheme="minorEastAsia"/>
                <w:bCs/>
                <w:color w:val="auto"/>
                <w:sz w:val="21"/>
                <w:szCs w:val="21"/>
                <w:lang w:val="zh-CN"/>
              </w:rPr>
              <w:t>质量优先法，详见第四章。</w:t>
            </w:r>
          </w:p>
        </w:tc>
      </w:tr>
      <w:tr w14:paraId="52BECD8C">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01A61A3">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8399" w:type="dxa"/>
            <w:tcBorders>
              <w:top w:val="single" w:color="auto" w:sz="4" w:space="0"/>
              <w:left w:val="nil"/>
              <w:bottom w:val="single" w:color="auto" w:sz="4" w:space="0"/>
              <w:right w:val="single" w:color="auto" w:sz="4" w:space="0"/>
            </w:tcBorders>
            <w:noWrap w:val="0"/>
            <w:vAlign w:val="center"/>
          </w:tcPr>
          <w:p w14:paraId="536A2E37">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14:paraId="6F424C06">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E6EEECD">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8399" w:type="dxa"/>
            <w:tcBorders>
              <w:top w:val="single" w:color="auto" w:sz="4" w:space="0"/>
              <w:left w:val="nil"/>
              <w:bottom w:val="single" w:color="auto" w:sz="4" w:space="0"/>
              <w:right w:val="single" w:color="auto" w:sz="4" w:space="0"/>
            </w:tcBorders>
            <w:noWrap w:val="0"/>
            <w:vAlign w:val="center"/>
          </w:tcPr>
          <w:p w14:paraId="10CB171E">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政府采购节能环保产</w:t>
            </w:r>
            <w:r>
              <w:rPr>
                <w:rFonts w:hint="eastAsia" w:asciiTheme="minorEastAsia" w:hAnsiTheme="minorEastAsia" w:eastAsiaTheme="minorEastAsia" w:cstheme="minorEastAsia"/>
                <w:sz w:val="21"/>
                <w:szCs w:val="21"/>
                <w:lang w:eastAsia="zh-CN"/>
              </w:rPr>
              <w:t>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napToGrid w:val="0"/>
                <w:color w:val="auto"/>
                <w:spacing w:val="0"/>
                <w:sz w:val="21"/>
                <w:szCs w:val="21"/>
              </w:rPr>
              <w:t>按《节能产品政府采购品目清单》财库〔2019〕19号执行；政府采购节能产品、环境标志产品实施品目清单管理：投标产品符合财库〔2019〕9号《关于调整优化节能产品、环境标志产品政府采购执行机制的通知》条件。</w:t>
            </w:r>
          </w:p>
        </w:tc>
      </w:tr>
      <w:tr w14:paraId="631ACFF5">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7B08BE7F">
            <w:pPr>
              <w:pStyle w:val="2"/>
              <w:keepNext w:val="0"/>
              <w:keepLines w:val="0"/>
              <w:suppressLineNumbers w:val="0"/>
              <w:spacing w:before="0" w:beforeAutospacing="0" w:afterAutospacing="0"/>
              <w:ind w:left="0" w:right="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8399" w:type="dxa"/>
            <w:tcBorders>
              <w:top w:val="single" w:color="auto" w:sz="4" w:space="0"/>
              <w:left w:val="nil"/>
              <w:bottom w:val="single" w:color="auto" w:sz="4" w:space="0"/>
              <w:right w:val="single" w:color="auto" w:sz="4" w:space="0"/>
            </w:tcBorders>
            <w:noWrap w:val="0"/>
            <w:vAlign w:val="center"/>
          </w:tcPr>
          <w:p w14:paraId="359FDC21">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textAlignment w:val="bottom"/>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中小企业预留份额情况：根据《政府采购促进中小企业发展管理办法》财库〔2020〕46号文件的规定，本项目为 </w:t>
            </w:r>
            <w:r>
              <w:rPr>
                <w:rFonts w:hint="eastAsia" w:asciiTheme="minorEastAsia" w:hAnsiTheme="minorEastAsia" w:eastAsiaTheme="minorEastAsia" w:cstheme="minorEastAsia"/>
                <w:b/>
                <w:bCs/>
                <w:sz w:val="21"/>
                <w:szCs w:val="21"/>
                <w:highlight w:val="none"/>
                <w:u w:val="single"/>
              </w:rPr>
              <w:t xml:space="preserve"> </w:t>
            </w:r>
            <w:r>
              <w:rPr>
                <w:rFonts w:hint="eastAsia" w:asciiTheme="minorEastAsia" w:hAnsiTheme="minorEastAsia" w:eastAsiaTheme="minorEastAsia" w:cstheme="minorEastAsia"/>
                <w:b/>
                <w:bCs/>
                <w:sz w:val="21"/>
                <w:szCs w:val="21"/>
                <w:highlight w:val="none"/>
                <w:u w:val="single"/>
                <w:lang w:eastAsia="zh-CN"/>
              </w:rPr>
              <w:t>否</w:t>
            </w:r>
            <w:r>
              <w:rPr>
                <w:rFonts w:hint="eastAsia" w:asciiTheme="minorEastAsia" w:hAnsiTheme="minorEastAsia" w:eastAsiaTheme="minorEastAsia" w:cstheme="minorEastAsia"/>
                <w:b/>
                <w:bCs/>
                <w:sz w:val="21"/>
                <w:szCs w:val="21"/>
                <w:highlight w:val="none"/>
                <w:u w:val="single"/>
              </w:rPr>
              <w:t xml:space="preserve"> </w:t>
            </w:r>
            <w:r>
              <w:rPr>
                <w:rFonts w:hint="eastAsia" w:asciiTheme="minorEastAsia" w:hAnsiTheme="minorEastAsia" w:eastAsiaTheme="minorEastAsia" w:cstheme="minorEastAsia"/>
                <w:sz w:val="21"/>
                <w:szCs w:val="21"/>
                <w:highlight w:val="none"/>
              </w:rPr>
              <w:t>预留份额专门面向中小企业采购的项目。</w:t>
            </w:r>
          </w:p>
        </w:tc>
      </w:tr>
      <w:tr w14:paraId="7C42520F">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5B91CC3D">
            <w:pPr>
              <w:pStyle w:val="2"/>
              <w:keepNext w:val="0"/>
              <w:keepLines w:val="0"/>
              <w:suppressLineNumbers w:val="0"/>
              <w:spacing w:before="0" w:beforeAutospacing="0" w:afterAutospacing="0"/>
              <w:ind w:left="0" w:right="0" w:firstLine="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8399" w:type="dxa"/>
            <w:tcBorders>
              <w:top w:val="single" w:color="auto" w:sz="4" w:space="0"/>
              <w:left w:val="nil"/>
              <w:bottom w:val="single" w:color="auto" w:sz="4" w:space="0"/>
              <w:right w:val="single" w:color="auto" w:sz="4" w:space="0"/>
            </w:tcBorders>
            <w:noWrap w:val="0"/>
            <w:vAlign w:val="center"/>
          </w:tcPr>
          <w:p w14:paraId="3278B943">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中小企业扶持政策：</w:t>
            </w:r>
          </w:p>
          <w:p w14:paraId="5D54C504">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1.项目属性</w:t>
            </w:r>
            <w:r>
              <w:rPr>
                <w:rFonts w:hint="eastAsia" w:asciiTheme="minorEastAsia" w:hAnsiTheme="minorEastAsia" w:eastAsiaTheme="minorEastAsia" w:cstheme="minorEastAsia"/>
                <w:b/>
                <w:bCs/>
                <w:sz w:val="21"/>
                <w:szCs w:val="21"/>
              </w:rPr>
              <w:t>（工程造价咨询）</w:t>
            </w:r>
          </w:p>
          <w:p w14:paraId="00A180CA">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2.中小企业划分标准所属行业（具体根据《中小企业划型标准规定》执行）</w:t>
            </w:r>
          </w:p>
          <w:p w14:paraId="34FBD3F4">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textAlignment w:val="bottom"/>
              <w:rPr>
                <w:rFonts w:hint="default"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所属行业：</w:t>
            </w:r>
            <w:r>
              <w:rPr>
                <w:rFonts w:hint="eastAsia" w:asciiTheme="minorEastAsia" w:hAnsiTheme="minorEastAsia" w:eastAsiaTheme="minorEastAsia" w:cstheme="minorEastAsia"/>
                <w:b/>
                <w:bCs/>
                <w:sz w:val="21"/>
                <w:szCs w:val="21"/>
              </w:rPr>
              <w:t>租赁和商务服务业行业</w:t>
            </w:r>
          </w:p>
          <w:p w14:paraId="64EEAD86">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Theme="minorEastAsia" w:hAnsiTheme="minorEastAsia" w:eastAsiaTheme="minorEastAsia" w:cstheme="minorEastAsia"/>
                <w:sz w:val="21"/>
                <w:szCs w:val="21"/>
                <w:lang w:eastAsia="zh-CN"/>
              </w:rPr>
              <w:t>响应文件</w:t>
            </w:r>
            <w:r>
              <w:rPr>
                <w:rFonts w:hint="eastAsia" w:asciiTheme="minorEastAsia" w:hAnsiTheme="minorEastAsia" w:eastAsiaTheme="minorEastAsia" w:cstheme="minorEastAsia"/>
                <w:sz w:val="21"/>
                <w:szCs w:val="21"/>
              </w:rPr>
              <w:t>中提供《残疾人福利性单位声明函》。</w:t>
            </w:r>
          </w:p>
          <w:p w14:paraId="1C5772D6">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4.根据财库[2014]68号的相关规定，在政府采购活动中，监狱企业视同小型、微型企业，享受评审中价格扣除政策，并在</w:t>
            </w:r>
            <w:r>
              <w:rPr>
                <w:rFonts w:hint="eastAsia" w:asciiTheme="minorEastAsia" w:hAnsiTheme="minorEastAsia" w:eastAsiaTheme="minorEastAsia" w:cstheme="minorEastAsia"/>
                <w:sz w:val="21"/>
                <w:szCs w:val="21"/>
                <w:lang w:eastAsia="zh-CN"/>
              </w:rPr>
              <w:t>响应文件</w:t>
            </w:r>
            <w:r>
              <w:rPr>
                <w:rFonts w:hint="eastAsia" w:asciiTheme="minorEastAsia" w:hAnsiTheme="minorEastAsia" w:eastAsiaTheme="minorEastAsia" w:cstheme="minorEastAsia"/>
                <w:sz w:val="21"/>
                <w:szCs w:val="21"/>
              </w:rPr>
              <w:t>中提供由省级以上监狱管理局、戒毒管理局（含新疆生产建设兵团）出具的属于监狱企业的证明文件（格式自拟）。</w:t>
            </w:r>
          </w:p>
        </w:tc>
      </w:tr>
      <w:tr w14:paraId="70F71788">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2D0F1F8F">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8399" w:type="dxa"/>
            <w:tcBorders>
              <w:top w:val="single" w:color="auto" w:sz="4" w:space="0"/>
              <w:left w:val="nil"/>
              <w:bottom w:val="single" w:color="auto" w:sz="4" w:space="0"/>
              <w:right w:val="single" w:color="auto" w:sz="4" w:space="0"/>
            </w:tcBorders>
            <w:noWrap w:val="0"/>
            <w:vAlign w:val="center"/>
          </w:tcPr>
          <w:p w14:paraId="28C976B5">
            <w:pPr>
              <w:keepNext w:val="0"/>
              <w:keepLines w:val="0"/>
              <w:pageBreakBefore w:val="0"/>
              <w:widowControl w:val="0"/>
              <w:suppressLineNumbers w:val="0"/>
              <w:kinsoku/>
              <w:wordWrap w:val="0"/>
              <w:overflowPunct/>
              <w:topLinePunct w:val="0"/>
              <w:autoSpaceDE w:val="0"/>
              <w:autoSpaceDN w:val="0"/>
              <w:bidi w:val="0"/>
              <w:adjustRightInd/>
              <w:snapToGrid w:val="0"/>
              <w:spacing w:before="0" w:beforeAutospacing="0" w:after="0" w:afterAutospacing="0" w:line="400" w:lineRule="exact"/>
              <w:ind w:left="0" w:right="0"/>
              <w:textAlignment w:val="bottom"/>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color w:val="auto"/>
                <w:sz w:val="21"/>
                <w:szCs w:val="21"/>
                <w:highlight w:val="none"/>
              </w:rPr>
              <w:t>签订合同时间</w:t>
            </w:r>
            <w:r>
              <w:rPr>
                <w:rFonts w:hint="eastAsia" w:asciiTheme="minorEastAsia" w:hAnsiTheme="minorEastAsia" w:eastAsiaTheme="minorEastAsia" w:cstheme="minorEastAsia"/>
                <w:b w:val="0"/>
                <w:bCs/>
                <w:sz w:val="21"/>
                <w:szCs w:val="21"/>
                <w:highlight w:val="none"/>
              </w:rPr>
              <w:t>：</w:t>
            </w:r>
          </w:p>
          <w:p w14:paraId="2E54AE41">
            <w:pPr>
              <w:keepNext w:val="0"/>
              <w:keepLines w:val="0"/>
              <w:pageBreakBefore w:val="0"/>
              <w:widowControl w:val="0"/>
              <w:suppressLineNumbers w:val="0"/>
              <w:kinsoku/>
              <w:wordWrap w:val="0"/>
              <w:overflowPunct/>
              <w:topLinePunct w:val="0"/>
              <w:autoSpaceDE w:val="0"/>
              <w:autoSpaceDN w:val="0"/>
              <w:bidi w:val="0"/>
              <w:adjustRightInd/>
              <w:snapToGrid w:val="0"/>
              <w:spacing w:before="0" w:beforeAutospacing="0" w:after="0" w:afterAutospacing="0" w:line="400" w:lineRule="exact"/>
              <w:ind w:left="0" w:right="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入围通知书发出后30日内。</w:t>
            </w:r>
          </w:p>
          <w:p w14:paraId="097BEC4E">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textAlignment w:val="bottom"/>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入围供应商</w:t>
            </w:r>
            <w:r>
              <w:rPr>
                <w:rFonts w:hint="eastAsia" w:asciiTheme="minorEastAsia" w:hAnsiTheme="minorEastAsia" w:eastAsiaTheme="minorEastAsia" w:cstheme="minorEastAsia"/>
                <w:color w:val="auto"/>
                <w:sz w:val="21"/>
                <w:szCs w:val="21"/>
                <w:highlight w:val="none"/>
              </w:rPr>
              <w:t>拖延、拒签合同的,将被列入不良行为记录或黑名单，由此产生的一切不利后果由</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自行承担。</w:t>
            </w:r>
          </w:p>
        </w:tc>
      </w:tr>
      <w:tr w14:paraId="797C19F5">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5099BA27">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8399" w:type="dxa"/>
            <w:tcBorders>
              <w:top w:val="single" w:color="auto" w:sz="4" w:space="0"/>
              <w:left w:val="nil"/>
              <w:bottom w:val="single" w:color="auto" w:sz="4" w:space="0"/>
              <w:right w:val="single" w:color="auto" w:sz="4" w:space="0"/>
            </w:tcBorders>
            <w:noWrap w:val="0"/>
            <w:vAlign w:val="center"/>
          </w:tcPr>
          <w:p w14:paraId="1456C489">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履约保证金:无</w:t>
            </w:r>
          </w:p>
        </w:tc>
      </w:tr>
      <w:tr w14:paraId="736FA0F7">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7A08C1CA">
            <w:pPr>
              <w:keepNext w:val="0"/>
              <w:keepLines w:val="0"/>
              <w:suppressLineNumbers w:val="0"/>
              <w:wordWrap w:val="0"/>
              <w:overflowPunct w:val="0"/>
              <w:autoSpaceDE w:val="0"/>
              <w:autoSpaceDN w:val="0"/>
              <w:adjustRightInd/>
              <w:snapToGrid w:val="0"/>
              <w:spacing w:before="24" w:beforeLines="10" w:beforeAutospacing="0" w:after="24" w:afterLines="1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8399" w:type="dxa"/>
            <w:tcBorders>
              <w:top w:val="single" w:color="auto" w:sz="4" w:space="0"/>
              <w:left w:val="nil"/>
              <w:bottom w:val="single" w:color="auto" w:sz="4" w:space="0"/>
              <w:right w:val="single" w:color="auto" w:sz="4" w:space="0"/>
            </w:tcBorders>
            <w:noWrap w:val="0"/>
            <w:vAlign w:val="center"/>
          </w:tcPr>
          <w:p w14:paraId="18A9F645">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响应文件</w:t>
            </w:r>
            <w:r>
              <w:rPr>
                <w:rFonts w:hint="eastAsia" w:asciiTheme="minorEastAsia" w:hAnsiTheme="minorEastAsia" w:eastAsiaTheme="minorEastAsia" w:cstheme="minorEastAsia"/>
                <w:sz w:val="21"/>
                <w:szCs w:val="21"/>
              </w:rPr>
              <w:t>有效期： 90 天。</w:t>
            </w:r>
          </w:p>
        </w:tc>
      </w:tr>
      <w:tr w14:paraId="4054DD44">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70C46929">
            <w:pPr>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8399" w:type="dxa"/>
            <w:tcBorders>
              <w:top w:val="single" w:color="auto" w:sz="4" w:space="0"/>
              <w:left w:val="nil"/>
              <w:bottom w:val="single" w:color="auto" w:sz="4" w:space="0"/>
              <w:right w:val="single" w:color="auto" w:sz="4" w:space="0"/>
            </w:tcBorders>
            <w:noWrap w:val="0"/>
            <w:vAlign w:val="center"/>
          </w:tcPr>
          <w:p w14:paraId="3179B2B7">
            <w:pPr>
              <w:pStyle w:val="18"/>
              <w:keepNext w:val="0"/>
              <w:keepLines w:val="0"/>
              <w:suppressLineNumbers w:val="0"/>
              <w:wordWrap w:val="0"/>
              <w:overflowPunct w:val="0"/>
              <w:autoSpaceDE w:val="0"/>
              <w:autoSpaceDN w:val="0"/>
              <w:snapToGrid w:val="0"/>
              <w:spacing w:before="24" w:beforeLines="10" w:beforeAutospacing="0" w:after="24" w:afterLines="1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14:paraId="7363AF7C">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746305BE">
            <w:pPr>
              <w:keepNext w:val="0"/>
              <w:keepLines w:val="0"/>
              <w:suppressLineNumbers w:val="0"/>
              <w:wordWrap w:val="0"/>
              <w:overflowPunct w:val="0"/>
              <w:autoSpaceDE w:val="0"/>
              <w:autoSpaceDN w:val="0"/>
              <w:adjustRightInd/>
              <w:snapToGrid w:val="0"/>
              <w:spacing w:before="24" w:beforeLines="10" w:beforeAutospacing="0" w:after="24" w:afterLines="1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8399" w:type="dxa"/>
            <w:tcBorders>
              <w:top w:val="single" w:color="auto" w:sz="4" w:space="0"/>
              <w:left w:val="nil"/>
              <w:bottom w:val="single" w:color="auto" w:sz="4" w:space="0"/>
              <w:right w:val="single" w:color="auto" w:sz="4" w:space="0"/>
            </w:tcBorders>
            <w:noWrap w:val="0"/>
            <w:vAlign w:val="center"/>
          </w:tcPr>
          <w:p w14:paraId="3B128F31">
            <w:pPr>
              <w:keepNext w:val="0"/>
              <w:keepLines w:val="0"/>
              <w:suppressLineNumbers w:val="0"/>
              <w:wordWrap w:val="0"/>
              <w:overflowPunct w:val="0"/>
              <w:autoSpaceDE w:val="0"/>
              <w:autoSpaceDN w:val="0"/>
              <w:adjustRightInd/>
              <w:snapToGrid w:val="0"/>
              <w:spacing w:before="24" w:beforeLines="10" w:beforeAutospacing="0" w:after="24" w:afterLines="1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解释：本</w:t>
            </w:r>
            <w:r>
              <w:rPr>
                <w:rFonts w:hint="eastAsia" w:asciiTheme="minorEastAsia" w:hAnsiTheme="minorEastAsia" w:eastAsiaTheme="minorEastAsia" w:cstheme="minorEastAsia"/>
                <w:sz w:val="21"/>
                <w:szCs w:val="21"/>
                <w:lang w:eastAsia="zh-CN"/>
              </w:rPr>
              <w:t>征集</w:t>
            </w:r>
            <w:r>
              <w:rPr>
                <w:rFonts w:hint="eastAsia" w:asciiTheme="minorEastAsia" w:hAnsiTheme="minorEastAsia" w:eastAsiaTheme="minorEastAsia" w:cstheme="minorEastAsia"/>
                <w:sz w:val="21"/>
                <w:szCs w:val="21"/>
              </w:rPr>
              <w:t>文件的解释权属于</w:t>
            </w:r>
            <w:r>
              <w:rPr>
                <w:rFonts w:hint="eastAsia" w:asciiTheme="minorEastAsia" w:hAnsiTheme="minorEastAsia" w:eastAsiaTheme="minorEastAsia" w:cstheme="minorEastAsia"/>
                <w:sz w:val="21"/>
                <w:szCs w:val="21"/>
                <w:lang w:eastAsia="zh-CN"/>
              </w:rPr>
              <w:t>征集人</w:t>
            </w:r>
            <w:r>
              <w:rPr>
                <w:rFonts w:hint="eastAsia" w:asciiTheme="minorEastAsia" w:hAnsiTheme="minorEastAsia" w:eastAsiaTheme="minorEastAsia" w:cstheme="minorEastAsia"/>
                <w:sz w:val="21"/>
                <w:szCs w:val="21"/>
              </w:rPr>
              <w:t>。</w:t>
            </w:r>
          </w:p>
        </w:tc>
      </w:tr>
    </w:tbl>
    <w:p w14:paraId="0310F9B2">
      <w:pPr>
        <w:pStyle w:val="31"/>
        <w:spacing w:beforeAutospacing="0" w:afterAutospacing="0" w:line="360" w:lineRule="auto"/>
        <w:ind w:firstLine="480"/>
        <w:jc w:val="center"/>
        <w:rPr>
          <w:rFonts w:hint="eastAsia" w:asciiTheme="majorEastAsia" w:hAnsiTheme="majorEastAsia" w:eastAsiaTheme="majorEastAsia" w:cstheme="majorEastAsia"/>
          <w:shd w:val="clear" w:color="auto" w:fill="FFFFFF"/>
        </w:rPr>
      </w:pPr>
    </w:p>
    <w:p w14:paraId="1DD62BCB">
      <w:pPr>
        <w:pStyle w:val="6"/>
        <w:jc w:val="center"/>
        <w:rPr>
          <w:rFonts w:asciiTheme="majorEastAsia" w:hAnsiTheme="majorEastAsia" w:eastAsiaTheme="majorEastAsia" w:cstheme="majorEastAsia"/>
          <w:sz w:val="28"/>
          <w:szCs w:val="36"/>
        </w:rPr>
      </w:pPr>
      <w:bookmarkStart w:id="35" w:name="_Toc439666965"/>
      <w:bookmarkStart w:id="36" w:name="_Toc380429945"/>
      <w:bookmarkStart w:id="37" w:name="_Toc384730989"/>
      <w:r>
        <w:rPr>
          <w:rFonts w:hint="eastAsia" w:asciiTheme="majorEastAsia" w:hAnsiTheme="majorEastAsia" w:eastAsiaTheme="majorEastAsia" w:cstheme="majorEastAsia"/>
          <w:sz w:val="28"/>
          <w:szCs w:val="36"/>
        </w:rPr>
        <w:t>一、总则</w:t>
      </w:r>
    </w:p>
    <w:p w14:paraId="0ECF253E">
      <w:pPr>
        <w:keepNext w:val="0"/>
        <w:keepLines w:val="0"/>
        <w:pageBreakBefore w:val="0"/>
        <w:widowControl w:val="0"/>
        <w:kinsoku/>
        <w:wordWrap w:val="0"/>
        <w:overflowPunct/>
        <w:topLinePunct w:val="0"/>
        <w:autoSpaceDE/>
        <w:autoSpaceDN/>
        <w:bidi w:val="0"/>
        <w:adjustRightInd/>
        <w:snapToGrid w:val="0"/>
        <w:spacing w:line="480" w:lineRule="exact"/>
        <w:ind w:firstLine="472" w:firstLineChars="196"/>
        <w:jc w:val="left"/>
        <w:textAlignment w:val="auto"/>
        <w:outlineLvl w:val="2"/>
        <w:rPr>
          <w:rFonts w:hint="eastAsia" w:ascii="宋体" w:hAnsi="宋体" w:eastAsia="宋体" w:cs="宋体"/>
          <w:b/>
          <w:color w:val="auto"/>
          <w:sz w:val="24"/>
          <w:szCs w:val="24"/>
        </w:rPr>
      </w:pPr>
      <w:bookmarkStart w:id="38" w:name="_Toc397670948"/>
      <w:bookmarkStart w:id="39" w:name="_Toc397670919"/>
      <w:bookmarkStart w:id="40" w:name="_Toc406402987"/>
      <w:bookmarkStart w:id="41" w:name="_Toc532218224"/>
      <w:bookmarkStart w:id="42" w:name="_Toc406402943"/>
      <w:r>
        <w:rPr>
          <w:rFonts w:hint="eastAsia" w:ascii="宋体" w:hAnsi="宋体" w:eastAsia="宋体" w:cs="宋体"/>
          <w:b/>
          <w:color w:val="auto"/>
          <w:sz w:val="24"/>
          <w:szCs w:val="24"/>
        </w:rPr>
        <w:t>（一）适用范围</w:t>
      </w:r>
    </w:p>
    <w:p w14:paraId="29A24566">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本征集文件适用于</w:t>
      </w:r>
      <w:r>
        <w:rPr>
          <w:rFonts w:hint="eastAsia" w:ascii="宋体" w:hAnsi="宋体" w:cs="宋体"/>
          <w:color w:val="auto"/>
          <w:sz w:val="24"/>
          <w:szCs w:val="24"/>
          <w:lang w:eastAsia="zh-CN"/>
        </w:rPr>
        <w:t>本</w:t>
      </w:r>
      <w:r>
        <w:rPr>
          <w:rFonts w:hint="eastAsia" w:ascii="宋体" w:hAnsi="宋体" w:eastAsia="宋体" w:cs="宋体"/>
          <w:color w:val="auto"/>
          <w:sz w:val="24"/>
          <w:szCs w:val="24"/>
        </w:rPr>
        <w:t>项目的征集、响应、评</w:t>
      </w:r>
      <w:r>
        <w:rPr>
          <w:rFonts w:hint="eastAsia" w:ascii="宋体" w:hAnsi="宋体" w:eastAsia="宋体" w:cs="宋体"/>
          <w:color w:val="auto"/>
          <w:sz w:val="24"/>
          <w:szCs w:val="24"/>
          <w:lang w:eastAsia="zh-CN"/>
        </w:rPr>
        <w:t>审</w:t>
      </w:r>
      <w:r>
        <w:rPr>
          <w:rFonts w:hint="eastAsia" w:ascii="宋体" w:hAnsi="宋体" w:eastAsia="宋体" w:cs="宋体"/>
          <w:color w:val="auto"/>
          <w:sz w:val="24"/>
          <w:szCs w:val="24"/>
        </w:rPr>
        <w:t>、</w:t>
      </w:r>
      <w:r>
        <w:rPr>
          <w:rFonts w:hint="eastAsia" w:ascii="宋体" w:hAnsi="宋体" w:cs="宋体"/>
          <w:color w:val="auto"/>
          <w:sz w:val="24"/>
          <w:szCs w:val="24"/>
          <w:lang w:eastAsia="zh-CN"/>
        </w:rPr>
        <w:t>确定入围供应商</w:t>
      </w:r>
      <w:r>
        <w:rPr>
          <w:rFonts w:hint="eastAsia" w:ascii="宋体" w:hAnsi="宋体" w:eastAsia="宋体" w:cs="宋体"/>
          <w:color w:val="auto"/>
          <w:sz w:val="24"/>
          <w:szCs w:val="24"/>
        </w:rPr>
        <w:t>、</w:t>
      </w:r>
      <w:r>
        <w:rPr>
          <w:rFonts w:hint="eastAsia" w:ascii="宋体" w:hAnsi="宋体" w:eastAsia="宋体" w:cs="宋体"/>
          <w:color w:val="auto"/>
          <w:szCs w:val="24"/>
        </w:rPr>
        <w:t>第一阶段框架协议授予</w:t>
      </w:r>
      <w:r>
        <w:rPr>
          <w:rFonts w:hint="eastAsia" w:ascii="宋体" w:hAnsi="宋体" w:eastAsia="宋体" w:cs="宋体"/>
          <w:color w:val="auto"/>
          <w:szCs w:val="24"/>
          <w:lang w:eastAsia="zh-CN"/>
        </w:rPr>
        <w:t>、第二阶段合同授予、</w:t>
      </w:r>
      <w:r>
        <w:rPr>
          <w:rFonts w:hint="eastAsia" w:ascii="宋体" w:hAnsi="宋体" w:eastAsia="宋体" w:cs="宋体"/>
          <w:color w:val="auto"/>
          <w:sz w:val="24"/>
          <w:szCs w:val="24"/>
        </w:rPr>
        <w:t>考核、合同履约、付款等行为（法律、法规另有规定的，从其规定）。</w:t>
      </w:r>
    </w:p>
    <w:p w14:paraId="351C10CC">
      <w:pPr>
        <w:keepNext w:val="0"/>
        <w:keepLines w:val="0"/>
        <w:pageBreakBefore w:val="0"/>
        <w:widowControl w:val="0"/>
        <w:kinsoku/>
        <w:wordWrap w:val="0"/>
        <w:overflowPunct/>
        <w:topLinePunct w:val="0"/>
        <w:autoSpaceDE/>
        <w:autoSpaceDN/>
        <w:bidi w:val="0"/>
        <w:adjustRightInd/>
        <w:snapToGrid w:val="0"/>
        <w:spacing w:line="480" w:lineRule="exact"/>
        <w:ind w:firstLine="472" w:firstLineChars="196"/>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（二）定义</w:t>
      </w:r>
    </w:p>
    <w:p w14:paraId="21D828B2">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1.“征集人”系指</w:t>
      </w:r>
      <w:r>
        <w:rPr>
          <w:rFonts w:hint="eastAsia" w:ascii="宋体" w:hAnsi="宋体" w:eastAsia="宋体" w:cs="宋体"/>
          <w:color w:val="auto"/>
          <w:szCs w:val="24"/>
          <w:highlight w:val="none"/>
        </w:rPr>
        <w:t>组织本次采购活动的</w:t>
      </w:r>
      <w:r>
        <w:rPr>
          <w:rFonts w:hint="eastAsia" w:ascii="宋体" w:hAnsi="宋体" w:eastAsia="宋体" w:cs="宋体"/>
          <w:b w:val="0"/>
          <w:bCs w:val="0"/>
          <w:color w:val="auto"/>
          <w:kern w:val="2"/>
          <w:sz w:val="24"/>
          <w:szCs w:val="24"/>
          <w:highlight w:val="none"/>
          <w:lang w:val="en-US" w:eastAsia="zh-CN"/>
        </w:rPr>
        <w:t>嘉善县公共资源交易中心</w:t>
      </w:r>
      <w:r>
        <w:rPr>
          <w:rFonts w:hint="eastAsia" w:ascii="宋体" w:hAnsi="宋体" w:eastAsia="宋体" w:cs="宋体"/>
          <w:color w:val="auto"/>
          <w:sz w:val="24"/>
          <w:szCs w:val="24"/>
          <w:highlight w:val="none"/>
        </w:rPr>
        <w:t>。</w:t>
      </w:r>
    </w:p>
    <w:p w14:paraId="3918096B">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.“供应商”系指向征集人提交响应文件的法人、其他组织或者自然人。</w:t>
      </w:r>
    </w:p>
    <w:p w14:paraId="59D539E2">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Cs w:val="24"/>
          <w:highlight w:val="none"/>
        </w:rPr>
        <w:t>“采购人”指</w:t>
      </w:r>
      <w:r>
        <w:rPr>
          <w:rFonts w:hint="eastAsia" w:ascii="宋体" w:hAnsi="宋体" w:cs="宋体"/>
          <w:color w:val="auto"/>
          <w:szCs w:val="24"/>
          <w:highlight w:val="none"/>
          <w:lang w:eastAsia="zh-CN"/>
        </w:rPr>
        <w:t>嘉善县财政局、审计局、全县政府投资项目业主单位及其主管部门等服务对象。</w:t>
      </w:r>
    </w:p>
    <w:p w14:paraId="5995E12A">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.“负责人”系指法人企业的法定负责人，或其他组织为法律、行政法规规定代表单位行使职权的主要负责人，或自然人本人。</w:t>
      </w:r>
    </w:p>
    <w:p w14:paraId="3BAA0297">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.“产品”系指供应商按征集文件规定，须向征集人提供的一切设备、保险、税金、备品备件、工具、手册及其他有关技术资料和材料。</w:t>
      </w:r>
    </w:p>
    <w:p w14:paraId="671CC352">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.“服务”系指征集文件规定供应商须承担的安装、调试、技术协助、校准、培训、技术指导以及其他类似的义务。</w:t>
      </w:r>
    </w:p>
    <w:p w14:paraId="1F5F823F">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.“项目”系指供应商按征集文件规定向征集人提供的产品和服务。</w:t>
      </w:r>
    </w:p>
    <w:p w14:paraId="2CAD4A07">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.“书面形式”包括信函、传真、电报等。</w:t>
      </w:r>
    </w:p>
    <w:p w14:paraId="337549B3">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.“电子签名”系指数据电文中以电子形式所含、所附用于识别签名人身份并表明签名人认可其中内容的数据；“公章”系指单位法定名称章。</w:t>
      </w:r>
    </w:p>
    <w:p w14:paraId="51EA9321">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.“电子交易平台”是指本项目政府采购活动所依托的政府采购云平台（https://www.zcygov.cn/）。</w:t>
      </w:r>
    </w:p>
    <w:bookmarkEnd w:id="38"/>
    <w:bookmarkEnd w:id="39"/>
    <w:p w14:paraId="5D43441D">
      <w:pPr>
        <w:keepNext w:val="0"/>
        <w:keepLines w:val="0"/>
        <w:pageBreakBefore w:val="0"/>
        <w:widowControl w:val="0"/>
        <w:kinsoku/>
        <w:wordWrap w:val="0"/>
        <w:overflowPunct/>
        <w:topLinePunct w:val="0"/>
        <w:autoSpaceDE/>
        <w:autoSpaceDN/>
        <w:bidi w:val="0"/>
        <w:adjustRightInd/>
        <w:snapToGrid w:val="0"/>
        <w:spacing w:line="480" w:lineRule="exact"/>
        <w:ind w:firstLine="472" w:firstLineChars="196"/>
        <w:jc w:val="left"/>
        <w:textAlignment w:val="auto"/>
        <w:outlineLvl w:val="2"/>
        <w:rPr>
          <w:rFonts w:hint="eastAsia" w:ascii="宋体" w:hAnsi="宋体" w:eastAsia="宋体" w:cs="宋体"/>
          <w:b/>
          <w:color w:val="auto"/>
          <w:sz w:val="24"/>
          <w:szCs w:val="24"/>
        </w:rPr>
      </w:pPr>
      <w:bookmarkStart w:id="43" w:name="_Toc397670920"/>
      <w:bookmarkStart w:id="44" w:name="_Toc397670949"/>
      <w:r>
        <w:rPr>
          <w:rFonts w:hint="eastAsia" w:ascii="宋体" w:hAnsi="宋体" w:eastAsia="宋体" w:cs="宋体"/>
          <w:b/>
          <w:color w:val="auto"/>
          <w:sz w:val="24"/>
          <w:szCs w:val="24"/>
        </w:rPr>
        <w:t>（三）采购方式</w:t>
      </w:r>
    </w:p>
    <w:p w14:paraId="7FDC7011">
      <w:pPr>
        <w:keepNext w:val="0"/>
        <w:keepLines w:val="0"/>
        <w:pageBreakBefore w:val="0"/>
        <w:widowControl w:val="0"/>
        <w:kinsoku/>
        <w:topLinePunct w:val="0"/>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采用框架协议</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方式进行。</w:t>
      </w:r>
    </w:p>
    <w:p w14:paraId="152CC64B">
      <w:pPr>
        <w:keepNext w:val="0"/>
        <w:keepLines w:val="0"/>
        <w:pageBreakBefore w:val="0"/>
        <w:widowControl w:val="0"/>
        <w:kinsoku/>
        <w:wordWrap w:val="0"/>
        <w:overflowPunct/>
        <w:topLinePunct w:val="0"/>
        <w:autoSpaceDE/>
        <w:autoSpaceDN/>
        <w:bidi w:val="0"/>
        <w:adjustRightInd/>
        <w:snapToGrid w:val="0"/>
        <w:spacing w:line="480" w:lineRule="exact"/>
        <w:ind w:firstLine="472" w:firstLineChars="196"/>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（四）响应委托</w:t>
      </w:r>
    </w:p>
    <w:bookmarkEnd w:id="43"/>
    <w:bookmarkEnd w:id="44"/>
    <w:p w14:paraId="717FC398">
      <w:pPr>
        <w:pStyle w:val="14"/>
        <w:keepNext w:val="0"/>
        <w:keepLines w:val="0"/>
        <w:pageBreakBefore w:val="0"/>
        <w:widowControl w:val="0"/>
        <w:kinsoku/>
        <w:wordWrap w:val="0"/>
        <w:overflowPunct w:val="0"/>
        <w:topLinePunct w:val="0"/>
        <w:autoSpaceDE w:val="0"/>
        <w:autoSpaceDN w:val="0"/>
        <w:bidi w:val="0"/>
        <w:adjustRightInd/>
        <w:snapToGrid w:val="0"/>
        <w:spacing w:line="480" w:lineRule="exact"/>
        <w:ind w:firstLine="540" w:firstLineChars="225"/>
        <w:jc w:val="left"/>
        <w:textAlignment w:val="auto"/>
        <w:rPr>
          <w:rFonts w:hint="eastAsia" w:ascii="宋体" w:hAnsi="宋体" w:eastAsia="宋体" w:cs="宋体"/>
          <w:color w:val="auto"/>
          <w:spacing w:val="0"/>
          <w:kern w:val="2"/>
          <w:sz w:val="24"/>
          <w:szCs w:val="24"/>
          <w:lang w:val="en-US" w:eastAsia="zh-CN" w:bidi="ar-SA"/>
        </w:rPr>
      </w:pPr>
      <w:bookmarkStart w:id="45" w:name="_Toc397670921"/>
      <w:bookmarkStart w:id="46" w:name="_Toc397670950"/>
      <w:r>
        <w:rPr>
          <w:rFonts w:hint="eastAsia" w:ascii="宋体" w:hAnsi="宋体" w:eastAsia="宋体" w:cs="宋体"/>
          <w:color w:val="auto"/>
          <w:spacing w:val="0"/>
          <w:kern w:val="2"/>
          <w:sz w:val="24"/>
          <w:szCs w:val="24"/>
          <w:lang w:val="en-US" w:eastAsia="zh-CN" w:bidi="ar-SA"/>
        </w:rPr>
        <w:t>供应商无需到开标现场，但须准时在线参加，直至评审结束。</w:t>
      </w:r>
    </w:p>
    <w:p w14:paraId="22E5F7EB">
      <w:pPr>
        <w:keepNext w:val="0"/>
        <w:keepLines w:val="0"/>
        <w:pageBreakBefore w:val="0"/>
        <w:widowControl w:val="0"/>
        <w:kinsoku/>
        <w:wordWrap w:val="0"/>
        <w:overflowPunct/>
        <w:topLinePunct w:val="0"/>
        <w:autoSpaceDE/>
        <w:autoSpaceDN/>
        <w:bidi w:val="0"/>
        <w:adjustRightInd/>
        <w:snapToGrid w:val="0"/>
        <w:spacing w:line="480" w:lineRule="exact"/>
        <w:ind w:firstLine="472" w:firstLineChars="196"/>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）响应费用</w:t>
      </w:r>
      <w:bookmarkEnd w:id="45"/>
      <w:bookmarkEnd w:id="46"/>
    </w:p>
    <w:p w14:paraId="5CFD6561">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不论响应结果如何，供应商均应自行承担所有与响应有关的全部费用（征集文件有相反规定除外）。</w:t>
      </w:r>
    </w:p>
    <w:p w14:paraId="4AFB4DE9">
      <w:pPr>
        <w:keepNext w:val="0"/>
        <w:keepLines w:val="0"/>
        <w:pageBreakBefore w:val="0"/>
        <w:widowControl w:val="0"/>
        <w:kinsoku/>
        <w:wordWrap w:val="0"/>
        <w:topLinePunct w:val="0"/>
        <w:bidi w:val="0"/>
        <w:adjustRightInd/>
        <w:snapToGrid w:val="0"/>
        <w:spacing w:line="480" w:lineRule="exact"/>
        <w:ind w:firstLine="472" w:firstLineChars="196"/>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（六）联合体</w:t>
      </w:r>
    </w:p>
    <w:p w14:paraId="562E81DE">
      <w:pPr>
        <w:pStyle w:val="14"/>
        <w:keepNext w:val="0"/>
        <w:keepLines w:val="0"/>
        <w:pageBreakBefore w:val="0"/>
        <w:widowControl w:val="0"/>
        <w:kinsoku/>
        <w:topLinePunct w:val="0"/>
        <w:bidi w:val="0"/>
        <w:adjustRightIn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本项目不允许联合体参加。</w:t>
      </w:r>
    </w:p>
    <w:p w14:paraId="05A0639A">
      <w:pPr>
        <w:keepNext w:val="0"/>
        <w:keepLines w:val="0"/>
        <w:pageBreakBefore w:val="0"/>
        <w:widowControl w:val="0"/>
        <w:kinsoku/>
        <w:wordWrap w:val="0"/>
        <w:topLinePunct w:val="0"/>
        <w:bidi w:val="0"/>
        <w:adjustRightInd/>
        <w:snapToGrid w:val="0"/>
        <w:spacing w:line="480" w:lineRule="exact"/>
        <w:ind w:firstLine="472" w:firstLineChars="196"/>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（七）转包与分包</w:t>
      </w:r>
    </w:p>
    <w:p w14:paraId="39B0B563">
      <w:pPr>
        <w:pStyle w:val="14"/>
        <w:keepNext w:val="0"/>
        <w:keepLines w:val="0"/>
        <w:pageBreakBefore w:val="0"/>
        <w:widowControl w:val="0"/>
        <w:kinsoku/>
        <w:topLinePunct w:val="0"/>
        <w:bidi w:val="0"/>
        <w:adjustRightIn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1.本项目不允许转包。</w:t>
      </w:r>
    </w:p>
    <w:p w14:paraId="34B300F5">
      <w:pPr>
        <w:pStyle w:val="14"/>
        <w:keepNext w:val="0"/>
        <w:keepLines w:val="0"/>
        <w:pageBreakBefore w:val="0"/>
        <w:widowControl w:val="0"/>
        <w:kinsoku/>
        <w:topLinePunct w:val="0"/>
        <w:bidi w:val="0"/>
        <w:adjustRightIn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2.本项目不允许分包。</w:t>
      </w:r>
    </w:p>
    <w:p w14:paraId="64F90094">
      <w:pPr>
        <w:keepNext w:val="0"/>
        <w:keepLines w:val="0"/>
        <w:pageBreakBefore w:val="0"/>
        <w:widowControl w:val="0"/>
        <w:kinsoku/>
        <w:wordWrap w:val="0"/>
        <w:topLinePunct w:val="0"/>
        <w:bidi w:val="0"/>
        <w:adjustRightInd/>
        <w:snapToGrid w:val="0"/>
        <w:spacing w:line="480" w:lineRule="exact"/>
        <w:ind w:firstLine="472" w:firstLineChars="196"/>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（八）特别说明</w:t>
      </w:r>
    </w:p>
    <w:p w14:paraId="001AE514">
      <w:pPr>
        <w:pStyle w:val="14"/>
        <w:keepNext w:val="0"/>
        <w:keepLines w:val="0"/>
        <w:pageBreakBefore w:val="0"/>
        <w:widowControl w:val="0"/>
        <w:kinsoku/>
        <w:topLinePunct w:val="0"/>
        <w:bidi w:val="0"/>
        <w:adjustRightIn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1.供应商响应文件所使用的资格、信誉、荣誉、业绩与企业认证必须为本法人所拥有。供应商所使用的采购项目实施人员必须为本法人员工（</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响应供应商总公司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或分公司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或响应供应商母公司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或子公司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6E3B1048">
      <w:pPr>
        <w:pStyle w:val="14"/>
        <w:keepNext w:val="0"/>
        <w:keepLines w:val="0"/>
        <w:pageBreakBefore w:val="0"/>
        <w:widowControl w:val="0"/>
        <w:kinsoku/>
        <w:topLinePunct w:val="0"/>
        <w:bidi w:val="0"/>
        <w:adjustRightIn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2.单位负责人为同一人或者存在直接控股、管理关系的不同供应商，不得参加同一合同项下的政府采购活动。</w:t>
      </w:r>
    </w:p>
    <w:p w14:paraId="16A1EC10">
      <w:pPr>
        <w:pStyle w:val="14"/>
        <w:keepNext w:val="0"/>
        <w:keepLines w:val="0"/>
        <w:pageBreakBefore w:val="0"/>
        <w:widowControl w:val="0"/>
        <w:kinsoku/>
        <w:topLinePunct w:val="0"/>
        <w:bidi w:val="0"/>
        <w:adjustRightIn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3.供应商应仔细阅读征集文件的所有内容，按照征集文件的要求提交响应文件，并对所提供的全部资料的真实性承担法律责任。</w:t>
      </w:r>
    </w:p>
    <w:p w14:paraId="5B56FD9C">
      <w:pPr>
        <w:pStyle w:val="14"/>
        <w:keepNext w:val="0"/>
        <w:keepLines w:val="0"/>
        <w:pageBreakBefore w:val="0"/>
        <w:widowControl w:val="0"/>
        <w:kinsoku/>
        <w:topLinePunct w:val="0"/>
        <w:bidi w:val="0"/>
        <w:adjustRightIn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供应商在采购活动中提供任何虚假材料,其响应无效，并报监管部门查处；入围后发现的,入围供应商须依照《中华人民共和国消费者权益保护法》第49条之规定双倍赔偿采购人，且民事赔偿并不免除违法供应商的行政与刑事责任。</w:t>
      </w:r>
    </w:p>
    <w:p w14:paraId="63989233">
      <w:pPr>
        <w:keepNext w:val="0"/>
        <w:keepLines w:val="0"/>
        <w:pageBreakBefore w:val="0"/>
        <w:widowControl w:val="0"/>
        <w:kinsoku/>
        <w:wordWrap w:val="0"/>
        <w:topLinePunct w:val="0"/>
        <w:bidi w:val="0"/>
        <w:adjustRightInd/>
        <w:snapToGrid w:val="0"/>
        <w:spacing w:line="480" w:lineRule="exact"/>
        <w:ind w:firstLine="472" w:firstLineChars="196"/>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（九）质疑和投诉</w:t>
      </w:r>
    </w:p>
    <w:p w14:paraId="297C6C60">
      <w:pPr>
        <w:keepNext w:val="0"/>
        <w:keepLines w:val="0"/>
        <w:pageBreakBefore w:val="0"/>
        <w:widowControl w:val="0"/>
        <w:kinsoku/>
        <w:wordWrap w:val="0"/>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1.质疑和投诉应当满足《政府采购质疑和投诉办法》（中华人民共和国财政部令第94号）</w:t>
      </w:r>
      <w:r>
        <w:rPr>
          <w:rFonts w:hint="eastAsia" w:ascii="宋体" w:hAnsi="宋体" w:cs="宋体"/>
          <w:color w:val="auto"/>
          <w:sz w:val="24"/>
          <w:szCs w:val="24"/>
          <w:lang w:eastAsia="zh-CN"/>
        </w:rPr>
        <w:t xml:space="preserve">、浙江省财政厅关于印发《浙江省政府采购供应商质疑处理办法》的通知（浙财采监〔2012〕18号） </w:t>
      </w:r>
      <w:r>
        <w:rPr>
          <w:rFonts w:hint="eastAsia" w:ascii="宋体" w:hAnsi="宋体" w:eastAsia="宋体" w:cs="宋体"/>
          <w:color w:val="auto"/>
          <w:sz w:val="24"/>
          <w:szCs w:val="24"/>
        </w:rPr>
        <w:t>要求。</w:t>
      </w:r>
    </w:p>
    <w:p w14:paraId="75CCC187">
      <w:pPr>
        <w:keepNext w:val="0"/>
        <w:keepLines w:val="0"/>
        <w:pageBreakBefore w:val="0"/>
        <w:widowControl w:val="0"/>
        <w:kinsoku/>
        <w:wordWrap w:val="0"/>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征集</w:t>
      </w:r>
      <w:r>
        <w:rPr>
          <w:rFonts w:hint="eastAsia" w:ascii="宋体" w:hAnsi="宋体" w:eastAsia="宋体" w:cs="宋体"/>
          <w:color w:val="auto"/>
          <w:sz w:val="24"/>
          <w:szCs w:val="24"/>
        </w:rPr>
        <w:t>文件质疑：供应商可在获取</w:t>
      </w:r>
      <w:r>
        <w:rPr>
          <w:rFonts w:hint="eastAsia" w:ascii="宋体" w:hAnsi="宋体" w:cs="宋体"/>
          <w:color w:val="auto"/>
          <w:sz w:val="24"/>
          <w:szCs w:val="24"/>
          <w:lang w:val="en-US" w:eastAsia="zh-CN"/>
        </w:rPr>
        <w:t>征集</w:t>
      </w:r>
      <w:r>
        <w:rPr>
          <w:rFonts w:hint="eastAsia" w:ascii="宋体" w:hAnsi="宋体" w:eastAsia="宋体" w:cs="宋体"/>
          <w:color w:val="auto"/>
          <w:sz w:val="24"/>
          <w:szCs w:val="24"/>
        </w:rPr>
        <w:t>文件之日或者</w:t>
      </w:r>
      <w:r>
        <w:rPr>
          <w:rFonts w:hint="eastAsia" w:ascii="宋体" w:hAnsi="宋体" w:cs="宋体"/>
          <w:color w:val="auto"/>
          <w:sz w:val="24"/>
          <w:szCs w:val="24"/>
          <w:lang w:val="en-US" w:eastAsia="zh-CN"/>
        </w:rPr>
        <w:t>征集</w:t>
      </w:r>
      <w:r>
        <w:rPr>
          <w:rFonts w:hint="eastAsia" w:ascii="宋体" w:hAnsi="宋体" w:eastAsia="宋体" w:cs="宋体"/>
          <w:color w:val="auto"/>
          <w:sz w:val="24"/>
          <w:szCs w:val="24"/>
        </w:rPr>
        <w:t>文件公告期限届满之日（公告期限届满后获取</w:t>
      </w:r>
      <w:r>
        <w:rPr>
          <w:rFonts w:hint="eastAsia" w:ascii="宋体" w:hAnsi="宋体" w:cs="宋体"/>
          <w:color w:val="auto"/>
          <w:sz w:val="24"/>
          <w:szCs w:val="24"/>
          <w:lang w:val="en-US" w:eastAsia="zh-CN"/>
        </w:rPr>
        <w:t>征集</w:t>
      </w:r>
      <w:r>
        <w:rPr>
          <w:rFonts w:hint="eastAsia" w:ascii="宋体" w:hAnsi="宋体" w:eastAsia="宋体" w:cs="宋体"/>
          <w:color w:val="auto"/>
          <w:sz w:val="24"/>
          <w:szCs w:val="24"/>
        </w:rPr>
        <w:t>文件的，以公告期限届满之日为准）起7个工作日内发起；</w:t>
      </w:r>
      <w:r>
        <w:rPr>
          <w:rFonts w:hint="eastAsia" w:ascii="宋体" w:hAnsi="宋体" w:cs="宋体"/>
          <w:color w:val="auto"/>
          <w:sz w:val="24"/>
          <w:szCs w:val="24"/>
          <w:lang w:val="en-US" w:eastAsia="zh-CN"/>
        </w:rPr>
        <w:t>征集</w:t>
      </w:r>
      <w:r>
        <w:rPr>
          <w:rFonts w:hint="eastAsia" w:ascii="宋体" w:hAnsi="宋体" w:eastAsia="宋体" w:cs="宋体"/>
          <w:color w:val="auto"/>
          <w:sz w:val="24"/>
          <w:szCs w:val="24"/>
        </w:rPr>
        <w:t>过程质疑：投标（响应）供应商可在投标（响应）截止时间后，</w:t>
      </w:r>
      <w:r>
        <w:rPr>
          <w:rFonts w:hint="eastAsia" w:ascii="宋体" w:hAnsi="宋体" w:cs="宋体"/>
          <w:color w:val="auto"/>
          <w:sz w:val="24"/>
          <w:szCs w:val="24"/>
          <w:lang w:val="en-US" w:eastAsia="zh-CN"/>
        </w:rPr>
        <w:t>征集</w:t>
      </w:r>
      <w:r>
        <w:rPr>
          <w:rFonts w:hint="eastAsia" w:ascii="宋体" w:hAnsi="宋体" w:eastAsia="宋体" w:cs="宋体"/>
          <w:color w:val="auto"/>
          <w:sz w:val="24"/>
          <w:szCs w:val="24"/>
        </w:rPr>
        <w:t>结果公告发布时间起7个工作日内发起；采购结果质疑：投标（响应）供应商可在</w:t>
      </w:r>
      <w:r>
        <w:rPr>
          <w:rFonts w:hint="eastAsia" w:ascii="宋体" w:hAnsi="宋体" w:cs="宋体"/>
          <w:color w:val="auto"/>
          <w:sz w:val="24"/>
          <w:szCs w:val="24"/>
          <w:lang w:val="en-US" w:eastAsia="zh-CN"/>
        </w:rPr>
        <w:t>征集</w:t>
      </w:r>
      <w:r>
        <w:rPr>
          <w:rFonts w:hint="eastAsia" w:ascii="宋体" w:hAnsi="宋体" w:eastAsia="宋体" w:cs="宋体"/>
          <w:color w:val="auto"/>
          <w:sz w:val="24"/>
          <w:szCs w:val="24"/>
        </w:rPr>
        <w:t>结果公告期限届满之日起7个工作日内发起。</w:t>
      </w:r>
    </w:p>
    <w:p w14:paraId="742D6A11">
      <w:pPr>
        <w:keepNext w:val="0"/>
        <w:keepLines w:val="0"/>
        <w:pageBreakBefore w:val="0"/>
        <w:widowControl w:val="0"/>
        <w:shd w:val="clear" w:color="auto" w:fill="auto"/>
        <w:kinsoku/>
        <w:wordWrap w:val="0"/>
        <w:overflowPunct w:val="0"/>
        <w:topLinePunct w:val="0"/>
        <w:autoSpaceDE w:val="0"/>
        <w:autoSpaceDN w:val="0"/>
        <w:bidi w:val="0"/>
        <w:adjustRightInd/>
        <w:spacing w:line="480" w:lineRule="exact"/>
        <w:ind w:left="0"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3.供应商须在法定质疑期内一次性提出针对同一采购程序环节的质疑。</w:t>
      </w:r>
    </w:p>
    <w:p w14:paraId="53B8456C">
      <w:pPr>
        <w:keepNext w:val="0"/>
        <w:keepLines w:val="0"/>
        <w:pageBreakBefore w:val="0"/>
        <w:widowControl w:val="0"/>
        <w:shd w:val="clear" w:color="auto" w:fill="auto"/>
        <w:kinsoku/>
        <w:wordWrap w:val="0"/>
        <w:overflowPunct w:val="0"/>
        <w:topLinePunct w:val="0"/>
        <w:autoSpaceDE w:val="0"/>
        <w:autoSpaceDN w:val="0"/>
        <w:bidi w:val="0"/>
        <w:adjustRightInd/>
        <w:spacing w:line="48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.质疑函须采用财政部发布的政府采购供应商质疑函范本（参考样式可从浙江政府采购网下载专区下载），否则采购代理机构有权要求质疑供应商改正后重新提出。</w:t>
      </w:r>
      <w:r>
        <w:rPr>
          <w:rFonts w:hint="eastAsia" w:ascii="宋体" w:hAnsi="宋体" w:eastAsia="宋体" w:cs="宋体"/>
          <w:color w:val="auto"/>
          <w:sz w:val="24"/>
          <w:szCs w:val="24"/>
        </w:rPr>
        <w:t>质疑、投诉应当采用书面形式，质疑书、投诉书均应明确阐述</w:t>
      </w:r>
      <w:r>
        <w:rPr>
          <w:rFonts w:hint="eastAsia" w:ascii="宋体" w:hAnsi="宋体" w:eastAsia="宋体" w:cs="宋体"/>
          <w:color w:val="auto"/>
          <w:sz w:val="24"/>
          <w:szCs w:val="24"/>
          <w:lang w:eastAsia="zh-CN"/>
        </w:rPr>
        <w:t>征集</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征集</w:t>
      </w:r>
      <w:r>
        <w:rPr>
          <w:rFonts w:hint="eastAsia" w:ascii="宋体" w:hAnsi="宋体" w:eastAsia="宋体" w:cs="宋体"/>
          <w:color w:val="auto"/>
          <w:sz w:val="24"/>
          <w:szCs w:val="24"/>
        </w:rPr>
        <w:t>过程或中标结果中使自己合法权益受到损害的实质性内容，提供相关事实、依据和证据及其来源或线索，便于有关单位调查、答复和处理。</w:t>
      </w:r>
    </w:p>
    <w:p w14:paraId="4A9E2C01">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供应商须按上述规定，在政采云系统里提出质疑。询问路径为：政采云-项目采购-询问质疑投诉-询问列表；质疑路径为：政采云-项目采购-询问质疑投诉-质疑列表。质疑供应商对在线质疑答复不满意的，可在线提起投诉，路径为：浙江政府服务网-政府采购投诉处理-在线办理。</w:t>
      </w:r>
    </w:p>
    <w:p w14:paraId="2E94D2A0">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5C5BE375">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.在线或者邮寄政府采购投诉材料当日下班时间点后收到的视为下一个工作日收到。</w:t>
      </w:r>
    </w:p>
    <w:p w14:paraId="4510C052">
      <w:pPr>
        <w:pStyle w:val="6"/>
        <w:jc w:val="center"/>
        <w:rPr>
          <w:rFonts w:hint="eastAsia" w:asciiTheme="majorEastAsia" w:hAnsiTheme="majorEastAsia" w:eastAsiaTheme="majorEastAsia" w:cstheme="majorEastAsia"/>
          <w:b/>
          <w:sz w:val="28"/>
          <w:szCs w:val="36"/>
        </w:rPr>
      </w:pPr>
      <w:r>
        <w:rPr>
          <w:rFonts w:hint="eastAsia" w:asciiTheme="majorEastAsia" w:hAnsiTheme="majorEastAsia" w:eastAsiaTheme="majorEastAsia" w:cstheme="majorEastAsia"/>
          <w:b/>
          <w:sz w:val="28"/>
          <w:szCs w:val="36"/>
        </w:rPr>
        <w:t>二、</w:t>
      </w:r>
      <w:bookmarkEnd w:id="40"/>
      <w:bookmarkEnd w:id="41"/>
      <w:bookmarkEnd w:id="42"/>
      <w:r>
        <w:rPr>
          <w:rFonts w:hint="eastAsia" w:asciiTheme="majorEastAsia" w:hAnsiTheme="majorEastAsia" w:eastAsiaTheme="majorEastAsia" w:cstheme="majorEastAsia"/>
          <w:b/>
          <w:sz w:val="28"/>
          <w:szCs w:val="36"/>
        </w:rPr>
        <w:t>征集文件</w:t>
      </w:r>
    </w:p>
    <w:p w14:paraId="327B8343">
      <w:pPr>
        <w:snapToGrid w:val="0"/>
        <w:spacing w:line="360" w:lineRule="auto"/>
        <w:ind w:firstLine="472" w:firstLineChars="196"/>
        <w:jc w:val="left"/>
        <w:rPr>
          <w:rFonts w:asciiTheme="majorEastAsia" w:hAnsiTheme="majorEastAsia" w:eastAsiaTheme="majorEastAsia" w:cstheme="majorEastAsia"/>
          <w:b/>
        </w:rPr>
      </w:pPr>
      <w:r>
        <w:rPr>
          <w:rFonts w:hint="eastAsia" w:asciiTheme="majorEastAsia" w:hAnsiTheme="majorEastAsia" w:eastAsiaTheme="majorEastAsia" w:cstheme="majorEastAsia"/>
          <w:b/>
        </w:rPr>
        <w:t>（一）征集文件的构成。</w:t>
      </w:r>
    </w:p>
    <w:p w14:paraId="25B92951">
      <w:pPr>
        <w:snapToGrid w:val="0"/>
        <w:spacing w:line="360" w:lineRule="auto"/>
        <w:ind w:firstLine="472" w:firstLineChars="196"/>
        <w:jc w:val="left"/>
        <w:rPr>
          <w:rFonts w:asciiTheme="majorEastAsia" w:hAnsiTheme="majorEastAsia" w:eastAsiaTheme="majorEastAsia" w:cstheme="majorEastAsia"/>
          <w:b/>
        </w:rPr>
      </w:pPr>
      <w:r>
        <w:rPr>
          <w:rFonts w:hint="eastAsia" w:asciiTheme="majorEastAsia" w:hAnsiTheme="majorEastAsia" w:eastAsiaTheme="majorEastAsia" w:cstheme="majorEastAsia"/>
          <w:b/>
        </w:rPr>
        <w:t>本征集文件由以下部分组成：</w:t>
      </w:r>
    </w:p>
    <w:p w14:paraId="02DB10FE">
      <w:pPr>
        <w:snapToGrid w:val="0"/>
        <w:spacing w:line="360" w:lineRule="auto"/>
        <w:ind w:firstLine="480" w:firstLineChars="200"/>
        <w:jc w:val="left"/>
        <w:rPr>
          <w:rFonts w:asciiTheme="majorEastAsia" w:hAnsiTheme="majorEastAsia" w:eastAsiaTheme="majorEastAsia" w:cstheme="majorEastAsia"/>
        </w:rPr>
      </w:pPr>
      <w:r>
        <w:rPr>
          <w:rFonts w:hint="eastAsia" w:asciiTheme="majorEastAsia" w:hAnsiTheme="majorEastAsia" w:eastAsiaTheme="majorEastAsia" w:cstheme="majorEastAsia"/>
        </w:rPr>
        <w:t>1.框架协议采购公告</w:t>
      </w:r>
    </w:p>
    <w:p w14:paraId="594D67A3">
      <w:pPr>
        <w:snapToGrid w:val="0"/>
        <w:spacing w:line="360" w:lineRule="auto"/>
        <w:ind w:firstLine="480" w:firstLineChars="200"/>
        <w:jc w:val="left"/>
        <w:rPr>
          <w:rFonts w:asciiTheme="majorEastAsia" w:hAnsiTheme="majorEastAsia" w:eastAsiaTheme="majorEastAsia" w:cstheme="majorEastAsia"/>
        </w:rPr>
      </w:pPr>
      <w:r>
        <w:rPr>
          <w:rFonts w:hint="eastAsia" w:asciiTheme="majorEastAsia" w:hAnsiTheme="majorEastAsia" w:eastAsiaTheme="majorEastAsia" w:cstheme="majorEastAsia"/>
        </w:rPr>
        <w:t>2.框架协议采购需求</w:t>
      </w:r>
    </w:p>
    <w:p w14:paraId="5AA4F70E">
      <w:pPr>
        <w:snapToGrid w:val="0"/>
        <w:spacing w:line="360" w:lineRule="auto"/>
        <w:ind w:firstLine="480" w:firstLineChars="200"/>
        <w:jc w:val="left"/>
        <w:rPr>
          <w:rFonts w:asciiTheme="majorEastAsia" w:hAnsiTheme="majorEastAsia" w:eastAsiaTheme="majorEastAsia" w:cstheme="majorEastAsia"/>
        </w:rPr>
      </w:pPr>
      <w:r>
        <w:rPr>
          <w:rFonts w:hint="eastAsia" w:asciiTheme="majorEastAsia" w:hAnsiTheme="majorEastAsia" w:eastAsiaTheme="majorEastAsia" w:cstheme="majorEastAsia"/>
        </w:rPr>
        <w:t>3.供应商须知</w:t>
      </w:r>
    </w:p>
    <w:p w14:paraId="12CDE0A8">
      <w:pPr>
        <w:snapToGrid w:val="0"/>
        <w:spacing w:line="360" w:lineRule="auto"/>
        <w:ind w:firstLine="480" w:firstLineChars="200"/>
        <w:jc w:val="left"/>
        <w:rPr>
          <w:rFonts w:asciiTheme="majorEastAsia" w:hAnsiTheme="majorEastAsia" w:eastAsiaTheme="majorEastAsia" w:cstheme="majorEastAsia"/>
        </w:rPr>
      </w:pP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评审办法</w:t>
      </w:r>
      <w:r>
        <w:rPr>
          <w:rFonts w:hint="eastAsia" w:asciiTheme="majorEastAsia" w:hAnsiTheme="majorEastAsia" w:eastAsiaTheme="majorEastAsia" w:cstheme="majorEastAsia"/>
        </w:rPr>
        <w:t>及标准</w:t>
      </w:r>
    </w:p>
    <w:p w14:paraId="5EA51052">
      <w:pPr>
        <w:snapToGrid w:val="0"/>
        <w:spacing w:line="360" w:lineRule="auto"/>
        <w:ind w:firstLine="480" w:firstLineChars="200"/>
        <w:jc w:val="left"/>
        <w:rPr>
          <w:rFonts w:asciiTheme="majorEastAsia" w:hAnsiTheme="majorEastAsia" w:eastAsiaTheme="majorEastAsia" w:cstheme="majorEastAsia"/>
        </w:rPr>
      </w:pPr>
      <w:r>
        <w:rPr>
          <w:rFonts w:hint="eastAsia" w:asciiTheme="majorEastAsia" w:hAnsiTheme="majorEastAsia" w:eastAsiaTheme="majorEastAsia" w:cstheme="majorEastAsia"/>
        </w:rPr>
        <w:t>5.合同主要条款</w:t>
      </w:r>
    </w:p>
    <w:p w14:paraId="46A80726">
      <w:pPr>
        <w:snapToGrid w:val="0"/>
        <w:spacing w:line="360" w:lineRule="auto"/>
        <w:ind w:firstLine="480" w:firstLineChars="200"/>
        <w:jc w:val="left"/>
        <w:rPr>
          <w:rFonts w:asciiTheme="majorEastAsia" w:hAnsiTheme="majorEastAsia" w:eastAsiaTheme="majorEastAsia" w:cstheme="majorEastAsia"/>
        </w:rPr>
      </w:pPr>
      <w:r>
        <w:rPr>
          <w:rFonts w:hint="eastAsia" w:asciiTheme="majorEastAsia" w:hAnsiTheme="majorEastAsia" w:eastAsiaTheme="majorEastAsia" w:cstheme="majorEastAsia"/>
        </w:rPr>
        <w:t>6.响应文件格式</w:t>
      </w:r>
    </w:p>
    <w:p w14:paraId="7CA4FE41">
      <w:pPr>
        <w:snapToGrid w:val="0"/>
        <w:spacing w:line="360" w:lineRule="auto"/>
        <w:ind w:firstLine="480" w:firstLineChars="200"/>
        <w:jc w:val="left"/>
        <w:rPr>
          <w:rFonts w:asciiTheme="majorEastAsia" w:hAnsiTheme="majorEastAsia" w:eastAsiaTheme="majorEastAsia" w:cstheme="majorEastAsia"/>
        </w:rPr>
      </w:pPr>
      <w:r>
        <w:rPr>
          <w:rFonts w:hint="eastAsia" w:asciiTheme="majorEastAsia" w:hAnsiTheme="majorEastAsia" w:eastAsiaTheme="majorEastAsia" w:cstheme="majorEastAsia"/>
        </w:rPr>
        <w:t>7.本项目征集文件的澄清、答复、修改、补充的内容</w:t>
      </w:r>
    </w:p>
    <w:p w14:paraId="07303151">
      <w:pPr>
        <w:snapToGrid w:val="0"/>
        <w:spacing w:line="360" w:lineRule="auto"/>
        <w:ind w:firstLine="472" w:firstLineChars="196"/>
        <w:jc w:val="left"/>
        <w:rPr>
          <w:rFonts w:asciiTheme="majorEastAsia" w:hAnsiTheme="majorEastAsia" w:eastAsiaTheme="majorEastAsia" w:cstheme="majorEastAsia"/>
          <w:b/>
        </w:rPr>
      </w:pPr>
      <w:r>
        <w:rPr>
          <w:rFonts w:hint="eastAsia" w:asciiTheme="majorEastAsia" w:hAnsiTheme="majorEastAsia" w:eastAsiaTheme="majorEastAsia" w:cstheme="majorEastAsia"/>
          <w:b/>
        </w:rPr>
        <w:t>（二）供应商的风险</w:t>
      </w:r>
    </w:p>
    <w:p w14:paraId="53D0C4FC">
      <w:pPr>
        <w:pStyle w:val="28"/>
        <w:spacing w:line="360" w:lineRule="auto"/>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供应商没有按照征集文件要求提供全部资料，或者供应商没有对征集文件在各方面做出实质性响应是供应商的风险，并可能导致其响应为无效响应。</w:t>
      </w:r>
    </w:p>
    <w:p w14:paraId="08B9C645">
      <w:pPr>
        <w:pStyle w:val="42"/>
        <w:snapToGrid w:val="0"/>
        <w:spacing w:before="0"/>
        <w:ind w:firstLine="482"/>
        <w:rPr>
          <w:rFonts w:asciiTheme="majorEastAsia" w:hAnsiTheme="majorEastAsia" w:eastAsiaTheme="majorEastAsia" w:cstheme="majorEastAsia"/>
          <w:b/>
        </w:rPr>
      </w:pPr>
      <w:r>
        <w:rPr>
          <w:rFonts w:hint="eastAsia" w:asciiTheme="majorEastAsia" w:hAnsiTheme="majorEastAsia" w:eastAsiaTheme="majorEastAsia" w:cstheme="majorEastAsia"/>
          <w:b/>
        </w:rPr>
        <w:t>（三）征集文件的澄清与修改</w:t>
      </w:r>
    </w:p>
    <w:p w14:paraId="5E6318AF">
      <w:pPr>
        <w:pStyle w:val="42"/>
        <w:snapToGrid w:val="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rPr>
        <w:t>1.供应商应认真阅读本征集文件，发现其中有误或有不合理要求的，可要求</w:t>
      </w:r>
      <w:r>
        <w:rPr>
          <w:rFonts w:hint="eastAsia" w:asciiTheme="majorEastAsia" w:hAnsiTheme="majorEastAsia" w:eastAsiaTheme="majorEastAsia" w:cstheme="majorEastAsia"/>
          <w:lang w:eastAsia="zh-CN"/>
        </w:rPr>
        <w:t>采购征集人</w:t>
      </w:r>
      <w:r>
        <w:rPr>
          <w:rFonts w:hint="eastAsia" w:asciiTheme="majorEastAsia" w:hAnsiTheme="majorEastAsia" w:eastAsiaTheme="majorEastAsia" w:cstheme="majorEastAsia"/>
        </w:rPr>
        <w:t>澄清。</w:t>
      </w:r>
      <w:r>
        <w:rPr>
          <w:rFonts w:hint="eastAsia" w:asciiTheme="majorEastAsia" w:hAnsiTheme="majorEastAsia" w:eastAsiaTheme="majorEastAsia" w:cstheme="majorEastAsia"/>
          <w:lang w:eastAsia="zh-CN"/>
        </w:rPr>
        <w:t>采购征集人</w:t>
      </w:r>
      <w:r>
        <w:rPr>
          <w:rFonts w:hint="eastAsia" w:asciiTheme="majorEastAsia" w:hAnsiTheme="majorEastAsia" w:eastAsiaTheme="majorEastAsia" w:cstheme="majorEastAsia"/>
        </w:rPr>
        <w:t>对已发出的征集文件进行必要澄清或者修改的，应当在征集文件要求提交响应文件截止十五日前，在财政部门指定的政府采购信息发布媒体上发布更正公告，并以书面形式通知所有征集文件获取人。</w:t>
      </w:r>
    </w:p>
    <w:p w14:paraId="2BE6014D">
      <w:pPr>
        <w:pStyle w:val="18"/>
        <w:snapToGrid w:val="0"/>
        <w:spacing w:before="120" w:after="120" w:line="360" w:lineRule="auto"/>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2.征集文件澄清或者修改的内容为征集文件的组成部分。当征集文件与澄清或者修改就同一内容的表述不一致时，以最后发出的书面文件为准。</w:t>
      </w:r>
    </w:p>
    <w:p w14:paraId="50326757">
      <w:pPr>
        <w:pStyle w:val="18"/>
        <w:snapToGrid w:val="0"/>
        <w:spacing w:before="120" w:after="120" w:line="360" w:lineRule="auto"/>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3.对征集文件的澄清、答复、修改或补充都应该通过集中采购机构以法定形式发布，</w:t>
      </w:r>
      <w:r>
        <w:rPr>
          <w:rFonts w:hint="eastAsia" w:asciiTheme="majorEastAsia" w:hAnsiTheme="majorEastAsia" w:eastAsiaTheme="majorEastAsia" w:cstheme="majorEastAsia"/>
          <w:lang w:eastAsia="zh-CN"/>
        </w:rPr>
        <w:t>采购征集人</w:t>
      </w:r>
      <w:r>
        <w:rPr>
          <w:rFonts w:hint="eastAsia" w:asciiTheme="majorEastAsia" w:hAnsiTheme="majorEastAsia" w:eastAsiaTheme="majorEastAsia" w:cstheme="majorEastAsia"/>
        </w:rPr>
        <w:t>非通过本机构，不得擅自澄清、答复、修改或补充征集文件。</w:t>
      </w:r>
    </w:p>
    <w:p w14:paraId="4B003FAB">
      <w:pPr>
        <w:pStyle w:val="6"/>
        <w:jc w:val="center"/>
        <w:rPr>
          <w:rFonts w:hint="eastAsia"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三、响应文件的编制</w:t>
      </w:r>
    </w:p>
    <w:p w14:paraId="70FB16AE">
      <w:pPr>
        <w:pStyle w:val="18"/>
        <w:keepNext w:val="0"/>
        <w:keepLines w:val="0"/>
        <w:pageBreakBefore w:val="0"/>
        <w:widowControl w:val="0"/>
        <w:kinsoku/>
        <w:overflowPunct/>
        <w:autoSpaceDE/>
        <w:autoSpaceDN/>
        <w:bidi w:val="0"/>
        <w:adjustRightInd/>
        <w:snapToGrid w:val="0"/>
        <w:spacing w:beforeLines="0" w:afterLines="0" w:line="480" w:lineRule="exact"/>
        <w:ind w:firstLine="482" w:firstLineChars="200"/>
        <w:textAlignment w:val="auto"/>
        <w:rPr>
          <w:rFonts w:hint="eastAsia" w:asciiTheme="majorEastAsia" w:hAnsiTheme="majorEastAsia" w:eastAsiaTheme="majorEastAsia" w:cstheme="majorEastAsia"/>
          <w:b/>
        </w:rPr>
      </w:pPr>
      <w:bookmarkStart w:id="47" w:name="_Toc14074"/>
      <w:bookmarkStart w:id="48" w:name="_Toc21392"/>
      <w:bookmarkStart w:id="49" w:name="_Toc532218225"/>
      <w:bookmarkStart w:id="50" w:name="_Toc406402944"/>
      <w:bookmarkStart w:id="51" w:name="_Toc406402988"/>
      <w:r>
        <w:rPr>
          <w:rFonts w:hint="eastAsia" w:asciiTheme="majorEastAsia" w:hAnsiTheme="majorEastAsia" w:eastAsiaTheme="majorEastAsia" w:cstheme="majorEastAsia"/>
          <w:b/>
        </w:rPr>
        <w:t xml:space="preserve">本项目所涉响应文件格式请详见第六章，未给出的格式请自拟。   </w:t>
      </w:r>
    </w:p>
    <w:p w14:paraId="6ABD48BA">
      <w:pPr>
        <w:pStyle w:val="18"/>
        <w:keepNext w:val="0"/>
        <w:keepLines w:val="0"/>
        <w:pageBreakBefore w:val="0"/>
        <w:widowControl w:val="0"/>
        <w:kinsoku/>
        <w:overflowPunct/>
        <w:autoSpaceDE/>
        <w:autoSpaceDN/>
        <w:bidi w:val="0"/>
        <w:adjustRightInd/>
        <w:snapToGrid w:val="0"/>
        <w:spacing w:beforeLines="0" w:afterLines="0" w:line="480" w:lineRule="exact"/>
        <w:ind w:firstLine="482" w:firstLineChars="200"/>
        <w:textAlignment w:val="auto"/>
        <w:rPr>
          <w:rFonts w:asciiTheme="majorEastAsia" w:hAnsiTheme="majorEastAsia" w:eastAsiaTheme="majorEastAsia" w:cstheme="majorEastAsia"/>
          <w:b/>
        </w:rPr>
      </w:pPr>
      <w:r>
        <w:rPr>
          <w:rFonts w:hint="eastAsia" w:asciiTheme="majorEastAsia" w:hAnsiTheme="majorEastAsia" w:eastAsiaTheme="majorEastAsia" w:cstheme="majorEastAsia"/>
          <w:b/>
        </w:rPr>
        <w:t xml:space="preserve"> 注：电子响应文件按政采云平台供应商电子招投标操作指南及本征集文件规定的格式和顺序编制电子响应文件并进行关联。建议根据征集文件合格供应商的资格要求、响应文件的编制及评分标准等内容一一关联。</w:t>
      </w:r>
    </w:p>
    <w:p w14:paraId="6F669E8D">
      <w:pPr>
        <w:pStyle w:val="18"/>
        <w:keepNext w:val="0"/>
        <w:keepLines w:val="0"/>
        <w:pageBreakBefore w:val="0"/>
        <w:widowControl w:val="0"/>
        <w:kinsoku/>
        <w:overflowPunct/>
        <w:autoSpaceDE/>
        <w:autoSpaceDN/>
        <w:bidi w:val="0"/>
        <w:adjustRightInd/>
        <w:snapToGrid w:val="0"/>
        <w:spacing w:beforeLines="0" w:afterLines="0" w:line="480" w:lineRule="exact"/>
        <w:ind w:firstLine="482" w:firstLineChars="200"/>
        <w:textAlignment w:val="auto"/>
        <w:rPr>
          <w:rFonts w:hint="eastAsia" w:asciiTheme="majorEastAsia" w:hAnsiTheme="majorEastAsia" w:eastAsiaTheme="majorEastAsia" w:cstheme="majorEastAsia"/>
          <w:b/>
          <w:lang w:eastAsia="zh-CN"/>
        </w:rPr>
      </w:pPr>
      <w:r>
        <w:rPr>
          <w:rFonts w:hint="eastAsia" w:asciiTheme="majorEastAsia" w:hAnsiTheme="majorEastAsia" w:eastAsiaTheme="majorEastAsia" w:cstheme="majorEastAsia"/>
          <w:b/>
        </w:rPr>
        <w:t>路径：浙江省“项目采购电子交易系统/不见面开</w:t>
      </w:r>
      <w:r>
        <w:rPr>
          <w:rFonts w:hint="eastAsia" w:asciiTheme="majorEastAsia" w:hAnsiTheme="majorEastAsia" w:eastAsiaTheme="majorEastAsia" w:cstheme="majorEastAsia"/>
          <w:b/>
          <w:lang w:eastAsia="zh-CN"/>
        </w:rPr>
        <w:t>评审</w:t>
      </w:r>
      <w:r>
        <w:rPr>
          <w:rFonts w:hint="eastAsia" w:asciiTheme="majorEastAsia" w:hAnsiTheme="majorEastAsia" w:eastAsiaTheme="majorEastAsia" w:cstheme="majorEastAsia"/>
          <w:b/>
        </w:rPr>
        <w:t>”学习专题-操作指南-供应商</w:t>
      </w:r>
      <w:r>
        <w:rPr>
          <w:rFonts w:hint="eastAsia" w:asciiTheme="majorEastAsia" w:hAnsiTheme="majorEastAsia" w:eastAsiaTheme="majorEastAsia" w:cstheme="majorEastAsia"/>
          <w:b/>
          <w:lang w:eastAsia="zh-CN"/>
        </w:rPr>
        <w:t>，</w:t>
      </w:r>
      <w:r>
        <w:rPr>
          <w:rFonts w:hint="eastAsia" w:asciiTheme="majorEastAsia" w:hAnsiTheme="majorEastAsia" w:eastAsiaTheme="majorEastAsia" w:cstheme="majorEastAsia"/>
          <w:b/>
        </w:rPr>
        <w:t>网址</w:t>
      </w:r>
      <w:r>
        <w:rPr>
          <w:rFonts w:hint="eastAsia" w:asciiTheme="majorEastAsia" w:hAnsiTheme="majorEastAsia" w:eastAsiaTheme="majorEastAsia" w:cstheme="majorEastAsia"/>
          <w:b/>
          <w:lang w:eastAsia="zh-CN"/>
        </w:rPr>
        <w:t>：</w:t>
      </w:r>
    </w:p>
    <w:p w14:paraId="7A50DD0A">
      <w:pPr>
        <w:pStyle w:val="18"/>
        <w:keepNext w:val="0"/>
        <w:keepLines w:val="0"/>
        <w:pageBreakBefore w:val="0"/>
        <w:widowControl w:val="0"/>
        <w:kinsoku/>
        <w:overflowPunct/>
        <w:autoSpaceDE/>
        <w:autoSpaceDN/>
        <w:bidi w:val="0"/>
        <w:adjustRightInd/>
        <w:snapToGrid w:val="0"/>
        <w:spacing w:beforeLines="0" w:afterLines="0" w:line="480" w:lineRule="exact"/>
        <w:ind w:firstLine="480" w:firstLineChars="200"/>
        <w:textAlignment w:val="auto"/>
        <w:rPr>
          <w:rFonts w:asciiTheme="majorEastAsia" w:hAnsiTheme="majorEastAsia" w:eastAsiaTheme="majorEastAsia" w:cstheme="majorEastAsia"/>
          <w:b/>
        </w:rPr>
      </w:pPr>
      <w:r>
        <w:rPr>
          <w:rFonts w:hint="eastAsia"/>
        </w:rPr>
        <w:t>https://service.zcygov.cn/#/knowledges/mes9OIIBHIbaMkgReWWa/u_gERIMBHIbaMkgRDWA2?keyword=%E6%A1%86%E6%9E%B6%E5%8D%8F%E8%AE%AE</w:t>
      </w:r>
    </w:p>
    <w:p w14:paraId="25707ACE">
      <w:pPr>
        <w:pStyle w:val="18"/>
        <w:keepNext w:val="0"/>
        <w:keepLines w:val="0"/>
        <w:pageBreakBefore w:val="0"/>
        <w:widowControl w:val="0"/>
        <w:kinsoku/>
        <w:overflowPunct/>
        <w:autoSpaceDE/>
        <w:autoSpaceDN/>
        <w:bidi w:val="0"/>
        <w:adjustRightInd/>
        <w:snapToGrid w:val="0"/>
        <w:spacing w:beforeLines="0" w:afterLines="0" w:line="480" w:lineRule="exact"/>
        <w:ind w:firstLine="480" w:firstLineChars="200"/>
        <w:textAlignment w:val="auto"/>
        <w:rPr>
          <w:rFonts w:asciiTheme="majorEastAsia" w:hAnsiTheme="majorEastAsia" w:eastAsiaTheme="majorEastAsia" w:cstheme="majorEastAsia"/>
        </w:rPr>
      </w:pPr>
      <w:r>
        <w:rPr>
          <w:rFonts w:hint="eastAsia" w:asciiTheme="majorEastAsia" w:hAnsiTheme="majorEastAsia" w:eastAsiaTheme="majorEastAsia" w:cstheme="majorEastAsia"/>
        </w:rPr>
        <w:t>总体要求：</w:t>
      </w:r>
    </w:p>
    <w:p w14:paraId="6E5E85FC">
      <w:pPr>
        <w:keepNext w:val="0"/>
        <w:keepLines w:val="0"/>
        <w:pageBreakBefore w:val="0"/>
        <w:widowControl w:val="0"/>
        <w:kinsoku/>
        <w:overflowPunct/>
        <w:autoSpaceDE/>
        <w:autoSpaceDN/>
        <w:bidi w:val="0"/>
        <w:adjustRightInd/>
        <w:spacing w:line="480" w:lineRule="exact"/>
        <w:ind w:firstLine="480" w:firstLineChars="200"/>
        <w:textAlignment w:val="auto"/>
        <w:rPr>
          <w:rFonts w:asciiTheme="majorEastAsia" w:hAnsiTheme="majorEastAsia" w:eastAsiaTheme="majorEastAsia" w:cstheme="majorEastAsia"/>
        </w:rPr>
      </w:pPr>
      <w:r>
        <w:rPr>
          <w:rFonts w:hint="eastAsia" w:asciiTheme="majorEastAsia" w:hAnsiTheme="majorEastAsia" w:eastAsiaTheme="majorEastAsia" w:cstheme="majorEastAsia"/>
        </w:rPr>
        <w:t xml:space="preserve">1.供应商应仔细阅读征集文件的所有内容，按本文件的要求提供响应文件，并保证所提供的全部资料的真实性，以使其响应文件对征集文件作出实质性响应，否则，响应文件可能视为无效响应文件。 </w:t>
      </w:r>
    </w:p>
    <w:p w14:paraId="472F67CA">
      <w:pPr>
        <w:keepNext w:val="0"/>
        <w:keepLines w:val="0"/>
        <w:pageBreakBefore w:val="0"/>
        <w:widowControl w:val="0"/>
        <w:kinsoku/>
        <w:overflowPunct/>
        <w:autoSpaceDE/>
        <w:autoSpaceDN/>
        <w:bidi w:val="0"/>
        <w:adjustRightInd/>
        <w:spacing w:line="480" w:lineRule="exact"/>
        <w:ind w:firstLine="480" w:firstLineChars="200"/>
        <w:textAlignment w:val="auto"/>
        <w:rPr>
          <w:rFonts w:asciiTheme="majorEastAsia" w:hAnsiTheme="majorEastAsia" w:eastAsiaTheme="majorEastAsia" w:cstheme="majorEastAsia"/>
        </w:rPr>
      </w:pPr>
      <w:r>
        <w:rPr>
          <w:rFonts w:hint="eastAsia" w:asciiTheme="majorEastAsia" w:hAnsiTheme="majorEastAsia" w:eastAsiaTheme="majorEastAsia" w:cstheme="majorEastAsia"/>
        </w:rPr>
        <w:t>2.响应文件及供应商与采购有关的来往通知，函件和文件均应使用中文。</w:t>
      </w:r>
    </w:p>
    <w:p w14:paraId="6663CD69">
      <w:pPr>
        <w:keepNext w:val="0"/>
        <w:keepLines w:val="0"/>
        <w:pageBreakBefore w:val="0"/>
        <w:widowControl w:val="0"/>
        <w:kinsoku/>
        <w:overflowPunct/>
        <w:autoSpaceDE/>
        <w:autoSpaceDN/>
        <w:bidi w:val="0"/>
        <w:adjustRightInd/>
        <w:spacing w:line="480" w:lineRule="exact"/>
        <w:ind w:firstLine="480" w:firstLineChars="200"/>
        <w:textAlignment w:val="auto"/>
        <w:rPr>
          <w:rFonts w:asciiTheme="majorEastAsia" w:hAnsiTheme="majorEastAsia" w:eastAsiaTheme="majorEastAsia" w:cstheme="majorEastAsia"/>
          <w:b/>
          <w:u w:val="single"/>
        </w:rPr>
      </w:pPr>
      <w:r>
        <w:rPr>
          <w:rFonts w:hint="eastAsia" w:asciiTheme="majorEastAsia" w:hAnsiTheme="majorEastAsia" w:eastAsiaTheme="majorEastAsia" w:cstheme="majorEastAsia"/>
        </w:rPr>
        <w:t>3.供应商应按本文件中提供的文件格式、内容和要求制作响应文件</w:t>
      </w:r>
      <w:r>
        <w:rPr>
          <w:rFonts w:hint="eastAsia" w:asciiTheme="majorEastAsia" w:hAnsiTheme="majorEastAsia" w:eastAsiaTheme="majorEastAsia" w:cstheme="majorEastAsia"/>
          <w:b/>
        </w:rPr>
        <w:t>。</w:t>
      </w:r>
    </w:p>
    <w:p w14:paraId="3CA0B904">
      <w:pPr>
        <w:keepNext w:val="0"/>
        <w:keepLines w:val="0"/>
        <w:pageBreakBefore w:val="0"/>
        <w:widowControl w:val="0"/>
        <w:kinsoku/>
        <w:overflowPunct/>
        <w:autoSpaceDE/>
        <w:autoSpaceDN/>
        <w:bidi w:val="0"/>
        <w:adjustRightInd/>
        <w:snapToGrid w:val="0"/>
        <w:spacing w:line="480" w:lineRule="exact"/>
        <w:ind w:firstLine="472" w:firstLineChars="196"/>
        <w:jc w:val="left"/>
        <w:textAlignment w:val="auto"/>
        <w:outlineLvl w:val="2"/>
        <w:rPr>
          <w:rFonts w:asciiTheme="majorEastAsia" w:hAnsiTheme="majorEastAsia" w:eastAsiaTheme="majorEastAsia" w:cstheme="majorEastAsia"/>
        </w:rPr>
      </w:pPr>
      <w:r>
        <w:rPr>
          <w:rFonts w:hint="eastAsia" w:asciiTheme="majorEastAsia" w:hAnsiTheme="majorEastAsia" w:eastAsiaTheme="majorEastAsia" w:cstheme="majorEastAsia"/>
          <w:b/>
        </w:rPr>
        <w:t>（一）响应文件的组成</w:t>
      </w:r>
      <w:bookmarkEnd w:id="47"/>
      <w:bookmarkEnd w:id="48"/>
    </w:p>
    <w:bookmarkEnd w:id="49"/>
    <w:bookmarkEnd w:id="50"/>
    <w:bookmarkEnd w:id="51"/>
    <w:p w14:paraId="76283E4A">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电子响应文件由</w:t>
      </w:r>
      <w:r>
        <w:rPr>
          <w:rFonts w:hint="eastAsia" w:ascii="宋体" w:hAnsi="宋体" w:eastAsia="宋体" w:cs="宋体"/>
          <w:color w:val="auto"/>
          <w:sz w:val="24"/>
          <w:szCs w:val="24"/>
          <w:highlight w:val="none"/>
        </w:rPr>
        <w:t>资</w:t>
      </w:r>
      <w:r>
        <w:rPr>
          <w:rFonts w:hint="eastAsia" w:ascii="宋体" w:hAnsi="宋体" w:cs="宋体"/>
          <w:color w:val="auto"/>
          <w:sz w:val="24"/>
          <w:szCs w:val="24"/>
          <w:highlight w:val="none"/>
          <w:lang w:eastAsia="zh-CN"/>
        </w:rPr>
        <w:t>格</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eastAsia="zh-CN"/>
        </w:rPr>
        <w:t>商务</w:t>
      </w:r>
      <w:r>
        <w:rPr>
          <w:rFonts w:hint="eastAsia" w:ascii="宋体" w:hAnsi="宋体" w:eastAsia="宋体" w:cs="宋体"/>
          <w:color w:val="auto"/>
          <w:sz w:val="24"/>
          <w:szCs w:val="24"/>
          <w:highlight w:val="none"/>
        </w:rPr>
        <w:t>技术文件及报价文件</w:t>
      </w:r>
      <w:r>
        <w:rPr>
          <w:rFonts w:hint="eastAsia" w:ascii="宋体" w:hAnsi="宋体" w:eastAsia="宋体" w:cs="宋体"/>
          <w:color w:val="auto"/>
          <w:sz w:val="24"/>
          <w:szCs w:val="24"/>
        </w:rPr>
        <w:t>三部分组成。响应文件中所须加盖公章部分均采用CA签章。</w:t>
      </w:r>
    </w:p>
    <w:p w14:paraId="35538119">
      <w:pPr>
        <w:pStyle w:val="18"/>
        <w:snapToGrid w:val="0"/>
        <w:spacing w:beforeLines="0" w:afterLines="0" w:line="360" w:lineRule="auto"/>
        <w:ind w:firstLine="482" w:firstLineChars="200"/>
        <w:rPr>
          <w:rFonts w:hAnsi="宋体" w:cs="宋体"/>
          <w:b/>
          <w:bCs/>
          <w:highlight w:val="none"/>
        </w:rPr>
      </w:pPr>
      <w:r>
        <w:rPr>
          <w:rFonts w:hint="eastAsia" w:hAnsi="宋体" w:cs="宋体"/>
          <w:b/>
          <w:bCs/>
          <w:highlight w:val="none"/>
        </w:rPr>
        <w:t>1.资格文件：</w:t>
      </w:r>
    </w:p>
    <w:p w14:paraId="018BA1A2">
      <w:pPr>
        <w:pStyle w:val="18"/>
        <w:snapToGrid w:val="0"/>
        <w:spacing w:beforeLines="0" w:afterLines="0" w:line="360" w:lineRule="auto"/>
        <w:ind w:firstLine="480" w:firstLineChars="200"/>
        <w:rPr>
          <w:rFonts w:hAnsi="宋体" w:cs="宋体"/>
          <w:highlight w:val="none"/>
        </w:rPr>
      </w:pPr>
      <w:r>
        <w:rPr>
          <w:rFonts w:hint="eastAsia" w:hAnsi="宋体" w:cs="宋体"/>
          <w:highlight w:val="none"/>
        </w:rPr>
        <w:t>（1）投标声明书（格式见附件）；</w:t>
      </w:r>
    </w:p>
    <w:p w14:paraId="210DF38E">
      <w:pPr>
        <w:pStyle w:val="18"/>
        <w:snapToGrid w:val="0"/>
        <w:spacing w:beforeLines="0" w:afterLines="0" w:line="360" w:lineRule="auto"/>
        <w:ind w:firstLine="480" w:firstLineChars="200"/>
        <w:rPr>
          <w:rFonts w:hAnsi="宋体" w:cs="宋体"/>
          <w:highlight w:val="none"/>
        </w:rPr>
      </w:pPr>
      <w:r>
        <w:rPr>
          <w:rFonts w:hint="eastAsia" w:hAnsi="宋体" w:cs="宋体"/>
          <w:highlight w:val="none"/>
        </w:rPr>
        <w:t>（2）法定代表人授权委托书、法定代表人及被授权人的身份证复印件（格式见附件）；</w:t>
      </w:r>
    </w:p>
    <w:p w14:paraId="5793C221">
      <w:pPr>
        <w:pStyle w:val="18"/>
        <w:snapToGrid w:val="0"/>
        <w:spacing w:beforeLines="0" w:afterLines="0" w:line="360" w:lineRule="auto"/>
        <w:ind w:firstLine="480" w:firstLineChars="200"/>
        <w:rPr>
          <w:rFonts w:hAnsi="宋体" w:cs="宋体"/>
          <w:highlight w:val="none"/>
        </w:rPr>
      </w:pPr>
      <w:r>
        <w:rPr>
          <w:rFonts w:hint="eastAsia" w:hAnsi="宋体" w:cs="宋体"/>
          <w:highlight w:val="none"/>
        </w:rPr>
        <w:t>（3）企业（法人）营业执照复印件；</w:t>
      </w:r>
    </w:p>
    <w:p w14:paraId="0773A77B">
      <w:pPr>
        <w:pStyle w:val="18"/>
        <w:snapToGrid w:val="0"/>
        <w:spacing w:beforeLines="0" w:afterLines="0" w:line="360" w:lineRule="auto"/>
        <w:ind w:firstLine="480" w:firstLineChars="200"/>
        <w:rPr>
          <w:rFonts w:hAnsi="宋体" w:cs="宋体"/>
          <w:highlight w:val="none"/>
        </w:rPr>
      </w:pPr>
      <w:r>
        <w:rPr>
          <w:rFonts w:hint="eastAsia" w:hAnsi="宋体" w:cs="宋体"/>
          <w:highlight w:val="none"/>
        </w:rPr>
        <w:t>（4）符合参加政府采购活动应当具备的一般条件的承诺函（格式见附件）；</w:t>
      </w:r>
    </w:p>
    <w:p w14:paraId="388BC13E">
      <w:pPr>
        <w:pStyle w:val="18"/>
        <w:snapToGrid w:val="0"/>
        <w:spacing w:beforeLines="0" w:afterLines="0" w:line="360" w:lineRule="auto"/>
        <w:ind w:firstLine="480" w:firstLineChars="200"/>
        <w:rPr>
          <w:rFonts w:hAnsi="宋体" w:cs="宋体"/>
          <w:highlight w:val="none"/>
        </w:rPr>
      </w:pPr>
      <w:r>
        <w:rPr>
          <w:rFonts w:hint="eastAsia" w:hAnsi="宋体" w:cs="宋体"/>
          <w:highlight w:val="none"/>
        </w:rPr>
        <w:t xml:space="preserve">（5）落实政府采购政策需满足的资格要求及本项目的特定资格要求。                     </w:t>
      </w:r>
    </w:p>
    <w:p w14:paraId="4CCD712D">
      <w:pPr>
        <w:pStyle w:val="18"/>
        <w:snapToGrid w:val="0"/>
        <w:spacing w:beforeLines="0" w:afterLines="0" w:line="360" w:lineRule="auto"/>
        <w:ind w:firstLine="482" w:firstLineChars="200"/>
        <w:rPr>
          <w:rFonts w:hAnsi="宋体" w:cs="宋体"/>
          <w:b/>
          <w:bCs/>
          <w:highlight w:val="none"/>
        </w:rPr>
      </w:pPr>
      <w:r>
        <w:rPr>
          <w:rFonts w:hint="eastAsia" w:hAnsi="宋体" w:cs="宋体"/>
          <w:b/>
          <w:bCs/>
          <w:highlight w:val="none"/>
        </w:rPr>
        <w:t>2.商务技术文件:</w:t>
      </w:r>
    </w:p>
    <w:p w14:paraId="29DB98FE">
      <w:pPr>
        <w:pStyle w:val="9"/>
        <w:snapToGrid w:val="0"/>
        <w:spacing w:line="360" w:lineRule="auto"/>
        <w:ind w:left="0" w:firstLine="480" w:firstLineChars="200"/>
        <w:rPr>
          <w:rFonts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rPr>
        <w:t>1</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rPr>
        <w:t>技术商务文件封面及目录；</w:t>
      </w:r>
    </w:p>
    <w:p w14:paraId="75C55778">
      <w:pPr>
        <w:pStyle w:val="9"/>
        <w:snapToGrid w:val="0"/>
        <w:spacing w:line="360" w:lineRule="auto"/>
        <w:ind w:left="0" w:firstLine="480" w:firstLineChars="200"/>
        <w:rPr>
          <w:rFonts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rPr>
        <w:t>2</w:t>
      </w:r>
      <w:r>
        <w:rPr>
          <w:rFonts w:hint="eastAsia" w:ascii="宋体" w:hAnsi="宋体" w:eastAsia="宋体" w:cs="宋体"/>
          <w:b w:val="0"/>
          <w:bCs w:val="0"/>
          <w:snapToGrid w:val="0"/>
          <w:color w:val="auto"/>
          <w:kern w:val="0"/>
          <w:sz w:val="24"/>
          <w:szCs w:val="24"/>
          <w:highlight w:val="none"/>
          <w:lang w:eastAsia="zh-CN"/>
        </w:rPr>
        <w:t>）供应商基本情况介绍</w:t>
      </w:r>
      <w:r>
        <w:rPr>
          <w:rFonts w:hint="eastAsia" w:ascii="宋体" w:hAnsi="宋体" w:eastAsia="宋体" w:cs="宋体"/>
          <w:b w:val="0"/>
          <w:bCs w:val="0"/>
          <w:snapToGrid w:val="0"/>
          <w:color w:val="auto"/>
          <w:kern w:val="0"/>
          <w:sz w:val="24"/>
          <w:szCs w:val="24"/>
          <w:highlight w:val="none"/>
        </w:rPr>
        <w:t>；</w:t>
      </w:r>
    </w:p>
    <w:p w14:paraId="736AB540">
      <w:pPr>
        <w:pStyle w:val="9"/>
        <w:snapToGrid w:val="0"/>
        <w:spacing w:line="360" w:lineRule="auto"/>
        <w:ind w:left="0" w:firstLine="480" w:firstLineChars="200"/>
        <w:rPr>
          <w:rFonts w:hint="default"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rPr>
        <w:t>3</w:t>
      </w:r>
      <w:r>
        <w:rPr>
          <w:rFonts w:hint="eastAsia" w:ascii="宋体" w:hAnsi="宋体" w:eastAsia="宋体" w:cs="宋体"/>
          <w:b w:val="0"/>
          <w:bCs w:val="0"/>
          <w:snapToGrid w:val="0"/>
          <w:color w:val="auto"/>
          <w:kern w:val="0"/>
          <w:sz w:val="24"/>
          <w:szCs w:val="24"/>
          <w:highlight w:val="none"/>
          <w:lang w:eastAsia="zh-CN"/>
        </w:rPr>
        <w:t>）</w:t>
      </w:r>
      <w:r>
        <w:rPr>
          <w:rFonts w:hint="eastAsia" w:cs="宋体"/>
          <w:b w:val="0"/>
          <w:bCs w:val="0"/>
          <w:snapToGrid w:val="0"/>
          <w:color w:val="auto"/>
          <w:kern w:val="0"/>
          <w:sz w:val="24"/>
          <w:szCs w:val="24"/>
          <w:highlight w:val="none"/>
          <w:lang w:val="en-US" w:eastAsia="zh-CN"/>
        </w:rPr>
        <w:t>项目负责人持证情况；</w:t>
      </w:r>
    </w:p>
    <w:p w14:paraId="5FBBE182">
      <w:pPr>
        <w:pStyle w:val="9"/>
        <w:snapToGrid w:val="0"/>
        <w:spacing w:line="360" w:lineRule="auto"/>
        <w:ind w:left="0" w:firstLine="480" w:firstLineChars="200"/>
        <w:rPr>
          <w:rFonts w:ascii="宋体" w:hAnsi="宋体" w:eastAsia="宋体" w:cs="宋体"/>
          <w:b w:val="0"/>
          <w:bCs w:val="0"/>
          <w:snapToGrid w:val="0"/>
          <w:color w:val="auto"/>
          <w:kern w:val="0"/>
          <w:sz w:val="24"/>
          <w:szCs w:val="24"/>
          <w:highlight w:val="none"/>
        </w:rPr>
      </w:pPr>
      <w:r>
        <w:rPr>
          <w:rFonts w:hint="eastAsia" w:cs="宋体"/>
          <w:b w:val="0"/>
          <w:bCs w:val="0"/>
          <w:snapToGrid w:val="0"/>
          <w:color w:val="auto"/>
          <w:kern w:val="0"/>
          <w:sz w:val="24"/>
          <w:szCs w:val="24"/>
          <w:highlight w:val="none"/>
          <w:lang w:eastAsia="zh-CN"/>
        </w:rPr>
        <w:t>（</w:t>
      </w:r>
      <w:r>
        <w:rPr>
          <w:rFonts w:hint="eastAsia" w:cs="宋体"/>
          <w:b w:val="0"/>
          <w:bCs w:val="0"/>
          <w:snapToGrid w:val="0"/>
          <w:color w:val="auto"/>
          <w:kern w:val="0"/>
          <w:sz w:val="24"/>
          <w:szCs w:val="24"/>
          <w:highlight w:val="none"/>
          <w:lang w:val="en-US" w:eastAsia="zh-CN"/>
        </w:rPr>
        <w:t>4</w:t>
      </w:r>
      <w:r>
        <w:rPr>
          <w:rFonts w:hint="eastAsia" w:cs="宋体"/>
          <w:b w:val="0"/>
          <w:bCs w:val="0"/>
          <w:snapToGrid w:val="0"/>
          <w:color w:val="auto"/>
          <w:kern w:val="0"/>
          <w:sz w:val="24"/>
          <w:szCs w:val="24"/>
          <w:highlight w:val="none"/>
          <w:lang w:eastAsia="zh-CN"/>
        </w:rPr>
        <w:t>）</w:t>
      </w:r>
      <w:r>
        <w:rPr>
          <w:rFonts w:hint="eastAsia" w:cs="宋体"/>
          <w:b w:val="0"/>
          <w:bCs w:val="0"/>
          <w:snapToGrid w:val="0"/>
          <w:color w:val="auto"/>
          <w:kern w:val="0"/>
          <w:sz w:val="24"/>
          <w:szCs w:val="24"/>
          <w:highlight w:val="none"/>
          <w:lang w:val="en-US" w:eastAsia="zh-CN"/>
        </w:rPr>
        <w:t>项目</w:t>
      </w:r>
      <w:r>
        <w:rPr>
          <w:rFonts w:hint="eastAsia" w:ascii="宋体" w:hAnsi="宋体" w:eastAsia="宋体" w:cs="宋体"/>
          <w:b w:val="0"/>
          <w:bCs w:val="0"/>
          <w:snapToGrid w:val="0"/>
          <w:color w:val="auto"/>
          <w:kern w:val="0"/>
          <w:sz w:val="24"/>
          <w:szCs w:val="24"/>
          <w:highlight w:val="none"/>
          <w:lang w:eastAsia="zh-CN"/>
        </w:rPr>
        <w:t>负责人</w:t>
      </w:r>
      <w:r>
        <w:rPr>
          <w:rFonts w:hint="eastAsia" w:cs="宋体"/>
          <w:b w:val="0"/>
          <w:bCs w:val="0"/>
          <w:snapToGrid w:val="0"/>
          <w:color w:val="auto"/>
          <w:kern w:val="0"/>
          <w:sz w:val="24"/>
          <w:szCs w:val="24"/>
          <w:highlight w:val="none"/>
          <w:lang w:val="en-US" w:eastAsia="zh-CN"/>
        </w:rPr>
        <w:t>类似项目经验</w:t>
      </w:r>
      <w:r>
        <w:rPr>
          <w:rFonts w:hint="eastAsia" w:ascii="宋体" w:hAnsi="宋体" w:eastAsia="宋体" w:cs="宋体"/>
          <w:b w:val="0"/>
          <w:bCs w:val="0"/>
          <w:snapToGrid w:val="0"/>
          <w:color w:val="auto"/>
          <w:kern w:val="0"/>
          <w:sz w:val="24"/>
          <w:szCs w:val="24"/>
          <w:highlight w:val="none"/>
        </w:rPr>
        <w:t>；</w:t>
      </w:r>
    </w:p>
    <w:p w14:paraId="7056C9EE">
      <w:pPr>
        <w:pStyle w:val="9"/>
        <w:snapToGrid w:val="0"/>
        <w:spacing w:line="360" w:lineRule="auto"/>
        <w:ind w:left="0" w:firstLine="480" w:firstLineChars="200"/>
        <w:rPr>
          <w:rFonts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eastAsia="zh-CN"/>
        </w:rPr>
        <w:t>（</w:t>
      </w:r>
      <w:r>
        <w:rPr>
          <w:rFonts w:hint="eastAsia" w:cs="宋体"/>
          <w:b w:val="0"/>
          <w:bCs w:val="0"/>
          <w:snapToGrid w:val="0"/>
          <w:color w:val="auto"/>
          <w:kern w:val="0"/>
          <w:sz w:val="24"/>
          <w:szCs w:val="24"/>
          <w:highlight w:val="none"/>
          <w:lang w:val="en-US" w:eastAsia="zh-CN"/>
        </w:rPr>
        <w:t>5</w:t>
      </w:r>
      <w:r>
        <w:rPr>
          <w:rFonts w:hint="eastAsia" w:ascii="宋体" w:hAnsi="宋体" w:eastAsia="宋体" w:cs="宋体"/>
          <w:b w:val="0"/>
          <w:bCs w:val="0"/>
          <w:snapToGrid w:val="0"/>
          <w:color w:val="auto"/>
          <w:kern w:val="0"/>
          <w:sz w:val="24"/>
          <w:szCs w:val="24"/>
          <w:highlight w:val="none"/>
          <w:lang w:eastAsia="zh-CN"/>
        </w:rPr>
        <w:t>）拟派团队</w:t>
      </w:r>
      <w:r>
        <w:rPr>
          <w:rFonts w:hint="eastAsia" w:cs="宋体"/>
          <w:b w:val="0"/>
          <w:bCs w:val="0"/>
          <w:snapToGrid w:val="0"/>
          <w:color w:val="auto"/>
          <w:kern w:val="0"/>
          <w:sz w:val="24"/>
          <w:szCs w:val="24"/>
          <w:highlight w:val="none"/>
          <w:lang w:val="en-US" w:eastAsia="zh-CN"/>
        </w:rPr>
        <w:t>人员专业</w:t>
      </w:r>
      <w:r>
        <w:rPr>
          <w:rFonts w:hint="eastAsia" w:ascii="宋体" w:hAnsi="宋体" w:eastAsia="宋体" w:cs="宋体"/>
          <w:b w:val="0"/>
          <w:bCs w:val="0"/>
          <w:snapToGrid w:val="0"/>
          <w:color w:val="auto"/>
          <w:kern w:val="0"/>
          <w:sz w:val="24"/>
          <w:szCs w:val="24"/>
          <w:highlight w:val="none"/>
          <w:lang w:eastAsia="zh-CN"/>
        </w:rPr>
        <w:t>配置</w:t>
      </w:r>
      <w:r>
        <w:rPr>
          <w:rFonts w:hint="eastAsia" w:ascii="宋体" w:hAnsi="宋体" w:cs="宋体"/>
          <w:b w:val="0"/>
          <w:bCs w:val="0"/>
          <w:snapToGrid w:val="0"/>
          <w:color w:val="auto"/>
          <w:kern w:val="0"/>
          <w:sz w:val="24"/>
          <w:szCs w:val="24"/>
          <w:highlight w:val="none"/>
          <w:lang w:eastAsia="zh-CN"/>
        </w:rPr>
        <w:t>（项目负责人除外）</w:t>
      </w:r>
      <w:r>
        <w:rPr>
          <w:rFonts w:hint="eastAsia" w:ascii="宋体" w:hAnsi="宋体" w:eastAsia="宋体" w:cs="宋体"/>
          <w:b w:val="0"/>
          <w:bCs w:val="0"/>
          <w:snapToGrid w:val="0"/>
          <w:color w:val="auto"/>
          <w:kern w:val="0"/>
          <w:sz w:val="24"/>
          <w:szCs w:val="24"/>
          <w:highlight w:val="none"/>
        </w:rPr>
        <w:t>；</w:t>
      </w:r>
    </w:p>
    <w:p w14:paraId="48A25408">
      <w:pPr>
        <w:pStyle w:val="9"/>
        <w:snapToGrid w:val="0"/>
        <w:spacing w:line="360" w:lineRule="auto"/>
        <w:ind w:left="0" w:firstLine="480" w:firstLineChars="200"/>
        <w:rPr>
          <w:rFonts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eastAsia="zh-CN"/>
        </w:rPr>
        <w:t>（</w:t>
      </w:r>
      <w:r>
        <w:rPr>
          <w:rFonts w:hint="eastAsia" w:cs="宋体"/>
          <w:b w:val="0"/>
          <w:bCs w:val="0"/>
          <w:snapToGrid w:val="0"/>
          <w:color w:val="auto"/>
          <w:kern w:val="0"/>
          <w:sz w:val="24"/>
          <w:szCs w:val="24"/>
          <w:highlight w:val="none"/>
          <w:lang w:val="en-US" w:eastAsia="zh-CN"/>
        </w:rPr>
        <w:t>6</w:t>
      </w:r>
      <w:r>
        <w:rPr>
          <w:rFonts w:hint="eastAsia" w:ascii="宋体" w:hAnsi="宋体" w:eastAsia="宋体" w:cs="宋体"/>
          <w:b w:val="0"/>
          <w:bCs w:val="0"/>
          <w:snapToGrid w:val="0"/>
          <w:color w:val="auto"/>
          <w:kern w:val="0"/>
          <w:sz w:val="24"/>
          <w:szCs w:val="24"/>
          <w:highlight w:val="none"/>
          <w:lang w:eastAsia="zh-CN"/>
        </w:rPr>
        <w:t>）拟派团队</w:t>
      </w:r>
      <w:r>
        <w:rPr>
          <w:rFonts w:hint="eastAsia" w:cs="宋体"/>
          <w:b w:val="0"/>
          <w:bCs w:val="0"/>
          <w:snapToGrid w:val="0"/>
          <w:color w:val="auto"/>
          <w:kern w:val="0"/>
          <w:sz w:val="24"/>
          <w:szCs w:val="24"/>
          <w:highlight w:val="none"/>
          <w:lang w:val="en-US" w:eastAsia="zh-CN"/>
        </w:rPr>
        <w:t>人员持证要求</w:t>
      </w:r>
      <w:r>
        <w:rPr>
          <w:rFonts w:hint="eastAsia" w:ascii="宋体" w:hAnsi="宋体" w:cs="宋体"/>
          <w:b w:val="0"/>
          <w:bCs w:val="0"/>
          <w:snapToGrid w:val="0"/>
          <w:color w:val="auto"/>
          <w:kern w:val="0"/>
          <w:sz w:val="24"/>
          <w:szCs w:val="24"/>
          <w:highlight w:val="none"/>
          <w:lang w:eastAsia="zh-CN"/>
        </w:rPr>
        <w:t>（项目负责人除外）</w:t>
      </w:r>
      <w:r>
        <w:rPr>
          <w:rFonts w:hint="eastAsia" w:ascii="宋体" w:hAnsi="宋体" w:eastAsia="宋体" w:cs="宋体"/>
          <w:b w:val="0"/>
          <w:bCs w:val="0"/>
          <w:snapToGrid w:val="0"/>
          <w:color w:val="auto"/>
          <w:kern w:val="0"/>
          <w:sz w:val="24"/>
          <w:szCs w:val="24"/>
          <w:highlight w:val="none"/>
        </w:rPr>
        <w:t>；</w:t>
      </w:r>
    </w:p>
    <w:p w14:paraId="1F66CBEC">
      <w:pPr>
        <w:pStyle w:val="9"/>
        <w:snapToGrid w:val="0"/>
        <w:spacing w:line="360" w:lineRule="auto"/>
        <w:ind w:left="0" w:firstLine="480" w:firstLineChars="200"/>
        <w:rPr>
          <w:rFonts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eastAsia="zh-CN"/>
        </w:rPr>
        <w:t>（</w:t>
      </w:r>
      <w:r>
        <w:rPr>
          <w:rFonts w:hint="eastAsia" w:cs="宋体"/>
          <w:b w:val="0"/>
          <w:bCs w:val="0"/>
          <w:snapToGrid w:val="0"/>
          <w:color w:val="auto"/>
          <w:kern w:val="0"/>
          <w:sz w:val="24"/>
          <w:szCs w:val="24"/>
          <w:highlight w:val="none"/>
          <w:lang w:val="en-US" w:eastAsia="zh-CN"/>
        </w:rPr>
        <w:t>7</w:t>
      </w:r>
      <w:r>
        <w:rPr>
          <w:rFonts w:hint="eastAsia" w:ascii="宋体" w:hAnsi="宋体" w:eastAsia="宋体" w:cs="宋体"/>
          <w:b w:val="0"/>
          <w:bCs w:val="0"/>
          <w:snapToGrid w:val="0"/>
          <w:color w:val="auto"/>
          <w:kern w:val="0"/>
          <w:sz w:val="24"/>
          <w:szCs w:val="24"/>
          <w:highlight w:val="none"/>
          <w:lang w:eastAsia="zh-CN"/>
        </w:rPr>
        <w:t>）拟派团队</w:t>
      </w:r>
      <w:r>
        <w:rPr>
          <w:rFonts w:hint="eastAsia" w:cs="宋体"/>
          <w:b w:val="0"/>
          <w:bCs w:val="0"/>
          <w:snapToGrid w:val="0"/>
          <w:color w:val="auto"/>
          <w:kern w:val="0"/>
          <w:sz w:val="24"/>
          <w:szCs w:val="24"/>
          <w:highlight w:val="none"/>
          <w:lang w:val="en-US" w:eastAsia="zh-CN"/>
        </w:rPr>
        <w:t>类似项目</w:t>
      </w:r>
      <w:r>
        <w:rPr>
          <w:rFonts w:hint="eastAsia" w:ascii="宋体" w:hAnsi="宋体" w:eastAsia="宋体" w:cs="宋体"/>
          <w:b w:val="0"/>
          <w:bCs w:val="0"/>
          <w:snapToGrid w:val="0"/>
          <w:color w:val="auto"/>
          <w:kern w:val="0"/>
          <w:sz w:val="24"/>
          <w:szCs w:val="24"/>
          <w:highlight w:val="none"/>
          <w:lang w:eastAsia="zh-CN"/>
        </w:rPr>
        <w:t>经验</w:t>
      </w:r>
      <w:r>
        <w:rPr>
          <w:rFonts w:hint="eastAsia" w:ascii="宋体" w:hAnsi="宋体" w:cs="宋体"/>
          <w:b w:val="0"/>
          <w:bCs w:val="0"/>
          <w:snapToGrid w:val="0"/>
          <w:color w:val="auto"/>
          <w:kern w:val="0"/>
          <w:sz w:val="24"/>
          <w:szCs w:val="24"/>
          <w:highlight w:val="none"/>
          <w:lang w:eastAsia="zh-CN"/>
        </w:rPr>
        <w:t>（项目负责人除外）</w:t>
      </w:r>
      <w:r>
        <w:rPr>
          <w:rFonts w:hint="eastAsia" w:ascii="宋体" w:hAnsi="宋体" w:eastAsia="宋体" w:cs="宋体"/>
          <w:b w:val="0"/>
          <w:bCs w:val="0"/>
          <w:snapToGrid w:val="0"/>
          <w:color w:val="auto"/>
          <w:kern w:val="0"/>
          <w:sz w:val="24"/>
          <w:szCs w:val="24"/>
          <w:highlight w:val="none"/>
        </w:rPr>
        <w:t>；</w:t>
      </w:r>
    </w:p>
    <w:p w14:paraId="15EDD32A">
      <w:pPr>
        <w:pStyle w:val="9"/>
        <w:snapToGrid w:val="0"/>
        <w:spacing w:line="360" w:lineRule="auto"/>
        <w:ind w:left="0" w:firstLine="480" w:firstLineChars="200"/>
        <w:rPr>
          <w:rFonts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eastAsia="zh-CN"/>
        </w:rPr>
        <w:t>（</w:t>
      </w:r>
      <w:r>
        <w:rPr>
          <w:rFonts w:hint="eastAsia" w:cs="宋体"/>
          <w:b w:val="0"/>
          <w:bCs w:val="0"/>
          <w:snapToGrid w:val="0"/>
          <w:color w:val="auto"/>
          <w:kern w:val="0"/>
          <w:sz w:val="24"/>
          <w:szCs w:val="24"/>
          <w:highlight w:val="none"/>
          <w:lang w:val="en-US" w:eastAsia="zh-CN"/>
        </w:rPr>
        <w:t>8</w:t>
      </w:r>
      <w:r>
        <w:rPr>
          <w:rFonts w:hint="eastAsia" w:ascii="宋体" w:hAnsi="宋体" w:eastAsia="宋体" w:cs="宋体"/>
          <w:b w:val="0"/>
          <w:bCs w:val="0"/>
          <w:snapToGrid w:val="0"/>
          <w:color w:val="auto"/>
          <w:kern w:val="0"/>
          <w:sz w:val="24"/>
          <w:szCs w:val="24"/>
          <w:highlight w:val="none"/>
          <w:lang w:eastAsia="zh-CN"/>
        </w:rPr>
        <w:t>）审核方案</w:t>
      </w:r>
      <w:r>
        <w:rPr>
          <w:rFonts w:hint="eastAsia" w:ascii="宋体" w:hAnsi="宋体" w:eastAsia="宋体" w:cs="宋体"/>
          <w:b w:val="0"/>
          <w:bCs w:val="0"/>
          <w:snapToGrid w:val="0"/>
          <w:color w:val="auto"/>
          <w:kern w:val="0"/>
          <w:sz w:val="24"/>
          <w:szCs w:val="24"/>
          <w:highlight w:val="none"/>
        </w:rPr>
        <w:t>；</w:t>
      </w:r>
    </w:p>
    <w:p w14:paraId="71406996">
      <w:pPr>
        <w:pStyle w:val="9"/>
        <w:snapToGrid w:val="0"/>
        <w:spacing w:line="360" w:lineRule="auto"/>
        <w:ind w:left="0" w:firstLine="480" w:firstLineChars="200"/>
        <w:rPr>
          <w:rFonts w:hint="default"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eastAsia="zh-CN"/>
        </w:rPr>
        <w:t>（</w:t>
      </w:r>
      <w:r>
        <w:rPr>
          <w:rFonts w:hint="eastAsia" w:cs="宋体"/>
          <w:b w:val="0"/>
          <w:bCs w:val="0"/>
          <w:snapToGrid w:val="0"/>
          <w:color w:val="auto"/>
          <w:kern w:val="0"/>
          <w:sz w:val="24"/>
          <w:szCs w:val="24"/>
          <w:highlight w:val="none"/>
          <w:lang w:val="en-US" w:eastAsia="zh-CN"/>
        </w:rPr>
        <w:t>9</w:t>
      </w:r>
      <w:r>
        <w:rPr>
          <w:rFonts w:hint="eastAsia" w:ascii="宋体" w:hAnsi="宋体" w:eastAsia="宋体" w:cs="宋体"/>
          <w:b w:val="0"/>
          <w:bCs w:val="0"/>
          <w:snapToGrid w:val="0"/>
          <w:color w:val="auto"/>
          <w:kern w:val="0"/>
          <w:sz w:val="24"/>
          <w:szCs w:val="24"/>
          <w:highlight w:val="none"/>
          <w:lang w:eastAsia="zh-CN"/>
        </w:rPr>
        <w:t>）</w:t>
      </w:r>
      <w:r>
        <w:rPr>
          <w:rFonts w:hint="eastAsia" w:cs="宋体"/>
          <w:b w:val="0"/>
          <w:bCs w:val="0"/>
          <w:snapToGrid w:val="0"/>
          <w:color w:val="auto"/>
          <w:kern w:val="0"/>
          <w:sz w:val="24"/>
          <w:szCs w:val="24"/>
          <w:highlight w:val="none"/>
          <w:lang w:val="en-US" w:eastAsia="zh-CN"/>
        </w:rPr>
        <w:t>应急预案；</w:t>
      </w:r>
    </w:p>
    <w:p w14:paraId="14916B86">
      <w:pPr>
        <w:pStyle w:val="9"/>
        <w:snapToGrid w:val="0"/>
        <w:spacing w:line="360" w:lineRule="auto"/>
        <w:ind w:left="0" w:firstLine="480" w:firstLineChars="200"/>
        <w:rPr>
          <w:rFonts w:ascii="宋体" w:hAnsi="宋体" w:eastAsia="宋体" w:cs="宋体"/>
          <w:b w:val="0"/>
          <w:bCs w:val="0"/>
          <w:snapToGrid w:val="0"/>
          <w:color w:val="auto"/>
          <w:kern w:val="0"/>
          <w:sz w:val="24"/>
          <w:szCs w:val="24"/>
          <w:highlight w:val="none"/>
        </w:rPr>
      </w:pPr>
      <w:r>
        <w:rPr>
          <w:rFonts w:hint="eastAsia" w:cs="宋体"/>
          <w:b w:val="0"/>
          <w:bCs w:val="0"/>
          <w:snapToGrid w:val="0"/>
          <w:color w:val="auto"/>
          <w:kern w:val="0"/>
          <w:sz w:val="24"/>
          <w:szCs w:val="24"/>
          <w:highlight w:val="none"/>
          <w:lang w:eastAsia="zh-CN"/>
        </w:rPr>
        <w:t>（</w:t>
      </w:r>
      <w:r>
        <w:rPr>
          <w:rFonts w:hint="eastAsia" w:cs="宋体"/>
          <w:b w:val="0"/>
          <w:bCs w:val="0"/>
          <w:snapToGrid w:val="0"/>
          <w:color w:val="auto"/>
          <w:kern w:val="0"/>
          <w:sz w:val="24"/>
          <w:szCs w:val="24"/>
          <w:highlight w:val="none"/>
          <w:lang w:val="en-US" w:eastAsia="zh-CN"/>
        </w:rPr>
        <w:t>10</w:t>
      </w:r>
      <w:r>
        <w:rPr>
          <w:rFonts w:hint="eastAsia"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lang w:eastAsia="zh-CN"/>
        </w:rPr>
        <w:t>审核服务质量控制措施</w:t>
      </w:r>
      <w:r>
        <w:rPr>
          <w:rFonts w:hint="eastAsia" w:ascii="宋体" w:hAnsi="宋体" w:cs="宋体"/>
          <w:b w:val="0"/>
          <w:bCs w:val="0"/>
          <w:color w:val="auto"/>
          <w:sz w:val="24"/>
          <w:highlight w:val="none"/>
          <w:lang w:val="en-US" w:eastAsia="zh-CN"/>
        </w:rPr>
        <w:t>方案</w:t>
      </w:r>
      <w:r>
        <w:rPr>
          <w:rFonts w:hint="eastAsia" w:ascii="宋体" w:hAnsi="宋体" w:eastAsia="宋体" w:cs="宋体"/>
          <w:b w:val="0"/>
          <w:bCs w:val="0"/>
          <w:snapToGrid w:val="0"/>
          <w:color w:val="auto"/>
          <w:kern w:val="0"/>
          <w:sz w:val="24"/>
          <w:szCs w:val="24"/>
          <w:highlight w:val="none"/>
        </w:rPr>
        <w:t>；</w:t>
      </w:r>
    </w:p>
    <w:p w14:paraId="4335F1CA">
      <w:pPr>
        <w:pStyle w:val="9"/>
        <w:snapToGrid w:val="0"/>
        <w:spacing w:line="360" w:lineRule="auto"/>
        <w:ind w:left="0" w:firstLine="480" w:firstLineChars="200"/>
        <w:rPr>
          <w:rFonts w:hint="eastAsia" w:ascii="宋体" w:hAnsi="宋体" w:eastAsia="宋体" w:cs="宋体"/>
          <w:b w:val="0"/>
          <w:bCs w:val="0"/>
          <w:snapToGrid w:val="0"/>
          <w:color w:val="auto"/>
          <w:kern w:val="0"/>
          <w:sz w:val="24"/>
          <w:szCs w:val="24"/>
          <w:highlight w:val="none"/>
          <w:lang w:eastAsia="zh-CN"/>
        </w:rPr>
      </w:pPr>
      <w:r>
        <w:rPr>
          <w:rFonts w:hint="eastAsia" w:ascii="宋体" w:hAnsi="宋体" w:eastAsia="宋体" w:cs="宋体"/>
          <w:b w:val="0"/>
          <w:bCs w:val="0"/>
          <w:snapToGrid w:val="0"/>
          <w:color w:val="auto"/>
          <w:kern w:val="0"/>
          <w:sz w:val="24"/>
          <w:szCs w:val="24"/>
          <w:highlight w:val="none"/>
          <w:lang w:eastAsia="zh-CN"/>
        </w:rPr>
        <w:t>（</w:t>
      </w:r>
      <w:r>
        <w:rPr>
          <w:rFonts w:hint="eastAsia" w:cs="宋体"/>
          <w:b w:val="0"/>
          <w:bCs w:val="0"/>
          <w:snapToGrid w:val="0"/>
          <w:color w:val="auto"/>
          <w:kern w:val="0"/>
          <w:sz w:val="24"/>
          <w:szCs w:val="24"/>
          <w:highlight w:val="none"/>
          <w:lang w:val="en-US" w:eastAsia="zh-CN"/>
        </w:rPr>
        <w:t>11</w:t>
      </w:r>
      <w:r>
        <w:rPr>
          <w:rFonts w:hint="eastAsia" w:ascii="宋体" w:hAnsi="宋体" w:eastAsia="宋体" w:cs="宋体"/>
          <w:b w:val="0"/>
          <w:bCs w:val="0"/>
          <w:snapToGrid w:val="0"/>
          <w:color w:val="auto"/>
          <w:kern w:val="0"/>
          <w:sz w:val="24"/>
          <w:szCs w:val="24"/>
          <w:highlight w:val="none"/>
          <w:lang w:eastAsia="zh-CN"/>
        </w:rPr>
        <w:t>）审核服务进度控制机制</w:t>
      </w:r>
      <w:r>
        <w:rPr>
          <w:rFonts w:hint="eastAsia" w:ascii="宋体" w:hAnsi="宋体" w:cs="宋体"/>
          <w:b w:val="0"/>
          <w:bCs w:val="0"/>
          <w:color w:val="auto"/>
          <w:sz w:val="24"/>
          <w:highlight w:val="none"/>
          <w:lang w:val="en-US" w:eastAsia="zh-CN"/>
        </w:rPr>
        <w:t>方案</w:t>
      </w:r>
      <w:r>
        <w:rPr>
          <w:rFonts w:hint="eastAsia" w:ascii="宋体" w:hAnsi="宋体" w:eastAsia="宋体" w:cs="宋体"/>
          <w:b w:val="0"/>
          <w:bCs w:val="0"/>
          <w:snapToGrid w:val="0"/>
          <w:color w:val="auto"/>
          <w:kern w:val="0"/>
          <w:sz w:val="24"/>
          <w:szCs w:val="24"/>
          <w:highlight w:val="none"/>
          <w:lang w:eastAsia="zh-CN"/>
        </w:rPr>
        <w:t>；</w:t>
      </w:r>
    </w:p>
    <w:p w14:paraId="47636C3E">
      <w:pPr>
        <w:pStyle w:val="9"/>
        <w:snapToGrid w:val="0"/>
        <w:spacing w:line="360" w:lineRule="auto"/>
        <w:ind w:left="0" w:firstLine="480" w:firstLineChars="200"/>
        <w:rPr>
          <w:rFonts w:hint="default"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eastAsia="zh-CN"/>
        </w:rPr>
        <w:t>（</w:t>
      </w:r>
      <w:r>
        <w:rPr>
          <w:rFonts w:hint="eastAsia" w:cs="宋体"/>
          <w:b w:val="0"/>
          <w:bCs w:val="0"/>
          <w:snapToGrid w:val="0"/>
          <w:color w:val="auto"/>
          <w:kern w:val="0"/>
          <w:sz w:val="24"/>
          <w:szCs w:val="24"/>
          <w:highlight w:val="none"/>
          <w:lang w:val="en-US" w:eastAsia="zh-CN"/>
        </w:rPr>
        <w:t>12</w:t>
      </w:r>
      <w:r>
        <w:rPr>
          <w:rFonts w:hint="eastAsia" w:ascii="宋体" w:hAnsi="宋体" w:eastAsia="宋体" w:cs="宋体"/>
          <w:b w:val="0"/>
          <w:bCs w:val="0"/>
          <w:snapToGrid w:val="0"/>
          <w:color w:val="auto"/>
          <w:kern w:val="0"/>
          <w:sz w:val="24"/>
          <w:szCs w:val="24"/>
          <w:highlight w:val="none"/>
          <w:lang w:eastAsia="zh-CN"/>
        </w:rPr>
        <w:t>）</w:t>
      </w:r>
      <w:r>
        <w:rPr>
          <w:rFonts w:hint="eastAsia" w:cs="宋体"/>
          <w:b w:val="0"/>
          <w:bCs w:val="0"/>
          <w:snapToGrid w:val="0"/>
          <w:color w:val="auto"/>
          <w:kern w:val="0"/>
          <w:sz w:val="24"/>
          <w:szCs w:val="24"/>
          <w:highlight w:val="none"/>
          <w:lang w:val="en-US" w:eastAsia="zh-CN"/>
        </w:rPr>
        <w:t>保密制度；</w:t>
      </w:r>
    </w:p>
    <w:p w14:paraId="19679E8F">
      <w:pPr>
        <w:pStyle w:val="9"/>
        <w:snapToGrid w:val="0"/>
        <w:spacing w:line="360" w:lineRule="auto"/>
        <w:ind w:left="0" w:firstLine="480" w:firstLineChars="200"/>
        <w:rPr>
          <w:rFonts w:hint="eastAsia"/>
          <w:highlight w:val="none"/>
          <w:lang w:eastAsia="zh-CN"/>
        </w:rPr>
      </w:pPr>
      <w:r>
        <w:rPr>
          <w:rFonts w:hint="eastAsia" w:ascii="宋体" w:hAnsi="宋体" w:eastAsia="宋体" w:cs="宋体"/>
          <w:b w:val="0"/>
          <w:bCs w:val="0"/>
          <w:snapToGrid w:val="0"/>
          <w:color w:val="auto"/>
          <w:kern w:val="0"/>
          <w:sz w:val="24"/>
          <w:szCs w:val="24"/>
          <w:highlight w:val="none"/>
          <w:lang w:eastAsia="zh-CN"/>
        </w:rPr>
        <w:t>（1</w:t>
      </w:r>
      <w:r>
        <w:rPr>
          <w:rFonts w:hint="eastAsia" w:cs="宋体"/>
          <w:b w:val="0"/>
          <w:bCs w:val="0"/>
          <w:snapToGrid w:val="0"/>
          <w:color w:val="auto"/>
          <w:kern w:val="0"/>
          <w:sz w:val="24"/>
          <w:szCs w:val="24"/>
          <w:highlight w:val="none"/>
          <w:lang w:val="en-US" w:eastAsia="zh-CN"/>
        </w:rPr>
        <w:t>3</w:t>
      </w:r>
      <w:r>
        <w:rPr>
          <w:rFonts w:hint="eastAsia" w:ascii="宋体" w:hAnsi="宋体" w:eastAsia="宋体" w:cs="宋体"/>
          <w:b w:val="0"/>
          <w:bCs w:val="0"/>
          <w:snapToGrid w:val="0"/>
          <w:color w:val="auto"/>
          <w:kern w:val="0"/>
          <w:sz w:val="24"/>
          <w:szCs w:val="24"/>
          <w:highlight w:val="none"/>
          <w:lang w:eastAsia="zh-CN"/>
        </w:rPr>
        <w:t>）</w:t>
      </w:r>
      <w:r>
        <w:rPr>
          <w:rFonts w:hint="eastAsia"/>
          <w:b w:val="0"/>
          <w:bCs w:val="0"/>
          <w:snapToGrid w:val="0"/>
          <w:color w:val="auto"/>
          <w:kern w:val="0"/>
          <w:sz w:val="24"/>
          <w:szCs w:val="24"/>
          <w:highlight w:val="none"/>
        </w:rPr>
        <w:t>综合服务能力</w:t>
      </w:r>
      <w:r>
        <w:rPr>
          <w:rFonts w:hint="eastAsia" w:cs="宋体"/>
          <w:b w:val="0"/>
          <w:bCs w:val="0"/>
          <w:snapToGrid w:val="0"/>
          <w:color w:val="auto"/>
          <w:kern w:val="0"/>
          <w:sz w:val="24"/>
          <w:szCs w:val="24"/>
          <w:highlight w:val="none"/>
          <w:lang w:eastAsia="zh-CN"/>
        </w:rPr>
        <w:t>；</w:t>
      </w:r>
    </w:p>
    <w:p w14:paraId="6201FF7C">
      <w:pPr>
        <w:pStyle w:val="9"/>
        <w:snapToGrid w:val="0"/>
        <w:spacing w:line="360" w:lineRule="auto"/>
        <w:ind w:left="0" w:firstLine="480" w:firstLineChars="200"/>
        <w:rPr>
          <w:rFonts w:hint="default"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eastAsia="zh-CN"/>
        </w:rPr>
        <w:t>（1</w:t>
      </w:r>
      <w:r>
        <w:rPr>
          <w:rFonts w:hint="eastAsia" w:cs="宋体"/>
          <w:b w:val="0"/>
          <w:bCs w:val="0"/>
          <w:snapToGrid w:val="0"/>
          <w:color w:val="auto"/>
          <w:kern w:val="0"/>
          <w:sz w:val="24"/>
          <w:szCs w:val="24"/>
          <w:highlight w:val="none"/>
          <w:lang w:val="en-US" w:eastAsia="zh-CN"/>
        </w:rPr>
        <w:t>4</w:t>
      </w:r>
      <w:r>
        <w:rPr>
          <w:rFonts w:hint="eastAsia" w:ascii="宋体" w:hAnsi="宋体" w:eastAsia="宋体" w:cs="宋体"/>
          <w:b w:val="0"/>
          <w:bCs w:val="0"/>
          <w:snapToGrid w:val="0"/>
          <w:color w:val="auto"/>
          <w:kern w:val="0"/>
          <w:sz w:val="24"/>
          <w:szCs w:val="24"/>
          <w:highlight w:val="none"/>
          <w:lang w:eastAsia="zh-CN"/>
        </w:rPr>
        <w:t>）</w:t>
      </w:r>
      <w:r>
        <w:rPr>
          <w:rFonts w:hint="eastAsia" w:cs="宋体"/>
          <w:b w:val="0"/>
          <w:bCs w:val="0"/>
          <w:snapToGrid w:val="0"/>
          <w:color w:val="auto"/>
          <w:kern w:val="0"/>
          <w:sz w:val="24"/>
          <w:szCs w:val="24"/>
          <w:highlight w:val="none"/>
          <w:lang w:val="en-US" w:eastAsia="zh-CN"/>
        </w:rPr>
        <w:t>廉政措施；</w:t>
      </w:r>
    </w:p>
    <w:p w14:paraId="3652B003">
      <w:pPr>
        <w:pStyle w:val="9"/>
        <w:snapToGrid w:val="0"/>
        <w:spacing w:line="360" w:lineRule="auto"/>
        <w:ind w:left="0" w:firstLine="480" w:firstLineChars="200"/>
        <w:rPr>
          <w:rFonts w:hint="eastAsia" w:ascii="宋体" w:hAnsi="宋体" w:eastAsia="宋体" w:cs="宋体"/>
          <w:b w:val="0"/>
          <w:bCs w:val="0"/>
          <w:snapToGrid w:val="0"/>
          <w:color w:val="auto"/>
          <w:kern w:val="0"/>
          <w:sz w:val="24"/>
          <w:szCs w:val="24"/>
          <w:highlight w:val="none"/>
          <w:lang w:eastAsia="zh-CN"/>
        </w:rPr>
      </w:pPr>
      <w:r>
        <w:rPr>
          <w:rFonts w:hint="eastAsia" w:ascii="宋体" w:hAnsi="宋体" w:eastAsia="宋体" w:cs="宋体"/>
          <w:b w:val="0"/>
          <w:bCs w:val="0"/>
          <w:snapToGrid w:val="0"/>
          <w:color w:val="auto"/>
          <w:kern w:val="0"/>
          <w:sz w:val="24"/>
          <w:szCs w:val="24"/>
          <w:highlight w:val="none"/>
          <w:lang w:eastAsia="zh-CN"/>
        </w:rPr>
        <w:t>（1</w:t>
      </w:r>
      <w:r>
        <w:rPr>
          <w:rFonts w:hint="eastAsia" w:cs="宋体"/>
          <w:b w:val="0"/>
          <w:bCs w:val="0"/>
          <w:snapToGrid w:val="0"/>
          <w:color w:val="auto"/>
          <w:kern w:val="0"/>
          <w:sz w:val="24"/>
          <w:szCs w:val="24"/>
          <w:highlight w:val="none"/>
          <w:lang w:val="en-US" w:eastAsia="zh-CN"/>
        </w:rPr>
        <w:t>5</w:t>
      </w:r>
      <w:r>
        <w:rPr>
          <w:rFonts w:hint="eastAsia" w:ascii="宋体" w:hAnsi="宋体" w:eastAsia="宋体" w:cs="宋体"/>
          <w:b w:val="0"/>
          <w:bCs w:val="0"/>
          <w:snapToGrid w:val="0"/>
          <w:color w:val="auto"/>
          <w:kern w:val="0"/>
          <w:sz w:val="24"/>
          <w:szCs w:val="24"/>
          <w:highlight w:val="none"/>
          <w:lang w:eastAsia="zh-CN"/>
        </w:rPr>
        <w:t>）承诺误差率</w:t>
      </w:r>
      <w:r>
        <w:rPr>
          <w:rFonts w:hint="eastAsia" w:cs="宋体"/>
          <w:b w:val="0"/>
          <w:bCs w:val="0"/>
          <w:snapToGrid w:val="0"/>
          <w:color w:val="auto"/>
          <w:kern w:val="0"/>
          <w:sz w:val="24"/>
          <w:szCs w:val="24"/>
          <w:highlight w:val="none"/>
          <w:lang w:eastAsia="zh-CN"/>
        </w:rPr>
        <w:t>；</w:t>
      </w:r>
    </w:p>
    <w:p w14:paraId="269FF09A">
      <w:pPr>
        <w:pStyle w:val="9"/>
        <w:snapToGrid w:val="0"/>
        <w:spacing w:line="360" w:lineRule="auto"/>
        <w:ind w:left="0" w:firstLine="480" w:firstLineChars="200"/>
        <w:rPr>
          <w:rFonts w:hint="eastAsia" w:ascii="宋体" w:hAnsi="宋体" w:eastAsia="宋体" w:cs="宋体"/>
          <w:b w:val="0"/>
          <w:bCs w:val="0"/>
          <w:snapToGrid w:val="0"/>
          <w:color w:val="auto"/>
          <w:kern w:val="0"/>
          <w:sz w:val="24"/>
          <w:szCs w:val="24"/>
          <w:highlight w:val="none"/>
          <w:lang w:eastAsia="zh-CN"/>
        </w:rPr>
      </w:pPr>
      <w:r>
        <w:rPr>
          <w:rFonts w:hint="eastAsia" w:ascii="宋体" w:hAnsi="宋体" w:eastAsia="宋体" w:cs="宋体"/>
          <w:b w:val="0"/>
          <w:bCs w:val="0"/>
          <w:snapToGrid w:val="0"/>
          <w:color w:val="auto"/>
          <w:kern w:val="0"/>
          <w:sz w:val="24"/>
          <w:szCs w:val="24"/>
          <w:highlight w:val="none"/>
          <w:lang w:eastAsia="zh-CN"/>
        </w:rPr>
        <w:t>（1</w:t>
      </w:r>
      <w:r>
        <w:rPr>
          <w:rFonts w:hint="eastAsia" w:cs="宋体"/>
          <w:b w:val="0"/>
          <w:bCs w:val="0"/>
          <w:snapToGrid w:val="0"/>
          <w:color w:val="auto"/>
          <w:kern w:val="0"/>
          <w:sz w:val="24"/>
          <w:szCs w:val="24"/>
          <w:highlight w:val="none"/>
          <w:lang w:val="en-US" w:eastAsia="zh-CN"/>
        </w:rPr>
        <w:t>6</w:t>
      </w:r>
      <w:r>
        <w:rPr>
          <w:rFonts w:hint="eastAsia" w:ascii="宋体" w:hAnsi="宋体" w:eastAsia="宋体" w:cs="宋体"/>
          <w:b w:val="0"/>
          <w:bCs w:val="0"/>
          <w:snapToGrid w:val="0"/>
          <w:color w:val="auto"/>
          <w:kern w:val="0"/>
          <w:sz w:val="24"/>
          <w:szCs w:val="24"/>
          <w:highlight w:val="none"/>
          <w:lang w:eastAsia="zh-CN"/>
        </w:rPr>
        <w:t>）履约情况及用户评价</w:t>
      </w:r>
      <w:r>
        <w:rPr>
          <w:rFonts w:hint="eastAsia" w:cs="宋体"/>
          <w:b w:val="0"/>
          <w:bCs w:val="0"/>
          <w:snapToGrid w:val="0"/>
          <w:color w:val="auto"/>
          <w:kern w:val="0"/>
          <w:sz w:val="24"/>
          <w:szCs w:val="24"/>
          <w:highlight w:val="none"/>
          <w:lang w:eastAsia="zh-CN"/>
        </w:rPr>
        <w:t>；</w:t>
      </w:r>
    </w:p>
    <w:p w14:paraId="30628457">
      <w:pPr>
        <w:pStyle w:val="9"/>
        <w:snapToGrid w:val="0"/>
        <w:spacing w:line="360" w:lineRule="auto"/>
        <w:ind w:left="0" w:firstLine="480" w:firstLineChars="200"/>
        <w:rPr>
          <w:rFonts w:hint="eastAsia" w:ascii="宋体" w:hAnsi="宋体" w:eastAsia="宋体" w:cs="宋体"/>
          <w:b w:val="0"/>
          <w:bCs w:val="0"/>
          <w:snapToGrid w:val="0"/>
          <w:color w:val="auto"/>
          <w:kern w:val="0"/>
          <w:sz w:val="24"/>
          <w:szCs w:val="24"/>
          <w:highlight w:val="none"/>
          <w:lang w:eastAsia="zh-CN"/>
        </w:rPr>
      </w:pPr>
      <w:r>
        <w:rPr>
          <w:rFonts w:hint="eastAsia" w:ascii="宋体" w:hAnsi="宋体" w:eastAsia="宋体" w:cs="宋体"/>
          <w:b w:val="0"/>
          <w:bCs w:val="0"/>
          <w:snapToGrid w:val="0"/>
          <w:color w:val="auto"/>
          <w:kern w:val="0"/>
          <w:sz w:val="24"/>
          <w:szCs w:val="24"/>
          <w:highlight w:val="none"/>
          <w:lang w:eastAsia="zh-CN"/>
        </w:rPr>
        <w:t>（1</w:t>
      </w:r>
      <w:r>
        <w:rPr>
          <w:rFonts w:hint="eastAsia" w:cs="宋体"/>
          <w:b w:val="0"/>
          <w:bCs w:val="0"/>
          <w:snapToGrid w:val="0"/>
          <w:color w:val="auto"/>
          <w:kern w:val="0"/>
          <w:sz w:val="24"/>
          <w:szCs w:val="24"/>
          <w:highlight w:val="none"/>
          <w:lang w:val="en-US" w:eastAsia="zh-CN"/>
        </w:rPr>
        <w:t>7</w:t>
      </w:r>
      <w:r>
        <w:rPr>
          <w:rFonts w:hint="eastAsia" w:ascii="宋体" w:hAnsi="宋体" w:eastAsia="宋体" w:cs="宋体"/>
          <w:b w:val="0"/>
          <w:bCs w:val="0"/>
          <w:snapToGrid w:val="0"/>
          <w:color w:val="auto"/>
          <w:kern w:val="0"/>
          <w:sz w:val="24"/>
          <w:szCs w:val="24"/>
          <w:highlight w:val="none"/>
          <w:lang w:eastAsia="zh-CN"/>
        </w:rPr>
        <w:t>）征集文件需要的其他资料及供应商认为需要提供的其他内容</w:t>
      </w:r>
      <w:r>
        <w:rPr>
          <w:rFonts w:hint="eastAsia" w:cs="宋体"/>
          <w:b w:val="0"/>
          <w:bCs w:val="0"/>
          <w:snapToGrid w:val="0"/>
          <w:color w:val="auto"/>
          <w:kern w:val="0"/>
          <w:sz w:val="24"/>
          <w:szCs w:val="24"/>
          <w:highlight w:val="none"/>
          <w:lang w:eastAsia="zh-CN"/>
        </w:rPr>
        <w:t>（如有）</w:t>
      </w:r>
      <w:r>
        <w:rPr>
          <w:rFonts w:hint="eastAsia" w:ascii="宋体" w:hAnsi="宋体" w:eastAsia="宋体" w:cs="宋体"/>
          <w:b w:val="0"/>
          <w:bCs w:val="0"/>
          <w:snapToGrid w:val="0"/>
          <w:color w:val="auto"/>
          <w:kern w:val="0"/>
          <w:sz w:val="24"/>
          <w:szCs w:val="24"/>
          <w:highlight w:val="none"/>
          <w:lang w:eastAsia="zh-CN"/>
        </w:rPr>
        <w:t>。</w:t>
      </w:r>
    </w:p>
    <w:p w14:paraId="15753B61">
      <w:pPr>
        <w:pStyle w:val="18"/>
        <w:snapToGrid w:val="0"/>
        <w:spacing w:beforeLines="0" w:afterLines="0" w:line="360" w:lineRule="auto"/>
        <w:ind w:firstLine="482" w:firstLineChars="200"/>
        <w:rPr>
          <w:rFonts w:hAnsi="宋体" w:cs="宋体"/>
          <w:b/>
          <w:bCs/>
          <w:sz w:val="24"/>
          <w:szCs w:val="24"/>
          <w:highlight w:val="none"/>
        </w:rPr>
      </w:pPr>
      <w:r>
        <w:rPr>
          <w:rFonts w:hint="eastAsia" w:hAnsi="宋体" w:cs="宋体"/>
          <w:b/>
          <w:bCs/>
          <w:sz w:val="24"/>
          <w:szCs w:val="24"/>
          <w:highlight w:val="none"/>
        </w:rPr>
        <w:t>3.投标报价文件：</w:t>
      </w:r>
    </w:p>
    <w:p w14:paraId="0B55FE97">
      <w:pPr>
        <w:pStyle w:val="18"/>
        <w:snapToGrid w:val="0"/>
        <w:spacing w:beforeLines="0" w:afterLines="0" w:line="360" w:lineRule="auto"/>
        <w:ind w:firstLine="480" w:firstLineChars="200"/>
        <w:rPr>
          <w:rFonts w:hAnsi="宋体" w:cs="宋体"/>
          <w:highlight w:val="none"/>
        </w:rPr>
      </w:pPr>
      <w:r>
        <w:rPr>
          <w:rFonts w:hint="eastAsia" w:hAnsi="宋体" w:cs="宋体"/>
          <w:highlight w:val="none"/>
        </w:rPr>
        <w:t xml:space="preserve">（1）投标函（格式见附件）； </w:t>
      </w:r>
    </w:p>
    <w:p w14:paraId="30B313B0">
      <w:pPr>
        <w:pStyle w:val="18"/>
        <w:snapToGrid w:val="0"/>
        <w:spacing w:beforeLines="0" w:afterLines="0" w:line="360" w:lineRule="auto"/>
        <w:ind w:firstLine="480" w:firstLineChars="200"/>
        <w:rPr>
          <w:rFonts w:hAnsi="宋体" w:cs="宋体"/>
          <w:highlight w:val="none"/>
        </w:rPr>
      </w:pPr>
      <w:r>
        <w:rPr>
          <w:rFonts w:hint="eastAsia" w:hAnsi="宋体" w:cs="宋体"/>
          <w:highlight w:val="none"/>
        </w:rPr>
        <w:t>（2）</w:t>
      </w:r>
      <w:r>
        <w:rPr>
          <w:rFonts w:hint="eastAsia" w:hAnsi="宋体" w:cs="宋体"/>
          <w:highlight w:val="none"/>
          <w:lang w:eastAsia="zh-CN"/>
        </w:rPr>
        <w:t>报价一览表</w:t>
      </w:r>
      <w:r>
        <w:rPr>
          <w:rFonts w:hint="eastAsia" w:hAnsi="宋体" w:cs="宋体"/>
          <w:highlight w:val="none"/>
        </w:rPr>
        <w:t>（格式见附件）；</w:t>
      </w:r>
    </w:p>
    <w:p w14:paraId="7355A3C2">
      <w:pPr>
        <w:pStyle w:val="18"/>
        <w:snapToGrid w:val="0"/>
        <w:spacing w:beforeLines="0" w:afterLines="0" w:line="360" w:lineRule="auto"/>
        <w:ind w:firstLine="480" w:firstLineChars="200"/>
        <w:rPr>
          <w:rFonts w:hint="eastAsia"/>
        </w:rPr>
      </w:pPr>
      <w:r>
        <w:rPr>
          <w:rFonts w:hint="eastAsia" w:hAnsi="宋体" w:cs="宋体"/>
          <w:highlight w:val="none"/>
        </w:rPr>
        <w:t>（3）</w:t>
      </w:r>
      <w:r>
        <w:rPr>
          <w:rFonts w:hint="eastAsia" w:hAnsi="宋体" w:cs="宋体"/>
          <w:highlight w:val="none"/>
          <w:lang w:eastAsia="zh-CN"/>
        </w:rPr>
        <w:t>供应商</w:t>
      </w:r>
      <w:r>
        <w:rPr>
          <w:rFonts w:hint="eastAsia" w:hAnsi="宋体" w:cs="宋体"/>
          <w:highlight w:val="none"/>
        </w:rPr>
        <w:t>针对报价需要说明的其他文件和说明。</w:t>
      </w:r>
    </w:p>
    <w:p w14:paraId="7297A71B">
      <w:pPr>
        <w:keepNext w:val="0"/>
        <w:keepLines w:val="0"/>
        <w:pageBreakBefore w:val="0"/>
        <w:widowControl w:val="0"/>
        <w:kinsoku/>
        <w:wordWrap w:val="0"/>
        <w:overflowPunct/>
        <w:topLinePunct w:val="0"/>
        <w:autoSpaceDE/>
        <w:autoSpaceDN/>
        <w:bidi w:val="0"/>
        <w:adjustRightInd/>
        <w:snapToGrid w:val="0"/>
        <w:spacing w:line="480" w:lineRule="exact"/>
        <w:ind w:firstLine="472" w:firstLineChars="196"/>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（二）</w:t>
      </w:r>
      <w:bookmarkStart w:id="52" w:name="_Toc406402946"/>
      <w:bookmarkStart w:id="53" w:name="_Toc406402990"/>
      <w:bookmarkStart w:id="54" w:name="_Toc385854100"/>
      <w:bookmarkStart w:id="55" w:name="_Toc402963117"/>
      <w:bookmarkStart w:id="56" w:name="_Toc532218227"/>
      <w:bookmarkStart w:id="57" w:name="_Toc402963084"/>
      <w:bookmarkStart w:id="58" w:name="_Toc385854146"/>
      <w:r>
        <w:rPr>
          <w:rFonts w:hint="eastAsia" w:ascii="宋体" w:hAnsi="宋体" w:eastAsia="宋体" w:cs="宋体"/>
          <w:b/>
          <w:color w:val="auto"/>
          <w:sz w:val="24"/>
          <w:szCs w:val="24"/>
        </w:rPr>
        <w:t>响应文件的语言及计量</w:t>
      </w:r>
      <w:bookmarkEnd w:id="52"/>
      <w:bookmarkEnd w:id="53"/>
      <w:bookmarkEnd w:id="54"/>
      <w:bookmarkEnd w:id="55"/>
      <w:bookmarkEnd w:id="56"/>
      <w:bookmarkEnd w:id="57"/>
      <w:bookmarkEnd w:id="58"/>
    </w:p>
    <w:p w14:paraId="11853E59">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响应文件以及采购人与征集人就有关征集事宜的所有来往函电，均应以中文汉语书写。除签名、盖章、专用名称等特殊情形外，以中文汉语以外的文字表述的响应文件视同未提供。</w:t>
      </w:r>
    </w:p>
    <w:p w14:paraId="30827536">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响应计量单位，征集文件已有明确规定的，使用征集文件规定的计量单位；征集文件没有规定的，应采用中华人民共和国法定计量单位（货币单位：人民币元），否则视同未响应。</w:t>
      </w:r>
    </w:p>
    <w:p w14:paraId="14385E78">
      <w:pPr>
        <w:pStyle w:val="42"/>
        <w:keepNext w:val="0"/>
        <w:keepLines w:val="0"/>
        <w:pageBreakBefore w:val="0"/>
        <w:widowControl w:val="0"/>
        <w:kinsoku/>
        <w:wordWrap w:val="0"/>
        <w:overflowPunct/>
        <w:topLinePunct w:val="0"/>
        <w:autoSpaceDE/>
        <w:autoSpaceDN/>
        <w:bidi w:val="0"/>
        <w:adjustRightInd/>
        <w:spacing w:before="0" w:line="480" w:lineRule="exact"/>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cs="宋体"/>
          <w:b/>
          <w:color w:val="auto"/>
          <w:sz w:val="24"/>
          <w:szCs w:val="24"/>
          <w:lang w:eastAsia="zh-CN"/>
        </w:rPr>
        <w:t>三</w:t>
      </w:r>
      <w:r>
        <w:rPr>
          <w:rFonts w:hint="eastAsia" w:ascii="宋体" w:hAnsi="宋体" w:eastAsia="宋体" w:cs="宋体"/>
          <w:b/>
          <w:color w:val="auto"/>
          <w:sz w:val="24"/>
          <w:szCs w:val="24"/>
        </w:rPr>
        <w:t>）响应文件的提交、补充、修改、撤回</w:t>
      </w:r>
    </w:p>
    <w:p w14:paraId="7A0B49E5">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07D18B89">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2.电子交易平台收到响应文件，将妥善保存并即时向供应商发出确认回执通知。在响应截止时间前，除供应商补充、修改或者撤回响应文件外，任何单位和个人不得解密或提取响应文件。</w:t>
      </w:r>
    </w:p>
    <w:p w14:paraId="185308ED">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3.征集人、</w:t>
      </w:r>
      <w:r>
        <w:rPr>
          <w:rFonts w:hint="eastAsia" w:ascii="宋体" w:hAnsi="宋体" w:cs="宋体"/>
          <w:color w:val="auto"/>
          <w:sz w:val="24"/>
          <w:szCs w:val="24"/>
          <w:lang w:val="en-US" w:eastAsia="zh-CN"/>
        </w:rPr>
        <w:t>征集代理</w:t>
      </w:r>
      <w:r>
        <w:rPr>
          <w:rFonts w:hint="eastAsia" w:ascii="宋体" w:hAnsi="宋体" w:eastAsia="宋体" w:cs="宋体"/>
          <w:color w:val="auto"/>
          <w:sz w:val="24"/>
          <w:szCs w:val="24"/>
        </w:rPr>
        <w:t>机构可以视情况延长响应文件提交的截止时间。在上述情况下，</w:t>
      </w:r>
      <w:r>
        <w:rPr>
          <w:rFonts w:hint="eastAsia" w:ascii="宋体" w:hAnsi="宋体" w:cs="宋体"/>
          <w:color w:val="auto"/>
          <w:sz w:val="24"/>
          <w:szCs w:val="24"/>
          <w:lang w:val="en-US" w:eastAsia="zh-CN"/>
        </w:rPr>
        <w:t>征集代理</w:t>
      </w:r>
      <w:r>
        <w:rPr>
          <w:rFonts w:hint="eastAsia" w:ascii="宋体" w:hAnsi="宋体" w:eastAsia="宋体" w:cs="宋体"/>
          <w:color w:val="auto"/>
          <w:sz w:val="24"/>
          <w:szCs w:val="24"/>
        </w:rPr>
        <w:t>机构与供应商以前在响应截止期方面的全部权利、责任和义务，将适用于延长至新的响应截止期。</w:t>
      </w:r>
    </w:p>
    <w:p w14:paraId="27001069">
      <w:pPr>
        <w:keepNext w:val="0"/>
        <w:keepLines w:val="0"/>
        <w:pageBreakBefore w:val="0"/>
        <w:widowControl w:val="0"/>
        <w:kinsoku/>
        <w:wordWrap w:val="0"/>
        <w:overflowPunct/>
        <w:topLinePunct w:val="0"/>
        <w:autoSpaceDE/>
        <w:autoSpaceDN/>
        <w:bidi w:val="0"/>
        <w:adjustRightInd/>
        <w:snapToGrid w:val="0"/>
        <w:spacing w:line="480" w:lineRule="exact"/>
        <w:ind w:firstLine="472" w:firstLineChars="196"/>
        <w:jc w:val="left"/>
        <w:textAlignment w:val="auto"/>
        <w:outlineLvl w:val="2"/>
        <w:rPr>
          <w:rFonts w:hint="eastAsia" w:ascii="宋体" w:hAnsi="宋体" w:eastAsia="宋体" w:cs="宋体"/>
          <w:b/>
          <w:color w:val="auto"/>
          <w:sz w:val="24"/>
          <w:szCs w:val="24"/>
        </w:rPr>
      </w:pPr>
      <w:bookmarkStart w:id="59" w:name="_Toc532218228"/>
      <w:bookmarkStart w:id="60" w:name="_Toc385854147"/>
      <w:bookmarkStart w:id="61" w:name="_Toc402963118"/>
      <w:bookmarkStart w:id="62" w:name="_Toc406402991"/>
      <w:bookmarkStart w:id="63" w:name="_Toc402963085"/>
      <w:bookmarkStart w:id="64" w:name="_Toc385854101"/>
      <w:bookmarkStart w:id="65" w:name="_Toc406402947"/>
      <w:r>
        <w:rPr>
          <w:rFonts w:hint="eastAsia" w:ascii="宋体" w:hAnsi="宋体" w:eastAsia="宋体" w:cs="宋体"/>
          <w:b/>
          <w:color w:val="auto"/>
          <w:sz w:val="24"/>
          <w:szCs w:val="24"/>
        </w:rPr>
        <w:t>（</w:t>
      </w:r>
      <w:r>
        <w:rPr>
          <w:rFonts w:hint="eastAsia" w:ascii="宋体" w:hAnsi="宋体" w:cs="宋体"/>
          <w:b/>
          <w:color w:val="auto"/>
          <w:sz w:val="24"/>
          <w:szCs w:val="24"/>
          <w:lang w:eastAsia="zh-CN"/>
        </w:rPr>
        <w:t>四</w:t>
      </w:r>
      <w:r>
        <w:rPr>
          <w:rFonts w:hint="eastAsia" w:ascii="宋体" w:hAnsi="宋体" w:eastAsia="宋体" w:cs="宋体"/>
          <w:b/>
          <w:color w:val="auto"/>
          <w:sz w:val="24"/>
          <w:szCs w:val="24"/>
        </w:rPr>
        <w:t>）</w:t>
      </w:r>
      <w:bookmarkEnd w:id="59"/>
      <w:bookmarkEnd w:id="60"/>
      <w:bookmarkEnd w:id="61"/>
      <w:bookmarkEnd w:id="62"/>
      <w:bookmarkEnd w:id="63"/>
      <w:bookmarkEnd w:id="64"/>
      <w:bookmarkEnd w:id="65"/>
      <w:r>
        <w:rPr>
          <w:rFonts w:hint="eastAsia" w:ascii="宋体" w:hAnsi="宋体" w:eastAsia="宋体" w:cs="宋体"/>
          <w:b/>
          <w:color w:val="auto"/>
          <w:sz w:val="24"/>
          <w:szCs w:val="24"/>
        </w:rPr>
        <w:t>响应报价</w:t>
      </w:r>
    </w:p>
    <w:p w14:paraId="11BC53A3">
      <w:pPr>
        <w:pStyle w:val="18"/>
        <w:keepNext w:val="0"/>
        <w:keepLines w:val="0"/>
        <w:pageBreakBefore w:val="0"/>
        <w:widowControl w:val="0"/>
        <w:kinsoku/>
        <w:wordWrap w:val="0"/>
        <w:overflowPunct/>
        <w:topLinePunct w:val="0"/>
        <w:autoSpaceDE/>
        <w:autoSpaceDN/>
        <w:bidi w:val="0"/>
        <w:adjustRightInd/>
        <w:snapToGrid w:val="0"/>
        <w:spacing w:beforeLines="0" w:afterLines="0"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1.响应报价应按征集文件中相关附表格式填写。</w:t>
      </w:r>
    </w:p>
    <w:p w14:paraId="31CB3681">
      <w:pPr>
        <w:keepNext w:val="0"/>
        <w:keepLines w:val="0"/>
        <w:pageBreakBefore w:val="0"/>
        <w:widowControl w:val="0"/>
        <w:tabs>
          <w:tab w:val="left" w:pos="525"/>
        </w:tabs>
        <w:kinsoku/>
        <w:wordWrap w:val="0"/>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2.响应文件只允许有一个报价，有选择的或有条件的报价将不予接受。</w:t>
      </w:r>
    </w:p>
    <w:p w14:paraId="0AFDFD09">
      <w:pPr>
        <w:pStyle w:val="18"/>
        <w:keepNext w:val="0"/>
        <w:keepLines w:val="0"/>
        <w:pageBreakBefore w:val="0"/>
        <w:widowControl w:val="0"/>
        <w:kinsoku/>
        <w:wordWrap w:val="0"/>
        <w:bidi w:val="0"/>
        <w:adjustRightInd/>
        <w:snapToGrid w:val="0"/>
        <w:spacing w:beforeLines="0" w:afterLines="0" w:line="480" w:lineRule="exact"/>
        <w:ind w:firstLine="480"/>
        <w:jc w:val="left"/>
        <w:textAlignment w:val="auto"/>
        <w:rPr>
          <w:rFonts w:hint="eastAsia" w:hAnsi="宋体" w:eastAsia="宋体" w:cs="宋体"/>
          <w:color w:val="auto"/>
          <w:lang w:val="en-US" w:eastAsia="zh-CN"/>
        </w:rPr>
      </w:pPr>
      <w:r>
        <w:rPr>
          <w:rFonts w:hint="eastAsia" w:hAnsi="宋体" w:cs="宋体"/>
          <w:color w:val="auto"/>
          <w:sz w:val="24"/>
          <w:szCs w:val="24"/>
          <w:lang w:val="en-US" w:eastAsia="zh-CN"/>
        </w:rPr>
        <w:t>3.编制响应报价的范围：响应报价要高于企业经营成本低于现行市场价格，保证企业合理利润（如低于企业经营成本报价，经专家组审核做无效响应处理）。</w:t>
      </w:r>
    </w:p>
    <w:p w14:paraId="04122A26">
      <w:pPr>
        <w:keepNext w:val="0"/>
        <w:keepLines w:val="0"/>
        <w:pageBreakBefore w:val="0"/>
        <w:widowControl w:val="0"/>
        <w:kinsoku/>
        <w:wordWrap w:val="0"/>
        <w:overflowPunct/>
        <w:topLinePunct w:val="0"/>
        <w:autoSpaceDE/>
        <w:autoSpaceDN/>
        <w:bidi w:val="0"/>
        <w:adjustRightInd/>
        <w:snapToGrid w:val="0"/>
        <w:spacing w:line="480" w:lineRule="exact"/>
        <w:ind w:firstLine="472" w:firstLineChars="196"/>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cs="宋体"/>
          <w:b/>
          <w:color w:val="auto"/>
          <w:sz w:val="24"/>
          <w:szCs w:val="24"/>
          <w:lang w:eastAsia="zh-CN"/>
        </w:rPr>
        <w:t>五</w:t>
      </w:r>
      <w:r>
        <w:rPr>
          <w:rFonts w:hint="eastAsia" w:ascii="宋体" w:hAnsi="宋体" w:eastAsia="宋体" w:cs="宋体"/>
          <w:b/>
          <w:color w:val="auto"/>
          <w:sz w:val="24"/>
          <w:szCs w:val="24"/>
        </w:rPr>
        <w:t>）响应文件的有效期</w:t>
      </w:r>
    </w:p>
    <w:p w14:paraId="3217F1CB">
      <w:pPr>
        <w:pStyle w:val="10"/>
        <w:keepNext w:val="0"/>
        <w:keepLines w:val="0"/>
        <w:pageBreakBefore w:val="0"/>
        <w:widowControl w:val="0"/>
        <w:numPr>
          <w:ilvl w:val="0"/>
          <w:numId w:val="0"/>
        </w:numPr>
        <w:tabs>
          <w:tab w:val="left" w:pos="720"/>
        </w:tabs>
        <w:kinsoku/>
        <w:wordWrap w:val="0"/>
        <w:overflowPunct/>
        <w:topLinePunct w:val="0"/>
        <w:autoSpaceDE/>
        <w:autoSpaceDN/>
        <w:bidi w:val="0"/>
        <w:adjustRightInd/>
        <w:snapToGrid w:val="0"/>
        <w:spacing w:line="480" w:lineRule="exact"/>
        <w:ind w:left="480" w:left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1.自响应截止日起</w:t>
      </w:r>
      <w:r>
        <w:rPr>
          <w:rFonts w:hint="eastAsia" w:ascii="宋体" w:hAnsi="宋体" w:eastAsia="宋体" w:cs="宋体"/>
          <w:color w:val="auto"/>
          <w:sz w:val="24"/>
          <w:szCs w:val="24"/>
          <w:u w:val="single"/>
        </w:rPr>
        <w:t>90</w:t>
      </w:r>
      <w:r>
        <w:rPr>
          <w:rFonts w:hint="eastAsia" w:ascii="宋体" w:hAnsi="宋体" w:eastAsia="宋体" w:cs="宋体"/>
          <w:color w:val="auto"/>
          <w:sz w:val="24"/>
          <w:szCs w:val="24"/>
        </w:rPr>
        <w:t>天响应文件应保持有效。有效期不足的响应文件将被拒绝。</w:t>
      </w:r>
    </w:p>
    <w:p w14:paraId="370C692B">
      <w:pPr>
        <w:pStyle w:val="10"/>
        <w:keepNext w:val="0"/>
        <w:keepLines w:val="0"/>
        <w:pageBreakBefore w:val="0"/>
        <w:widowControl w:val="0"/>
        <w:numPr>
          <w:ilvl w:val="0"/>
          <w:numId w:val="0"/>
        </w:numPr>
        <w:tabs>
          <w:tab w:val="left" w:pos="720"/>
        </w:tabs>
        <w:kinsoku/>
        <w:wordWrap w:val="0"/>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2.在特殊情况下，征集人可与供应商协商延长响应文件的有效期，这种要求和答复均以书面形式进行。</w:t>
      </w:r>
    </w:p>
    <w:p w14:paraId="7ADADC5C">
      <w:pPr>
        <w:pStyle w:val="10"/>
        <w:keepNext w:val="0"/>
        <w:keepLines w:val="0"/>
        <w:pageBreakBefore w:val="0"/>
        <w:widowControl w:val="0"/>
        <w:numPr>
          <w:ilvl w:val="0"/>
          <w:numId w:val="0"/>
        </w:numPr>
        <w:tabs>
          <w:tab w:val="left" w:pos="720"/>
        </w:tabs>
        <w:kinsoku/>
        <w:wordWrap w:val="0"/>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bookmarkStart w:id="66" w:name="_Toc402963087"/>
      <w:bookmarkStart w:id="67" w:name="_Toc385854103"/>
      <w:bookmarkStart w:id="68" w:name="_Toc406402993"/>
      <w:bookmarkStart w:id="69" w:name="_Toc532218229"/>
      <w:bookmarkStart w:id="70" w:name="_Toc385854149"/>
      <w:bookmarkStart w:id="71" w:name="_Toc406402949"/>
      <w:bookmarkStart w:id="72" w:name="_Toc402963120"/>
      <w:r>
        <w:rPr>
          <w:rFonts w:hint="eastAsia" w:ascii="宋体" w:hAnsi="宋体" w:eastAsia="宋体" w:cs="宋体"/>
          <w:color w:val="auto"/>
          <w:sz w:val="24"/>
          <w:szCs w:val="24"/>
        </w:rPr>
        <w:t>3.入围供应商的响应文件自开标之日起至合同履行完毕止均应保持有效。</w:t>
      </w:r>
      <w:bookmarkEnd w:id="66"/>
      <w:bookmarkEnd w:id="67"/>
      <w:bookmarkEnd w:id="68"/>
      <w:bookmarkEnd w:id="69"/>
      <w:bookmarkEnd w:id="70"/>
      <w:bookmarkEnd w:id="71"/>
      <w:bookmarkEnd w:id="72"/>
    </w:p>
    <w:p w14:paraId="7780B59D">
      <w:pPr>
        <w:pStyle w:val="42"/>
        <w:keepNext w:val="0"/>
        <w:keepLines w:val="0"/>
        <w:pageBreakBefore w:val="0"/>
        <w:widowControl w:val="0"/>
        <w:kinsoku/>
        <w:wordWrap w:val="0"/>
        <w:overflowPunct/>
        <w:topLinePunct w:val="0"/>
        <w:autoSpaceDE/>
        <w:autoSpaceDN/>
        <w:bidi w:val="0"/>
        <w:adjustRightInd/>
        <w:spacing w:before="0" w:line="48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4.在原定响应有效期满之前，如果出现特殊情况，</w:t>
      </w:r>
      <w:r>
        <w:rPr>
          <w:rFonts w:hint="eastAsia" w:ascii="宋体" w:hAnsi="宋体" w:cs="宋体"/>
          <w:color w:val="auto"/>
          <w:sz w:val="24"/>
          <w:szCs w:val="24"/>
          <w:lang w:val="en-US" w:eastAsia="zh-CN"/>
        </w:rPr>
        <w:t>征集代理</w:t>
      </w:r>
      <w:r>
        <w:rPr>
          <w:rFonts w:hint="eastAsia" w:ascii="宋体" w:hAnsi="宋体" w:eastAsia="宋体" w:cs="宋体"/>
          <w:color w:val="auto"/>
          <w:sz w:val="24"/>
          <w:szCs w:val="24"/>
        </w:rPr>
        <w:t>机构可以以书面形式通知供应商延长响应有效期。供应商同意延长的，不得要求或被允许修改其响应文件，供应商拒绝延长的，其响应无效。</w:t>
      </w:r>
    </w:p>
    <w:p w14:paraId="626BFFED">
      <w:pPr>
        <w:keepNext w:val="0"/>
        <w:keepLines w:val="0"/>
        <w:pageBreakBefore w:val="0"/>
        <w:widowControl w:val="0"/>
        <w:kinsoku/>
        <w:wordWrap w:val="0"/>
        <w:overflowPunct/>
        <w:topLinePunct w:val="0"/>
        <w:autoSpaceDE/>
        <w:autoSpaceDN/>
        <w:bidi w:val="0"/>
        <w:adjustRightInd/>
        <w:snapToGrid w:val="0"/>
        <w:spacing w:line="480" w:lineRule="exact"/>
        <w:ind w:firstLine="482" w:firstLineChars="200"/>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cs="宋体"/>
          <w:b/>
          <w:color w:val="auto"/>
          <w:sz w:val="24"/>
          <w:szCs w:val="24"/>
          <w:lang w:eastAsia="zh-CN"/>
        </w:rPr>
        <w:t>六</w:t>
      </w:r>
      <w:r>
        <w:rPr>
          <w:rFonts w:hint="eastAsia" w:ascii="宋体" w:hAnsi="宋体" w:eastAsia="宋体" w:cs="宋体"/>
          <w:b/>
          <w:color w:val="auto"/>
          <w:sz w:val="24"/>
          <w:szCs w:val="24"/>
        </w:rPr>
        <w:t>）响应无效的情形</w:t>
      </w:r>
    </w:p>
    <w:p w14:paraId="40468B68">
      <w:pPr>
        <w:pStyle w:val="42"/>
        <w:keepNext w:val="0"/>
        <w:keepLines w:val="0"/>
        <w:pageBreakBefore w:val="0"/>
        <w:widowControl w:val="0"/>
        <w:kinsoku/>
        <w:wordWrap w:val="0"/>
        <w:bidi w:val="0"/>
        <w:adjustRightInd/>
        <w:spacing w:before="0" w:line="480" w:lineRule="exact"/>
        <w:ind w:firstLine="480" w:firstLineChars="200"/>
        <w:textAlignment w:val="auto"/>
        <w:rPr>
          <w:rFonts w:hint="eastAsia" w:ascii="宋体" w:hAnsi="宋体" w:eastAsia="宋体" w:cs="宋体"/>
          <w:bCs w:val="0"/>
          <w:color w:val="auto"/>
          <w:szCs w:val="24"/>
        </w:rPr>
      </w:pPr>
      <w:r>
        <w:rPr>
          <w:rFonts w:hint="eastAsia" w:ascii="宋体" w:hAnsi="宋体" w:eastAsia="宋体" w:cs="宋体"/>
          <w:bCs w:val="0"/>
          <w:color w:val="auto"/>
          <w:szCs w:val="24"/>
        </w:rPr>
        <w:t>根据《政府采购货物和服务招标投标管理办法》有下列情形之一的，视为供应商串通：</w:t>
      </w:r>
    </w:p>
    <w:p w14:paraId="72E5B085">
      <w:pPr>
        <w:pStyle w:val="42"/>
        <w:keepNext w:val="0"/>
        <w:keepLines w:val="0"/>
        <w:pageBreakBefore w:val="0"/>
        <w:widowControl w:val="0"/>
        <w:kinsoku/>
        <w:wordWrap w:val="0"/>
        <w:bidi w:val="0"/>
        <w:adjustRightInd/>
        <w:spacing w:before="0" w:line="480" w:lineRule="exact"/>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（1）不同供应商的响应文件由同一单位或者个人编制；</w:t>
      </w:r>
    </w:p>
    <w:p w14:paraId="5606007C">
      <w:pPr>
        <w:pStyle w:val="42"/>
        <w:keepNext w:val="0"/>
        <w:keepLines w:val="0"/>
        <w:pageBreakBefore w:val="0"/>
        <w:widowControl w:val="0"/>
        <w:kinsoku/>
        <w:wordWrap w:val="0"/>
        <w:bidi w:val="0"/>
        <w:adjustRightInd/>
        <w:spacing w:before="0" w:line="480" w:lineRule="exact"/>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（2）不同供应商委托同一单位或者个人办理响应事宜；</w:t>
      </w:r>
    </w:p>
    <w:p w14:paraId="645BEAC6">
      <w:pPr>
        <w:pStyle w:val="42"/>
        <w:keepNext w:val="0"/>
        <w:keepLines w:val="0"/>
        <w:pageBreakBefore w:val="0"/>
        <w:widowControl w:val="0"/>
        <w:kinsoku/>
        <w:wordWrap w:val="0"/>
        <w:bidi w:val="0"/>
        <w:adjustRightInd/>
        <w:spacing w:before="0" w:line="480" w:lineRule="exact"/>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（3）不同供应商的响应文件载明的项目管理成员或者联系人员为同一人；</w:t>
      </w:r>
    </w:p>
    <w:p w14:paraId="7DEE971B">
      <w:pPr>
        <w:pStyle w:val="42"/>
        <w:keepNext w:val="0"/>
        <w:keepLines w:val="0"/>
        <w:pageBreakBefore w:val="0"/>
        <w:widowControl w:val="0"/>
        <w:kinsoku/>
        <w:wordWrap w:val="0"/>
        <w:bidi w:val="0"/>
        <w:adjustRightInd/>
        <w:spacing w:before="0" w:line="480" w:lineRule="exact"/>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（4）不同供应商的响应文件相互混装。</w:t>
      </w:r>
    </w:p>
    <w:p w14:paraId="21BB2A93">
      <w:pPr>
        <w:keepNext w:val="0"/>
        <w:keepLines w:val="0"/>
        <w:pageBreakBefore w:val="0"/>
        <w:widowControl w:val="0"/>
        <w:kinsoku/>
        <w:wordWrap w:val="0"/>
        <w:overflowPunct/>
        <w:topLinePunct w:val="0"/>
        <w:autoSpaceDE/>
        <w:autoSpaceDN/>
        <w:bidi w:val="0"/>
        <w:adjustRightInd/>
        <w:snapToGrid w:val="0"/>
        <w:spacing w:line="48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rPr>
        <w:t>1.</w:t>
      </w:r>
      <w:r>
        <w:rPr>
          <w:rFonts w:hint="eastAsia" w:ascii="宋体" w:hAnsi="宋体" w:eastAsia="宋体" w:cs="宋体"/>
          <w:b/>
          <w:color w:val="auto"/>
          <w:sz w:val="24"/>
          <w:szCs w:val="24"/>
          <w:highlight w:val="none"/>
        </w:rPr>
        <w:t>没有通过资格审查的，响应文件将被视为无效。</w:t>
      </w:r>
    </w:p>
    <w:p w14:paraId="49CB7B79">
      <w:pPr>
        <w:keepNext w:val="0"/>
        <w:keepLines w:val="0"/>
        <w:pageBreakBefore w:val="0"/>
        <w:widowControl w:val="0"/>
        <w:kinsoku/>
        <w:wordWrap w:val="0"/>
        <w:overflowPunct/>
        <w:topLinePunct w:val="0"/>
        <w:autoSpaceDE/>
        <w:autoSpaceDN/>
        <w:bidi w:val="0"/>
        <w:adjustRightInd/>
        <w:snapToGrid w:val="0"/>
        <w:spacing w:line="480" w:lineRule="exact"/>
        <w:ind w:firstLine="472" w:firstLineChars="196"/>
        <w:textAlignment w:val="auto"/>
        <w:rPr>
          <w:rFonts w:hint="eastAsia" w:ascii="宋体" w:hAnsi="宋体" w:eastAsia="宋体" w:cs="宋体"/>
          <w:b/>
          <w:bCs/>
          <w:color w:val="auto"/>
          <w:sz w:val="24"/>
          <w:szCs w:val="24"/>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.在符合性审查和商务</w:t>
      </w:r>
      <w:r>
        <w:rPr>
          <w:rFonts w:hint="eastAsia" w:ascii="宋体" w:hAnsi="宋体" w:cs="宋体"/>
          <w:b/>
          <w:bCs/>
          <w:color w:val="auto"/>
          <w:sz w:val="24"/>
          <w:szCs w:val="24"/>
          <w:highlight w:val="none"/>
          <w:lang w:eastAsia="zh-CN"/>
        </w:rPr>
        <w:t>资信技术</w:t>
      </w:r>
      <w:r>
        <w:rPr>
          <w:rFonts w:hint="eastAsia" w:ascii="宋体" w:hAnsi="宋体" w:eastAsia="宋体" w:cs="宋体"/>
          <w:b/>
          <w:bCs/>
          <w:color w:val="auto"/>
          <w:sz w:val="24"/>
          <w:szCs w:val="24"/>
          <w:highlight w:val="none"/>
        </w:rPr>
        <w:t>评审时，</w:t>
      </w:r>
      <w:r>
        <w:rPr>
          <w:rFonts w:hint="eastAsia" w:ascii="宋体" w:hAnsi="宋体" w:eastAsia="宋体" w:cs="宋体"/>
          <w:b/>
          <w:bCs/>
          <w:color w:val="auto"/>
          <w:sz w:val="24"/>
          <w:szCs w:val="24"/>
        </w:rPr>
        <w:t>如发现下列情形之一的，响应文件将被视为无效：</w:t>
      </w:r>
    </w:p>
    <w:p w14:paraId="4E4E5CD0">
      <w:pPr>
        <w:keepNext w:val="0"/>
        <w:keepLines w:val="0"/>
        <w:pageBreakBefore w:val="0"/>
        <w:widowControl w:val="0"/>
        <w:kinsoku/>
        <w:wordWrap w:val="0"/>
        <w:overflowPunct/>
        <w:topLinePunct w:val="0"/>
        <w:autoSpaceDE/>
        <w:autoSpaceDN/>
        <w:bidi w:val="0"/>
        <w:adjustRightInd/>
        <w:snapToGrid w:val="0"/>
        <w:spacing w:line="48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电子响应文件未按规定要求提供电子签章的。</w:t>
      </w:r>
    </w:p>
    <w:p w14:paraId="70CE75C1">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（2）未按要求对资格文件进行承诺，或虚假承诺的。</w:t>
      </w:r>
    </w:p>
    <w:p w14:paraId="2649C678">
      <w:pPr>
        <w:keepNext w:val="0"/>
        <w:keepLines w:val="0"/>
        <w:pageBreakBefore w:val="0"/>
        <w:widowControl w:val="0"/>
        <w:kinsoku/>
        <w:wordWrap w:val="0"/>
        <w:overflowPunct/>
        <w:topLinePunct w:val="0"/>
        <w:autoSpaceDE/>
        <w:autoSpaceDN/>
        <w:bidi w:val="0"/>
        <w:adjustRightInd/>
        <w:snapToGrid w:val="0"/>
        <w:spacing w:line="480" w:lineRule="exact"/>
        <w:ind w:firstLine="470" w:firstLineChars="196"/>
        <w:textAlignment w:val="auto"/>
        <w:rPr>
          <w:rFonts w:hint="eastAsia" w:ascii="宋体" w:hAnsi="宋体" w:eastAsia="宋体" w:cs="宋体"/>
          <w:bCs/>
          <w:color w:val="auto"/>
          <w:kern w:val="0"/>
          <w:sz w:val="24"/>
          <w:szCs w:val="24"/>
        </w:rPr>
      </w:pPr>
      <w:r>
        <w:rPr>
          <w:rFonts w:hint="eastAsia" w:ascii="宋体" w:hAnsi="宋体" w:eastAsia="宋体" w:cs="宋体"/>
          <w:color w:val="auto"/>
          <w:sz w:val="24"/>
          <w:szCs w:val="24"/>
        </w:rPr>
        <w:t>（3）未</w:t>
      </w:r>
      <w:r>
        <w:rPr>
          <w:rFonts w:hint="eastAsia" w:ascii="宋体" w:hAnsi="宋体" w:eastAsia="宋体" w:cs="宋体"/>
          <w:bCs/>
          <w:color w:val="auto"/>
          <w:kern w:val="0"/>
          <w:sz w:val="24"/>
          <w:szCs w:val="24"/>
        </w:rPr>
        <w:t>提供法定代表人授权委托书、投标函或者填写项目不齐全的。</w:t>
      </w:r>
    </w:p>
    <w:p w14:paraId="1CF9BFB2">
      <w:pPr>
        <w:pStyle w:val="14"/>
        <w:keepNext w:val="0"/>
        <w:keepLines w:val="0"/>
        <w:pageBreakBefore w:val="0"/>
        <w:widowControl w:val="0"/>
        <w:kinsoku/>
        <w:wordWrap w:val="0"/>
        <w:overflowPunct/>
        <w:topLinePunct w:val="0"/>
        <w:autoSpaceDE/>
        <w:autoSpaceDN/>
        <w:bidi w:val="0"/>
        <w:adjustRightInd/>
        <w:snapToGrid w:val="0"/>
        <w:spacing w:line="480" w:lineRule="exact"/>
        <w:ind w:firstLine="454" w:firstLineChars="196"/>
        <w:textAlignment w:val="auto"/>
        <w:rPr>
          <w:rFonts w:hint="eastAsia" w:ascii="宋体" w:hAnsi="宋体" w:eastAsia="宋体" w:cs="宋体"/>
          <w:snapToGrid w:val="0"/>
          <w:color w:val="auto"/>
          <w:sz w:val="24"/>
          <w:szCs w:val="24"/>
        </w:rPr>
      </w:pPr>
      <w:r>
        <w:rPr>
          <w:rFonts w:hint="eastAsia" w:ascii="宋体" w:hAnsi="宋体" w:eastAsia="宋体" w:cs="宋体"/>
          <w:color w:val="auto"/>
          <w:sz w:val="24"/>
          <w:szCs w:val="24"/>
        </w:rPr>
        <w:t>（4）响应文件格式不规范、项目不齐全或者内容虚假的。</w:t>
      </w:r>
    </w:p>
    <w:p w14:paraId="1F877988">
      <w:pPr>
        <w:pStyle w:val="14"/>
        <w:keepNext w:val="0"/>
        <w:keepLines w:val="0"/>
        <w:pageBreakBefore w:val="0"/>
        <w:widowControl w:val="0"/>
        <w:kinsoku/>
        <w:wordWrap w:val="0"/>
        <w:overflowPunct/>
        <w:topLinePunct w:val="0"/>
        <w:autoSpaceDE/>
        <w:autoSpaceDN/>
        <w:bidi w:val="0"/>
        <w:adjustRightInd/>
        <w:snapToGrid w:val="0"/>
        <w:spacing w:line="480" w:lineRule="exact"/>
        <w:ind w:firstLine="454" w:firstLineChars="196"/>
        <w:textAlignment w:val="auto"/>
        <w:rPr>
          <w:rFonts w:hint="eastAsia" w:ascii="宋体" w:hAnsi="宋体" w:eastAsia="宋体" w:cs="宋体"/>
          <w:snapToGrid w:val="0"/>
          <w:color w:val="auto"/>
          <w:sz w:val="24"/>
          <w:szCs w:val="24"/>
        </w:rPr>
      </w:pPr>
      <w:r>
        <w:rPr>
          <w:rFonts w:hint="eastAsia" w:ascii="宋体" w:hAnsi="宋体" w:eastAsia="宋体" w:cs="宋体"/>
          <w:color w:val="auto"/>
          <w:sz w:val="24"/>
          <w:szCs w:val="24"/>
        </w:rPr>
        <w:t>（</w:t>
      </w:r>
      <w:r>
        <w:rPr>
          <w:rFonts w:hint="eastAsia" w:ascii="宋体" w:hAnsi="宋体" w:eastAsia="宋体" w:cs="宋体"/>
          <w:snapToGrid w:val="0"/>
          <w:color w:val="auto"/>
          <w:sz w:val="24"/>
          <w:szCs w:val="24"/>
        </w:rPr>
        <w:t>5）</w:t>
      </w:r>
      <w:r>
        <w:rPr>
          <w:rFonts w:hint="eastAsia" w:ascii="宋体" w:hAnsi="宋体" w:eastAsia="宋体" w:cs="宋体"/>
          <w:color w:val="auto"/>
          <w:sz w:val="24"/>
          <w:szCs w:val="24"/>
        </w:rPr>
        <w:t>响应文件的实质性内容未使用中文表述、意思表述不明确、前后矛盾或者使用计量单位不符合征集文件要求的（经评</w:t>
      </w:r>
      <w:r>
        <w:rPr>
          <w:rFonts w:hint="eastAsia" w:hAnsi="宋体" w:cs="宋体"/>
          <w:color w:val="auto"/>
          <w:sz w:val="24"/>
          <w:szCs w:val="24"/>
          <w:lang w:eastAsia="zh-CN"/>
        </w:rPr>
        <w:t>审</w:t>
      </w:r>
      <w:r>
        <w:rPr>
          <w:rFonts w:hint="eastAsia" w:ascii="宋体" w:hAnsi="宋体" w:eastAsia="宋体" w:cs="宋体"/>
          <w:color w:val="auto"/>
          <w:sz w:val="24"/>
          <w:szCs w:val="24"/>
        </w:rPr>
        <w:t>委员会认定并允许其当场更正的笔误除外）。</w:t>
      </w:r>
    </w:p>
    <w:p w14:paraId="5971FD82">
      <w:pPr>
        <w:pStyle w:val="14"/>
        <w:keepNext w:val="0"/>
        <w:keepLines w:val="0"/>
        <w:pageBreakBefore w:val="0"/>
        <w:widowControl w:val="0"/>
        <w:kinsoku/>
        <w:wordWrap w:val="0"/>
        <w:overflowPunct/>
        <w:topLinePunct w:val="0"/>
        <w:autoSpaceDE/>
        <w:autoSpaceDN/>
        <w:bidi w:val="0"/>
        <w:adjustRightInd/>
        <w:snapToGrid w:val="0"/>
        <w:spacing w:line="480" w:lineRule="exact"/>
        <w:ind w:firstLine="454" w:firstLineChars="196"/>
        <w:textAlignment w:val="auto"/>
        <w:rPr>
          <w:rFonts w:hint="eastAsia" w:ascii="宋体" w:hAnsi="宋体" w:eastAsia="宋体" w:cs="宋体"/>
          <w:snapToGrid w:val="0"/>
          <w:color w:val="auto"/>
          <w:sz w:val="24"/>
          <w:szCs w:val="24"/>
        </w:rPr>
      </w:pPr>
      <w:r>
        <w:rPr>
          <w:rFonts w:hint="eastAsia" w:ascii="宋体" w:hAnsi="宋体" w:eastAsia="宋体" w:cs="宋体"/>
          <w:color w:val="auto"/>
          <w:sz w:val="24"/>
          <w:szCs w:val="24"/>
        </w:rPr>
        <w:t>（6）</w:t>
      </w:r>
      <w:r>
        <w:rPr>
          <w:rFonts w:hint="eastAsia" w:ascii="宋体" w:hAnsi="宋体" w:eastAsia="宋体" w:cs="宋体"/>
          <w:snapToGrid w:val="0"/>
          <w:color w:val="auto"/>
          <w:sz w:val="24"/>
          <w:szCs w:val="24"/>
        </w:rPr>
        <w:t>响应有效期、服务承诺等商务条款不能满足征集文件要求的。</w:t>
      </w:r>
    </w:p>
    <w:p w14:paraId="2730364B">
      <w:pPr>
        <w:pStyle w:val="14"/>
        <w:keepNext w:val="0"/>
        <w:keepLines w:val="0"/>
        <w:pageBreakBefore w:val="0"/>
        <w:widowControl w:val="0"/>
        <w:kinsoku/>
        <w:wordWrap w:val="0"/>
        <w:overflowPunct/>
        <w:topLinePunct w:val="0"/>
        <w:autoSpaceDE/>
        <w:autoSpaceDN/>
        <w:bidi w:val="0"/>
        <w:adjustRightInd/>
        <w:snapToGrid w:val="0"/>
        <w:spacing w:line="480" w:lineRule="exact"/>
        <w:ind w:firstLine="454"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（7）未实质性响应征集文件要求或者响应文件有征集人不能接受的附加条件的。</w:t>
      </w:r>
    </w:p>
    <w:p w14:paraId="24DD17A5">
      <w:pPr>
        <w:pStyle w:val="14"/>
        <w:keepNext w:val="0"/>
        <w:keepLines w:val="0"/>
        <w:pageBreakBefore w:val="0"/>
        <w:widowControl w:val="0"/>
        <w:kinsoku/>
        <w:wordWrap w:val="0"/>
        <w:overflowPunct/>
        <w:topLinePunct w:val="0"/>
        <w:autoSpaceDE/>
        <w:autoSpaceDN/>
        <w:bidi w:val="0"/>
        <w:adjustRightInd/>
        <w:snapToGrid w:val="0"/>
        <w:spacing w:line="480" w:lineRule="exact"/>
        <w:ind w:firstLine="454"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（8）不符合本征集文件中的实质性要求条款。</w:t>
      </w:r>
    </w:p>
    <w:p w14:paraId="200582BD">
      <w:pPr>
        <w:pStyle w:val="14"/>
        <w:keepNext w:val="0"/>
        <w:keepLines w:val="0"/>
        <w:pageBreakBefore w:val="0"/>
        <w:widowControl w:val="0"/>
        <w:kinsoku/>
        <w:wordWrap w:val="0"/>
        <w:overflowPunct/>
        <w:topLinePunct w:val="0"/>
        <w:autoSpaceDE/>
        <w:autoSpaceDN/>
        <w:bidi w:val="0"/>
        <w:adjustRightInd/>
        <w:snapToGrid w:val="0"/>
        <w:spacing w:line="480" w:lineRule="exact"/>
        <w:ind w:firstLine="457" w:firstLineChars="196"/>
        <w:textAlignment w:val="auto"/>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.在报价评审时，如发现下列情形之一的，响应文件将被视为无效：</w:t>
      </w:r>
    </w:p>
    <w:p w14:paraId="537F2C60">
      <w:pPr>
        <w:pStyle w:val="14"/>
        <w:keepNext w:val="0"/>
        <w:keepLines w:val="0"/>
        <w:pageBreakBefore w:val="0"/>
        <w:widowControl w:val="0"/>
        <w:kinsoku/>
        <w:wordWrap w:val="0"/>
        <w:overflowPunct/>
        <w:topLinePunct w:val="0"/>
        <w:autoSpaceDE/>
        <w:autoSpaceDN/>
        <w:bidi w:val="0"/>
        <w:adjustRightInd/>
        <w:snapToGrid w:val="0"/>
        <w:spacing w:line="480" w:lineRule="exact"/>
        <w:ind w:firstLine="464" w:firstLineChars="200"/>
        <w:textAlignment w:val="auto"/>
        <w:rPr>
          <w:rFonts w:hint="eastAsia" w:hAnsi="宋体" w:cs="宋体"/>
          <w:snapToGrid w:val="0"/>
          <w:color w:val="auto"/>
          <w:sz w:val="24"/>
          <w:szCs w:val="24"/>
          <w:highlight w:val="none"/>
          <w:lang w:eastAsia="zh-CN"/>
        </w:rPr>
      </w:pPr>
      <w:r>
        <w:rPr>
          <w:rFonts w:hint="eastAsia" w:hAnsi="宋体" w:cs="宋体"/>
          <w:snapToGrid w:val="0"/>
          <w:color w:val="auto"/>
          <w:sz w:val="24"/>
          <w:szCs w:val="24"/>
          <w:highlight w:val="none"/>
          <w:lang w:eastAsia="zh-CN"/>
        </w:rPr>
        <w:t>（</w:t>
      </w:r>
      <w:r>
        <w:rPr>
          <w:rFonts w:hint="eastAsia" w:hAnsi="宋体" w:cs="宋体"/>
          <w:snapToGrid w:val="0"/>
          <w:color w:val="auto"/>
          <w:sz w:val="24"/>
          <w:szCs w:val="24"/>
          <w:highlight w:val="none"/>
          <w:lang w:val="en-US" w:eastAsia="zh-CN"/>
        </w:rPr>
        <w:t>1</w:t>
      </w:r>
      <w:r>
        <w:rPr>
          <w:rFonts w:hint="eastAsia" w:hAnsi="宋体" w:cs="宋体"/>
          <w:snapToGrid w:val="0"/>
          <w:color w:val="auto"/>
          <w:sz w:val="24"/>
          <w:szCs w:val="24"/>
          <w:highlight w:val="none"/>
          <w:lang w:eastAsia="zh-CN"/>
        </w:rPr>
        <w:t>）供应商的报价文件有串通投标情形的；</w:t>
      </w:r>
    </w:p>
    <w:p w14:paraId="17EA5902">
      <w:pPr>
        <w:pStyle w:val="14"/>
        <w:keepNext w:val="0"/>
        <w:keepLines w:val="0"/>
        <w:pageBreakBefore w:val="0"/>
        <w:widowControl w:val="0"/>
        <w:kinsoku/>
        <w:wordWrap w:val="0"/>
        <w:overflowPunct/>
        <w:topLinePunct w:val="0"/>
        <w:autoSpaceDE/>
        <w:autoSpaceDN/>
        <w:bidi w:val="0"/>
        <w:adjustRightInd/>
        <w:snapToGrid w:val="0"/>
        <w:spacing w:line="480" w:lineRule="exact"/>
        <w:ind w:firstLine="464" w:firstLineChars="200"/>
        <w:textAlignment w:val="auto"/>
        <w:rPr>
          <w:rFonts w:hint="eastAsia" w:hAnsi="宋体" w:cs="宋体"/>
          <w:snapToGrid w:val="0"/>
          <w:color w:val="auto"/>
          <w:sz w:val="24"/>
          <w:szCs w:val="24"/>
          <w:highlight w:val="none"/>
          <w:lang w:eastAsia="zh-CN"/>
        </w:rPr>
      </w:pPr>
      <w:r>
        <w:rPr>
          <w:rFonts w:hint="eastAsia" w:hAnsi="宋体" w:cs="宋体"/>
          <w:snapToGrid w:val="0"/>
          <w:color w:val="auto"/>
          <w:sz w:val="24"/>
          <w:szCs w:val="24"/>
          <w:highlight w:val="none"/>
          <w:lang w:eastAsia="zh-CN"/>
        </w:rPr>
        <w:t>（</w:t>
      </w:r>
      <w:r>
        <w:rPr>
          <w:rFonts w:hint="eastAsia" w:hAnsi="宋体" w:cs="宋体"/>
          <w:snapToGrid w:val="0"/>
          <w:color w:val="auto"/>
          <w:sz w:val="24"/>
          <w:szCs w:val="24"/>
          <w:highlight w:val="none"/>
          <w:lang w:val="en-US" w:eastAsia="zh-CN"/>
        </w:rPr>
        <w:t>2</w:t>
      </w:r>
      <w:r>
        <w:rPr>
          <w:rFonts w:hint="eastAsia" w:hAnsi="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没有按照要求提供《</w:t>
      </w:r>
      <w:r>
        <w:rPr>
          <w:rFonts w:hint="eastAsia" w:hAnsi="宋体" w:cs="宋体"/>
          <w:snapToGrid w:val="0"/>
          <w:color w:val="auto"/>
          <w:sz w:val="24"/>
          <w:szCs w:val="24"/>
          <w:highlight w:val="none"/>
          <w:lang w:eastAsia="zh-CN"/>
        </w:rPr>
        <w:t>报价一览表</w:t>
      </w:r>
      <w:r>
        <w:rPr>
          <w:rFonts w:hint="eastAsia" w:ascii="宋体" w:hAnsi="宋体" w:eastAsia="宋体" w:cs="宋体"/>
          <w:snapToGrid w:val="0"/>
          <w:color w:val="auto"/>
          <w:sz w:val="24"/>
          <w:szCs w:val="24"/>
          <w:highlight w:val="none"/>
        </w:rPr>
        <w:t>》</w:t>
      </w:r>
      <w:r>
        <w:rPr>
          <w:rFonts w:hint="eastAsia" w:hAnsi="宋体" w:cs="宋体"/>
          <w:snapToGrid w:val="0"/>
          <w:color w:val="auto"/>
          <w:sz w:val="24"/>
          <w:szCs w:val="24"/>
          <w:highlight w:val="none"/>
          <w:lang w:eastAsia="zh-CN"/>
        </w:rPr>
        <w:t>；</w:t>
      </w:r>
    </w:p>
    <w:p w14:paraId="147C907F">
      <w:pPr>
        <w:pStyle w:val="14"/>
        <w:keepNext w:val="0"/>
        <w:keepLines w:val="0"/>
        <w:pageBreakBefore w:val="0"/>
        <w:widowControl w:val="0"/>
        <w:kinsoku/>
        <w:wordWrap w:val="0"/>
        <w:overflowPunct/>
        <w:topLinePunct w:val="0"/>
        <w:autoSpaceDE/>
        <w:autoSpaceDN/>
        <w:bidi w:val="0"/>
        <w:adjustRightInd/>
        <w:snapToGrid w:val="0"/>
        <w:spacing w:line="480" w:lineRule="exact"/>
        <w:ind w:firstLine="464" w:firstLineChars="200"/>
        <w:textAlignment w:val="auto"/>
        <w:rPr>
          <w:rFonts w:hint="eastAsia" w:hAnsi="宋体" w:cs="宋体"/>
          <w:snapToGrid w:val="0"/>
          <w:color w:val="auto"/>
          <w:sz w:val="24"/>
          <w:szCs w:val="24"/>
          <w:highlight w:val="none"/>
          <w:lang w:eastAsia="zh-CN"/>
        </w:rPr>
      </w:pPr>
      <w:r>
        <w:rPr>
          <w:rFonts w:hint="eastAsia" w:hAnsi="宋体" w:cs="宋体"/>
          <w:snapToGrid w:val="0"/>
          <w:color w:val="auto"/>
          <w:sz w:val="24"/>
          <w:szCs w:val="24"/>
          <w:highlight w:val="none"/>
          <w:lang w:eastAsia="zh-CN"/>
        </w:rPr>
        <w:t>（</w:t>
      </w:r>
      <w:r>
        <w:rPr>
          <w:rFonts w:hint="eastAsia" w:hAnsi="宋体" w:cs="宋体"/>
          <w:snapToGrid w:val="0"/>
          <w:color w:val="auto"/>
          <w:sz w:val="24"/>
          <w:szCs w:val="24"/>
          <w:highlight w:val="none"/>
          <w:lang w:val="en-US" w:eastAsia="zh-CN"/>
        </w:rPr>
        <w:t>3</w:t>
      </w:r>
      <w:r>
        <w:rPr>
          <w:rFonts w:hint="eastAsia" w:hAnsi="宋体" w:cs="宋体"/>
          <w:snapToGrid w:val="0"/>
          <w:color w:val="auto"/>
          <w:sz w:val="24"/>
          <w:szCs w:val="24"/>
          <w:highlight w:val="none"/>
          <w:lang w:eastAsia="zh-CN"/>
        </w:rPr>
        <w:t>）报价文件未按征集文件规定要求进行签字或盖章的；</w:t>
      </w:r>
    </w:p>
    <w:p w14:paraId="7330AB23">
      <w:pPr>
        <w:pStyle w:val="14"/>
        <w:keepNext w:val="0"/>
        <w:keepLines w:val="0"/>
        <w:pageBreakBefore w:val="0"/>
        <w:widowControl w:val="0"/>
        <w:kinsoku/>
        <w:wordWrap w:val="0"/>
        <w:overflowPunct/>
        <w:topLinePunct w:val="0"/>
        <w:autoSpaceDE/>
        <w:autoSpaceDN/>
        <w:bidi w:val="0"/>
        <w:adjustRightInd/>
        <w:snapToGrid w:val="0"/>
        <w:spacing w:line="480" w:lineRule="exact"/>
        <w:ind w:firstLine="464" w:firstLineChars="200"/>
        <w:textAlignment w:val="auto"/>
        <w:rPr>
          <w:rFonts w:hint="eastAsia" w:ascii="宋体" w:hAnsi="宋体" w:eastAsia="宋体" w:cs="宋体"/>
          <w:snapToGrid w:val="0"/>
          <w:color w:val="auto"/>
          <w:sz w:val="24"/>
          <w:szCs w:val="24"/>
          <w:highlight w:val="none"/>
        </w:rPr>
      </w:pPr>
      <w:r>
        <w:rPr>
          <w:rFonts w:hint="eastAsia" w:hAnsi="宋体" w:cs="宋体"/>
          <w:snapToGrid w:val="0"/>
          <w:color w:val="auto"/>
          <w:sz w:val="24"/>
          <w:szCs w:val="24"/>
          <w:highlight w:val="none"/>
          <w:lang w:eastAsia="zh-CN"/>
        </w:rPr>
        <w:t>（</w:t>
      </w:r>
      <w:r>
        <w:rPr>
          <w:rFonts w:hint="eastAsia" w:hAnsi="宋体" w:cs="宋体"/>
          <w:snapToGrid w:val="0"/>
          <w:color w:val="auto"/>
          <w:sz w:val="24"/>
          <w:szCs w:val="24"/>
          <w:highlight w:val="none"/>
          <w:lang w:val="en-US" w:eastAsia="zh-CN"/>
        </w:rPr>
        <w:t>4</w:t>
      </w:r>
      <w:r>
        <w:rPr>
          <w:rFonts w:hint="eastAsia" w:hAnsi="宋体" w:cs="宋体"/>
          <w:snapToGrid w:val="0"/>
          <w:color w:val="auto"/>
          <w:sz w:val="24"/>
          <w:szCs w:val="24"/>
          <w:highlight w:val="none"/>
          <w:lang w:eastAsia="zh-CN"/>
        </w:rPr>
        <w:t xml:space="preserve">）供应商报价超过最高限价的。 </w:t>
      </w:r>
    </w:p>
    <w:p w14:paraId="4AD86B36">
      <w:pPr>
        <w:keepNext w:val="0"/>
        <w:keepLines w:val="0"/>
        <w:pageBreakBefore w:val="0"/>
        <w:widowControl w:val="0"/>
        <w:kinsoku/>
        <w:wordWrap w:val="0"/>
        <w:overflowPunct/>
        <w:topLinePunct w:val="0"/>
        <w:autoSpaceDE/>
        <w:autoSpaceDN/>
        <w:bidi w:val="0"/>
        <w:adjustRightInd/>
        <w:spacing w:line="480" w:lineRule="exact"/>
        <w:ind w:firstLine="466" w:firstLineChars="200"/>
        <w:textAlignment w:val="auto"/>
        <w:rPr>
          <w:rFonts w:hint="eastAsia" w:ascii="宋体" w:hAnsi="宋体" w:eastAsia="宋体" w:cs="宋体"/>
          <w:color w:val="auto"/>
          <w:sz w:val="24"/>
          <w:szCs w:val="24"/>
        </w:rPr>
      </w:pPr>
      <w:r>
        <w:rPr>
          <w:rFonts w:hint="eastAsia" w:ascii="宋体" w:hAnsi="宋体" w:cs="宋体"/>
          <w:b/>
          <w:bCs/>
          <w:color w:val="auto"/>
          <w:spacing w:val="-4"/>
          <w:kern w:val="0"/>
          <w:sz w:val="24"/>
          <w:szCs w:val="24"/>
          <w:lang w:val="en-US" w:eastAsia="zh-CN" w:bidi="ar-SA"/>
        </w:rPr>
        <w:t>4</w:t>
      </w:r>
      <w:r>
        <w:rPr>
          <w:rFonts w:hint="eastAsia" w:ascii="宋体" w:hAnsi="宋体" w:eastAsia="宋体" w:cs="宋体"/>
          <w:b/>
          <w:bCs/>
          <w:color w:val="auto"/>
          <w:spacing w:val="-4"/>
          <w:kern w:val="0"/>
          <w:sz w:val="24"/>
          <w:szCs w:val="24"/>
          <w:lang w:val="en-US" w:eastAsia="zh-CN" w:bidi="ar-SA"/>
        </w:rPr>
        <w:t>.供应</w:t>
      </w:r>
      <w:r>
        <w:rPr>
          <w:rFonts w:hint="eastAsia" w:ascii="宋体" w:hAnsi="宋体" w:eastAsia="宋体" w:cs="宋体"/>
          <w:b/>
          <w:bCs/>
          <w:color w:val="auto"/>
          <w:sz w:val="24"/>
          <w:szCs w:val="24"/>
        </w:rPr>
        <w:t>商有恶意串通、妨碍其他供应商的竞争行为、损害征集人或者其他供应商的合法权益情形的，响应文件将被视为无效</w:t>
      </w:r>
      <w:r>
        <w:rPr>
          <w:rFonts w:hint="eastAsia" w:ascii="宋体" w:hAnsi="宋体" w:eastAsia="宋体" w:cs="宋体"/>
          <w:color w:val="auto"/>
          <w:kern w:val="0"/>
          <w:sz w:val="24"/>
          <w:szCs w:val="24"/>
        </w:rPr>
        <w:t>。</w:t>
      </w:r>
    </w:p>
    <w:p w14:paraId="5A07C615">
      <w:pPr>
        <w:pStyle w:val="14"/>
        <w:keepNext w:val="0"/>
        <w:keepLines w:val="0"/>
        <w:pageBreakBefore w:val="0"/>
        <w:widowControl w:val="0"/>
        <w:kinsoku/>
        <w:wordWrap w:val="0"/>
        <w:overflowPunct/>
        <w:topLinePunct w:val="0"/>
        <w:autoSpaceDE/>
        <w:autoSpaceDN/>
        <w:bidi w:val="0"/>
        <w:adjustRightInd/>
        <w:snapToGrid w:val="0"/>
        <w:spacing w:line="480" w:lineRule="exact"/>
        <w:ind w:firstLine="457" w:firstLineChars="196"/>
        <w:textAlignment w:val="auto"/>
        <w:rPr>
          <w:rFonts w:hint="eastAsia" w:ascii="宋体" w:hAnsi="宋体" w:eastAsia="宋体" w:cs="宋体"/>
          <w:color w:val="auto"/>
          <w:sz w:val="24"/>
          <w:szCs w:val="24"/>
        </w:rPr>
      </w:pPr>
      <w:r>
        <w:rPr>
          <w:rFonts w:hint="eastAsia" w:hAnsi="宋体" w:cs="宋体"/>
          <w:b/>
          <w:bCs/>
          <w:color w:val="auto"/>
          <w:sz w:val="24"/>
          <w:szCs w:val="24"/>
          <w:lang w:val="en-US" w:eastAsia="zh-CN"/>
        </w:rPr>
        <w:t>5</w:t>
      </w:r>
      <w:r>
        <w:rPr>
          <w:rFonts w:hint="eastAsia" w:ascii="宋体" w:hAnsi="宋体" w:eastAsia="宋体" w:cs="宋体"/>
          <w:b/>
          <w:bCs/>
          <w:color w:val="auto"/>
          <w:sz w:val="24"/>
          <w:szCs w:val="24"/>
        </w:rPr>
        <w:t>.法律、法规、规章及省级以上规范性文件规定的其他无效情形。</w:t>
      </w:r>
    </w:p>
    <w:p w14:paraId="1CA71FC0">
      <w:pPr>
        <w:pStyle w:val="14"/>
        <w:keepNext w:val="0"/>
        <w:keepLines w:val="0"/>
        <w:pageBreakBefore w:val="0"/>
        <w:widowControl w:val="0"/>
        <w:kinsoku/>
        <w:wordWrap w:val="0"/>
        <w:overflowPunct/>
        <w:topLinePunct w:val="0"/>
        <w:autoSpaceDE/>
        <w:autoSpaceDN/>
        <w:bidi w:val="0"/>
        <w:adjustRightInd/>
        <w:snapToGrid w:val="0"/>
        <w:spacing w:line="480" w:lineRule="exact"/>
        <w:ind w:firstLine="466" w:firstLineChars="200"/>
        <w:textAlignment w:val="auto"/>
        <w:rPr>
          <w:rFonts w:hint="eastAsia" w:ascii="宋体" w:hAnsi="宋体" w:eastAsia="宋体" w:cs="宋体"/>
          <w:b/>
          <w:color w:val="auto"/>
          <w:sz w:val="24"/>
          <w:szCs w:val="24"/>
        </w:rPr>
      </w:pPr>
      <w:r>
        <w:rPr>
          <w:rFonts w:hint="eastAsia" w:hAnsi="宋体" w:cs="宋体"/>
          <w:b/>
          <w:color w:val="auto"/>
          <w:sz w:val="24"/>
          <w:szCs w:val="24"/>
          <w:lang w:val="en-US" w:eastAsia="zh-CN"/>
        </w:rPr>
        <w:t>6</w:t>
      </w:r>
      <w:r>
        <w:rPr>
          <w:rFonts w:hint="eastAsia" w:ascii="宋体" w:hAnsi="宋体" w:eastAsia="宋体" w:cs="宋体"/>
          <w:b/>
          <w:color w:val="auto"/>
          <w:sz w:val="24"/>
          <w:szCs w:val="24"/>
        </w:rPr>
        <w:t>.被拒绝的响应文件为无效。</w:t>
      </w:r>
    </w:p>
    <w:p w14:paraId="26ACFE0A">
      <w:pPr>
        <w:pStyle w:val="14"/>
        <w:keepNext w:val="0"/>
        <w:keepLines w:val="0"/>
        <w:pageBreakBefore w:val="0"/>
        <w:widowControl w:val="0"/>
        <w:kinsoku/>
        <w:wordWrap w:val="0"/>
        <w:overflowPunct/>
        <w:topLinePunct w:val="0"/>
        <w:autoSpaceDE/>
        <w:autoSpaceDN/>
        <w:bidi w:val="0"/>
        <w:adjustRightInd/>
        <w:snapToGrid w:val="0"/>
        <w:spacing w:line="480" w:lineRule="exact"/>
        <w:ind w:firstLine="466"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hAnsi="宋体" w:cs="宋体"/>
          <w:b/>
          <w:color w:val="auto"/>
          <w:sz w:val="24"/>
          <w:szCs w:val="24"/>
          <w:lang w:eastAsia="zh-CN"/>
        </w:rPr>
        <w:t>七</w:t>
      </w:r>
      <w:r>
        <w:rPr>
          <w:rFonts w:hint="eastAsia" w:ascii="宋体" w:hAnsi="宋体" w:eastAsia="宋体" w:cs="宋体"/>
          <w:b/>
          <w:color w:val="auto"/>
          <w:sz w:val="24"/>
          <w:szCs w:val="24"/>
        </w:rPr>
        <w:t>）废标的情形</w:t>
      </w:r>
    </w:p>
    <w:p w14:paraId="7570974D">
      <w:pPr>
        <w:pStyle w:val="14"/>
        <w:keepNext w:val="0"/>
        <w:keepLines w:val="0"/>
        <w:pageBreakBefore w:val="0"/>
        <w:widowControl w:val="0"/>
        <w:kinsoku/>
        <w:wordWrap w:val="0"/>
        <w:overflowPunct/>
        <w:topLinePunct w:val="0"/>
        <w:autoSpaceDE/>
        <w:autoSpaceDN/>
        <w:bidi w:val="0"/>
        <w:adjustRightInd/>
        <w:snapToGrid w:val="0"/>
        <w:spacing w:line="480" w:lineRule="exact"/>
        <w:ind w:firstLine="46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根据《中华人民共和国政府采购法》第三十六条之规定，在采购中，出现下列情形之一的，应予废标：</w:t>
      </w:r>
    </w:p>
    <w:p w14:paraId="3334D518">
      <w:pPr>
        <w:pStyle w:val="14"/>
        <w:keepNext w:val="0"/>
        <w:keepLines w:val="0"/>
        <w:pageBreakBefore w:val="0"/>
        <w:widowControl w:val="0"/>
        <w:kinsoku/>
        <w:wordWrap w:val="0"/>
        <w:overflowPunct/>
        <w:topLinePunct w:val="0"/>
        <w:autoSpaceDE/>
        <w:autoSpaceDN/>
        <w:bidi w:val="0"/>
        <w:adjustRightInd/>
        <w:snapToGrid w:val="0"/>
        <w:spacing w:line="480" w:lineRule="exact"/>
        <w:ind w:firstLine="46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1.符合专业条件的供应商或者对征集文件作实质响应的供应商不足3家的；</w:t>
      </w:r>
    </w:p>
    <w:p w14:paraId="1FF715AC">
      <w:pPr>
        <w:pStyle w:val="14"/>
        <w:keepNext w:val="0"/>
        <w:keepLines w:val="0"/>
        <w:pageBreakBefore w:val="0"/>
        <w:widowControl w:val="0"/>
        <w:kinsoku/>
        <w:wordWrap w:val="0"/>
        <w:overflowPunct/>
        <w:topLinePunct w:val="0"/>
        <w:autoSpaceDE/>
        <w:autoSpaceDN/>
        <w:bidi w:val="0"/>
        <w:adjustRightInd/>
        <w:snapToGrid w:val="0"/>
        <w:spacing w:line="480" w:lineRule="exact"/>
        <w:ind w:firstLine="46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369B20BA">
      <w:pPr>
        <w:pStyle w:val="14"/>
        <w:keepNext w:val="0"/>
        <w:keepLines w:val="0"/>
        <w:pageBreakBefore w:val="0"/>
        <w:widowControl w:val="0"/>
        <w:kinsoku/>
        <w:wordWrap w:val="0"/>
        <w:overflowPunct/>
        <w:topLinePunct w:val="0"/>
        <w:autoSpaceDE/>
        <w:autoSpaceDN/>
        <w:bidi w:val="0"/>
        <w:adjustRightInd/>
        <w:snapToGrid w:val="0"/>
        <w:spacing w:line="480" w:lineRule="exact"/>
        <w:ind w:firstLine="46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3.因重大变故，采购任务取消的。</w:t>
      </w:r>
    </w:p>
    <w:p w14:paraId="63729010">
      <w:pPr>
        <w:pStyle w:val="14"/>
        <w:keepNext w:val="0"/>
        <w:keepLines w:val="0"/>
        <w:pageBreakBefore w:val="0"/>
        <w:widowControl w:val="0"/>
        <w:kinsoku/>
        <w:wordWrap w:val="0"/>
        <w:overflowPunct/>
        <w:topLinePunct w:val="0"/>
        <w:autoSpaceDE/>
        <w:autoSpaceDN/>
        <w:bidi w:val="0"/>
        <w:adjustRightInd/>
        <w:snapToGrid w:val="0"/>
        <w:spacing w:line="480" w:lineRule="exact"/>
        <w:ind w:firstLine="46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废标后，采购机构应当将废标理由通知所有供应商。</w:t>
      </w:r>
    </w:p>
    <w:p w14:paraId="5A275B19">
      <w:pPr>
        <w:pStyle w:val="14"/>
        <w:keepNext w:val="0"/>
        <w:keepLines w:val="0"/>
        <w:pageBreakBefore w:val="0"/>
        <w:widowControl w:val="0"/>
        <w:kinsoku/>
        <w:wordWrap w:val="0"/>
        <w:overflowPunct w:val="0"/>
        <w:topLinePunct w:val="0"/>
        <w:autoSpaceDE w:val="0"/>
        <w:autoSpaceDN w:val="0"/>
        <w:bidi w:val="0"/>
        <w:adjustRightInd/>
        <w:snapToGrid w:val="0"/>
        <w:spacing w:line="48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出现以下情形，导致电子交易平台无法正常运行，或者无法保证电子交易的公平、公正和安全时，中止电子交易活动：</w:t>
      </w:r>
    </w:p>
    <w:p w14:paraId="01574A47">
      <w:pPr>
        <w:pStyle w:val="14"/>
        <w:keepNext w:val="0"/>
        <w:keepLines w:val="0"/>
        <w:pageBreakBefore w:val="0"/>
        <w:widowControl w:val="0"/>
        <w:kinsoku/>
        <w:wordWrap w:val="0"/>
        <w:overflowPunct/>
        <w:topLinePunct w:val="0"/>
        <w:autoSpaceDE/>
        <w:autoSpaceDN/>
        <w:bidi w:val="0"/>
        <w:adjustRightInd/>
        <w:snapToGrid w:val="0"/>
        <w:spacing w:line="48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1.电子交易平台发生</w:t>
      </w:r>
      <w:r>
        <w:rPr>
          <w:rFonts w:hint="eastAsia" w:ascii="宋体" w:hAnsi="宋体" w:eastAsia="宋体" w:cs="宋体"/>
          <w:color w:val="auto"/>
          <w:sz w:val="24"/>
          <w:szCs w:val="24"/>
          <w:highlight w:val="none"/>
        </w:rPr>
        <w:t>故障而无法登录访问的；</w:t>
      </w:r>
    </w:p>
    <w:p w14:paraId="43422566">
      <w:pPr>
        <w:pStyle w:val="14"/>
        <w:keepNext w:val="0"/>
        <w:keepLines w:val="0"/>
        <w:pageBreakBefore w:val="0"/>
        <w:widowControl w:val="0"/>
        <w:kinsoku/>
        <w:wordWrap w:val="0"/>
        <w:overflowPunct/>
        <w:topLinePunct w:val="0"/>
        <w:autoSpaceDE/>
        <w:autoSpaceDN/>
        <w:bidi w:val="0"/>
        <w:adjustRightInd/>
        <w:snapToGrid w:val="0"/>
        <w:spacing w:line="48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2.电子交易平台应用或数据库出现错误，不能进行正常操作的；</w:t>
      </w:r>
    </w:p>
    <w:p w14:paraId="146EAF61">
      <w:pPr>
        <w:pStyle w:val="14"/>
        <w:keepNext w:val="0"/>
        <w:keepLines w:val="0"/>
        <w:pageBreakBefore w:val="0"/>
        <w:widowControl w:val="0"/>
        <w:kinsoku/>
        <w:wordWrap w:val="0"/>
        <w:overflowPunct/>
        <w:topLinePunct w:val="0"/>
        <w:autoSpaceDE/>
        <w:autoSpaceDN/>
        <w:bidi w:val="0"/>
        <w:adjustRightInd/>
        <w:snapToGrid w:val="0"/>
        <w:spacing w:line="48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3.电子交易平台发现严重安全漏洞，有潜在泄密危险的；</w:t>
      </w:r>
    </w:p>
    <w:p w14:paraId="1E84ACCE">
      <w:pPr>
        <w:pStyle w:val="14"/>
        <w:keepNext w:val="0"/>
        <w:keepLines w:val="0"/>
        <w:pageBreakBefore w:val="0"/>
        <w:widowControl w:val="0"/>
        <w:kinsoku/>
        <w:wordWrap w:val="0"/>
        <w:overflowPunct/>
        <w:topLinePunct w:val="0"/>
        <w:autoSpaceDE/>
        <w:autoSpaceDN/>
        <w:bidi w:val="0"/>
        <w:adjustRightInd/>
        <w:snapToGrid w:val="0"/>
        <w:spacing w:line="48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4.病毒发作导致不能进行正常操作的；</w:t>
      </w:r>
    </w:p>
    <w:p w14:paraId="746670DA">
      <w:pPr>
        <w:pStyle w:val="14"/>
        <w:keepNext w:val="0"/>
        <w:keepLines w:val="0"/>
        <w:pageBreakBefore w:val="0"/>
        <w:widowControl w:val="0"/>
        <w:kinsoku/>
        <w:wordWrap w:val="0"/>
        <w:overflowPunct/>
        <w:topLinePunct w:val="0"/>
        <w:autoSpaceDE/>
        <w:autoSpaceDN/>
        <w:bidi w:val="0"/>
        <w:adjustRightInd/>
        <w:snapToGrid w:val="0"/>
        <w:spacing w:line="48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5.其他无法保证电子交易的公平、公正和安全的情况。</w:t>
      </w:r>
    </w:p>
    <w:p w14:paraId="53349BB8">
      <w:pPr>
        <w:pStyle w:val="14"/>
        <w:keepNext w:val="0"/>
        <w:keepLines w:val="0"/>
        <w:pageBreakBefore w:val="0"/>
        <w:widowControl w:val="0"/>
        <w:kinsoku/>
        <w:wordWrap w:val="0"/>
        <w:overflowPunct/>
        <w:bidi w:val="0"/>
        <w:adjustRightInd/>
        <w:snapToGrid w:val="0"/>
        <w:spacing w:line="480" w:lineRule="exact"/>
        <w:ind w:firstLine="46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出现前款规定情形，不影响采购公平、公正性的，</w:t>
      </w:r>
      <w:r>
        <w:rPr>
          <w:rFonts w:hint="eastAsia" w:hAnsi="宋体" w:cs="宋体"/>
          <w:color w:val="auto"/>
          <w:sz w:val="24"/>
          <w:szCs w:val="24"/>
          <w:highlight w:val="none"/>
          <w:lang w:val="en-US" w:eastAsia="zh-CN"/>
        </w:rPr>
        <w:t>征集</w:t>
      </w:r>
      <w:r>
        <w:rPr>
          <w:rFonts w:hint="eastAsia" w:ascii="宋体" w:hAnsi="宋体" w:eastAsia="宋体" w:cs="宋体"/>
          <w:color w:val="auto"/>
          <w:sz w:val="24"/>
          <w:szCs w:val="24"/>
          <w:highlight w:val="none"/>
        </w:rPr>
        <w:t>代理机构可以待上述情形消除后继续组织电子交易活动，也可以决定某些环节以纸质形式进行；影响或可能影响采购公平、公正性的，重新采购。</w:t>
      </w:r>
    </w:p>
    <w:p w14:paraId="18199A7A">
      <w:pPr>
        <w:pStyle w:val="6"/>
        <w:jc w:val="center"/>
        <w:rPr>
          <w:rFonts w:hint="eastAsia" w:asciiTheme="majorEastAsia" w:hAnsiTheme="majorEastAsia" w:eastAsiaTheme="majorEastAsia" w:cstheme="majorEastAsia"/>
          <w:b/>
          <w:sz w:val="28"/>
          <w:szCs w:val="36"/>
        </w:rPr>
      </w:pPr>
      <w:r>
        <w:rPr>
          <w:rFonts w:hint="eastAsia" w:asciiTheme="majorEastAsia" w:hAnsiTheme="majorEastAsia" w:eastAsiaTheme="majorEastAsia" w:cstheme="majorEastAsia"/>
          <w:b/>
          <w:sz w:val="28"/>
          <w:szCs w:val="36"/>
        </w:rPr>
        <w:t>四、</w:t>
      </w:r>
      <w:r>
        <w:rPr>
          <w:rFonts w:hint="eastAsia" w:asciiTheme="majorEastAsia" w:hAnsiTheme="majorEastAsia" w:eastAsiaTheme="majorEastAsia" w:cstheme="majorEastAsia"/>
          <w:b/>
          <w:sz w:val="28"/>
          <w:szCs w:val="36"/>
          <w:lang w:eastAsia="zh-CN"/>
        </w:rPr>
        <w:t>响应文件开启</w:t>
      </w:r>
    </w:p>
    <w:p w14:paraId="32AADFAB">
      <w:pPr>
        <w:keepNext w:val="0"/>
        <w:keepLines w:val="0"/>
        <w:pageBreakBefore w:val="0"/>
        <w:widowControl w:val="0"/>
        <w:kinsoku/>
        <w:wordWrap w:val="0"/>
        <w:overflowPunct w:val="0"/>
        <w:topLinePunct w:val="0"/>
        <w:autoSpaceDE w:val="0"/>
        <w:autoSpaceDN w:val="0"/>
        <w:bidi w:val="0"/>
        <w:adjustRightInd/>
        <w:snapToGrid w:val="0"/>
        <w:spacing w:line="480" w:lineRule="exact"/>
        <w:ind w:left="0" w:leftChars="0" w:right="0" w:rightChars="0" w:firstLine="480" w:firstLineChars="200"/>
        <w:jc w:val="left"/>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eastAsia="zh-CN"/>
        </w:rPr>
        <w:t>征集人</w:t>
      </w:r>
      <w:r>
        <w:rPr>
          <w:rFonts w:hint="eastAsia" w:ascii="宋体" w:hAnsi="宋体" w:eastAsia="宋体" w:cs="宋体"/>
          <w:b w:val="0"/>
          <w:bCs/>
          <w:color w:val="auto"/>
          <w:sz w:val="24"/>
          <w:szCs w:val="24"/>
          <w:highlight w:val="none"/>
        </w:rPr>
        <w:t>按照</w:t>
      </w:r>
      <w:r>
        <w:rPr>
          <w:rFonts w:hint="eastAsia" w:ascii="宋体" w:hAnsi="宋体" w:cs="宋体"/>
          <w:b w:val="0"/>
          <w:bCs/>
          <w:color w:val="auto"/>
          <w:sz w:val="24"/>
          <w:szCs w:val="24"/>
          <w:highlight w:val="none"/>
          <w:lang w:eastAsia="zh-CN"/>
        </w:rPr>
        <w:t>征集</w:t>
      </w:r>
      <w:r>
        <w:rPr>
          <w:rFonts w:hint="eastAsia" w:ascii="宋体" w:hAnsi="宋体" w:eastAsia="宋体" w:cs="宋体"/>
          <w:b w:val="0"/>
          <w:bCs/>
          <w:color w:val="auto"/>
          <w:sz w:val="24"/>
          <w:szCs w:val="24"/>
          <w:highlight w:val="none"/>
        </w:rPr>
        <w:t>文件规定的时间通过“政府采购云平台”组织</w:t>
      </w:r>
      <w:r>
        <w:rPr>
          <w:rFonts w:hint="eastAsia" w:ascii="宋体" w:hAnsi="宋体" w:cs="宋体"/>
          <w:b w:val="0"/>
          <w:bCs/>
          <w:color w:val="auto"/>
          <w:sz w:val="24"/>
          <w:szCs w:val="24"/>
          <w:highlight w:val="none"/>
          <w:lang w:eastAsia="zh-CN"/>
        </w:rPr>
        <w:t>评审</w:t>
      </w:r>
      <w:r>
        <w:rPr>
          <w:rFonts w:hint="eastAsia" w:ascii="宋体" w:hAnsi="宋体" w:eastAsia="宋体" w:cs="宋体"/>
          <w:b w:val="0"/>
          <w:bCs/>
          <w:color w:val="auto"/>
          <w:sz w:val="24"/>
          <w:szCs w:val="24"/>
          <w:highlight w:val="none"/>
        </w:rPr>
        <w:t>、开启</w:t>
      </w:r>
      <w:r>
        <w:rPr>
          <w:rFonts w:hint="eastAsia" w:ascii="宋体" w:hAnsi="宋体" w:cs="宋体"/>
          <w:b w:val="0"/>
          <w:bCs/>
          <w:color w:val="auto"/>
          <w:sz w:val="24"/>
          <w:szCs w:val="24"/>
          <w:highlight w:val="none"/>
          <w:lang w:eastAsia="zh-CN"/>
        </w:rPr>
        <w:t>响应</w:t>
      </w:r>
      <w:r>
        <w:rPr>
          <w:rFonts w:hint="eastAsia" w:ascii="宋体" w:hAnsi="宋体" w:eastAsia="宋体" w:cs="宋体"/>
          <w:b w:val="0"/>
          <w:bCs/>
          <w:color w:val="auto"/>
          <w:sz w:val="24"/>
          <w:szCs w:val="24"/>
          <w:highlight w:val="none"/>
        </w:rPr>
        <w:t>文件，所有供应商可以派授权代表准时在线参加。</w:t>
      </w:r>
      <w:r>
        <w:rPr>
          <w:rFonts w:hint="eastAsia" w:ascii="宋体" w:hAnsi="宋体" w:eastAsia="宋体" w:cs="宋体"/>
          <w:b w:val="0"/>
          <w:bCs/>
          <w:color w:val="auto"/>
          <w:kern w:val="0"/>
          <w:sz w:val="24"/>
          <w:szCs w:val="24"/>
          <w:highlight w:val="none"/>
        </w:rPr>
        <w:t>供应商如不参加会议的，视同认可</w:t>
      </w:r>
      <w:r>
        <w:rPr>
          <w:rFonts w:hint="eastAsia" w:ascii="宋体" w:hAnsi="宋体" w:cs="宋体"/>
          <w:b w:val="0"/>
          <w:bCs/>
          <w:color w:val="auto"/>
          <w:kern w:val="0"/>
          <w:sz w:val="24"/>
          <w:szCs w:val="24"/>
          <w:highlight w:val="none"/>
          <w:lang w:eastAsia="zh-CN"/>
        </w:rPr>
        <w:t>评审</w:t>
      </w:r>
      <w:r>
        <w:rPr>
          <w:rFonts w:hint="eastAsia" w:ascii="宋体" w:hAnsi="宋体" w:eastAsia="宋体" w:cs="宋体"/>
          <w:b w:val="0"/>
          <w:bCs/>
          <w:color w:val="auto"/>
          <w:kern w:val="0"/>
          <w:sz w:val="24"/>
          <w:szCs w:val="24"/>
          <w:highlight w:val="none"/>
        </w:rPr>
        <w:t>结果，事后不得对采购相关人员、</w:t>
      </w:r>
      <w:r>
        <w:rPr>
          <w:rFonts w:hint="eastAsia" w:ascii="宋体" w:hAnsi="宋体" w:cs="宋体"/>
          <w:b w:val="0"/>
          <w:bCs/>
          <w:color w:val="auto"/>
          <w:kern w:val="0"/>
          <w:sz w:val="24"/>
          <w:szCs w:val="24"/>
          <w:highlight w:val="none"/>
          <w:lang w:eastAsia="zh-CN"/>
        </w:rPr>
        <w:t>评审</w:t>
      </w:r>
      <w:r>
        <w:rPr>
          <w:rFonts w:hint="eastAsia" w:ascii="宋体" w:hAnsi="宋体" w:eastAsia="宋体" w:cs="宋体"/>
          <w:b w:val="0"/>
          <w:bCs/>
          <w:color w:val="auto"/>
          <w:kern w:val="0"/>
          <w:sz w:val="24"/>
          <w:szCs w:val="24"/>
          <w:highlight w:val="none"/>
        </w:rPr>
        <w:t>过程和结果提出异议，同时供应商因未在线参加</w:t>
      </w:r>
      <w:r>
        <w:rPr>
          <w:rFonts w:hint="eastAsia" w:ascii="宋体" w:hAnsi="宋体" w:cs="宋体"/>
          <w:b w:val="0"/>
          <w:bCs/>
          <w:color w:val="auto"/>
          <w:kern w:val="0"/>
          <w:sz w:val="24"/>
          <w:szCs w:val="24"/>
          <w:highlight w:val="none"/>
          <w:lang w:eastAsia="zh-CN"/>
        </w:rPr>
        <w:t>响应</w:t>
      </w:r>
      <w:r>
        <w:rPr>
          <w:rFonts w:hint="eastAsia" w:ascii="宋体" w:hAnsi="宋体" w:eastAsia="宋体" w:cs="宋体"/>
          <w:b w:val="0"/>
          <w:bCs/>
          <w:color w:val="auto"/>
          <w:kern w:val="0"/>
          <w:sz w:val="24"/>
          <w:szCs w:val="24"/>
          <w:highlight w:val="none"/>
        </w:rPr>
        <w:t>而导致</w:t>
      </w:r>
      <w:r>
        <w:rPr>
          <w:rFonts w:hint="eastAsia" w:ascii="宋体" w:hAnsi="宋体" w:cs="宋体"/>
          <w:b w:val="0"/>
          <w:bCs/>
          <w:color w:val="auto"/>
          <w:kern w:val="0"/>
          <w:sz w:val="24"/>
          <w:szCs w:val="24"/>
          <w:highlight w:val="none"/>
          <w:lang w:eastAsia="zh-CN"/>
        </w:rPr>
        <w:t>响应</w:t>
      </w:r>
      <w:r>
        <w:rPr>
          <w:rFonts w:hint="eastAsia" w:ascii="宋体" w:hAnsi="宋体" w:eastAsia="宋体" w:cs="宋体"/>
          <w:b w:val="0"/>
          <w:bCs/>
          <w:color w:val="auto"/>
          <w:kern w:val="0"/>
          <w:sz w:val="24"/>
          <w:szCs w:val="24"/>
          <w:highlight w:val="none"/>
        </w:rPr>
        <w:t>文件无法按时解密等一切后果由供应商自己承担。</w:t>
      </w:r>
    </w:p>
    <w:p w14:paraId="140F76A8">
      <w:pPr>
        <w:pStyle w:val="18"/>
        <w:keepNext w:val="0"/>
        <w:keepLines w:val="0"/>
        <w:pageBreakBefore w:val="0"/>
        <w:widowControl w:val="0"/>
        <w:numPr>
          <w:ilvl w:val="0"/>
          <w:numId w:val="3"/>
        </w:numPr>
        <w:kinsoku/>
        <w:wordWrap w:val="0"/>
        <w:overflowPunct w:val="0"/>
        <w:topLinePunct w:val="0"/>
        <w:autoSpaceDE w:val="0"/>
        <w:autoSpaceDN w:val="0"/>
        <w:bidi w:val="0"/>
        <w:adjustRightInd/>
        <w:snapToGrid w:val="0"/>
        <w:spacing w:beforeLines="0" w:afterLines="0" w:line="480" w:lineRule="exact"/>
        <w:ind w:left="120" w:leftChars="0" w:right="0" w:rightChars="0" w:firstLine="0" w:firstLineChars="0"/>
        <w:textAlignment w:val="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eastAsia="zh-CN"/>
        </w:rPr>
        <w:t>征集</w:t>
      </w:r>
      <w:r>
        <w:rPr>
          <w:rFonts w:hint="eastAsia" w:ascii="宋体" w:hAnsi="宋体" w:eastAsia="宋体" w:cs="宋体"/>
          <w:b/>
          <w:color w:val="auto"/>
          <w:sz w:val="24"/>
          <w:szCs w:val="24"/>
          <w:highlight w:val="none"/>
        </w:rPr>
        <w:t>人或者集中采购机构职责</w:t>
      </w:r>
    </w:p>
    <w:p w14:paraId="7CFF3EE2">
      <w:pPr>
        <w:keepNext w:val="0"/>
        <w:keepLines w:val="0"/>
        <w:pageBreakBefore w:val="0"/>
        <w:widowControl w:val="0"/>
        <w:numPr>
          <w:ilvl w:val="-1"/>
          <w:numId w:val="0"/>
        </w:numPr>
        <w:kinsoku/>
        <w:wordWrap w:val="0"/>
        <w:overflowPunct w:val="0"/>
        <w:topLinePunct w:val="0"/>
        <w:autoSpaceDE w:val="0"/>
        <w:autoSpaceDN w:val="0"/>
        <w:bidi w:val="0"/>
        <w:adjustRightInd/>
        <w:spacing w:line="48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征集</w:t>
      </w:r>
      <w:r>
        <w:rPr>
          <w:rFonts w:hint="eastAsia" w:ascii="宋体" w:hAnsi="宋体" w:eastAsia="宋体" w:cs="宋体"/>
          <w:color w:val="auto"/>
          <w:sz w:val="24"/>
          <w:szCs w:val="24"/>
          <w:highlight w:val="none"/>
        </w:rPr>
        <w:t>人负责组织评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工作，并履行下列职责：</w:t>
      </w:r>
    </w:p>
    <w:p w14:paraId="5E58258A">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1.核对评审专家身份，对评审专家在政府采购活动中的职责履行情况予以记录，并及时将有关违法违规行为向财政部门报告；</w:t>
      </w:r>
    </w:p>
    <w:p w14:paraId="46D43695">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纪律；</w:t>
      </w:r>
    </w:p>
    <w:p w14:paraId="48C869A0">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3.公布</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名单，告知评审专家应当回避的情形；</w:t>
      </w:r>
      <w:r>
        <w:rPr>
          <w:rFonts w:hint="eastAsia" w:ascii="宋体" w:hAnsi="宋体" w:cs="宋体"/>
          <w:color w:val="auto"/>
          <w:sz w:val="24"/>
          <w:szCs w:val="24"/>
          <w:highlight w:val="none"/>
          <w:lang w:val="en-US" w:eastAsia="zh-CN"/>
        </w:rPr>
        <w:t xml:space="preserve"> </w:t>
      </w:r>
    </w:p>
    <w:p w14:paraId="5C64F4E7">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委员会推选评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组长；</w:t>
      </w:r>
    </w:p>
    <w:p w14:paraId="57E37B59">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期间采取必要的通讯管理措施，保证评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活动不受外界干扰；</w:t>
      </w:r>
    </w:p>
    <w:p w14:paraId="3E074063">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委员会的要求介绍政府采购相关政策法规、</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w:t>
      </w:r>
    </w:p>
    <w:p w14:paraId="62D5F073">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7.维护评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秩序，监督评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委员会依照</w:t>
      </w:r>
      <w:r>
        <w:rPr>
          <w:rFonts w:hint="eastAsia" w:ascii="宋体" w:hAnsi="宋体" w:cs="宋体"/>
          <w:color w:val="auto"/>
          <w:sz w:val="24"/>
          <w:szCs w:val="24"/>
          <w:highlight w:val="none"/>
          <w:lang w:eastAsia="zh-CN"/>
        </w:rPr>
        <w:t>征集</w:t>
      </w:r>
      <w:r>
        <w:rPr>
          <w:rFonts w:hint="eastAsia" w:ascii="宋体" w:hAnsi="宋体" w:eastAsia="宋体" w:cs="宋体"/>
          <w:color w:val="auto"/>
          <w:sz w:val="24"/>
          <w:szCs w:val="24"/>
          <w:highlight w:val="none"/>
        </w:rPr>
        <w:t>文件规定的评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程序、方法和标准进行独立评审，及时制止和纠正评审专家的倾向性言论或者违法违规行为；</w:t>
      </w:r>
    </w:p>
    <w:p w14:paraId="64D9CF7A">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8.核对评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结果，有本办法第六十四条规定情形的，要求评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委员会复核或者书面说明理由，评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委员会拒绝的，应予记录并向本级财政部门报告；</w:t>
      </w:r>
    </w:p>
    <w:p w14:paraId="03CE4D67">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9.评审工作完成后，按照规定向评审专家支付劳务报酬和异地评审差旅费，不得向评审专家以外的其他人员支付评审劳务报酬；</w:t>
      </w:r>
    </w:p>
    <w:p w14:paraId="2DD90CC5">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10.处理与评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有关的其他事项。</w:t>
      </w:r>
    </w:p>
    <w:p w14:paraId="6D4DCF37">
      <w:pPr>
        <w:pStyle w:val="18"/>
        <w:keepNext w:val="0"/>
        <w:keepLines w:val="0"/>
        <w:pageBreakBefore w:val="0"/>
        <w:widowControl w:val="0"/>
        <w:kinsoku/>
        <w:wordWrap w:val="0"/>
        <w:overflowPunct w:val="0"/>
        <w:topLinePunct w:val="0"/>
        <w:autoSpaceDE w:val="0"/>
        <w:autoSpaceDN w:val="0"/>
        <w:bidi w:val="0"/>
        <w:adjustRightInd/>
        <w:snapToGrid w:val="0"/>
        <w:spacing w:beforeLines="0" w:afterLines="0" w:line="48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eastAsia="zh-CN"/>
        </w:rPr>
        <w:t>二</w:t>
      </w: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eastAsia="zh-CN"/>
        </w:rPr>
        <w:t>开启</w:t>
      </w:r>
      <w:r>
        <w:rPr>
          <w:rFonts w:hint="eastAsia" w:ascii="宋体" w:hAnsi="宋体" w:eastAsia="宋体" w:cs="宋体"/>
          <w:b/>
          <w:color w:val="auto"/>
          <w:sz w:val="24"/>
          <w:szCs w:val="24"/>
          <w:highlight w:val="none"/>
        </w:rPr>
        <w:t>程序</w:t>
      </w:r>
    </w:p>
    <w:p w14:paraId="14BCFC61">
      <w:pPr>
        <w:keepNext w:val="0"/>
        <w:keepLines w:val="0"/>
        <w:pageBreakBefore w:val="0"/>
        <w:widowControl w:val="0"/>
        <w:kinsoku/>
        <w:wordWrap w:val="0"/>
        <w:overflowPunct w:val="0"/>
        <w:topLinePunct w:val="0"/>
        <w:autoSpaceDE w:val="0"/>
        <w:autoSpaceDN w:val="0"/>
        <w:bidi w:val="0"/>
        <w:adjustRightInd/>
        <w:snapToGrid w:val="0"/>
        <w:spacing w:line="48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截止时间后，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登录政采云平台，用“项目采购-开标评标”功能对电子</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文件进行在线解密。在线解密电子</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文件时间为</w:t>
      </w:r>
      <w:r>
        <w:rPr>
          <w:rFonts w:hint="eastAsia" w:ascii="宋体" w:hAnsi="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后</w:t>
      </w:r>
      <w:r>
        <w:rPr>
          <w:rFonts w:hint="eastAsia" w:ascii="宋体" w:hAnsi="宋体" w:eastAsia="宋体" w:cs="宋体"/>
          <w:color w:val="auto"/>
          <w:sz w:val="24"/>
          <w:szCs w:val="24"/>
          <w:highlight w:val="none"/>
        </w:rPr>
        <w:t>半个小时内。</w:t>
      </w:r>
    </w:p>
    <w:p w14:paraId="3B825488">
      <w:pPr>
        <w:keepNext w:val="0"/>
        <w:keepLines w:val="0"/>
        <w:pageBreakBefore w:val="0"/>
        <w:widowControl w:val="0"/>
        <w:kinsoku/>
        <w:wordWrap w:val="0"/>
        <w:overflowPunct w:val="0"/>
        <w:topLinePunct w:val="0"/>
        <w:autoSpaceDE w:val="0"/>
        <w:autoSpaceDN w:val="0"/>
        <w:bidi w:val="0"/>
        <w:adjustRightInd/>
        <w:snapToGrid w:val="0"/>
        <w:spacing w:line="48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（2）由评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委员会对资格审查文件进行评审</w:t>
      </w:r>
      <w:r>
        <w:rPr>
          <w:rFonts w:hint="eastAsia" w:ascii="宋体" w:hAnsi="宋体" w:eastAsia="宋体" w:cs="宋体"/>
          <w:color w:val="auto"/>
          <w:sz w:val="24"/>
          <w:szCs w:val="24"/>
          <w:highlight w:val="none"/>
          <w:lang w:eastAsia="zh-CN"/>
        </w:rPr>
        <w:t>；</w:t>
      </w:r>
    </w:p>
    <w:p w14:paraId="6EB22486">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委员会对技术商务文件进行评审；</w:t>
      </w:r>
    </w:p>
    <w:p w14:paraId="4D8E3DC9">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委员会对报价情况进行评审；</w:t>
      </w:r>
    </w:p>
    <w:p w14:paraId="766E5AF4">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olor w:val="auto"/>
          <w:szCs w:val="21"/>
        </w:rPr>
        <w:t>评</w:t>
      </w:r>
      <w:r>
        <w:rPr>
          <w:rFonts w:hint="eastAsia" w:ascii="宋体" w:hAnsi="宋体" w:cs="宋体"/>
          <w:color w:val="auto"/>
          <w:sz w:val="24"/>
          <w:szCs w:val="24"/>
          <w:highlight w:val="none"/>
          <w:lang w:eastAsia="zh-CN"/>
        </w:rPr>
        <w:t>审</w:t>
      </w:r>
      <w:r>
        <w:rPr>
          <w:rFonts w:hint="eastAsia" w:ascii="宋体" w:hAnsi="宋体"/>
          <w:color w:val="auto"/>
          <w:szCs w:val="21"/>
        </w:rPr>
        <w:t>委员会按评</w:t>
      </w:r>
      <w:r>
        <w:rPr>
          <w:rFonts w:hint="eastAsia" w:ascii="宋体" w:hAnsi="宋体"/>
          <w:color w:val="auto"/>
          <w:szCs w:val="21"/>
          <w:lang w:eastAsia="zh-CN"/>
        </w:rPr>
        <w:t>审</w:t>
      </w:r>
      <w:r>
        <w:rPr>
          <w:rFonts w:hint="eastAsia" w:ascii="宋体" w:hAnsi="宋体"/>
          <w:color w:val="auto"/>
          <w:szCs w:val="21"/>
        </w:rPr>
        <w:t>原则</w:t>
      </w:r>
      <w:r>
        <w:rPr>
          <w:rFonts w:hint="eastAsia" w:ascii="宋体" w:hAnsi="宋体"/>
          <w:color w:val="auto"/>
          <w:szCs w:val="21"/>
          <w:lang w:eastAsia="zh-CN"/>
        </w:rPr>
        <w:t>打分</w:t>
      </w:r>
      <w:r>
        <w:rPr>
          <w:rFonts w:hint="eastAsia" w:ascii="宋体" w:hAnsi="宋体"/>
          <w:color w:val="auto"/>
          <w:szCs w:val="21"/>
        </w:rPr>
        <w:t>推荐入围候选人同时起草评审报告</w:t>
      </w:r>
      <w:r>
        <w:rPr>
          <w:rFonts w:hint="eastAsia" w:ascii="宋体" w:hAnsi="宋体" w:eastAsia="宋体" w:cs="宋体"/>
          <w:color w:val="auto"/>
          <w:sz w:val="24"/>
          <w:szCs w:val="24"/>
          <w:highlight w:val="none"/>
        </w:rPr>
        <w:t>。</w:t>
      </w:r>
    </w:p>
    <w:p w14:paraId="19B5FC7D">
      <w:pPr>
        <w:keepNext w:val="0"/>
        <w:keepLines w:val="0"/>
        <w:pageBreakBefore w:val="0"/>
        <w:widowControl w:val="0"/>
        <w:kinsoku/>
        <w:wordWrap w:val="0"/>
        <w:overflowPunct w:val="0"/>
        <w:topLinePunct w:val="0"/>
        <w:autoSpaceDE w:val="0"/>
        <w:autoSpaceDN w:val="0"/>
        <w:bidi w:val="0"/>
        <w:adjustRightInd/>
        <w:spacing w:line="48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特别说明：政采云公司如对电子化开标及评审程序有调整的，按调整后的程序操作。</w:t>
      </w:r>
    </w:p>
    <w:p w14:paraId="48B9E2F3">
      <w:pPr>
        <w:pStyle w:val="42"/>
        <w:keepNext w:val="0"/>
        <w:keepLines w:val="0"/>
        <w:pageBreakBefore w:val="0"/>
        <w:widowControl w:val="0"/>
        <w:kinsoku/>
        <w:wordWrap w:val="0"/>
        <w:overflowPunct/>
        <w:topLinePunct w:val="0"/>
        <w:autoSpaceDE/>
        <w:autoSpaceDN/>
        <w:bidi w:val="0"/>
        <w:adjustRightInd/>
        <w:spacing w:before="0" w:line="480" w:lineRule="exact"/>
        <w:ind w:left="0" w:leftChars="0" w:firstLine="0" w:firstLineChars="0"/>
        <w:textAlignment w:val="auto"/>
        <w:rPr>
          <w:rFonts w:hint="eastAsia" w:ascii="宋体" w:hAnsi="宋体" w:eastAsia="宋体" w:cs="宋体"/>
          <w:color w:val="auto"/>
          <w:sz w:val="24"/>
          <w:szCs w:val="24"/>
        </w:rPr>
      </w:pPr>
    </w:p>
    <w:p w14:paraId="39670858">
      <w:pPr>
        <w:pStyle w:val="6"/>
        <w:jc w:val="center"/>
        <w:rPr>
          <w:rFonts w:hint="eastAsia" w:asciiTheme="majorEastAsia" w:hAnsiTheme="majorEastAsia" w:eastAsiaTheme="majorEastAsia" w:cstheme="majorEastAsia"/>
          <w:b/>
          <w:sz w:val="28"/>
          <w:szCs w:val="36"/>
          <w:lang w:eastAsia="zh-CN"/>
        </w:rPr>
      </w:pPr>
      <w:r>
        <w:rPr>
          <w:rFonts w:hint="eastAsia" w:asciiTheme="majorEastAsia" w:hAnsiTheme="majorEastAsia" w:eastAsiaTheme="majorEastAsia" w:cstheme="majorEastAsia"/>
          <w:b/>
          <w:sz w:val="28"/>
          <w:szCs w:val="36"/>
        </w:rPr>
        <w:t>五、评</w:t>
      </w:r>
      <w:r>
        <w:rPr>
          <w:rFonts w:hint="eastAsia" w:asciiTheme="majorEastAsia" w:hAnsiTheme="majorEastAsia" w:eastAsiaTheme="majorEastAsia" w:cstheme="majorEastAsia"/>
          <w:b/>
          <w:sz w:val="28"/>
          <w:szCs w:val="36"/>
          <w:lang w:eastAsia="zh-CN"/>
        </w:rPr>
        <w:t>审程序</w:t>
      </w:r>
    </w:p>
    <w:p w14:paraId="49643A39">
      <w:pPr>
        <w:pStyle w:val="18"/>
        <w:keepNext w:val="0"/>
        <w:keepLines w:val="0"/>
        <w:pageBreakBefore w:val="0"/>
        <w:widowControl w:val="0"/>
        <w:kinsoku/>
        <w:wordWrap w:val="0"/>
        <w:overflowPunct/>
        <w:topLinePunct w:val="0"/>
        <w:autoSpaceDE/>
        <w:autoSpaceDN/>
        <w:bidi w:val="0"/>
        <w:adjustRightInd/>
        <w:snapToGrid w:val="0"/>
        <w:spacing w:beforeLines="0" w:afterLines="0" w:line="480" w:lineRule="exact"/>
        <w:ind w:left="788" w:leftChars="228" w:hanging="241" w:hangingChars="1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（一）组建评</w:t>
      </w:r>
      <w:r>
        <w:rPr>
          <w:rFonts w:hint="eastAsia" w:hAnsi="宋体" w:cs="宋体"/>
          <w:b/>
          <w:color w:val="auto"/>
          <w:sz w:val="24"/>
          <w:szCs w:val="24"/>
          <w:lang w:eastAsia="zh-CN"/>
        </w:rPr>
        <w:t>审</w:t>
      </w:r>
      <w:r>
        <w:rPr>
          <w:rFonts w:hint="eastAsia" w:ascii="宋体" w:hAnsi="宋体" w:eastAsia="宋体" w:cs="宋体"/>
          <w:b/>
          <w:color w:val="auto"/>
          <w:sz w:val="24"/>
          <w:szCs w:val="24"/>
        </w:rPr>
        <w:t>委员会</w:t>
      </w:r>
    </w:p>
    <w:p w14:paraId="1E630EF9">
      <w:pPr>
        <w:keepNext w:val="0"/>
        <w:keepLines w:val="0"/>
        <w:pageBreakBefore w:val="0"/>
        <w:widowControl w:val="0"/>
        <w:shd w:val="clear" w:color="auto" w:fill="FFFFFF"/>
        <w:kinsoku/>
        <w:wordWrap w:val="0"/>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w:t>
      </w:r>
      <w:r>
        <w:rPr>
          <w:rFonts w:hint="eastAsia" w:ascii="宋体" w:hAnsi="宋体" w:cs="宋体"/>
          <w:color w:val="auto"/>
          <w:sz w:val="24"/>
          <w:szCs w:val="24"/>
          <w:highlight w:val="none"/>
          <w:lang w:eastAsia="zh-CN"/>
        </w:rPr>
        <w:t>审</w:t>
      </w:r>
      <w:r>
        <w:rPr>
          <w:rFonts w:hint="eastAsia" w:ascii="宋体" w:hAnsi="宋体" w:eastAsia="宋体" w:cs="宋体"/>
          <w:color w:val="auto"/>
          <w:kern w:val="0"/>
          <w:sz w:val="24"/>
          <w:szCs w:val="24"/>
        </w:rPr>
        <w:t>委员会由</w:t>
      </w:r>
      <w:r>
        <w:rPr>
          <w:rFonts w:hint="eastAsia" w:ascii="宋体" w:hAnsi="宋体"/>
          <w:color w:val="auto"/>
          <w:szCs w:val="21"/>
        </w:rPr>
        <w:t>五人及以上单数的评审专家组成</w:t>
      </w:r>
      <w:r>
        <w:rPr>
          <w:rFonts w:hint="eastAsia" w:ascii="宋体" w:hAnsi="宋体" w:eastAsia="宋体" w:cs="宋体"/>
          <w:color w:val="auto"/>
          <w:kern w:val="0"/>
          <w:sz w:val="24"/>
          <w:szCs w:val="24"/>
        </w:rPr>
        <w:t>。</w:t>
      </w:r>
    </w:p>
    <w:p w14:paraId="4E78ADB6">
      <w:pPr>
        <w:keepNext w:val="0"/>
        <w:keepLines w:val="0"/>
        <w:pageBreakBefore w:val="0"/>
        <w:widowControl w:val="0"/>
        <w:shd w:val="clear" w:color="auto" w:fill="FFFFFF"/>
        <w:kinsoku/>
        <w:wordWrap w:val="0"/>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w:t>
      </w:r>
      <w:r>
        <w:rPr>
          <w:rFonts w:hint="eastAsia" w:ascii="宋体" w:hAnsi="宋体" w:cs="宋体"/>
          <w:color w:val="auto"/>
          <w:sz w:val="24"/>
          <w:szCs w:val="24"/>
          <w:highlight w:val="none"/>
          <w:lang w:eastAsia="zh-CN"/>
        </w:rPr>
        <w:t>审</w:t>
      </w:r>
      <w:r>
        <w:rPr>
          <w:rFonts w:hint="eastAsia" w:ascii="宋体" w:hAnsi="宋体" w:eastAsia="宋体" w:cs="宋体"/>
          <w:color w:val="auto"/>
          <w:kern w:val="0"/>
          <w:sz w:val="24"/>
          <w:szCs w:val="24"/>
        </w:rPr>
        <w:t>委员会负责具体评</w:t>
      </w:r>
      <w:r>
        <w:rPr>
          <w:rFonts w:hint="eastAsia" w:ascii="宋体" w:hAnsi="宋体" w:cs="宋体"/>
          <w:color w:val="auto"/>
          <w:sz w:val="24"/>
          <w:szCs w:val="24"/>
          <w:highlight w:val="none"/>
          <w:lang w:eastAsia="zh-CN"/>
        </w:rPr>
        <w:t>审</w:t>
      </w:r>
      <w:r>
        <w:rPr>
          <w:rFonts w:hint="eastAsia" w:ascii="宋体" w:hAnsi="宋体" w:eastAsia="宋体" w:cs="宋体"/>
          <w:color w:val="auto"/>
          <w:kern w:val="0"/>
          <w:sz w:val="24"/>
          <w:szCs w:val="24"/>
        </w:rPr>
        <w:t>事务，并独立履行下列职责：</w:t>
      </w:r>
    </w:p>
    <w:p w14:paraId="75AEB33A">
      <w:pPr>
        <w:keepNext w:val="0"/>
        <w:keepLines w:val="0"/>
        <w:pageBreakBefore w:val="0"/>
        <w:widowControl w:val="0"/>
        <w:shd w:val="clear" w:color="auto" w:fill="FFFFFF"/>
        <w:kinsoku/>
        <w:wordWrap w:val="0"/>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1.审查、评价响应文件是否符合征集文件的商务、技术等实质性要求。</w:t>
      </w:r>
    </w:p>
    <w:p w14:paraId="532801E2">
      <w:pPr>
        <w:keepNext w:val="0"/>
        <w:keepLines w:val="0"/>
        <w:pageBreakBefore w:val="0"/>
        <w:widowControl w:val="0"/>
        <w:shd w:val="clear" w:color="auto" w:fill="FFFFFF"/>
        <w:kinsoku/>
        <w:wordWrap w:val="0"/>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2.要求供应商对响应文件有关事项做出澄清或者说明。</w:t>
      </w:r>
    </w:p>
    <w:p w14:paraId="438D842C">
      <w:pPr>
        <w:keepNext w:val="0"/>
        <w:keepLines w:val="0"/>
        <w:pageBreakBefore w:val="0"/>
        <w:widowControl w:val="0"/>
        <w:shd w:val="clear" w:color="auto" w:fill="FFFFFF"/>
        <w:kinsoku/>
        <w:wordWrap w:val="0"/>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3.对响应文件进行比较和评价。</w:t>
      </w:r>
    </w:p>
    <w:p w14:paraId="7C0041B2">
      <w:pPr>
        <w:keepNext w:val="0"/>
        <w:keepLines w:val="0"/>
        <w:pageBreakBefore w:val="0"/>
        <w:widowControl w:val="0"/>
        <w:shd w:val="clear" w:color="auto" w:fill="FFFFFF"/>
        <w:kinsoku/>
        <w:wordWrap w:val="0"/>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4.确定入围供应商名单，以及根据征集人委托直接确定入围供应商。</w:t>
      </w:r>
    </w:p>
    <w:p w14:paraId="496A467E">
      <w:pPr>
        <w:keepNext w:val="0"/>
        <w:keepLines w:val="0"/>
        <w:pageBreakBefore w:val="0"/>
        <w:widowControl w:val="0"/>
        <w:shd w:val="clear" w:color="auto" w:fill="FFFFFF"/>
        <w:kinsoku/>
        <w:wordWrap w:val="0"/>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5.向征集人、集中采购机构或者有关部门报告评</w:t>
      </w:r>
      <w:r>
        <w:rPr>
          <w:rFonts w:hint="eastAsia" w:ascii="宋体" w:hAnsi="宋体" w:cs="宋体"/>
          <w:color w:val="auto"/>
          <w:sz w:val="24"/>
          <w:szCs w:val="24"/>
          <w:highlight w:val="none"/>
          <w:lang w:eastAsia="zh-CN"/>
        </w:rPr>
        <w:t>审</w:t>
      </w:r>
      <w:r>
        <w:rPr>
          <w:rFonts w:hint="eastAsia" w:ascii="宋体" w:hAnsi="宋体" w:eastAsia="宋体" w:cs="宋体"/>
          <w:color w:val="auto"/>
          <w:kern w:val="0"/>
          <w:sz w:val="24"/>
          <w:szCs w:val="24"/>
        </w:rPr>
        <w:t>中发现的违法行为。</w:t>
      </w:r>
    </w:p>
    <w:p w14:paraId="6F201477">
      <w:pPr>
        <w:keepNext w:val="0"/>
        <w:keepLines w:val="0"/>
        <w:pageBreakBefore w:val="0"/>
        <w:widowControl w:val="0"/>
        <w:shd w:val="clear" w:color="auto" w:fill="FFFFFF"/>
        <w:kinsoku/>
        <w:wordWrap w:val="0"/>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除征集人代表、评</w:t>
      </w:r>
      <w:r>
        <w:rPr>
          <w:rFonts w:hint="eastAsia" w:ascii="宋体" w:hAnsi="宋体" w:cs="宋体"/>
          <w:color w:val="auto"/>
          <w:sz w:val="24"/>
          <w:szCs w:val="24"/>
          <w:highlight w:val="none"/>
          <w:lang w:eastAsia="zh-CN"/>
        </w:rPr>
        <w:t>审</w:t>
      </w:r>
      <w:r>
        <w:rPr>
          <w:rFonts w:hint="eastAsia" w:ascii="宋体" w:hAnsi="宋体" w:eastAsia="宋体" w:cs="宋体"/>
          <w:b w:val="0"/>
          <w:bCs/>
          <w:color w:val="auto"/>
          <w:kern w:val="0"/>
          <w:sz w:val="24"/>
          <w:szCs w:val="24"/>
        </w:rPr>
        <w:t>现场组织人员外</w:t>
      </w: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征集人的其他工作人员以及与评</w:t>
      </w:r>
      <w:r>
        <w:rPr>
          <w:rFonts w:hint="eastAsia" w:ascii="宋体" w:hAnsi="宋体" w:cs="宋体"/>
          <w:color w:val="auto"/>
          <w:sz w:val="24"/>
          <w:szCs w:val="24"/>
          <w:highlight w:val="none"/>
          <w:lang w:eastAsia="zh-CN"/>
        </w:rPr>
        <w:t>审</w:t>
      </w:r>
      <w:r>
        <w:rPr>
          <w:rFonts w:hint="eastAsia" w:ascii="宋体" w:hAnsi="宋体" w:eastAsia="宋体" w:cs="宋体"/>
          <w:b w:val="0"/>
          <w:bCs/>
          <w:color w:val="auto"/>
          <w:kern w:val="0"/>
          <w:sz w:val="24"/>
          <w:szCs w:val="24"/>
        </w:rPr>
        <w:t>工作无关的人员不得进入评</w:t>
      </w:r>
      <w:r>
        <w:rPr>
          <w:rFonts w:hint="eastAsia" w:ascii="宋体" w:hAnsi="宋体" w:cs="宋体"/>
          <w:color w:val="auto"/>
          <w:sz w:val="24"/>
          <w:szCs w:val="24"/>
          <w:highlight w:val="none"/>
          <w:lang w:eastAsia="zh-CN"/>
        </w:rPr>
        <w:t>审</w:t>
      </w:r>
      <w:r>
        <w:rPr>
          <w:rFonts w:hint="eastAsia" w:ascii="宋体" w:hAnsi="宋体" w:eastAsia="宋体" w:cs="宋体"/>
          <w:b w:val="0"/>
          <w:bCs/>
          <w:color w:val="auto"/>
          <w:kern w:val="0"/>
          <w:sz w:val="24"/>
          <w:szCs w:val="24"/>
        </w:rPr>
        <w:t>现场。</w:t>
      </w:r>
    </w:p>
    <w:p w14:paraId="5C2699DD">
      <w:pPr>
        <w:pStyle w:val="18"/>
        <w:keepNext w:val="0"/>
        <w:keepLines w:val="0"/>
        <w:pageBreakBefore w:val="0"/>
        <w:widowControl w:val="0"/>
        <w:kinsoku/>
        <w:wordWrap w:val="0"/>
        <w:overflowPunct/>
        <w:topLinePunct w:val="0"/>
        <w:autoSpaceDE/>
        <w:autoSpaceDN/>
        <w:bidi w:val="0"/>
        <w:adjustRightInd/>
        <w:snapToGrid w:val="0"/>
        <w:spacing w:beforeLines="0" w:afterLines="0" w:line="480" w:lineRule="exact"/>
        <w:ind w:left="788" w:leftChars="228" w:hanging="241" w:hangingChars="1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（二）评</w:t>
      </w:r>
      <w:r>
        <w:rPr>
          <w:rFonts w:hint="eastAsia" w:ascii="宋体" w:hAnsi="宋体" w:cs="宋体"/>
          <w:b/>
          <w:bCs/>
          <w:color w:val="auto"/>
          <w:sz w:val="24"/>
          <w:szCs w:val="24"/>
          <w:highlight w:val="none"/>
          <w:lang w:eastAsia="zh-CN"/>
        </w:rPr>
        <w:t>审</w:t>
      </w:r>
      <w:r>
        <w:rPr>
          <w:rFonts w:hint="eastAsia" w:ascii="宋体" w:hAnsi="宋体" w:eastAsia="宋体" w:cs="宋体"/>
          <w:b/>
          <w:bCs/>
          <w:color w:val="auto"/>
          <w:sz w:val="24"/>
          <w:szCs w:val="24"/>
        </w:rPr>
        <w:t>的</w:t>
      </w:r>
      <w:r>
        <w:rPr>
          <w:rFonts w:hint="eastAsia" w:ascii="宋体" w:hAnsi="宋体" w:eastAsia="宋体" w:cs="宋体"/>
          <w:b/>
          <w:color w:val="auto"/>
          <w:sz w:val="24"/>
          <w:szCs w:val="24"/>
        </w:rPr>
        <w:t>方式</w:t>
      </w:r>
    </w:p>
    <w:p w14:paraId="47EBF77A">
      <w:pPr>
        <w:pStyle w:val="18"/>
        <w:keepNext w:val="0"/>
        <w:keepLines w:val="0"/>
        <w:pageBreakBefore w:val="0"/>
        <w:widowControl w:val="0"/>
        <w:kinsoku/>
        <w:wordWrap w:val="0"/>
        <w:overflowPunct/>
        <w:topLinePunct w:val="0"/>
        <w:autoSpaceDE/>
        <w:autoSpaceDN/>
        <w:bidi w:val="0"/>
        <w:adjustRightInd/>
        <w:snapToGrid w:val="0"/>
        <w:spacing w:beforeLines="0" w:afterLines="0" w:line="480" w:lineRule="exact"/>
        <w:ind w:left="787" w:leftChars="228"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本项目采用不公开方式评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rPr>
        <w:t>，评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rPr>
        <w:t>的依据为征集文件和响应文件。</w:t>
      </w:r>
    </w:p>
    <w:p w14:paraId="60BEB090">
      <w:pPr>
        <w:pStyle w:val="18"/>
        <w:keepNext w:val="0"/>
        <w:keepLines w:val="0"/>
        <w:pageBreakBefore w:val="0"/>
        <w:widowControl w:val="0"/>
        <w:kinsoku/>
        <w:wordWrap w:val="0"/>
        <w:overflowPunct/>
        <w:topLinePunct w:val="0"/>
        <w:autoSpaceDE/>
        <w:autoSpaceDN/>
        <w:bidi w:val="0"/>
        <w:adjustRightInd/>
        <w:snapToGrid w:val="0"/>
        <w:spacing w:beforeLines="0" w:afterLines="0" w:line="480" w:lineRule="exact"/>
        <w:ind w:left="788" w:leftChars="228" w:hanging="241" w:hangingChars="1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bCs/>
          <w:color w:val="auto"/>
          <w:sz w:val="24"/>
          <w:szCs w:val="24"/>
          <w:highlight w:val="none"/>
        </w:rPr>
        <w:t>评审程序</w:t>
      </w:r>
    </w:p>
    <w:p w14:paraId="6B30A52C">
      <w:pPr>
        <w:pStyle w:val="18"/>
        <w:keepNext w:val="0"/>
        <w:keepLines w:val="0"/>
        <w:pageBreakBefore w:val="0"/>
        <w:widowControl w:val="0"/>
        <w:kinsoku/>
        <w:wordWrap w:val="0"/>
        <w:overflowPunct/>
        <w:topLinePunct w:val="0"/>
        <w:autoSpaceDE/>
        <w:autoSpaceDN/>
        <w:bidi w:val="0"/>
        <w:adjustRightInd/>
        <w:snapToGrid w:val="0"/>
        <w:spacing w:beforeLines="0" w:afterLines="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征集人可以在评</w:t>
      </w:r>
      <w:r>
        <w:rPr>
          <w:rFonts w:hint="eastAsia" w:ascii="宋体" w:hAnsi="宋体" w:cs="宋体"/>
          <w:color w:val="auto"/>
          <w:sz w:val="24"/>
          <w:szCs w:val="24"/>
          <w:highlight w:val="none"/>
          <w:lang w:eastAsia="zh-CN"/>
        </w:rPr>
        <w:t>审</w:t>
      </w:r>
      <w:r>
        <w:rPr>
          <w:rFonts w:hint="eastAsia" w:ascii="宋体" w:hAnsi="宋体" w:eastAsia="宋体" w:cs="宋体"/>
          <w:bCs/>
          <w:color w:val="auto"/>
          <w:sz w:val="24"/>
          <w:szCs w:val="24"/>
          <w:highlight w:val="none"/>
        </w:rPr>
        <w:t>前说明项目背景和采购需求，说明内容不得含有歧视性、倾向性意见，不得超出征集文件所述范围。说明应当提交书面材料，并随采购文件一并存档。</w:t>
      </w:r>
    </w:p>
    <w:p w14:paraId="3EDC229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b/>
          <w:color w:val="auto"/>
          <w:szCs w:val="21"/>
        </w:rPr>
      </w:pPr>
      <w:r>
        <w:rPr>
          <w:rFonts w:hint="eastAsia" w:ascii="宋体" w:hAnsi="宋体"/>
          <w:b/>
          <w:color w:val="auto"/>
          <w:szCs w:val="21"/>
        </w:rPr>
        <w:t>1.符合性审查</w:t>
      </w:r>
    </w:p>
    <w:p w14:paraId="551354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bCs/>
          <w:color w:val="auto"/>
          <w:szCs w:val="21"/>
        </w:rPr>
      </w:pPr>
      <w:r>
        <w:rPr>
          <w:rFonts w:ascii="宋体" w:hAnsi="宋体"/>
          <w:bCs/>
          <w:color w:val="auto"/>
          <w:szCs w:val="21"/>
        </w:rPr>
        <w:t>1</w:t>
      </w:r>
      <w:r>
        <w:rPr>
          <w:rFonts w:hint="eastAsia" w:ascii="宋体" w:hAnsi="宋体"/>
          <w:bCs/>
          <w:color w:val="auto"/>
          <w:szCs w:val="21"/>
        </w:rPr>
        <w:t>.1</w:t>
      </w:r>
      <w:r>
        <w:rPr>
          <w:rFonts w:ascii="宋体" w:hAnsi="宋体"/>
          <w:bCs/>
          <w:color w:val="auto"/>
          <w:szCs w:val="21"/>
        </w:rPr>
        <w:t>形式审查</w:t>
      </w:r>
    </w:p>
    <w:p w14:paraId="79E9A7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bCs/>
          <w:color w:val="auto"/>
          <w:szCs w:val="21"/>
        </w:rPr>
      </w:pPr>
      <w:r>
        <w:rPr>
          <w:rFonts w:ascii="宋体" w:hAnsi="宋体"/>
          <w:bCs/>
          <w:color w:val="auto"/>
          <w:szCs w:val="21"/>
        </w:rPr>
        <w:t>形式审查</w:t>
      </w:r>
      <w:r>
        <w:rPr>
          <w:rFonts w:hint="eastAsia" w:ascii="宋体" w:hAnsi="宋体"/>
          <w:bCs/>
          <w:color w:val="auto"/>
          <w:szCs w:val="21"/>
        </w:rPr>
        <w:t>指对供应商的</w:t>
      </w:r>
      <w:r>
        <w:rPr>
          <w:rFonts w:ascii="宋体" w:hAnsi="宋体"/>
          <w:bCs/>
          <w:color w:val="auto"/>
          <w:szCs w:val="21"/>
        </w:rPr>
        <w:t>响应文件的完整性、合法性等进行审查</w:t>
      </w:r>
      <w:r>
        <w:rPr>
          <w:rFonts w:hint="eastAsia" w:ascii="宋体" w:hAnsi="宋体"/>
          <w:bCs/>
          <w:color w:val="auto"/>
          <w:szCs w:val="21"/>
        </w:rPr>
        <w:t>。响应文件形式审查未通过的供应商，其响应文件将不再评审。</w:t>
      </w:r>
    </w:p>
    <w:p w14:paraId="584B821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bCs/>
          <w:color w:val="auto"/>
          <w:szCs w:val="21"/>
        </w:rPr>
      </w:pPr>
      <w:r>
        <w:rPr>
          <w:rFonts w:hint="eastAsia" w:ascii="宋体" w:hAnsi="宋体"/>
          <w:bCs/>
          <w:color w:val="auto"/>
          <w:szCs w:val="21"/>
        </w:rPr>
        <w:t>1.2</w:t>
      </w:r>
      <w:r>
        <w:rPr>
          <w:rFonts w:hint="eastAsia" w:ascii="宋体" w:hAnsi="宋体"/>
          <w:color w:val="auto"/>
          <w:szCs w:val="21"/>
        </w:rPr>
        <w:t>实质性审查</w:t>
      </w:r>
    </w:p>
    <w:p w14:paraId="074FF6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Cs w:val="21"/>
        </w:rPr>
      </w:pPr>
      <w:r>
        <w:rPr>
          <w:rFonts w:hint="eastAsia" w:ascii="宋体" w:hAnsi="宋体"/>
          <w:color w:val="auto"/>
          <w:szCs w:val="21"/>
        </w:rPr>
        <w:t>1.2.1</w:t>
      </w:r>
      <w:r>
        <w:rPr>
          <w:rFonts w:ascii="宋体" w:hAnsi="宋体"/>
          <w:color w:val="auto"/>
          <w:szCs w:val="21"/>
        </w:rPr>
        <w:t>评</w:t>
      </w:r>
      <w:r>
        <w:rPr>
          <w:rFonts w:hint="eastAsia" w:ascii="宋体" w:hAnsi="宋体" w:cs="宋体"/>
          <w:color w:val="auto"/>
          <w:sz w:val="24"/>
          <w:szCs w:val="24"/>
          <w:highlight w:val="none"/>
          <w:lang w:eastAsia="zh-CN"/>
        </w:rPr>
        <w:t>审</w:t>
      </w:r>
      <w:r>
        <w:rPr>
          <w:rFonts w:ascii="宋体" w:hAnsi="宋体"/>
          <w:color w:val="auto"/>
          <w:szCs w:val="21"/>
        </w:rPr>
        <w:t>委员会审查响应文件的实质性内容是否符合征集文件的实质性要求。</w:t>
      </w:r>
    </w:p>
    <w:p w14:paraId="34CB730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b/>
          <w:color w:val="auto"/>
          <w:szCs w:val="21"/>
        </w:rPr>
      </w:pPr>
      <w:r>
        <w:rPr>
          <w:rFonts w:hint="eastAsia" w:ascii="宋体" w:hAnsi="宋体"/>
          <w:b/>
          <w:color w:val="auto"/>
          <w:szCs w:val="21"/>
        </w:rPr>
        <w:t>2.比较与评价</w:t>
      </w:r>
    </w:p>
    <w:p w14:paraId="00FB591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auto"/>
          <w:szCs w:val="21"/>
        </w:rPr>
      </w:pPr>
      <w:r>
        <w:rPr>
          <w:rFonts w:hint="eastAsia" w:ascii="宋体" w:hAnsi="宋体"/>
          <w:color w:val="auto"/>
          <w:szCs w:val="21"/>
        </w:rPr>
        <w:t>2.1评</w:t>
      </w:r>
      <w:r>
        <w:rPr>
          <w:rFonts w:hint="eastAsia" w:ascii="宋体" w:hAnsi="宋体" w:cs="宋体"/>
          <w:color w:val="auto"/>
          <w:sz w:val="24"/>
          <w:szCs w:val="24"/>
          <w:highlight w:val="none"/>
          <w:lang w:eastAsia="zh-CN"/>
        </w:rPr>
        <w:t>审</w:t>
      </w:r>
      <w:r>
        <w:rPr>
          <w:rFonts w:hint="eastAsia" w:ascii="宋体" w:hAnsi="宋体"/>
          <w:color w:val="auto"/>
          <w:szCs w:val="21"/>
        </w:rPr>
        <w:t>委员会按评</w:t>
      </w:r>
      <w:r>
        <w:rPr>
          <w:rFonts w:hint="eastAsia" w:ascii="宋体" w:hAnsi="宋体" w:cs="宋体"/>
          <w:color w:val="auto"/>
          <w:sz w:val="24"/>
          <w:szCs w:val="24"/>
          <w:highlight w:val="none"/>
          <w:lang w:eastAsia="zh-CN"/>
        </w:rPr>
        <w:t>审</w:t>
      </w:r>
      <w:r>
        <w:rPr>
          <w:rFonts w:hint="eastAsia" w:ascii="宋体" w:hAnsi="宋体"/>
          <w:color w:val="auto"/>
          <w:szCs w:val="21"/>
        </w:rPr>
        <w:t>办法和评分标准，对有效响应文件进行技术、商务资信比较与评价。</w:t>
      </w:r>
    </w:p>
    <w:p w14:paraId="76C187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auto"/>
          <w:szCs w:val="21"/>
        </w:rPr>
      </w:pPr>
      <w:r>
        <w:rPr>
          <w:rFonts w:hint="eastAsia" w:ascii="宋体" w:hAnsi="宋体"/>
          <w:color w:val="auto"/>
          <w:szCs w:val="21"/>
        </w:rPr>
        <w:t>2.2各供应商的技术分和商务资信分按照评</w:t>
      </w:r>
      <w:r>
        <w:rPr>
          <w:rFonts w:hint="eastAsia" w:ascii="宋体" w:hAnsi="宋体" w:cs="宋体"/>
          <w:color w:val="auto"/>
          <w:sz w:val="24"/>
          <w:szCs w:val="24"/>
          <w:highlight w:val="none"/>
          <w:lang w:eastAsia="zh-CN"/>
        </w:rPr>
        <w:t>审</w:t>
      </w:r>
      <w:r>
        <w:rPr>
          <w:rFonts w:hint="eastAsia" w:ascii="宋体" w:hAnsi="宋体"/>
          <w:color w:val="auto"/>
          <w:szCs w:val="21"/>
        </w:rPr>
        <w:t>委员会成员的独立评分结果汇总后的算术平均分计算。</w:t>
      </w:r>
    </w:p>
    <w:p w14:paraId="3744960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auto"/>
          <w:szCs w:val="21"/>
        </w:rPr>
      </w:pPr>
      <w:r>
        <w:rPr>
          <w:rFonts w:hint="eastAsia" w:ascii="宋体" w:hAnsi="宋体"/>
          <w:color w:val="auto"/>
          <w:szCs w:val="21"/>
        </w:rPr>
        <w:t>2.3征集人协助评</w:t>
      </w:r>
      <w:r>
        <w:rPr>
          <w:rFonts w:hint="eastAsia" w:ascii="宋体" w:hAnsi="宋体" w:cs="宋体"/>
          <w:color w:val="auto"/>
          <w:sz w:val="24"/>
          <w:szCs w:val="24"/>
          <w:highlight w:val="none"/>
          <w:lang w:eastAsia="zh-CN"/>
        </w:rPr>
        <w:t>审</w:t>
      </w:r>
      <w:r>
        <w:rPr>
          <w:rFonts w:hint="eastAsia" w:ascii="宋体" w:hAnsi="宋体"/>
          <w:color w:val="auto"/>
          <w:szCs w:val="21"/>
        </w:rPr>
        <w:t>委员会根据本项目的评分标准操作政府采购业务系统，由系统计算各供应商的报价得分。</w:t>
      </w:r>
    </w:p>
    <w:p w14:paraId="135A99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auto"/>
          <w:szCs w:val="21"/>
        </w:rPr>
      </w:pPr>
      <w:r>
        <w:rPr>
          <w:rFonts w:hint="eastAsia" w:ascii="宋体" w:hAnsi="宋体"/>
          <w:color w:val="auto"/>
          <w:szCs w:val="21"/>
        </w:rPr>
        <w:t>2.4</w:t>
      </w:r>
      <w:r>
        <w:rPr>
          <w:rFonts w:ascii="宋体" w:hAnsi="宋体"/>
          <w:color w:val="auto"/>
          <w:szCs w:val="21"/>
        </w:rPr>
        <w:t>评</w:t>
      </w:r>
      <w:r>
        <w:rPr>
          <w:rFonts w:hint="eastAsia" w:ascii="宋体" w:hAnsi="宋体" w:cs="宋体"/>
          <w:color w:val="auto"/>
          <w:sz w:val="24"/>
          <w:szCs w:val="24"/>
          <w:highlight w:val="none"/>
          <w:lang w:eastAsia="zh-CN"/>
        </w:rPr>
        <w:t>审</w:t>
      </w:r>
      <w:r>
        <w:rPr>
          <w:rFonts w:ascii="宋体" w:hAnsi="宋体"/>
          <w:color w:val="auto"/>
          <w:szCs w:val="21"/>
        </w:rPr>
        <w:t>委员会完成评</w:t>
      </w:r>
      <w:r>
        <w:rPr>
          <w:rFonts w:hint="eastAsia" w:ascii="宋体" w:hAnsi="宋体" w:cs="宋体"/>
          <w:color w:val="auto"/>
          <w:sz w:val="24"/>
          <w:szCs w:val="24"/>
          <w:highlight w:val="none"/>
          <w:lang w:eastAsia="zh-CN"/>
        </w:rPr>
        <w:t>审</w:t>
      </w:r>
      <w:r>
        <w:rPr>
          <w:rFonts w:ascii="宋体" w:hAnsi="宋体"/>
          <w:color w:val="auto"/>
          <w:szCs w:val="21"/>
        </w:rPr>
        <w:t>后，评委对各部分得分汇总，计算出本项目得分。评</w:t>
      </w:r>
      <w:r>
        <w:rPr>
          <w:rFonts w:hint="eastAsia" w:ascii="宋体" w:hAnsi="宋体" w:cs="宋体"/>
          <w:color w:val="auto"/>
          <w:sz w:val="24"/>
          <w:szCs w:val="24"/>
          <w:highlight w:val="none"/>
          <w:lang w:eastAsia="zh-CN"/>
        </w:rPr>
        <w:t>审</w:t>
      </w:r>
      <w:r>
        <w:rPr>
          <w:rFonts w:ascii="宋体" w:hAnsi="宋体"/>
          <w:color w:val="auto"/>
          <w:szCs w:val="21"/>
        </w:rPr>
        <w:t>委员会按评</w:t>
      </w:r>
      <w:r>
        <w:rPr>
          <w:rFonts w:hint="eastAsia" w:ascii="宋体" w:hAnsi="宋体" w:cs="宋体"/>
          <w:color w:val="auto"/>
          <w:sz w:val="24"/>
          <w:szCs w:val="24"/>
          <w:highlight w:val="none"/>
          <w:lang w:eastAsia="zh-CN"/>
        </w:rPr>
        <w:t>审</w:t>
      </w:r>
      <w:r>
        <w:rPr>
          <w:rFonts w:ascii="宋体" w:hAnsi="宋体"/>
          <w:color w:val="auto"/>
          <w:szCs w:val="21"/>
        </w:rPr>
        <w:t>原则推荐中标(入围)候选人同时起草评</w:t>
      </w:r>
      <w:r>
        <w:rPr>
          <w:rFonts w:hint="eastAsia" w:ascii="宋体" w:hAnsi="宋体" w:cs="宋体"/>
          <w:color w:val="auto"/>
          <w:sz w:val="24"/>
          <w:szCs w:val="24"/>
          <w:highlight w:val="none"/>
          <w:lang w:eastAsia="zh-CN"/>
        </w:rPr>
        <w:t>审</w:t>
      </w:r>
      <w:r>
        <w:rPr>
          <w:rFonts w:ascii="宋体" w:hAnsi="宋体"/>
          <w:color w:val="auto"/>
          <w:szCs w:val="21"/>
        </w:rPr>
        <w:t>报告。</w:t>
      </w:r>
    </w:p>
    <w:p w14:paraId="4B657ADA">
      <w:pPr>
        <w:keepNext w:val="0"/>
        <w:keepLines w:val="0"/>
        <w:pageBreakBefore w:val="0"/>
        <w:widowControl w:val="0"/>
        <w:kinsoku/>
        <w:wordWrap w:val="0"/>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（四）澄清问题的形式</w:t>
      </w:r>
    </w:p>
    <w:p w14:paraId="7795D500">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对响应文件中含义不明确、同类问题表述不一致或者有明显文字和计算错误的内容，评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rPr>
        <w:t>委员会可要求供应商作出必要的澄清、说明或者纠正。</w:t>
      </w:r>
    </w:p>
    <w:p w14:paraId="54549EC8">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rPr>
        <w:t>委员会可以在“政采云”平台在线询标或其他有效形式要求供应商对同一份响应文件含义不明确或同类问题表述不一致的内容（征集文件其他地方有规定处理方法的除外）作必要的澄清或说明。供应商应采用在线回复在</w:t>
      </w:r>
      <w:r>
        <w:rPr>
          <w:rFonts w:hint="eastAsia" w:ascii="宋体" w:hAnsi="宋体" w:cs="宋体"/>
          <w:color w:val="auto"/>
          <w:sz w:val="24"/>
          <w:szCs w:val="24"/>
          <w:lang w:val="en-US" w:eastAsia="zh-CN"/>
        </w:rPr>
        <w:t>规定时间</w:t>
      </w:r>
      <w:r>
        <w:rPr>
          <w:rFonts w:hint="eastAsia" w:ascii="宋体" w:hAnsi="宋体" w:eastAsia="宋体" w:cs="宋体"/>
          <w:color w:val="auto"/>
          <w:sz w:val="24"/>
          <w:szCs w:val="24"/>
        </w:rPr>
        <w:t>内进行澄清或说明，但不得超出响应文件的范围或改变响应文件的实质性内容。凡属于评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rPr>
        <w:t>委员会在评标中发现的计算错误并进行核实的修改不在此列。</w:t>
      </w:r>
    </w:p>
    <w:p w14:paraId="126F4869">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2.如果供应商代表拒绝或未按评</w:t>
      </w:r>
      <w:r>
        <w:rPr>
          <w:rFonts w:hint="eastAsia" w:ascii="宋体" w:hAnsi="宋体" w:cs="宋体"/>
          <w:color w:val="auto"/>
          <w:sz w:val="24"/>
          <w:szCs w:val="24"/>
          <w:lang w:eastAsia="zh-CN"/>
        </w:rPr>
        <w:t>审</w:t>
      </w:r>
      <w:r>
        <w:rPr>
          <w:rFonts w:hint="eastAsia" w:ascii="宋体" w:hAnsi="宋体" w:eastAsia="宋体" w:cs="宋体"/>
          <w:color w:val="auto"/>
          <w:sz w:val="24"/>
          <w:szCs w:val="24"/>
        </w:rPr>
        <w:t>委员会要求在</w:t>
      </w:r>
      <w:r>
        <w:rPr>
          <w:rFonts w:hint="eastAsia" w:ascii="宋体" w:hAnsi="宋体" w:eastAsia="宋体" w:cs="宋体"/>
          <w:color w:val="auto"/>
          <w:sz w:val="24"/>
          <w:szCs w:val="24"/>
          <w:lang w:eastAsia="zh-CN"/>
        </w:rPr>
        <w:t>规定时间内</w:t>
      </w:r>
      <w:r>
        <w:rPr>
          <w:rFonts w:hint="eastAsia" w:ascii="宋体" w:hAnsi="宋体" w:eastAsia="宋体" w:cs="宋体"/>
          <w:color w:val="auto"/>
          <w:sz w:val="24"/>
          <w:szCs w:val="24"/>
        </w:rPr>
        <w:t>作出在线回复且无其他有效回复方式的，评</w:t>
      </w:r>
      <w:r>
        <w:rPr>
          <w:rFonts w:hint="eastAsia" w:ascii="宋体" w:hAnsi="宋体" w:cs="宋体"/>
          <w:color w:val="auto"/>
          <w:sz w:val="24"/>
          <w:szCs w:val="24"/>
          <w:lang w:eastAsia="zh-CN"/>
        </w:rPr>
        <w:t>审</w:t>
      </w:r>
      <w:r>
        <w:rPr>
          <w:rFonts w:hint="eastAsia" w:ascii="宋体" w:hAnsi="宋体" w:eastAsia="宋体" w:cs="宋体"/>
          <w:color w:val="auto"/>
          <w:sz w:val="24"/>
          <w:szCs w:val="24"/>
        </w:rPr>
        <w:t>委员会可以对其作出</w:t>
      </w:r>
      <w:r>
        <w:rPr>
          <w:rFonts w:hint="eastAsia" w:ascii="宋体" w:hAnsi="宋体" w:eastAsia="宋体" w:cs="宋体"/>
          <w:color w:val="auto"/>
          <w:sz w:val="24"/>
          <w:szCs w:val="24"/>
          <w:lang w:eastAsia="zh-CN"/>
        </w:rPr>
        <w:t>不利判定</w:t>
      </w:r>
      <w:r>
        <w:rPr>
          <w:rFonts w:hint="eastAsia" w:ascii="宋体" w:hAnsi="宋体" w:eastAsia="宋体" w:cs="宋体"/>
          <w:color w:val="auto"/>
          <w:sz w:val="24"/>
          <w:szCs w:val="24"/>
        </w:rPr>
        <w:t>。</w:t>
      </w:r>
    </w:p>
    <w:p w14:paraId="3DCFFC95">
      <w:pPr>
        <w:pStyle w:val="18"/>
        <w:keepNext w:val="0"/>
        <w:keepLines w:val="0"/>
        <w:pageBreakBefore w:val="0"/>
        <w:widowControl w:val="0"/>
        <w:tabs>
          <w:tab w:val="left" w:pos="630"/>
        </w:tabs>
        <w:kinsoku/>
        <w:wordWrap w:val="0"/>
        <w:overflowPunct/>
        <w:topLinePunct w:val="0"/>
        <w:autoSpaceDE/>
        <w:autoSpaceDN/>
        <w:bidi w:val="0"/>
        <w:adjustRightInd/>
        <w:snapToGrid w:val="0"/>
        <w:spacing w:beforeLines="0" w:afterLines="0" w:line="480" w:lineRule="exact"/>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（五）评</w:t>
      </w:r>
      <w:r>
        <w:rPr>
          <w:rFonts w:hint="eastAsia" w:hAnsi="宋体" w:cs="宋体"/>
          <w:b/>
          <w:color w:val="auto"/>
          <w:sz w:val="24"/>
          <w:szCs w:val="24"/>
          <w:lang w:eastAsia="zh-CN"/>
        </w:rPr>
        <w:t>审</w:t>
      </w:r>
      <w:r>
        <w:rPr>
          <w:rFonts w:hint="eastAsia" w:ascii="宋体" w:hAnsi="宋体" w:eastAsia="宋体" w:cs="宋体"/>
          <w:b/>
          <w:color w:val="auto"/>
          <w:sz w:val="24"/>
          <w:szCs w:val="24"/>
        </w:rPr>
        <w:t>原则和评</w:t>
      </w:r>
      <w:r>
        <w:rPr>
          <w:rFonts w:hint="eastAsia" w:hAnsi="宋体" w:cs="宋体"/>
          <w:b/>
          <w:color w:val="auto"/>
          <w:sz w:val="24"/>
          <w:szCs w:val="24"/>
          <w:lang w:eastAsia="zh-CN"/>
        </w:rPr>
        <w:t>审</w:t>
      </w:r>
      <w:r>
        <w:rPr>
          <w:rFonts w:hint="eastAsia" w:ascii="宋体" w:hAnsi="宋体" w:eastAsia="宋体" w:cs="宋体"/>
          <w:b/>
          <w:color w:val="auto"/>
          <w:sz w:val="24"/>
          <w:szCs w:val="24"/>
        </w:rPr>
        <w:t>办法</w:t>
      </w:r>
    </w:p>
    <w:p w14:paraId="7F6F6B4A">
      <w:pPr>
        <w:pStyle w:val="18"/>
        <w:keepNext w:val="0"/>
        <w:keepLines w:val="0"/>
        <w:pageBreakBefore w:val="0"/>
        <w:widowControl w:val="0"/>
        <w:kinsoku/>
        <w:wordWrap w:val="0"/>
        <w:overflowPunct/>
        <w:topLinePunct w:val="0"/>
        <w:autoSpaceDE/>
        <w:autoSpaceDN/>
        <w:bidi w:val="0"/>
        <w:adjustRightInd/>
        <w:snapToGrid w:val="0"/>
        <w:spacing w:beforeLines="0" w:afterLines="0"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w:t>
      </w:r>
      <w:r>
        <w:rPr>
          <w:rFonts w:hint="eastAsia" w:hAnsi="宋体" w:cs="宋体"/>
          <w:color w:val="auto"/>
          <w:sz w:val="24"/>
          <w:szCs w:val="24"/>
          <w:lang w:eastAsia="zh-CN"/>
        </w:rPr>
        <w:t>审</w:t>
      </w:r>
      <w:r>
        <w:rPr>
          <w:rFonts w:hint="eastAsia" w:ascii="宋体" w:hAnsi="宋体" w:eastAsia="宋体" w:cs="宋体"/>
          <w:color w:val="auto"/>
          <w:sz w:val="24"/>
          <w:szCs w:val="24"/>
        </w:rPr>
        <w:t>原则。评</w:t>
      </w:r>
      <w:r>
        <w:rPr>
          <w:rFonts w:hint="eastAsia" w:hAnsi="宋体" w:cs="宋体"/>
          <w:color w:val="auto"/>
          <w:sz w:val="24"/>
          <w:szCs w:val="24"/>
          <w:lang w:eastAsia="zh-CN"/>
        </w:rPr>
        <w:t>审</w:t>
      </w:r>
      <w:r>
        <w:rPr>
          <w:rFonts w:hint="eastAsia" w:ascii="宋体" w:hAnsi="宋体" w:eastAsia="宋体" w:cs="宋体"/>
          <w:color w:val="auto"/>
          <w:sz w:val="24"/>
          <w:szCs w:val="24"/>
        </w:rPr>
        <w:t>委员会必须公平、公正、客观，不带任何倾向性和启发性；不得向外界透露任何与评标有关的内容；任何单位和个人不得干扰、影响评</w:t>
      </w:r>
      <w:r>
        <w:rPr>
          <w:rFonts w:hint="eastAsia" w:hAnsi="宋体" w:cs="宋体"/>
          <w:color w:val="auto"/>
          <w:sz w:val="24"/>
          <w:szCs w:val="24"/>
          <w:lang w:eastAsia="zh-CN"/>
        </w:rPr>
        <w:t>审</w:t>
      </w:r>
      <w:r>
        <w:rPr>
          <w:rFonts w:hint="eastAsia" w:ascii="宋体" w:hAnsi="宋体" w:eastAsia="宋体" w:cs="宋体"/>
          <w:color w:val="auto"/>
          <w:sz w:val="24"/>
          <w:szCs w:val="24"/>
        </w:rPr>
        <w:t>的正常进行；评</w:t>
      </w:r>
      <w:r>
        <w:rPr>
          <w:rFonts w:hint="eastAsia" w:hAnsi="宋体" w:cs="宋体"/>
          <w:color w:val="auto"/>
          <w:sz w:val="24"/>
          <w:szCs w:val="24"/>
          <w:lang w:eastAsia="zh-CN"/>
        </w:rPr>
        <w:t>审</w:t>
      </w:r>
      <w:r>
        <w:rPr>
          <w:rFonts w:hint="eastAsia" w:ascii="宋体" w:hAnsi="宋体" w:eastAsia="宋体" w:cs="宋体"/>
          <w:color w:val="auto"/>
          <w:sz w:val="24"/>
          <w:szCs w:val="24"/>
        </w:rPr>
        <w:t>委员会及有关工作人员不得私下与供应商接触。</w:t>
      </w:r>
    </w:p>
    <w:p w14:paraId="2BF92402">
      <w:pPr>
        <w:pStyle w:val="18"/>
        <w:keepNext w:val="0"/>
        <w:keepLines w:val="0"/>
        <w:pageBreakBefore w:val="0"/>
        <w:widowControl w:val="0"/>
        <w:kinsoku/>
        <w:wordWrap w:val="0"/>
        <w:overflowPunct/>
        <w:topLinePunct w:val="0"/>
        <w:autoSpaceDE/>
        <w:autoSpaceDN/>
        <w:bidi w:val="0"/>
        <w:adjustRightInd/>
        <w:snapToGrid w:val="0"/>
        <w:spacing w:beforeLines="0" w:afterLines="0"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w:t>
      </w:r>
      <w:r>
        <w:rPr>
          <w:rFonts w:hint="eastAsia" w:hAnsi="宋体" w:cs="宋体"/>
          <w:color w:val="auto"/>
          <w:sz w:val="24"/>
          <w:szCs w:val="24"/>
          <w:lang w:val="en-US" w:eastAsia="zh-CN"/>
        </w:rPr>
        <w:t>审</w:t>
      </w:r>
      <w:r>
        <w:rPr>
          <w:rFonts w:hint="eastAsia" w:ascii="宋体" w:hAnsi="宋体" w:eastAsia="宋体" w:cs="宋体"/>
          <w:color w:val="auto"/>
          <w:sz w:val="24"/>
          <w:szCs w:val="24"/>
        </w:rPr>
        <w:t>办法。本项目评</w:t>
      </w:r>
      <w:r>
        <w:rPr>
          <w:rFonts w:hint="eastAsia" w:hAnsi="宋体" w:cs="宋体"/>
          <w:color w:val="auto"/>
          <w:sz w:val="24"/>
          <w:szCs w:val="24"/>
          <w:lang w:eastAsia="zh-CN"/>
        </w:rPr>
        <w:t>审</w:t>
      </w:r>
      <w:r>
        <w:rPr>
          <w:rFonts w:hint="eastAsia" w:ascii="宋体" w:hAnsi="宋体" w:eastAsia="宋体" w:cs="宋体"/>
          <w:color w:val="auto"/>
          <w:sz w:val="24"/>
          <w:szCs w:val="24"/>
        </w:rPr>
        <w:t>办法是质量优先法，具体评</w:t>
      </w:r>
      <w:r>
        <w:rPr>
          <w:rFonts w:hint="eastAsia" w:hAnsi="宋体" w:cs="宋体"/>
          <w:color w:val="auto"/>
          <w:sz w:val="24"/>
          <w:szCs w:val="24"/>
          <w:lang w:eastAsia="zh-CN"/>
        </w:rPr>
        <w:t>审</w:t>
      </w:r>
      <w:r>
        <w:rPr>
          <w:rFonts w:hint="eastAsia" w:ascii="宋体" w:hAnsi="宋体" w:eastAsia="宋体" w:cs="宋体"/>
          <w:color w:val="auto"/>
          <w:sz w:val="24"/>
          <w:szCs w:val="24"/>
        </w:rPr>
        <w:t>内容及评分标准等详见《第四章：评</w:t>
      </w:r>
      <w:r>
        <w:rPr>
          <w:rFonts w:hint="eastAsia" w:hAnsi="宋体" w:cs="宋体"/>
          <w:color w:val="auto"/>
          <w:sz w:val="24"/>
          <w:szCs w:val="24"/>
          <w:lang w:eastAsia="zh-CN"/>
        </w:rPr>
        <w:t>审</w:t>
      </w:r>
      <w:r>
        <w:rPr>
          <w:rFonts w:hint="eastAsia" w:ascii="宋体" w:hAnsi="宋体" w:eastAsia="宋体" w:cs="宋体"/>
          <w:color w:val="auto"/>
          <w:sz w:val="24"/>
          <w:szCs w:val="24"/>
        </w:rPr>
        <w:t>办法及评分标准》。</w:t>
      </w:r>
    </w:p>
    <w:p w14:paraId="6E8C4611">
      <w:pPr>
        <w:pStyle w:val="18"/>
        <w:keepNext w:val="0"/>
        <w:keepLines w:val="0"/>
        <w:pageBreakBefore w:val="0"/>
        <w:widowControl w:val="0"/>
        <w:kinsoku/>
        <w:wordWrap w:val="0"/>
        <w:overflowPunct/>
        <w:topLinePunct w:val="0"/>
        <w:autoSpaceDE/>
        <w:autoSpaceDN/>
        <w:bidi w:val="0"/>
        <w:adjustRightInd/>
        <w:snapToGrid w:val="0"/>
        <w:spacing w:beforeLines="0" w:afterLines="0" w:line="480" w:lineRule="exact"/>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（六）评</w:t>
      </w:r>
      <w:r>
        <w:rPr>
          <w:rFonts w:hint="eastAsia" w:hAnsi="宋体" w:cs="宋体"/>
          <w:b/>
          <w:color w:val="auto"/>
          <w:sz w:val="24"/>
          <w:szCs w:val="24"/>
          <w:lang w:eastAsia="zh-CN"/>
        </w:rPr>
        <w:t>审</w:t>
      </w:r>
      <w:r>
        <w:rPr>
          <w:rFonts w:hint="eastAsia" w:ascii="宋体" w:hAnsi="宋体" w:eastAsia="宋体" w:cs="宋体"/>
          <w:b/>
          <w:color w:val="auto"/>
          <w:sz w:val="24"/>
          <w:szCs w:val="24"/>
        </w:rPr>
        <w:t>过程的监控</w:t>
      </w:r>
    </w:p>
    <w:p w14:paraId="7B31DAD3">
      <w:pPr>
        <w:pStyle w:val="18"/>
        <w:keepNext w:val="0"/>
        <w:keepLines w:val="0"/>
        <w:pageBreakBefore w:val="0"/>
        <w:widowControl w:val="0"/>
        <w:kinsoku/>
        <w:wordWrap w:val="0"/>
        <w:overflowPunct/>
        <w:topLinePunct w:val="0"/>
        <w:autoSpaceDE/>
        <w:autoSpaceDN/>
        <w:bidi w:val="0"/>
        <w:adjustRightInd/>
        <w:snapToGrid w:val="0"/>
        <w:spacing w:beforeLines="0" w:afterLines="0"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本项目评</w:t>
      </w:r>
      <w:r>
        <w:rPr>
          <w:rFonts w:hint="eastAsia" w:hAnsi="宋体" w:cs="宋体"/>
          <w:color w:val="auto"/>
          <w:sz w:val="24"/>
          <w:szCs w:val="24"/>
          <w:lang w:eastAsia="zh-CN"/>
        </w:rPr>
        <w:t>审</w:t>
      </w:r>
      <w:r>
        <w:rPr>
          <w:rFonts w:hint="eastAsia" w:ascii="宋体" w:hAnsi="宋体" w:eastAsia="宋体" w:cs="宋体"/>
          <w:color w:val="auto"/>
          <w:sz w:val="24"/>
          <w:szCs w:val="24"/>
        </w:rPr>
        <w:t>过程实行全程录音、录像监控。供应商在评</w:t>
      </w:r>
      <w:r>
        <w:rPr>
          <w:rFonts w:hint="eastAsia" w:hAnsi="宋体" w:cs="宋体"/>
          <w:color w:val="auto"/>
          <w:sz w:val="24"/>
          <w:szCs w:val="24"/>
          <w:lang w:eastAsia="zh-CN"/>
        </w:rPr>
        <w:t>审</w:t>
      </w:r>
      <w:r>
        <w:rPr>
          <w:rFonts w:hint="eastAsia" w:ascii="宋体" w:hAnsi="宋体" w:eastAsia="宋体" w:cs="宋体"/>
          <w:color w:val="auto"/>
          <w:sz w:val="24"/>
          <w:szCs w:val="24"/>
        </w:rPr>
        <w:t>过程中所进行的试图影响评</w:t>
      </w:r>
      <w:r>
        <w:rPr>
          <w:rFonts w:hint="eastAsia" w:hAnsi="宋体" w:cs="宋体"/>
          <w:color w:val="auto"/>
          <w:sz w:val="24"/>
          <w:szCs w:val="24"/>
          <w:lang w:eastAsia="zh-CN"/>
        </w:rPr>
        <w:t>审</w:t>
      </w:r>
      <w:r>
        <w:rPr>
          <w:rFonts w:hint="eastAsia" w:ascii="宋体" w:hAnsi="宋体" w:eastAsia="宋体" w:cs="宋体"/>
          <w:color w:val="auto"/>
          <w:sz w:val="24"/>
          <w:szCs w:val="24"/>
        </w:rPr>
        <w:t>结果的不公正活动，可能导致其响应被拒绝。</w:t>
      </w:r>
    </w:p>
    <w:p w14:paraId="1941C4B7">
      <w:pPr>
        <w:pStyle w:val="42"/>
        <w:keepNext w:val="0"/>
        <w:keepLines w:val="0"/>
        <w:pageBreakBefore w:val="0"/>
        <w:widowControl w:val="0"/>
        <w:kinsoku/>
        <w:overflowPunct/>
        <w:topLinePunct w:val="0"/>
        <w:autoSpaceDE/>
        <w:autoSpaceDN/>
        <w:bidi w:val="0"/>
        <w:adjustRightInd/>
        <w:spacing w:before="0" w:line="480" w:lineRule="exact"/>
        <w:ind w:left="0" w:leftChars="0" w:firstLine="0" w:firstLineChars="0"/>
        <w:textAlignment w:val="auto"/>
        <w:rPr>
          <w:rFonts w:asciiTheme="majorEastAsia" w:hAnsiTheme="majorEastAsia" w:eastAsiaTheme="majorEastAsia" w:cstheme="majorEastAsia"/>
        </w:rPr>
      </w:pPr>
    </w:p>
    <w:bookmarkEnd w:id="35"/>
    <w:bookmarkEnd w:id="36"/>
    <w:bookmarkEnd w:id="37"/>
    <w:p w14:paraId="2B2F56E6">
      <w:pPr>
        <w:pStyle w:val="6"/>
        <w:jc w:val="center"/>
        <w:rPr>
          <w:rFonts w:hint="eastAsia" w:asciiTheme="majorEastAsia" w:hAnsiTheme="majorEastAsia" w:eastAsiaTheme="majorEastAsia" w:cstheme="majorEastAsia"/>
          <w:b/>
          <w:sz w:val="28"/>
          <w:szCs w:val="36"/>
          <w:lang w:eastAsia="zh-CN"/>
        </w:rPr>
      </w:pPr>
      <w:bookmarkStart w:id="73" w:name="_Toc35352908"/>
      <w:r>
        <w:rPr>
          <w:rFonts w:hint="eastAsia" w:asciiTheme="majorEastAsia" w:hAnsiTheme="majorEastAsia" w:eastAsiaTheme="majorEastAsia" w:cstheme="majorEastAsia"/>
          <w:b/>
          <w:sz w:val="28"/>
          <w:szCs w:val="36"/>
        </w:rPr>
        <w:t>六、</w:t>
      </w:r>
      <w:r>
        <w:rPr>
          <w:rFonts w:hint="eastAsia" w:asciiTheme="majorEastAsia" w:hAnsiTheme="majorEastAsia" w:eastAsiaTheme="majorEastAsia" w:cstheme="majorEastAsia"/>
          <w:b/>
          <w:sz w:val="28"/>
          <w:szCs w:val="36"/>
          <w:lang w:eastAsia="zh-CN"/>
        </w:rPr>
        <w:t>确定入围供应商</w:t>
      </w:r>
    </w:p>
    <w:p w14:paraId="37AC1BFC">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评审结束后，</w:t>
      </w:r>
      <w:r>
        <w:rPr>
          <w:rFonts w:hint="eastAsia" w:ascii="宋体" w:hAnsi="宋体" w:cs="宋体"/>
          <w:color w:val="auto"/>
          <w:sz w:val="24"/>
          <w:szCs w:val="24"/>
          <w:lang w:eastAsia="zh-CN"/>
        </w:rPr>
        <w:t>征集人</w:t>
      </w:r>
      <w:r>
        <w:rPr>
          <w:rFonts w:hint="eastAsia" w:ascii="宋体" w:hAnsi="宋体" w:eastAsia="宋体" w:cs="宋体"/>
          <w:color w:val="auto"/>
          <w:sz w:val="24"/>
          <w:szCs w:val="24"/>
        </w:rPr>
        <w:t>向入围供应商签发《入围通知书》，同时在指定媒体上公告</w:t>
      </w:r>
      <w:r>
        <w:rPr>
          <w:rFonts w:hint="eastAsia" w:ascii="宋体" w:hAnsi="宋体" w:cs="宋体"/>
          <w:color w:val="auto"/>
          <w:sz w:val="24"/>
          <w:szCs w:val="24"/>
          <w:lang w:eastAsia="zh-CN"/>
        </w:rPr>
        <w:t>入围</w:t>
      </w:r>
      <w:r>
        <w:rPr>
          <w:rFonts w:hint="eastAsia" w:ascii="宋体" w:hAnsi="宋体" w:eastAsia="宋体" w:cs="宋体"/>
          <w:color w:val="auto"/>
          <w:sz w:val="24"/>
          <w:szCs w:val="24"/>
        </w:rPr>
        <w:t>结果，该</w:t>
      </w:r>
      <w:r>
        <w:rPr>
          <w:rFonts w:hint="eastAsia" w:ascii="宋体" w:hAnsi="宋体" w:cs="宋体"/>
          <w:color w:val="auto"/>
          <w:sz w:val="24"/>
          <w:szCs w:val="24"/>
          <w:lang w:eastAsia="zh-CN"/>
        </w:rPr>
        <w:t>入围</w:t>
      </w:r>
      <w:r>
        <w:rPr>
          <w:rFonts w:hint="eastAsia" w:ascii="宋体" w:hAnsi="宋体" w:eastAsia="宋体" w:cs="宋体"/>
          <w:color w:val="auto"/>
          <w:sz w:val="24"/>
          <w:szCs w:val="24"/>
        </w:rPr>
        <w:t>结果公告作为向供应商发出的书面通知。</w:t>
      </w:r>
    </w:p>
    <w:p w14:paraId="1180A89C">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如有供应商对评审结果提出质疑的，征集人可在质疑处理完毕后确定入围供应商；如在质疑期内查实入围供应商有违反有关法律法规和本项目征集文件规定和要求的，则取消该供应商的入围资格。</w:t>
      </w:r>
    </w:p>
    <w:p w14:paraId="44C734FA">
      <w:pPr>
        <w:pStyle w:val="6"/>
        <w:jc w:val="center"/>
        <w:rPr>
          <w:rFonts w:hint="eastAsia" w:asciiTheme="majorEastAsia" w:hAnsiTheme="majorEastAsia" w:eastAsiaTheme="majorEastAsia" w:cstheme="majorEastAsia"/>
          <w:b/>
          <w:sz w:val="28"/>
          <w:szCs w:val="36"/>
        </w:rPr>
      </w:pPr>
      <w:r>
        <w:rPr>
          <w:rFonts w:hint="eastAsia" w:asciiTheme="majorEastAsia" w:hAnsiTheme="majorEastAsia" w:eastAsiaTheme="majorEastAsia" w:cstheme="majorEastAsia"/>
          <w:b/>
          <w:sz w:val="28"/>
          <w:szCs w:val="36"/>
        </w:rPr>
        <w:t>七、框架协议</w:t>
      </w:r>
      <w:r>
        <w:rPr>
          <w:rFonts w:hint="eastAsia" w:asciiTheme="majorEastAsia" w:hAnsiTheme="majorEastAsia" w:eastAsiaTheme="majorEastAsia" w:cstheme="majorEastAsia"/>
          <w:b/>
          <w:sz w:val="28"/>
          <w:szCs w:val="36"/>
          <w:lang w:eastAsia="zh-CN"/>
        </w:rPr>
        <w:t>（合同）</w:t>
      </w:r>
      <w:r>
        <w:rPr>
          <w:rFonts w:hint="eastAsia" w:asciiTheme="majorEastAsia" w:hAnsiTheme="majorEastAsia" w:eastAsiaTheme="majorEastAsia" w:cstheme="majorEastAsia"/>
          <w:b/>
          <w:sz w:val="28"/>
          <w:szCs w:val="36"/>
        </w:rPr>
        <w:t>授予</w:t>
      </w:r>
    </w:p>
    <w:p w14:paraId="305EAC1E">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1.征集人与入围供应商应当在《入围通知书》发出之日起30日内签订框架协议</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本项目签订框架协议前，</w:t>
      </w:r>
      <w:r>
        <w:rPr>
          <w:rFonts w:hint="eastAsia" w:ascii="宋体" w:hAnsi="宋体" w:eastAsia="宋体" w:cs="宋体"/>
          <w:b/>
          <w:bCs/>
          <w:color w:val="auto"/>
          <w:sz w:val="24"/>
          <w:szCs w:val="24"/>
        </w:rPr>
        <w:t>征集人</w:t>
      </w:r>
      <w:r>
        <w:rPr>
          <w:rFonts w:hint="eastAsia" w:ascii="宋体" w:hAnsi="宋体" w:cs="宋体"/>
          <w:b/>
          <w:bCs/>
          <w:color w:val="auto"/>
          <w:sz w:val="24"/>
          <w:szCs w:val="24"/>
          <w:lang w:eastAsia="zh-CN"/>
        </w:rPr>
        <w:t>将会同财政部门</w:t>
      </w:r>
      <w:r>
        <w:rPr>
          <w:rFonts w:hint="eastAsia" w:ascii="宋体" w:hAnsi="宋体" w:eastAsia="宋体" w:cs="宋体"/>
          <w:b/>
          <w:bCs/>
          <w:color w:val="auto"/>
          <w:sz w:val="24"/>
          <w:szCs w:val="24"/>
        </w:rPr>
        <w:t>对</w:t>
      </w:r>
      <w:r>
        <w:rPr>
          <w:rFonts w:hint="eastAsia" w:ascii="宋体" w:hAnsi="宋体" w:cs="宋体"/>
          <w:b/>
          <w:bCs/>
          <w:color w:val="auto"/>
          <w:sz w:val="24"/>
          <w:szCs w:val="24"/>
          <w:lang w:eastAsia="zh-CN"/>
        </w:rPr>
        <w:t>供应商响应文件</w:t>
      </w:r>
      <w:r>
        <w:rPr>
          <w:rFonts w:hint="eastAsia" w:ascii="宋体" w:hAnsi="宋体" w:eastAsia="宋体" w:cs="宋体"/>
          <w:b/>
          <w:bCs/>
          <w:color w:val="auto"/>
          <w:sz w:val="24"/>
          <w:szCs w:val="24"/>
        </w:rPr>
        <w:t>内容进行</w:t>
      </w:r>
      <w:r>
        <w:rPr>
          <w:rFonts w:hint="eastAsia" w:ascii="宋体" w:hAnsi="宋体" w:cs="宋体"/>
          <w:b/>
          <w:bCs/>
          <w:color w:val="auto"/>
          <w:sz w:val="24"/>
          <w:szCs w:val="24"/>
          <w:lang w:eastAsia="zh-CN"/>
        </w:rPr>
        <w:t>现场核查</w:t>
      </w:r>
      <w:r>
        <w:rPr>
          <w:rFonts w:hint="eastAsia" w:ascii="宋体" w:hAnsi="宋体" w:eastAsia="宋体" w:cs="宋体"/>
          <w:b/>
          <w:bCs/>
          <w:color w:val="auto"/>
          <w:sz w:val="24"/>
          <w:szCs w:val="24"/>
        </w:rPr>
        <w:t>，如发现与响应承诺内容不一致的，将被取消入围资格</w:t>
      </w:r>
      <w:r>
        <w:rPr>
          <w:rFonts w:hint="eastAsia" w:ascii="宋体" w:hAnsi="宋体" w:cs="宋体"/>
          <w:b/>
          <w:bCs/>
          <w:color w:val="auto"/>
          <w:sz w:val="24"/>
          <w:szCs w:val="24"/>
          <w:lang w:eastAsia="zh-CN"/>
        </w:rPr>
        <w:t>，并依法进行处理</w:t>
      </w:r>
      <w:r>
        <w:rPr>
          <w:rFonts w:hint="eastAsia" w:ascii="宋体" w:hAnsi="宋体" w:eastAsia="宋体" w:cs="宋体"/>
          <w:b/>
          <w:bCs/>
          <w:color w:val="auto"/>
          <w:sz w:val="24"/>
          <w:szCs w:val="24"/>
        </w:rPr>
        <w:t>。</w:t>
      </w:r>
    </w:p>
    <w:p w14:paraId="5D901067">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入围供应商拖延、拒签合同的，将被取消入围资格，并报监督管理部门依法处理。</w:t>
      </w:r>
    </w:p>
    <w:p w14:paraId="2A43C5F6">
      <w:pPr>
        <w:pStyle w:val="6"/>
        <w:jc w:val="center"/>
        <w:rPr>
          <w:rFonts w:hint="eastAsia" w:asciiTheme="majorEastAsia" w:hAnsiTheme="majorEastAsia" w:eastAsiaTheme="majorEastAsia" w:cstheme="majorEastAsia"/>
          <w:b/>
          <w:sz w:val="28"/>
          <w:szCs w:val="36"/>
          <w:lang w:eastAsia="zh-CN"/>
        </w:rPr>
      </w:pPr>
      <w:r>
        <w:rPr>
          <w:rFonts w:hint="eastAsia" w:asciiTheme="majorEastAsia" w:hAnsiTheme="majorEastAsia" w:eastAsiaTheme="majorEastAsia" w:cstheme="majorEastAsia"/>
          <w:b/>
          <w:sz w:val="28"/>
          <w:szCs w:val="36"/>
        </w:rPr>
        <w:t>八、第二阶段成交供应商</w:t>
      </w:r>
      <w:r>
        <w:rPr>
          <w:rFonts w:hint="eastAsia" w:asciiTheme="majorEastAsia" w:hAnsiTheme="majorEastAsia" w:eastAsiaTheme="majorEastAsia" w:cstheme="majorEastAsia"/>
          <w:b/>
          <w:sz w:val="28"/>
          <w:szCs w:val="36"/>
          <w:lang w:eastAsia="zh-CN"/>
        </w:rPr>
        <w:t>的确定</w:t>
      </w:r>
    </w:p>
    <w:p w14:paraId="748ECED2">
      <w:pPr>
        <w:keepNext w:val="0"/>
        <w:keepLines w:val="0"/>
        <w:pageBreakBefore w:val="0"/>
        <w:widowControl w:val="0"/>
        <w:kinsoku/>
        <w:overflowPunct/>
        <w:topLinePunct w:val="0"/>
        <w:autoSpaceDE/>
        <w:autoSpaceDN/>
        <w:bidi w:val="0"/>
        <w:adjustRightInd/>
        <w:spacing w:line="48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lang w:eastAsia="zh-CN"/>
        </w:rPr>
        <w:t>（一）</w:t>
      </w:r>
      <w:r>
        <w:rPr>
          <w:rFonts w:hint="eastAsia" w:ascii="宋体" w:hAnsi="宋体" w:eastAsia="宋体" w:cs="宋体"/>
          <w:b w:val="0"/>
          <w:color w:val="auto"/>
          <w:sz w:val="24"/>
          <w:szCs w:val="24"/>
        </w:rPr>
        <w:t>确定第二阶段成交供应商的方式；</w:t>
      </w:r>
      <w:r>
        <w:rPr>
          <w:rFonts w:hint="eastAsia" w:ascii="宋体" w:hAnsi="宋体" w:eastAsia="宋体" w:cs="宋体"/>
          <w:i w:val="0"/>
          <w:iCs w:val="0"/>
          <w:caps w:val="0"/>
          <w:color w:val="auto"/>
          <w:spacing w:val="0"/>
          <w:sz w:val="24"/>
          <w:szCs w:val="24"/>
          <w:u w:val="none"/>
          <w:shd w:val="clear" w:color="auto" w:fill="auto"/>
          <w:vertAlign w:val="baseline"/>
        </w:rPr>
        <w:t>直接选定方式。</w:t>
      </w:r>
    </w:p>
    <w:p w14:paraId="4E8C4B4C">
      <w:pPr>
        <w:pStyle w:val="18"/>
        <w:keepNext w:val="0"/>
        <w:keepLines w:val="0"/>
        <w:pageBreakBefore w:val="0"/>
        <w:widowControl w:val="0"/>
        <w:numPr>
          <w:ilvl w:val="0"/>
          <w:numId w:val="0"/>
        </w:numPr>
        <w:kinsoku/>
        <w:wordWrap w:val="0"/>
        <w:overflowPunct/>
        <w:topLinePunct w:val="0"/>
        <w:autoSpaceDE/>
        <w:autoSpaceDN/>
        <w:bidi w:val="0"/>
        <w:adjustRightInd/>
        <w:snapToGrid w:val="0"/>
        <w:spacing w:beforeLines="0" w:afterLines="0" w:line="480" w:lineRule="exact"/>
        <w:ind w:firstLine="480" w:firstLineChars="200"/>
        <w:jc w:val="both"/>
        <w:textAlignment w:val="auto"/>
        <w:outlineLvl w:val="1"/>
        <w:rPr>
          <w:rFonts w:hint="eastAsia" w:ascii="宋体" w:hAnsi="宋体" w:eastAsia="宋体" w:cs="宋体"/>
          <w:color w:val="auto"/>
          <w:sz w:val="32"/>
          <w:szCs w:val="32"/>
        </w:rPr>
      </w:pPr>
      <w:r>
        <w:rPr>
          <w:rFonts w:hint="eastAsia" w:ascii="宋体" w:hAnsi="宋体" w:eastAsia="宋体" w:cs="宋体"/>
          <w:b w:val="0"/>
          <w:color w:val="auto"/>
          <w:kern w:val="2"/>
          <w:sz w:val="24"/>
          <w:szCs w:val="24"/>
          <w:u w:val="none"/>
          <w:lang w:eastAsia="zh-CN"/>
        </w:rPr>
        <w:t>（二）</w:t>
      </w:r>
      <w:r>
        <w:rPr>
          <w:rFonts w:hint="eastAsia" w:ascii="宋体" w:hAnsi="宋体" w:eastAsia="宋体" w:cs="宋体"/>
          <w:b w:val="0"/>
          <w:color w:val="auto"/>
          <w:kern w:val="2"/>
          <w:sz w:val="24"/>
          <w:szCs w:val="24"/>
          <w:u w:val="none"/>
        </w:rPr>
        <w:t>采购资金的支付方式、时间和条件；</w:t>
      </w:r>
      <w:r>
        <w:rPr>
          <w:rFonts w:hint="eastAsia" w:ascii="宋体" w:hAnsi="宋体" w:eastAsia="宋体" w:cs="宋体"/>
          <w:b w:val="0"/>
          <w:color w:val="auto"/>
          <w:kern w:val="2"/>
          <w:sz w:val="24"/>
          <w:szCs w:val="24"/>
          <w:u w:val="none"/>
          <w:lang w:eastAsia="zh-CN"/>
        </w:rPr>
        <w:t>按当地财政支付方式及合同约定执行。</w:t>
      </w:r>
      <w:r>
        <w:rPr>
          <w:rFonts w:hint="eastAsia" w:ascii="宋体" w:hAnsi="宋体" w:eastAsia="宋体" w:cs="宋体"/>
          <w:b/>
          <w:color w:val="auto"/>
          <w:sz w:val="28"/>
          <w:szCs w:val="28"/>
        </w:rPr>
        <w:t> </w:t>
      </w:r>
      <w:bookmarkEnd w:id="73"/>
    </w:p>
    <w:p w14:paraId="335BE1D3">
      <w:pPr>
        <w:pStyle w:val="5"/>
        <w:keepNext w:val="0"/>
        <w:keepLines w:val="0"/>
        <w:pageBreakBefore w:val="0"/>
        <w:widowControl w:val="0"/>
        <w:kinsoku/>
        <w:wordWrap w:val="0"/>
        <w:overflowPunct/>
        <w:topLinePunct w:val="0"/>
        <w:autoSpaceDE/>
        <w:autoSpaceDN/>
        <w:bidi w:val="0"/>
        <w:adjustRightInd/>
        <w:snapToGrid w:val="0"/>
        <w:spacing w:before="0" w:after="0" w:line="480" w:lineRule="exact"/>
        <w:jc w:val="center"/>
        <w:textAlignment w:val="auto"/>
        <w:rPr>
          <w:rFonts w:hint="eastAsia" w:ascii="宋体" w:hAnsi="宋体" w:eastAsia="宋体" w:cs="宋体"/>
          <w:color w:val="auto"/>
          <w:sz w:val="32"/>
          <w:szCs w:val="32"/>
        </w:rPr>
      </w:pPr>
    </w:p>
    <w:p w14:paraId="65CB3684">
      <w:pPr>
        <w:pStyle w:val="5"/>
        <w:keepNext w:val="0"/>
        <w:keepLines w:val="0"/>
        <w:pageBreakBefore w:val="0"/>
        <w:widowControl w:val="0"/>
        <w:kinsoku/>
        <w:wordWrap w:val="0"/>
        <w:overflowPunct/>
        <w:topLinePunct w:val="0"/>
        <w:autoSpaceDE/>
        <w:autoSpaceDN/>
        <w:bidi w:val="0"/>
        <w:adjustRightInd/>
        <w:snapToGrid w:val="0"/>
        <w:spacing w:before="0" w:after="0" w:line="360" w:lineRule="auto"/>
        <w:jc w:val="center"/>
        <w:textAlignment w:val="auto"/>
        <w:rPr>
          <w:rFonts w:hint="eastAsia" w:ascii="宋体" w:hAnsi="宋体" w:eastAsia="宋体" w:cs="宋体"/>
          <w:color w:val="auto"/>
          <w:sz w:val="32"/>
          <w:szCs w:val="32"/>
        </w:rPr>
      </w:pPr>
    </w:p>
    <w:p w14:paraId="7912EA1B">
      <w:pPr>
        <w:rPr>
          <w:rFonts w:hint="eastAsia" w:ascii="宋体" w:hAnsi="宋体" w:eastAsia="宋体" w:cs="宋体"/>
          <w:color w:val="auto"/>
          <w:sz w:val="32"/>
          <w:szCs w:val="32"/>
        </w:rPr>
      </w:pPr>
    </w:p>
    <w:p w14:paraId="6749B6FC">
      <w:pPr>
        <w:pStyle w:val="2"/>
        <w:rPr>
          <w:rFonts w:hint="eastAsia" w:ascii="宋体" w:hAnsi="宋体" w:eastAsia="宋体" w:cs="宋体"/>
          <w:color w:val="auto"/>
          <w:sz w:val="32"/>
          <w:szCs w:val="32"/>
        </w:rPr>
      </w:pPr>
    </w:p>
    <w:p w14:paraId="3C6BA775">
      <w:pPr>
        <w:pStyle w:val="5"/>
        <w:keepNext/>
        <w:keepLines w:val="0"/>
        <w:pageBreakBefore/>
        <w:widowControl w:val="0"/>
        <w:kinsoku/>
        <w:wordWrap w:val="0"/>
        <w:overflowPunct/>
        <w:topLinePunct w:val="0"/>
        <w:autoSpaceDE/>
        <w:autoSpaceDN/>
        <w:bidi w:val="0"/>
        <w:adjustRightInd/>
        <w:snapToGrid w:val="0"/>
        <w:spacing w:before="0" w:after="0" w:line="360" w:lineRule="auto"/>
        <w:jc w:val="center"/>
        <w:textAlignment w:val="auto"/>
        <w:rPr>
          <w:rFonts w:ascii="宋体" w:hAnsi="宋体" w:eastAsia="宋体" w:cs="宋体"/>
          <w:color w:val="auto"/>
          <w:sz w:val="32"/>
          <w:szCs w:val="32"/>
        </w:rPr>
      </w:pPr>
      <w:r>
        <w:rPr>
          <w:rFonts w:hint="eastAsia" w:ascii="宋体" w:hAnsi="宋体" w:eastAsia="宋体" w:cs="宋体"/>
          <w:color w:val="auto"/>
          <w:sz w:val="32"/>
          <w:szCs w:val="32"/>
        </w:rPr>
        <w:t>第四章 评</w:t>
      </w:r>
      <w:r>
        <w:rPr>
          <w:rFonts w:hint="eastAsia" w:ascii="宋体" w:hAnsi="宋体" w:eastAsia="宋体" w:cs="宋体"/>
          <w:color w:val="auto"/>
          <w:sz w:val="32"/>
          <w:szCs w:val="32"/>
          <w:lang w:eastAsia="zh-CN"/>
        </w:rPr>
        <w:t>审</w:t>
      </w:r>
      <w:r>
        <w:rPr>
          <w:rFonts w:hint="eastAsia" w:ascii="宋体" w:hAnsi="宋体" w:eastAsia="宋体" w:cs="宋体"/>
          <w:color w:val="auto"/>
          <w:sz w:val="32"/>
          <w:szCs w:val="32"/>
        </w:rPr>
        <w:t>办法及标准</w:t>
      </w:r>
    </w:p>
    <w:p w14:paraId="50244C05">
      <w:pPr>
        <w:keepNext w:val="0"/>
        <w:keepLines w:val="0"/>
        <w:pageBreakBefore w:val="0"/>
        <w:widowControl w:val="0"/>
        <w:kinsoku/>
        <w:wordWrap w:val="0"/>
        <w:overflowPunct/>
        <w:topLinePunct w:val="0"/>
        <w:autoSpaceDE/>
        <w:autoSpaceDN/>
        <w:bidi w:val="0"/>
        <w:adjustRightInd/>
        <w:snapToGrid/>
        <w:spacing w:line="480" w:lineRule="exact"/>
        <w:textAlignment w:val="auto"/>
        <w:rPr>
          <w:rFonts w:ascii="宋体" w:hAnsi="宋体" w:eastAsia="宋体" w:cs="宋体"/>
          <w:color w:val="auto"/>
        </w:rPr>
      </w:pPr>
      <w:r>
        <w:rPr>
          <w:rFonts w:hint="eastAsia" w:ascii="宋体" w:hAnsi="宋体" w:eastAsia="宋体" w:cs="宋体"/>
          <w:color w:val="auto"/>
        </w:rPr>
        <w:t xml:space="preserve">    为公正、公平、科学地选择入围供应商，根据《中华人民共和国政府采购法》等有关法律法规的规定，并结合本项目的实际，制定本办法。</w:t>
      </w:r>
    </w:p>
    <w:p w14:paraId="3504CE15">
      <w:pPr>
        <w:keepNext w:val="0"/>
        <w:keepLines w:val="0"/>
        <w:pageBreakBefore w:val="0"/>
        <w:widowControl w:val="0"/>
        <w:kinsoku/>
        <w:wordWrap w:val="0"/>
        <w:overflowPunct/>
        <w:topLinePunct w:val="0"/>
        <w:autoSpaceDE/>
        <w:autoSpaceDN/>
        <w:bidi w:val="0"/>
        <w:adjustRightInd/>
        <w:snapToGrid/>
        <w:spacing w:line="480" w:lineRule="exact"/>
        <w:ind w:firstLine="420"/>
        <w:textAlignment w:val="auto"/>
        <w:rPr>
          <w:rFonts w:ascii="宋体" w:hAnsi="宋体" w:eastAsia="宋体" w:cs="宋体"/>
          <w:color w:val="auto"/>
        </w:rPr>
      </w:pPr>
      <w:r>
        <w:rPr>
          <w:rFonts w:hint="eastAsia" w:ascii="宋体" w:hAnsi="宋体" w:eastAsia="宋体" w:cs="宋体"/>
          <w:color w:val="auto"/>
        </w:rPr>
        <w:t>本办法适用于本项目的评</w:t>
      </w:r>
      <w:r>
        <w:rPr>
          <w:rFonts w:hint="eastAsia" w:ascii="宋体" w:hAnsi="宋体" w:eastAsia="宋体" w:cs="宋体"/>
          <w:color w:val="auto"/>
          <w:lang w:eastAsia="zh-CN"/>
        </w:rPr>
        <w:t>审</w:t>
      </w:r>
      <w:r>
        <w:rPr>
          <w:rFonts w:hint="eastAsia" w:ascii="宋体" w:hAnsi="宋体" w:eastAsia="宋体" w:cs="宋体"/>
          <w:color w:val="auto"/>
        </w:rPr>
        <w:t>。</w:t>
      </w:r>
    </w:p>
    <w:p w14:paraId="74453984">
      <w:pPr>
        <w:keepNext w:val="0"/>
        <w:keepLines w:val="0"/>
        <w:pageBreakBefore w:val="0"/>
        <w:widowControl w:val="0"/>
        <w:kinsoku/>
        <w:wordWrap w:val="0"/>
        <w:overflowPunct/>
        <w:topLinePunct w:val="0"/>
        <w:autoSpaceDE/>
        <w:autoSpaceDN/>
        <w:bidi w:val="0"/>
        <w:adjustRightInd/>
        <w:snapToGrid/>
        <w:spacing w:line="480" w:lineRule="exact"/>
        <w:ind w:firstLine="562" w:firstLineChars="200"/>
        <w:jc w:val="left"/>
        <w:textAlignment w:val="auto"/>
        <w:rPr>
          <w:rFonts w:ascii="宋体" w:hAnsi="宋体" w:eastAsia="宋体" w:cs="宋体"/>
          <w:color w:val="auto"/>
          <w:sz w:val="28"/>
          <w:szCs w:val="28"/>
          <w:highlight w:val="yellow"/>
        </w:rPr>
      </w:pPr>
      <w:r>
        <w:rPr>
          <w:rFonts w:hint="eastAsia" w:ascii="宋体" w:hAnsi="宋体" w:eastAsia="宋体" w:cs="宋体"/>
          <w:b/>
          <w:color w:val="auto"/>
          <w:sz w:val="28"/>
          <w:szCs w:val="28"/>
        </w:rPr>
        <w:t>一、总则</w:t>
      </w:r>
    </w:p>
    <w:p w14:paraId="21FA61C6">
      <w:pPr>
        <w:keepNext w:val="0"/>
        <w:keepLines w:val="0"/>
        <w:pageBreakBefore w:val="0"/>
        <w:widowControl w:val="0"/>
        <w:kinsoku/>
        <w:topLinePunct w:val="0"/>
        <w:bidi w:val="0"/>
        <w:adjustRightInd/>
        <w:snapToGrid/>
        <w:spacing w:line="48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根据中华人民共和国财政部令第110号《政府采购框架协议采购方式管理暂行办法》，确定</w:t>
      </w:r>
      <w:r>
        <w:rPr>
          <w:rFonts w:hint="eastAsia" w:ascii="宋体" w:hAnsi="宋体" w:eastAsia="宋体" w:cs="宋体"/>
          <w:color w:val="auto"/>
          <w:highlight w:val="none"/>
        </w:rPr>
        <w:t>第一阶段入围供应商的评审方法为质量优先法</w:t>
      </w:r>
      <w:r>
        <w:rPr>
          <w:rFonts w:hint="eastAsia" w:ascii="宋体" w:hAnsi="宋体" w:eastAsia="宋体" w:cs="宋体"/>
          <w:color w:val="auto"/>
        </w:rPr>
        <w:t>，是指对满足采购需求且响应报价不超过最高限制单价的货物、服务进行质量综合评分，按照质量评分从高到低排序，根据征集文件规定的淘汰率或者入围供应商数量上限，确定入围供应商的评审方法。</w:t>
      </w:r>
    </w:p>
    <w:p w14:paraId="1DAFB4E8">
      <w:pPr>
        <w:keepNext w:val="0"/>
        <w:keepLines w:val="0"/>
        <w:pageBreakBefore w:val="0"/>
        <w:widowControl w:val="0"/>
        <w:kinsoku/>
        <w:wordWrap w:val="0"/>
        <w:overflowPunct w:val="0"/>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sz w:val="24"/>
          <w:highlight w:val="none"/>
        </w:rPr>
        <w:t>本次评</w:t>
      </w:r>
      <w:r>
        <w:rPr>
          <w:rFonts w:hint="eastAsia" w:ascii="宋体" w:hAnsi="宋体" w:cs="宋体"/>
          <w:color w:val="auto"/>
          <w:sz w:val="24"/>
          <w:highlight w:val="none"/>
          <w:lang w:eastAsia="zh-CN"/>
        </w:rPr>
        <w:t>审</w:t>
      </w:r>
      <w:r>
        <w:rPr>
          <w:rFonts w:hint="eastAsia" w:ascii="宋体" w:hAnsi="宋体" w:eastAsia="宋体" w:cs="宋体"/>
          <w:color w:val="auto"/>
          <w:sz w:val="24"/>
          <w:highlight w:val="none"/>
        </w:rPr>
        <w:t>采用</w:t>
      </w:r>
      <w:r>
        <w:rPr>
          <w:rFonts w:hint="eastAsia" w:ascii="宋体" w:hAnsi="宋体" w:eastAsia="宋体" w:cs="宋体"/>
          <w:color w:val="auto"/>
          <w:sz w:val="24"/>
          <w:highlight w:val="none"/>
          <w:lang w:eastAsia="zh-CN"/>
        </w:rPr>
        <w:t>质量优先</w:t>
      </w:r>
      <w:r>
        <w:rPr>
          <w:rFonts w:hint="eastAsia" w:ascii="宋体" w:hAnsi="宋体" w:eastAsia="宋体" w:cs="宋体"/>
          <w:color w:val="auto"/>
          <w:sz w:val="24"/>
          <w:highlight w:val="none"/>
        </w:rPr>
        <w:t>法。总分为100分。</w:t>
      </w:r>
      <w:r>
        <w:rPr>
          <w:rFonts w:hint="eastAsia" w:ascii="宋体" w:hAnsi="宋体" w:eastAsia="宋体" w:cs="宋体"/>
          <w:bCs/>
          <w:color w:val="auto"/>
          <w:sz w:val="24"/>
          <w:szCs w:val="24"/>
          <w:highlight w:val="none"/>
        </w:rPr>
        <w:t>本次采购入围数量</w:t>
      </w:r>
      <w:r>
        <w:rPr>
          <w:rFonts w:hint="eastAsia" w:asciiTheme="minorEastAsia" w:hAnsiTheme="minorEastAsia" w:eastAsiaTheme="minorEastAsia" w:cstheme="minorEastAsia"/>
          <w:sz w:val="24"/>
          <w:szCs w:val="24"/>
          <w:highlight w:val="none"/>
        </w:rPr>
        <w:t>不超过有效供应商总数的80%（采用向下取整法）</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且至少淘汰一家供应商</w:t>
      </w:r>
      <w:r>
        <w:rPr>
          <w:rFonts w:hint="eastAsia" w:asciiTheme="minorEastAsia" w:hAnsiTheme="minorEastAsia" w:eastAsiaTheme="minorEastAsia" w:cstheme="minorEastAsia"/>
          <w:sz w:val="24"/>
          <w:szCs w:val="24"/>
          <w:highlight w:val="none"/>
          <w:lang w:eastAsia="zh-CN"/>
        </w:rPr>
        <w:t>。对符合资格条件、实质性要求、满足采购需求且响应</w:t>
      </w:r>
      <w:r>
        <w:rPr>
          <w:rFonts w:hint="eastAsia" w:asciiTheme="minorEastAsia" w:hAnsiTheme="minorEastAsia" w:eastAsiaTheme="minorEastAsia" w:cstheme="minorEastAsia"/>
          <w:sz w:val="24"/>
          <w:szCs w:val="24"/>
          <w:highlight w:val="none"/>
          <w:lang w:val="en-US" w:eastAsia="zh-CN"/>
        </w:rPr>
        <w:t>优惠率</w:t>
      </w:r>
      <w:r>
        <w:rPr>
          <w:rFonts w:hint="eastAsia" w:asciiTheme="minorEastAsia" w:hAnsiTheme="minorEastAsia" w:eastAsiaTheme="minorEastAsia" w:cstheme="minorEastAsia"/>
          <w:sz w:val="24"/>
          <w:szCs w:val="24"/>
          <w:highlight w:val="none"/>
          <w:lang w:eastAsia="zh-CN"/>
        </w:rPr>
        <w:t>不高于</w:t>
      </w:r>
      <w:r>
        <w:rPr>
          <w:rFonts w:hint="eastAsia" w:asciiTheme="minorEastAsia" w:hAnsiTheme="minorEastAsia" w:eastAsiaTheme="minorEastAsia" w:cstheme="minorEastAsia"/>
          <w:sz w:val="24"/>
          <w:szCs w:val="24"/>
          <w:highlight w:val="none"/>
          <w:lang w:val="en-US" w:eastAsia="zh-CN"/>
        </w:rPr>
        <w:t>99</w:t>
      </w:r>
      <w:r>
        <w:rPr>
          <w:rFonts w:hint="eastAsia" w:asciiTheme="minorEastAsia" w:hAnsiTheme="minorEastAsia" w:eastAsiaTheme="minorEastAsia" w:cstheme="minorEastAsia"/>
          <w:sz w:val="24"/>
          <w:szCs w:val="24"/>
          <w:highlight w:val="none"/>
          <w:lang w:eastAsia="zh-CN"/>
        </w:rPr>
        <w:t>%的供应商，按照</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质量综合</w:t>
      </w:r>
      <w:r>
        <w:rPr>
          <w:rFonts w:hint="eastAsia" w:ascii="宋体" w:hAnsi="宋体" w:eastAsia="宋体" w:cs="宋体"/>
          <w:color w:val="auto"/>
          <w:sz w:val="24"/>
          <w:highlight w:val="none"/>
        </w:rPr>
        <w:t>得分</w:t>
      </w:r>
      <w:r>
        <w:rPr>
          <w:rFonts w:hint="eastAsia" w:ascii="宋体" w:hAnsi="宋体" w:cs="宋体"/>
          <w:color w:val="auto"/>
          <w:sz w:val="24"/>
          <w:highlight w:val="none"/>
          <w:lang w:val="en-US" w:eastAsia="zh-CN"/>
        </w:rPr>
        <w:t>即</w:t>
      </w:r>
      <w:r>
        <w:rPr>
          <w:rFonts w:hint="eastAsia" w:ascii="宋体" w:hAnsi="宋体" w:eastAsia="宋体" w:cs="宋体"/>
          <w:color w:val="auto"/>
          <w:sz w:val="24"/>
          <w:highlight w:val="none"/>
          <w:lang w:eastAsia="zh-CN"/>
        </w:rPr>
        <w:t>商务资信分和技术分的综合</w:t>
      </w:r>
      <w:r>
        <w:rPr>
          <w:rFonts w:hint="eastAsia" w:ascii="宋体" w:hAnsi="宋体" w:eastAsia="宋体" w:cs="宋体"/>
          <w:color w:val="auto"/>
          <w:sz w:val="24"/>
          <w:highlight w:val="none"/>
        </w:rPr>
        <w:t>由高到低</w:t>
      </w:r>
      <w:r>
        <w:rPr>
          <w:rFonts w:hint="eastAsia" w:ascii="宋体" w:hAnsi="宋体" w:cs="宋体"/>
          <w:color w:val="auto"/>
          <w:sz w:val="24"/>
          <w:highlight w:val="none"/>
          <w:lang w:val="en-US" w:eastAsia="zh-CN"/>
        </w:rPr>
        <w:t>排序</w:t>
      </w:r>
      <w:r>
        <w:rPr>
          <w:rFonts w:hint="eastAsia" w:ascii="宋体" w:hAnsi="宋体" w:eastAsia="宋体" w:cs="宋体"/>
          <w:color w:val="auto"/>
          <w:sz w:val="24"/>
          <w:highlight w:val="none"/>
        </w:rPr>
        <w:t>，若出现排序前80%中末位供应商</w:t>
      </w:r>
      <w:r>
        <w:rPr>
          <w:rFonts w:hint="eastAsia" w:ascii="宋体" w:hAnsi="宋体" w:eastAsia="宋体" w:cs="宋体"/>
          <w:color w:val="auto"/>
          <w:sz w:val="24"/>
          <w:highlight w:val="none"/>
          <w:lang w:eastAsia="zh-CN"/>
        </w:rPr>
        <w:t>质量综合</w:t>
      </w:r>
      <w:r>
        <w:rPr>
          <w:rFonts w:hint="eastAsia" w:ascii="宋体" w:hAnsi="宋体" w:eastAsia="宋体" w:cs="宋体"/>
          <w:color w:val="auto"/>
          <w:sz w:val="24"/>
          <w:highlight w:val="none"/>
        </w:rPr>
        <w:t>得分相同且同时入围将导致淘汰率不足20%的，按</w:t>
      </w:r>
      <w:r>
        <w:rPr>
          <w:rFonts w:hint="eastAsia" w:ascii="宋体" w:hAnsi="宋体" w:eastAsia="宋体" w:cs="Times New Roman"/>
          <w:color w:val="auto"/>
          <w:szCs w:val="21"/>
        </w:rPr>
        <w:t>技术分得分</w:t>
      </w:r>
      <w:r>
        <w:rPr>
          <w:rFonts w:hint="eastAsia" w:ascii="宋体" w:hAnsi="宋体" w:eastAsia="宋体" w:cs="宋体"/>
          <w:color w:val="auto"/>
          <w:sz w:val="24"/>
          <w:highlight w:val="none"/>
        </w:rPr>
        <w:t>由高到低顺序排</w:t>
      </w:r>
      <w:r>
        <w:rPr>
          <w:rFonts w:hint="eastAsia" w:ascii="宋体" w:hAnsi="宋体" w:eastAsia="宋体" w:cs="宋体"/>
          <w:color w:val="auto"/>
        </w:rPr>
        <w:t>列，技术得分总分相同的</w:t>
      </w:r>
      <w:r>
        <w:rPr>
          <w:rFonts w:hint="eastAsia" w:ascii="宋体" w:hAnsi="宋体" w:eastAsia="宋体" w:cs="宋体"/>
          <w:color w:val="auto"/>
          <w:lang w:eastAsia="zh-CN"/>
        </w:rPr>
        <w:t>，按</w:t>
      </w:r>
      <w:r>
        <w:rPr>
          <w:rFonts w:hint="eastAsia" w:ascii="宋体" w:hAnsi="宋体" w:cs="宋体"/>
          <w:color w:val="auto"/>
          <w:lang w:val="en-US" w:eastAsia="zh-CN"/>
        </w:rPr>
        <w:t>项目</w:t>
      </w:r>
      <w:r>
        <w:rPr>
          <w:rFonts w:hint="eastAsia" w:ascii="宋体" w:hAnsi="宋体" w:eastAsia="宋体" w:cs="宋体"/>
          <w:color w:val="auto"/>
        </w:rPr>
        <w:t>负责人</w:t>
      </w:r>
      <w:r>
        <w:rPr>
          <w:rFonts w:hint="eastAsia" w:ascii="宋体" w:hAnsi="宋体" w:eastAsia="宋体" w:cs="宋体"/>
          <w:color w:val="auto"/>
          <w:lang w:val="en-US" w:eastAsia="zh-CN"/>
        </w:rPr>
        <w:t>一级</w:t>
      </w:r>
      <w:r>
        <w:rPr>
          <w:rFonts w:hint="eastAsia" w:ascii="宋体" w:hAnsi="宋体" w:eastAsia="宋体" w:cs="宋体"/>
          <w:color w:val="auto"/>
        </w:rPr>
        <w:t>造价</w:t>
      </w:r>
      <w:r>
        <w:rPr>
          <w:rFonts w:hint="eastAsia" w:ascii="宋体" w:hAnsi="宋体" w:eastAsia="宋体" w:cs="宋体"/>
          <w:color w:val="auto"/>
          <w:lang w:val="en-US" w:eastAsia="zh-CN"/>
        </w:rPr>
        <w:t>工程师</w:t>
      </w:r>
      <w:r>
        <w:rPr>
          <w:rFonts w:hint="eastAsia" w:ascii="宋体" w:hAnsi="宋体" w:eastAsia="宋体" w:cs="宋体"/>
          <w:color w:val="auto"/>
        </w:rPr>
        <w:t>初始注册时间早的入围</w:t>
      </w:r>
      <w:r>
        <w:rPr>
          <w:rFonts w:hint="eastAsia" w:ascii="宋体" w:hAnsi="宋体" w:eastAsia="宋体" w:cs="宋体"/>
          <w:color w:val="auto"/>
          <w:lang w:eastAsia="zh-CN"/>
        </w:rPr>
        <w:t>，</w:t>
      </w:r>
      <w:r>
        <w:rPr>
          <w:rFonts w:hint="eastAsia" w:ascii="宋体" w:hAnsi="宋体" w:cs="宋体"/>
          <w:color w:val="auto"/>
          <w:lang w:val="en-US" w:eastAsia="zh-CN"/>
        </w:rPr>
        <w:t>项目</w:t>
      </w:r>
      <w:r>
        <w:rPr>
          <w:rFonts w:hint="eastAsia" w:ascii="宋体" w:hAnsi="宋体" w:eastAsia="宋体" w:cs="宋体"/>
          <w:color w:val="auto"/>
        </w:rPr>
        <w:t>负责人</w:t>
      </w:r>
      <w:r>
        <w:rPr>
          <w:rFonts w:hint="eastAsia" w:ascii="宋体" w:hAnsi="宋体" w:eastAsia="宋体" w:cs="宋体"/>
          <w:color w:val="auto"/>
          <w:lang w:val="en-US" w:eastAsia="zh-CN"/>
        </w:rPr>
        <w:t>一级</w:t>
      </w:r>
      <w:r>
        <w:rPr>
          <w:rFonts w:hint="eastAsia" w:ascii="宋体" w:hAnsi="宋体" w:eastAsia="宋体" w:cs="宋体"/>
          <w:color w:val="auto"/>
        </w:rPr>
        <w:t>造价</w:t>
      </w:r>
      <w:r>
        <w:rPr>
          <w:rFonts w:hint="eastAsia" w:ascii="宋体" w:hAnsi="宋体" w:eastAsia="宋体" w:cs="宋体"/>
          <w:color w:val="auto"/>
          <w:lang w:val="en-US" w:eastAsia="zh-CN"/>
        </w:rPr>
        <w:t>工程师</w:t>
      </w:r>
      <w:r>
        <w:rPr>
          <w:rFonts w:hint="eastAsia" w:ascii="宋体" w:hAnsi="宋体" w:eastAsia="宋体" w:cs="宋体"/>
          <w:color w:val="auto"/>
        </w:rPr>
        <w:t>初始注册时间</w:t>
      </w:r>
      <w:r>
        <w:rPr>
          <w:rFonts w:hint="eastAsia" w:ascii="宋体" w:hAnsi="宋体" w:eastAsia="宋体" w:cs="宋体"/>
          <w:color w:val="auto"/>
          <w:lang w:val="en-US" w:eastAsia="zh-CN"/>
        </w:rPr>
        <w:t>相同的，</w:t>
      </w:r>
      <w:r>
        <w:rPr>
          <w:rFonts w:hint="eastAsia" w:ascii="宋体" w:hAnsi="宋体" w:eastAsia="宋体" w:cs="宋体"/>
          <w:color w:val="auto"/>
        </w:rPr>
        <w:t>则</w:t>
      </w:r>
      <w:r>
        <w:rPr>
          <w:rFonts w:hint="eastAsia" w:ascii="宋体" w:hAnsi="宋体" w:cs="宋体"/>
          <w:color w:val="auto"/>
          <w:lang w:val="en-US" w:eastAsia="zh-CN"/>
        </w:rPr>
        <w:t>项目</w:t>
      </w:r>
      <w:r>
        <w:rPr>
          <w:rFonts w:hint="eastAsia" w:ascii="宋体" w:hAnsi="宋体" w:eastAsia="宋体" w:cs="宋体"/>
          <w:color w:val="auto"/>
        </w:rPr>
        <w:t>负责人年龄小的入围</w:t>
      </w:r>
      <w:r>
        <w:rPr>
          <w:rFonts w:hint="eastAsia" w:ascii="宋体" w:hAnsi="宋体" w:eastAsia="宋体" w:cs="宋体"/>
          <w:color w:val="auto"/>
          <w:lang w:eastAsia="zh-CN"/>
        </w:rPr>
        <w:t>（</w:t>
      </w:r>
      <w:r>
        <w:rPr>
          <w:rFonts w:hint="eastAsia" w:ascii="宋体" w:hAnsi="宋体" w:eastAsia="宋体" w:cs="宋体"/>
          <w:color w:val="auto"/>
          <w:lang w:val="en-US" w:eastAsia="zh-CN"/>
        </w:rPr>
        <w:t>以身份证为准</w:t>
      </w:r>
      <w:r>
        <w:rPr>
          <w:rFonts w:hint="eastAsia" w:ascii="宋体" w:hAnsi="宋体" w:eastAsia="宋体" w:cs="宋体"/>
          <w:color w:val="auto"/>
          <w:lang w:eastAsia="zh-CN"/>
        </w:rPr>
        <w:t>），</w:t>
      </w:r>
      <w:r>
        <w:rPr>
          <w:rFonts w:hint="eastAsia" w:ascii="宋体" w:hAnsi="宋体" w:eastAsia="宋体" w:cs="宋体"/>
          <w:color w:val="auto"/>
        </w:rPr>
        <w:t>仍不能分出前后的，以电子响应文件解密先后顺序确定。</w:t>
      </w:r>
    </w:p>
    <w:p w14:paraId="56084364">
      <w:pPr>
        <w:keepNext w:val="0"/>
        <w:keepLines w:val="0"/>
        <w:pageBreakBefore w:val="0"/>
        <w:widowControl w:val="0"/>
        <w:kinsoku/>
        <w:wordWrap w:val="0"/>
        <w:overflowPunct w:val="0"/>
        <w:topLinePunct w:val="0"/>
        <w:autoSpaceDE w:val="0"/>
        <w:autoSpaceDN w:val="0"/>
        <w:bidi w:val="0"/>
        <w:adjustRightInd/>
        <w:snapToGrid/>
        <w:spacing w:line="480" w:lineRule="exact"/>
        <w:ind w:firstLine="480" w:firstLineChars="200"/>
        <w:textAlignment w:val="auto"/>
        <w:rPr>
          <w:rFonts w:hint="eastAsia" w:ascii="宋体" w:hAnsi="宋体" w:eastAsia="宋体" w:cs="Times New Roman"/>
          <w:color w:val="auto"/>
          <w:szCs w:val="21"/>
        </w:rPr>
      </w:pPr>
      <w:r>
        <w:rPr>
          <w:rFonts w:hint="eastAsia" w:ascii="宋体" w:hAnsi="宋体" w:eastAsia="宋体" w:cs="Times New Roman"/>
          <w:color w:val="auto"/>
          <w:szCs w:val="21"/>
        </w:rPr>
        <w:t>供应商</w:t>
      </w:r>
      <w:r>
        <w:rPr>
          <w:rFonts w:hint="eastAsia" w:ascii="宋体" w:hAnsi="宋体" w:eastAsia="宋体" w:cs="Times New Roman"/>
          <w:color w:val="auto"/>
          <w:szCs w:val="21"/>
          <w:lang w:val="en-US" w:eastAsia="zh-CN"/>
        </w:rPr>
        <w:t>质量</w:t>
      </w:r>
      <w:r>
        <w:rPr>
          <w:rFonts w:hint="eastAsia" w:ascii="宋体" w:hAnsi="宋体" w:eastAsia="宋体" w:cs="Times New Roman"/>
          <w:color w:val="auto"/>
          <w:szCs w:val="21"/>
        </w:rPr>
        <w:t>综合得分=商务资信分</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技术分</w:t>
      </w:r>
    </w:p>
    <w:p w14:paraId="7A91BFFF">
      <w:pPr>
        <w:keepNext w:val="0"/>
        <w:keepLines w:val="0"/>
        <w:pageBreakBefore w:val="0"/>
        <w:widowControl w:val="0"/>
        <w:kinsoku/>
        <w:wordWrap w:val="0"/>
        <w:overflowPunct w:val="0"/>
        <w:topLinePunct w:val="0"/>
        <w:autoSpaceDE w:val="0"/>
        <w:autoSpaceDN w:val="0"/>
        <w:bidi w:val="0"/>
        <w:adjustRightInd/>
        <w:snapToGrid/>
        <w:spacing w:line="480" w:lineRule="exact"/>
        <w:ind w:firstLine="482" w:firstLineChars="200"/>
        <w:textAlignment w:val="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入围数量: 本次采购入围数量不超过有效供应商总数的80%（采用向下取整法）。</w:t>
      </w:r>
    </w:p>
    <w:p w14:paraId="60C44A44">
      <w:pPr>
        <w:keepNext w:val="0"/>
        <w:keepLines w:val="0"/>
        <w:pageBreakBefore w:val="0"/>
        <w:widowControl w:val="0"/>
        <w:kinsoku/>
        <w:wordWrap w:val="0"/>
        <w:topLinePunct w:val="0"/>
        <w:bidi w:val="0"/>
        <w:adjustRightInd/>
        <w:snapToGrid/>
        <w:spacing w:line="480" w:lineRule="exact"/>
        <w:ind w:firstLine="562" w:firstLineChars="200"/>
        <w:jc w:val="left"/>
        <w:textAlignment w:val="auto"/>
        <w:rPr>
          <w:rFonts w:hint="eastAsia" w:ascii="宋体" w:hAnsi="宋体"/>
          <w:b/>
          <w:color w:val="auto"/>
          <w:sz w:val="28"/>
          <w:szCs w:val="28"/>
        </w:rPr>
      </w:pPr>
      <w:r>
        <w:rPr>
          <w:rFonts w:hint="eastAsia" w:ascii="宋体" w:hAnsi="宋体" w:eastAsia="宋体" w:cs="宋体"/>
          <w:b/>
          <w:color w:val="auto"/>
          <w:sz w:val="28"/>
          <w:szCs w:val="28"/>
        </w:rPr>
        <w:t>二、评标内容及标准</w:t>
      </w:r>
    </w:p>
    <w:p w14:paraId="7CAE3AA6">
      <w:pPr>
        <w:keepNext w:val="0"/>
        <w:keepLines w:val="0"/>
        <w:pageBreakBefore w:val="0"/>
        <w:widowControl w:val="0"/>
        <w:kinsoku/>
        <w:topLinePunct w:val="0"/>
        <w:bidi w:val="0"/>
        <w:adjustRightInd/>
        <w:snapToGrid/>
        <w:spacing w:line="480" w:lineRule="exact"/>
        <w:ind w:firstLine="48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技术商务资信</w:t>
      </w:r>
      <w:r>
        <w:rPr>
          <w:rFonts w:hint="eastAsia" w:ascii="宋体" w:hAnsi="宋体" w:cs="宋体"/>
          <w:b/>
          <w:bCs/>
          <w:szCs w:val="21"/>
          <w:highlight w:val="none"/>
          <w:lang w:eastAsia="zh-CN"/>
        </w:rPr>
        <w:t>分</w:t>
      </w:r>
      <w:r>
        <w:rPr>
          <w:rFonts w:hint="eastAsia" w:ascii="宋体" w:hAnsi="宋体"/>
          <w:b/>
          <w:bCs/>
          <w:szCs w:val="21"/>
        </w:rPr>
        <w:t>（</w:t>
      </w:r>
      <w:r>
        <w:rPr>
          <w:rFonts w:hint="eastAsia" w:ascii="宋体" w:hAnsi="宋体"/>
          <w:b/>
          <w:bCs/>
          <w:szCs w:val="21"/>
          <w:lang w:val="en-US" w:eastAsia="zh-CN"/>
        </w:rPr>
        <w:t>1</w:t>
      </w:r>
      <w:r>
        <w:rPr>
          <w:rFonts w:hint="eastAsia" w:ascii="宋体" w:hAnsi="宋体"/>
          <w:b/>
          <w:bCs/>
          <w:szCs w:val="21"/>
        </w:rPr>
        <w:t>00分）</w:t>
      </w:r>
    </w:p>
    <w:bookmarkEnd w:id="0"/>
    <w:bookmarkEnd w:id="1"/>
    <w:bookmarkEnd w:id="3"/>
    <w:bookmarkEnd w:id="29"/>
    <w:bookmarkEnd w:id="30"/>
    <w:bookmarkEnd w:id="31"/>
    <w:bookmarkEnd w:id="32"/>
    <w:tbl>
      <w:tblPr>
        <w:tblStyle w:val="32"/>
        <w:tblW w:w="9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6900"/>
        <w:gridCol w:w="1187"/>
      </w:tblGrid>
      <w:tr w14:paraId="2454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42" w:type="dxa"/>
            <w:gridSpan w:val="3"/>
            <w:vAlign w:val="center"/>
          </w:tcPr>
          <w:p w14:paraId="4595D9E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bookmarkStart w:id="74" w:name="_Toc1959908668"/>
            <w:r>
              <w:rPr>
                <w:rFonts w:hint="eastAsia" w:ascii="宋体" w:hAnsi="宋体" w:cs="宋体"/>
                <w:b/>
                <w:bCs/>
                <w:color w:val="auto"/>
                <w:sz w:val="24"/>
                <w:highlight w:val="none"/>
              </w:rPr>
              <w:t>技术分（</w:t>
            </w:r>
            <w:r>
              <w:rPr>
                <w:rFonts w:hint="eastAsia" w:ascii="宋体" w:hAnsi="宋体" w:cs="宋体"/>
                <w:b/>
                <w:bCs/>
                <w:color w:val="auto"/>
                <w:sz w:val="24"/>
                <w:highlight w:val="none"/>
                <w:lang w:val="en-US" w:eastAsia="zh-CN"/>
              </w:rPr>
              <w:t>95</w:t>
            </w:r>
            <w:r>
              <w:rPr>
                <w:rFonts w:hint="eastAsia" w:ascii="宋体" w:hAnsi="宋体" w:cs="宋体"/>
                <w:b/>
                <w:bCs/>
                <w:color w:val="auto"/>
                <w:sz w:val="24"/>
                <w:highlight w:val="none"/>
              </w:rPr>
              <w:t>分）</w:t>
            </w:r>
          </w:p>
        </w:tc>
      </w:tr>
      <w:tr w14:paraId="006A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55" w:type="dxa"/>
            <w:vAlign w:val="center"/>
          </w:tcPr>
          <w:p w14:paraId="5FD37BD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负责人</w:t>
            </w:r>
            <w:r>
              <w:rPr>
                <w:rFonts w:hint="eastAsia" w:ascii="宋体" w:hAnsi="宋体" w:cs="宋体"/>
                <w:color w:val="auto"/>
                <w:sz w:val="24"/>
                <w:highlight w:val="none"/>
                <w:lang w:val="en-US" w:eastAsia="zh-CN"/>
              </w:rPr>
              <w:t>持证</w:t>
            </w:r>
          </w:p>
        </w:tc>
        <w:tc>
          <w:tcPr>
            <w:tcW w:w="6900" w:type="dxa"/>
            <w:vAlign w:val="center"/>
          </w:tcPr>
          <w:p w14:paraId="38A9C2CF">
            <w:pPr>
              <w:keepNext w:val="0"/>
              <w:keepLines w:val="0"/>
              <w:pageBreakBefore w:val="0"/>
              <w:widowControl w:val="0"/>
              <w:suppressLineNumbers w:val="0"/>
              <w:kinsoku/>
              <w:topLinePunct w:val="0"/>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拟派</w:t>
            </w:r>
            <w:r>
              <w:rPr>
                <w:rFonts w:hint="eastAsia" w:ascii="宋体" w:hAnsi="宋体" w:eastAsia="宋体" w:cs="宋体"/>
                <w:color w:val="auto"/>
                <w:lang w:val="en-US" w:eastAsia="zh-CN"/>
              </w:rPr>
              <w:t>项目</w:t>
            </w:r>
            <w:r>
              <w:rPr>
                <w:rFonts w:hint="eastAsia" w:ascii="宋体" w:hAnsi="宋体" w:eastAsia="宋体" w:cs="宋体"/>
                <w:color w:val="auto"/>
              </w:rPr>
              <w:t>负责人同时具备高级工程师</w:t>
            </w:r>
            <w:r>
              <w:rPr>
                <w:rFonts w:hint="eastAsia" w:ascii="宋体" w:hAnsi="宋体" w:eastAsia="宋体" w:cs="宋体"/>
                <w:color w:val="auto"/>
                <w:lang w:val="en-US" w:eastAsia="zh-CN"/>
              </w:rPr>
              <w:t>证书</w:t>
            </w:r>
            <w:r>
              <w:rPr>
                <w:rFonts w:hint="eastAsia" w:ascii="宋体" w:hAnsi="宋体" w:eastAsia="宋体" w:cs="宋体"/>
                <w:color w:val="auto"/>
              </w:rPr>
              <w:t>和</w:t>
            </w:r>
            <w:r>
              <w:rPr>
                <w:rFonts w:hint="eastAsia" w:ascii="宋体" w:hAnsi="宋体" w:eastAsia="宋体" w:cs="宋体"/>
                <w:color w:val="auto"/>
                <w:lang w:eastAsia="zh-CN"/>
              </w:rPr>
              <w:t>一级</w:t>
            </w:r>
            <w:r>
              <w:rPr>
                <w:rFonts w:hint="eastAsia" w:ascii="宋体" w:hAnsi="宋体" w:eastAsia="宋体" w:cs="宋体"/>
                <w:color w:val="auto"/>
              </w:rPr>
              <w:t>注册造价师资</w:t>
            </w:r>
            <w:r>
              <w:rPr>
                <w:rFonts w:hint="eastAsia" w:ascii="宋体" w:hAnsi="宋体" w:eastAsia="宋体" w:cs="宋体"/>
                <w:color w:val="auto"/>
                <w:lang w:eastAsia="zh-CN"/>
              </w:rPr>
              <w:t>格</w:t>
            </w:r>
            <w:r>
              <w:rPr>
                <w:rFonts w:hint="eastAsia" w:ascii="宋体" w:hAnsi="宋体" w:eastAsia="宋体" w:cs="宋体"/>
                <w:color w:val="auto"/>
              </w:rPr>
              <w:t>，且</w:t>
            </w:r>
            <w:r>
              <w:rPr>
                <w:rFonts w:hint="eastAsia" w:ascii="宋体" w:hAnsi="宋体" w:eastAsia="宋体" w:cs="宋体"/>
                <w:color w:val="auto"/>
                <w:lang w:val="en-US" w:eastAsia="zh-CN"/>
              </w:rPr>
              <w:t>60</w:t>
            </w:r>
            <w:r>
              <w:rPr>
                <w:rFonts w:hint="eastAsia" w:ascii="宋体" w:hAnsi="宋体" w:eastAsia="宋体" w:cs="宋体"/>
                <w:color w:val="auto"/>
              </w:rPr>
              <w:t>周岁（含）以下的得</w:t>
            </w:r>
            <w:r>
              <w:rPr>
                <w:rFonts w:hint="default" w:ascii="宋体" w:hAnsi="宋体" w:eastAsia="宋体" w:cs="宋体"/>
                <w:color w:val="auto"/>
                <w:lang w:val="en-US" w:eastAsia="zh-CN"/>
              </w:rPr>
              <w:t>4</w:t>
            </w:r>
            <w:r>
              <w:rPr>
                <w:rFonts w:hint="eastAsia" w:ascii="宋体" w:hAnsi="宋体" w:eastAsia="宋体" w:cs="宋体"/>
                <w:color w:val="auto"/>
              </w:rPr>
              <w:t>分；同时具备工程师证书和</w:t>
            </w:r>
            <w:r>
              <w:rPr>
                <w:rFonts w:hint="eastAsia" w:ascii="宋体" w:hAnsi="宋体" w:eastAsia="宋体" w:cs="宋体"/>
                <w:color w:val="auto"/>
                <w:lang w:eastAsia="zh-CN"/>
              </w:rPr>
              <w:t>一级</w:t>
            </w:r>
            <w:r>
              <w:rPr>
                <w:rFonts w:hint="eastAsia" w:ascii="宋体" w:hAnsi="宋体" w:eastAsia="宋体" w:cs="宋体"/>
                <w:color w:val="auto"/>
              </w:rPr>
              <w:t>注册造价师资质，且</w:t>
            </w:r>
            <w:r>
              <w:rPr>
                <w:rFonts w:hint="eastAsia" w:ascii="宋体" w:hAnsi="宋体" w:eastAsia="宋体" w:cs="宋体"/>
                <w:color w:val="auto"/>
                <w:lang w:val="en-US" w:eastAsia="zh-CN"/>
              </w:rPr>
              <w:t>60</w:t>
            </w:r>
            <w:r>
              <w:rPr>
                <w:rFonts w:hint="eastAsia" w:ascii="宋体" w:hAnsi="宋体" w:eastAsia="宋体" w:cs="宋体"/>
                <w:color w:val="auto"/>
              </w:rPr>
              <w:t>周岁（含）以下的得</w:t>
            </w:r>
            <w:r>
              <w:rPr>
                <w:rFonts w:hint="default" w:ascii="宋体" w:hAnsi="宋体" w:eastAsia="宋体" w:cs="宋体"/>
                <w:color w:val="auto"/>
                <w:lang w:val="en-US"/>
              </w:rPr>
              <w:t>2</w:t>
            </w:r>
            <w:r>
              <w:rPr>
                <w:rFonts w:hint="eastAsia" w:ascii="宋体" w:hAnsi="宋体" w:eastAsia="宋体" w:cs="宋体"/>
                <w:color w:val="auto"/>
              </w:rPr>
              <w:t>分；不具备的得0分。</w:t>
            </w:r>
          </w:p>
        </w:tc>
        <w:tc>
          <w:tcPr>
            <w:tcW w:w="1187" w:type="dxa"/>
            <w:vAlign w:val="center"/>
          </w:tcPr>
          <w:p w14:paraId="502143BD">
            <w:pPr>
              <w:keepNext w:val="0"/>
              <w:keepLines w:val="0"/>
              <w:pageBreakBefore w:val="0"/>
              <w:widowControl w:val="0"/>
              <w:suppressLineNumbers w:val="0"/>
              <w:kinsoku/>
              <w:topLinePunct w:val="0"/>
              <w:bidi w:val="0"/>
              <w:adjustRightInd/>
              <w:snapToGrid/>
              <w:spacing w:before="0" w:beforeAutospacing="0" w:after="0" w:afterAutospacing="0" w:line="480" w:lineRule="exact"/>
              <w:ind w:left="0" w:right="0"/>
              <w:jc w:val="center"/>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0-4分</w:t>
            </w:r>
          </w:p>
        </w:tc>
      </w:tr>
      <w:tr w14:paraId="07B6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5" w:type="dxa"/>
            <w:vAlign w:val="center"/>
          </w:tcPr>
          <w:p w14:paraId="0868ED7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项目负责人</w:t>
            </w:r>
            <w:r>
              <w:rPr>
                <w:rFonts w:hint="eastAsia" w:ascii="宋体" w:hAnsi="宋体" w:cs="宋体"/>
                <w:b w:val="0"/>
                <w:snapToGrid/>
                <w:color w:val="auto"/>
                <w:sz w:val="24"/>
                <w:szCs w:val="24"/>
                <w:highlight w:val="none"/>
                <w:lang w:val="en-US" w:eastAsia="zh-CN"/>
              </w:rPr>
              <w:t>类似项目</w:t>
            </w:r>
            <w:r>
              <w:rPr>
                <w:rFonts w:hint="eastAsia" w:ascii="宋体" w:hAnsi="宋体" w:cs="宋体"/>
                <w:color w:val="auto"/>
                <w:sz w:val="24"/>
                <w:highlight w:val="none"/>
                <w:lang w:eastAsia="zh-CN"/>
              </w:rPr>
              <w:t>经验</w:t>
            </w:r>
          </w:p>
        </w:tc>
        <w:tc>
          <w:tcPr>
            <w:tcW w:w="6900" w:type="dxa"/>
            <w:vAlign w:val="center"/>
          </w:tcPr>
          <w:p w14:paraId="4F108ACB">
            <w:pPr>
              <w:keepNext w:val="0"/>
              <w:keepLines w:val="0"/>
              <w:pageBreakBefore w:val="0"/>
              <w:widowControl w:val="0"/>
              <w:suppressLineNumbers w:val="0"/>
              <w:kinsoku/>
              <w:topLinePunct w:val="0"/>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lang w:eastAsia="zh-CN"/>
              </w:rPr>
              <w:t>项目负责人</w:t>
            </w:r>
            <w:r>
              <w:rPr>
                <w:rFonts w:hint="eastAsia" w:ascii="宋体" w:hAnsi="宋体" w:eastAsia="宋体" w:cs="宋体"/>
                <w:color w:val="auto"/>
              </w:rPr>
              <w:t>近三年</w:t>
            </w:r>
            <w:r>
              <w:rPr>
                <w:rFonts w:hint="eastAsia" w:ascii="宋体" w:hAnsi="宋体" w:eastAsia="宋体" w:cs="宋体"/>
                <w:color w:val="auto"/>
                <w:lang w:eastAsia="zh-CN"/>
              </w:rPr>
              <w:t>（</w:t>
            </w:r>
            <w:r>
              <w:rPr>
                <w:rFonts w:hint="eastAsia" w:ascii="宋体" w:hAnsi="宋体" w:eastAsia="宋体" w:cs="宋体"/>
                <w:color w:val="auto"/>
                <w:lang w:val="en-US" w:eastAsia="zh-CN"/>
              </w:rPr>
              <w:t>自开标之日往前追溯三年</w:t>
            </w:r>
            <w:r>
              <w:rPr>
                <w:rFonts w:hint="eastAsia" w:ascii="宋体" w:hAnsi="宋体" w:eastAsia="宋体" w:cs="宋体"/>
                <w:color w:val="auto"/>
                <w:lang w:eastAsia="zh-CN"/>
              </w:rPr>
              <w:t>）</w:t>
            </w:r>
            <w:r>
              <w:rPr>
                <w:rFonts w:hint="eastAsia" w:ascii="宋体" w:hAnsi="宋体" w:eastAsia="宋体" w:cs="宋体"/>
                <w:color w:val="auto"/>
              </w:rPr>
              <w:t>（以出具审核报告时间为准）作为项目主审完成过</w:t>
            </w:r>
            <w:r>
              <w:rPr>
                <w:rFonts w:hint="eastAsia" w:ascii="宋体" w:hAnsi="宋体" w:eastAsia="宋体" w:cs="宋体"/>
                <w:color w:val="auto"/>
                <w:lang w:eastAsia="zh-CN"/>
              </w:rPr>
              <w:t>的</w:t>
            </w:r>
            <w:r>
              <w:rPr>
                <w:rFonts w:hint="eastAsia" w:ascii="宋体" w:hAnsi="宋体" w:eastAsia="宋体" w:cs="宋体"/>
                <w:color w:val="auto"/>
              </w:rPr>
              <w:t>政府投资或国资投资</w:t>
            </w:r>
            <w:r>
              <w:rPr>
                <w:rFonts w:hint="eastAsia" w:ascii="宋体" w:hAnsi="宋体" w:eastAsia="宋体" w:cs="宋体"/>
                <w:color w:val="auto"/>
                <w:lang w:eastAsia="zh-CN"/>
              </w:rPr>
              <w:t>概算或结算审核</w:t>
            </w:r>
            <w:r>
              <w:rPr>
                <w:rFonts w:hint="eastAsia" w:ascii="宋体" w:hAnsi="宋体" w:eastAsia="宋体" w:cs="宋体"/>
                <w:color w:val="auto"/>
              </w:rPr>
              <w:t>项目，每</w:t>
            </w:r>
            <w:r>
              <w:rPr>
                <w:rFonts w:hint="eastAsia" w:ascii="宋体" w:hAnsi="宋体" w:eastAsia="宋体" w:cs="宋体"/>
                <w:color w:val="auto"/>
                <w:lang w:eastAsia="zh-CN"/>
              </w:rPr>
              <w:t>提供</w:t>
            </w:r>
            <w:r>
              <w:rPr>
                <w:rFonts w:hint="eastAsia" w:ascii="宋体" w:hAnsi="宋体" w:eastAsia="宋体" w:cs="宋体"/>
                <w:color w:val="auto"/>
              </w:rPr>
              <w:t>一个</w:t>
            </w:r>
            <w:r>
              <w:rPr>
                <w:rFonts w:hint="eastAsia" w:ascii="宋体" w:hAnsi="宋体" w:eastAsia="宋体" w:cs="宋体"/>
                <w:color w:val="auto"/>
                <w:lang w:eastAsia="zh-CN"/>
              </w:rPr>
              <w:t>项目</w:t>
            </w:r>
            <w:r>
              <w:rPr>
                <w:rFonts w:hint="eastAsia" w:ascii="宋体" w:hAnsi="宋体" w:eastAsia="宋体" w:cs="宋体"/>
                <w:color w:val="auto"/>
              </w:rPr>
              <w:t>得</w:t>
            </w:r>
            <w:r>
              <w:rPr>
                <w:rFonts w:hint="eastAsia" w:ascii="宋体" w:hAnsi="宋体" w:eastAsia="宋体" w:cs="宋体"/>
                <w:color w:val="auto"/>
                <w:lang w:val="en-US" w:eastAsia="zh-CN"/>
              </w:rPr>
              <w:t>3</w:t>
            </w:r>
            <w:r>
              <w:rPr>
                <w:rFonts w:hint="eastAsia" w:ascii="宋体" w:hAnsi="宋体" w:eastAsia="宋体" w:cs="宋体"/>
                <w:color w:val="auto"/>
              </w:rPr>
              <w:t>分，最高得</w:t>
            </w:r>
            <w:r>
              <w:rPr>
                <w:rFonts w:hint="eastAsia" w:ascii="宋体" w:hAnsi="宋体" w:eastAsia="宋体" w:cs="宋体"/>
                <w:color w:val="auto"/>
                <w:lang w:val="en-US" w:eastAsia="zh-CN"/>
              </w:rPr>
              <w:t>9</w:t>
            </w:r>
            <w:r>
              <w:rPr>
                <w:rFonts w:hint="eastAsia" w:ascii="宋体" w:hAnsi="宋体" w:eastAsia="宋体" w:cs="宋体"/>
                <w:color w:val="auto"/>
              </w:rPr>
              <w:t>分。注：①响应文件中须提供清晰可辨的合同扫描件、工程结算</w:t>
            </w:r>
            <w:r>
              <w:rPr>
                <w:rFonts w:hint="eastAsia" w:ascii="宋体" w:hAnsi="宋体" w:eastAsia="宋体" w:cs="宋体"/>
                <w:color w:val="auto"/>
                <w:lang w:eastAsia="zh-CN"/>
              </w:rPr>
              <w:t>或</w:t>
            </w:r>
            <w:r>
              <w:rPr>
                <w:rFonts w:hint="eastAsia" w:ascii="宋体" w:hAnsi="宋体" w:eastAsia="宋体" w:cs="宋体"/>
                <w:color w:val="auto"/>
              </w:rPr>
              <w:t>概算审核报告（主审须盖一级注册造价师资格章）。②这里的项目主审是指成果项目报告</w:t>
            </w:r>
            <w:r>
              <w:rPr>
                <w:rFonts w:hint="eastAsia" w:ascii="宋体" w:hAnsi="宋体" w:eastAsia="宋体" w:cs="宋体"/>
                <w:color w:val="auto"/>
                <w:lang w:eastAsia="zh-CN"/>
              </w:rPr>
              <w:t>的</w:t>
            </w:r>
            <w:r>
              <w:rPr>
                <w:rFonts w:hint="eastAsia" w:ascii="宋体" w:hAnsi="宋体" w:eastAsia="宋体" w:cs="宋体"/>
                <w:color w:val="auto"/>
              </w:rPr>
              <w:t>项目负责人</w:t>
            </w:r>
            <w:r>
              <w:rPr>
                <w:rFonts w:hint="eastAsia" w:ascii="宋体" w:hAnsi="宋体" w:eastAsia="宋体" w:cs="宋体"/>
                <w:color w:val="auto"/>
                <w:lang w:eastAsia="zh-CN"/>
              </w:rPr>
              <w:t>。</w:t>
            </w:r>
          </w:p>
        </w:tc>
        <w:tc>
          <w:tcPr>
            <w:tcW w:w="1187" w:type="dxa"/>
            <w:vAlign w:val="center"/>
          </w:tcPr>
          <w:p w14:paraId="23CDE150">
            <w:pPr>
              <w:keepNext w:val="0"/>
              <w:keepLines w:val="0"/>
              <w:pageBreakBefore w:val="0"/>
              <w:widowControl w:val="0"/>
              <w:suppressLineNumbers w:val="0"/>
              <w:kinsoku/>
              <w:topLinePunct w:val="0"/>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0-9分</w:t>
            </w:r>
          </w:p>
        </w:tc>
      </w:tr>
      <w:tr w14:paraId="7647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5" w:type="dxa"/>
            <w:vAlign w:val="center"/>
          </w:tcPr>
          <w:p w14:paraId="355FA58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拟派团队</w:t>
            </w:r>
            <w:r>
              <w:rPr>
                <w:rFonts w:hint="eastAsia" w:ascii="宋体" w:hAnsi="宋体" w:cs="宋体"/>
                <w:color w:val="auto"/>
                <w:sz w:val="24"/>
                <w:highlight w:val="none"/>
                <w:lang w:val="en-US" w:eastAsia="zh-CN"/>
              </w:rPr>
              <w:t>人员专业</w:t>
            </w:r>
            <w:r>
              <w:rPr>
                <w:rFonts w:hint="eastAsia" w:ascii="宋体" w:hAnsi="宋体" w:cs="宋体"/>
                <w:color w:val="auto"/>
                <w:sz w:val="24"/>
                <w:highlight w:val="none"/>
              </w:rPr>
              <w:t>配置</w:t>
            </w:r>
            <w:r>
              <w:rPr>
                <w:rFonts w:hint="eastAsia" w:ascii="宋体" w:hAnsi="宋体" w:cs="宋体"/>
                <w:color w:val="auto"/>
                <w:sz w:val="24"/>
                <w:highlight w:val="none"/>
                <w:lang w:eastAsia="zh-CN"/>
              </w:rPr>
              <w:t>（项目负责人除外）</w:t>
            </w:r>
          </w:p>
        </w:tc>
        <w:tc>
          <w:tcPr>
            <w:tcW w:w="6900" w:type="dxa"/>
            <w:vAlign w:val="center"/>
          </w:tcPr>
          <w:p w14:paraId="7804F602">
            <w:pPr>
              <w:keepNext w:val="0"/>
              <w:keepLines w:val="0"/>
              <w:pageBreakBefore w:val="0"/>
              <w:widowControl w:val="0"/>
              <w:suppressLineNumbers w:val="0"/>
              <w:kinsoku/>
              <w:topLinePunct w:val="0"/>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拟派团队</w:t>
            </w:r>
            <w:r>
              <w:rPr>
                <w:rFonts w:hint="eastAsia" w:ascii="宋体" w:hAnsi="宋体" w:eastAsia="宋体" w:cs="宋体"/>
                <w:color w:val="auto"/>
                <w:lang w:val="en-US" w:eastAsia="zh-CN"/>
              </w:rPr>
              <w:t>人员</w:t>
            </w:r>
            <w:r>
              <w:rPr>
                <w:rFonts w:hint="eastAsia" w:ascii="宋体" w:hAnsi="宋体" w:eastAsia="宋体" w:cs="宋体"/>
                <w:color w:val="auto"/>
              </w:rPr>
              <w:t>中要求各专业（建筑、</w:t>
            </w:r>
            <w:r>
              <w:rPr>
                <w:rFonts w:hint="eastAsia" w:ascii="宋体" w:hAnsi="宋体" w:eastAsia="宋体" w:cs="宋体"/>
                <w:color w:val="auto"/>
                <w:lang w:val="en-US" w:eastAsia="zh-CN"/>
              </w:rPr>
              <w:t>公路或水运</w:t>
            </w:r>
            <w:r>
              <w:rPr>
                <w:rFonts w:hint="eastAsia" w:ascii="宋体" w:hAnsi="宋体" w:eastAsia="宋体" w:cs="宋体"/>
                <w:color w:val="auto"/>
              </w:rPr>
              <w:t>、水利</w:t>
            </w:r>
            <w:r>
              <w:rPr>
                <w:rFonts w:hint="eastAsia" w:ascii="宋体" w:hAnsi="宋体" w:eastAsia="宋体" w:cs="宋体"/>
                <w:color w:val="auto"/>
                <w:lang w:eastAsia="zh-CN"/>
              </w:rPr>
              <w:t>、</w:t>
            </w:r>
            <w:r>
              <w:rPr>
                <w:rFonts w:hint="eastAsia" w:ascii="宋体" w:hAnsi="宋体" w:eastAsia="宋体" w:cs="宋体"/>
                <w:color w:val="auto"/>
              </w:rPr>
              <w:t>安装）</w:t>
            </w:r>
            <w:r>
              <w:rPr>
                <w:rFonts w:hint="eastAsia" w:ascii="宋体" w:hAnsi="宋体" w:eastAsia="宋体" w:cs="宋体"/>
                <w:color w:val="auto"/>
                <w:lang w:eastAsia="zh-CN"/>
              </w:rPr>
              <w:t>（计算得分时公路专业或水运专业算相同专业，下同）</w:t>
            </w:r>
            <w:r>
              <w:rPr>
                <w:rFonts w:hint="eastAsia" w:ascii="宋体" w:hAnsi="宋体" w:eastAsia="宋体" w:cs="宋体"/>
                <w:color w:val="auto"/>
              </w:rPr>
              <w:t>配置齐全，少一个专业扣2分。拟派团队组成员每人只取一个专业计分，以供应商注明的为准，注明多个专业</w:t>
            </w:r>
            <w:r>
              <w:rPr>
                <w:rFonts w:hint="eastAsia" w:ascii="宋体" w:hAnsi="宋体" w:eastAsia="宋体" w:cs="宋体"/>
                <w:color w:val="auto"/>
                <w:lang w:val="en-US" w:eastAsia="zh-CN"/>
              </w:rPr>
              <w:t>或不注明</w:t>
            </w:r>
            <w:r>
              <w:rPr>
                <w:rFonts w:hint="eastAsia" w:ascii="宋体" w:hAnsi="宋体" w:eastAsia="宋体" w:cs="宋体"/>
                <w:color w:val="auto"/>
              </w:rPr>
              <w:t>的按照第一个专业计分，本项最高得8分。</w:t>
            </w:r>
            <w:r>
              <w:rPr>
                <w:rFonts w:hint="eastAsia" w:ascii="宋体" w:hAnsi="宋体" w:eastAsia="宋体" w:cs="宋体"/>
                <w:color w:val="auto"/>
                <w:lang w:eastAsia="zh-CN"/>
              </w:rPr>
              <w:t>注：以提供的</w:t>
            </w:r>
            <w:r>
              <w:rPr>
                <w:rFonts w:hint="eastAsia" w:ascii="宋体" w:hAnsi="宋体" w:eastAsia="宋体" w:cs="宋体"/>
                <w:color w:val="auto"/>
              </w:rPr>
              <w:t>注册一级造价工程师证书</w:t>
            </w:r>
            <w:r>
              <w:rPr>
                <w:rFonts w:hint="eastAsia" w:ascii="宋体" w:hAnsi="宋体" w:eastAsia="宋体" w:cs="宋体"/>
                <w:color w:val="auto"/>
                <w:lang w:eastAsia="zh-CN"/>
              </w:rPr>
              <w:t>为准。</w:t>
            </w:r>
          </w:p>
        </w:tc>
        <w:tc>
          <w:tcPr>
            <w:tcW w:w="1187" w:type="dxa"/>
            <w:vAlign w:val="center"/>
          </w:tcPr>
          <w:p w14:paraId="5B26229C">
            <w:pPr>
              <w:keepNext w:val="0"/>
              <w:keepLines w:val="0"/>
              <w:pageBreakBefore w:val="0"/>
              <w:widowControl w:val="0"/>
              <w:suppressLineNumbers w:val="0"/>
              <w:kinsoku/>
              <w:topLinePunct w:val="0"/>
              <w:bidi w:val="0"/>
              <w:adjustRightInd/>
              <w:snapToGrid/>
              <w:spacing w:before="0" w:beforeAutospacing="0" w:after="0" w:afterAutospacing="0" w:line="480" w:lineRule="exact"/>
              <w:ind w:left="0" w:right="0"/>
              <w:jc w:val="center"/>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0-8分</w:t>
            </w:r>
          </w:p>
        </w:tc>
      </w:tr>
      <w:tr w14:paraId="1B51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55" w:type="dxa"/>
            <w:vAlign w:val="center"/>
          </w:tcPr>
          <w:p w14:paraId="0AA3467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拟派团队</w:t>
            </w:r>
            <w:r>
              <w:rPr>
                <w:rFonts w:hint="eastAsia" w:ascii="宋体" w:hAnsi="宋体" w:cs="宋体"/>
                <w:color w:val="auto"/>
                <w:sz w:val="24"/>
                <w:highlight w:val="none"/>
                <w:lang w:eastAsia="zh-CN"/>
              </w:rPr>
              <w:t>人</w:t>
            </w:r>
            <w:r>
              <w:rPr>
                <w:rFonts w:hint="eastAsia" w:ascii="宋体" w:hAnsi="宋体" w:cs="宋体"/>
                <w:color w:val="auto"/>
                <w:sz w:val="24"/>
                <w:highlight w:val="none"/>
              </w:rPr>
              <w:t>员</w:t>
            </w:r>
            <w:r>
              <w:rPr>
                <w:rFonts w:hint="eastAsia" w:ascii="宋体" w:hAnsi="宋体" w:cs="宋体"/>
                <w:color w:val="auto"/>
                <w:sz w:val="24"/>
                <w:highlight w:val="none"/>
                <w:lang w:eastAsia="zh-CN"/>
              </w:rPr>
              <w:t>持证要求（项目负责人除外）</w:t>
            </w:r>
          </w:p>
        </w:tc>
        <w:tc>
          <w:tcPr>
            <w:tcW w:w="6900" w:type="dxa"/>
            <w:vAlign w:val="center"/>
          </w:tcPr>
          <w:p w14:paraId="0695448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拟派团队</w:t>
            </w:r>
            <w:r>
              <w:rPr>
                <w:rFonts w:hint="eastAsia" w:ascii="宋体" w:hAnsi="宋体" w:cs="宋体"/>
                <w:color w:val="auto"/>
                <w:sz w:val="24"/>
                <w:highlight w:val="none"/>
                <w:lang w:val="en-US" w:eastAsia="zh-CN"/>
              </w:rPr>
              <w:t>人员</w:t>
            </w:r>
            <w:r>
              <w:rPr>
                <w:rFonts w:hint="eastAsia" w:ascii="宋体" w:hAnsi="宋体" w:cs="宋体"/>
                <w:color w:val="auto"/>
                <w:sz w:val="24"/>
                <w:highlight w:val="none"/>
              </w:rPr>
              <w:t>具有注册一级造价工程师证书的，每人得2分；具有注册二级造价工程师证书的，每人得1分，拟派团队</w:t>
            </w:r>
            <w:r>
              <w:rPr>
                <w:rFonts w:hint="eastAsia" w:ascii="宋体" w:hAnsi="宋体" w:cs="宋体"/>
                <w:color w:val="auto"/>
                <w:sz w:val="24"/>
                <w:highlight w:val="none"/>
                <w:lang w:val="en-US" w:eastAsia="zh-CN"/>
              </w:rPr>
              <w:t>人员</w:t>
            </w:r>
            <w:r>
              <w:rPr>
                <w:rFonts w:hint="eastAsia" w:ascii="宋体" w:hAnsi="宋体" w:cs="宋体"/>
                <w:color w:val="auto"/>
                <w:sz w:val="24"/>
                <w:highlight w:val="none"/>
              </w:rPr>
              <w:t>每人只取一个证书计分，以供应商注明的为准，本条最高得</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 xml:space="preserve">分。  </w:t>
            </w:r>
          </w:p>
          <w:p w14:paraId="122A53F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拟派团队</w:t>
            </w:r>
            <w:r>
              <w:rPr>
                <w:rFonts w:hint="eastAsia" w:ascii="宋体" w:hAnsi="宋体" w:cs="宋体"/>
                <w:color w:val="auto"/>
                <w:sz w:val="24"/>
                <w:highlight w:val="none"/>
                <w:lang w:val="en-US" w:eastAsia="zh-CN"/>
              </w:rPr>
              <w:t>人员</w:t>
            </w:r>
            <w:r>
              <w:rPr>
                <w:rFonts w:hint="eastAsia" w:ascii="宋体" w:hAnsi="宋体" w:cs="宋体"/>
                <w:color w:val="auto"/>
                <w:sz w:val="24"/>
                <w:highlight w:val="none"/>
              </w:rPr>
              <w:t>同时具有</w:t>
            </w:r>
            <w:r>
              <w:rPr>
                <w:rFonts w:hint="eastAsia" w:ascii="宋体" w:hAnsi="宋体" w:cs="宋体"/>
                <w:b w:val="0"/>
                <w:bCs w:val="0"/>
                <w:color w:val="auto"/>
                <w:sz w:val="24"/>
                <w:highlight w:val="none"/>
              </w:rPr>
              <w:t>建筑、</w:t>
            </w:r>
            <w:r>
              <w:rPr>
                <w:rFonts w:hint="eastAsia" w:ascii="宋体" w:hAnsi="宋体" w:cs="宋体"/>
                <w:b w:val="0"/>
                <w:bCs w:val="0"/>
                <w:color w:val="auto"/>
                <w:sz w:val="24"/>
                <w:highlight w:val="none"/>
                <w:lang w:eastAsia="zh-CN"/>
              </w:rPr>
              <w:t>公路或水运</w:t>
            </w:r>
            <w:r>
              <w:rPr>
                <w:rFonts w:hint="eastAsia" w:ascii="宋体" w:hAnsi="宋体" w:cs="宋体"/>
                <w:b w:val="0"/>
                <w:bCs w:val="0"/>
                <w:color w:val="auto"/>
                <w:sz w:val="24"/>
                <w:highlight w:val="none"/>
              </w:rPr>
              <w:t>、水利</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安装</w:t>
            </w:r>
            <w:r>
              <w:rPr>
                <w:rFonts w:hint="eastAsia" w:ascii="宋体" w:hAnsi="宋体" w:cs="宋体"/>
                <w:b w:val="0"/>
                <w:bCs w:val="0"/>
                <w:color w:val="auto"/>
                <w:sz w:val="24"/>
                <w:highlight w:val="none"/>
                <w:lang w:eastAsia="zh-CN"/>
              </w:rPr>
              <w:t>专业中</w:t>
            </w:r>
            <w:r>
              <w:rPr>
                <w:rFonts w:hint="eastAsia" w:ascii="宋体" w:hAnsi="宋体" w:cs="宋体"/>
                <w:b w:val="0"/>
                <w:bCs w:val="0"/>
                <w:color w:val="auto"/>
                <w:sz w:val="24"/>
                <w:highlight w:val="none"/>
                <w:u w:val="single"/>
                <w:lang w:eastAsia="zh-CN"/>
              </w:rPr>
              <w:t>任意</w:t>
            </w:r>
            <w:r>
              <w:rPr>
                <w:rFonts w:hint="eastAsia" w:ascii="宋体" w:hAnsi="宋体" w:cs="宋体"/>
                <w:color w:val="auto"/>
                <w:sz w:val="24"/>
                <w:highlight w:val="none"/>
              </w:rPr>
              <w:t>两个专业</w:t>
            </w:r>
            <w:r>
              <w:rPr>
                <w:rFonts w:hint="eastAsia" w:ascii="宋体" w:hAnsi="宋体" w:cs="宋体"/>
                <w:color w:val="auto"/>
                <w:sz w:val="24"/>
                <w:highlight w:val="none"/>
                <w:lang w:eastAsia="zh-CN"/>
              </w:rPr>
              <w:t>（计算得分时公路专业或水运专业算相同专业）</w:t>
            </w:r>
            <w:r>
              <w:rPr>
                <w:rFonts w:hint="eastAsia" w:ascii="宋体" w:hAnsi="宋体" w:cs="宋体"/>
                <w:color w:val="auto"/>
                <w:sz w:val="24"/>
                <w:highlight w:val="none"/>
              </w:rPr>
              <w:t>注册一级造价工程师</w:t>
            </w:r>
            <w:r>
              <w:rPr>
                <w:rFonts w:hint="eastAsia" w:ascii="宋体" w:hAnsi="宋体" w:cs="宋体"/>
                <w:color w:val="auto"/>
                <w:sz w:val="24"/>
                <w:highlight w:val="none"/>
                <w:lang w:val="en-US" w:eastAsia="zh-CN"/>
              </w:rPr>
              <w:t>证书的</w:t>
            </w:r>
            <w:r>
              <w:rPr>
                <w:rFonts w:hint="eastAsia" w:ascii="宋体" w:hAnsi="宋体" w:cs="宋体"/>
                <w:color w:val="auto"/>
                <w:sz w:val="24"/>
                <w:highlight w:val="none"/>
              </w:rPr>
              <w:t>，每人得1分，本条最高得2分。</w:t>
            </w:r>
          </w:p>
        </w:tc>
        <w:tc>
          <w:tcPr>
            <w:tcW w:w="1187" w:type="dxa"/>
            <w:vAlign w:val="center"/>
          </w:tcPr>
          <w:p w14:paraId="4206B87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0-14分</w:t>
            </w:r>
          </w:p>
        </w:tc>
      </w:tr>
      <w:tr w14:paraId="4435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55" w:type="dxa"/>
            <w:vAlign w:val="center"/>
          </w:tcPr>
          <w:p w14:paraId="3BB3F8B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拟派团队</w:t>
            </w:r>
            <w:r>
              <w:rPr>
                <w:rFonts w:hint="eastAsia" w:ascii="宋体" w:hAnsi="宋体" w:cs="宋体"/>
                <w:b w:val="0"/>
                <w:snapToGrid/>
                <w:color w:val="auto"/>
                <w:sz w:val="24"/>
                <w:szCs w:val="24"/>
                <w:highlight w:val="none"/>
                <w:lang w:val="en-US" w:eastAsia="zh-CN"/>
              </w:rPr>
              <w:t>类似项目</w:t>
            </w:r>
            <w:r>
              <w:rPr>
                <w:rFonts w:hint="eastAsia" w:ascii="宋体" w:hAnsi="宋体" w:cs="宋体"/>
                <w:color w:val="auto"/>
                <w:sz w:val="24"/>
                <w:highlight w:val="none"/>
              </w:rPr>
              <w:t>经验</w:t>
            </w:r>
            <w:r>
              <w:rPr>
                <w:rFonts w:hint="eastAsia" w:ascii="宋体" w:hAnsi="宋体" w:cs="宋体"/>
                <w:color w:val="auto"/>
                <w:sz w:val="24"/>
                <w:highlight w:val="none"/>
                <w:lang w:eastAsia="zh-CN"/>
              </w:rPr>
              <w:t>（项目负责人除外）</w:t>
            </w:r>
          </w:p>
        </w:tc>
        <w:tc>
          <w:tcPr>
            <w:tcW w:w="6900" w:type="dxa"/>
            <w:vAlign w:val="center"/>
          </w:tcPr>
          <w:p w14:paraId="73F5A86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拟派</w:t>
            </w:r>
            <w:r>
              <w:rPr>
                <w:rFonts w:hint="eastAsia" w:ascii="宋体" w:hAnsi="宋体" w:eastAsia="宋体" w:cs="宋体"/>
                <w:color w:val="auto"/>
              </w:rPr>
              <w:t>团队人员近三年</w:t>
            </w:r>
            <w:r>
              <w:rPr>
                <w:rFonts w:hint="eastAsia" w:ascii="宋体" w:hAnsi="宋体" w:eastAsia="宋体" w:cs="宋体"/>
                <w:color w:val="auto"/>
                <w:lang w:eastAsia="zh-CN"/>
              </w:rPr>
              <w:t>（</w:t>
            </w:r>
            <w:r>
              <w:rPr>
                <w:rFonts w:hint="eastAsia" w:ascii="宋体" w:hAnsi="宋体" w:eastAsia="宋体" w:cs="宋体"/>
                <w:color w:val="auto"/>
                <w:lang w:val="en-US" w:eastAsia="zh-CN"/>
              </w:rPr>
              <w:t>自开标之日往前追溯三年</w:t>
            </w:r>
            <w:r>
              <w:rPr>
                <w:rFonts w:hint="eastAsia" w:ascii="宋体" w:hAnsi="宋体" w:eastAsia="宋体" w:cs="宋体"/>
                <w:color w:val="auto"/>
                <w:lang w:eastAsia="zh-CN"/>
              </w:rPr>
              <w:t>）</w:t>
            </w:r>
            <w:r>
              <w:rPr>
                <w:rFonts w:hint="eastAsia" w:ascii="宋体" w:hAnsi="宋体" w:eastAsia="宋体" w:cs="宋体"/>
                <w:color w:val="auto"/>
              </w:rPr>
              <w:t>（以出具审核报告时间为准）完成过</w:t>
            </w:r>
            <w:r>
              <w:rPr>
                <w:rFonts w:hint="eastAsia" w:ascii="宋体" w:hAnsi="宋体" w:eastAsia="宋体" w:cs="宋体"/>
                <w:color w:val="auto"/>
                <w:lang w:eastAsia="zh-CN"/>
              </w:rPr>
              <w:t>的</w:t>
            </w:r>
            <w:r>
              <w:rPr>
                <w:rFonts w:hint="eastAsia" w:ascii="宋体" w:hAnsi="宋体" w:eastAsia="宋体" w:cs="宋体"/>
                <w:color w:val="auto"/>
              </w:rPr>
              <w:t>政府投资或国资投资</w:t>
            </w:r>
            <w:r>
              <w:rPr>
                <w:rFonts w:hint="eastAsia" w:ascii="宋体" w:hAnsi="宋体" w:eastAsia="宋体" w:cs="宋体"/>
                <w:color w:val="auto"/>
                <w:lang w:eastAsia="zh-CN"/>
              </w:rPr>
              <w:t>概算或结算审核</w:t>
            </w:r>
            <w:r>
              <w:rPr>
                <w:rFonts w:hint="eastAsia" w:ascii="宋体" w:hAnsi="宋体" w:eastAsia="宋体" w:cs="宋体"/>
                <w:color w:val="auto"/>
              </w:rPr>
              <w:t>项目，作为项目主审的每一个得2分，同一人相同专业</w:t>
            </w:r>
            <w:r>
              <w:rPr>
                <w:rFonts w:hint="eastAsia" w:ascii="宋体" w:hAnsi="宋体" w:cs="宋体"/>
                <w:color w:val="auto"/>
                <w:sz w:val="24"/>
                <w:highlight w:val="none"/>
              </w:rPr>
              <w:t>不重复得分，每人最高得4分；作为项目参与者每一个得1分，同一人相同专业不重复得分，每人最高得2分。专业分建筑、安装、公路</w:t>
            </w:r>
            <w:r>
              <w:rPr>
                <w:rFonts w:hint="eastAsia" w:ascii="宋体" w:hAnsi="宋体" w:cs="宋体"/>
                <w:color w:val="auto"/>
                <w:sz w:val="24"/>
                <w:highlight w:val="none"/>
                <w:lang w:eastAsia="zh-CN"/>
              </w:rPr>
              <w:t>或水运</w:t>
            </w:r>
            <w:r>
              <w:rPr>
                <w:rFonts w:hint="eastAsia" w:ascii="宋体" w:hAnsi="宋体" w:cs="宋体"/>
                <w:color w:val="auto"/>
                <w:sz w:val="24"/>
                <w:highlight w:val="none"/>
              </w:rPr>
              <w:t>、水利</w:t>
            </w:r>
            <w:r>
              <w:rPr>
                <w:rFonts w:hint="eastAsia" w:ascii="宋体" w:hAnsi="宋体" w:cs="宋体"/>
                <w:color w:val="auto"/>
                <w:sz w:val="24"/>
                <w:highlight w:val="none"/>
                <w:lang w:eastAsia="zh-CN"/>
              </w:rPr>
              <w:t>（计算得分时公路专业或水运专业算相同专业）</w:t>
            </w:r>
            <w:r>
              <w:rPr>
                <w:rFonts w:hint="eastAsia" w:ascii="宋体" w:hAnsi="宋体" w:cs="宋体"/>
                <w:color w:val="auto"/>
                <w:sz w:val="24"/>
                <w:highlight w:val="none"/>
              </w:rPr>
              <w:t>。本项最高得</w:t>
            </w:r>
            <w:r>
              <w:rPr>
                <w:rFonts w:hint="eastAsia" w:ascii="宋体" w:hAnsi="宋体" w:cs="宋体"/>
                <w:b/>
                <w:bCs/>
                <w:color w:val="auto"/>
                <w:sz w:val="24"/>
                <w:highlight w:val="none"/>
              </w:rPr>
              <w:t>16分</w:t>
            </w:r>
            <w:r>
              <w:rPr>
                <w:rFonts w:hint="eastAsia" w:ascii="宋体" w:hAnsi="宋体" w:cs="宋体"/>
                <w:color w:val="auto"/>
                <w:sz w:val="24"/>
                <w:highlight w:val="none"/>
              </w:rPr>
              <w:t>。</w:t>
            </w:r>
            <w:bookmarkStart w:id="77" w:name="_GoBack"/>
            <w:bookmarkEnd w:id="77"/>
            <w:r>
              <w:rPr>
                <w:rFonts w:hint="eastAsia" w:ascii="宋体" w:hAnsi="宋体" w:cs="宋体"/>
                <w:color w:val="auto"/>
                <w:sz w:val="24"/>
                <w:highlight w:val="none"/>
              </w:rPr>
              <w:t>注：①响应文件中须提供清晰可辨的合同扫描件、工程结算</w:t>
            </w:r>
            <w:r>
              <w:rPr>
                <w:rFonts w:hint="eastAsia" w:ascii="宋体" w:hAnsi="宋体" w:cs="宋体"/>
                <w:color w:val="auto"/>
                <w:sz w:val="24"/>
                <w:highlight w:val="none"/>
                <w:lang w:eastAsia="zh-CN"/>
              </w:rPr>
              <w:t>或</w:t>
            </w:r>
            <w:r>
              <w:rPr>
                <w:rFonts w:hint="eastAsia" w:ascii="宋体" w:hAnsi="宋体" w:cs="宋体"/>
                <w:color w:val="auto"/>
                <w:sz w:val="24"/>
                <w:highlight w:val="none"/>
              </w:rPr>
              <w:t>概算审核报告（主审须盖一级注册造价师资格章，参与成员须盖二级及以上注册造价师资格章）。②安装专业项目经验，必须是以安装专业为主承揽的项目成果报告，例如以土建为主的房屋建筑工程中的安装经验则不得分。</w:t>
            </w:r>
            <w:r>
              <w:rPr>
                <w:rFonts w:hint="eastAsia" w:ascii="宋体" w:hAnsi="宋体" w:cs="宋体"/>
                <w:color w:val="auto"/>
                <w:sz w:val="24"/>
                <w:highlight w:val="none"/>
                <w:lang w:val="en-US" w:eastAsia="zh-CN"/>
              </w:rPr>
              <w:t>其他专业得分要求与此相同。</w:t>
            </w:r>
            <w:r>
              <w:rPr>
                <w:rFonts w:hint="eastAsia" w:ascii="宋体" w:hAnsi="宋体" w:cs="宋体"/>
                <w:color w:val="auto"/>
                <w:sz w:val="24"/>
                <w:highlight w:val="none"/>
              </w:rPr>
              <w:t>③这里的项目主审是指成果项目报告中项目负责人</w:t>
            </w:r>
            <w:r>
              <w:rPr>
                <w:rFonts w:hint="eastAsia" w:ascii="宋体" w:hAnsi="宋体" w:cs="宋体"/>
                <w:color w:val="auto"/>
                <w:sz w:val="24"/>
                <w:highlight w:val="none"/>
                <w:lang w:eastAsia="zh-CN"/>
              </w:rPr>
              <w:t>。</w:t>
            </w:r>
          </w:p>
        </w:tc>
        <w:tc>
          <w:tcPr>
            <w:tcW w:w="1187" w:type="dxa"/>
            <w:vAlign w:val="center"/>
          </w:tcPr>
          <w:p w14:paraId="6AAF09E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0-16分</w:t>
            </w:r>
          </w:p>
        </w:tc>
      </w:tr>
      <w:tr w14:paraId="6551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55" w:type="dxa"/>
            <w:vAlign w:val="center"/>
          </w:tcPr>
          <w:p w14:paraId="14DE5C3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审核方案</w:t>
            </w:r>
          </w:p>
        </w:tc>
        <w:tc>
          <w:tcPr>
            <w:tcW w:w="6900" w:type="dxa"/>
            <w:vAlign w:val="center"/>
          </w:tcPr>
          <w:p w14:paraId="072F2B6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highlight w:val="none"/>
              </w:rPr>
            </w:pPr>
            <w:r>
              <w:rPr>
                <w:rFonts w:hint="eastAsia"/>
                <w:highlight w:val="none"/>
              </w:rPr>
              <w:t>1</w:t>
            </w:r>
            <w:r>
              <w:rPr>
                <w:rFonts w:hint="eastAsia"/>
                <w:highlight w:val="none"/>
                <w:lang w:eastAsia="zh-CN"/>
              </w:rPr>
              <w:t>、根据工程结算审核方案（包括工作流程、审核方式、质量审核、时效控制等内容）的完整严谨性、科学合理性、可操作性等情况进行评分。</w:t>
            </w:r>
            <w:r>
              <w:rPr>
                <w:rFonts w:hint="eastAsia"/>
                <w:highlight w:val="none"/>
                <w:lang w:val="en-US" w:eastAsia="zh-CN"/>
              </w:rPr>
              <w:t>方案考虑充分措施有效得6分，方案合理措施一般得3分，方案考虑不够充分或无方案得0分</w:t>
            </w:r>
            <w:r>
              <w:rPr>
                <w:rFonts w:hint="eastAsia"/>
                <w:highlight w:val="none"/>
              </w:rPr>
              <w:t>。</w:t>
            </w:r>
          </w:p>
          <w:p w14:paraId="280EE147">
            <w:pPr>
              <w:keepNext w:val="0"/>
              <w:keepLines w:val="0"/>
              <w:suppressLineNumbers w:val="0"/>
              <w:spacing w:before="0" w:beforeAutospacing="0" w:after="0" w:afterAutospacing="0" w:line="360" w:lineRule="auto"/>
              <w:ind w:left="0" w:leftChars="0" w:right="0" w:firstLineChars="0"/>
              <w:jc w:val="left"/>
              <w:rPr>
                <w:rFonts w:hint="eastAsia" w:eastAsia="宋体"/>
                <w:highlight w:val="none"/>
                <w:lang w:val="en-US" w:eastAsia="zh-CN"/>
              </w:rPr>
            </w:pPr>
            <w:r>
              <w:rPr>
                <w:rFonts w:hint="eastAsia"/>
                <w:highlight w:val="none"/>
              </w:rPr>
              <w:t>2</w:t>
            </w:r>
            <w:r>
              <w:rPr>
                <w:rFonts w:hint="eastAsia"/>
                <w:highlight w:val="none"/>
                <w:lang w:eastAsia="zh-CN"/>
              </w:rPr>
              <w:t>、</w:t>
            </w:r>
            <w:r>
              <w:rPr>
                <w:rFonts w:hint="eastAsia"/>
                <w:highlight w:val="none"/>
              </w:rPr>
              <w:t>根据</w:t>
            </w:r>
            <w:r>
              <w:rPr>
                <w:rFonts w:hint="default"/>
                <w:highlight w:val="none"/>
              </w:rPr>
              <w:t>概算审核方案（包括工作流程、审核方式、质量审核、时效控制等内容）的完整严谨性、科学合理性、可操作性等情况进行评分</w:t>
            </w:r>
            <w:r>
              <w:rPr>
                <w:rFonts w:hint="eastAsia"/>
                <w:highlight w:val="none"/>
                <w:lang w:eastAsia="zh-CN"/>
              </w:rPr>
              <w:t>。</w:t>
            </w:r>
            <w:r>
              <w:rPr>
                <w:rFonts w:hint="eastAsia"/>
                <w:highlight w:val="none"/>
                <w:lang w:val="en-US" w:eastAsia="zh-CN"/>
              </w:rPr>
              <w:t>方案考虑充分措施有效得6分，方案合理措施一般得3分，方案考虑不够充分或无方案得0分</w:t>
            </w:r>
            <w:r>
              <w:rPr>
                <w:rFonts w:hint="eastAsia"/>
                <w:highlight w:val="none"/>
              </w:rPr>
              <w:t>。</w:t>
            </w:r>
          </w:p>
        </w:tc>
        <w:tc>
          <w:tcPr>
            <w:tcW w:w="1187" w:type="dxa"/>
            <w:vAlign w:val="center"/>
          </w:tcPr>
          <w:p w14:paraId="2F35789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0-12分</w:t>
            </w:r>
          </w:p>
        </w:tc>
      </w:tr>
      <w:tr w14:paraId="2FC6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55" w:type="dxa"/>
            <w:vAlign w:val="center"/>
          </w:tcPr>
          <w:p w14:paraId="224E123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应急预案</w:t>
            </w:r>
          </w:p>
        </w:tc>
        <w:tc>
          <w:tcPr>
            <w:tcW w:w="6900" w:type="dxa"/>
            <w:vAlign w:val="center"/>
          </w:tcPr>
          <w:p w14:paraId="215756C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cs="宋体"/>
                <w:color w:val="auto"/>
                <w:sz w:val="24"/>
                <w:highlight w:val="none"/>
              </w:rPr>
            </w:pPr>
            <w:r>
              <w:rPr>
                <w:rFonts w:hint="eastAsia"/>
                <w:highlight w:val="none"/>
              </w:rPr>
              <w:t>根据供应商制定</w:t>
            </w:r>
            <w:r>
              <w:rPr>
                <w:rFonts w:hint="eastAsia"/>
                <w:highlight w:val="none"/>
                <w:lang w:eastAsia="zh-CN"/>
              </w:rPr>
              <w:t>的</w:t>
            </w:r>
            <w:r>
              <w:rPr>
                <w:rFonts w:hint="eastAsia"/>
                <w:highlight w:val="none"/>
              </w:rPr>
              <w:t>应对各种特殊情况下确保高标准</w:t>
            </w:r>
            <w:r>
              <w:rPr>
                <w:rFonts w:hint="eastAsia"/>
                <w:highlight w:val="none"/>
                <w:lang w:eastAsia="zh-CN"/>
              </w:rPr>
              <w:t>完成</w:t>
            </w:r>
            <w:r>
              <w:rPr>
                <w:rFonts w:hint="eastAsia"/>
                <w:highlight w:val="none"/>
              </w:rPr>
              <w:t>合同审核</w:t>
            </w:r>
            <w:r>
              <w:rPr>
                <w:rFonts w:hint="eastAsia"/>
                <w:highlight w:val="none"/>
                <w:lang w:eastAsia="zh-CN"/>
              </w:rPr>
              <w:t>任务</w:t>
            </w:r>
            <w:r>
              <w:rPr>
                <w:rFonts w:hint="eastAsia"/>
                <w:highlight w:val="none"/>
              </w:rPr>
              <w:t>应急预案综合评分</w:t>
            </w:r>
            <w:r>
              <w:rPr>
                <w:rFonts w:hint="eastAsia"/>
                <w:highlight w:val="none"/>
                <w:lang w:eastAsia="zh-CN"/>
              </w:rPr>
              <w:t>，</w:t>
            </w:r>
            <w:r>
              <w:rPr>
                <w:rFonts w:hint="eastAsia"/>
                <w:highlight w:val="none"/>
                <w:lang w:val="en-US" w:eastAsia="zh-CN"/>
              </w:rPr>
              <w:t>包括但不限于应急预防、应急应对等内容。方案考虑充分措施有效得5分，方案合理措施一般得3分，方案考虑不够充分得1分，无方案得0分</w:t>
            </w:r>
            <w:r>
              <w:rPr>
                <w:rFonts w:hint="eastAsia"/>
                <w:highlight w:val="none"/>
              </w:rPr>
              <w:t>。</w:t>
            </w:r>
          </w:p>
        </w:tc>
        <w:tc>
          <w:tcPr>
            <w:tcW w:w="1187" w:type="dxa"/>
            <w:vAlign w:val="center"/>
          </w:tcPr>
          <w:p w14:paraId="7DAB9E5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0-5分</w:t>
            </w:r>
          </w:p>
        </w:tc>
      </w:tr>
      <w:tr w14:paraId="1432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55" w:type="dxa"/>
            <w:vAlign w:val="center"/>
          </w:tcPr>
          <w:p w14:paraId="422646A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审核服务质量控制措施</w:t>
            </w:r>
            <w:r>
              <w:rPr>
                <w:rFonts w:hint="eastAsia" w:ascii="宋体" w:hAnsi="宋体" w:cs="宋体"/>
                <w:color w:val="auto"/>
                <w:sz w:val="24"/>
                <w:highlight w:val="none"/>
                <w:lang w:val="en-US" w:eastAsia="zh-CN"/>
              </w:rPr>
              <w:t>方案</w:t>
            </w:r>
          </w:p>
        </w:tc>
        <w:tc>
          <w:tcPr>
            <w:tcW w:w="6900" w:type="dxa"/>
            <w:vAlign w:val="center"/>
          </w:tcPr>
          <w:p w14:paraId="658E1A1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根据审核服务质量控制措施的重点与难点、可行性、实用性及合理性等内容综合打分</w:t>
            </w:r>
            <w:r>
              <w:rPr>
                <w:rFonts w:hint="eastAsia" w:ascii="宋体" w:hAnsi="宋体" w:cs="宋体"/>
                <w:color w:val="auto"/>
                <w:sz w:val="24"/>
                <w:highlight w:val="none"/>
                <w:lang w:eastAsia="zh-CN"/>
              </w:rPr>
              <w:t>，</w:t>
            </w:r>
            <w:r>
              <w:rPr>
                <w:rFonts w:hint="eastAsia" w:cs="Times New Roman"/>
                <w:lang w:val="en-US" w:eastAsia="zh-CN"/>
              </w:rPr>
              <w:t>方案</w:t>
            </w:r>
            <w:r>
              <w:rPr>
                <w:rFonts w:hint="eastAsia" w:ascii="Times New Roman" w:hAnsi="Times New Roman" w:eastAsia="宋体" w:cs="Times New Roman"/>
                <w:lang w:val="en-US" w:eastAsia="zh-CN"/>
              </w:rPr>
              <w:t>针对性强，内容规范</w:t>
            </w:r>
            <w:r>
              <w:rPr>
                <w:rFonts w:hint="eastAsia" w:eastAsia="宋体" w:cs="Times New Roman"/>
                <w:lang w:val="en-US" w:eastAsia="zh-CN"/>
              </w:rPr>
              <w:t>科学</w:t>
            </w:r>
            <w:r>
              <w:rPr>
                <w:rFonts w:hint="eastAsia" w:ascii="宋体" w:hAnsi="宋体" w:cs="宋体"/>
                <w:color w:val="auto"/>
                <w:sz w:val="24"/>
                <w:highlight w:val="none"/>
                <w:lang w:val="en-US" w:eastAsia="zh-CN"/>
              </w:rPr>
              <w:t>的</w:t>
            </w:r>
            <w:r>
              <w:rPr>
                <w:rFonts w:hint="eastAsia"/>
                <w:highlight w:val="none"/>
                <w:lang w:val="en-US" w:eastAsia="zh-CN"/>
              </w:rPr>
              <w:t>得3分，方案合理措施一般得2分，方案考虑不够充分得1分，无方案得0分</w:t>
            </w:r>
            <w:r>
              <w:rPr>
                <w:rFonts w:hint="eastAsia"/>
                <w:highlight w:val="none"/>
              </w:rPr>
              <w:t>。</w:t>
            </w:r>
          </w:p>
        </w:tc>
        <w:tc>
          <w:tcPr>
            <w:tcW w:w="1187" w:type="dxa"/>
            <w:vAlign w:val="center"/>
          </w:tcPr>
          <w:p w14:paraId="5668109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0-3分</w:t>
            </w:r>
          </w:p>
        </w:tc>
      </w:tr>
      <w:tr w14:paraId="5422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855" w:type="dxa"/>
            <w:vAlign w:val="center"/>
          </w:tcPr>
          <w:p w14:paraId="0359A4A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审核服务进度控制机制</w:t>
            </w:r>
            <w:r>
              <w:rPr>
                <w:rFonts w:hint="eastAsia" w:ascii="宋体" w:hAnsi="宋体" w:cs="宋体"/>
                <w:color w:val="auto"/>
                <w:sz w:val="24"/>
                <w:highlight w:val="none"/>
                <w:lang w:val="en-US" w:eastAsia="zh-CN"/>
              </w:rPr>
              <w:t>方案</w:t>
            </w:r>
          </w:p>
        </w:tc>
        <w:tc>
          <w:tcPr>
            <w:tcW w:w="6900" w:type="dxa"/>
            <w:vAlign w:val="center"/>
          </w:tcPr>
          <w:p w14:paraId="21231CA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根据项目审核进度控制机制</w:t>
            </w:r>
            <w:r>
              <w:rPr>
                <w:rFonts w:hint="eastAsia" w:ascii="宋体" w:hAnsi="宋体" w:cs="宋体"/>
                <w:color w:val="auto"/>
                <w:sz w:val="24"/>
                <w:highlight w:val="none"/>
                <w:lang w:eastAsia="zh-CN"/>
              </w:rPr>
              <w:t>综合打分，</w:t>
            </w:r>
            <w:r>
              <w:rPr>
                <w:rFonts w:hint="eastAsia" w:ascii="Times New Roman" w:hAnsi="Times New Roman" w:eastAsia="宋体" w:cs="Times New Roman"/>
                <w:lang w:val="en-US" w:eastAsia="zh-CN"/>
              </w:rPr>
              <w:t>有完善的组织架构，主要管理流程清晰简练</w:t>
            </w:r>
            <w:r>
              <w:rPr>
                <w:rFonts w:hint="eastAsia" w:cs="Times New Roman"/>
                <w:lang w:val="en-US" w:eastAsia="zh-CN"/>
              </w:rPr>
              <w:t>，方案</w:t>
            </w:r>
            <w:r>
              <w:rPr>
                <w:rFonts w:hint="eastAsia" w:ascii="Times New Roman" w:hAnsi="Times New Roman" w:eastAsia="宋体" w:cs="Times New Roman"/>
                <w:lang w:val="en-US" w:eastAsia="zh-CN"/>
              </w:rPr>
              <w:t>针对性强，内容规范</w:t>
            </w:r>
            <w:r>
              <w:rPr>
                <w:rFonts w:hint="eastAsia" w:eastAsia="宋体" w:cs="Times New Roman"/>
                <w:lang w:val="en-US" w:eastAsia="zh-CN"/>
              </w:rPr>
              <w:t>科学</w:t>
            </w:r>
            <w:r>
              <w:rPr>
                <w:rFonts w:hint="eastAsia" w:ascii="宋体" w:hAnsi="宋体" w:cs="宋体"/>
                <w:color w:val="auto"/>
                <w:sz w:val="24"/>
                <w:highlight w:val="none"/>
                <w:lang w:val="en-US" w:eastAsia="zh-CN"/>
              </w:rPr>
              <w:t>的</w:t>
            </w:r>
            <w:r>
              <w:rPr>
                <w:rFonts w:hint="eastAsia"/>
                <w:highlight w:val="none"/>
                <w:lang w:val="en-US" w:eastAsia="zh-CN"/>
              </w:rPr>
              <w:t>得3分，方案合理措施一般得2分，方案考虑不够充分得1分，无方案得0分</w:t>
            </w:r>
            <w:r>
              <w:rPr>
                <w:rFonts w:hint="eastAsia"/>
                <w:highlight w:val="none"/>
              </w:rPr>
              <w:t>。</w:t>
            </w:r>
          </w:p>
        </w:tc>
        <w:tc>
          <w:tcPr>
            <w:tcW w:w="1187" w:type="dxa"/>
            <w:vAlign w:val="center"/>
          </w:tcPr>
          <w:p w14:paraId="3948BBD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0-3分</w:t>
            </w:r>
          </w:p>
        </w:tc>
      </w:tr>
      <w:tr w14:paraId="0D7F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855" w:type="dxa"/>
            <w:vAlign w:val="center"/>
          </w:tcPr>
          <w:p w14:paraId="3757377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保密制度</w:t>
            </w:r>
          </w:p>
        </w:tc>
        <w:tc>
          <w:tcPr>
            <w:tcW w:w="6900" w:type="dxa"/>
            <w:vAlign w:val="center"/>
          </w:tcPr>
          <w:p w14:paraId="086A8F0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cs="宋体"/>
                <w:color w:val="auto"/>
                <w:sz w:val="24"/>
                <w:highlight w:val="none"/>
              </w:rPr>
            </w:pPr>
            <w:r>
              <w:rPr>
                <w:rFonts w:hint="eastAsia" w:ascii="宋体" w:hAnsi="宋体" w:eastAsia="宋体" w:cs="宋体"/>
                <w:kern w:val="0"/>
                <w:sz w:val="24"/>
                <w:szCs w:val="24"/>
                <w:highlight w:val="none"/>
              </w:rPr>
              <w:t>根据供应商</w:t>
            </w:r>
            <w:r>
              <w:rPr>
                <w:rFonts w:hint="eastAsia" w:ascii="宋体" w:hAnsi="宋体" w:cs="宋体"/>
                <w:kern w:val="0"/>
                <w:sz w:val="24"/>
                <w:szCs w:val="24"/>
                <w:highlight w:val="none"/>
                <w:lang w:eastAsia="zh-CN"/>
              </w:rPr>
              <w:t>提供的</w:t>
            </w:r>
            <w:r>
              <w:rPr>
                <w:rFonts w:hint="eastAsia" w:ascii="宋体" w:hAnsi="宋体" w:eastAsia="宋体" w:cs="宋体"/>
                <w:kern w:val="0"/>
                <w:sz w:val="24"/>
                <w:szCs w:val="24"/>
                <w:highlight w:val="none"/>
              </w:rPr>
              <w:t>针对本项目制订</w:t>
            </w:r>
            <w:r>
              <w:rPr>
                <w:rFonts w:hint="eastAsia" w:ascii="宋体" w:hAnsi="宋体" w:cs="宋体"/>
                <w:kern w:val="0"/>
                <w:sz w:val="24"/>
                <w:szCs w:val="24"/>
                <w:highlight w:val="none"/>
                <w:lang w:eastAsia="zh-CN"/>
              </w:rPr>
              <w:t>的</w:t>
            </w:r>
            <w:r>
              <w:rPr>
                <w:rFonts w:hint="eastAsia" w:ascii="宋体" w:hAnsi="宋体" w:eastAsia="宋体" w:cs="宋体"/>
                <w:kern w:val="0"/>
                <w:sz w:val="24"/>
                <w:szCs w:val="24"/>
                <w:highlight w:val="none"/>
              </w:rPr>
              <w:t>保密制度进行</w:t>
            </w:r>
            <w:r>
              <w:rPr>
                <w:rFonts w:hint="eastAsia" w:ascii="宋体" w:hAnsi="宋体" w:cs="宋体"/>
                <w:kern w:val="0"/>
                <w:sz w:val="24"/>
                <w:szCs w:val="24"/>
                <w:highlight w:val="none"/>
                <w:lang w:val="en-US" w:eastAsia="zh-CN"/>
              </w:rPr>
              <w:t>综合</w:t>
            </w:r>
            <w:r>
              <w:rPr>
                <w:rFonts w:hint="eastAsia" w:ascii="宋体" w:hAnsi="宋体" w:eastAsia="宋体" w:cs="宋体"/>
                <w:kern w:val="0"/>
                <w:sz w:val="24"/>
                <w:szCs w:val="24"/>
                <w:highlight w:val="none"/>
                <w:lang w:eastAsia="zh-CN"/>
              </w:rPr>
              <w:t>打分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包括但不限于总体保密管理、保密教育、文件保密管理、保密检查等，制度</w:t>
            </w:r>
            <w:r>
              <w:rPr>
                <w:rFonts w:hint="eastAsia" w:ascii="Times New Roman" w:hAnsi="Times New Roman" w:eastAsia="宋体" w:cs="Times New Roman"/>
                <w:lang w:val="en-US" w:eastAsia="zh-CN"/>
              </w:rPr>
              <w:t>针对性强，内容规范</w:t>
            </w:r>
            <w:r>
              <w:rPr>
                <w:rFonts w:hint="eastAsia" w:eastAsia="宋体" w:cs="Times New Roman"/>
                <w:lang w:val="en-US" w:eastAsia="zh-CN"/>
              </w:rPr>
              <w:t>科学</w:t>
            </w:r>
            <w:r>
              <w:rPr>
                <w:rFonts w:hint="eastAsia" w:ascii="宋体" w:hAnsi="宋体" w:cs="宋体"/>
                <w:color w:val="auto"/>
                <w:sz w:val="24"/>
                <w:highlight w:val="none"/>
                <w:lang w:val="en-US" w:eastAsia="zh-CN"/>
              </w:rPr>
              <w:t>的</w:t>
            </w:r>
            <w:r>
              <w:rPr>
                <w:rFonts w:hint="eastAsia"/>
                <w:highlight w:val="none"/>
                <w:lang w:val="en-US" w:eastAsia="zh-CN"/>
              </w:rPr>
              <w:t>得5分，内容一般得3分，考虑不够充分得1分，无方案得0分</w:t>
            </w:r>
            <w:r>
              <w:rPr>
                <w:rFonts w:hint="eastAsia"/>
                <w:highlight w:val="none"/>
              </w:rPr>
              <w:t>。</w:t>
            </w:r>
          </w:p>
        </w:tc>
        <w:tc>
          <w:tcPr>
            <w:tcW w:w="1187" w:type="dxa"/>
            <w:vAlign w:val="center"/>
          </w:tcPr>
          <w:p w14:paraId="0BB4B4E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0-5分</w:t>
            </w:r>
          </w:p>
        </w:tc>
      </w:tr>
      <w:tr w14:paraId="6A3B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1855" w:type="dxa"/>
            <w:vAlign w:val="center"/>
          </w:tcPr>
          <w:p w14:paraId="54DBD69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cs="宋体"/>
                <w:color w:val="auto"/>
                <w:sz w:val="24"/>
                <w:highlight w:val="none"/>
              </w:rPr>
            </w:pPr>
            <w:r>
              <w:rPr>
                <w:rFonts w:hint="eastAsia" w:ascii="宋体" w:hAnsi="宋体"/>
                <w:color w:val="auto"/>
                <w:kern w:val="0"/>
                <w:highlight w:val="none"/>
                <w:lang w:val="en-US" w:eastAsia="zh-CN"/>
              </w:rPr>
              <w:t>综合</w:t>
            </w:r>
            <w:r>
              <w:rPr>
                <w:rFonts w:hint="eastAsia" w:ascii="宋体" w:hAnsi="宋体" w:eastAsia="宋体"/>
                <w:color w:val="auto"/>
                <w:kern w:val="0"/>
                <w:highlight w:val="none"/>
              </w:rPr>
              <w:t>服务能力</w:t>
            </w:r>
          </w:p>
        </w:tc>
        <w:tc>
          <w:tcPr>
            <w:tcW w:w="6900" w:type="dxa"/>
            <w:vAlign w:val="center"/>
          </w:tcPr>
          <w:p w14:paraId="3D691B6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default"/>
                <w:highlight w:val="none"/>
                <w:lang w:eastAsia="zh-CN"/>
              </w:rPr>
            </w:pPr>
            <w:r>
              <w:rPr>
                <w:rFonts w:hint="eastAsia"/>
                <w:highlight w:val="none"/>
                <w:lang w:val="en-US" w:eastAsia="zh-CN"/>
              </w:rPr>
              <w:t>1.</w:t>
            </w:r>
            <w:r>
              <w:rPr>
                <w:rFonts w:hint="eastAsia" w:ascii="宋体" w:hAnsi="宋体" w:cs="宋体"/>
                <w:color w:val="auto"/>
                <w:sz w:val="24"/>
                <w:highlight w:val="none"/>
                <w:lang w:val="en-US" w:eastAsia="zh-CN"/>
              </w:rPr>
              <w:t>响应时效承诺。</w:t>
            </w:r>
            <w:r>
              <w:rPr>
                <w:rFonts w:hint="eastAsia"/>
                <w:highlight w:val="none"/>
                <w:lang w:val="en-US" w:eastAsia="zh-CN"/>
              </w:rPr>
              <w:t>承诺内容针对性、操作性强，</w:t>
            </w:r>
            <w:r>
              <w:rPr>
                <w:rFonts w:hint="eastAsia" w:cs="Times New Roman"/>
                <w:highlight w:val="none"/>
                <w:lang w:val="en-US" w:eastAsia="zh-CN"/>
              </w:rPr>
              <w:t>可行性高</w:t>
            </w:r>
            <w:r>
              <w:rPr>
                <w:rFonts w:hint="eastAsia" w:ascii="Times New Roman" w:hAnsi="Times New Roman" w:eastAsia="宋体" w:cs="Times New Roman"/>
                <w:highlight w:val="none"/>
                <w:lang w:val="en-US" w:eastAsia="zh-CN"/>
              </w:rPr>
              <w:t>，</w:t>
            </w:r>
            <w:r>
              <w:rPr>
                <w:rFonts w:hint="eastAsia" w:cs="Times New Roman"/>
                <w:highlight w:val="none"/>
                <w:lang w:val="en-US" w:eastAsia="zh-CN"/>
              </w:rPr>
              <w:t>措施得力的</w:t>
            </w:r>
            <w:r>
              <w:rPr>
                <w:rFonts w:hint="eastAsia" w:ascii="宋体" w:hAnsi="宋体" w:cs="宋体"/>
                <w:color w:val="auto"/>
                <w:sz w:val="24"/>
                <w:highlight w:val="none"/>
                <w:lang w:val="en-US" w:eastAsia="zh-CN"/>
              </w:rPr>
              <w:t>的</w:t>
            </w:r>
            <w:r>
              <w:rPr>
                <w:rFonts w:hint="eastAsia"/>
                <w:highlight w:val="none"/>
                <w:lang w:val="en-US" w:eastAsia="zh-CN"/>
              </w:rPr>
              <w:t>得4分；</w:t>
            </w:r>
            <w:r>
              <w:rPr>
                <w:rFonts w:hint="eastAsia" w:ascii="宋体" w:hAnsi="宋体" w:cs="宋体"/>
                <w:color w:val="auto"/>
                <w:sz w:val="24"/>
                <w:highlight w:val="none"/>
                <w:lang w:val="en-US" w:eastAsia="zh-CN"/>
              </w:rPr>
              <w:t>承诺</w:t>
            </w:r>
            <w:r>
              <w:rPr>
                <w:rFonts w:hint="eastAsia"/>
                <w:highlight w:val="none"/>
                <w:lang w:val="en-US" w:eastAsia="zh-CN"/>
              </w:rPr>
              <w:t>内容针对性、操作性、</w:t>
            </w:r>
            <w:r>
              <w:rPr>
                <w:rFonts w:hint="eastAsia" w:cs="Times New Roman"/>
                <w:highlight w:val="none"/>
                <w:lang w:val="en-US" w:eastAsia="zh-CN"/>
              </w:rPr>
              <w:t>可行性一般</w:t>
            </w:r>
            <w:r>
              <w:rPr>
                <w:rFonts w:hint="eastAsia"/>
                <w:highlight w:val="none"/>
                <w:lang w:val="en-US" w:eastAsia="zh-CN"/>
              </w:rPr>
              <w:t>，措施一般的得2分；无承诺的得0分</w:t>
            </w:r>
            <w:r>
              <w:rPr>
                <w:rFonts w:hint="eastAsia"/>
                <w:highlight w:val="none"/>
              </w:rPr>
              <w:t>。</w:t>
            </w:r>
          </w:p>
          <w:p w14:paraId="7F1C3FD8">
            <w:pPr>
              <w:keepNext w:val="0"/>
              <w:keepLines w:val="0"/>
              <w:suppressLineNumbers w:val="0"/>
              <w:spacing w:before="0" w:beforeAutospacing="0" w:after="0" w:afterAutospacing="0" w:line="360" w:lineRule="auto"/>
              <w:ind w:left="0" w:right="0"/>
              <w:jc w:val="left"/>
              <w:rPr>
                <w:rFonts w:hint="default"/>
                <w:highlight w:val="none"/>
                <w:lang w:val="en-US" w:eastAsia="zh-CN"/>
              </w:rPr>
            </w:pPr>
            <w:r>
              <w:rPr>
                <w:rFonts w:hint="eastAsia"/>
                <w:highlight w:val="none"/>
                <w:lang w:val="en-US" w:eastAsia="zh-CN"/>
              </w:rPr>
              <w:t>2.</w:t>
            </w:r>
            <w:r>
              <w:rPr>
                <w:rFonts w:hint="eastAsia" w:ascii="宋体" w:hAnsi="宋体" w:cs="宋体"/>
                <w:color w:val="auto"/>
                <w:sz w:val="24"/>
                <w:highlight w:val="none"/>
                <w:lang w:val="en-US" w:eastAsia="zh-CN"/>
              </w:rPr>
              <w:t>服务人员安排承诺。承诺</w:t>
            </w:r>
            <w:r>
              <w:rPr>
                <w:rFonts w:hint="eastAsia"/>
                <w:highlight w:val="none"/>
                <w:lang w:val="en-US" w:eastAsia="zh-CN"/>
              </w:rPr>
              <w:t>内容针对性、操作性强，</w:t>
            </w:r>
            <w:r>
              <w:rPr>
                <w:rFonts w:hint="eastAsia" w:cs="Times New Roman"/>
                <w:highlight w:val="none"/>
                <w:lang w:val="en-US" w:eastAsia="zh-CN"/>
              </w:rPr>
              <w:t>可行性高</w:t>
            </w:r>
            <w:r>
              <w:rPr>
                <w:rFonts w:hint="eastAsia" w:ascii="Times New Roman" w:hAnsi="Times New Roman" w:eastAsia="宋体" w:cs="Times New Roman"/>
                <w:highlight w:val="none"/>
                <w:lang w:val="en-US" w:eastAsia="zh-CN"/>
              </w:rPr>
              <w:t>，</w:t>
            </w:r>
            <w:r>
              <w:rPr>
                <w:rFonts w:hint="eastAsia" w:cs="Times New Roman"/>
                <w:highlight w:val="none"/>
                <w:lang w:val="en-US" w:eastAsia="zh-CN"/>
              </w:rPr>
              <w:t>措施得力</w:t>
            </w:r>
            <w:r>
              <w:rPr>
                <w:rFonts w:hint="eastAsia" w:ascii="宋体" w:hAnsi="宋体" w:cs="宋体"/>
                <w:color w:val="auto"/>
                <w:sz w:val="24"/>
                <w:highlight w:val="none"/>
                <w:lang w:val="en-US" w:eastAsia="zh-CN"/>
              </w:rPr>
              <w:t>的</w:t>
            </w:r>
            <w:r>
              <w:rPr>
                <w:rFonts w:hint="eastAsia"/>
                <w:highlight w:val="none"/>
                <w:lang w:val="en-US" w:eastAsia="zh-CN"/>
              </w:rPr>
              <w:t>得4分；</w:t>
            </w:r>
            <w:r>
              <w:rPr>
                <w:rFonts w:hint="eastAsia" w:ascii="宋体" w:hAnsi="宋体" w:cs="宋体"/>
                <w:color w:val="auto"/>
                <w:sz w:val="24"/>
                <w:highlight w:val="none"/>
                <w:lang w:val="en-US" w:eastAsia="zh-CN"/>
              </w:rPr>
              <w:t>承诺</w:t>
            </w:r>
            <w:r>
              <w:rPr>
                <w:rFonts w:hint="eastAsia"/>
                <w:highlight w:val="none"/>
                <w:lang w:val="en-US" w:eastAsia="zh-CN"/>
              </w:rPr>
              <w:t>内容针对性、操作性、</w:t>
            </w:r>
            <w:r>
              <w:rPr>
                <w:rFonts w:hint="eastAsia" w:cs="Times New Roman"/>
                <w:highlight w:val="none"/>
                <w:lang w:val="en-US" w:eastAsia="zh-CN"/>
              </w:rPr>
              <w:t>可行性一般</w:t>
            </w:r>
            <w:r>
              <w:rPr>
                <w:rFonts w:hint="eastAsia"/>
                <w:highlight w:val="none"/>
                <w:lang w:val="en-US" w:eastAsia="zh-CN"/>
              </w:rPr>
              <w:t>，措施一般的得2分；无承诺的得0分</w:t>
            </w:r>
            <w:r>
              <w:rPr>
                <w:rFonts w:hint="eastAsia"/>
                <w:highlight w:val="none"/>
              </w:rPr>
              <w:t>。</w:t>
            </w:r>
          </w:p>
        </w:tc>
        <w:tc>
          <w:tcPr>
            <w:tcW w:w="1187" w:type="dxa"/>
            <w:vAlign w:val="center"/>
          </w:tcPr>
          <w:p w14:paraId="50587CF5">
            <w:pPr>
              <w:pStyle w:val="2"/>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z w:val="24"/>
                <w:highlight w:val="none"/>
                <w:lang w:val="en-US" w:eastAsia="zh-CN"/>
              </w:rPr>
            </w:pPr>
            <w:r>
              <w:rPr>
                <w:rFonts w:hint="eastAsia"/>
                <w:lang w:val="en-US" w:eastAsia="zh-CN"/>
              </w:rPr>
              <w:t>0-8分</w:t>
            </w:r>
          </w:p>
        </w:tc>
      </w:tr>
      <w:tr w14:paraId="12F3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55" w:type="dxa"/>
            <w:vAlign w:val="center"/>
          </w:tcPr>
          <w:p w14:paraId="2E05282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廉政措施</w:t>
            </w:r>
          </w:p>
        </w:tc>
        <w:tc>
          <w:tcPr>
            <w:tcW w:w="6900" w:type="dxa"/>
            <w:vAlign w:val="center"/>
          </w:tcPr>
          <w:p w14:paraId="32152A7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对审核人员廉洁方面的控制及采取的措施等内容综合打分</w:t>
            </w:r>
            <w:r>
              <w:rPr>
                <w:rFonts w:hint="eastAsia" w:ascii="宋体" w:hAnsi="宋体" w:cs="宋体"/>
                <w:color w:val="auto"/>
                <w:sz w:val="24"/>
                <w:highlight w:val="none"/>
                <w:lang w:eastAsia="zh-CN"/>
              </w:rPr>
              <w:t>，</w:t>
            </w:r>
            <w:r>
              <w:rPr>
                <w:rFonts w:hint="eastAsia" w:ascii="宋体" w:hAnsi="宋体" w:cs="宋体"/>
                <w:kern w:val="0"/>
                <w:sz w:val="24"/>
                <w:szCs w:val="24"/>
                <w:highlight w:val="none"/>
                <w:lang w:val="en-US" w:eastAsia="zh-CN"/>
              </w:rPr>
              <w:t>包括但不限于内部教育、风险防控等，</w:t>
            </w:r>
            <w:r>
              <w:rPr>
                <w:rFonts w:hint="eastAsia" w:cs="Times New Roman"/>
                <w:lang w:val="en-US" w:eastAsia="zh-CN"/>
              </w:rPr>
              <w:t>方案</w:t>
            </w:r>
            <w:r>
              <w:rPr>
                <w:rFonts w:hint="eastAsia" w:ascii="Times New Roman" w:hAnsi="Times New Roman" w:eastAsia="宋体" w:cs="Times New Roman"/>
                <w:lang w:val="en-US" w:eastAsia="zh-CN"/>
              </w:rPr>
              <w:t>针对性强，内容规范</w:t>
            </w:r>
            <w:r>
              <w:rPr>
                <w:rFonts w:hint="eastAsia" w:eastAsia="宋体" w:cs="Times New Roman"/>
                <w:lang w:val="en-US" w:eastAsia="zh-CN"/>
              </w:rPr>
              <w:t>科学</w:t>
            </w:r>
            <w:r>
              <w:rPr>
                <w:rFonts w:hint="eastAsia" w:ascii="宋体" w:hAnsi="宋体" w:cs="宋体"/>
                <w:color w:val="auto"/>
                <w:sz w:val="24"/>
                <w:highlight w:val="none"/>
                <w:lang w:val="en-US" w:eastAsia="zh-CN"/>
              </w:rPr>
              <w:t>的</w:t>
            </w:r>
            <w:r>
              <w:rPr>
                <w:rFonts w:hint="eastAsia"/>
                <w:highlight w:val="none"/>
                <w:lang w:val="en-US" w:eastAsia="zh-CN"/>
              </w:rPr>
              <w:t>得3分，方案合理措施一般得2分，方案考虑不够充分得1分，无方案得0分</w:t>
            </w:r>
            <w:r>
              <w:rPr>
                <w:rFonts w:hint="eastAsia"/>
                <w:highlight w:val="none"/>
              </w:rPr>
              <w:t>。</w:t>
            </w:r>
          </w:p>
        </w:tc>
        <w:tc>
          <w:tcPr>
            <w:tcW w:w="1187" w:type="dxa"/>
            <w:vAlign w:val="center"/>
          </w:tcPr>
          <w:p w14:paraId="0F4A562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0-3分</w:t>
            </w:r>
          </w:p>
        </w:tc>
      </w:tr>
      <w:tr w14:paraId="543D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855" w:type="dxa"/>
            <w:vAlign w:val="center"/>
          </w:tcPr>
          <w:p w14:paraId="1E5F848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olor w:val="auto"/>
                <w:kern w:val="0"/>
              </w:rPr>
            </w:pPr>
            <w:r>
              <w:rPr>
                <w:rFonts w:hint="eastAsia" w:ascii="宋体" w:hAnsi="宋体" w:eastAsia="宋体"/>
                <w:color w:val="auto"/>
                <w:kern w:val="0"/>
              </w:rPr>
              <w:t>履约情况及用户评价</w:t>
            </w:r>
          </w:p>
        </w:tc>
        <w:tc>
          <w:tcPr>
            <w:tcW w:w="6900" w:type="dxa"/>
            <w:vAlign w:val="center"/>
          </w:tcPr>
          <w:p w14:paraId="6008702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auto"/>
                <w:sz w:val="24"/>
                <w:highlight w:val="none"/>
              </w:rPr>
            </w:pPr>
            <w:r>
              <w:rPr>
                <w:rFonts w:hint="eastAsia" w:ascii="Times New Roman" w:hAnsi="Times New Roman" w:eastAsia="宋体" w:cs="宋体"/>
                <w:kern w:val="2"/>
                <w:sz w:val="24"/>
                <w:szCs w:val="24"/>
                <w:lang w:val="en-US" w:eastAsia="zh-CN" w:bidi="ar-SA"/>
              </w:rPr>
              <w:t>凡在响应文件截止时间前三年受到行政处罚、行政处理（含通报）或记入不良行为的，此项得分为0，若无处罚、行政处理（含通报）或记入不良行为的得5分（供应商自行提供，如有不良记录又虚假隐瞒的，一经发现将取消投标资格）。</w:t>
            </w:r>
          </w:p>
        </w:tc>
        <w:tc>
          <w:tcPr>
            <w:tcW w:w="1187" w:type="dxa"/>
            <w:vAlign w:val="center"/>
          </w:tcPr>
          <w:p w14:paraId="17FE292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cs="宋体"/>
                <w:bCs/>
                <w:color w:val="auto"/>
                <w:sz w:val="24"/>
                <w:highlight w:val="none"/>
                <w:lang w:val="en-US" w:eastAsia="zh-CN"/>
              </w:rPr>
              <w:t>0-5分</w:t>
            </w:r>
          </w:p>
        </w:tc>
      </w:tr>
      <w:tr w14:paraId="2871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942" w:type="dxa"/>
            <w:gridSpan w:val="3"/>
            <w:vAlign w:val="center"/>
          </w:tcPr>
          <w:p w14:paraId="6542A7B4">
            <w:pPr>
              <w:keepNext w:val="0"/>
              <w:keepLines w:val="0"/>
              <w:pageBreakBefore w:val="0"/>
              <w:suppressLineNumbers w:val="0"/>
              <w:tabs>
                <w:tab w:val="left" w:pos="3909"/>
              </w:tabs>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ab/>
            </w:r>
            <w:r>
              <w:rPr>
                <w:rFonts w:hint="eastAsia" w:ascii="宋体" w:hAnsi="宋体" w:cs="宋体"/>
                <w:b/>
                <w:bCs/>
                <w:color w:val="auto"/>
                <w:sz w:val="24"/>
                <w:highlight w:val="none"/>
              </w:rPr>
              <w:t>商务资信及其他分（</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分</w:t>
            </w:r>
            <w:r>
              <w:rPr>
                <w:rFonts w:hint="eastAsia" w:ascii="宋体" w:hAnsi="宋体" w:cs="宋体"/>
                <w:color w:val="auto"/>
                <w:sz w:val="24"/>
                <w:highlight w:val="none"/>
              </w:rPr>
              <w:t>）</w:t>
            </w:r>
          </w:p>
        </w:tc>
      </w:tr>
      <w:tr w14:paraId="7D11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855" w:type="dxa"/>
            <w:vAlign w:val="center"/>
          </w:tcPr>
          <w:p w14:paraId="46C873C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承诺误差率</w:t>
            </w:r>
          </w:p>
        </w:tc>
        <w:tc>
          <w:tcPr>
            <w:tcW w:w="6900" w:type="dxa"/>
            <w:vAlign w:val="center"/>
          </w:tcPr>
          <w:p w14:paraId="734A42E4">
            <w:pPr>
              <w:pStyle w:val="2"/>
              <w:keepNext w:val="0"/>
              <w:keepLines w:val="0"/>
              <w:pageBreakBefore w:val="0"/>
              <w:numPr>
                <w:ilvl w:val="-1"/>
                <w:numId w:val="0"/>
              </w:numPr>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left"/>
              <w:textAlignment w:val="auto"/>
              <w:rPr>
                <w:rFonts w:hint="eastAsia"/>
              </w:rPr>
            </w:pPr>
            <w:r>
              <w:rPr>
                <w:rFonts w:hint="eastAsia"/>
                <w:lang w:val="en-US" w:eastAsia="zh-CN"/>
              </w:rPr>
              <w:t>1.</w:t>
            </w:r>
            <w:r>
              <w:rPr>
                <w:rFonts w:hint="eastAsia"/>
              </w:rPr>
              <w:t>承诺</w:t>
            </w:r>
            <w:r>
              <w:rPr>
                <w:rFonts w:hint="eastAsia"/>
                <w:lang w:val="en-US" w:eastAsia="zh-CN"/>
              </w:rPr>
              <w:t>概算</w:t>
            </w:r>
            <w:r>
              <w:rPr>
                <w:rFonts w:hint="eastAsia"/>
              </w:rPr>
              <w:t>审核误差率在</w:t>
            </w:r>
            <w:r>
              <w:rPr>
                <w:rFonts w:hint="eastAsia"/>
                <w:lang w:val="en-US" w:eastAsia="zh-CN"/>
              </w:rPr>
              <w:t>4</w:t>
            </w:r>
            <w:r>
              <w:rPr>
                <w:rFonts w:hint="eastAsia"/>
              </w:rPr>
              <w:t>%（含）以内的得</w:t>
            </w:r>
            <w:r>
              <w:rPr>
                <w:rFonts w:hint="eastAsia"/>
                <w:lang w:val="en-US" w:eastAsia="zh-CN"/>
              </w:rPr>
              <w:t>2</w:t>
            </w:r>
            <w:r>
              <w:rPr>
                <w:rFonts w:hint="eastAsia"/>
              </w:rPr>
              <w:t>分，不承诺或超过</w:t>
            </w:r>
            <w:r>
              <w:rPr>
                <w:rFonts w:hint="eastAsia"/>
                <w:lang w:val="en-US" w:eastAsia="zh-CN"/>
              </w:rPr>
              <w:t>4</w:t>
            </w:r>
            <w:r>
              <w:rPr>
                <w:rFonts w:hint="eastAsia"/>
              </w:rPr>
              <w:t>%（不含）的不得分。</w:t>
            </w:r>
          </w:p>
          <w:p w14:paraId="0FFFDC35">
            <w:pPr>
              <w:pStyle w:val="2"/>
              <w:keepNext w:val="0"/>
              <w:keepLines w:val="0"/>
              <w:numPr>
                <w:ilvl w:val="-1"/>
                <w:numId w:val="0"/>
              </w:numPr>
              <w:suppressLineNumbers w:val="0"/>
              <w:spacing w:before="0" w:beforeAutospacing="0" w:afterAutospacing="0"/>
              <w:ind w:left="0" w:leftChars="0" w:right="0" w:rightChars="0" w:firstLine="0" w:firstLineChars="0"/>
              <w:rPr>
                <w:rFonts w:hint="eastAsia" w:ascii="Times New Roman" w:hAnsi="Times New Roman" w:eastAsia="宋体" w:cs="宋体"/>
                <w:kern w:val="2"/>
                <w:sz w:val="24"/>
                <w:szCs w:val="24"/>
                <w:lang w:val="en-US" w:eastAsia="zh-CN" w:bidi="ar-SA"/>
              </w:rPr>
            </w:pPr>
            <w:r>
              <w:rPr>
                <w:rFonts w:hint="eastAsia"/>
                <w:lang w:val="en-US" w:eastAsia="zh-CN"/>
              </w:rPr>
              <w:t>2.</w:t>
            </w:r>
            <w:r>
              <w:rPr>
                <w:rFonts w:hint="eastAsia"/>
              </w:rPr>
              <w:t>承诺</w:t>
            </w:r>
            <w:r>
              <w:rPr>
                <w:rFonts w:hint="default" w:ascii="宋体" w:hAnsi="宋体" w:eastAsia="宋体" w:cs="宋体"/>
                <w:spacing w:val="-4"/>
                <w:kern w:val="0"/>
                <w:sz w:val="24"/>
                <w:szCs w:val="24"/>
                <w:highlight w:val="none"/>
                <w:lang w:val="en-US" w:eastAsia="zh-CN" w:bidi="ar-SA"/>
              </w:rPr>
              <w:t>工程结算</w:t>
            </w:r>
            <w:r>
              <w:rPr>
                <w:rFonts w:hint="eastAsia"/>
              </w:rPr>
              <w:t>审核误差率在</w:t>
            </w:r>
            <w:r>
              <w:rPr>
                <w:rFonts w:hint="eastAsia"/>
                <w:lang w:val="en-US" w:eastAsia="zh-CN"/>
              </w:rPr>
              <w:t>3</w:t>
            </w:r>
            <w:r>
              <w:rPr>
                <w:rFonts w:hint="eastAsia"/>
              </w:rPr>
              <w:t>%（含）以内的得</w:t>
            </w:r>
            <w:r>
              <w:rPr>
                <w:rFonts w:hint="eastAsia"/>
                <w:lang w:val="en-US" w:eastAsia="zh-CN"/>
              </w:rPr>
              <w:t>3</w:t>
            </w:r>
            <w:r>
              <w:rPr>
                <w:rFonts w:hint="eastAsia"/>
              </w:rPr>
              <w:t>分，不承诺或超过</w:t>
            </w:r>
            <w:r>
              <w:rPr>
                <w:rFonts w:hint="eastAsia"/>
                <w:lang w:val="en-US" w:eastAsia="zh-CN"/>
              </w:rPr>
              <w:t>3</w:t>
            </w:r>
            <w:r>
              <w:rPr>
                <w:rFonts w:hint="eastAsia"/>
              </w:rPr>
              <w:t>%（不含）的不得分</w:t>
            </w:r>
            <w:r>
              <w:rPr>
                <w:rFonts w:hint="eastAsia"/>
                <w:lang w:eastAsia="zh-CN"/>
              </w:rPr>
              <w:t>。</w:t>
            </w:r>
          </w:p>
        </w:tc>
        <w:tc>
          <w:tcPr>
            <w:tcW w:w="1187" w:type="dxa"/>
            <w:vAlign w:val="center"/>
          </w:tcPr>
          <w:p w14:paraId="5CA86E3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tc>
      </w:tr>
    </w:tbl>
    <w:p w14:paraId="632394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注：</w:t>
      </w:r>
    </w:p>
    <w:p w14:paraId="492A38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1、上述评分表中，涉及拟派</w:t>
      </w:r>
      <w:r>
        <w:rPr>
          <w:rFonts w:hint="eastAsia" w:ascii="宋体" w:hAnsi="宋体" w:cs="宋体"/>
          <w:b w:val="0"/>
          <w:bCs/>
          <w:color w:val="auto"/>
          <w:sz w:val="21"/>
          <w:szCs w:val="21"/>
          <w:highlight w:val="none"/>
          <w:lang w:eastAsia="zh-CN"/>
        </w:rPr>
        <w:t>团队</w:t>
      </w:r>
      <w:r>
        <w:rPr>
          <w:rFonts w:hint="eastAsia" w:ascii="宋体" w:hAnsi="宋体" w:cs="宋体"/>
          <w:b w:val="0"/>
          <w:bCs/>
          <w:color w:val="auto"/>
          <w:sz w:val="21"/>
          <w:szCs w:val="21"/>
          <w:highlight w:val="none"/>
          <w:lang w:val="en-US" w:eastAsia="zh-CN"/>
        </w:rPr>
        <w:t>人员</w:t>
      </w:r>
      <w:r>
        <w:rPr>
          <w:rFonts w:hint="eastAsia" w:ascii="宋体" w:hAnsi="宋体" w:eastAsia="宋体" w:cs="宋体"/>
          <w:b w:val="0"/>
          <w:bCs/>
          <w:color w:val="auto"/>
          <w:sz w:val="21"/>
          <w:szCs w:val="21"/>
          <w:highlight w:val="none"/>
        </w:rPr>
        <w:t>资格证明材料，要求如下：</w:t>
      </w:r>
    </w:p>
    <w:p w14:paraId="56CA91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1.1.中华人民共和国交通运输部颁发的甲级公路工程造价员资格证书视同一级，乙级公路工程造价员资格证书视同二级，中华人民共和国交通运输部颁发的水运工程造价师资格证书视同一级</w:t>
      </w:r>
      <w:r>
        <w:rPr>
          <w:rFonts w:hint="eastAsia" w:ascii="宋体" w:hAnsi="宋体" w:cs="宋体"/>
          <w:bCs/>
          <w:color w:val="auto"/>
          <w:sz w:val="21"/>
          <w:szCs w:val="21"/>
          <w:highlight w:val="none"/>
          <w:lang w:eastAsia="zh-CN"/>
        </w:rPr>
        <w:t>（计算得分时公路或水运专业算相同专业）</w:t>
      </w:r>
      <w:r>
        <w:rPr>
          <w:rFonts w:hint="eastAsia" w:ascii="宋体" w:hAnsi="宋体" w:eastAsia="宋体" w:cs="宋体"/>
          <w:b w:val="0"/>
          <w:bCs/>
          <w:color w:val="auto"/>
          <w:sz w:val="21"/>
          <w:szCs w:val="21"/>
          <w:highlight w:val="none"/>
        </w:rPr>
        <w:t>；中国水利工程协会颁布或水利部注册颁发的水利工程造价工程师资格证书视同一级；建设部原注册造价工程师视同为一级，其专业的认定需提供资格证书予以证明。</w:t>
      </w:r>
    </w:p>
    <w:p w14:paraId="4147BA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1.2.所有证书必须真实、合规，在有效期内。</w:t>
      </w:r>
    </w:p>
    <w:p w14:paraId="429BCA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1.3.响应文件中须提供清晰可辨的证书彩色扫描件、身份证彩色扫描件（正反面）。</w:t>
      </w:r>
    </w:p>
    <w:p w14:paraId="2B13D5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1.4.如供应商提供的证书扫描件因模糊不清而造成评标委员会在评审时做出对供应商不利的评审由供应商自行承担。</w:t>
      </w:r>
    </w:p>
    <w:p w14:paraId="345EC5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1.5.项目组所有人员均须提相关人员与</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的劳动关系，以响应截止时间前3个月的社会保险或退休人员返聘合同为准。出具时参保单位与响应供应商一致，如参保单位为响应供应商总公司（或分公司）或响应供应商母公司（或子公司），均予以认可。</w:t>
      </w:r>
    </w:p>
    <w:p w14:paraId="563FE9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1.6.造价工程师（一级、二级、甲级、乙级注册资质）已注册未领证或因换证、年审、变更等原因无法提供注册证书原件扫描件的，须提供相应的资格证书原件扫描件及造价工程师注册管理系统的打印件。</w:t>
      </w:r>
    </w:p>
    <w:p w14:paraId="3C6110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2、涉及拟派</w:t>
      </w:r>
      <w:r>
        <w:rPr>
          <w:rFonts w:hint="eastAsia" w:ascii="宋体" w:hAnsi="宋体" w:cs="宋体"/>
          <w:b w:val="0"/>
          <w:bCs/>
          <w:color w:val="auto"/>
          <w:sz w:val="21"/>
          <w:szCs w:val="21"/>
          <w:highlight w:val="none"/>
          <w:lang w:eastAsia="zh-CN"/>
        </w:rPr>
        <w:t>团队</w:t>
      </w:r>
      <w:r>
        <w:rPr>
          <w:rFonts w:hint="eastAsia" w:ascii="宋体" w:hAnsi="宋体" w:cs="宋体"/>
          <w:b w:val="0"/>
          <w:bCs/>
          <w:color w:val="auto"/>
          <w:sz w:val="21"/>
          <w:szCs w:val="21"/>
          <w:highlight w:val="none"/>
          <w:lang w:val="en-US" w:eastAsia="zh-CN"/>
        </w:rPr>
        <w:t>人员</w:t>
      </w:r>
      <w:r>
        <w:rPr>
          <w:rFonts w:hint="eastAsia" w:ascii="宋体" w:hAnsi="宋体" w:eastAsia="宋体" w:cs="宋体"/>
          <w:b w:val="0"/>
          <w:bCs/>
          <w:color w:val="auto"/>
          <w:sz w:val="21"/>
          <w:szCs w:val="21"/>
          <w:highlight w:val="none"/>
        </w:rPr>
        <w:t>经验证明材料，要求如下：</w:t>
      </w:r>
    </w:p>
    <w:p w14:paraId="6622C8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2.1.响应文件中须提供清晰可辨的合同扫描件、成果文件扫描件。</w:t>
      </w:r>
    </w:p>
    <w:p w14:paraId="4BE850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2.2.拟派团队人员在其他单位工作期间的项目经验，须提供同期在其他单位的社保证明。</w:t>
      </w:r>
    </w:p>
    <w:p w14:paraId="1A1946A9">
      <w:pPr>
        <w:spacing w:line="360" w:lineRule="auto"/>
        <w:jc w:val="left"/>
        <w:rPr>
          <w:rFonts w:hint="eastAsia" w:ascii="宋体" w:hAnsi="宋体" w:eastAsia="宋体" w:cs="宋体"/>
          <w:bCs w:val="0"/>
          <w:kern w:val="2"/>
          <w:sz w:val="32"/>
          <w:szCs w:val="32"/>
          <w:lang w:eastAsia="zh-CN"/>
        </w:rPr>
      </w:pPr>
      <w:r>
        <w:rPr>
          <w:rFonts w:hint="eastAsia" w:ascii="宋体" w:hAnsi="宋体" w:eastAsia="宋体" w:cs="宋体"/>
          <w:b w:val="0"/>
          <w:bCs/>
          <w:color w:val="auto"/>
          <w:sz w:val="21"/>
          <w:szCs w:val="21"/>
          <w:highlight w:val="none"/>
        </w:rPr>
        <w:t>2.3.如供应商提供的合同扫描件因模糊不清而造成评标委员会在评审时做出对供应商不利的评审由供应商自行承担。</w:t>
      </w:r>
      <w:bookmarkEnd w:id="74"/>
      <w:bookmarkStart w:id="75" w:name="_Toc7432608"/>
      <w:bookmarkStart w:id="76" w:name="_Toc1409419452"/>
    </w:p>
    <w:p w14:paraId="4FAF6AFA">
      <w:pPr>
        <w:pStyle w:val="5"/>
        <w:pageBreakBefore/>
        <w:spacing w:before="240" w:after="240" w:line="340" w:lineRule="exact"/>
        <w:jc w:val="center"/>
        <w:rPr>
          <w:rFonts w:hint="eastAsia" w:ascii="宋体" w:hAnsi="宋体" w:eastAsia="宋体" w:cs="宋体"/>
          <w:bCs w:val="0"/>
          <w:kern w:val="2"/>
          <w:sz w:val="32"/>
          <w:szCs w:val="32"/>
          <w:lang w:eastAsia="zh-CN"/>
        </w:rPr>
      </w:pPr>
      <w:r>
        <w:rPr>
          <w:rFonts w:hint="eastAsia" w:ascii="宋体" w:hAnsi="宋体" w:eastAsia="宋体" w:cs="宋体"/>
          <w:bCs w:val="0"/>
          <w:kern w:val="2"/>
          <w:sz w:val="32"/>
          <w:szCs w:val="32"/>
          <w:lang w:eastAsia="zh-CN"/>
        </w:rPr>
        <w:t>第五章</w:t>
      </w:r>
      <w:r>
        <w:rPr>
          <w:rFonts w:hint="eastAsia" w:ascii="宋体" w:hAnsi="宋体" w:eastAsia="宋体" w:cs="宋体"/>
          <w:bCs w:val="0"/>
          <w:kern w:val="2"/>
          <w:sz w:val="32"/>
          <w:szCs w:val="32"/>
          <w:lang w:val="en-US" w:eastAsia="zh-CN"/>
        </w:rPr>
        <w:t xml:space="preserve">  </w:t>
      </w:r>
      <w:r>
        <w:rPr>
          <w:rFonts w:hint="eastAsia" w:ascii="宋体" w:hAnsi="宋体" w:eastAsia="宋体" w:cs="宋体"/>
          <w:bCs w:val="0"/>
          <w:kern w:val="2"/>
          <w:sz w:val="32"/>
          <w:szCs w:val="32"/>
          <w:lang w:eastAsia="zh-CN"/>
        </w:rPr>
        <w:t>框架协议主要条款</w:t>
      </w:r>
    </w:p>
    <w:p w14:paraId="02F1C935">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jc w:val="center"/>
        <w:textAlignment w:val="auto"/>
        <w:rPr>
          <w:rFonts w:hint="eastAsia" w:hAnsi="宋体" w:cs="宋体"/>
          <w:sz w:val="24"/>
          <w:highlight w:val="none"/>
        </w:rPr>
      </w:pPr>
      <w:r>
        <w:rPr>
          <w:rFonts w:hint="eastAsia" w:cs="宋体"/>
          <w:b/>
          <w:bCs w:val="0"/>
          <w:kern w:val="2"/>
          <w:sz w:val="32"/>
          <w:szCs w:val="32"/>
          <w:lang w:val="en-US" w:eastAsia="zh-CN" w:bidi="ar-SA"/>
        </w:rPr>
        <w:t>（参考文本）</w:t>
      </w:r>
    </w:p>
    <w:p w14:paraId="6AA8782A">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int="default" w:hAnsi="宋体" w:cs="宋体"/>
          <w:sz w:val="24"/>
          <w:highlight w:val="none"/>
          <w:lang w:val="en-US"/>
        </w:rPr>
      </w:pPr>
      <w:r>
        <w:rPr>
          <w:rFonts w:hint="eastAsia" w:hAnsi="宋体" w:cs="宋体"/>
          <w:sz w:val="24"/>
          <w:highlight w:val="none"/>
        </w:rPr>
        <w:t>征集人（甲方）：</w:t>
      </w:r>
      <w:r>
        <w:rPr>
          <w:rFonts w:hint="eastAsia" w:hAnsi="宋体" w:cs="宋体"/>
          <w:sz w:val="24"/>
          <w:highlight w:val="none"/>
          <w:lang w:val="en-US" w:eastAsia="zh-CN"/>
        </w:rPr>
        <w:t>嘉善县公共资源交易中心</w:t>
      </w:r>
    </w:p>
    <w:p w14:paraId="0190C6CF">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供应商（乙方）：</w:t>
      </w:r>
    </w:p>
    <w:p w14:paraId="4BACA707">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jc w:val="both"/>
        <w:textAlignment w:val="auto"/>
        <w:rPr>
          <w:rFonts w:hAnsi="宋体" w:cs="宋体"/>
          <w:sz w:val="24"/>
          <w:highlight w:val="none"/>
        </w:rPr>
      </w:pPr>
      <w:r>
        <w:rPr>
          <w:rFonts w:hint="eastAsia" w:hAnsi="宋体" w:cs="宋体"/>
          <w:sz w:val="24"/>
          <w:highlight w:val="none"/>
        </w:rPr>
        <w:t>根据“202</w:t>
      </w:r>
      <w:r>
        <w:rPr>
          <w:rFonts w:hint="eastAsia" w:hAnsi="宋体" w:cs="宋体"/>
          <w:sz w:val="24"/>
          <w:highlight w:val="none"/>
          <w:lang w:val="en-US" w:eastAsia="zh-CN"/>
        </w:rPr>
        <w:t>5</w:t>
      </w:r>
      <w:r>
        <w:rPr>
          <w:rFonts w:hint="eastAsia" w:hAnsi="宋体" w:cs="宋体"/>
          <w:sz w:val="24"/>
          <w:highlight w:val="none"/>
        </w:rPr>
        <w:t>-202</w:t>
      </w:r>
      <w:r>
        <w:rPr>
          <w:rFonts w:hint="eastAsia" w:hAnsi="宋体" w:cs="宋体"/>
          <w:sz w:val="24"/>
          <w:highlight w:val="none"/>
          <w:lang w:val="en-US" w:eastAsia="zh-CN"/>
        </w:rPr>
        <w:t>6年</w:t>
      </w:r>
      <w:r>
        <w:rPr>
          <w:rFonts w:hint="eastAsia" w:hAnsi="宋体" w:cs="宋体"/>
          <w:sz w:val="24"/>
          <w:highlight w:val="none"/>
        </w:rPr>
        <w:t>嘉善县政府投资项目工程造价咨询服务框架协议采购</w:t>
      </w:r>
      <w:r>
        <w:rPr>
          <w:rFonts w:hint="eastAsia" w:ascii="宋体" w:hAnsi="宋体" w:eastAsia="宋体" w:cs="宋体"/>
          <w:spacing w:val="-4"/>
          <w:kern w:val="0"/>
          <w:sz w:val="24"/>
          <w:szCs w:val="24"/>
          <w:highlight w:val="none"/>
          <w:lang w:val="en-US" w:eastAsia="zh-CN" w:bidi="ar-SA"/>
        </w:rPr>
        <w:t>”要求、</w:t>
      </w:r>
      <w:r>
        <w:rPr>
          <w:rFonts w:hint="eastAsia" w:ascii="宋体" w:hAnsi="宋体" w:cs="宋体"/>
          <w:spacing w:val="-4"/>
          <w:kern w:val="0"/>
          <w:sz w:val="24"/>
          <w:szCs w:val="24"/>
          <w:highlight w:val="none"/>
          <w:lang w:val="en-US" w:eastAsia="zh-CN" w:bidi="ar-SA"/>
        </w:rPr>
        <w:t>采购</w:t>
      </w:r>
      <w:r>
        <w:rPr>
          <w:rFonts w:hint="eastAsia" w:ascii="宋体" w:hAnsi="宋体" w:eastAsia="宋体" w:cs="宋体"/>
          <w:spacing w:val="-4"/>
          <w:kern w:val="0"/>
          <w:sz w:val="24"/>
          <w:szCs w:val="24"/>
          <w:highlight w:val="none"/>
          <w:lang w:val="en-US" w:eastAsia="zh-CN" w:bidi="ar-SA"/>
        </w:rPr>
        <w:t>结果和《中华人民共和国政府采购法》、《政府采购框架协议采购方式管理暂行办法》等相关法律法规要求，双方</w:t>
      </w:r>
      <w:r>
        <w:rPr>
          <w:rFonts w:hint="eastAsia" w:hAnsi="宋体" w:cs="宋体"/>
          <w:sz w:val="24"/>
          <w:highlight w:val="none"/>
        </w:rPr>
        <w:t>经协商，达成以下条款，签订本协议。</w:t>
      </w:r>
    </w:p>
    <w:p w14:paraId="3FAF07A9">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b/>
          <w:bCs/>
          <w:sz w:val="24"/>
          <w:highlight w:val="none"/>
        </w:rPr>
      </w:pPr>
      <w:r>
        <w:rPr>
          <w:rFonts w:hint="eastAsia" w:hAnsi="宋体" w:cs="宋体"/>
          <w:b/>
          <w:bCs/>
          <w:sz w:val="24"/>
          <w:highlight w:val="none"/>
        </w:rPr>
        <w:t>1.定义</w:t>
      </w:r>
    </w:p>
    <w:p w14:paraId="55603896">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本协议中的下列术语应解释为：</w:t>
      </w:r>
    </w:p>
    <w:p w14:paraId="0A465936">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1.1“协议”系指载明甲方与乙方协利义务的协议，包括所有的附件、附录和其他构成协议的所有文件。</w:t>
      </w:r>
    </w:p>
    <w:p w14:paraId="2C150A4E">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int="eastAsia" w:hAnsi="宋体" w:cs="宋体"/>
          <w:sz w:val="24"/>
          <w:highlight w:val="none"/>
        </w:rPr>
      </w:pPr>
      <w:r>
        <w:rPr>
          <w:rFonts w:hint="eastAsia" w:hAnsi="宋体" w:cs="宋体"/>
          <w:sz w:val="24"/>
          <w:highlight w:val="none"/>
        </w:rPr>
        <w:t>1.2“甲方”系指</w:t>
      </w:r>
      <w:r>
        <w:rPr>
          <w:rFonts w:hint="eastAsia" w:hAnsi="宋体" w:cs="宋体"/>
          <w:sz w:val="24"/>
          <w:highlight w:val="none"/>
          <w:lang w:val="en-US" w:eastAsia="zh-CN"/>
        </w:rPr>
        <w:t>嘉善县公共资源交易中心</w:t>
      </w:r>
      <w:r>
        <w:rPr>
          <w:rFonts w:hint="eastAsia" w:hAnsi="宋体" w:cs="宋体"/>
          <w:sz w:val="24"/>
          <w:highlight w:val="none"/>
        </w:rPr>
        <w:t>。在实际履行中由采购人与乙方另行签订政府采购政府投资项目工程造价咨询服务合同。甲方不作为协议一方具体参加合同的实际履行。</w:t>
      </w:r>
    </w:p>
    <w:p w14:paraId="03698F98">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1.3“乙方”系指本次为嘉善县财政局、嘉善县审计局</w:t>
      </w:r>
      <w:r>
        <w:rPr>
          <w:rFonts w:hint="eastAsia" w:hAnsi="宋体" w:cs="宋体"/>
          <w:sz w:val="24"/>
          <w:highlight w:val="none"/>
          <w:lang w:eastAsia="zh-CN"/>
        </w:rPr>
        <w:t>、</w:t>
      </w:r>
      <w:r>
        <w:rPr>
          <w:rFonts w:hint="eastAsia" w:hAnsi="宋体" w:cs="宋体"/>
          <w:sz w:val="24"/>
          <w:highlight w:val="none"/>
        </w:rPr>
        <w:t>全</w:t>
      </w:r>
      <w:r>
        <w:rPr>
          <w:rFonts w:hint="eastAsia" w:hAnsi="宋体" w:cs="宋体"/>
          <w:sz w:val="24"/>
          <w:highlight w:val="none"/>
          <w:lang w:eastAsia="zh-CN"/>
        </w:rPr>
        <w:t>县</w:t>
      </w:r>
      <w:r>
        <w:rPr>
          <w:rFonts w:hint="eastAsia" w:hAnsi="宋体" w:cs="宋体"/>
          <w:sz w:val="24"/>
          <w:highlight w:val="none"/>
        </w:rPr>
        <w:t>政府投资项目业主单位</w:t>
      </w:r>
      <w:r>
        <w:rPr>
          <w:rFonts w:hint="eastAsia" w:hAnsi="宋体" w:cs="宋体"/>
          <w:sz w:val="24"/>
          <w:highlight w:val="none"/>
          <w:lang w:eastAsia="zh-CN"/>
        </w:rPr>
        <w:t>及其主管部门</w:t>
      </w:r>
      <w:r>
        <w:rPr>
          <w:rFonts w:hint="eastAsia" w:hAnsi="宋体" w:cs="宋体"/>
          <w:sz w:val="24"/>
          <w:highlight w:val="none"/>
        </w:rPr>
        <w:t>等服务对象提供政府采购政府投资项目工程造价</w:t>
      </w:r>
      <w:r>
        <w:rPr>
          <w:rFonts w:hint="eastAsia" w:hAnsi="宋体" w:cs="宋体"/>
          <w:sz w:val="24"/>
          <w:highlight w:val="none"/>
          <w:lang w:eastAsia="zh-CN"/>
        </w:rPr>
        <w:t>审核</w:t>
      </w:r>
      <w:r>
        <w:rPr>
          <w:rFonts w:hint="eastAsia" w:hAnsi="宋体" w:cs="宋体"/>
          <w:sz w:val="24"/>
          <w:highlight w:val="none"/>
        </w:rPr>
        <w:t>咨询服务的单位。</w:t>
      </w:r>
    </w:p>
    <w:p w14:paraId="10B942C8">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int="eastAsia" w:hAnsi="宋体" w:cs="宋体"/>
          <w:sz w:val="24"/>
          <w:highlight w:val="none"/>
        </w:rPr>
      </w:pPr>
      <w:r>
        <w:rPr>
          <w:rFonts w:hint="eastAsia" w:hAnsi="宋体" w:cs="宋体"/>
          <w:sz w:val="24"/>
          <w:highlight w:val="none"/>
        </w:rPr>
        <w:t>1.4“采购人”系指嘉善县财政局、嘉善县审计局</w:t>
      </w:r>
      <w:r>
        <w:rPr>
          <w:rFonts w:hint="eastAsia" w:hAnsi="宋体" w:cs="宋体"/>
          <w:sz w:val="24"/>
          <w:highlight w:val="none"/>
          <w:lang w:eastAsia="zh-CN"/>
        </w:rPr>
        <w:t>、</w:t>
      </w:r>
      <w:r>
        <w:rPr>
          <w:rFonts w:hint="eastAsia" w:hAnsi="宋体" w:cs="宋体"/>
          <w:sz w:val="24"/>
          <w:highlight w:val="none"/>
        </w:rPr>
        <w:t>全</w:t>
      </w:r>
      <w:r>
        <w:rPr>
          <w:rFonts w:hint="eastAsia" w:hAnsi="宋体" w:cs="宋体"/>
          <w:sz w:val="24"/>
          <w:highlight w:val="none"/>
          <w:lang w:eastAsia="zh-CN"/>
        </w:rPr>
        <w:t>县</w:t>
      </w:r>
      <w:r>
        <w:rPr>
          <w:rFonts w:hint="eastAsia" w:hAnsi="宋体" w:cs="宋体"/>
          <w:sz w:val="24"/>
          <w:highlight w:val="none"/>
        </w:rPr>
        <w:t>政府投资项目业主单位</w:t>
      </w:r>
      <w:r>
        <w:rPr>
          <w:rFonts w:hint="eastAsia" w:hAnsi="宋体" w:cs="宋体"/>
          <w:sz w:val="24"/>
          <w:highlight w:val="none"/>
          <w:lang w:eastAsia="zh-CN"/>
        </w:rPr>
        <w:t>及其主管部门</w:t>
      </w:r>
      <w:r>
        <w:rPr>
          <w:rFonts w:hint="eastAsia" w:hAnsi="宋体" w:cs="宋体"/>
          <w:sz w:val="24"/>
          <w:highlight w:val="none"/>
        </w:rPr>
        <w:t>等服务对象，与甲方享有同等权力。</w:t>
      </w:r>
    </w:p>
    <w:p w14:paraId="1B9048F6">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1.5“征集公告”是指《202</w:t>
      </w:r>
      <w:r>
        <w:rPr>
          <w:rFonts w:hint="eastAsia" w:hAnsi="宋体" w:cs="宋体"/>
          <w:sz w:val="24"/>
          <w:highlight w:val="none"/>
          <w:lang w:val="en-US" w:eastAsia="zh-CN"/>
        </w:rPr>
        <w:t>5</w:t>
      </w:r>
      <w:r>
        <w:rPr>
          <w:rFonts w:hint="eastAsia" w:hAnsi="宋体" w:cs="宋体"/>
          <w:sz w:val="24"/>
          <w:highlight w:val="none"/>
        </w:rPr>
        <w:t>-202</w:t>
      </w:r>
      <w:r>
        <w:rPr>
          <w:rFonts w:hint="eastAsia" w:hAnsi="宋体" w:cs="宋体"/>
          <w:sz w:val="24"/>
          <w:highlight w:val="none"/>
          <w:lang w:val="en-US" w:eastAsia="zh-CN"/>
        </w:rPr>
        <w:t>6年</w:t>
      </w:r>
      <w:r>
        <w:rPr>
          <w:rFonts w:hint="eastAsia" w:hAnsi="宋体" w:cs="宋体"/>
          <w:sz w:val="24"/>
          <w:highlight w:val="none"/>
        </w:rPr>
        <w:t>嘉善县政府投资项目工程造价咨询服务框架协议采购》。</w:t>
      </w:r>
    </w:p>
    <w:p w14:paraId="60259C97">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b/>
          <w:bCs/>
          <w:sz w:val="24"/>
          <w:highlight w:val="none"/>
        </w:rPr>
      </w:pPr>
      <w:r>
        <w:rPr>
          <w:rFonts w:hint="eastAsia" w:hAnsi="宋体" w:cs="宋体"/>
          <w:b/>
          <w:bCs/>
          <w:sz w:val="24"/>
          <w:highlight w:val="none"/>
        </w:rPr>
        <w:t>2.适用范围及时间</w:t>
      </w:r>
    </w:p>
    <w:p w14:paraId="54979C03">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2.1适用范围：202</w:t>
      </w:r>
      <w:r>
        <w:rPr>
          <w:rFonts w:hint="eastAsia" w:hAnsi="宋体" w:cs="宋体"/>
          <w:sz w:val="24"/>
          <w:highlight w:val="none"/>
          <w:lang w:val="en-US" w:eastAsia="zh-CN"/>
        </w:rPr>
        <w:t>5</w:t>
      </w:r>
      <w:r>
        <w:rPr>
          <w:rFonts w:hint="eastAsia" w:hAnsi="宋体" w:cs="宋体"/>
          <w:sz w:val="24"/>
          <w:highlight w:val="none"/>
        </w:rPr>
        <w:t>-202</w:t>
      </w:r>
      <w:r>
        <w:rPr>
          <w:rFonts w:hint="eastAsia" w:hAnsi="宋体" w:cs="宋体"/>
          <w:sz w:val="24"/>
          <w:highlight w:val="none"/>
          <w:lang w:val="en-US" w:eastAsia="zh-CN"/>
        </w:rPr>
        <w:t>6年</w:t>
      </w:r>
      <w:r>
        <w:rPr>
          <w:rFonts w:hint="eastAsia" w:hAnsi="宋体" w:cs="宋体"/>
          <w:sz w:val="24"/>
          <w:highlight w:val="none"/>
        </w:rPr>
        <w:t>嘉善县政府投资项目工程造价咨询服务框架协议采购。</w:t>
      </w:r>
    </w:p>
    <w:p w14:paraId="53AB4B50">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2.2框架协议期限：服务期限为二年。（具体执行起始时间以县财政部门发文为准）。</w:t>
      </w:r>
    </w:p>
    <w:p w14:paraId="750DDFFF">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b/>
          <w:bCs/>
          <w:sz w:val="24"/>
          <w:highlight w:val="none"/>
        </w:rPr>
      </w:pPr>
      <w:r>
        <w:rPr>
          <w:rFonts w:hint="eastAsia" w:hAnsi="宋体" w:cs="宋体"/>
          <w:b/>
          <w:bCs/>
          <w:sz w:val="24"/>
          <w:highlight w:val="none"/>
        </w:rPr>
        <w:t>3.项目承诺</w:t>
      </w:r>
    </w:p>
    <w:p w14:paraId="3046757A">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3.1业务开展范围</w:t>
      </w:r>
    </w:p>
    <w:p w14:paraId="59BD960E">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int="eastAsia" w:hAnsi="宋体" w:cs="宋体"/>
          <w:sz w:val="24"/>
          <w:highlight w:val="none"/>
        </w:rPr>
      </w:pPr>
      <w:r>
        <w:rPr>
          <w:rFonts w:hint="eastAsia" w:hAnsi="宋体" w:cs="宋体"/>
          <w:sz w:val="24"/>
          <w:highlight w:val="none"/>
        </w:rPr>
        <w:t>1.乙方严格遵守国家</w:t>
      </w:r>
      <w:r>
        <w:rPr>
          <w:rFonts w:hint="eastAsia" w:hAnsi="宋体" w:cs="宋体"/>
          <w:sz w:val="24"/>
          <w:highlight w:val="none"/>
          <w:lang w:eastAsia="zh-CN"/>
        </w:rPr>
        <w:t>相关</w:t>
      </w:r>
      <w:r>
        <w:rPr>
          <w:rFonts w:hint="eastAsia" w:hAnsi="宋体" w:cs="宋体"/>
          <w:sz w:val="24"/>
          <w:highlight w:val="none"/>
        </w:rPr>
        <w:t xml:space="preserve">法律法规、规章,遵守相关的工作纪律和职业道德，并对其工作结果负责。 </w:t>
      </w:r>
    </w:p>
    <w:p w14:paraId="62C00C44">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int="eastAsia" w:hAnsi="宋体" w:cs="宋体"/>
          <w:sz w:val="24"/>
          <w:highlight w:val="none"/>
        </w:rPr>
      </w:pPr>
      <w:r>
        <w:rPr>
          <w:rFonts w:hint="eastAsia" w:hAnsi="宋体" w:cs="宋体"/>
          <w:sz w:val="24"/>
          <w:highlight w:val="none"/>
        </w:rPr>
        <w:t>2.乙方严格遵守国家保密法律法规和相关规定，按规定签订保密承诺书，履行保密义务，保守秘密，除国家法律法规规定的情况外，不以任何方式泄露过程所知悉的国家秘密、商业秘密和工作秘密。</w:t>
      </w:r>
    </w:p>
    <w:p w14:paraId="3EACAD6C">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int="eastAsia" w:hAnsi="宋体" w:cs="宋体"/>
          <w:sz w:val="24"/>
          <w:highlight w:val="none"/>
        </w:rPr>
      </w:pPr>
      <w:r>
        <w:rPr>
          <w:rFonts w:hint="eastAsia" w:hAnsi="宋体" w:cs="宋体"/>
          <w:sz w:val="24"/>
          <w:highlight w:val="none"/>
        </w:rPr>
        <w:t>3.承担具体任务的人员具备与事项相关的专业知识、从业资格和业务能力，完全胜任所承担的任务。在任务实施前确定人员名单，未经采购人允许不随意更换人员。对不称职或不能胜任任务的人员，采购人有权要求更换，并相应扣减费用。</w:t>
      </w:r>
    </w:p>
    <w:p w14:paraId="098D4F21">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int="eastAsia" w:hAnsi="宋体" w:cs="宋体"/>
          <w:sz w:val="24"/>
          <w:highlight w:val="none"/>
        </w:rPr>
      </w:pPr>
      <w:r>
        <w:rPr>
          <w:rFonts w:hint="eastAsia" w:hAnsi="宋体" w:cs="宋体"/>
          <w:sz w:val="24"/>
          <w:highlight w:val="none"/>
        </w:rPr>
        <w:t>4.接受采购人的指导、监督和管理，严格按照采购人的有关规定和要求实施，按采购人的质量和进度要求及时提供结果以及与事项相关的资料，按采购人规定的格式、要求起草有关文书和其他材料。</w:t>
      </w:r>
    </w:p>
    <w:p w14:paraId="4C8D0682">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int="eastAsia" w:hAnsi="宋体" w:cs="宋体"/>
          <w:sz w:val="24"/>
          <w:highlight w:val="none"/>
        </w:rPr>
      </w:pPr>
      <w:r>
        <w:rPr>
          <w:rFonts w:hint="eastAsia" w:hAnsi="宋体" w:cs="宋体"/>
          <w:sz w:val="24"/>
          <w:highlight w:val="none"/>
        </w:rPr>
        <w:t>5.在任务完成后，人员按照委托协议规定的要求提交报告及相关资料。人员不得将其参与工作获取的相关信息用于与所事项无关的目的。</w:t>
      </w:r>
    </w:p>
    <w:p w14:paraId="28B96A34">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3.2服务价格</w:t>
      </w:r>
    </w:p>
    <w:p w14:paraId="5D78B8FD">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乙方应以响应承诺的价格为上限，按照采购人需求的方式，提供具体的价格，提供相应的服务。甲方将在浙江政府采购网公示乙方承诺的价格。如乙方根据市场经营情况调整费用标准，应及时调整价格，并在政采云平台维护价格信息。</w:t>
      </w:r>
    </w:p>
    <w:p w14:paraId="6B1EF944">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3.3费用结算</w:t>
      </w:r>
    </w:p>
    <w:p w14:paraId="018A8669">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接收业务后，乙方应与项目委托单位签订政府采购服务合同。乙方按合同完成服务后，可向项目委托单位收取服务费用，服务费用按响应时报价承诺结算。</w:t>
      </w:r>
    </w:p>
    <w:p w14:paraId="65AA9D97">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3.4 甲方的权利和义务</w:t>
      </w:r>
    </w:p>
    <w:p w14:paraId="1BB3702C">
      <w:pPr>
        <w:pStyle w:val="15"/>
        <w:keepNext w:val="0"/>
        <w:keepLines w:val="0"/>
        <w:pageBreakBefore w:val="0"/>
        <w:widowControl w:val="0"/>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3.4.1甲方有权按照政府采购监管部门的要求、征集公告、本协议、乙方的申请资料等文件文本对乙方承诺和实际提供的服务以及业务系统维护、操作等与本项目相关的事项进行日常考核、监督检查和管理；并建立清退和补充规则，清退情况包括但不限于本协议“违约责任”和 “协议的终止”中的内容。</w:t>
      </w:r>
    </w:p>
    <w:p w14:paraId="034E7FE3">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3.4.2甲方对采购人拖欠乙方费用不承担任何连带责任。</w:t>
      </w:r>
    </w:p>
    <w:p w14:paraId="00506728">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3.4.3对乙方业务开展和履行合同情况，甲方有权在浙江政府采购网或其他媒体上公布。</w:t>
      </w:r>
    </w:p>
    <w:p w14:paraId="32CFB74B">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3.5.乙方的权利和义务</w:t>
      </w:r>
    </w:p>
    <w:p w14:paraId="3F621A2D">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3.5.1乙方的权利</w:t>
      </w:r>
    </w:p>
    <w:p w14:paraId="66A66E1D">
      <w:pPr>
        <w:pStyle w:val="15"/>
        <w:keepNext w:val="0"/>
        <w:keepLines w:val="0"/>
        <w:pageBreakBefore w:val="0"/>
        <w:widowControl w:val="0"/>
        <w:tabs>
          <w:tab w:val="left" w:pos="-72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1）乙方有权拒绝甲方及采购人提出的服务和乙方承诺以外的其它要求。对采购人提出超出协议规定服务范围和虚开发票的要求，乙方有权拒绝；采购人不能出示有效证明，证明其在协议服务范围之内的，乙方有权拒绝向其提供协议价格的服务。</w:t>
      </w:r>
    </w:p>
    <w:p w14:paraId="0B24CA3F">
      <w:pPr>
        <w:pStyle w:val="15"/>
        <w:keepNext w:val="0"/>
        <w:keepLines w:val="0"/>
        <w:pageBreakBefore w:val="0"/>
        <w:widowControl w:val="0"/>
        <w:tabs>
          <w:tab w:val="left" w:pos="-72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（2）乙方有权对甲方在日常管理工作中和采购人在服务过程中的不正当要求和违规行为进行投诉，并要求有关部门做出处理。</w:t>
      </w:r>
    </w:p>
    <w:p w14:paraId="1B172A1B">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3.5.2乙方的义务</w:t>
      </w:r>
    </w:p>
    <w:p w14:paraId="6EF8BA03">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3.5.2.1乙方应严格遵守国家法律、法规和相关规定，诚实、守信，合法经营，自觉维护采购人的利益，全面履行承诺，杜绝不正当竞争行为，优先服务采购人，根据采购人的要求，向采购人提供响应文件承诺服务范围内的相关政府采购政府投资项目工程造价咨询服务，应不低于</w:t>
      </w:r>
      <w:r>
        <w:rPr>
          <w:rFonts w:hint="eastAsia" w:hAnsi="宋体" w:cs="宋体"/>
          <w:sz w:val="24"/>
          <w:highlight w:val="none"/>
          <w:lang w:eastAsia="zh-CN"/>
        </w:rPr>
        <w:t>嘉善县</w:t>
      </w:r>
      <w:r>
        <w:rPr>
          <w:rFonts w:hint="eastAsia" w:hAnsi="宋体" w:cs="宋体"/>
          <w:sz w:val="24"/>
          <w:highlight w:val="none"/>
        </w:rPr>
        <w:t>关于政府采购服务的相关服务规范和要求，确保服务质量，圆满完成服务工作。</w:t>
      </w:r>
    </w:p>
    <w:p w14:paraId="33DCC02A">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3.5.2.2乙方应自觉接受并积极配合政府采购监管部门按照征集公告、本协议、乙方的响应文件及承诺提供的价格、设备设施、服务质量及服务能力进行的综合考核评定、监督检查和管理，严格履行承诺。</w:t>
      </w:r>
    </w:p>
    <w:p w14:paraId="779085ED">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3.5.2.3在协议有效期内，乙方承诺价格为最高限价，采购人可与乙方进行议价；如果乙方下调市场价格，则乙方应及时下调政府采购价格，否则视为“超过协议规定价格收费”。</w:t>
      </w:r>
    </w:p>
    <w:p w14:paraId="76AF687E">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3.5.2.4在协议有效期内，乙方应做好政采云平台上相关信息的维护工作，包括单位名称变更；及时变更联系人、联系电话、预订电话等。</w:t>
      </w:r>
    </w:p>
    <w:p w14:paraId="241A4442">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乙方应保证联系人、联系电话、预订电话真实有效，若发现未能及时修改联系人、联系电话、预订电话，出现不能联系到乙方的情况所造成的影响由乙方承担，并将被记录并作为综合考核评定及监督检查评分的依据。</w:t>
      </w:r>
    </w:p>
    <w:p w14:paraId="1A5081B9">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3.5.2.5在协议有效期内，乙方应保证各项设备、设施完好，具备履行协议的能力。如乙方设备、设施发生足以影响服务能力的重大变化，应在变化发生后十个工作日内书面通知甲方，甲方根据实际情况决定是否继续履行协议。</w:t>
      </w:r>
    </w:p>
    <w:p w14:paraId="50A79E84">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3.5.2.6乙方承诺接受征集公告的所有内容，按照征集公告要求和响应文件承诺认真履约，如有违反将无条件接受甲方的处罚。</w:t>
      </w:r>
    </w:p>
    <w:p w14:paraId="05BBDA2A">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b/>
          <w:bCs/>
          <w:sz w:val="24"/>
          <w:highlight w:val="none"/>
        </w:rPr>
      </w:pPr>
      <w:r>
        <w:rPr>
          <w:rFonts w:hint="eastAsia" w:hAnsi="宋体" w:cs="宋体"/>
          <w:b/>
          <w:bCs/>
          <w:sz w:val="24"/>
          <w:highlight w:val="none"/>
        </w:rPr>
        <w:t>4.违约责任</w:t>
      </w:r>
    </w:p>
    <w:p w14:paraId="7C4FE26A">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4.1甲、乙任何一方违反本协议的约定，应当承担违约责任，并赔偿对方的实际损失。乙方违约行为给采购人造成经济损失的，采购人有权按实际经济损失要求乙方进行赔偿。</w:t>
      </w:r>
    </w:p>
    <w:p w14:paraId="7EF9DBA0">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4.2乙方有下列情形之一的，甲方可依据协议及《政府采购框架协议采购方式管理暂行办法》等相关规定取消入围资格，并报监督管理部门追究其相应责任：</w:t>
      </w:r>
    </w:p>
    <w:p w14:paraId="3AA44B4A">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（1）乙方提供虚假材料谋取入围或者合同成交的；</w:t>
      </w:r>
    </w:p>
    <w:p w14:paraId="62C2A13C">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（2）乙方无正当理由拒不接受合同授予的；</w:t>
      </w:r>
    </w:p>
    <w:p w14:paraId="5C240891">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（3）不履行合同义务或者履行合同义务不符合约定，经采购人请求履行后仍不履行或者仍未按约定履行的；</w:t>
      </w:r>
    </w:p>
    <w:p w14:paraId="3BFB01CD">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（4）乙方采用不正当竞争手段争揽业务，引起投诉并经甲方查实的；</w:t>
      </w:r>
    </w:p>
    <w:p w14:paraId="1D445760">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 xml:space="preserve">（5）未及时更新相关信息或者当高于市场价格时，未及时更新的； </w:t>
      </w:r>
    </w:p>
    <w:p w14:paraId="2B498995">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（6）乙方服务质量差，被采购人有效投诉三次（含）以上并经查实的；</w:t>
      </w:r>
    </w:p>
    <w:p w14:paraId="0BCCC923">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（7）各级财政部门认定的其他违法、违规的行为。</w:t>
      </w:r>
    </w:p>
    <w:p w14:paraId="6CE6F88D">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（8）任何情况下，乙方都不得向经办人员提供任何形式的回扣，一经发现，甲方报经批准可立即取消资格，同时提请有关部门追究有关当事人的责任。</w:t>
      </w:r>
    </w:p>
    <w:p w14:paraId="1AACB870">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4.3乙方与采购人签订合同的，乙方的义务不得低于本协议中约定的义务以及乙方在响应文件中的承诺，否则相应的条款无效，乙方相应的义务以本协议为准。</w:t>
      </w:r>
    </w:p>
    <w:p w14:paraId="6B43AC26">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4.4乙方违约情节特别严重的，甲方报送政府采购监管部门，采购监管部门可依法对其采取列入不良行为记录名单、在一至三年内禁止参加政府采购活动，并予以通报。</w:t>
      </w:r>
    </w:p>
    <w:p w14:paraId="7772A978">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b/>
          <w:bCs/>
          <w:sz w:val="24"/>
          <w:highlight w:val="none"/>
        </w:rPr>
      </w:pPr>
      <w:r>
        <w:rPr>
          <w:rFonts w:hint="eastAsia" w:hAnsi="宋体" w:cs="宋体"/>
          <w:b/>
          <w:bCs/>
          <w:sz w:val="24"/>
          <w:highlight w:val="none"/>
        </w:rPr>
        <w:t>5.不可抗力</w:t>
      </w:r>
    </w:p>
    <w:p w14:paraId="78F57750">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5.1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14:paraId="46F5CFAC">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14:paraId="17D4A054">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14:paraId="08B235ED">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5.4一旦不可抗力事故的影响持续120天以上，甲乙双方通过友好协商，在合理的时间内达成进一步履行协议或终止协议的协议。</w:t>
      </w:r>
    </w:p>
    <w:p w14:paraId="05EE3B99">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b/>
          <w:bCs/>
          <w:sz w:val="24"/>
          <w:highlight w:val="none"/>
        </w:rPr>
      </w:pPr>
      <w:r>
        <w:rPr>
          <w:rFonts w:hint="eastAsia" w:hAnsi="宋体" w:cs="宋体"/>
          <w:b/>
          <w:bCs/>
          <w:sz w:val="24"/>
          <w:highlight w:val="none"/>
        </w:rPr>
        <w:t>6.保密条款</w:t>
      </w:r>
    </w:p>
    <w:p w14:paraId="03784505">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6.1任何一方对其获知的本协议涉及的所有有形、无形的信息及资料（包括但不限于甲乙双方的往来书面文字文件、电子邮件及信息、软盘资料等）中另一方的商业秘密或国家秘密负有保密义务。</w:t>
      </w:r>
    </w:p>
    <w:p w14:paraId="16A42E3C">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14:paraId="270A1FBB">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b/>
          <w:bCs/>
          <w:sz w:val="24"/>
          <w:highlight w:val="none"/>
        </w:rPr>
      </w:pPr>
      <w:r>
        <w:rPr>
          <w:rFonts w:hint="eastAsia" w:hAnsi="宋体" w:cs="宋体"/>
          <w:b/>
          <w:bCs/>
          <w:sz w:val="24"/>
          <w:highlight w:val="none"/>
        </w:rPr>
        <w:t>7.协议的解释</w:t>
      </w:r>
    </w:p>
    <w:p w14:paraId="44D916C7">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7.1任何一方对本协议及其附件的解释均应遵循诚实信用原则，依照本协议签订时有效的中华人民共和国的法律、法规以及人们通常的理解进行。</w:t>
      </w:r>
    </w:p>
    <w:p w14:paraId="75AECF12">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7.2本协议标题仅供查阅方便，并非对本协议的诠释或解释，本协议中以日表述的时间期限均指公历日。</w:t>
      </w:r>
    </w:p>
    <w:p w14:paraId="61662102">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7.3对本协议的任何解释均应以书面做出。</w:t>
      </w:r>
    </w:p>
    <w:p w14:paraId="4F21ED74">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b/>
          <w:bCs/>
          <w:sz w:val="24"/>
          <w:highlight w:val="none"/>
        </w:rPr>
      </w:pPr>
      <w:r>
        <w:rPr>
          <w:rFonts w:hint="eastAsia" w:hAnsi="宋体" w:cs="宋体"/>
          <w:b/>
          <w:bCs/>
          <w:sz w:val="24"/>
          <w:highlight w:val="none"/>
        </w:rPr>
        <w:t>8.争议的解决</w:t>
      </w:r>
    </w:p>
    <w:p w14:paraId="373B7A18">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本协议如发生纠纷，甲、乙应当及时协商解决，如协商不成，按《中华人民共和国民法典》、《中华人民共和国政府采购法》等规定处理。</w:t>
      </w:r>
    </w:p>
    <w:p w14:paraId="0B4FE682">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b/>
          <w:bCs/>
          <w:sz w:val="24"/>
          <w:highlight w:val="none"/>
        </w:rPr>
      </w:pPr>
      <w:r>
        <w:rPr>
          <w:rFonts w:hint="eastAsia" w:hAnsi="宋体" w:cs="宋体"/>
          <w:b/>
          <w:bCs/>
          <w:sz w:val="24"/>
          <w:highlight w:val="none"/>
        </w:rPr>
        <w:t>9.协议的终止</w:t>
      </w:r>
    </w:p>
    <w:p w14:paraId="0CD1AA92">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9.1在协议期内任何一方不得擅自终止协议，否则应负担所造成的一切损失。如一方因故需终止协议，必须提前三个月书面通知另一方，经双方达成一致意见后，方可终止。</w:t>
      </w:r>
    </w:p>
    <w:p w14:paraId="64684C73">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9.2 协议期内乙方不得擅自终止协议，否则应负担所造成的一切损失。如乙方因故需终止协议，可以随时申请退出框架协议，经甲方审核后方可退出。</w:t>
      </w:r>
    </w:p>
    <w:p w14:paraId="575C0321">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9.3 出现下列情况时本协议自行终止：</w:t>
      </w:r>
    </w:p>
    <w:p w14:paraId="4794873E">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（1）本协议正常履行完毕；</w:t>
      </w:r>
    </w:p>
    <w:p w14:paraId="12E56181">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（2）甲乙双方协商终止本协议的履行；</w:t>
      </w:r>
    </w:p>
    <w:p w14:paraId="51F36E87">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（3）不可抗力导致本协议无法履行或履行不必要时；</w:t>
      </w:r>
    </w:p>
    <w:p w14:paraId="69D30873">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（4）乙方不履行协议条款，造成无法执行协议，协商又不能解决的，乙方赔偿损失后，协议终止。</w:t>
      </w:r>
    </w:p>
    <w:p w14:paraId="4B258933">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9.4乙方出现本协议“违约责任”中“取消资格”情况的,协议终止，甲方有权提请有关部门追究相关当事人责任。</w:t>
      </w:r>
    </w:p>
    <w:p w14:paraId="21A8A9B0">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b/>
          <w:bCs/>
          <w:sz w:val="24"/>
          <w:highlight w:val="none"/>
        </w:rPr>
      </w:pPr>
      <w:r>
        <w:rPr>
          <w:rFonts w:hint="eastAsia" w:hAnsi="宋体" w:cs="宋体"/>
          <w:b/>
          <w:bCs/>
          <w:sz w:val="24"/>
          <w:highlight w:val="none"/>
        </w:rPr>
        <w:t>10.协议的生效及其他</w:t>
      </w:r>
    </w:p>
    <w:p w14:paraId="0EEDF02B">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10.1乙方自愿通过政采云平台参与本项目，框架协议自甲乙双方法定代表人或委托代理人签字并加盖单位公章之日起生效，并在框架协议签订后7个工作日内，将框架协议副本报本级财政部门备案。</w:t>
      </w:r>
    </w:p>
    <w:p w14:paraId="135A3C6B">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10.2协议履行期内甲乙双方均不得随意变更或解除协议。协议若有未尽事宜，需经双方共同协商，作出补充规定，补充规定与本协议有同等法律效力。</w:t>
      </w:r>
    </w:p>
    <w:p w14:paraId="2172250A">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Ansi="宋体" w:cs="宋体"/>
          <w:sz w:val="24"/>
          <w:highlight w:val="none"/>
        </w:rPr>
      </w:pPr>
      <w:r>
        <w:rPr>
          <w:rFonts w:hint="eastAsia" w:hAnsi="宋体" w:cs="宋体"/>
          <w:sz w:val="24"/>
          <w:highlight w:val="none"/>
        </w:rPr>
        <w:t>10.3如有最新政策规定，甲乙双方按最新政策规定执行，不再签订补充协议。</w:t>
      </w:r>
    </w:p>
    <w:p w14:paraId="24C25C52">
      <w:pPr>
        <w:pStyle w:val="15"/>
        <w:keepNext w:val="0"/>
        <w:keepLines w:val="0"/>
        <w:pageBreakBefore w:val="0"/>
        <w:widowControl w:val="0"/>
        <w:tabs>
          <w:tab w:val="left" w:pos="0"/>
        </w:tabs>
        <w:kinsoku/>
        <w:wordWrap/>
        <w:overflowPunct/>
        <w:topLinePunct w:val="0"/>
        <w:autoSpaceDE/>
        <w:autoSpaceDN/>
        <w:bidi w:val="0"/>
        <w:adjustRightInd/>
        <w:snapToGrid/>
        <w:spacing w:line="450" w:lineRule="exact"/>
        <w:ind w:left="-240" w:leftChars="-100" w:firstLine="482" w:firstLineChars="0"/>
        <w:textAlignment w:val="auto"/>
        <w:rPr>
          <w:rFonts w:hint="eastAsia" w:hAnsi="宋体" w:cs="宋体"/>
          <w:sz w:val="24"/>
          <w:highlight w:val="none"/>
        </w:rPr>
      </w:pPr>
      <w:r>
        <w:rPr>
          <w:rFonts w:hint="eastAsia" w:hAnsi="宋体" w:cs="宋体"/>
          <w:sz w:val="24"/>
          <w:highlight w:val="none"/>
        </w:rPr>
        <w:t>10.4本项目征集文件、响应文件及项目征集过程中形成的文字资料均作为本协议的组成部分，具有同等效力。</w:t>
      </w:r>
    </w:p>
    <w:p w14:paraId="6074E5A7">
      <w:pPr>
        <w:rPr>
          <w:rFonts w:hint="eastAsia" w:hAnsi="宋体" w:cs="宋体"/>
          <w:sz w:val="24"/>
          <w:highlight w:val="none"/>
        </w:rPr>
      </w:pPr>
    </w:p>
    <w:p w14:paraId="4A207975">
      <w:pPr>
        <w:pStyle w:val="6"/>
      </w:pPr>
    </w:p>
    <w:tbl>
      <w:tblPr>
        <w:tblStyle w:val="32"/>
        <w:tblW w:w="9577" w:type="dxa"/>
        <w:tblInd w:w="0" w:type="dxa"/>
        <w:tblLayout w:type="fixed"/>
        <w:tblCellMar>
          <w:top w:w="0" w:type="dxa"/>
          <w:left w:w="108" w:type="dxa"/>
          <w:bottom w:w="0" w:type="dxa"/>
          <w:right w:w="108" w:type="dxa"/>
        </w:tblCellMar>
      </w:tblPr>
      <w:tblGrid>
        <w:gridCol w:w="4416"/>
        <w:gridCol w:w="5161"/>
      </w:tblGrid>
      <w:tr w14:paraId="53D4E4F6">
        <w:tblPrEx>
          <w:tblCellMar>
            <w:top w:w="0" w:type="dxa"/>
            <w:left w:w="108" w:type="dxa"/>
            <w:bottom w:w="0" w:type="dxa"/>
            <w:right w:w="108" w:type="dxa"/>
          </w:tblCellMar>
        </w:tblPrEx>
        <w:tc>
          <w:tcPr>
            <w:tcW w:w="4416" w:type="dxa"/>
            <w:vAlign w:val="top"/>
          </w:tcPr>
          <w:p w14:paraId="47609410">
            <w:pPr>
              <w:keepNext w:val="0"/>
              <w:keepLines w:val="0"/>
              <w:widowControl/>
              <w:suppressLineNumbers w:val="0"/>
              <w:spacing w:before="0" w:beforeAutospacing="0" w:after="0" w:afterAutospacing="0" w:line="360" w:lineRule="auto"/>
              <w:ind w:left="1560" w:right="0" w:hanging="1560" w:hangingChars="650"/>
              <w:rPr>
                <w:rFonts w:hint="default" w:ascii="宋体" w:hAnsi="宋体"/>
                <w:kern w:val="0"/>
                <w:highlight w:val="none"/>
              </w:rPr>
            </w:pPr>
            <w:r>
              <w:rPr>
                <w:rFonts w:hint="eastAsia" w:ascii="宋体" w:hAnsi="宋体"/>
                <w:kern w:val="0"/>
                <w:highlight w:val="none"/>
              </w:rPr>
              <w:t>甲方（盖章）：</w:t>
            </w:r>
          </w:p>
        </w:tc>
        <w:tc>
          <w:tcPr>
            <w:tcW w:w="5161" w:type="dxa"/>
            <w:vAlign w:val="top"/>
          </w:tcPr>
          <w:p w14:paraId="21622517">
            <w:pPr>
              <w:keepNext w:val="0"/>
              <w:keepLines w:val="0"/>
              <w:widowControl/>
              <w:suppressLineNumbers w:val="0"/>
              <w:spacing w:before="0" w:beforeAutospacing="0" w:after="0" w:afterAutospacing="0" w:line="360" w:lineRule="auto"/>
              <w:ind w:left="0" w:right="0" w:firstLine="120"/>
              <w:rPr>
                <w:rFonts w:hint="default" w:ascii="宋体" w:hAnsi="宋体"/>
                <w:kern w:val="0"/>
                <w:highlight w:val="none"/>
              </w:rPr>
            </w:pPr>
            <w:r>
              <w:rPr>
                <w:rFonts w:hint="eastAsia" w:ascii="宋体" w:hAnsi="宋体"/>
                <w:kern w:val="0"/>
                <w:highlight w:val="none"/>
              </w:rPr>
              <w:t>乙方（盖章）：</w:t>
            </w:r>
          </w:p>
        </w:tc>
      </w:tr>
      <w:tr w14:paraId="5E285F9E">
        <w:tblPrEx>
          <w:tblCellMar>
            <w:top w:w="0" w:type="dxa"/>
            <w:left w:w="108" w:type="dxa"/>
            <w:bottom w:w="0" w:type="dxa"/>
            <w:right w:w="108" w:type="dxa"/>
          </w:tblCellMar>
        </w:tblPrEx>
        <w:tc>
          <w:tcPr>
            <w:tcW w:w="4416" w:type="dxa"/>
            <w:vAlign w:val="top"/>
          </w:tcPr>
          <w:p w14:paraId="726E0B71">
            <w:pPr>
              <w:keepNext w:val="0"/>
              <w:keepLines w:val="0"/>
              <w:widowControl/>
              <w:suppressLineNumbers w:val="0"/>
              <w:spacing w:before="0" w:beforeAutospacing="0" w:after="0" w:afterAutospacing="0" w:line="360" w:lineRule="auto"/>
              <w:ind w:left="0" w:right="0"/>
              <w:rPr>
                <w:rFonts w:hint="default" w:ascii="宋体" w:hAnsi="宋体"/>
                <w:kern w:val="0"/>
                <w:highlight w:val="none"/>
              </w:rPr>
            </w:pPr>
            <w:r>
              <w:rPr>
                <w:rFonts w:hint="eastAsia" w:ascii="宋体" w:hAnsi="宋体"/>
                <w:kern w:val="0"/>
                <w:highlight w:val="none"/>
              </w:rPr>
              <w:t>法定代表人</w:t>
            </w:r>
          </w:p>
        </w:tc>
        <w:tc>
          <w:tcPr>
            <w:tcW w:w="5161" w:type="dxa"/>
            <w:vAlign w:val="top"/>
          </w:tcPr>
          <w:p w14:paraId="76A2D3FA">
            <w:pPr>
              <w:keepNext w:val="0"/>
              <w:keepLines w:val="0"/>
              <w:widowControl/>
              <w:suppressLineNumbers w:val="0"/>
              <w:spacing w:before="0" w:beforeAutospacing="0" w:after="0" w:afterAutospacing="0" w:line="360" w:lineRule="auto"/>
              <w:ind w:left="0" w:right="0" w:firstLine="120"/>
              <w:rPr>
                <w:rFonts w:hint="default" w:ascii="宋体" w:hAnsi="宋体"/>
                <w:kern w:val="0"/>
                <w:highlight w:val="none"/>
              </w:rPr>
            </w:pPr>
            <w:r>
              <w:rPr>
                <w:rFonts w:hint="eastAsia" w:ascii="宋体" w:hAnsi="宋体"/>
                <w:kern w:val="0"/>
                <w:highlight w:val="none"/>
              </w:rPr>
              <w:t>法定代表人</w:t>
            </w:r>
          </w:p>
        </w:tc>
      </w:tr>
      <w:tr w14:paraId="31A3F660">
        <w:tblPrEx>
          <w:tblCellMar>
            <w:top w:w="0" w:type="dxa"/>
            <w:left w:w="108" w:type="dxa"/>
            <w:bottom w:w="0" w:type="dxa"/>
            <w:right w:w="108" w:type="dxa"/>
          </w:tblCellMar>
        </w:tblPrEx>
        <w:tc>
          <w:tcPr>
            <w:tcW w:w="4416" w:type="dxa"/>
            <w:vAlign w:val="top"/>
          </w:tcPr>
          <w:p w14:paraId="5F09E666">
            <w:pPr>
              <w:keepNext w:val="0"/>
              <w:keepLines w:val="0"/>
              <w:widowControl/>
              <w:suppressLineNumbers w:val="0"/>
              <w:spacing w:before="0" w:beforeAutospacing="0" w:after="0" w:afterAutospacing="0" w:line="360" w:lineRule="auto"/>
              <w:ind w:left="0" w:right="0"/>
              <w:rPr>
                <w:rFonts w:hint="default" w:ascii="宋体" w:hAnsi="宋体"/>
                <w:kern w:val="0"/>
                <w:highlight w:val="none"/>
              </w:rPr>
            </w:pPr>
            <w:r>
              <w:rPr>
                <w:rFonts w:hint="eastAsia" w:ascii="宋体" w:hAnsi="宋体"/>
                <w:kern w:val="0"/>
                <w:highlight w:val="none"/>
              </w:rPr>
              <w:t>或授权代表（签字）：</w:t>
            </w:r>
          </w:p>
        </w:tc>
        <w:tc>
          <w:tcPr>
            <w:tcW w:w="5161" w:type="dxa"/>
            <w:vAlign w:val="top"/>
          </w:tcPr>
          <w:p w14:paraId="5E286D3E">
            <w:pPr>
              <w:keepNext w:val="0"/>
              <w:keepLines w:val="0"/>
              <w:widowControl/>
              <w:suppressLineNumbers w:val="0"/>
              <w:spacing w:before="0" w:beforeAutospacing="0" w:after="0" w:afterAutospacing="0" w:line="360" w:lineRule="auto"/>
              <w:ind w:left="0" w:right="0" w:firstLine="120"/>
              <w:rPr>
                <w:rFonts w:hint="default" w:ascii="宋体" w:hAnsi="宋体"/>
                <w:kern w:val="0"/>
                <w:highlight w:val="none"/>
              </w:rPr>
            </w:pPr>
            <w:r>
              <w:rPr>
                <w:rFonts w:hint="eastAsia" w:ascii="宋体" w:hAnsi="宋体"/>
                <w:kern w:val="0"/>
                <w:highlight w:val="none"/>
              </w:rPr>
              <w:t>或授权代表（签字）：</w:t>
            </w:r>
          </w:p>
        </w:tc>
      </w:tr>
      <w:tr w14:paraId="5A30FC30">
        <w:tblPrEx>
          <w:tblCellMar>
            <w:top w:w="0" w:type="dxa"/>
            <w:left w:w="108" w:type="dxa"/>
            <w:bottom w:w="0" w:type="dxa"/>
            <w:right w:w="108" w:type="dxa"/>
          </w:tblCellMar>
        </w:tblPrEx>
        <w:tc>
          <w:tcPr>
            <w:tcW w:w="4416" w:type="dxa"/>
            <w:vAlign w:val="top"/>
          </w:tcPr>
          <w:p w14:paraId="3D1C8789">
            <w:pPr>
              <w:keepNext w:val="0"/>
              <w:keepLines w:val="0"/>
              <w:widowControl/>
              <w:suppressLineNumbers w:val="0"/>
              <w:spacing w:before="0" w:beforeAutospacing="0" w:after="0" w:afterAutospacing="0" w:line="360" w:lineRule="auto"/>
              <w:ind w:left="720" w:right="0" w:hanging="720" w:hangingChars="300"/>
              <w:rPr>
                <w:rFonts w:hint="default" w:ascii="宋体" w:hAnsi="宋体"/>
                <w:kern w:val="0"/>
                <w:highlight w:val="none"/>
              </w:rPr>
            </w:pPr>
            <w:r>
              <w:rPr>
                <w:rFonts w:hint="eastAsia" w:ascii="宋体" w:hAnsi="宋体"/>
                <w:kern w:val="0"/>
                <w:highlight w:val="none"/>
              </w:rPr>
              <w:t>地址：</w:t>
            </w:r>
          </w:p>
        </w:tc>
        <w:tc>
          <w:tcPr>
            <w:tcW w:w="5161" w:type="dxa"/>
            <w:vAlign w:val="top"/>
          </w:tcPr>
          <w:p w14:paraId="0376706D">
            <w:pPr>
              <w:keepNext w:val="0"/>
              <w:keepLines w:val="0"/>
              <w:widowControl/>
              <w:suppressLineNumbers w:val="0"/>
              <w:spacing w:before="0" w:beforeAutospacing="0" w:after="0" w:afterAutospacing="0" w:line="360" w:lineRule="auto"/>
              <w:ind w:left="0" w:right="0" w:firstLine="120"/>
              <w:rPr>
                <w:rFonts w:hint="default" w:ascii="宋体" w:hAnsi="宋体"/>
                <w:kern w:val="0"/>
                <w:highlight w:val="none"/>
              </w:rPr>
            </w:pPr>
            <w:r>
              <w:rPr>
                <w:rFonts w:hint="eastAsia" w:ascii="宋体" w:hAnsi="宋体"/>
                <w:kern w:val="0"/>
                <w:highlight w:val="none"/>
              </w:rPr>
              <w:t xml:space="preserve">地址： </w:t>
            </w:r>
          </w:p>
        </w:tc>
      </w:tr>
      <w:tr w14:paraId="0AFE98EB">
        <w:tblPrEx>
          <w:tblCellMar>
            <w:top w:w="0" w:type="dxa"/>
            <w:left w:w="108" w:type="dxa"/>
            <w:bottom w:w="0" w:type="dxa"/>
            <w:right w:w="108" w:type="dxa"/>
          </w:tblCellMar>
        </w:tblPrEx>
        <w:tc>
          <w:tcPr>
            <w:tcW w:w="4416" w:type="dxa"/>
            <w:vAlign w:val="top"/>
          </w:tcPr>
          <w:p w14:paraId="6716CEBB">
            <w:pPr>
              <w:keepNext w:val="0"/>
              <w:keepLines w:val="0"/>
              <w:widowControl/>
              <w:suppressLineNumbers w:val="0"/>
              <w:spacing w:before="0" w:beforeAutospacing="0" w:after="0" w:afterAutospacing="0" w:line="360" w:lineRule="auto"/>
              <w:ind w:left="0" w:right="0"/>
              <w:rPr>
                <w:rFonts w:hint="default" w:ascii="宋体" w:hAnsi="宋体"/>
                <w:kern w:val="0"/>
                <w:highlight w:val="none"/>
              </w:rPr>
            </w:pPr>
            <w:r>
              <w:rPr>
                <w:rFonts w:hint="eastAsia" w:ascii="宋体" w:hAnsi="宋体"/>
                <w:highlight w:val="none"/>
              </w:rPr>
              <w:t>签约日期：   年    月    日</w:t>
            </w:r>
          </w:p>
        </w:tc>
        <w:tc>
          <w:tcPr>
            <w:tcW w:w="5161" w:type="dxa"/>
            <w:vAlign w:val="top"/>
          </w:tcPr>
          <w:p w14:paraId="4DC64B05">
            <w:pPr>
              <w:keepNext w:val="0"/>
              <w:keepLines w:val="0"/>
              <w:widowControl/>
              <w:suppressLineNumbers w:val="0"/>
              <w:spacing w:before="0" w:beforeAutospacing="0" w:after="0" w:afterAutospacing="0" w:line="360" w:lineRule="auto"/>
              <w:ind w:left="0" w:right="0" w:firstLine="120"/>
              <w:rPr>
                <w:rFonts w:hint="default" w:ascii="宋体" w:hAnsi="宋体"/>
                <w:kern w:val="0"/>
                <w:highlight w:val="none"/>
              </w:rPr>
            </w:pPr>
            <w:r>
              <w:rPr>
                <w:rFonts w:hint="eastAsia" w:ascii="宋体" w:hAnsi="宋体"/>
                <w:highlight w:val="none"/>
              </w:rPr>
              <w:t>签约日期：   年   月    日</w:t>
            </w:r>
          </w:p>
        </w:tc>
      </w:tr>
    </w:tbl>
    <w:p w14:paraId="6B35D921">
      <w:pPr>
        <w:spacing w:line="440" w:lineRule="exact"/>
        <w:ind w:right="480" w:firstLine="9216" w:firstLineChars="2550"/>
        <w:rPr>
          <w:rFonts w:ascii="宋体" w:hAnsi="宋体"/>
          <w:b/>
          <w:color w:val="000000" w:themeColor="text1"/>
          <w:sz w:val="36"/>
          <w:szCs w:val="36"/>
          <w:highlight w:val="none"/>
          <w14:textFill>
            <w14:solidFill>
              <w14:schemeClr w14:val="tx1"/>
            </w14:solidFill>
          </w14:textFill>
        </w:rPr>
      </w:pPr>
    </w:p>
    <w:p w14:paraId="3B36430B">
      <w:pPr>
        <w:pStyle w:val="5"/>
        <w:keepNext w:val="0"/>
        <w:keepLines w:val="0"/>
        <w:pageBreakBefore w:val="0"/>
        <w:widowControl w:val="0"/>
        <w:kinsoku/>
        <w:wordWrap w:val="0"/>
        <w:overflowPunct/>
        <w:bidi w:val="0"/>
        <w:spacing w:line="360" w:lineRule="auto"/>
        <w:rPr>
          <w:rFonts w:hint="eastAsia" w:ascii="宋体" w:hAnsi="宋体" w:eastAsia="宋体" w:cs="宋体"/>
          <w:color w:val="auto"/>
          <w:sz w:val="32"/>
          <w:szCs w:val="32"/>
        </w:rPr>
      </w:pPr>
    </w:p>
    <w:p w14:paraId="18829D98">
      <w:pPr>
        <w:pStyle w:val="5"/>
        <w:keepNext w:val="0"/>
        <w:keepLines w:val="0"/>
        <w:pageBreakBefore w:val="0"/>
        <w:widowControl w:val="0"/>
        <w:kinsoku/>
        <w:wordWrap w:val="0"/>
        <w:overflowPunct/>
        <w:bidi w:val="0"/>
        <w:spacing w:line="360" w:lineRule="auto"/>
        <w:rPr>
          <w:rFonts w:hint="eastAsia" w:ascii="宋体" w:hAnsi="宋体" w:eastAsia="宋体" w:cs="宋体"/>
          <w:color w:val="auto"/>
          <w:sz w:val="32"/>
          <w:szCs w:val="32"/>
        </w:rPr>
      </w:pPr>
    </w:p>
    <w:p w14:paraId="0F00A35A">
      <w:pPr>
        <w:pStyle w:val="31"/>
        <w:keepNext/>
        <w:keepLines w:val="0"/>
        <w:pageBreakBefore/>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eastAsia" w:ascii="宋体" w:hAnsi="宋体" w:eastAsia="宋体" w:cs="宋体"/>
          <w:b/>
          <w:bCs w:val="0"/>
          <w:kern w:val="2"/>
          <w:sz w:val="32"/>
          <w:szCs w:val="32"/>
          <w:lang w:val="en-US" w:eastAsia="zh-CN" w:bidi="ar-SA"/>
        </w:rPr>
      </w:pPr>
      <w:r>
        <w:rPr>
          <w:rFonts w:hint="default" w:ascii="宋体" w:hAnsi="宋体" w:eastAsia="宋体" w:cs="宋体"/>
          <w:b/>
          <w:bCs w:val="0"/>
          <w:kern w:val="2"/>
          <w:sz w:val="32"/>
          <w:szCs w:val="32"/>
          <w:lang w:val="en-US" w:eastAsia="zh-CN" w:bidi="ar-SA"/>
        </w:rPr>
        <w:t>框架协议采购合同</w:t>
      </w:r>
      <w:r>
        <w:rPr>
          <w:rFonts w:hint="eastAsia" w:cs="宋体"/>
          <w:b/>
          <w:bCs w:val="0"/>
          <w:kern w:val="2"/>
          <w:sz w:val="32"/>
          <w:szCs w:val="32"/>
          <w:lang w:val="en-US" w:eastAsia="zh-CN" w:bidi="ar-SA"/>
        </w:rPr>
        <w:t>（参考文本）</w:t>
      </w:r>
    </w:p>
    <w:p w14:paraId="720FC579">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right"/>
        <w:rPr>
          <w:rFonts w:hint="default" w:ascii="宋体" w:hAnsi="宋体" w:eastAsia="宋体" w:cs="宋体"/>
          <w:b/>
          <w:bCs/>
          <w:spacing w:val="-4"/>
          <w:kern w:val="0"/>
          <w:sz w:val="24"/>
          <w:szCs w:val="24"/>
          <w:highlight w:val="none"/>
          <w:lang w:val="en-US" w:eastAsia="zh-CN" w:bidi="ar-SA"/>
        </w:rPr>
      </w:pPr>
      <w:r>
        <w:rPr>
          <w:rFonts w:hint="default" w:ascii="宋体" w:hAnsi="宋体" w:eastAsia="宋体" w:cs="宋体"/>
          <w:b/>
          <w:bCs/>
          <w:spacing w:val="-4"/>
          <w:kern w:val="0"/>
          <w:sz w:val="24"/>
          <w:szCs w:val="24"/>
          <w:highlight w:val="none"/>
          <w:lang w:val="en-US" w:eastAsia="zh-CN" w:bidi="ar-SA"/>
        </w:rPr>
        <w:t>合同编号：</w:t>
      </w:r>
      <w:r>
        <w:rPr>
          <w:rFonts w:hint="eastAsia" w:ascii="宋体" w:hAnsi="宋体" w:eastAsia="宋体" w:cs="宋体"/>
          <w:b/>
          <w:bCs/>
          <w:spacing w:val="-4"/>
          <w:kern w:val="0"/>
          <w:sz w:val="24"/>
          <w:szCs w:val="24"/>
          <w:highlight w:val="none"/>
          <w:lang w:val="en-US" w:eastAsia="zh-CN" w:bidi="ar-SA"/>
        </w:rPr>
        <w:t xml:space="preserve">                 </w:t>
      </w:r>
    </w:p>
    <w:p w14:paraId="1A80EF8E">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right="0"/>
        <w:jc w:val="left"/>
        <w:rPr>
          <w:rFonts w:hint="default" w:ascii="宋体" w:hAnsi="宋体" w:eastAsia="宋体" w:cs="宋体"/>
          <w:b/>
          <w:bCs/>
          <w:spacing w:val="-4"/>
          <w:kern w:val="0"/>
          <w:sz w:val="24"/>
          <w:szCs w:val="24"/>
          <w:highlight w:val="none"/>
          <w:lang w:val="en-US" w:eastAsia="zh-CN" w:bidi="ar-SA"/>
        </w:rPr>
      </w:pPr>
      <w:r>
        <w:rPr>
          <w:rFonts w:hint="default" w:ascii="宋体" w:hAnsi="宋体" w:eastAsia="宋体" w:cs="宋体"/>
          <w:b/>
          <w:bCs/>
          <w:spacing w:val="-4"/>
          <w:kern w:val="0"/>
          <w:sz w:val="24"/>
          <w:szCs w:val="24"/>
          <w:highlight w:val="none"/>
          <w:lang w:val="en-US" w:eastAsia="zh-CN" w:bidi="ar-SA"/>
        </w:rPr>
        <w:t>采购单位（甲方）：  </w:t>
      </w:r>
    </w:p>
    <w:p w14:paraId="6FB0EE20">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right="0"/>
        <w:jc w:val="left"/>
        <w:rPr>
          <w:rFonts w:hint="default" w:ascii="宋体" w:hAnsi="宋体" w:eastAsia="宋体" w:cs="宋体"/>
          <w:b/>
          <w:bCs/>
          <w:spacing w:val="-4"/>
          <w:kern w:val="0"/>
          <w:sz w:val="24"/>
          <w:szCs w:val="24"/>
          <w:highlight w:val="none"/>
          <w:lang w:val="en-US" w:eastAsia="zh-CN" w:bidi="ar-SA"/>
        </w:rPr>
      </w:pPr>
      <w:r>
        <w:rPr>
          <w:rFonts w:hint="default" w:ascii="宋体" w:hAnsi="宋体" w:eastAsia="宋体" w:cs="宋体"/>
          <w:b/>
          <w:bCs/>
          <w:spacing w:val="-4"/>
          <w:kern w:val="0"/>
          <w:sz w:val="24"/>
          <w:szCs w:val="24"/>
          <w:highlight w:val="none"/>
          <w:lang w:val="en-US" w:eastAsia="zh-CN" w:bidi="ar-SA"/>
        </w:rPr>
        <w:t>供货商（乙方）：   </w:t>
      </w:r>
    </w:p>
    <w:p w14:paraId="3FEA1A79">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rPr>
          <w:rFonts w:hint="default" w:ascii="宋体" w:hAnsi="宋体" w:eastAsia="宋体" w:cs="宋体"/>
          <w:spacing w:val="-4"/>
          <w:kern w:val="0"/>
          <w:sz w:val="24"/>
          <w:szCs w:val="24"/>
          <w:highlight w:val="none"/>
          <w:lang w:val="en-US" w:eastAsia="zh-CN" w:bidi="ar-SA"/>
        </w:rPr>
      </w:pPr>
    </w:p>
    <w:p w14:paraId="483CF589">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为了保护甲乙双方合法权益，根据《中华人民共和国民法典》及相关法律法规以及</w:t>
      </w:r>
      <w:r>
        <w:rPr>
          <w:rFonts w:hint="default" w:ascii="宋体" w:hAnsi="宋体" w:eastAsia="宋体" w:cs="宋体"/>
          <w:spacing w:val="-4"/>
          <w:kern w:val="0"/>
          <w:sz w:val="24"/>
          <w:szCs w:val="24"/>
          <w:highlight w:val="none"/>
          <w:u w:val="single"/>
          <w:lang w:val="en-US" w:eastAsia="zh-CN" w:bidi="ar-SA"/>
        </w:rPr>
        <w:t> </w:t>
      </w:r>
      <w:r>
        <w:rPr>
          <w:rFonts w:hint="eastAsia" w:ascii="宋体" w:hAnsi="宋体" w:eastAsia="宋体" w:cs="宋体"/>
          <w:spacing w:val="-4"/>
          <w:kern w:val="0"/>
          <w:sz w:val="24"/>
          <w:szCs w:val="24"/>
          <w:highlight w:val="none"/>
          <w:u w:val="single"/>
          <w:lang w:val="en-US" w:eastAsia="zh-CN" w:bidi="ar-SA"/>
        </w:rPr>
        <w:t xml:space="preserve">                     </w:t>
      </w:r>
      <w:r>
        <w:rPr>
          <w:rFonts w:hint="eastAsia" w:ascii="宋体" w:hAnsi="宋体" w:eastAsia="宋体" w:cs="宋体"/>
          <w:spacing w:val="-4"/>
          <w:kern w:val="0"/>
          <w:sz w:val="24"/>
          <w:szCs w:val="24"/>
          <w:highlight w:val="none"/>
          <w:u w:val="none"/>
          <w:lang w:val="en-US" w:eastAsia="zh-CN" w:bidi="ar-SA"/>
        </w:rPr>
        <w:t>（</w:t>
      </w:r>
      <w:r>
        <w:rPr>
          <w:rFonts w:hint="default" w:ascii="宋体" w:hAnsi="宋体" w:eastAsia="宋体" w:cs="宋体"/>
          <w:spacing w:val="-4"/>
          <w:kern w:val="0"/>
          <w:sz w:val="24"/>
          <w:szCs w:val="24"/>
          <w:highlight w:val="none"/>
          <w:u w:val="none"/>
          <w:lang w:val="en-US" w:eastAsia="zh-CN" w:bidi="ar-SA"/>
        </w:rPr>
        <w:t>项目名称</w:t>
      </w:r>
      <w:r>
        <w:rPr>
          <w:rFonts w:hint="eastAsia" w:ascii="宋体" w:hAnsi="宋体" w:eastAsia="宋体" w:cs="宋体"/>
          <w:spacing w:val="-4"/>
          <w:kern w:val="0"/>
          <w:sz w:val="24"/>
          <w:szCs w:val="24"/>
          <w:highlight w:val="none"/>
          <w:u w:val="none"/>
          <w:lang w:val="en-US" w:eastAsia="zh-CN" w:bidi="ar-SA"/>
        </w:rPr>
        <w:t>）</w:t>
      </w:r>
      <w:r>
        <w:rPr>
          <w:rFonts w:hint="default" w:ascii="宋体" w:hAnsi="宋体" w:eastAsia="宋体" w:cs="宋体"/>
          <w:spacing w:val="-4"/>
          <w:kern w:val="0"/>
          <w:sz w:val="24"/>
          <w:szCs w:val="24"/>
          <w:highlight w:val="none"/>
          <w:lang w:val="en-US" w:eastAsia="zh-CN" w:bidi="ar-SA"/>
        </w:rPr>
        <w:t>框架协议采购项目</w:t>
      </w:r>
      <w:r>
        <w:rPr>
          <w:rFonts w:hint="eastAsia" w:cs="宋体"/>
          <w:spacing w:val="-4"/>
          <w:kern w:val="0"/>
          <w:sz w:val="24"/>
          <w:szCs w:val="24"/>
          <w:highlight w:val="none"/>
          <w:lang w:val="en-US" w:eastAsia="zh-CN" w:bidi="ar-SA"/>
        </w:rPr>
        <w:t>征集文件</w:t>
      </w:r>
      <w:r>
        <w:rPr>
          <w:rFonts w:hint="default" w:ascii="宋体" w:hAnsi="宋体" w:eastAsia="宋体" w:cs="宋体"/>
          <w:spacing w:val="-4"/>
          <w:kern w:val="0"/>
          <w:sz w:val="24"/>
          <w:szCs w:val="24"/>
          <w:highlight w:val="none"/>
          <w:lang w:val="en-US" w:eastAsia="zh-CN" w:bidi="ar-SA"/>
        </w:rPr>
        <w:t>、中标供应商的</w:t>
      </w:r>
      <w:r>
        <w:rPr>
          <w:rFonts w:hint="eastAsia" w:cs="宋体"/>
          <w:spacing w:val="-4"/>
          <w:kern w:val="0"/>
          <w:sz w:val="24"/>
          <w:szCs w:val="24"/>
          <w:highlight w:val="none"/>
          <w:lang w:val="en-US" w:eastAsia="zh-CN" w:bidi="ar-SA"/>
        </w:rPr>
        <w:t>响应文件</w:t>
      </w:r>
      <w:r>
        <w:rPr>
          <w:rFonts w:hint="default" w:ascii="宋体" w:hAnsi="宋体" w:eastAsia="宋体" w:cs="宋体"/>
          <w:spacing w:val="-4"/>
          <w:kern w:val="0"/>
          <w:sz w:val="24"/>
          <w:szCs w:val="24"/>
          <w:highlight w:val="none"/>
          <w:lang w:val="en-US" w:eastAsia="zh-CN" w:bidi="ar-SA"/>
        </w:rPr>
        <w:t>、框架协议采购项目协议和承诺书，双方签署本合同，以资共同遵守。</w:t>
      </w:r>
    </w:p>
    <w:p w14:paraId="0800E704">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 </w:t>
      </w:r>
    </w:p>
    <w:p w14:paraId="1FFE688F">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b/>
          <w:bCs/>
          <w:spacing w:val="-4"/>
          <w:kern w:val="0"/>
          <w:sz w:val="24"/>
          <w:szCs w:val="24"/>
          <w:highlight w:val="none"/>
          <w:lang w:val="en-US" w:eastAsia="zh-CN" w:bidi="ar-SA"/>
        </w:rPr>
      </w:pPr>
      <w:r>
        <w:rPr>
          <w:rFonts w:hint="default" w:ascii="宋体" w:hAnsi="宋体" w:eastAsia="宋体" w:cs="宋体"/>
          <w:b/>
          <w:bCs/>
          <w:spacing w:val="-4"/>
          <w:kern w:val="0"/>
          <w:sz w:val="24"/>
          <w:szCs w:val="24"/>
          <w:highlight w:val="none"/>
          <w:lang w:val="en-US" w:eastAsia="zh-CN" w:bidi="ar-SA"/>
        </w:rPr>
        <w:t>第一条 合同组成</w:t>
      </w:r>
    </w:p>
    <w:p w14:paraId="4AD343A4">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本次政府采购活动的相关文件为本合同的组成部分，这些文件包括但不限于：</w:t>
      </w:r>
    </w:p>
    <w:p w14:paraId="36B20A76">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1.本合同文本；</w:t>
      </w:r>
    </w:p>
    <w:p w14:paraId="75546F61">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2.采购</w:t>
      </w:r>
      <w:r>
        <w:rPr>
          <w:rFonts w:hint="eastAsia" w:cs="宋体"/>
          <w:spacing w:val="-4"/>
          <w:kern w:val="0"/>
          <w:sz w:val="24"/>
          <w:szCs w:val="24"/>
          <w:highlight w:val="none"/>
          <w:lang w:val="en-US" w:eastAsia="zh-CN" w:bidi="ar-SA"/>
        </w:rPr>
        <w:t>征集</w:t>
      </w:r>
      <w:r>
        <w:rPr>
          <w:rFonts w:hint="default" w:ascii="宋体" w:hAnsi="宋体" w:eastAsia="宋体" w:cs="宋体"/>
          <w:spacing w:val="-4"/>
          <w:kern w:val="0"/>
          <w:sz w:val="24"/>
          <w:szCs w:val="24"/>
          <w:highlight w:val="none"/>
          <w:lang w:val="en-US" w:eastAsia="zh-CN" w:bidi="ar-SA"/>
        </w:rPr>
        <w:t>文件与采购响应文件；</w:t>
      </w:r>
    </w:p>
    <w:p w14:paraId="7687F2D0">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3.中标或成交通知书；</w:t>
      </w:r>
    </w:p>
    <w:p w14:paraId="4178A72D">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64" w:firstLineChars="20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组成本合同的所有文件必须为书面形式，合同如有变更的，须提供变更协议。政府采购合同备案时，须提供以上1、3两项。</w:t>
      </w:r>
    </w:p>
    <w:p w14:paraId="1B9CD486">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p>
    <w:p w14:paraId="451E32A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b/>
          <w:bCs/>
          <w:spacing w:val="-4"/>
          <w:kern w:val="0"/>
          <w:sz w:val="24"/>
          <w:szCs w:val="24"/>
          <w:highlight w:val="none"/>
          <w:lang w:val="en-US" w:eastAsia="zh-CN" w:bidi="ar-SA"/>
        </w:rPr>
      </w:pPr>
      <w:r>
        <w:rPr>
          <w:rFonts w:hint="default" w:ascii="宋体" w:hAnsi="宋体" w:eastAsia="宋体" w:cs="宋体"/>
          <w:b/>
          <w:bCs/>
          <w:spacing w:val="-4"/>
          <w:kern w:val="0"/>
          <w:sz w:val="24"/>
          <w:szCs w:val="24"/>
          <w:highlight w:val="none"/>
          <w:lang w:val="en-US" w:eastAsia="zh-CN" w:bidi="ar-SA"/>
        </w:rPr>
        <w:t>第二条 合同标的</w:t>
      </w:r>
    </w:p>
    <w:p w14:paraId="6C9A5BCD">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464" w:right="0" w:hanging="464" w:hangingChars="20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本次采购的是工程造价(概算、结算)审核服务，本工程送审价为</w:t>
      </w:r>
      <w:r>
        <w:rPr>
          <w:rFonts w:hint="eastAsia" w:ascii="宋体" w:hAnsi="宋体" w:eastAsia="宋体" w:cs="宋体"/>
          <w:spacing w:val="-4"/>
          <w:kern w:val="0"/>
          <w:sz w:val="24"/>
          <w:szCs w:val="24"/>
          <w:highlight w:val="none"/>
          <w:u w:val="single"/>
          <w:lang w:val="en-US" w:eastAsia="zh-CN" w:bidi="ar-SA"/>
        </w:rPr>
        <w:t xml:space="preserve">      </w:t>
      </w:r>
      <w:r>
        <w:rPr>
          <w:rFonts w:hint="eastAsia" w:ascii="宋体" w:hAnsi="宋体" w:eastAsia="宋体" w:cs="宋体"/>
          <w:spacing w:val="-4"/>
          <w:kern w:val="0"/>
          <w:sz w:val="24"/>
          <w:szCs w:val="24"/>
          <w:highlight w:val="none"/>
          <w:u w:val="none"/>
          <w:lang w:val="en-US" w:eastAsia="zh-CN" w:bidi="ar-SA"/>
        </w:rPr>
        <w:t>万</w:t>
      </w:r>
      <w:r>
        <w:rPr>
          <w:rFonts w:hint="default" w:ascii="宋体" w:hAnsi="宋体" w:eastAsia="宋体" w:cs="宋体"/>
          <w:spacing w:val="-4"/>
          <w:kern w:val="0"/>
          <w:sz w:val="24"/>
          <w:szCs w:val="24"/>
          <w:highlight w:val="none"/>
          <w:lang w:val="en-US" w:eastAsia="zh-CN" w:bidi="ar-SA"/>
        </w:rPr>
        <w:t>元。</w:t>
      </w:r>
    </w:p>
    <w:p w14:paraId="3F77B482">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p>
    <w:p w14:paraId="388BB5C9">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 xml:space="preserve">合同标的（费用明细）    </w:t>
      </w:r>
      <w:r>
        <w:rPr>
          <w:rFonts w:hint="eastAsia" w:ascii="宋体" w:hAnsi="宋体" w:eastAsia="宋体" w:cs="宋体"/>
          <w:spacing w:val="-4"/>
          <w:kern w:val="0"/>
          <w:sz w:val="24"/>
          <w:szCs w:val="24"/>
          <w:highlight w:val="none"/>
          <w:lang w:val="en-US" w:eastAsia="zh-CN" w:bidi="ar-SA"/>
        </w:rPr>
        <w:t xml:space="preserve">                                     </w:t>
      </w:r>
      <w:r>
        <w:rPr>
          <w:rFonts w:hint="default" w:ascii="宋体" w:hAnsi="宋体" w:eastAsia="宋体" w:cs="宋体"/>
          <w:spacing w:val="-4"/>
          <w:kern w:val="0"/>
          <w:sz w:val="24"/>
          <w:szCs w:val="24"/>
          <w:highlight w:val="none"/>
          <w:lang w:val="en-US" w:eastAsia="zh-CN" w:bidi="ar-SA"/>
        </w:rPr>
        <w:t>单位：万元</w:t>
      </w:r>
    </w:p>
    <w:tbl>
      <w:tblPr>
        <w:tblStyle w:val="32"/>
        <w:tblpPr w:vertAnchor="text" w:tblpXSpec="left"/>
        <w:tblW w:w="10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244"/>
        <w:gridCol w:w="1810"/>
        <w:gridCol w:w="1995"/>
        <w:gridCol w:w="1995"/>
        <w:gridCol w:w="1996"/>
      </w:tblGrid>
      <w:tr w14:paraId="28CEF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44"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280746D7">
            <w:pPr>
              <w:keepNext w:val="0"/>
              <w:keepLines w:val="0"/>
              <w:widowControl/>
              <w:suppressLineNumbers w:val="0"/>
              <w:wordWrap w:val="0"/>
              <w:spacing w:before="0" w:beforeAutospacing="0" w:after="0" w:afterAutospacing="0"/>
              <w:ind w:left="0" w:right="0" w:firstLine="0"/>
              <w:jc w:val="center"/>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采购服务类型（概算审核/结算审核）</w:t>
            </w:r>
          </w:p>
        </w:tc>
        <w:tc>
          <w:tcPr>
            <w:tcW w:w="1810"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51A5E866">
            <w:pPr>
              <w:keepNext w:val="0"/>
              <w:keepLines w:val="0"/>
              <w:widowControl/>
              <w:suppressLineNumbers w:val="0"/>
              <w:wordWrap w:val="0"/>
              <w:spacing w:before="0" w:beforeAutospacing="0" w:after="0" w:afterAutospacing="0"/>
              <w:ind w:left="0" w:right="0" w:firstLine="0"/>
              <w:jc w:val="center"/>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项目名称</w:t>
            </w:r>
          </w:p>
        </w:tc>
        <w:tc>
          <w:tcPr>
            <w:tcW w:w="199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0586AC2E">
            <w:pPr>
              <w:keepNext w:val="0"/>
              <w:keepLines w:val="0"/>
              <w:widowControl/>
              <w:suppressLineNumbers w:val="0"/>
              <w:wordWrap w:val="0"/>
              <w:spacing w:before="0" w:beforeAutospacing="0" w:after="0" w:afterAutospacing="0"/>
              <w:ind w:left="0" w:right="0" w:firstLine="0"/>
              <w:jc w:val="center"/>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送审价</w:t>
            </w:r>
          </w:p>
        </w:tc>
        <w:tc>
          <w:tcPr>
            <w:tcW w:w="199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63C4DFF3">
            <w:pPr>
              <w:keepNext w:val="0"/>
              <w:keepLines w:val="0"/>
              <w:widowControl/>
              <w:suppressLineNumbers w:val="0"/>
              <w:wordWrap w:val="0"/>
              <w:spacing w:before="0" w:beforeAutospacing="0" w:after="0" w:afterAutospacing="0"/>
              <w:ind w:left="0" w:right="0" w:firstLine="0"/>
              <w:jc w:val="center"/>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审核费用</w:t>
            </w:r>
          </w:p>
        </w:tc>
        <w:tc>
          <w:tcPr>
            <w:tcW w:w="1996"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16419C1A">
            <w:pPr>
              <w:keepNext w:val="0"/>
              <w:keepLines w:val="0"/>
              <w:widowControl/>
              <w:suppressLineNumbers w:val="0"/>
              <w:wordWrap w:val="0"/>
              <w:spacing w:before="0" w:beforeAutospacing="0" w:after="0" w:afterAutospacing="0"/>
              <w:ind w:left="0" w:right="0" w:firstLine="0"/>
              <w:jc w:val="center"/>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备注</w:t>
            </w:r>
          </w:p>
        </w:tc>
      </w:tr>
      <w:tr w14:paraId="4B961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44"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51686034">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810"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561726C2">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99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7D5FD0AA">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99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4DEBBE40">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996"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3EC4115C">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r>
      <w:tr w14:paraId="7A8EA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44"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077F0D1D">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810"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3ED90DE2">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99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253F47AE">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99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4921430E">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996"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0FA20DE2">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r>
      <w:tr w14:paraId="0863A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44"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587C324A">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810"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0D121222">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99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0AC512A8">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99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10CA4FF2">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996"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18F3F77E">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r>
      <w:tr w14:paraId="5CE55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44"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2AD60BC4">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810"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0AB19914">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99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18FB8BF3">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99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53C0BF8E">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996"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210923AD">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r>
      <w:tr w14:paraId="2373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44"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1DB0C2B7">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r>
              <w:rPr>
                <w:rFonts w:hint="eastAsia" w:ascii="宋体" w:hAnsi="宋体" w:cs="宋体"/>
                <w:spacing w:val="-4"/>
                <w:kern w:val="0"/>
                <w:sz w:val="24"/>
                <w:szCs w:val="24"/>
                <w:highlight w:val="none"/>
                <w:lang w:val="en-US" w:eastAsia="zh-CN" w:bidi="ar-SA"/>
              </w:rPr>
              <w:t>合计</w:t>
            </w:r>
          </w:p>
        </w:tc>
        <w:tc>
          <w:tcPr>
            <w:tcW w:w="1810"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5F20A162">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99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17D6BE2E">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99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3FDADEEA">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c>
          <w:tcPr>
            <w:tcW w:w="1996"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top"/>
          </w:tcPr>
          <w:p w14:paraId="4BFDB98B">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p>
        </w:tc>
      </w:tr>
    </w:tbl>
    <w:p w14:paraId="4585DB7F">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p>
    <w:p w14:paraId="22D81913">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b/>
          <w:bCs/>
          <w:spacing w:val="-4"/>
          <w:kern w:val="0"/>
          <w:sz w:val="24"/>
          <w:szCs w:val="24"/>
          <w:highlight w:val="none"/>
          <w:lang w:val="en-US" w:eastAsia="zh-CN" w:bidi="ar-SA"/>
        </w:rPr>
      </w:pPr>
      <w:r>
        <w:rPr>
          <w:rFonts w:hint="default" w:ascii="宋体" w:hAnsi="宋体" w:eastAsia="宋体" w:cs="宋体"/>
          <w:b/>
          <w:bCs/>
          <w:spacing w:val="-4"/>
          <w:kern w:val="0"/>
          <w:sz w:val="24"/>
          <w:szCs w:val="24"/>
          <w:highlight w:val="none"/>
          <w:lang w:val="en-US" w:eastAsia="zh-CN" w:bidi="ar-SA"/>
        </w:rPr>
        <w:t>第三条 合同价款</w:t>
      </w:r>
    </w:p>
    <w:p w14:paraId="1363CDB3">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1.本合同项下审核费按采购文件与采购响应文件结果确定，总价款为人民币</w:t>
      </w:r>
      <w:r>
        <w:rPr>
          <w:rFonts w:hint="eastAsia" w:ascii="宋体" w:hAnsi="宋体" w:eastAsia="宋体" w:cs="宋体"/>
          <w:spacing w:val="-4"/>
          <w:kern w:val="0"/>
          <w:sz w:val="24"/>
          <w:szCs w:val="24"/>
          <w:highlight w:val="none"/>
          <w:u w:val="single"/>
          <w:lang w:val="en-US" w:eastAsia="zh-CN" w:bidi="ar-SA"/>
        </w:rPr>
        <w:t xml:space="preserve">            </w:t>
      </w:r>
      <w:r>
        <w:rPr>
          <w:rFonts w:hint="default" w:ascii="宋体" w:hAnsi="宋体" w:eastAsia="宋体" w:cs="宋体"/>
          <w:spacing w:val="-4"/>
          <w:kern w:val="0"/>
          <w:sz w:val="24"/>
          <w:szCs w:val="24"/>
          <w:highlight w:val="none"/>
          <w:lang w:val="en-US" w:eastAsia="zh-CN" w:bidi="ar-SA"/>
        </w:rPr>
        <w:t>（大写）。</w:t>
      </w:r>
    </w:p>
    <w:p w14:paraId="097ADBE7">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2.项目概算审核收费基数中不包括项目</w:t>
      </w:r>
      <w:r>
        <w:rPr>
          <w:rFonts w:hint="eastAsia" w:cs="宋体"/>
          <w:spacing w:val="-4"/>
          <w:kern w:val="0"/>
          <w:sz w:val="24"/>
          <w:szCs w:val="24"/>
          <w:highlight w:val="none"/>
          <w:lang w:val="en-US" w:eastAsia="zh-CN" w:bidi="ar-SA"/>
        </w:rPr>
        <w:t>土地征迁等相关</w:t>
      </w:r>
      <w:r>
        <w:rPr>
          <w:rFonts w:hint="default" w:ascii="宋体" w:hAnsi="宋体" w:eastAsia="宋体" w:cs="宋体"/>
          <w:spacing w:val="-4"/>
          <w:kern w:val="0"/>
          <w:sz w:val="24"/>
          <w:szCs w:val="24"/>
          <w:highlight w:val="none"/>
          <w:lang w:val="en-US" w:eastAsia="zh-CN" w:bidi="ar-SA"/>
        </w:rPr>
        <w:t>费用。</w:t>
      </w:r>
    </w:p>
    <w:p w14:paraId="319AEB12">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eastAsia" w:cs="宋体"/>
          <w:spacing w:val="-4"/>
          <w:kern w:val="0"/>
          <w:sz w:val="24"/>
          <w:szCs w:val="24"/>
          <w:highlight w:val="none"/>
          <w:lang w:val="en-US" w:eastAsia="zh-CN" w:bidi="ar-SA"/>
        </w:rPr>
        <w:t>3</w:t>
      </w:r>
      <w:r>
        <w:rPr>
          <w:rFonts w:hint="default" w:ascii="宋体" w:hAnsi="宋体" w:eastAsia="宋体" w:cs="宋体"/>
          <w:spacing w:val="-4"/>
          <w:kern w:val="0"/>
          <w:sz w:val="24"/>
          <w:szCs w:val="24"/>
          <w:highlight w:val="none"/>
          <w:lang w:val="en-US" w:eastAsia="zh-CN" w:bidi="ar-SA"/>
        </w:rPr>
        <w:t>.工程结算审核基本收费以送审金额为基数，计算表中费率仅为基本收费（不含绩效收费）；绩效收费可参照《浙江省建设工程造价咨询服务项目及收费指引》（浙建价协〔2021〕13号）执行。</w:t>
      </w:r>
    </w:p>
    <w:p w14:paraId="2ABDA743">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eastAsia" w:cs="宋体"/>
          <w:spacing w:val="-4"/>
          <w:kern w:val="0"/>
          <w:sz w:val="24"/>
          <w:szCs w:val="24"/>
          <w:highlight w:val="none"/>
          <w:lang w:val="en-US" w:eastAsia="zh-CN" w:bidi="ar-SA"/>
        </w:rPr>
        <w:t>4</w:t>
      </w:r>
      <w:r>
        <w:rPr>
          <w:rFonts w:hint="default" w:ascii="宋体" w:hAnsi="宋体" w:eastAsia="宋体" w:cs="宋体"/>
          <w:spacing w:val="-4"/>
          <w:kern w:val="0"/>
          <w:sz w:val="24"/>
          <w:szCs w:val="24"/>
          <w:highlight w:val="none"/>
          <w:lang w:val="en-US" w:eastAsia="zh-CN" w:bidi="ar-SA"/>
        </w:rPr>
        <w:t>.每件咨询服务合同按上述计算基本收费不足2000元的，按2000元计算。</w:t>
      </w:r>
    </w:p>
    <w:p w14:paraId="52E1E49E">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eastAsia" w:cs="宋体"/>
          <w:spacing w:val="-4"/>
          <w:kern w:val="0"/>
          <w:sz w:val="24"/>
          <w:szCs w:val="24"/>
          <w:highlight w:val="none"/>
          <w:lang w:val="en-US" w:eastAsia="zh-CN" w:bidi="ar-SA"/>
        </w:rPr>
        <w:t>5</w:t>
      </w:r>
      <w:r>
        <w:rPr>
          <w:rFonts w:hint="default" w:ascii="宋体" w:hAnsi="宋体" w:eastAsia="宋体" w:cs="宋体"/>
          <w:spacing w:val="-4"/>
          <w:kern w:val="0"/>
          <w:sz w:val="24"/>
          <w:szCs w:val="24"/>
          <w:highlight w:val="none"/>
          <w:lang w:val="en-US" w:eastAsia="zh-CN" w:bidi="ar-SA"/>
        </w:rPr>
        <w:t>.本合同总价款含所有的人工费、服务费、企业管理费、利润、税金等一切费用（食宿、交通等全部费用由乙方自理）。</w:t>
      </w:r>
    </w:p>
    <w:p w14:paraId="79B9788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eastAsia" w:cs="宋体"/>
          <w:spacing w:val="-4"/>
          <w:kern w:val="0"/>
          <w:sz w:val="24"/>
          <w:szCs w:val="24"/>
          <w:highlight w:val="none"/>
          <w:lang w:val="en-US" w:eastAsia="zh-CN" w:bidi="ar-SA"/>
        </w:rPr>
        <w:t>6</w:t>
      </w:r>
      <w:r>
        <w:rPr>
          <w:rFonts w:hint="default" w:ascii="宋体" w:hAnsi="宋体" w:eastAsia="宋体" w:cs="宋体"/>
          <w:spacing w:val="-4"/>
          <w:kern w:val="0"/>
          <w:sz w:val="24"/>
          <w:szCs w:val="24"/>
          <w:highlight w:val="none"/>
          <w:lang w:val="en-US" w:eastAsia="zh-CN" w:bidi="ar-SA"/>
        </w:rPr>
        <w:t>.审核费用在采购人确定入围供应商按时、按质、按量完成组织审核业务后支付。由乙方提交审核项目费用清单及发票等资料，经采购人审核后予以支付。</w:t>
      </w:r>
    </w:p>
    <w:p w14:paraId="5977ACB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p>
    <w:p w14:paraId="1FE26E96">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b/>
          <w:bCs/>
          <w:spacing w:val="-4"/>
          <w:kern w:val="0"/>
          <w:sz w:val="24"/>
          <w:szCs w:val="24"/>
          <w:highlight w:val="none"/>
          <w:lang w:val="en-US" w:eastAsia="zh-CN" w:bidi="ar-SA"/>
        </w:rPr>
      </w:pPr>
      <w:r>
        <w:rPr>
          <w:rFonts w:hint="default" w:ascii="宋体" w:hAnsi="宋体" w:eastAsia="宋体" w:cs="宋体"/>
          <w:b/>
          <w:bCs/>
          <w:spacing w:val="-4"/>
          <w:kern w:val="0"/>
          <w:sz w:val="24"/>
          <w:szCs w:val="24"/>
          <w:highlight w:val="none"/>
          <w:lang w:val="en-US" w:eastAsia="zh-CN" w:bidi="ar-SA"/>
        </w:rPr>
        <w:t>第四条 合同的变更和终止</w:t>
      </w:r>
    </w:p>
    <w:p w14:paraId="407051A6">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除《政府采购法》第49条、第50条第二款规定的情形外，本合同一经签订，甲乙双方不得擅自终止合同或对合同实质性条款进行变更。确有特殊情况的，须经同级财政部门批准。</w:t>
      </w:r>
    </w:p>
    <w:p w14:paraId="48DA6C96">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p>
    <w:p w14:paraId="758B7BD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b/>
          <w:bCs/>
          <w:spacing w:val="-4"/>
          <w:kern w:val="0"/>
          <w:sz w:val="24"/>
          <w:szCs w:val="24"/>
          <w:highlight w:val="none"/>
          <w:lang w:val="en-US" w:eastAsia="zh-CN" w:bidi="ar-SA"/>
        </w:rPr>
      </w:pPr>
      <w:r>
        <w:rPr>
          <w:rFonts w:hint="default" w:ascii="宋体" w:hAnsi="宋体" w:eastAsia="宋体" w:cs="宋体"/>
          <w:b/>
          <w:bCs/>
          <w:spacing w:val="-4"/>
          <w:kern w:val="0"/>
          <w:sz w:val="24"/>
          <w:szCs w:val="24"/>
          <w:highlight w:val="none"/>
          <w:lang w:val="en-US" w:eastAsia="zh-CN" w:bidi="ar-SA"/>
        </w:rPr>
        <w:t>第五条 合同的转让与分包</w:t>
      </w:r>
    </w:p>
    <w:p w14:paraId="7D403FA2">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乙方不得擅自部分或全部转让其应履行的合同义务。乙方分包的，应经过甲方书面同意。</w:t>
      </w:r>
    </w:p>
    <w:p w14:paraId="2AE0DE29">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p>
    <w:p w14:paraId="33D35B57">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b/>
          <w:bCs/>
          <w:spacing w:val="-4"/>
          <w:kern w:val="0"/>
          <w:sz w:val="24"/>
          <w:szCs w:val="24"/>
          <w:highlight w:val="none"/>
          <w:lang w:val="en-US" w:eastAsia="zh-CN" w:bidi="ar-SA"/>
        </w:rPr>
      </w:pPr>
      <w:r>
        <w:rPr>
          <w:rFonts w:hint="default" w:ascii="宋体" w:hAnsi="宋体" w:eastAsia="宋体" w:cs="宋体"/>
          <w:b/>
          <w:bCs/>
          <w:spacing w:val="-4"/>
          <w:kern w:val="0"/>
          <w:sz w:val="24"/>
          <w:szCs w:val="24"/>
          <w:highlight w:val="none"/>
          <w:lang w:val="en-US" w:eastAsia="zh-CN" w:bidi="ar-SA"/>
        </w:rPr>
        <w:t>第六条 争议的解决</w:t>
      </w:r>
    </w:p>
    <w:p w14:paraId="052F73AB">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因履行本合同引起的或与本合同有关的争议，甲、乙双方应首先通过友好协商解决，如果协商不能解决争议，则向甲方所在地有管辖权的人民法院提起诉讼。</w:t>
      </w:r>
    </w:p>
    <w:p w14:paraId="03CF7D2B">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b/>
          <w:bCs/>
          <w:spacing w:val="-4"/>
          <w:kern w:val="0"/>
          <w:sz w:val="24"/>
          <w:szCs w:val="24"/>
          <w:highlight w:val="none"/>
          <w:lang w:val="en-US" w:eastAsia="zh-CN" w:bidi="ar-SA"/>
        </w:rPr>
      </w:pPr>
    </w:p>
    <w:p w14:paraId="1A19D10E">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default" w:ascii="宋体" w:hAnsi="宋体" w:eastAsia="宋体" w:cs="宋体"/>
          <w:b/>
          <w:bCs/>
          <w:spacing w:val="-4"/>
          <w:kern w:val="0"/>
          <w:sz w:val="24"/>
          <w:szCs w:val="24"/>
          <w:highlight w:val="none"/>
          <w:lang w:val="en-US" w:eastAsia="zh-CN" w:bidi="ar-SA"/>
        </w:rPr>
      </w:pPr>
      <w:r>
        <w:rPr>
          <w:rFonts w:hint="default" w:ascii="宋体" w:hAnsi="宋体" w:eastAsia="宋体" w:cs="宋体"/>
          <w:b/>
          <w:bCs/>
          <w:spacing w:val="-4"/>
          <w:kern w:val="0"/>
          <w:sz w:val="24"/>
          <w:szCs w:val="24"/>
          <w:highlight w:val="none"/>
          <w:lang w:val="en-US" w:eastAsia="zh-CN" w:bidi="ar-SA"/>
        </w:rPr>
        <w:t>二、特殊专用条款部分</w:t>
      </w:r>
    </w:p>
    <w:p w14:paraId="289648CC">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b/>
          <w:bCs/>
          <w:spacing w:val="-4"/>
          <w:kern w:val="0"/>
          <w:sz w:val="24"/>
          <w:szCs w:val="24"/>
          <w:highlight w:val="none"/>
          <w:lang w:val="en-US" w:eastAsia="zh-CN" w:bidi="ar-SA"/>
        </w:rPr>
      </w:pPr>
      <w:r>
        <w:rPr>
          <w:rFonts w:hint="default" w:ascii="宋体" w:hAnsi="宋体" w:eastAsia="宋体" w:cs="宋体"/>
          <w:b/>
          <w:bCs/>
          <w:spacing w:val="-4"/>
          <w:kern w:val="0"/>
          <w:sz w:val="24"/>
          <w:szCs w:val="24"/>
          <w:highlight w:val="none"/>
          <w:lang w:val="en-US" w:eastAsia="zh-CN" w:bidi="ar-SA"/>
        </w:rPr>
        <w:t>第一条 服务要求</w:t>
      </w:r>
    </w:p>
    <w:p w14:paraId="71B4AE24">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1.专业工作团队组成：</w:t>
      </w:r>
    </w:p>
    <w:p w14:paraId="36BED210">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（1）</w:t>
      </w:r>
      <w:r>
        <w:rPr>
          <w:rFonts w:hint="eastAsia" w:cs="宋体"/>
          <w:spacing w:val="-4"/>
          <w:kern w:val="0"/>
          <w:sz w:val="24"/>
          <w:szCs w:val="24"/>
          <w:highlight w:val="none"/>
          <w:lang w:val="en-US" w:eastAsia="zh-CN" w:bidi="ar-SA"/>
        </w:rPr>
        <w:t>项目</w:t>
      </w:r>
      <w:r>
        <w:rPr>
          <w:rFonts w:hint="default" w:ascii="宋体" w:hAnsi="宋体" w:eastAsia="宋体" w:cs="宋体"/>
          <w:spacing w:val="-4"/>
          <w:kern w:val="0"/>
          <w:sz w:val="24"/>
          <w:szCs w:val="24"/>
          <w:highlight w:val="none"/>
          <w:lang w:val="en-US" w:eastAsia="zh-CN" w:bidi="ar-SA"/>
        </w:rPr>
        <w:t>负责人1人，</w:t>
      </w:r>
      <w:r>
        <w:rPr>
          <w:rFonts w:hint="eastAsia" w:ascii="宋体" w:hAnsi="宋体" w:eastAsia="宋体" w:cs="宋体"/>
          <w:spacing w:val="-4"/>
          <w:kern w:val="0"/>
          <w:sz w:val="24"/>
          <w:szCs w:val="24"/>
          <w:highlight w:val="none"/>
          <w:u w:val="single"/>
          <w:lang w:val="en-US" w:eastAsia="zh-CN" w:bidi="ar-SA"/>
        </w:rPr>
        <w:t xml:space="preserve">               </w:t>
      </w:r>
      <w:r>
        <w:rPr>
          <w:rFonts w:hint="default" w:ascii="宋体" w:hAnsi="宋体" w:eastAsia="宋体" w:cs="宋体"/>
          <w:spacing w:val="-4"/>
          <w:kern w:val="0"/>
          <w:sz w:val="24"/>
          <w:szCs w:val="24"/>
          <w:highlight w:val="none"/>
          <w:lang w:val="en-US" w:eastAsia="zh-CN" w:bidi="ar-SA"/>
        </w:rPr>
        <w:t>。</w:t>
      </w:r>
    </w:p>
    <w:p w14:paraId="368B01D7">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（2）拟派团队</w:t>
      </w:r>
      <w:r>
        <w:rPr>
          <w:rFonts w:hint="eastAsia" w:cs="宋体"/>
          <w:spacing w:val="-4"/>
          <w:kern w:val="0"/>
          <w:sz w:val="24"/>
          <w:szCs w:val="24"/>
          <w:highlight w:val="none"/>
          <w:lang w:val="en-US" w:eastAsia="zh-CN" w:bidi="ar-SA"/>
        </w:rPr>
        <w:t>人员</w:t>
      </w:r>
      <w:r>
        <w:rPr>
          <w:rFonts w:hint="default" w:ascii="宋体" w:hAnsi="宋体" w:eastAsia="宋体" w:cs="宋体"/>
          <w:spacing w:val="-4"/>
          <w:kern w:val="0"/>
          <w:sz w:val="24"/>
          <w:szCs w:val="24"/>
          <w:highlight w:val="none"/>
          <w:lang w:val="en-US" w:eastAsia="zh-CN" w:bidi="ar-SA"/>
        </w:rPr>
        <w:t>（不含</w:t>
      </w:r>
      <w:r>
        <w:rPr>
          <w:rFonts w:hint="eastAsia" w:cs="宋体"/>
          <w:spacing w:val="-4"/>
          <w:kern w:val="0"/>
          <w:sz w:val="24"/>
          <w:szCs w:val="24"/>
          <w:highlight w:val="none"/>
          <w:lang w:val="en-US" w:eastAsia="zh-CN" w:bidi="ar-SA"/>
        </w:rPr>
        <w:t>项目</w:t>
      </w:r>
      <w:r>
        <w:rPr>
          <w:rFonts w:hint="default" w:ascii="宋体" w:hAnsi="宋体" w:eastAsia="宋体" w:cs="宋体"/>
          <w:spacing w:val="-4"/>
          <w:kern w:val="0"/>
          <w:sz w:val="24"/>
          <w:szCs w:val="24"/>
          <w:highlight w:val="none"/>
          <w:lang w:val="en-US" w:eastAsia="zh-CN" w:bidi="ar-SA"/>
        </w:rPr>
        <w:t>负责人），分别为</w:t>
      </w:r>
      <w:r>
        <w:rPr>
          <w:rFonts w:hint="eastAsia" w:ascii="宋体" w:hAnsi="宋体" w:eastAsia="宋体" w:cs="宋体"/>
          <w:spacing w:val="-4"/>
          <w:kern w:val="0"/>
          <w:sz w:val="24"/>
          <w:szCs w:val="24"/>
          <w:highlight w:val="none"/>
          <w:u w:val="single"/>
          <w:lang w:val="en-US" w:eastAsia="zh-CN" w:bidi="ar-SA"/>
        </w:rPr>
        <w:t xml:space="preserve">              </w:t>
      </w:r>
      <w:r>
        <w:rPr>
          <w:rFonts w:hint="default" w:ascii="宋体" w:hAnsi="宋体" w:eastAsia="宋体" w:cs="宋体"/>
          <w:spacing w:val="-4"/>
          <w:kern w:val="0"/>
          <w:sz w:val="24"/>
          <w:szCs w:val="24"/>
          <w:highlight w:val="none"/>
          <w:lang w:val="en-US" w:eastAsia="zh-CN" w:bidi="ar-SA"/>
        </w:rPr>
        <w:t>。</w:t>
      </w:r>
    </w:p>
    <w:p w14:paraId="25E181A3">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（3）实际项目审核人员必须为响应时拟派团队成员名单之列，团队成员一旦确定，人员不得变更，因客观原因需经甲方同意后方可调整，并不得降低人员技术资格标准。</w:t>
      </w:r>
    </w:p>
    <w:p w14:paraId="6AEC9ADB">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2.审核资料由拟派具体项目负责人在规定期限内亲自领取，当场复核，不得委托第三人前来领取。</w:t>
      </w:r>
    </w:p>
    <w:p w14:paraId="69B1F2DA">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3.项目概算审核工作要求：</w:t>
      </w:r>
    </w:p>
    <w:p w14:paraId="649253FC">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1）审核内容：审查项目的立项和审批情况；审查概算的编制范围及具体内容是否与批准的项目范围及具体工程内容相一致，有无擅自改变建设内容、扩大建设规模、提高建设标准；审查概算编制依据的正确性，概算所采用的定额体系是否正确；审查概算编制的准确性、完整性，对定额套用、工程量、取费、材料价格及有无漏项等进行审核，审查工程建设其他费是否符合国家和省市地方的有关规定。</w:t>
      </w:r>
    </w:p>
    <w:p w14:paraId="367F0A20">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2）审核时限：在确保审核质量的同时，着力缩短审核时间，提升审核效率，推进项目建设进程；根据项目审核委托合同约定的期限完成项目审核工作，并出具相应的审核报告及完成归档工作。送审资料齐全的，在10个工作日出初稿，如需补充资料的，审核时间从送审资料补齐之日起计算；特大型项目或特殊项目确需延长审核时限的，确有特殊原因不能审结而要求延期的，入围供应商需及时向业务委托人提交审核时间延长报批单并提供书面情况说明，经同意后方可延长审核期限，但最长不超过30个工作日。</w:t>
      </w:r>
    </w:p>
    <w:p w14:paraId="76873640">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（3）审核质量：审核综合误差率不得超过±</w:t>
      </w:r>
      <w:r>
        <w:rPr>
          <w:rFonts w:hint="eastAsia" w:cs="宋体"/>
          <w:spacing w:val="-4"/>
          <w:kern w:val="0"/>
          <w:sz w:val="24"/>
          <w:szCs w:val="24"/>
          <w:highlight w:val="none"/>
          <w:lang w:val="en-US" w:eastAsia="zh-CN" w:bidi="ar-SA"/>
        </w:rPr>
        <w:t>4</w:t>
      </w:r>
      <w:r>
        <w:rPr>
          <w:rFonts w:hint="default" w:ascii="宋体" w:hAnsi="宋体" w:eastAsia="宋体" w:cs="宋体"/>
          <w:spacing w:val="-4"/>
          <w:kern w:val="0"/>
          <w:sz w:val="24"/>
          <w:szCs w:val="24"/>
          <w:highlight w:val="none"/>
          <w:lang w:val="en-US" w:eastAsia="zh-CN" w:bidi="ar-SA"/>
        </w:rPr>
        <w:t>%（含本数）。</w:t>
      </w:r>
      <w:r>
        <w:rPr>
          <w:rFonts w:hint="default" w:cs="宋体"/>
          <w:spacing w:val="-4"/>
          <w:highlight w:val="none"/>
        </w:rPr>
        <w:t>经业务委托人</w:t>
      </w:r>
      <w:r>
        <w:rPr>
          <w:rFonts w:hint="eastAsia" w:asciiTheme="minorEastAsia" w:hAnsiTheme="minorEastAsia" w:eastAsiaTheme="minorEastAsia" w:cstheme="minorEastAsia"/>
          <w:kern w:val="2"/>
          <w:sz w:val="24"/>
          <w:szCs w:val="24"/>
          <w:highlight w:val="none"/>
          <w:lang w:eastAsia="zh-CN"/>
        </w:rPr>
        <w:t>或</w:t>
      </w:r>
      <w:r>
        <w:rPr>
          <w:rFonts w:hint="default" w:cs="宋体"/>
          <w:spacing w:val="-4"/>
          <w:highlight w:val="none"/>
        </w:rPr>
        <w:t>相关部门复核抽查</w:t>
      </w:r>
      <w:r>
        <w:rPr>
          <w:rFonts w:hint="eastAsia" w:cs="宋体"/>
          <w:spacing w:val="-4"/>
          <w:highlight w:val="none"/>
          <w:lang w:eastAsia="zh-CN"/>
        </w:rPr>
        <w:t>，</w:t>
      </w:r>
      <w:r>
        <w:rPr>
          <w:rFonts w:hint="default" w:cs="宋体"/>
          <w:spacing w:val="-4"/>
          <w:highlight w:val="none"/>
        </w:rPr>
        <w:t>审核结果综合误差率大于±</w:t>
      </w:r>
      <w:r>
        <w:rPr>
          <w:rFonts w:hint="eastAsia" w:cs="宋体"/>
          <w:spacing w:val="-4"/>
          <w:highlight w:val="none"/>
          <w:lang w:val="en-US" w:eastAsia="zh-CN"/>
        </w:rPr>
        <w:t>4</w:t>
      </w:r>
      <w:r>
        <w:rPr>
          <w:rFonts w:hint="default" w:cs="宋体"/>
          <w:spacing w:val="-4"/>
          <w:highlight w:val="none"/>
        </w:rPr>
        <w:t>%</w:t>
      </w:r>
      <w:r>
        <w:rPr>
          <w:rFonts w:hint="eastAsia" w:cs="宋体"/>
          <w:spacing w:val="-4"/>
          <w:highlight w:val="none"/>
          <w:lang w:eastAsia="zh-CN"/>
        </w:rPr>
        <w:t>，小于</w:t>
      </w:r>
      <w:r>
        <w:rPr>
          <w:rFonts w:hint="default" w:cs="宋体"/>
          <w:spacing w:val="-4"/>
          <w:highlight w:val="none"/>
        </w:rPr>
        <w:t>±</w:t>
      </w:r>
      <w:r>
        <w:rPr>
          <w:rFonts w:hint="eastAsia" w:cs="宋体"/>
          <w:spacing w:val="-4"/>
          <w:highlight w:val="none"/>
          <w:lang w:val="en-US" w:eastAsia="zh-CN"/>
        </w:rPr>
        <w:t>5</w:t>
      </w:r>
      <w:r>
        <w:rPr>
          <w:rFonts w:hint="default" w:cs="宋体"/>
          <w:spacing w:val="-4"/>
          <w:highlight w:val="none"/>
        </w:rPr>
        <w:t>%时，采购人将扣除应支付审核费用的50%</w:t>
      </w:r>
      <w:r>
        <w:rPr>
          <w:rFonts w:hint="eastAsia" w:cs="宋体"/>
          <w:spacing w:val="-4"/>
          <w:highlight w:val="none"/>
          <w:lang w:eastAsia="zh-CN"/>
        </w:rPr>
        <w:t>；</w:t>
      </w:r>
      <w:r>
        <w:rPr>
          <w:rFonts w:hint="default" w:cs="宋体"/>
          <w:spacing w:val="-4"/>
          <w:highlight w:val="none"/>
        </w:rPr>
        <w:t>综合误差率超过±5%的，审核费用不予支付。非供应商造成的可例外，但如存在严重质量问题的，采购人将扣除全部审核费用</w:t>
      </w:r>
      <w:r>
        <w:rPr>
          <w:rFonts w:hint="default" w:ascii="宋体" w:hAnsi="宋体" w:eastAsia="宋体" w:cs="宋体"/>
          <w:spacing w:val="-4"/>
          <w:kern w:val="0"/>
          <w:sz w:val="24"/>
          <w:szCs w:val="24"/>
          <w:highlight w:val="none"/>
          <w:lang w:val="en-US" w:eastAsia="zh-CN" w:bidi="ar-SA"/>
        </w:rPr>
        <w:t>。</w:t>
      </w:r>
    </w:p>
    <w:p w14:paraId="5917DFCD">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4</w:t>
      </w:r>
      <w:r>
        <w:rPr>
          <w:rFonts w:hint="eastAsia" w:cs="宋体"/>
          <w:spacing w:val="-4"/>
          <w:highlight w:val="none"/>
          <w:lang w:val="en-US" w:eastAsia="zh-CN"/>
        </w:rPr>
        <w:t>.</w:t>
      </w:r>
      <w:r>
        <w:rPr>
          <w:rFonts w:hint="default" w:ascii="宋体" w:hAnsi="宋体" w:eastAsia="宋体" w:cs="宋体"/>
          <w:spacing w:val="-4"/>
          <w:kern w:val="0"/>
          <w:sz w:val="24"/>
          <w:szCs w:val="24"/>
          <w:highlight w:val="none"/>
          <w:lang w:val="en-US" w:eastAsia="zh-CN" w:bidi="ar-SA"/>
        </w:rPr>
        <w:t>工程结算审核工作要求：</w:t>
      </w:r>
    </w:p>
    <w:p w14:paraId="7C9AB119">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1）审核内容：审查工程概算的执行情况，项目建设内容是否与概算批复一致，项目投资是否控制在概算投资额内；审查工程招投标程序、合同签订是否合法、合规，审查施工合同的执行情况；完工实际与施工图、竣工图、隐蔽工程验收单的一致性；联系单、重大设计变更的真实性和有效性、合法性；工程结算计价方式是否符合施工合同约定；工程量和单价的计算是否准确。</w:t>
      </w:r>
    </w:p>
    <w:p w14:paraId="17850B93">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2）审核时限：在确保审核质量的同时，着力缩短审核时间，提升审核效率，推进项目建设进程；根据项目审核委托合同约定的期限完成项目审核工作，并出具相应的审核报告及完成归档工作。从接到竣工结算报告和完整的竣工结算资料起，送审价500万元以下20日历天、500万元-2000万元30日历天、2000万元-5000万元45日历天、5000万元以上60日历天内提出审核初步报告。确有特殊原因不能审结而要求延期的，入围供应商需及时向业务委托人提交审核时间延长报批单并提供书面情况说明，经同意后方可延长审核期限。</w:t>
      </w:r>
    </w:p>
    <w:p w14:paraId="4EFC28D9">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（3）审核质量：</w:t>
      </w:r>
      <w:r>
        <w:rPr>
          <w:rFonts w:hint="default" w:cs="宋体"/>
          <w:spacing w:val="-4"/>
          <w:highlight w:val="none"/>
        </w:rPr>
        <w:t>审核结果综合误差率不得超过±</w:t>
      </w:r>
      <w:r>
        <w:rPr>
          <w:rFonts w:hint="eastAsia" w:cs="宋体"/>
          <w:spacing w:val="-4"/>
          <w:highlight w:val="none"/>
          <w:lang w:val="en-US" w:eastAsia="zh-CN"/>
        </w:rPr>
        <w:t>3</w:t>
      </w:r>
      <w:r>
        <w:rPr>
          <w:rFonts w:hint="default" w:cs="宋体"/>
          <w:spacing w:val="-4"/>
          <w:highlight w:val="none"/>
        </w:rPr>
        <w:t>%（含本数）。经业务委托人</w:t>
      </w:r>
      <w:r>
        <w:rPr>
          <w:rFonts w:hint="eastAsia" w:asciiTheme="minorEastAsia" w:hAnsiTheme="minorEastAsia" w:eastAsiaTheme="minorEastAsia" w:cstheme="minorEastAsia"/>
          <w:kern w:val="2"/>
          <w:sz w:val="24"/>
          <w:szCs w:val="24"/>
          <w:highlight w:val="none"/>
          <w:lang w:eastAsia="zh-CN"/>
        </w:rPr>
        <w:t>或</w:t>
      </w:r>
      <w:r>
        <w:rPr>
          <w:rFonts w:hint="default" w:cs="宋体"/>
          <w:spacing w:val="-4"/>
          <w:highlight w:val="none"/>
        </w:rPr>
        <w:t>相关部门复核抽查</w:t>
      </w:r>
      <w:r>
        <w:rPr>
          <w:rFonts w:hint="eastAsia" w:cs="宋体"/>
          <w:spacing w:val="-4"/>
          <w:highlight w:val="none"/>
          <w:lang w:eastAsia="zh-CN"/>
        </w:rPr>
        <w:t>，</w:t>
      </w:r>
      <w:r>
        <w:rPr>
          <w:rFonts w:hint="default" w:cs="宋体"/>
          <w:spacing w:val="-4"/>
          <w:highlight w:val="none"/>
        </w:rPr>
        <w:t>审核结果综合误差率大于±</w:t>
      </w:r>
      <w:r>
        <w:rPr>
          <w:rFonts w:hint="eastAsia" w:cs="宋体"/>
          <w:spacing w:val="-4"/>
          <w:highlight w:val="none"/>
          <w:lang w:val="en-US" w:eastAsia="zh-CN"/>
        </w:rPr>
        <w:t>3</w:t>
      </w:r>
      <w:r>
        <w:rPr>
          <w:rFonts w:hint="default" w:cs="宋体"/>
          <w:spacing w:val="-4"/>
          <w:highlight w:val="none"/>
        </w:rPr>
        <w:t>%</w:t>
      </w:r>
      <w:r>
        <w:rPr>
          <w:rFonts w:hint="eastAsia" w:cs="宋体"/>
          <w:spacing w:val="-4"/>
          <w:highlight w:val="none"/>
          <w:lang w:eastAsia="zh-CN"/>
        </w:rPr>
        <w:t>，小于</w:t>
      </w:r>
      <w:r>
        <w:rPr>
          <w:rFonts w:hint="default" w:cs="宋体"/>
          <w:spacing w:val="-4"/>
          <w:highlight w:val="none"/>
        </w:rPr>
        <w:t>±4%时，采购人将扣除应支付审核费用的50%，综合误差率超过±</w:t>
      </w:r>
      <w:r>
        <w:rPr>
          <w:rFonts w:hint="eastAsia" w:cs="宋体"/>
          <w:spacing w:val="-4"/>
          <w:highlight w:val="none"/>
          <w:lang w:val="en-US" w:eastAsia="zh-CN"/>
        </w:rPr>
        <w:t>4</w:t>
      </w:r>
      <w:r>
        <w:rPr>
          <w:rFonts w:hint="default" w:cs="宋体"/>
          <w:spacing w:val="-4"/>
          <w:highlight w:val="none"/>
        </w:rPr>
        <w:t>%的，审核费用不予支付，非供应商造成的可例外，但如存在严重质量问题的，采购人将扣除全部审核费用。</w:t>
      </w:r>
    </w:p>
    <w:p w14:paraId="1B5717DC">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p>
    <w:p w14:paraId="69A783BC">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b/>
          <w:bCs/>
          <w:spacing w:val="-4"/>
          <w:kern w:val="0"/>
          <w:sz w:val="24"/>
          <w:szCs w:val="24"/>
          <w:highlight w:val="none"/>
          <w:lang w:val="en-US" w:eastAsia="zh-CN" w:bidi="ar-SA"/>
        </w:rPr>
      </w:pPr>
      <w:r>
        <w:rPr>
          <w:rFonts w:hint="default" w:ascii="宋体" w:hAnsi="宋体" w:eastAsia="宋体" w:cs="宋体"/>
          <w:b/>
          <w:bCs/>
          <w:spacing w:val="-4"/>
          <w:kern w:val="0"/>
          <w:sz w:val="24"/>
          <w:szCs w:val="24"/>
          <w:highlight w:val="none"/>
          <w:lang w:val="en-US" w:eastAsia="zh-CN" w:bidi="ar-SA"/>
        </w:rPr>
        <w:t>第二条 协议双方的权利和义务</w:t>
      </w:r>
    </w:p>
    <w:p w14:paraId="5F02BA41">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1.甲方对乙方在服务期的评审工作进行全面管理、监督。</w:t>
      </w:r>
    </w:p>
    <w:p w14:paraId="658502B2">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2.甲方有权要求乙方更换不称职或应回避的评审人员。</w:t>
      </w:r>
    </w:p>
    <w:p w14:paraId="7F118777">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3.甲方有权对评审人员的工作质量随时检查、监督。对考核不合格者，甲方有权停止对乙方的委托评审业务。</w:t>
      </w:r>
    </w:p>
    <w:p w14:paraId="194E26FA">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4.甲方有权要求乙方按甲方指定的操作规定和办法执行。</w:t>
      </w:r>
    </w:p>
    <w:p w14:paraId="0CECE3E2">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5.对乙方提出的有争议且不能解决的工程问题和财务问题，甲方应协调有关部门解决。</w:t>
      </w:r>
    </w:p>
    <w:p w14:paraId="091B69C9">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6.在评审过程中，乙方有权拒绝不符合国家法律、法规等行为的人为干涉。</w:t>
      </w:r>
    </w:p>
    <w:p w14:paraId="0BF321B1">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7.乙方有权向甲方提出回避依法应回避的甲方代表。</w:t>
      </w:r>
    </w:p>
    <w:p w14:paraId="5B0316EF">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8.评审人员</w:t>
      </w:r>
    </w:p>
    <w:p w14:paraId="55371517">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（1）评审工作人员应与本合同的拟派人员一致，不得调整。</w:t>
      </w:r>
    </w:p>
    <w:p w14:paraId="11865815">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（2）乙方负责人必须到现场踏勘。</w:t>
      </w:r>
    </w:p>
    <w:p w14:paraId="56EBE35A">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（3）乙方的项目负责人应按时参加甲方所组织的会议，负责汇总本单位的在审核编制过程的问题，并与甲方相关工作人员联系。</w:t>
      </w:r>
    </w:p>
    <w:p w14:paraId="0F0DF1EC">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9.业务承接与完成</w:t>
      </w:r>
    </w:p>
    <w:p w14:paraId="492BD1E0">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（1）乙方必须在约定的工作时间内完成评审业务。</w:t>
      </w:r>
    </w:p>
    <w:p w14:paraId="79EA15BE">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（2）乙方评审人员在办理评审事项时，应当客观公正、实事求是、廉洁奉公，并保持严谨、稳健、负责的职业态度，在执行评审任务时，应真实反映评审结果，客观评价评审事项。</w:t>
      </w:r>
    </w:p>
    <w:p w14:paraId="2967B5C3">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（3）乙方保证在开展评审业务时，严格遵守法律法规和相关规章制度，按照评审合同约定的内容进行评审，负责评审事项的取证，出具评审报告。</w:t>
      </w:r>
    </w:p>
    <w:p w14:paraId="2DF45952">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（4）乙方负责评审档案的归档和立卷。</w:t>
      </w:r>
    </w:p>
    <w:p w14:paraId="65AB7771">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（5）乙方在评审过程中，除工作底稿以外的所有文件均应用电脑生成，并交给采购人，这些文件包括但不限于评审方案、评审事项分类记录、评审结果文书。</w:t>
      </w:r>
    </w:p>
    <w:p w14:paraId="25D3DE7C">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（6）乙方如被终止委托评审业务，仍应协助采购人完成已委托评审项目的后续工作。</w:t>
      </w:r>
    </w:p>
    <w:p w14:paraId="19862126">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p>
    <w:p w14:paraId="1274F841">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b/>
          <w:bCs/>
          <w:spacing w:val="-4"/>
          <w:kern w:val="0"/>
          <w:sz w:val="24"/>
          <w:szCs w:val="24"/>
          <w:highlight w:val="none"/>
          <w:lang w:val="en-US" w:eastAsia="zh-CN" w:bidi="ar-SA"/>
        </w:rPr>
      </w:pPr>
      <w:r>
        <w:rPr>
          <w:rFonts w:hint="default" w:ascii="宋体" w:hAnsi="宋体" w:eastAsia="宋体" w:cs="宋体"/>
          <w:b/>
          <w:bCs/>
          <w:spacing w:val="-4"/>
          <w:kern w:val="0"/>
          <w:sz w:val="24"/>
          <w:szCs w:val="24"/>
          <w:highlight w:val="none"/>
          <w:lang w:val="en-US" w:eastAsia="zh-CN" w:bidi="ar-SA"/>
        </w:rPr>
        <w:t>第三条 违约责任</w:t>
      </w:r>
    </w:p>
    <w:p w14:paraId="1E1E4D5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eastAsia" w:cs="宋体"/>
          <w:spacing w:val="-4"/>
          <w:kern w:val="0"/>
          <w:sz w:val="24"/>
          <w:szCs w:val="24"/>
          <w:highlight w:val="none"/>
          <w:lang w:val="en-US" w:eastAsia="zh-CN" w:bidi="ar-SA"/>
        </w:rPr>
        <w:t>1</w:t>
      </w:r>
      <w:r>
        <w:rPr>
          <w:rFonts w:hint="default" w:ascii="宋体" w:hAnsi="宋体" w:eastAsia="宋体" w:cs="宋体"/>
          <w:spacing w:val="-4"/>
          <w:kern w:val="0"/>
          <w:sz w:val="24"/>
          <w:szCs w:val="24"/>
          <w:highlight w:val="none"/>
          <w:lang w:val="en-US" w:eastAsia="zh-CN" w:bidi="ar-SA"/>
        </w:rPr>
        <w:t>.因一方原因，造成对方不能完成合同规定目标或直接造成对方经济损失的，另一方有权要求对方限期整改，并给予一定的经济补偿。</w:t>
      </w:r>
    </w:p>
    <w:p w14:paraId="574ABAA7">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eastAsia" w:cs="宋体"/>
          <w:spacing w:val="-4"/>
          <w:kern w:val="0"/>
          <w:sz w:val="24"/>
          <w:szCs w:val="24"/>
          <w:highlight w:val="none"/>
          <w:lang w:val="en-US" w:eastAsia="zh-CN" w:bidi="ar-SA"/>
        </w:rPr>
        <w:t>2</w:t>
      </w:r>
      <w:r>
        <w:rPr>
          <w:rFonts w:hint="default" w:ascii="宋体" w:hAnsi="宋体" w:eastAsia="宋体" w:cs="宋体"/>
          <w:spacing w:val="-4"/>
          <w:kern w:val="0"/>
          <w:sz w:val="24"/>
          <w:szCs w:val="24"/>
          <w:highlight w:val="none"/>
          <w:lang w:val="en-US" w:eastAsia="zh-CN" w:bidi="ar-SA"/>
        </w:rPr>
        <w:t>.乙方应按响应文件所承诺的服务措施完成评审工作，如与承诺不一致，视为违约，甲方视情节处理。乙方在项目评审过程中，超过承诺的误差率，除具体的委托评审合同规定处理外，相应扣减委托评审服务费用直至不予支付委托评审服务费用。</w:t>
      </w:r>
    </w:p>
    <w:p w14:paraId="3ABC6407">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eastAsia" w:cs="宋体"/>
          <w:spacing w:val="-4"/>
          <w:kern w:val="0"/>
          <w:sz w:val="24"/>
          <w:szCs w:val="24"/>
          <w:highlight w:val="none"/>
          <w:lang w:val="en-US" w:eastAsia="zh-CN" w:bidi="ar-SA"/>
        </w:rPr>
        <w:t>3</w:t>
      </w:r>
      <w:r>
        <w:rPr>
          <w:rFonts w:hint="default" w:ascii="宋体" w:hAnsi="宋体" w:eastAsia="宋体" w:cs="宋体"/>
          <w:spacing w:val="-4"/>
          <w:kern w:val="0"/>
          <w:sz w:val="24"/>
          <w:szCs w:val="24"/>
          <w:highlight w:val="none"/>
          <w:lang w:val="en-US" w:eastAsia="zh-CN" w:bidi="ar-SA"/>
        </w:rPr>
        <w:t>.因乙方原因，造成甲方名誉、形象严重损害的，或者所提供服务质量与合同要求严重不符时，甲方有权单方终止合同，不承担违约责任及经济责任，并有权向乙方索赔。</w:t>
      </w:r>
    </w:p>
    <w:p w14:paraId="693CF280">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eastAsia" w:cs="宋体"/>
          <w:spacing w:val="-4"/>
          <w:kern w:val="0"/>
          <w:sz w:val="24"/>
          <w:szCs w:val="24"/>
          <w:highlight w:val="none"/>
          <w:lang w:val="en-US" w:eastAsia="zh-CN" w:bidi="ar-SA"/>
        </w:rPr>
        <w:t>4</w:t>
      </w:r>
      <w:r>
        <w:rPr>
          <w:rFonts w:hint="default" w:ascii="宋体" w:hAnsi="宋体" w:eastAsia="宋体" w:cs="宋体"/>
          <w:spacing w:val="-4"/>
          <w:kern w:val="0"/>
          <w:sz w:val="24"/>
          <w:szCs w:val="24"/>
          <w:highlight w:val="none"/>
          <w:lang w:val="en-US" w:eastAsia="zh-CN" w:bidi="ar-SA"/>
        </w:rPr>
        <w:t>.乙方未按本合同的规定和“服务承诺”提供伴随服务的，应按合同总价款的5%向甲方承担违约责任。给甲方造成损失的，乙方应承担赔偿责任。</w:t>
      </w:r>
    </w:p>
    <w:p w14:paraId="0BCE8645">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eastAsia" w:cs="宋体"/>
          <w:spacing w:val="-4"/>
          <w:kern w:val="0"/>
          <w:sz w:val="24"/>
          <w:szCs w:val="24"/>
          <w:highlight w:val="none"/>
          <w:lang w:val="en-US" w:eastAsia="zh-CN" w:bidi="ar-SA"/>
        </w:rPr>
        <w:t>5</w:t>
      </w:r>
      <w:r>
        <w:rPr>
          <w:rFonts w:hint="default" w:ascii="宋体" w:hAnsi="宋体" w:eastAsia="宋体" w:cs="宋体"/>
          <w:spacing w:val="-4"/>
          <w:kern w:val="0"/>
          <w:sz w:val="24"/>
          <w:szCs w:val="24"/>
          <w:highlight w:val="none"/>
          <w:lang w:val="en-US" w:eastAsia="zh-CN" w:bidi="ar-SA"/>
        </w:rPr>
        <w:t>.全年出现二次不合格，一律终止合同，并承担违约责任的赔偿。</w:t>
      </w:r>
    </w:p>
    <w:p w14:paraId="71400C97">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p>
    <w:p w14:paraId="5C306CB5">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b/>
          <w:bCs/>
          <w:spacing w:val="-4"/>
          <w:kern w:val="0"/>
          <w:sz w:val="24"/>
          <w:szCs w:val="24"/>
          <w:highlight w:val="none"/>
          <w:lang w:val="en-US" w:eastAsia="zh-CN" w:bidi="ar-SA"/>
        </w:rPr>
      </w:pPr>
      <w:r>
        <w:rPr>
          <w:rFonts w:hint="default" w:ascii="宋体" w:hAnsi="宋体" w:eastAsia="宋体" w:cs="宋体"/>
          <w:b/>
          <w:bCs/>
          <w:spacing w:val="-4"/>
          <w:kern w:val="0"/>
          <w:sz w:val="24"/>
          <w:szCs w:val="24"/>
          <w:highlight w:val="none"/>
          <w:lang w:val="en-US" w:eastAsia="zh-CN" w:bidi="ar-SA"/>
        </w:rPr>
        <w:t>第四条 不可抗力</w:t>
      </w:r>
    </w:p>
    <w:p w14:paraId="0B656032">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14:paraId="4E32F67D">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2.不可抗力影响时间持续 30 日以上时，甲乙双方应及时解除合同。</w:t>
      </w:r>
    </w:p>
    <w:p w14:paraId="37887FAD">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3.本条所述“不可抗力”是指不可预见、不能克服及不能避免的事件，包括战争、严重火灾、洪水、地震等。</w:t>
      </w:r>
    </w:p>
    <w:p w14:paraId="1326D9F6">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p>
    <w:p w14:paraId="40C2B326">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b/>
          <w:bCs/>
          <w:spacing w:val="-4"/>
          <w:kern w:val="0"/>
          <w:sz w:val="24"/>
          <w:szCs w:val="24"/>
          <w:highlight w:val="none"/>
          <w:lang w:val="en-US" w:eastAsia="zh-CN" w:bidi="ar-SA"/>
        </w:rPr>
      </w:pPr>
      <w:r>
        <w:rPr>
          <w:rFonts w:hint="default" w:ascii="宋体" w:hAnsi="宋体" w:eastAsia="宋体" w:cs="宋体"/>
          <w:b/>
          <w:bCs/>
          <w:spacing w:val="-4"/>
          <w:kern w:val="0"/>
          <w:sz w:val="24"/>
          <w:szCs w:val="24"/>
          <w:highlight w:val="none"/>
          <w:lang w:val="en-US" w:eastAsia="zh-CN" w:bidi="ar-SA"/>
        </w:rPr>
        <w:t>第五条 合同生效及其他</w:t>
      </w:r>
    </w:p>
    <w:p w14:paraId="419C067A">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本合同经甲、乙双方代表签章后即行生效，合同一式二份，甲方、乙方各执一份。</w:t>
      </w:r>
    </w:p>
    <w:p w14:paraId="37BC11FA">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rPr>
          <w:rFonts w:hint="default" w:ascii="宋体" w:hAnsi="宋体" w:eastAsia="宋体" w:cs="宋体"/>
          <w:spacing w:val="-4"/>
          <w:kern w:val="0"/>
          <w:sz w:val="24"/>
          <w:szCs w:val="24"/>
          <w:highlight w:val="none"/>
          <w:lang w:val="en-US" w:eastAsia="zh-CN" w:bidi="ar-SA"/>
        </w:rPr>
      </w:pPr>
    </w:p>
    <w:p w14:paraId="0B56221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40" w:afterAutospacing="0"/>
        <w:ind w:left="0" w:right="0" w:firstLine="0"/>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    （本页无正文，为《框架协议采购合同》之签章页）</w:t>
      </w:r>
    </w:p>
    <w:tbl>
      <w:tblPr>
        <w:tblStyle w:val="32"/>
        <w:tblW w:w="8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303"/>
        <w:gridCol w:w="4303"/>
      </w:tblGrid>
      <w:tr w14:paraId="4672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303" w:type="dxa"/>
            <w:tcBorders>
              <w:top w:val="nil"/>
              <w:left w:val="nil"/>
              <w:bottom w:val="nil"/>
              <w:right w:val="nil"/>
            </w:tcBorders>
            <w:shd w:val="clear" w:color="auto" w:fill="FFFFFF"/>
            <w:tcMar>
              <w:top w:w="150" w:type="dxa"/>
              <w:left w:w="150" w:type="dxa"/>
              <w:bottom w:w="150" w:type="dxa"/>
              <w:right w:w="150" w:type="dxa"/>
            </w:tcMar>
            <w:vAlign w:val="center"/>
          </w:tcPr>
          <w:p w14:paraId="5B01816B">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甲方（公章）：</w:t>
            </w:r>
          </w:p>
        </w:tc>
        <w:tc>
          <w:tcPr>
            <w:tcW w:w="4303" w:type="dxa"/>
            <w:tcBorders>
              <w:top w:val="nil"/>
              <w:left w:val="nil"/>
              <w:bottom w:val="nil"/>
              <w:right w:val="nil"/>
            </w:tcBorders>
            <w:shd w:val="clear" w:color="auto" w:fill="FFFFFF"/>
            <w:tcMar>
              <w:top w:w="150" w:type="dxa"/>
              <w:left w:w="150" w:type="dxa"/>
              <w:bottom w:w="150" w:type="dxa"/>
              <w:right w:w="150" w:type="dxa"/>
            </w:tcMar>
            <w:vAlign w:val="center"/>
          </w:tcPr>
          <w:p w14:paraId="2837FAA4">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乙方（公章）： </w:t>
            </w:r>
          </w:p>
        </w:tc>
      </w:tr>
      <w:tr w14:paraId="5C20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303" w:type="dxa"/>
            <w:tcBorders>
              <w:top w:val="nil"/>
              <w:left w:val="nil"/>
              <w:bottom w:val="nil"/>
              <w:right w:val="nil"/>
            </w:tcBorders>
            <w:shd w:val="clear" w:color="auto" w:fill="FFFFFF"/>
            <w:tcMar>
              <w:top w:w="150" w:type="dxa"/>
              <w:left w:w="150" w:type="dxa"/>
              <w:bottom w:w="150" w:type="dxa"/>
              <w:right w:w="150" w:type="dxa"/>
            </w:tcMar>
            <w:vAlign w:val="center"/>
          </w:tcPr>
          <w:p w14:paraId="77BAC8A5">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法定（授权）代表人（签字）：</w:t>
            </w:r>
          </w:p>
        </w:tc>
        <w:tc>
          <w:tcPr>
            <w:tcW w:w="4303" w:type="dxa"/>
            <w:tcBorders>
              <w:top w:val="nil"/>
              <w:left w:val="nil"/>
              <w:bottom w:val="nil"/>
              <w:right w:val="nil"/>
            </w:tcBorders>
            <w:shd w:val="clear" w:color="auto" w:fill="FFFFFF"/>
            <w:tcMar>
              <w:top w:w="150" w:type="dxa"/>
              <w:left w:w="150" w:type="dxa"/>
              <w:bottom w:w="150" w:type="dxa"/>
              <w:right w:w="150" w:type="dxa"/>
            </w:tcMar>
            <w:vAlign w:val="center"/>
          </w:tcPr>
          <w:p w14:paraId="6F8DBE11">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法定（授权）代表人（签字）： </w:t>
            </w:r>
          </w:p>
        </w:tc>
      </w:tr>
      <w:tr w14:paraId="6D61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303" w:type="dxa"/>
            <w:tcBorders>
              <w:top w:val="nil"/>
              <w:left w:val="nil"/>
              <w:bottom w:val="nil"/>
              <w:right w:val="nil"/>
            </w:tcBorders>
            <w:shd w:val="clear" w:color="auto" w:fill="FFFFFF"/>
            <w:tcMar>
              <w:top w:w="150" w:type="dxa"/>
              <w:left w:w="150" w:type="dxa"/>
              <w:bottom w:w="150" w:type="dxa"/>
              <w:right w:w="150" w:type="dxa"/>
            </w:tcMar>
            <w:vAlign w:val="center"/>
          </w:tcPr>
          <w:p w14:paraId="041DAF88">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地址： </w:t>
            </w:r>
          </w:p>
        </w:tc>
        <w:tc>
          <w:tcPr>
            <w:tcW w:w="4303" w:type="dxa"/>
            <w:tcBorders>
              <w:top w:val="nil"/>
              <w:left w:val="nil"/>
              <w:bottom w:val="nil"/>
              <w:right w:val="nil"/>
            </w:tcBorders>
            <w:shd w:val="clear" w:color="auto" w:fill="FFFFFF"/>
            <w:tcMar>
              <w:top w:w="150" w:type="dxa"/>
              <w:left w:w="150" w:type="dxa"/>
              <w:bottom w:w="150" w:type="dxa"/>
              <w:right w:w="150" w:type="dxa"/>
            </w:tcMar>
            <w:vAlign w:val="center"/>
          </w:tcPr>
          <w:p w14:paraId="59713F1D">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地址：</w:t>
            </w:r>
          </w:p>
        </w:tc>
      </w:tr>
      <w:tr w14:paraId="0664A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303" w:type="dxa"/>
            <w:tcBorders>
              <w:top w:val="nil"/>
              <w:left w:val="nil"/>
              <w:bottom w:val="nil"/>
              <w:right w:val="nil"/>
            </w:tcBorders>
            <w:shd w:val="clear" w:color="auto" w:fill="FFFFFF"/>
            <w:tcMar>
              <w:top w:w="150" w:type="dxa"/>
              <w:left w:w="150" w:type="dxa"/>
              <w:bottom w:w="150" w:type="dxa"/>
              <w:right w:w="150" w:type="dxa"/>
            </w:tcMar>
            <w:vAlign w:val="center"/>
          </w:tcPr>
          <w:p w14:paraId="3A847FAA">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电话：</w:t>
            </w:r>
          </w:p>
        </w:tc>
        <w:tc>
          <w:tcPr>
            <w:tcW w:w="4303" w:type="dxa"/>
            <w:tcBorders>
              <w:top w:val="nil"/>
              <w:left w:val="nil"/>
              <w:bottom w:val="nil"/>
              <w:right w:val="nil"/>
            </w:tcBorders>
            <w:shd w:val="clear" w:color="auto" w:fill="FFFFFF"/>
            <w:tcMar>
              <w:top w:w="150" w:type="dxa"/>
              <w:left w:w="150" w:type="dxa"/>
              <w:bottom w:w="150" w:type="dxa"/>
              <w:right w:w="150" w:type="dxa"/>
            </w:tcMar>
            <w:vAlign w:val="center"/>
          </w:tcPr>
          <w:p w14:paraId="2F5482D5">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电话： </w:t>
            </w:r>
          </w:p>
        </w:tc>
      </w:tr>
      <w:tr w14:paraId="209E5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303" w:type="dxa"/>
            <w:tcBorders>
              <w:top w:val="nil"/>
              <w:left w:val="nil"/>
              <w:bottom w:val="nil"/>
              <w:right w:val="nil"/>
            </w:tcBorders>
            <w:shd w:val="clear" w:color="auto" w:fill="FFFFFF"/>
            <w:tcMar>
              <w:top w:w="150" w:type="dxa"/>
              <w:left w:w="150" w:type="dxa"/>
              <w:bottom w:w="150" w:type="dxa"/>
              <w:right w:w="150" w:type="dxa"/>
            </w:tcMar>
            <w:vAlign w:val="center"/>
          </w:tcPr>
          <w:p w14:paraId="1F04AEA3">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开户银行：</w:t>
            </w:r>
          </w:p>
        </w:tc>
        <w:tc>
          <w:tcPr>
            <w:tcW w:w="4303" w:type="dxa"/>
            <w:tcBorders>
              <w:top w:val="nil"/>
              <w:left w:val="nil"/>
              <w:bottom w:val="nil"/>
              <w:right w:val="nil"/>
            </w:tcBorders>
            <w:shd w:val="clear" w:color="auto" w:fill="FFFFFF"/>
            <w:tcMar>
              <w:top w:w="150" w:type="dxa"/>
              <w:left w:w="150" w:type="dxa"/>
              <w:bottom w:w="150" w:type="dxa"/>
              <w:right w:w="150" w:type="dxa"/>
            </w:tcMar>
            <w:vAlign w:val="center"/>
          </w:tcPr>
          <w:p w14:paraId="46077CE6">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开户银行：  </w:t>
            </w:r>
          </w:p>
        </w:tc>
      </w:tr>
      <w:tr w14:paraId="161A2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303" w:type="dxa"/>
            <w:tcBorders>
              <w:top w:val="nil"/>
              <w:left w:val="nil"/>
              <w:bottom w:val="nil"/>
              <w:right w:val="nil"/>
            </w:tcBorders>
            <w:shd w:val="clear" w:color="auto" w:fill="FFFFFF"/>
            <w:tcMar>
              <w:top w:w="150" w:type="dxa"/>
              <w:left w:w="150" w:type="dxa"/>
              <w:bottom w:w="150" w:type="dxa"/>
              <w:right w:w="150" w:type="dxa"/>
            </w:tcMar>
            <w:vAlign w:val="center"/>
          </w:tcPr>
          <w:p w14:paraId="255A17BD">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账号：</w:t>
            </w:r>
          </w:p>
        </w:tc>
        <w:tc>
          <w:tcPr>
            <w:tcW w:w="4303" w:type="dxa"/>
            <w:tcBorders>
              <w:top w:val="nil"/>
              <w:left w:val="nil"/>
              <w:bottom w:val="nil"/>
              <w:right w:val="nil"/>
            </w:tcBorders>
            <w:shd w:val="clear" w:color="auto" w:fill="FFFFFF"/>
            <w:tcMar>
              <w:top w:w="150" w:type="dxa"/>
              <w:left w:w="150" w:type="dxa"/>
              <w:bottom w:w="150" w:type="dxa"/>
              <w:right w:w="150" w:type="dxa"/>
            </w:tcMar>
            <w:vAlign w:val="center"/>
          </w:tcPr>
          <w:p w14:paraId="49BF13EE">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账号：  </w:t>
            </w:r>
          </w:p>
        </w:tc>
      </w:tr>
      <w:tr w14:paraId="6903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303" w:type="dxa"/>
            <w:tcBorders>
              <w:top w:val="nil"/>
              <w:left w:val="nil"/>
              <w:bottom w:val="nil"/>
              <w:right w:val="nil"/>
            </w:tcBorders>
            <w:shd w:val="clear" w:color="auto" w:fill="FFFFFF"/>
            <w:tcMar>
              <w:top w:w="150" w:type="dxa"/>
              <w:left w:w="150" w:type="dxa"/>
              <w:bottom w:w="150" w:type="dxa"/>
              <w:right w:w="150" w:type="dxa"/>
            </w:tcMar>
            <w:vAlign w:val="center"/>
          </w:tcPr>
          <w:p w14:paraId="221339D4">
            <w:pPr>
              <w:keepNext w:val="0"/>
              <w:keepLines w:val="0"/>
              <w:widowControl/>
              <w:suppressLineNumbers w:val="0"/>
              <w:wordWrap w:val="0"/>
              <w:spacing w:before="0" w:beforeAutospacing="0" w:after="0" w:afterAutospacing="0"/>
              <w:ind w:left="0" w:right="0" w:firstLine="0"/>
              <w:jc w:val="left"/>
              <w:rPr>
                <w:rFonts w:hint="default" w:ascii="宋体" w:hAnsi="宋体" w:eastAsia="宋体" w:cs="宋体"/>
                <w:spacing w:val="-4"/>
                <w:kern w:val="0"/>
                <w:sz w:val="24"/>
                <w:szCs w:val="24"/>
                <w:highlight w:val="none"/>
                <w:lang w:val="en-US" w:eastAsia="zh-CN" w:bidi="ar-SA"/>
              </w:rPr>
            </w:pPr>
            <w:r>
              <w:rPr>
                <w:rFonts w:hint="eastAsia" w:ascii="宋体" w:hAnsi="宋体" w:eastAsia="宋体" w:cs="宋体"/>
                <w:spacing w:val="-4"/>
                <w:kern w:val="0"/>
                <w:sz w:val="24"/>
                <w:szCs w:val="24"/>
                <w:highlight w:val="none"/>
                <w:lang w:val="en-US" w:eastAsia="zh-CN" w:bidi="ar-SA"/>
              </w:rPr>
              <w:t>签订日</w:t>
            </w:r>
            <w:r>
              <w:rPr>
                <w:rFonts w:hint="default" w:ascii="宋体" w:hAnsi="宋体" w:eastAsia="宋体" w:cs="宋体"/>
                <w:spacing w:val="-4"/>
                <w:kern w:val="0"/>
                <w:sz w:val="24"/>
                <w:szCs w:val="24"/>
                <w:highlight w:val="none"/>
                <w:lang w:val="en-US" w:eastAsia="zh-CN" w:bidi="ar-SA"/>
              </w:rPr>
              <w:t>期：   </w:t>
            </w:r>
            <w:r>
              <w:rPr>
                <w:rFonts w:hint="eastAsia" w:ascii="宋体" w:hAnsi="宋体" w:eastAsia="宋体" w:cs="宋体"/>
                <w:spacing w:val="-4"/>
                <w:kern w:val="0"/>
                <w:sz w:val="24"/>
                <w:szCs w:val="24"/>
                <w:highlight w:val="none"/>
                <w:lang w:val="en-US" w:eastAsia="zh-CN" w:bidi="ar-SA"/>
              </w:rPr>
              <w:t>年   月  日</w:t>
            </w:r>
          </w:p>
        </w:tc>
        <w:tc>
          <w:tcPr>
            <w:tcW w:w="4303" w:type="dxa"/>
            <w:tcBorders>
              <w:top w:val="nil"/>
              <w:left w:val="nil"/>
              <w:bottom w:val="nil"/>
              <w:right w:val="nil"/>
            </w:tcBorders>
            <w:shd w:val="clear" w:color="auto" w:fill="FFFFFF"/>
            <w:tcMar>
              <w:top w:w="150" w:type="dxa"/>
              <w:left w:w="150" w:type="dxa"/>
              <w:bottom w:w="150" w:type="dxa"/>
              <w:right w:w="150" w:type="dxa"/>
            </w:tcMar>
            <w:vAlign w:val="center"/>
          </w:tcPr>
          <w:p w14:paraId="3D7A904A">
            <w:pPr>
              <w:keepNext w:val="0"/>
              <w:keepLines w:val="0"/>
              <w:widowControl/>
              <w:suppressLineNumbers w:val="0"/>
              <w:wordWrap w:val="0"/>
              <w:spacing w:before="0" w:beforeAutospacing="0" w:after="0" w:afterAutospacing="0"/>
              <w:ind w:left="0" w:right="0" w:firstLine="0"/>
              <w:jc w:val="both"/>
              <w:rPr>
                <w:rFonts w:hint="default" w:ascii="宋体" w:hAnsi="宋体" w:eastAsia="宋体" w:cs="宋体"/>
                <w:spacing w:val="-4"/>
                <w:kern w:val="0"/>
                <w:sz w:val="24"/>
                <w:szCs w:val="24"/>
                <w:highlight w:val="none"/>
                <w:lang w:val="en-US" w:eastAsia="zh-CN" w:bidi="ar-SA"/>
              </w:rPr>
            </w:pPr>
            <w:r>
              <w:rPr>
                <w:rFonts w:hint="default" w:ascii="宋体" w:hAnsi="宋体" w:eastAsia="宋体" w:cs="宋体"/>
                <w:spacing w:val="-4"/>
                <w:kern w:val="0"/>
                <w:sz w:val="24"/>
                <w:szCs w:val="24"/>
                <w:highlight w:val="none"/>
                <w:lang w:val="en-US" w:eastAsia="zh-CN" w:bidi="ar-SA"/>
              </w:rPr>
              <w:t>签订</w:t>
            </w:r>
            <w:r>
              <w:rPr>
                <w:rFonts w:hint="eastAsia" w:ascii="宋体" w:hAnsi="宋体" w:eastAsia="宋体" w:cs="宋体"/>
                <w:spacing w:val="-4"/>
                <w:kern w:val="0"/>
                <w:sz w:val="24"/>
                <w:szCs w:val="24"/>
                <w:highlight w:val="none"/>
                <w:lang w:val="en-US" w:eastAsia="zh-CN" w:bidi="ar-SA"/>
              </w:rPr>
              <w:t>日</w:t>
            </w:r>
            <w:r>
              <w:rPr>
                <w:rFonts w:hint="default" w:ascii="宋体" w:hAnsi="宋体" w:eastAsia="宋体" w:cs="宋体"/>
                <w:spacing w:val="-4"/>
                <w:kern w:val="0"/>
                <w:sz w:val="24"/>
                <w:szCs w:val="24"/>
                <w:highlight w:val="none"/>
                <w:lang w:val="en-US" w:eastAsia="zh-CN" w:bidi="ar-SA"/>
              </w:rPr>
              <w:t>期： </w:t>
            </w:r>
            <w:r>
              <w:rPr>
                <w:rFonts w:hint="eastAsia" w:ascii="宋体" w:hAnsi="宋体" w:eastAsia="宋体" w:cs="宋体"/>
                <w:spacing w:val="-4"/>
                <w:kern w:val="0"/>
                <w:sz w:val="24"/>
                <w:szCs w:val="24"/>
                <w:highlight w:val="none"/>
                <w:lang w:val="en-US" w:eastAsia="zh-CN" w:bidi="ar-SA"/>
              </w:rPr>
              <w:t xml:space="preserve">  年   月  日</w:t>
            </w:r>
            <w:r>
              <w:rPr>
                <w:rFonts w:hint="default" w:ascii="宋体" w:hAnsi="宋体" w:eastAsia="宋体" w:cs="宋体"/>
                <w:spacing w:val="-4"/>
                <w:kern w:val="0"/>
                <w:sz w:val="24"/>
                <w:szCs w:val="24"/>
                <w:highlight w:val="none"/>
                <w:lang w:val="en-US" w:eastAsia="zh-CN" w:bidi="ar-SA"/>
              </w:rPr>
              <w:t xml:space="preserve">     </w:t>
            </w:r>
          </w:p>
        </w:tc>
      </w:tr>
      <w:bookmarkEnd w:id="75"/>
      <w:bookmarkEnd w:id="76"/>
    </w:tbl>
    <w:p w14:paraId="0460683A">
      <w:pPr>
        <w:pStyle w:val="5"/>
        <w:pageBreakBefore/>
        <w:numPr>
          <w:ilvl w:val="-1"/>
          <w:numId w:val="0"/>
        </w:numPr>
        <w:tabs>
          <w:tab w:val="left" w:pos="432"/>
        </w:tabs>
        <w:spacing w:before="0" w:after="0"/>
        <w:jc w:val="center"/>
        <w:rPr>
          <w:rFonts w:ascii="仿宋" w:hAnsi="仿宋" w:eastAsia="仿宋" w:cs="仿宋_GB2312"/>
          <w:bCs w:val="0"/>
          <w:kern w:val="2"/>
          <w:sz w:val="32"/>
          <w:szCs w:val="32"/>
        </w:rPr>
      </w:pPr>
      <w:r>
        <w:rPr>
          <w:rFonts w:hint="eastAsia" w:ascii="仿宋" w:hAnsi="仿宋" w:eastAsia="仿宋" w:cs="仿宋_GB2312"/>
          <w:bCs w:val="0"/>
          <w:kern w:val="2"/>
          <w:sz w:val="32"/>
          <w:szCs w:val="32"/>
          <w:lang w:val="en-US" w:eastAsia="zh-CN"/>
        </w:rPr>
        <w:t xml:space="preserve">第六章 </w:t>
      </w:r>
      <w:r>
        <w:rPr>
          <w:rFonts w:hint="eastAsia" w:ascii="仿宋" w:hAnsi="仿宋" w:eastAsia="仿宋" w:cs="仿宋_GB2312"/>
          <w:bCs w:val="0"/>
          <w:kern w:val="2"/>
          <w:sz w:val="32"/>
          <w:szCs w:val="32"/>
          <w:lang w:eastAsia="zh-CN"/>
        </w:rPr>
        <w:t>响应文件</w:t>
      </w:r>
      <w:r>
        <w:rPr>
          <w:rFonts w:hint="eastAsia" w:ascii="仿宋" w:hAnsi="仿宋" w:eastAsia="仿宋" w:cs="仿宋_GB2312"/>
          <w:bCs w:val="0"/>
          <w:kern w:val="2"/>
          <w:sz w:val="32"/>
          <w:szCs w:val="32"/>
        </w:rPr>
        <w:t>格式</w:t>
      </w:r>
    </w:p>
    <w:p w14:paraId="25F2D6CE">
      <w:pPr>
        <w:snapToGrid w:val="0"/>
        <w:jc w:val="both"/>
        <w:rPr>
          <w:rFonts w:ascii="宋体"/>
          <w:sz w:val="24"/>
        </w:rPr>
      </w:pPr>
    </w:p>
    <w:p w14:paraId="22FF9B47">
      <w:pPr>
        <w:pStyle w:val="18"/>
        <w:snapToGrid w:val="0"/>
        <w:spacing w:beforeLines="0" w:afterLines="0" w:line="440" w:lineRule="exact"/>
        <w:outlineLvl w:val="1"/>
        <w:rPr>
          <w:rFonts w:hAnsi="宋体"/>
          <w:b/>
          <w:highlight w:val="none"/>
        </w:rPr>
      </w:pPr>
      <w:r>
        <w:rPr>
          <w:rFonts w:hint="eastAsia" w:hAnsi="宋体"/>
          <w:b/>
          <w:highlight w:val="none"/>
        </w:rPr>
        <w:t>一、资格文件格式</w:t>
      </w:r>
    </w:p>
    <w:p w14:paraId="640F8C47">
      <w:pPr>
        <w:snapToGrid w:val="0"/>
        <w:spacing w:line="440" w:lineRule="exact"/>
        <w:rPr>
          <w:rFonts w:ascii="宋体" w:hAnsi="宋体"/>
          <w:highlight w:val="none"/>
        </w:rPr>
      </w:pPr>
      <w:r>
        <w:rPr>
          <w:rFonts w:hint="eastAsia" w:ascii="宋体" w:hAnsi="宋体"/>
          <w:bCs/>
          <w:highlight w:val="none"/>
        </w:rPr>
        <w:t>1</w:t>
      </w:r>
      <w:r>
        <w:rPr>
          <w:rFonts w:ascii="宋体" w:hAnsi="宋体"/>
          <w:highlight w:val="none"/>
        </w:rPr>
        <w:t>.</w:t>
      </w:r>
      <w:r>
        <w:rPr>
          <w:rFonts w:hint="eastAsia" w:ascii="宋体" w:hAnsi="宋体"/>
          <w:highlight w:val="none"/>
        </w:rPr>
        <w:t>资格文件封面格式</w:t>
      </w:r>
    </w:p>
    <w:p w14:paraId="652214E9">
      <w:pPr>
        <w:snapToGrid w:val="0"/>
        <w:spacing w:line="440" w:lineRule="exact"/>
        <w:rPr>
          <w:rFonts w:ascii="宋体" w:hAnsi="宋体"/>
          <w:b/>
          <w:bCs/>
          <w:highlight w:val="none"/>
        </w:rPr>
      </w:pPr>
    </w:p>
    <w:p w14:paraId="3F2452F4">
      <w:pPr>
        <w:snapToGrid w:val="0"/>
        <w:spacing w:line="440" w:lineRule="exact"/>
        <w:jc w:val="center"/>
        <w:rPr>
          <w:rFonts w:ascii="宋体" w:hAnsi="宋体"/>
          <w:b/>
          <w:bCs/>
          <w:highlight w:val="none"/>
        </w:rPr>
      </w:pPr>
      <w:r>
        <w:rPr>
          <w:rFonts w:hint="eastAsia" w:ascii="宋体" w:hAnsi="宋体"/>
          <w:b/>
          <w:bCs/>
          <w:highlight w:val="none"/>
        </w:rPr>
        <w:t>资格文件</w:t>
      </w:r>
    </w:p>
    <w:p w14:paraId="0A84D2A6">
      <w:pPr>
        <w:snapToGrid w:val="0"/>
        <w:spacing w:line="440" w:lineRule="exact"/>
        <w:ind w:firstLine="900" w:firstLineChars="375"/>
        <w:rPr>
          <w:rFonts w:ascii="宋体" w:hAnsi="宋体"/>
          <w:highlight w:val="none"/>
        </w:rPr>
      </w:pPr>
      <w:r>
        <w:rPr>
          <w:rFonts w:hint="eastAsia" w:ascii="宋体" w:hAnsi="宋体"/>
          <w:bCs/>
          <w:highlight w:val="none"/>
        </w:rPr>
        <w:t>项目名称：</w:t>
      </w:r>
      <w:r>
        <w:rPr>
          <w:rFonts w:hint="eastAsia" w:ascii="宋体" w:hAnsi="宋体"/>
          <w:bCs/>
          <w:color w:val="auto"/>
          <w:sz w:val="24"/>
          <w:highlight w:val="none"/>
          <w:u w:val="single"/>
        </w:rPr>
        <w:t xml:space="preserve">                    </w:t>
      </w:r>
      <w:r>
        <w:rPr>
          <w:rFonts w:hint="eastAsia" w:ascii="宋体" w:hAnsi="宋体"/>
          <w:highlight w:val="none"/>
        </w:rPr>
        <w:t>采购项目</w:t>
      </w:r>
    </w:p>
    <w:p w14:paraId="4491846D">
      <w:pPr>
        <w:pStyle w:val="11"/>
        <w:snapToGrid w:val="0"/>
        <w:spacing w:line="440" w:lineRule="exact"/>
        <w:ind w:firstLine="900" w:firstLineChars="375"/>
        <w:rPr>
          <w:rFonts w:ascii="宋体" w:hAnsi="宋体"/>
          <w:bCs/>
          <w:highlight w:val="none"/>
        </w:rPr>
      </w:pPr>
      <w:r>
        <w:rPr>
          <w:rFonts w:hint="eastAsia" w:ascii="宋体" w:hAnsi="宋体"/>
          <w:bCs/>
          <w:highlight w:val="none"/>
        </w:rPr>
        <w:t>项目编号：</w:t>
      </w:r>
    </w:p>
    <w:p w14:paraId="39BA610C">
      <w:pPr>
        <w:pStyle w:val="11"/>
        <w:snapToGrid w:val="0"/>
        <w:spacing w:line="440" w:lineRule="exact"/>
        <w:ind w:firstLine="900" w:firstLineChars="375"/>
        <w:rPr>
          <w:rFonts w:ascii="宋体" w:hAnsi="宋体"/>
          <w:bCs/>
          <w:highlight w:val="none"/>
        </w:rPr>
      </w:pPr>
      <w:r>
        <w:rPr>
          <w:rFonts w:hint="eastAsia" w:ascii="宋体" w:hAnsi="宋体"/>
          <w:bCs/>
          <w:highlight w:val="none"/>
          <w:lang w:eastAsia="zh-CN"/>
        </w:rPr>
        <w:t>供应商</w:t>
      </w:r>
      <w:r>
        <w:rPr>
          <w:rFonts w:hint="eastAsia" w:ascii="宋体" w:hAnsi="宋体"/>
          <w:bCs/>
          <w:highlight w:val="none"/>
        </w:rPr>
        <w:t>名称（盖章）：</w:t>
      </w:r>
    </w:p>
    <w:p w14:paraId="2CE8F274">
      <w:pPr>
        <w:pStyle w:val="11"/>
        <w:snapToGrid w:val="0"/>
        <w:spacing w:line="440" w:lineRule="exact"/>
        <w:ind w:firstLine="900" w:firstLineChars="375"/>
        <w:rPr>
          <w:rFonts w:ascii="宋体" w:hAnsi="宋体"/>
          <w:bCs/>
          <w:highlight w:val="none"/>
        </w:rPr>
      </w:pPr>
      <w:r>
        <w:rPr>
          <w:rFonts w:hint="eastAsia" w:ascii="宋体" w:hAnsi="宋体"/>
          <w:bCs/>
          <w:highlight w:val="none"/>
          <w:lang w:eastAsia="zh-CN"/>
        </w:rPr>
        <w:t>供应商</w:t>
      </w:r>
      <w:r>
        <w:rPr>
          <w:rFonts w:hint="eastAsia" w:ascii="宋体" w:hAnsi="宋体"/>
          <w:bCs/>
          <w:highlight w:val="none"/>
        </w:rPr>
        <w:t>地址：</w:t>
      </w:r>
    </w:p>
    <w:p w14:paraId="392B4FFF">
      <w:pPr>
        <w:snapToGrid w:val="0"/>
        <w:spacing w:line="440" w:lineRule="exact"/>
        <w:ind w:firstLine="5440" w:firstLineChars="2267"/>
        <w:rPr>
          <w:rFonts w:ascii="宋体" w:hAnsi="宋体"/>
          <w:highlight w:val="none"/>
        </w:rPr>
      </w:pPr>
      <w:r>
        <w:rPr>
          <w:rFonts w:hint="eastAsia" w:ascii="宋体" w:hAnsi="宋体"/>
          <w:highlight w:val="none"/>
        </w:rPr>
        <w:t>年</w:t>
      </w:r>
      <w:r>
        <w:rPr>
          <w:rFonts w:hint="eastAsia" w:ascii="宋体" w:hAnsi="宋体"/>
          <w:highlight w:val="none"/>
          <w:lang w:val="en-US" w:eastAsia="zh-CN"/>
        </w:rPr>
        <w:t xml:space="preserve">   </w:t>
      </w:r>
      <w:r>
        <w:rPr>
          <w:rFonts w:hint="eastAsia" w:ascii="宋体" w:hAnsi="宋体"/>
          <w:highlight w:val="none"/>
        </w:rPr>
        <w:t>月</w:t>
      </w:r>
      <w:r>
        <w:rPr>
          <w:rFonts w:hint="eastAsia" w:ascii="宋体" w:hAnsi="宋体"/>
          <w:highlight w:val="none"/>
          <w:lang w:val="en-US" w:eastAsia="zh-CN"/>
        </w:rPr>
        <w:t xml:space="preserve">   </w:t>
      </w:r>
      <w:r>
        <w:rPr>
          <w:rFonts w:hint="eastAsia" w:ascii="宋体" w:hAnsi="宋体"/>
          <w:highlight w:val="none"/>
        </w:rPr>
        <w:t>日</w:t>
      </w:r>
    </w:p>
    <w:p w14:paraId="56D0B3AA">
      <w:pPr>
        <w:snapToGrid w:val="0"/>
        <w:spacing w:line="360" w:lineRule="auto"/>
        <w:ind w:firstLine="3280" w:firstLineChars="1367"/>
        <w:rPr>
          <w:rFonts w:ascii="宋体" w:hAnsi="宋体"/>
          <w:highlight w:val="none"/>
        </w:rPr>
      </w:pPr>
    </w:p>
    <w:p w14:paraId="07CB7474">
      <w:pPr>
        <w:snapToGrid w:val="0"/>
        <w:spacing w:line="360" w:lineRule="auto"/>
        <w:ind w:firstLine="3280" w:firstLineChars="1367"/>
        <w:rPr>
          <w:rFonts w:ascii="宋体" w:hAnsi="宋体"/>
          <w:highlight w:val="none"/>
        </w:rPr>
      </w:pPr>
    </w:p>
    <w:p w14:paraId="692089A7">
      <w:pPr>
        <w:snapToGrid w:val="0"/>
        <w:spacing w:line="360" w:lineRule="auto"/>
        <w:ind w:firstLine="3280" w:firstLineChars="1367"/>
        <w:rPr>
          <w:rFonts w:ascii="宋体" w:hAnsi="宋体"/>
          <w:highlight w:val="none"/>
        </w:rPr>
      </w:pPr>
    </w:p>
    <w:p w14:paraId="37991EAA">
      <w:pPr>
        <w:snapToGrid w:val="0"/>
        <w:spacing w:line="360" w:lineRule="auto"/>
        <w:ind w:firstLine="3280" w:firstLineChars="1367"/>
        <w:rPr>
          <w:rFonts w:ascii="宋体" w:hAnsi="宋体"/>
          <w:highlight w:val="none"/>
        </w:rPr>
      </w:pPr>
    </w:p>
    <w:p w14:paraId="12089168">
      <w:pPr>
        <w:snapToGrid w:val="0"/>
        <w:spacing w:line="440" w:lineRule="exact"/>
        <w:rPr>
          <w:rFonts w:ascii="宋体" w:hAnsi="宋体"/>
          <w:bCs/>
          <w:highlight w:val="none"/>
        </w:rPr>
      </w:pPr>
      <w:r>
        <w:rPr>
          <w:rFonts w:hint="eastAsia" w:ascii="宋体" w:hAnsi="宋体"/>
          <w:bCs/>
          <w:highlight w:val="none"/>
        </w:rPr>
        <w:t>2</w:t>
      </w:r>
      <w:r>
        <w:rPr>
          <w:rFonts w:ascii="宋体" w:hAnsi="宋体"/>
          <w:bCs/>
          <w:highlight w:val="none"/>
        </w:rPr>
        <w:t>.</w:t>
      </w:r>
      <w:r>
        <w:rPr>
          <w:rFonts w:hint="eastAsia" w:ascii="宋体" w:hAnsi="宋体"/>
          <w:bCs/>
          <w:highlight w:val="none"/>
        </w:rPr>
        <w:t>资格文件目录（请按照“第三章</w:t>
      </w:r>
      <w:r>
        <w:rPr>
          <w:rFonts w:hint="eastAsia" w:ascii="宋体" w:hAnsi="宋体"/>
          <w:bCs/>
          <w:highlight w:val="none"/>
          <w:lang w:eastAsia="zh-CN"/>
        </w:rPr>
        <w:t>供应商</w:t>
      </w:r>
      <w:r>
        <w:rPr>
          <w:rFonts w:hint="eastAsia" w:ascii="宋体" w:hAnsi="宋体"/>
          <w:bCs/>
          <w:highlight w:val="none"/>
        </w:rPr>
        <w:t>须知，</w:t>
      </w:r>
      <w:r>
        <w:rPr>
          <w:rFonts w:ascii="宋体" w:hAnsi="宋体"/>
          <w:bCs/>
          <w:highlight w:val="none"/>
        </w:rPr>
        <w:t>三、</w:t>
      </w:r>
      <w:r>
        <w:rPr>
          <w:rFonts w:hint="eastAsia" w:ascii="宋体" w:hAnsi="宋体"/>
          <w:bCs/>
          <w:highlight w:val="none"/>
        </w:rPr>
        <w:t>响应文件</w:t>
      </w:r>
      <w:r>
        <w:rPr>
          <w:rFonts w:ascii="宋体" w:hAnsi="宋体"/>
          <w:bCs/>
          <w:highlight w:val="none"/>
        </w:rPr>
        <w:t>的编制</w:t>
      </w:r>
      <w:r>
        <w:rPr>
          <w:rFonts w:hint="eastAsia" w:ascii="宋体" w:hAnsi="宋体"/>
          <w:bCs/>
          <w:highlight w:val="none"/>
        </w:rPr>
        <w:t>”的顺序，结合评标办法自行编制目录）</w:t>
      </w:r>
    </w:p>
    <w:p w14:paraId="46CA4357">
      <w:pPr>
        <w:snapToGrid w:val="0"/>
        <w:spacing w:line="440" w:lineRule="exact"/>
        <w:rPr>
          <w:rFonts w:ascii="宋体" w:hAnsi="宋体"/>
          <w:bCs/>
          <w:highlight w:val="none"/>
        </w:rPr>
      </w:pPr>
      <w:r>
        <w:rPr>
          <w:rFonts w:hint="eastAsia" w:ascii="宋体" w:hAnsi="宋体"/>
          <w:bCs/>
          <w:highlight w:val="none"/>
        </w:rPr>
        <w:t>例如：</w:t>
      </w:r>
    </w:p>
    <w:p w14:paraId="4B9E083D">
      <w:pPr>
        <w:snapToGrid w:val="0"/>
        <w:spacing w:line="440" w:lineRule="exact"/>
        <w:rPr>
          <w:rFonts w:ascii="宋体" w:hAnsi="宋体"/>
          <w:bCs/>
          <w:highlight w:val="none"/>
        </w:rPr>
      </w:pPr>
      <w:r>
        <w:rPr>
          <w:rFonts w:hint="eastAsia" w:ascii="宋体" w:hAnsi="宋体"/>
          <w:bCs/>
          <w:highlight w:val="none"/>
        </w:rPr>
        <w:t>资格文件：</w:t>
      </w:r>
    </w:p>
    <w:p w14:paraId="65A880EF">
      <w:pPr>
        <w:snapToGrid w:val="0"/>
        <w:spacing w:line="440" w:lineRule="exact"/>
        <w:jc w:val="left"/>
        <w:rPr>
          <w:rFonts w:ascii="宋体" w:hAnsi="宋体"/>
          <w:highlight w:val="none"/>
        </w:rPr>
      </w:pPr>
      <w:r>
        <w:rPr>
          <w:rFonts w:hint="eastAsia" w:ascii="宋体" w:hAnsi="宋体"/>
          <w:highlight w:val="none"/>
        </w:rPr>
        <w:t>（1</w:t>
      </w:r>
      <w:r>
        <w:rPr>
          <w:rFonts w:ascii="宋体" w:hAnsi="宋体"/>
          <w:highlight w:val="none"/>
        </w:rPr>
        <w:t>）</w:t>
      </w:r>
      <w:r>
        <w:rPr>
          <w:rFonts w:hint="eastAsia" w:ascii="宋体" w:hAnsi="宋体"/>
          <w:highlight w:val="none"/>
        </w:rPr>
        <w:t>投标声明书</w:t>
      </w:r>
      <w:r>
        <w:rPr>
          <w:rFonts w:ascii="宋体" w:hAnsi="宋体"/>
          <w:highlight w:val="none"/>
        </w:rPr>
        <w:t xml:space="preserve"> (格式见附</w:t>
      </w:r>
      <w:r>
        <w:rPr>
          <w:rFonts w:hint="eastAsia" w:ascii="宋体" w:hAnsi="宋体"/>
          <w:highlight w:val="none"/>
        </w:rPr>
        <w:t>件）</w:t>
      </w:r>
      <w:r>
        <w:rPr>
          <w:rFonts w:hint="eastAsia" w:ascii="宋体" w:hAnsi="宋体"/>
          <w:kern w:val="0"/>
          <w:highlight w:val="none"/>
        </w:rPr>
        <w:t>………………………………………………（页码）</w:t>
      </w:r>
    </w:p>
    <w:p w14:paraId="0B5ACCCA">
      <w:pPr>
        <w:snapToGrid w:val="0"/>
        <w:spacing w:line="440" w:lineRule="exact"/>
        <w:jc w:val="left"/>
        <w:rPr>
          <w:rFonts w:ascii="宋体" w:hAnsi="宋体"/>
          <w:highlight w:val="none"/>
        </w:rPr>
      </w:pPr>
      <w:r>
        <w:rPr>
          <w:rFonts w:hint="eastAsia" w:ascii="宋体" w:hAnsi="宋体"/>
          <w:highlight w:val="none"/>
        </w:rPr>
        <w:t>（2</w:t>
      </w:r>
      <w:r>
        <w:rPr>
          <w:rFonts w:ascii="宋体" w:hAnsi="宋体"/>
          <w:highlight w:val="none"/>
        </w:rPr>
        <w:t>）</w:t>
      </w:r>
      <w:r>
        <w:rPr>
          <w:rFonts w:hint="eastAsia" w:ascii="宋体" w:hAnsi="宋体"/>
          <w:highlight w:val="none"/>
        </w:rPr>
        <w:t>法定代表人授权委托书、法定代表人及被授权人的身份证复印件</w:t>
      </w:r>
      <w:r>
        <w:rPr>
          <w:rFonts w:hint="eastAsia" w:ascii="宋体" w:hAnsi="宋体"/>
          <w:highlight w:val="none"/>
          <w:lang w:eastAsia="zh-CN"/>
        </w:rPr>
        <w:t>（</w:t>
      </w:r>
      <w:r>
        <w:rPr>
          <w:rFonts w:hint="eastAsia" w:ascii="宋体" w:hAnsi="宋体"/>
          <w:highlight w:val="none"/>
        </w:rPr>
        <w:t>格式见附件</w:t>
      </w:r>
      <w:r>
        <w:rPr>
          <w:rFonts w:hint="eastAsia" w:ascii="宋体" w:hAnsi="宋体"/>
          <w:highlight w:val="none"/>
          <w:lang w:eastAsia="zh-CN"/>
        </w:rPr>
        <w:t>）</w:t>
      </w:r>
      <w:r>
        <w:rPr>
          <w:rFonts w:hint="eastAsia" w:ascii="宋体" w:hAnsi="宋体"/>
          <w:kern w:val="0"/>
          <w:highlight w:val="none"/>
        </w:rPr>
        <w:t>…………………………………………………………………………………（页码）</w:t>
      </w:r>
    </w:p>
    <w:p w14:paraId="11027E6F">
      <w:pPr>
        <w:snapToGrid w:val="0"/>
        <w:spacing w:line="440" w:lineRule="exact"/>
        <w:jc w:val="left"/>
        <w:rPr>
          <w:rFonts w:hint="eastAsia" w:ascii="宋体" w:hAnsi="宋体"/>
          <w:kern w:val="0"/>
          <w:highlight w:val="none"/>
        </w:rPr>
      </w:pPr>
      <w:r>
        <w:rPr>
          <w:rFonts w:hint="eastAsia" w:ascii="宋体" w:hAnsi="宋体"/>
          <w:highlight w:val="none"/>
        </w:rPr>
        <w:t>（3</w:t>
      </w:r>
      <w:r>
        <w:rPr>
          <w:rFonts w:ascii="宋体" w:hAnsi="宋体"/>
          <w:highlight w:val="none"/>
        </w:rPr>
        <w:t>）</w:t>
      </w:r>
      <w:r>
        <w:rPr>
          <w:rFonts w:hint="eastAsia" w:ascii="宋体" w:hAnsi="宋体"/>
          <w:highlight w:val="none"/>
        </w:rPr>
        <w:t>企业（法人）营业执照复印件</w:t>
      </w:r>
      <w:r>
        <w:rPr>
          <w:rFonts w:hint="eastAsia" w:ascii="宋体" w:hAnsi="宋体"/>
          <w:highlight w:val="none"/>
          <w:lang w:val="en-US" w:eastAsia="zh-CN"/>
        </w:rPr>
        <w:t xml:space="preserve"> </w:t>
      </w:r>
      <w:r>
        <w:rPr>
          <w:rFonts w:hint="eastAsia" w:ascii="宋体" w:hAnsi="宋体"/>
          <w:kern w:val="0"/>
          <w:highlight w:val="none"/>
        </w:rPr>
        <w:t>……………………………………………（页码）</w:t>
      </w:r>
    </w:p>
    <w:p w14:paraId="13B5E366">
      <w:pPr>
        <w:snapToGrid w:val="0"/>
        <w:spacing w:line="440" w:lineRule="exact"/>
        <w:jc w:val="left"/>
        <w:rPr>
          <w:rFonts w:hint="eastAsia" w:ascii="宋体" w:hAnsi="宋体"/>
          <w:highlight w:val="none"/>
        </w:rPr>
      </w:pPr>
      <w:r>
        <w:rPr>
          <w:rFonts w:hint="eastAsia" w:ascii="宋体" w:hAnsi="宋体" w:cs="宋体"/>
          <w:highlight w:val="none"/>
        </w:rPr>
        <w:t>（4）符合参加政府采购活动应当具备的一般条件的承诺函（格式见附件</w:t>
      </w:r>
      <w:r>
        <w:rPr>
          <w:rFonts w:hint="eastAsia" w:ascii="宋体" w:hAnsi="宋体" w:cs="宋体"/>
          <w:highlight w:val="none"/>
          <w:lang w:eastAsia="zh-CN"/>
        </w:rPr>
        <w:t>）</w:t>
      </w:r>
      <w:r>
        <w:rPr>
          <w:rFonts w:hint="eastAsia" w:ascii="宋体" w:hAnsi="宋体"/>
          <w:kern w:val="0"/>
          <w:highlight w:val="none"/>
        </w:rPr>
        <w:t>…（页码）</w:t>
      </w:r>
    </w:p>
    <w:p w14:paraId="73580C6A">
      <w:pPr>
        <w:snapToGrid w:val="0"/>
        <w:spacing w:beforeLines="50" w:after="50"/>
        <w:rPr>
          <w:rFonts w:ascii="宋体" w:hAnsi="宋体"/>
          <w:szCs w:val="20"/>
          <w:highlight w:val="none"/>
        </w:rPr>
      </w:pPr>
      <w:r>
        <w:rPr>
          <w:rFonts w:hint="eastAsia" w:hAnsi="宋体" w:cs="宋体"/>
          <w:highlight w:val="none"/>
        </w:rPr>
        <w:t>（5）落实政府采购政策需满足的资格要求及本项目的特定资格要求</w:t>
      </w:r>
      <w:r>
        <w:rPr>
          <w:rFonts w:hint="eastAsia" w:ascii="宋体" w:hAnsi="宋体"/>
          <w:kern w:val="0"/>
          <w:highlight w:val="none"/>
        </w:rPr>
        <w:t>…………（页码）</w:t>
      </w:r>
      <w:r>
        <w:rPr>
          <w:rFonts w:hint="eastAsia" w:hAnsi="宋体" w:cs="宋体"/>
          <w:highlight w:val="none"/>
        </w:rPr>
        <w:t xml:space="preserve">  </w:t>
      </w:r>
    </w:p>
    <w:p w14:paraId="49E642BC">
      <w:pPr>
        <w:pStyle w:val="15"/>
        <w:ind w:left="480" w:firstLine="464"/>
        <w:rPr>
          <w:rFonts w:hAnsi="宋体"/>
          <w:sz w:val="24"/>
          <w:szCs w:val="20"/>
          <w:highlight w:val="none"/>
        </w:rPr>
      </w:pPr>
    </w:p>
    <w:p w14:paraId="7B617B07">
      <w:pPr>
        <w:pStyle w:val="15"/>
        <w:ind w:left="480" w:firstLine="464"/>
        <w:rPr>
          <w:rFonts w:hAnsi="宋体"/>
          <w:sz w:val="24"/>
          <w:szCs w:val="20"/>
          <w:highlight w:val="none"/>
        </w:rPr>
      </w:pPr>
    </w:p>
    <w:p w14:paraId="7C3DBE43">
      <w:pPr>
        <w:pStyle w:val="15"/>
        <w:ind w:left="480" w:firstLine="464"/>
        <w:rPr>
          <w:rFonts w:hAnsi="宋体"/>
          <w:sz w:val="24"/>
          <w:szCs w:val="20"/>
          <w:highlight w:val="none"/>
        </w:rPr>
      </w:pPr>
    </w:p>
    <w:p w14:paraId="348495F2">
      <w:pPr>
        <w:pStyle w:val="15"/>
        <w:ind w:left="480" w:firstLine="464"/>
        <w:rPr>
          <w:rFonts w:hAnsi="宋体"/>
          <w:sz w:val="24"/>
          <w:szCs w:val="20"/>
          <w:highlight w:val="none"/>
        </w:rPr>
      </w:pPr>
    </w:p>
    <w:p w14:paraId="01F548AF"/>
    <w:p w14:paraId="24427E42">
      <w:pPr>
        <w:pStyle w:val="15"/>
        <w:ind w:left="480" w:firstLine="464"/>
        <w:rPr>
          <w:rFonts w:hAnsi="宋体"/>
          <w:sz w:val="24"/>
          <w:szCs w:val="20"/>
          <w:highlight w:val="none"/>
        </w:rPr>
      </w:pPr>
    </w:p>
    <w:p w14:paraId="45C62956">
      <w:pPr>
        <w:snapToGrid w:val="0"/>
        <w:spacing w:beforeLines="50" w:after="50"/>
        <w:rPr>
          <w:rFonts w:ascii="宋体" w:hAnsi="宋体"/>
          <w:szCs w:val="20"/>
          <w:highlight w:val="none"/>
        </w:rPr>
      </w:pPr>
    </w:p>
    <w:p w14:paraId="00E750FE">
      <w:pPr>
        <w:pStyle w:val="6"/>
        <w:pageBreakBefore/>
        <w:spacing w:line="360" w:lineRule="auto"/>
        <w:jc w:val="center"/>
        <w:rPr>
          <w:rFonts w:ascii="宋体" w:hAnsi="宋体"/>
          <w:color w:val="auto"/>
          <w:szCs w:val="24"/>
          <w:highlight w:val="none"/>
        </w:rPr>
      </w:pPr>
      <w:r>
        <w:rPr>
          <w:rFonts w:ascii="宋体" w:hAnsi="宋体"/>
          <w:color w:val="auto"/>
          <w:szCs w:val="24"/>
          <w:highlight w:val="none"/>
        </w:rPr>
        <w:t>投标声明书</w:t>
      </w:r>
    </w:p>
    <w:p w14:paraId="7874EC14">
      <w:pPr>
        <w:spacing w:line="360" w:lineRule="auto"/>
        <w:rPr>
          <w:rFonts w:ascii="宋体" w:hAnsi="宋体"/>
          <w:highlight w:val="none"/>
        </w:rPr>
      </w:pPr>
      <w:r>
        <w:rPr>
          <w:rFonts w:ascii="宋体" w:hAnsi="宋体"/>
          <w:highlight w:val="none"/>
        </w:rPr>
        <w:t>致：</w:t>
      </w:r>
      <w:r>
        <w:rPr>
          <w:rFonts w:hint="eastAsia" w:ascii="宋体" w:hAnsi="宋体"/>
          <w:highlight w:val="none"/>
          <w:u w:val="single"/>
          <w:lang w:eastAsia="zh-CN"/>
        </w:rPr>
        <w:t>嘉善县公共资源交易中心</w:t>
      </w:r>
      <w:r>
        <w:rPr>
          <w:rFonts w:hint="eastAsia" w:ascii="宋体" w:hAnsi="宋体"/>
          <w:highlight w:val="none"/>
        </w:rPr>
        <w:t>：</w:t>
      </w:r>
    </w:p>
    <w:p w14:paraId="154484D6">
      <w:pPr>
        <w:snapToGrid w:val="0"/>
        <w:spacing w:line="360" w:lineRule="auto"/>
        <w:ind w:firstLine="480" w:firstLineChars="200"/>
        <w:rPr>
          <w:rFonts w:ascii="宋体" w:hAnsi="宋体"/>
          <w:highlight w:val="none"/>
        </w:rPr>
      </w:pPr>
      <w:r>
        <w:rPr>
          <w:rFonts w:hint="eastAsia" w:ascii="宋体" w:hAnsi="宋体"/>
          <w:color w:val="auto"/>
          <w:sz w:val="24"/>
          <w:highlight w:val="none"/>
          <w:u w:val="single"/>
        </w:rPr>
        <w:t xml:space="preserve">              </w:t>
      </w:r>
      <w:r>
        <w:rPr>
          <w:rFonts w:ascii="宋体" w:hAnsi="宋体"/>
          <w:highlight w:val="none"/>
        </w:rPr>
        <w:t>（</w:t>
      </w:r>
      <w:r>
        <w:rPr>
          <w:rFonts w:hint="eastAsia" w:ascii="宋体" w:hAnsi="宋体"/>
          <w:highlight w:val="none"/>
          <w:lang w:eastAsia="zh-CN"/>
        </w:rPr>
        <w:t>供应商</w:t>
      </w:r>
      <w:r>
        <w:rPr>
          <w:rFonts w:ascii="宋体" w:hAnsi="宋体"/>
          <w:highlight w:val="none"/>
        </w:rPr>
        <w:t>名称）系中华人民共和国合法企业，经营地址</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highlight w:val="none"/>
        </w:rPr>
        <w:t>。</w:t>
      </w:r>
    </w:p>
    <w:p w14:paraId="1812A5FA">
      <w:pPr>
        <w:snapToGrid w:val="0"/>
        <w:spacing w:line="360" w:lineRule="auto"/>
        <w:ind w:firstLine="480" w:firstLineChars="200"/>
        <w:rPr>
          <w:rFonts w:ascii="宋体" w:hAnsi="宋体"/>
          <w:highlight w:val="none"/>
        </w:rPr>
      </w:pPr>
      <w:r>
        <w:rPr>
          <w:rFonts w:ascii="宋体" w:hAnsi="宋体"/>
          <w:highlight w:val="none"/>
        </w:rPr>
        <w:t>我</w:t>
      </w:r>
      <w:r>
        <w:rPr>
          <w:rFonts w:hint="eastAsia" w:ascii="宋体" w:hAnsi="宋体"/>
          <w:color w:val="auto"/>
          <w:sz w:val="24"/>
          <w:highlight w:val="none"/>
          <w:u w:val="single"/>
        </w:rPr>
        <w:t xml:space="preserve">           </w:t>
      </w:r>
      <w:r>
        <w:rPr>
          <w:rFonts w:ascii="宋体" w:hAnsi="宋体"/>
          <w:highlight w:val="none"/>
        </w:rPr>
        <w:t>（姓名）系</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highlight w:val="none"/>
        </w:rPr>
        <w:t>（</w:t>
      </w:r>
      <w:r>
        <w:rPr>
          <w:rFonts w:hint="eastAsia" w:ascii="宋体" w:hAnsi="宋体"/>
          <w:highlight w:val="none"/>
          <w:lang w:eastAsia="zh-CN"/>
        </w:rPr>
        <w:t>供应商</w:t>
      </w:r>
      <w:r>
        <w:rPr>
          <w:rFonts w:ascii="宋体" w:hAnsi="宋体"/>
          <w:highlight w:val="none"/>
        </w:rPr>
        <w:t>名称）的法定代表人，我方</w:t>
      </w:r>
      <w:r>
        <w:rPr>
          <w:rFonts w:hint="eastAsia" w:ascii="宋体" w:hAnsi="宋体"/>
          <w:highlight w:val="none"/>
        </w:rPr>
        <w:t>自</w:t>
      </w:r>
      <w:r>
        <w:rPr>
          <w:rFonts w:ascii="宋体" w:hAnsi="宋体"/>
          <w:highlight w:val="none"/>
        </w:rPr>
        <w:t>愿参加贵方组织的</w:t>
      </w:r>
      <w:r>
        <w:rPr>
          <w:rFonts w:hint="eastAsia" w:ascii="宋体" w:hAnsi="宋体"/>
          <w:color w:val="auto"/>
          <w:sz w:val="24"/>
          <w:highlight w:val="none"/>
          <w:u w:val="single"/>
        </w:rPr>
        <w:t xml:space="preserve">              </w:t>
      </w:r>
      <w:r>
        <w:rPr>
          <w:rFonts w:ascii="宋体" w:hAnsi="宋体"/>
          <w:highlight w:val="none"/>
        </w:rPr>
        <w:t>项目的投标，为便于贵方公正、择优地确定中标人及其投标产品和服务，我方就本次投标有关事项郑重声明如下：</w:t>
      </w:r>
    </w:p>
    <w:p w14:paraId="67DCBD24">
      <w:pPr>
        <w:snapToGrid w:val="0"/>
        <w:spacing w:line="360" w:lineRule="auto"/>
        <w:ind w:firstLine="480" w:firstLineChars="200"/>
        <w:rPr>
          <w:rFonts w:ascii="宋体" w:hAnsi="宋体"/>
          <w:highlight w:val="none"/>
        </w:rPr>
      </w:pPr>
      <w:r>
        <w:rPr>
          <w:rFonts w:hint="eastAsia" w:ascii="宋体" w:hAnsi="宋体"/>
          <w:highlight w:val="none"/>
        </w:rPr>
        <w:t>1</w:t>
      </w:r>
      <w:r>
        <w:rPr>
          <w:rFonts w:ascii="宋体" w:hAnsi="宋体"/>
          <w:highlight w:val="none"/>
        </w:rPr>
        <w:t>.我方向贵方提交的所有</w:t>
      </w:r>
      <w:r>
        <w:rPr>
          <w:rFonts w:hint="eastAsia" w:ascii="宋体" w:hAnsi="宋体"/>
          <w:highlight w:val="none"/>
        </w:rPr>
        <w:t>响应文件及相关</w:t>
      </w:r>
      <w:r>
        <w:rPr>
          <w:rFonts w:ascii="宋体" w:hAnsi="宋体"/>
          <w:highlight w:val="none"/>
        </w:rPr>
        <w:t>资料都是真实的</w:t>
      </w:r>
      <w:r>
        <w:rPr>
          <w:rFonts w:hint="eastAsia" w:ascii="宋体" w:hAnsi="宋体"/>
          <w:highlight w:val="none"/>
        </w:rPr>
        <w:t>、合法的</w:t>
      </w:r>
      <w:r>
        <w:rPr>
          <w:rFonts w:ascii="宋体" w:hAnsi="宋体"/>
          <w:highlight w:val="none"/>
        </w:rPr>
        <w:t>。</w:t>
      </w:r>
    </w:p>
    <w:p w14:paraId="7A51BBF9">
      <w:pPr>
        <w:snapToGrid w:val="0"/>
        <w:spacing w:line="360" w:lineRule="auto"/>
        <w:ind w:firstLine="480" w:firstLineChars="200"/>
        <w:rPr>
          <w:rFonts w:ascii="宋体" w:hAnsi="宋体"/>
          <w:highlight w:val="none"/>
        </w:rPr>
      </w:pPr>
      <w:r>
        <w:rPr>
          <w:rFonts w:hint="eastAsia" w:ascii="宋体" w:hAnsi="宋体"/>
          <w:highlight w:val="none"/>
        </w:rPr>
        <w:t>2</w:t>
      </w:r>
      <w:r>
        <w:rPr>
          <w:rFonts w:ascii="宋体" w:hAnsi="宋体"/>
          <w:highlight w:val="none"/>
        </w:rPr>
        <w:t>.我方不是采购人的附属机构；在获知本项目采购信息后，与采购人聘请的为此项目提供咨询服务的公司及其附属机构没有任何联系。</w:t>
      </w:r>
    </w:p>
    <w:p w14:paraId="1D02709F">
      <w:pPr>
        <w:adjustRightInd w:val="0"/>
        <w:snapToGrid w:val="0"/>
        <w:spacing w:line="360" w:lineRule="auto"/>
        <w:ind w:firstLine="480" w:firstLineChars="200"/>
        <w:rPr>
          <w:rFonts w:ascii="宋体" w:hAnsi="宋体"/>
          <w:highlight w:val="none"/>
        </w:rPr>
      </w:pPr>
      <w:r>
        <w:rPr>
          <w:rFonts w:hint="eastAsia" w:ascii="宋体" w:hAnsi="宋体"/>
          <w:highlight w:val="none"/>
        </w:rPr>
        <w:t>3</w:t>
      </w:r>
      <w:r>
        <w:rPr>
          <w:rFonts w:ascii="宋体" w:hAnsi="宋体"/>
          <w:highlight w:val="none"/>
        </w:rPr>
        <w:t>.</w:t>
      </w:r>
      <w:r>
        <w:rPr>
          <w:rFonts w:hint="eastAsia" w:ascii="宋体" w:hAnsi="宋体"/>
          <w:highlight w:val="none"/>
        </w:rPr>
        <w:t>我公司已详细阅读全部“</w:t>
      </w:r>
      <w:r>
        <w:rPr>
          <w:rFonts w:hint="eastAsia" w:ascii="宋体" w:hAnsi="宋体"/>
          <w:highlight w:val="none"/>
          <w:lang w:eastAsia="zh-CN"/>
        </w:rPr>
        <w:t>征集文件</w:t>
      </w:r>
      <w:r>
        <w:rPr>
          <w:rFonts w:hint="eastAsia" w:ascii="宋体" w:hAnsi="宋体"/>
          <w:highlight w:val="none"/>
        </w:rPr>
        <w:t>”，包括修改文件（如果有）以及全部招标资料和相关附件，并已了解我公司在招投标过程中的权利和义务。</w:t>
      </w:r>
    </w:p>
    <w:p w14:paraId="530E9F09">
      <w:pPr>
        <w:adjustRightInd w:val="0"/>
        <w:snapToGrid w:val="0"/>
        <w:spacing w:line="360" w:lineRule="auto"/>
        <w:ind w:firstLine="480" w:firstLineChars="200"/>
        <w:rPr>
          <w:rFonts w:ascii="宋体" w:hAnsi="宋体"/>
          <w:highlight w:val="none"/>
        </w:rPr>
      </w:pPr>
      <w:r>
        <w:rPr>
          <w:rFonts w:hint="eastAsia" w:ascii="宋体" w:hAnsi="宋体"/>
          <w:highlight w:val="none"/>
        </w:rPr>
        <w:t>4.响应文件自开标日起有效期为90天。</w:t>
      </w:r>
    </w:p>
    <w:p w14:paraId="634A8537">
      <w:pPr>
        <w:adjustRightInd w:val="0"/>
        <w:snapToGrid w:val="0"/>
        <w:spacing w:line="360" w:lineRule="auto"/>
        <w:ind w:firstLine="480" w:firstLineChars="200"/>
        <w:rPr>
          <w:rFonts w:ascii="宋体" w:hAnsi="宋体"/>
          <w:highlight w:val="none"/>
        </w:rPr>
      </w:pPr>
      <w:r>
        <w:rPr>
          <w:rFonts w:hint="eastAsia" w:ascii="宋体" w:hAnsi="宋体"/>
          <w:highlight w:val="none"/>
        </w:rPr>
        <w:t>5.我公司声明参与本项目前3年内的经营活动中没有重大违法记录；</w:t>
      </w:r>
    </w:p>
    <w:p w14:paraId="2390B4BF">
      <w:pPr>
        <w:adjustRightInd w:val="0"/>
        <w:snapToGrid w:val="0"/>
        <w:spacing w:line="360" w:lineRule="auto"/>
        <w:ind w:firstLine="480" w:firstLineChars="200"/>
        <w:rPr>
          <w:rFonts w:ascii="宋体" w:hAnsi="宋体"/>
          <w:highlight w:val="none"/>
        </w:rPr>
      </w:pPr>
      <w:r>
        <w:rPr>
          <w:rFonts w:hint="eastAsia" w:ascii="宋体" w:hAnsi="宋体"/>
          <w:highlight w:val="none"/>
        </w:rPr>
        <w:t>6.我方通过“信用中国”网站（www.creditchina.gov.cn）、中国政府采购网（www.ccgp.gov.cn）查询，未被列入失信被执行人、重大税收违法案件当事人名单、政府采购严重违法失信行为记录名单。</w:t>
      </w:r>
    </w:p>
    <w:p w14:paraId="2C02AA88">
      <w:pPr>
        <w:adjustRightInd w:val="0"/>
        <w:snapToGrid w:val="0"/>
        <w:spacing w:line="360" w:lineRule="auto"/>
        <w:ind w:firstLine="480" w:firstLineChars="200"/>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我公司理解并接受</w:t>
      </w:r>
      <w:r>
        <w:rPr>
          <w:rFonts w:hint="eastAsia" w:ascii="宋体" w:hAnsi="宋体"/>
          <w:highlight w:val="none"/>
          <w:lang w:eastAsia="zh-CN"/>
        </w:rPr>
        <w:t>征集文件</w:t>
      </w:r>
      <w:r>
        <w:rPr>
          <w:rFonts w:hint="eastAsia" w:ascii="宋体" w:hAnsi="宋体"/>
          <w:highlight w:val="none"/>
        </w:rPr>
        <w:t>的各项规定和要求，同意此次</w:t>
      </w:r>
      <w:r>
        <w:rPr>
          <w:rFonts w:hint="eastAsia" w:ascii="宋体" w:hAnsi="宋体"/>
          <w:highlight w:val="none"/>
          <w:lang w:eastAsia="zh-CN"/>
        </w:rPr>
        <w:t>征集文件</w:t>
      </w:r>
      <w:r>
        <w:rPr>
          <w:rFonts w:hint="eastAsia" w:ascii="宋体" w:hAnsi="宋体"/>
          <w:highlight w:val="none"/>
        </w:rPr>
        <w:t>中的各项内容，并同意提供按照贵方可能要求的与投标有关的一切数据或资料等。</w:t>
      </w:r>
    </w:p>
    <w:p w14:paraId="42B74351">
      <w:pPr>
        <w:snapToGrid w:val="0"/>
        <w:spacing w:line="360" w:lineRule="auto"/>
        <w:ind w:firstLine="480" w:firstLineChars="200"/>
        <w:rPr>
          <w:rFonts w:ascii="宋体" w:hAnsi="宋体"/>
          <w:highlight w:val="none"/>
          <w:u w:val="single"/>
        </w:rPr>
      </w:pPr>
      <w:r>
        <w:rPr>
          <w:rFonts w:hint="eastAsia" w:ascii="宋体" w:hAnsi="宋体"/>
          <w:highlight w:val="none"/>
        </w:rPr>
        <w:t>8</w:t>
      </w:r>
      <w:r>
        <w:rPr>
          <w:rFonts w:ascii="宋体" w:hAnsi="宋体"/>
          <w:highlight w:val="none"/>
        </w:rPr>
        <w:t>.</w:t>
      </w:r>
      <w:r>
        <w:rPr>
          <w:rFonts w:hint="eastAsia" w:ascii="宋体" w:hAnsi="宋体"/>
          <w:highlight w:val="none"/>
        </w:rPr>
        <w:t>本公司如中标，保证按照响应文件的承诺与贵方签订合同，保证履行合同条款。</w:t>
      </w:r>
    </w:p>
    <w:p w14:paraId="3ED678AA">
      <w:pPr>
        <w:snapToGrid w:val="0"/>
        <w:spacing w:line="360" w:lineRule="auto"/>
        <w:ind w:firstLine="480" w:firstLineChars="200"/>
        <w:rPr>
          <w:rFonts w:ascii="宋体" w:hAnsi="宋体"/>
          <w:highlight w:val="none"/>
        </w:rPr>
      </w:pPr>
      <w:r>
        <w:rPr>
          <w:rFonts w:hint="eastAsia" w:ascii="宋体" w:hAnsi="宋体"/>
          <w:highlight w:val="none"/>
        </w:rPr>
        <w:t>9</w:t>
      </w:r>
      <w:r>
        <w:rPr>
          <w:rFonts w:ascii="宋体" w:hAnsi="宋体"/>
          <w:highlight w:val="none"/>
        </w:rPr>
        <w:t>.以上事项如有虚假或隐瞒，我方愿意承担一切后果，并不再寻求任何旨在减轻或免除法律责任的辩解。</w:t>
      </w:r>
    </w:p>
    <w:p w14:paraId="23145883">
      <w:pPr>
        <w:pStyle w:val="63"/>
        <w:snapToGrid w:val="0"/>
        <w:spacing w:line="360" w:lineRule="auto"/>
        <w:ind w:firstLine="480" w:firstLineChars="200"/>
        <w:rPr>
          <w:rFonts w:ascii="宋体" w:hAnsi="宋体"/>
          <w:szCs w:val="24"/>
          <w:highlight w:val="none"/>
        </w:rPr>
      </w:pPr>
    </w:p>
    <w:p w14:paraId="0023D60F">
      <w:pPr>
        <w:tabs>
          <w:tab w:val="left" w:pos="1418"/>
        </w:tabs>
        <w:spacing w:line="360" w:lineRule="auto"/>
        <w:ind w:firstLine="240" w:firstLineChars="100"/>
        <w:rPr>
          <w:rFonts w:ascii="宋体" w:hAnsi="宋体"/>
          <w:bCs/>
          <w:highlight w:val="none"/>
        </w:rPr>
      </w:pPr>
      <w:r>
        <w:rPr>
          <w:rFonts w:ascii="宋体" w:hAnsi="宋体"/>
          <w:highlight w:val="none"/>
        </w:rPr>
        <w:t>法定代表人或委托代理人签名：</w:t>
      </w:r>
    </w:p>
    <w:p w14:paraId="5750BE91">
      <w:pPr>
        <w:tabs>
          <w:tab w:val="left" w:pos="1418"/>
        </w:tabs>
        <w:spacing w:line="360" w:lineRule="auto"/>
        <w:ind w:firstLine="240" w:firstLineChars="100"/>
        <w:rPr>
          <w:rFonts w:ascii="宋体" w:hAnsi="宋体"/>
          <w:highlight w:val="none"/>
        </w:rPr>
      </w:pPr>
      <w:r>
        <w:rPr>
          <w:rFonts w:hint="eastAsia" w:ascii="宋体" w:hAnsi="宋体"/>
          <w:bCs/>
          <w:highlight w:val="none"/>
          <w:lang w:val="en-US" w:eastAsia="zh-CN"/>
        </w:rPr>
        <w:t xml:space="preserve">供 应 商  </w:t>
      </w:r>
      <w:r>
        <w:rPr>
          <w:rFonts w:hint="eastAsia" w:ascii="宋体" w:hAnsi="宋体"/>
          <w:bCs/>
          <w:highlight w:val="none"/>
        </w:rPr>
        <w:t>（盖章）：                              年  月  日</w:t>
      </w:r>
    </w:p>
    <w:p w14:paraId="0F82CCA9">
      <w:pPr>
        <w:snapToGrid w:val="0"/>
        <w:spacing w:line="360" w:lineRule="auto"/>
        <w:rPr>
          <w:rFonts w:ascii="宋体" w:hAnsi="宋体"/>
          <w:highlight w:val="none"/>
        </w:rPr>
      </w:pPr>
    </w:p>
    <w:p w14:paraId="72A1AEC7">
      <w:pPr>
        <w:snapToGrid w:val="0"/>
        <w:spacing w:line="360" w:lineRule="auto"/>
        <w:rPr>
          <w:rFonts w:ascii="宋体" w:hAnsi="宋体"/>
          <w:highlight w:val="none"/>
        </w:rPr>
      </w:pPr>
    </w:p>
    <w:p w14:paraId="0544167C">
      <w:pPr>
        <w:pStyle w:val="15"/>
        <w:ind w:left="480" w:firstLine="464"/>
        <w:rPr>
          <w:rFonts w:hAnsi="宋体"/>
          <w:sz w:val="24"/>
          <w:highlight w:val="none"/>
        </w:rPr>
      </w:pPr>
    </w:p>
    <w:p w14:paraId="4E949DFA">
      <w:pPr>
        <w:rPr>
          <w:rFonts w:ascii="宋体" w:hAnsi="宋体"/>
          <w:highlight w:val="none"/>
        </w:rPr>
      </w:pPr>
    </w:p>
    <w:p w14:paraId="5B6515FC">
      <w:pPr>
        <w:pStyle w:val="15"/>
        <w:ind w:left="480" w:firstLine="404"/>
        <w:rPr>
          <w:highlight w:val="none"/>
        </w:rPr>
      </w:pPr>
    </w:p>
    <w:p w14:paraId="1A338BD9">
      <w:pPr>
        <w:snapToGrid w:val="0"/>
        <w:spacing w:line="360" w:lineRule="auto"/>
        <w:rPr>
          <w:rFonts w:ascii="宋体" w:hAnsi="宋体"/>
          <w:highlight w:val="none"/>
        </w:rPr>
      </w:pPr>
    </w:p>
    <w:p w14:paraId="38F2BA15">
      <w:pPr>
        <w:pStyle w:val="6"/>
        <w:pageBreakBefore/>
        <w:spacing w:line="360" w:lineRule="auto"/>
        <w:jc w:val="center"/>
        <w:rPr>
          <w:rFonts w:ascii="宋体" w:hAnsi="宋体"/>
          <w:szCs w:val="24"/>
          <w:highlight w:val="none"/>
        </w:rPr>
      </w:pPr>
      <w:r>
        <w:rPr>
          <w:rFonts w:ascii="宋体" w:hAnsi="宋体"/>
          <w:szCs w:val="24"/>
          <w:highlight w:val="none"/>
        </w:rPr>
        <w:t>法定代表人授权委托书</w:t>
      </w:r>
    </w:p>
    <w:p w14:paraId="679B1973">
      <w:pPr>
        <w:snapToGrid w:val="0"/>
        <w:spacing w:beforeLines="100" w:line="360" w:lineRule="auto"/>
        <w:rPr>
          <w:rFonts w:ascii="宋体" w:hAnsi="宋体"/>
          <w:b/>
          <w:bCs/>
          <w:highlight w:val="none"/>
        </w:rPr>
      </w:pPr>
      <w:r>
        <w:rPr>
          <w:rFonts w:ascii="宋体" w:hAnsi="宋体"/>
          <w:bCs/>
          <w:highlight w:val="none"/>
        </w:rPr>
        <w:t>致：</w:t>
      </w:r>
      <w:r>
        <w:rPr>
          <w:rFonts w:hint="eastAsia" w:ascii="宋体" w:hAnsi="宋体"/>
          <w:highlight w:val="none"/>
          <w:u w:val="single"/>
          <w:lang w:eastAsia="zh-CN"/>
        </w:rPr>
        <w:t>嘉善县公共资源交易中心</w:t>
      </w:r>
      <w:r>
        <w:rPr>
          <w:rFonts w:ascii="宋体" w:hAnsi="宋体"/>
          <w:highlight w:val="none"/>
        </w:rPr>
        <w:t>：</w:t>
      </w:r>
    </w:p>
    <w:p w14:paraId="34DF903B">
      <w:pPr>
        <w:snapToGrid w:val="0"/>
        <w:spacing w:line="360" w:lineRule="auto"/>
        <w:ind w:firstLine="720" w:firstLineChars="300"/>
        <w:rPr>
          <w:rFonts w:ascii="宋体" w:hAnsi="宋体"/>
          <w:highlight w:val="none"/>
        </w:rPr>
      </w:pPr>
      <w:r>
        <w:rPr>
          <w:rFonts w:ascii="宋体" w:hAnsi="宋体"/>
          <w:highlight w:val="none"/>
        </w:rPr>
        <w:t>我</w:t>
      </w:r>
      <w:r>
        <w:rPr>
          <w:rFonts w:hint="eastAsia" w:ascii="宋体" w:hAnsi="宋体"/>
          <w:color w:val="auto"/>
          <w:sz w:val="24"/>
          <w:highlight w:val="none"/>
          <w:u w:val="single"/>
        </w:rPr>
        <w:t xml:space="preserve">         </w:t>
      </w:r>
      <w:r>
        <w:rPr>
          <w:rFonts w:ascii="宋体" w:hAnsi="宋体"/>
          <w:highlight w:val="none"/>
        </w:rPr>
        <w:t>（姓名）系</w:t>
      </w:r>
      <w:r>
        <w:rPr>
          <w:rFonts w:hint="eastAsia" w:ascii="宋体" w:hAnsi="宋体"/>
          <w:color w:val="auto"/>
          <w:sz w:val="24"/>
          <w:highlight w:val="none"/>
          <w:u w:val="single"/>
        </w:rPr>
        <w:t xml:space="preserve">                    </w:t>
      </w:r>
      <w:r>
        <w:rPr>
          <w:rFonts w:ascii="宋体" w:hAnsi="宋体"/>
          <w:highlight w:val="none"/>
        </w:rPr>
        <w:t>（</w:t>
      </w:r>
      <w:r>
        <w:rPr>
          <w:rFonts w:hint="eastAsia" w:ascii="宋体" w:hAnsi="宋体"/>
          <w:highlight w:val="none"/>
          <w:lang w:eastAsia="zh-CN"/>
        </w:rPr>
        <w:t>供应商</w:t>
      </w:r>
      <w:r>
        <w:rPr>
          <w:rFonts w:ascii="宋体" w:hAnsi="宋体"/>
          <w:highlight w:val="none"/>
        </w:rPr>
        <w:t>名称）的法定代表人，现授权委托本单位在职职工</w:t>
      </w:r>
      <w:r>
        <w:rPr>
          <w:rFonts w:ascii="宋体" w:hAnsi="宋体"/>
          <w:color w:val="auto"/>
          <w:sz w:val="24"/>
          <w:highlight w:val="none"/>
          <w:u w:val="single"/>
        </w:rPr>
        <w:t xml:space="preserve">         </w:t>
      </w:r>
      <w:r>
        <w:rPr>
          <w:rFonts w:ascii="宋体" w:hAnsi="宋体"/>
          <w:highlight w:val="none"/>
        </w:rPr>
        <w:t>（姓名）以我方的名义参加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highlight w:val="none"/>
        </w:rPr>
        <w:t>政府采购项目的投标活动，并代表我方全权办理针对上述项目的投标、开标、评标、签约等具体事务和签署相关文件。</w:t>
      </w:r>
    </w:p>
    <w:p w14:paraId="2894C8B7">
      <w:pPr>
        <w:snapToGrid w:val="0"/>
        <w:spacing w:line="360" w:lineRule="auto"/>
        <w:rPr>
          <w:rFonts w:ascii="宋体" w:hAnsi="宋体"/>
          <w:highlight w:val="none"/>
        </w:rPr>
      </w:pPr>
      <w:r>
        <w:rPr>
          <w:rFonts w:ascii="宋体" w:hAnsi="宋体"/>
          <w:highlight w:val="none"/>
        </w:rPr>
        <w:t xml:space="preserve">    我方对被授权人的签名事项负全部责任。</w:t>
      </w:r>
    </w:p>
    <w:p w14:paraId="27613A03">
      <w:pPr>
        <w:snapToGrid w:val="0"/>
        <w:spacing w:line="360" w:lineRule="auto"/>
        <w:ind w:firstLine="480"/>
        <w:rPr>
          <w:rFonts w:ascii="宋体" w:hAnsi="宋体"/>
          <w:highlight w:val="none"/>
        </w:rPr>
      </w:pPr>
      <w:r>
        <w:rPr>
          <w:rFonts w:ascii="宋体" w:hAnsi="宋体"/>
          <w:highlight w:val="none"/>
        </w:rPr>
        <w:t>在撤销授权的书面通知以前，本授权书一直有效。被授权人在授权书有效期内签署的所有文件不因授权的撤销而失效。</w:t>
      </w:r>
    </w:p>
    <w:p w14:paraId="05476A2F">
      <w:pPr>
        <w:snapToGrid w:val="0"/>
        <w:spacing w:line="360" w:lineRule="auto"/>
        <w:ind w:firstLine="480"/>
        <w:rPr>
          <w:rFonts w:ascii="宋体" w:hAnsi="宋体"/>
          <w:highlight w:val="none"/>
        </w:rPr>
      </w:pPr>
      <w:r>
        <w:rPr>
          <w:rFonts w:ascii="宋体" w:hAnsi="宋体"/>
          <w:highlight w:val="none"/>
        </w:rPr>
        <w:t>被授权人无转委托权，特此委托。</w:t>
      </w:r>
    </w:p>
    <w:p w14:paraId="1C0B8402">
      <w:pPr>
        <w:snapToGrid w:val="0"/>
        <w:spacing w:line="360" w:lineRule="auto"/>
        <w:rPr>
          <w:rFonts w:ascii="宋体" w:hAnsi="宋体"/>
          <w:highlight w:val="none"/>
        </w:rPr>
      </w:pPr>
    </w:p>
    <w:p w14:paraId="2F12E77D">
      <w:pPr>
        <w:snapToGrid w:val="0"/>
        <w:spacing w:line="360" w:lineRule="auto"/>
        <w:rPr>
          <w:rFonts w:ascii="宋体" w:hAnsi="宋体"/>
          <w:highlight w:val="none"/>
          <w:u w:val="single"/>
        </w:rPr>
      </w:pPr>
      <w:r>
        <w:rPr>
          <w:rFonts w:ascii="宋体" w:hAnsi="宋体"/>
          <w:highlight w:val="none"/>
        </w:rPr>
        <w:t>被授权人签名：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highlight w:val="none"/>
        </w:rPr>
        <w:t xml:space="preserve">                法定代表人签名：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B124DE7">
      <w:pPr>
        <w:snapToGrid w:val="0"/>
        <w:spacing w:line="360" w:lineRule="auto"/>
        <w:ind w:firstLine="960" w:firstLineChars="400"/>
        <w:rPr>
          <w:rFonts w:ascii="宋体" w:hAnsi="宋体"/>
          <w:color w:val="auto"/>
          <w:sz w:val="24"/>
          <w:highlight w:val="none"/>
        </w:rPr>
      </w:pPr>
      <w:r>
        <w:rPr>
          <w:rFonts w:ascii="宋体" w:hAnsi="宋体"/>
          <w:highlight w:val="none"/>
        </w:rPr>
        <w:t>职务：</w:t>
      </w:r>
      <w:r>
        <w:rPr>
          <w:rFonts w:ascii="宋体" w:hAnsi="宋体"/>
          <w:color w:val="auto"/>
          <w:sz w:val="24"/>
          <w:highlight w:val="none"/>
          <w:u w:val="single"/>
        </w:rPr>
        <w:t xml:space="preserve">           </w:t>
      </w:r>
      <w:r>
        <w:rPr>
          <w:rFonts w:ascii="宋体" w:hAnsi="宋体"/>
          <w:highlight w:val="none"/>
        </w:rPr>
        <w:t xml:space="preserve">                          职务：</w:t>
      </w:r>
      <w:r>
        <w:rPr>
          <w:rFonts w:ascii="宋体" w:hAnsi="宋体"/>
          <w:color w:val="auto"/>
          <w:sz w:val="24"/>
          <w:highlight w:val="none"/>
          <w:u w:val="single"/>
        </w:rPr>
        <w:t xml:space="preserve">           </w:t>
      </w:r>
    </w:p>
    <w:p w14:paraId="56399856">
      <w:pPr>
        <w:snapToGrid w:val="0"/>
        <w:spacing w:line="360" w:lineRule="auto"/>
        <w:ind w:firstLine="960" w:firstLineChars="400"/>
        <w:rPr>
          <w:rFonts w:ascii="宋体" w:hAnsi="宋体"/>
          <w:highlight w:val="none"/>
        </w:rPr>
      </w:pPr>
    </w:p>
    <w:p w14:paraId="4388CDE4">
      <w:pPr>
        <w:spacing w:line="360" w:lineRule="auto"/>
        <w:rPr>
          <w:rFonts w:ascii="宋体" w:hAnsi="宋体"/>
          <w:highlight w:val="none"/>
        </w:rPr>
      </w:pPr>
      <w:r>
        <w:rPr>
          <w:rFonts w:ascii="宋体" w:hAnsi="宋体"/>
          <w:highlight w:val="none"/>
        </w:rPr>
        <w:t>被授权人身份证号码：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291559A">
      <w:pPr>
        <w:spacing w:line="360" w:lineRule="auto"/>
        <w:rPr>
          <w:rFonts w:ascii="宋体" w:hAnsi="宋体"/>
          <w:highlight w:val="none"/>
        </w:rPr>
      </w:pPr>
    </w:p>
    <w:p w14:paraId="73331022">
      <w:pPr>
        <w:spacing w:line="360" w:lineRule="auto"/>
        <w:ind w:firstLine="960" w:firstLineChars="400"/>
        <w:jc w:val="both"/>
        <w:rPr>
          <w:rFonts w:ascii="宋体" w:hAnsi="宋体"/>
          <w:highlight w:val="none"/>
        </w:rPr>
      </w:pPr>
      <w:r>
        <w:rPr>
          <w:rFonts w:hint="eastAsia" w:ascii="宋体" w:hAnsi="宋体"/>
          <w:highlight w:val="none"/>
          <w:lang w:eastAsia="zh-CN"/>
        </w:rPr>
        <w:t>供应商</w:t>
      </w:r>
      <w:r>
        <w:rPr>
          <w:rFonts w:ascii="宋体" w:hAnsi="宋体"/>
          <w:highlight w:val="none"/>
        </w:rPr>
        <w:t>公章：</w:t>
      </w:r>
      <w:r>
        <w:rPr>
          <w:rFonts w:ascii="宋体" w:hAnsi="宋体"/>
          <w:color w:val="auto"/>
          <w:sz w:val="24"/>
          <w:highlight w:val="none"/>
          <w:u w:val="single"/>
        </w:rPr>
        <w:t xml:space="preserve">               </w:t>
      </w:r>
      <w:r>
        <w:rPr>
          <w:rFonts w:ascii="宋体" w:hAnsi="宋体"/>
          <w:highlight w:val="none"/>
        </w:rPr>
        <w:t xml:space="preserve">                     </w:t>
      </w:r>
      <w:r>
        <w:rPr>
          <w:rFonts w:hint="eastAsia" w:ascii="宋体" w:hAnsi="宋体"/>
          <w:highlight w:val="none"/>
          <w:lang w:val="en-US" w:eastAsia="zh-CN"/>
        </w:rPr>
        <w:t xml:space="preserve">     </w:t>
      </w:r>
      <w:r>
        <w:rPr>
          <w:rFonts w:ascii="宋体" w:hAnsi="宋体"/>
          <w:highlight w:val="none"/>
        </w:rPr>
        <w:t>年    月    日</w:t>
      </w:r>
    </w:p>
    <w:p w14:paraId="24C63580">
      <w:pPr>
        <w:spacing w:line="360" w:lineRule="auto"/>
        <w:ind w:firstLine="3600" w:firstLineChars="1500"/>
        <w:rPr>
          <w:rFonts w:ascii="宋体" w:hAnsi="宋体"/>
          <w:highlight w:val="none"/>
        </w:rPr>
      </w:pPr>
    </w:p>
    <w:p w14:paraId="259EEE19">
      <w:pPr>
        <w:spacing w:line="360" w:lineRule="auto"/>
        <w:rPr>
          <w:rFonts w:ascii="宋体" w:hAnsi="宋体"/>
          <w:highlight w:val="none"/>
        </w:rPr>
      </w:pPr>
      <w:r>
        <w:rPr>
          <w:rFonts w:hint="eastAsia" w:ascii="宋体" w:hAnsi="宋体"/>
          <w:highlight w:val="none"/>
        </w:rPr>
        <w:t xml:space="preserve">法定代表人身份证复印件粘贴处：             </w:t>
      </w:r>
      <w:r>
        <w:rPr>
          <w:rFonts w:ascii="宋体" w:hAnsi="宋体"/>
          <w:highlight w:val="none"/>
        </w:rPr>
        <w:t>被授权人</w:t>
      </w:r>
      <w:r>
        <w:rPr>
          <w:rFonts w:hint="eastAsia" w:ascii="宋体" w:hAnsi="宋体"/>
          <w:highlight w:val="none"/>
        </w:rPr>
        <w:t>身份证复印件粘贴处：</w:t>
      </w:r>
    </w:p>
    <w:p w14:paraId="6D9677CF">
      <w:pPr>
        <w:snapToGrid w:val="0"/>
        <w:spacing w:beforeLines="50" w:after="50" w:line="360" w:lineRule="auto"/>
        <w:rPr>
          <w:rFonts w:ascii="宋体" w:hAnsi="宋体"/>
          <w:highlight w:val="none"/>
        </w:rPr>
      </w:pPr>
    </w:p>
    <w:p w14:paraId="7EAC73E0">
      <w:pPr>
        <w:snapToGrid w:val="0"/>
        <w:spacing w:beforeLines="50" w:after="50" w:line="360" w:lineRule="auto"/>
        <w:rPr>
          <w:rFonts w:ascii="宋体" w:hAnsi="宋体"/>
          <w:highlight w:val="none"/>
        </w:rPr>
      </w:pPr>
    </w:p>
    <w:p w14:paraId="14A467A6">
      <w:pPr>
        <w:pStyle w:val="6"/>
        <w:rPr>
          <w:highlight w:val="none"/>
        </w:rPr>
      </w:pPr>
    </w:p>
    <w:p w14:paraId="62DEF528">
      <w:pPr>
        <w:snapToGrid w:val="0"/>
        <w:spacing w:beforeLines="50" w:after="50" w:line="360" w:lineRule="auto"/>
        <w:rPr>
          <w:rFonts w:ascii="宋体" w:hAnsi="宋体"/>
          <w:highlight w:val="none"/>
        </w:rPr>
      </w:pPr>
    </w:p>
    <w:p w14:paraId="34666B53">
      <w:pPr>
        <w:spacing w:line="588" w:lineRule="exact"/>
        <w:jc w:val="center"/>
        <w:rPr>
          <w:rFonts w:ascii="宋体" w:hAnsi="宋体"/>
          <w:b/>
          <w:spacing w:val="6"/>
          <w:highlight w:val="none"/>
        </w:rPr>
      </w:pPr>
    </w:p>
    <w:p w14:paraId="65750878">
      <w:pPr>
        <w:pStyle w:val="15"/>
        <w:ind w:left="480" w:firstLine="506"/>
        <w:rPr>
          <w:rFonts w:hAnsi="宋体" w:cs="宋体"/>
          <w:b/>
          <w:spacing w:val="6"/>
          <w:sz w:val="24"/>
          <w:highlight w:val="none"/>
        </w:rPr>
      </w:pPr>
    </w:p>
    <w:p w14:paraId="7580F5B6">
      <w:pPr>
        <w:rPr>
          <w:rFonts w:ascii="宋体" w:hAnsi="宋体"/>
          <w:b/>
          <w:spacing w:val="6"/>
          <w:highlight w:val="none"/>
        </w:rPr>
      </w:pPr>
    </w:p>
    <w:p w14:paraId="0A3D94FF">
      <w:pPr>
        <w:pStyle w:val="15"/>
        <w:ind w:left="480" w:firstLine="506"/>
        <w:rPr>
          <w:rFonts w:hAnsi="宋体" w:cs="宋体"/>
          <w:b/>
          <w:spacing w:val="6"/>
          <w:sz w:val="24"/>
          <w:highlight w:val="none"/>
        </w:rPr>
      </w:pPr>
    </w:p>
    <w:p w14:paraId="1AFAD123">
      <w:pPr>
        <w:rPr>
          <w:highlight w:val="none"/>
        </w:rPr>
      </w:pPr>
    </w:p>
    <w:p w14:paraId="015EDDEB">
      <w:pPr>
        <w:pStyle w:val="15"/>
        <w:rPr>
          <w:highlight w:val="none"/>
        </w:rPr>
      </w:pPr>
    </w:p>
    <w:p w14:paraId="7ACE1C93">
      <w:pPr>
        <w:pStyle w:val="6"/>
        <w:jc w:val="center"/>
        <w:rPr>
          <w:rFonts w:hint="eastAsia" w:ascii="宋体" w:hAnsi="宋体" w:eastAsia="宋体" w:cs="Times New Roman"/>
          <w:b/>
          <w:color w:val="auto"/>
          <w:kern w:val="0"/>
          <w:szCs w:val="24"/>
          <w:highlight w:val="none"/>
        </w:rPr>
      </w:pPr>
      <w:r>
        <w:rPr>
          <w:rFonts w:hint="eastAsia" w:ascii="宋体" w:hAnsi="宋体" w:eastAsia="宋体" w:cs="Times New Roman"/>
          <w:b/>
          <w:color w:val="auto"/>
          <w:kern w:val="0"/>
          <w:sz w:val="24"/>
          <w:szCs w:val="24"/>
          <w:highlight w:val="none"/>
        </w:rPr>
        <w:t>符合参加政府采购活动应当具备的一般条件的承诺函</w:t>
      </w:r>
    </w:p>
    <w:p w14:paraId="2DA55783">
      <w:pPr>
        <w:snapToGrid w:val="0"/>
        <w:spacing w:line="360" w:lineRule="auto"/>
        <w:rPr>
          <w:rFonts w:hint="eastAsia" w:ascii="仿宋_GB2312" w:hAnsi="仿宋" w:eastAsia="仿宋_GB2312" w:cs="仿宋_GB2312"/>
          <w:sz w:val="24"/>
        </w:rPr>
      </w:pPr>
    </w:p>
    <w:p w14:paraId="4D33DA77">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2C5F04A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宋体" w:hAnsi="宋体" w:cs="宋体"/>
          <w:color w:val="auto"/>
          <w:kern w:val="0"/>
          <w:sz w:val="24"/>
          <w:highlight w:val="none"/>
          <w:u w:val="single"/>
        </w:rPr>
        <w:t xml:space="preserve">        </w:t>
      </w:r>
      <w:r>
        <w:rPr>
          <w:rFonts w:hint="eastAsia" w:ascii="仿宋_GB2312" w:hAnsi="仿宋" w:eastAsia="仿宋_GB2312" w:cs="仿宋_GB2312"/>
          <w:sz w:val="24"/>
        </w:rPr>
        <w:t>（项目名称）【项目编号：</w:t>
      </w:r>
      <w:r>
        <w:rPr>
          <w:rFonts w:hint="eastAsia" w:ascii="宋体" w:hAnsi="宋体" w:cs="宋体"/>
          <w:color w:val="auto"/>
          <w:kern w:val="0"/>
          <w:sz w:val="24"/>
          <w:highlight w:val="none"/>
          <w:u w:val="single"/>
        </w:rPr>
        <w:t xml:space="preserve">         </w:t>
      </w:r>
      <w:r>
        <w:rPr>
          <w:rFonts w:hint="eastAsia" w:ascii="仿宋_GB2312" w:hAnsi="仿宋" w:eastAsia="仿宋_GB2312" w:cs="仿宋_GB2312"/>
          <w:sz w:val="24"/>
        </w:rPr>
        <w:t>】政府采购活动，郑重承诺：</w:t>
      </w:r>
    </w:p>
    <w:p w14:paraId="2BAEE52B">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6891EE7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BED52C9">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2AA838C9">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7826677A">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532365F2">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2F696D9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756BDE2D">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00DC7941">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23E9E757">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57AD319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7DA0ACD0">
      <w:pPr>
        <w:pStyle w:val="66"/>
        <w:snapToGrid w:val="0"/>
        <w:ind w:firstLine="4809" w:firstLineChars="2004"/>
        <w:jc w:val="right"/>
        <w:rPr>
          <w:rFonts w:ascii="宋体" w:eastAsia="宋体"/>
          <w:bCs/>
          <w:sz w:val="24"/>
          <w:szCs w:val="24"/>
        </w:rPr>
      </w:pPr>
    </w:p>
    <w:p w14:paraId="4E29F52D">
      <w:pPr>
        <w:pStyle w:val="66"/>
        <w:snapToGrid w:val="0"/>
        <w:ind w:firstLine="4809" w:firstLineChars="2004"/>
        <w:jc w:val="right"/>
        <w:rPr>
          <w:rFonts w:ascii="宋体" w:eastAsia="宋体"/>
          <w:bCs/>
          <w:sz w:val="24"/>
          <w:szCs w:val="24"/>
        </w:rPr>
      </w:pPr>
    </w:p>
    <w:p w14:paraId="417DC071">
      <w:pPr>
        <w:pStyle w:val="66"/>
        <w:snapToGrid w:val="0"/>
        <w:ind w:firstLine="4809" w:firstLineChars="2004"/>
        <w:jc w:val="right"/>
        <w:rPr>
          <w:rFonts w:ascii="宋体" w:eastAsia="宋体"/>
          <w:bCs/>
          <w:sz w:val="24"/>
          <w:szCs w:val="24"/>
        </w:rPr>
      </w:pPr>
      <w:r>
        <w:rPr>
          <w:rFonts w:hint="eastAsia" w:ascii="宋体" w:eastAsia="宋体"/>
          <w:bCs/>
          <w:sz w:val="24"/>
          <w:szCs w:val="24"/>
          <w:lang w:eastAsia="zh-CN"/>
        </w:rPr>
        <w:t>供应商</w:t>
      </w:r>
      <w:r>
        <w:rPr>
          <w:rFonts w:hint="eastAsia" w:ascii="宋体" w:eastAsia="宋体"/>
          <w:bCs/>
          <w:sz w:val="24"/>
          <w:szCs w:val="24"/>
        </w:rPr>
        <w:t>名称（盖章）：</w:t>
      </w:r>
    </w:p>
    <w:p w14:paraId="6DBFDB39">
      <w:pPr>
        <w:snapToGrid w:val="0"/>
        <w:jc w:val="right"/>
        <w:rPr>
          <w:rFonts w:ascii="宋体"/>
          <w:sz w:val="24"/>
        </w:rPr>
      </w:pPr>
      <w:r>
        <w:rPr>
          <w:rFonts w:hint="eastAsia" w:ascii="宋体"/>
          <w:bCs/>
          <w:sz w:val="24"/>
        </w:rPr>
        <w:t>日 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14:paraId="4FBA5F60">
      <w:pPr>
        <w:snapToGrid w:val="0"/>
        <w:jc w:val="center"/>
        <w:rPr>
          <w:rFonts w:ascii="宋体"/>
          <w:sz w:val="24"/>
        </w:rPr>
      </w:pPr>
    </w:p>
    <w:p w14:paraId="3732AF19">
      <w:pPr>
        <w:snapToGrid w:val="0"/>
        <w:jc w:val="center"/>
        <w:rPr>
          <w:rFonts w:ascii="宋体"/>
          <w:szCs w:val="21"/>
        </w:rPr>
      </w:pPr>
    </w:p>
    <w:p w14:paraId="2A5C2A88">
      <w:pPr>
        <w:snapToGrid w:val="0"/>
        <w:jc w:val="center"/>
        <w:rPr>
          <w:rFonts w:ascii="宋体"/>
          <w:szCs w:val="21"/>
        </w:rPr>
      </w:pPr>
    </w:p>
    <w:p w14:paraId="59DC6A9E">
      <w:pPr>
        <w:snapToGrid w:val="0"/>
        <w:jc w:val="center"/>
        <w:rPr>
          <w:rFonts w:ascii="宋体"/>
          <w:szCs w:val="21"/>
        </w:rPr>
      </w:pPr>
    </w:p>
    <w:p w14:paraId="7642AD14">
      <w:pPr>
        <w:snapToGrid w:val="0"/>
        <w:jc w:val="center"/>
        <w:rPr>
          <w:rFonts w:ascii="宋体"/>
          <w:szCs w:val="21"/>
        </w:rPr>
      </w:pPr>
    </w:p>
    <w:p w14:paraId="7F27EDC7">
      <w:pPr>
        <w:pStyle w:val="2"/>
        <w:ind w:left="0" w:leftChars="0" w:firstLine="0" w:firstLineChars="0"/>
        <w:rPr>
          <w:szCs w:val="24"/>
        </w:rPr>
      </w:pPr>
    </w:p>
    <w:p w14:paraId="7BE62F51">
      <w:pPr>
        <w:pStyle w:val="4"/>
        <w:rPr>
          <w:szCs w:val="24"/>
        </w:rPr>
      </w:pPr>
    </w:p>
    <w:p w14:paraId="147A8584"/>
    <w:p w14:paraId="12FED002">
      <w:pPr>
        <w:pStyle w:val="18"/>
        <w:snapToGrid w:val="0"/>
        <w:spacing w:beforeLines="0" w:afterLines="0" w:line="440" w:lineRule="exact"/>
        <w:outlineLvl w:val="1"/>
        <w:rPr>
          <w:rFonts w:hint="eastAsia" w:hAnsi="宋体"/>
          <w:b/>
          <w:highlight w:val="none"/>
        </w:rPr>
      </w:pPr>
    </w:p>
    <w:p w14:paraId="1172C56D">
      <w:pPr>
        <w:rPr>
          <w:highlight w:val="none"/>
        </w:rPr>
      </w:pPr>
    </w:p>
    <w:p w14:paraId="6399B285">
      <w:pPr>
        <w:pStyle w:val="18"/>
        <w:pageBreakBefore/>
        <w:snapToGrid w:val="0"/>
        <w:spacing w:beforeLines="0" w:afterLines="0" w:line="440" w:lineRule="exact"/>
        <w:outlineLvl w:val="1"/>
        <w:rPr>
          <w:rFonts w:hAnsi="宋体"/>
          <w:b/>
          <w:highlight w:val="none"/>
        </w:rPr>
      </w:pPr>
      <w:r>
        <w:rPr>
          <w:rFonts w:hint="eastAsia" w:hAnsi="宋体"/>
          <w:b/>
          <w:highlight w:val="none"/>
        </w:rPr>
        <w:t>二、商务技术文件格式</w:t>
      </w:r>
    </w:p>
    <w:p w14:paraId="3F3D73A1">
      <w:pPr>
        <w:snapToGrid w:val="0"/>
        <w:spacing w:line="440" w:lineRule="exact"/>
        <w:rPr>
          <w:rFonts w:ascii="宋体" w:hAnsi="宋体"/>
          <w:highlight w:val="none"/>
        </w:rPr>
      </w:pPr>
      <w:r>
        <w:rPr>
          <w:rFonts w:hint="eastAsia" w:ascii="宋体" w:hAnsi="宋体"/>
          <w:bCs/>
          <w:highlight w:val="none"/>
        </w:rPr>
        <w:t>1</w:t>
      </w:r>
      <w:r>
        <w:rPr>
          <w:rFonts w:ascii="宋体" w:hAnsi="宋体"/>
          <w:highlight w:val="none"/>
        </w:rPr>
        <w:t>.</w:t>
      </w:r>
      <w:r>
        <w:rPr>
          <w:rFonts w:hint="eastAsia" w:ascii="宋体" w:hAnsi="宋体"/>
          <w:highlight w:val="none"/>
        </w:rPr>
        <w:t>商务技术文件封面格式</w:t>
      </w:r>
    </w:p>
    <w:p w14:paraId="16F16811">
      <w:pPr>
        <w:snapToGrid w:val="0"/>
        <w:spacing w:line="440" w:lineRule="exact"/>
        <w:rPr>
          <w:rFonts w:ascii="宋体" w:hAnsi="宋体"/>
          <w:b/>
          <w:bCs/>
          <w:highlight w:val="none"/>
        </w:rPr>
      </w:pPr>
    </w:p>
    <w:p w14:paraId="0F2D34C9">
      <w:pPr>
        <w:snapToGrid w:val="0"/>
        <w:spacing w:line="440" w:lineRule="exact"/>
        <w:jc w:val="center"/>
        <w:rPr>
          <w:rFonts w:ascii="宋体" w:hAnsi="宋体"/>
          <w:b/>
          <w:bCs/>
          <w:highlight w:val="none"/>
        </w:rPr>
      </w:pPr>
      <w:r>
        <w:rPr>
          <w:rFonts w:hint="eastAsia" w:ascii="宋体" w:hAnsi="宋体"/>
          <w:b/>
          <w:bCs/>
          <w:highlight w:val="none"/>
        </w:rPr>
        <w:t>商务技术文件</w:t>
      </w:r>
    </w:p>
    <w:p w14:paraId="2699BC5B">
      <w:pPr>
        <w:snapToGrid w:val="0"/>
        <w:spacing w:line="440" w:lineRule="exact"/>
        <w:ind w:firstLine="900" w:firstLineChars="375"/>
        <w:rPr>
          <w:rFonts w:ascii="宋体" w:hAnsi="宋体"/>
          <w:highlight w:val="none"/>
        </w:rPr>
      </w:pPr>
      <w:r>
        <w:rPr>
          <w:rFonts w:hint="eastAsia" w:ascii="宋体" w:hAnsi="宋体"/>
          <w:bCs/>
          <w:highlight w:val="none"/>
        </w:rPr>
        <w:t>项目名称：</w:t>
      </w:r>
      <w:r>
        <w:rPr>
          <w:rFonts w:hint="eastAsia" w:ascii="宋体" w:hAnsi="宋体"/>
          <w:bCs/>
          <w:color w:val="auto"/>
          <w:sz w:val="24"/>
          <w:highlight w:val="none"/>
          <w:u w:val="single"/>
        </w:rPr>
        <w:t xml:space="preserve">                    </w:t>
      </w:r>
      <w:r>
        <w:rPr>
          <w:rFonts w:hint="eastAsia" w:ascii="宋体" w:hAnsi="宋体"/>
          <w:highlight w:val="none"/>
        </w:rPr>
        <w:t>采购项目</w:t>
      </w:r>
    </w:p>
    <w:p w14:paraId="651095D7">
      <w:pPr>
        <w:pStyle w:val="11"/>
        <w:snapToGrid w:val="0"/>
        <w:spacing w:line="440" w:lineRule="exact"/>
        <w:ind w:firstLine="900" w:firstLineChars="375"/>
        <w:rPr>
          <w:rFonts w:ascii="宋体" w:hAnsi="宋体"/>
          <w:bCs/>
          <w:highlight w:val="none"/>
        </w:rPr>
      </w:pPr>
      <w:r>
        <w:rPr>
          <w:rFonts w:hint="eastAsia" w:ascii="宋体" w:hAnsi="宋体"/>
          <w:bCs/>
          <w:highlight w:val="none"/>
        </w:rPr>
        <w:t>项目编号：</w:t>
      </w:r>
    </w:p>
    <w:p w14:paraId="379CB57B">
      <w:pPr>
        <w:pStyle w:val="11"/>
        <w:snapToGrid w:val="0"/>
        <w:spacing w:line="440" w:lineRule="exact"/>
        <w:ind w:firstLine="900" w:firstLineChars="375"/>
        <w:rPr>
          <w:rFonts w:ascii="宋体" w:hAnsi="宋体"/>
          <w:bCs/>
          <w:highlight w:val="none"/>
        </w:rPr>
      </w:pPr>
      <w:r>
        <w:rPr>
          <w:rFonts w:hint="eastAsia" w:ascii="宋体" w:hAnsi="宋体"/>
          <w:bCs/>
          <w:highlight w:val="none"/>
          <w:lang w:eastAsia="zh-CN"/>
        </w:rPr>
        <w:t>供应商</w:t>
      </w:r>
      <w:r>
        <w:rPr>
          <w:rFonts w:hint="eastAsia" w:ascii="宋体" w:hAnsi="宋体"/>
          <w:bCs/>
          <w:highlight w:val="none"/>
        </w:rPr>
        <w:t>名称（盖章）：</w:t>
      </w:r>
    </w:p>
    <w:p w14:paraId="0199CBC9">
      <w:pPr>
        <w:pStyle w:val="11"/>
        <w:snapToGrid w:val="0"/>
        <w:spacing w:line="440" w:lineRule="exact"/>
        <w:ind w:firstLine="900" w:firstLineChars="375"/>
        <w:rPr>
          <w:rFonts w:ascii="宋体" w:hAnsi="宋体"/>
          <w:bCs/>
          <w:highlight w:val="none"/>
        </w:rPr>
      </w:pPr>
      <w:r>
        <w:rPr>
          <w:rFonts w:hint="eastAsia" w:ascii="宋体" w:hAnsi="宋体"/>
          <w:bCs/>
          <w:highlight w:val="none"/>
          <w:lang w:eastAsia="zh-CN"/>
        </w:rPr>
        <w:t>供应商</w:t>
      </w:r>
      <w:r>
        <w:rPr>
          <w:rFonts w:hint="eastAsia" w:ascii="宋体" w:hAnsi="宋体"/>
          <w:bCs/>
          <w:highlight w:val="none"/>
        </w:rPr>
        <w:t>地址：</w:t>
      </w:r>
    </w:p>
    <w:p w14:paraId="00A6B69B">
      <w:pPr>
        <w:snapToGrid w:val="0"/>
        <w:spacing w:line="440" w:lineRule="exact"/>
        <w:ind w:firstLine="5680" w:firstLineChars="2367"/>
        <w:rPr>
          <w:rFonts w:ascii="宋体" w:hAnsi="宋体"/>
          <w:highlight w:val="none"/>
        </w:rPr>
      </w:pPr>
      <w:r>
        <w:rPr>
          <w:rFonts w:hint="eastAsia" w:ascii="宋体" w:hAnsi="宋体"/>
          <w:highlight w:val="none"/>
        </w:rPr>
        <w:t>年</w:t>
      </w:r>
      <w:r>
        <w:rPr>
          <w:rFonts w:hint="eastAsia" w:ascii="宋体" w:hAnsi="宋体"/>
          <w:highlight w:val="none"/>
          <w:lang w:val="en-US" w:eastAsia="zh-CN"/>
        </w:rPr>
        <w:t xml:space="preserve">  </w:t>
      </w:r>
      <w:r>
        <w:rPr>
          <w:rFonts w:hint="eastAsia" w:ascii="宋体" w:hAnsi="宋体"/>
          <w:highlight w:val="none"/>
        </w:rPr>
        <w:t>月</w:t>
      </w:r>
      <w:r>
        <w:rPr>
          <w:rFonts w:hint="eastAsia" w:ascii="宋体" w:hAnsi="宋体"/>
          <w:highlight w:val="none"/>
          <w:lang w:val="en-US" w:eastAsia="zh-CN"/>
        </w:rPr>
        <w:t xml:space="preserve">  </w:t>
      </w:r>
      <w:r>
        <w:rPr>
          <w:rFonts w:hint="eastAsia" w:ascii="宋体" w:hAnsi="宋体"/>
          <w:highlight w:val="none"/>
        </w:rPr>
        <w:t>日</w:t>
      </w:r>
    </w:p>
    <w:p w14:paraId="44C236D5">
      <w:pPr>
        <w:snapToGrid w:val="0"/>
        <w:spacing w:line="360" w:lineRule="auto"/>
        <w:ind w:firstLine="3280" w:firstLineChars="1367"/>
        <w:rPr>
          <w:rFonts w:ascii="宋体" w:hAnsi="宋体"/>
          <w:highlight w:val="none"/>
        </w:rPr>
      </w:pPr>
    </w:p>
    <w:p w14:paraId="2796682D">
      <w:pPr>
        <w:snapToGrid w:val="0"/>
        <w:spacing w:line="360" w:lineRule="auto"/>
        <w:ind w:firstLine="3280" w:firstLineChars="1367"/>
        <w:rPr>
          <w:rFonts w:ascii="宋体" w:hAnsi="宋体"/>
          <w:highlight w:val="none"/>
        </w:rPr>
      </w:pPr>
    </w:p>
    <w:p w14:paraId="38E99F6B">
      <w:pPr>
        <w:snapToGrid w:val="0"/>
        <w:spacing w:line="360" w:lineRule="auto"/>
        <w:ind w:firstLine="3280" w:firstLineChars="1367"/>
        <w:rPr>
          <w:rFonts w:ascii="宋体" w:hAnsi="宋体"/>
          <w:highlight w:val="none"/>
        </w:rPr>
      </w:pPr>
    </w:p>
    <w:p w14:paraId="3FDC2FBF">
      <w:pPr>
        <w:snapToGrid w:val="0"/>
        <w:spacing w:line="360" w:lineRule="auto"/>
        <w:ind w:firstLine="3280" w:firstLineChars="1367"/>
        <w:rPr>
          <w:rFonts w:ascii="宋体" w:hAnsi="宋体"/>
          <w:highlight w:val="none"/>
        </w:rPr>
      </w:pPr>
    </w:p>
    <w:p w14:paraId="31EA12D9">
      <w:pPr>
        <w:snapToGrid w:val="0"/>
        <w:spacing w:line="440" w:lineRule="exact"/>
        <w:rPr>
          <w:rFonts w:ascii="宋体" w:hAnsi="宋体"/>
          <w:bCs/>
          <w:highlight w:val="none"/>
        </w:rPr>
      </w:pPr>
      <w:r>
        <w:rPr>
          <w:rFonts w:hint="eastAsia" w:ascii="宋体" w:hAnsi="宋体"/>
          <w:bCs/>
          <w:highlight w:val="none"/>
        </w:rPr>
        <w:t>2</w:t>
      </w:r>
      <w:r>
        <w:rPr>
          <w:rFonts w:ascii="宋体" w:hAnsi="宋体"/>
          <w:bCs/>
          <w:highlight w:val="none"/>
        </w:rPr>
        <w:t>.</w:t>
      </w:r>
      <w:r>
        <w:rPr>
          <w:rFonts w:hint="eastAsia" w:ascii="宋体" w:hAnsi="宋体"/>
          <w:bCs/>
          <w:highlight w:val="none"/>
        </w:rPr>
        <w:t>商务技术文件目录（请按照“第三章</w:t>
      </w:r>
      <w:r>
        <w:rPr>
          <w:rFonts w:hint="eastAsia" w:ascii="宋体" w:hAnsi="宋体"/>
          <w:bCs/>
          <w:highlight w:val="none"/>
          <w:lang w:eastAsia="zh-CN"/>
        </w:rPr>
        <w:t>供应商</w:t>
      </w:r>
      <w:r>
        <w:rPr>
          <w:rFonts w:hint="eastAsia" w:ascii="宋体" w:hAnsi="宋体"/>
          <w:bCs/>
          <w:highlight w:val="none"/>
        </w:rPr>
        <w:t>须知，</w:t>
      </w:r>
      <w:r>
        <w:rPr>
          <w:rFonts w:ascii="宋体" w:hAnsi="宋体"/>
          <w:bCs/>
          <w:highlight w:val="none"/>
        </w:rPr>
        <w:t>三、</w:t>
      </w:r>
      <w:r>
        <w:rPr>
          <w:rFonts w:hint="eastAsia" w:ascii="宋体" w:hAnsi="宋体"/>
          <w:bCs/>
          <w:highlight w:val="none"/>
        </w:rPr>
        <w:t>响应文件</w:t>
      </w:r>
      <w:r>
        <w:rPr>
          <w:rFonts w:ascii="宋体" w:hAnsi="宋体"/>
          <w:bCs/>
          <w:highlight w:val="none"/>
        </w:rPr>
        <w:t>的编制</w:t>
      </w:r>
      <w:r>
        <w:rPr>
          <w:rFonts w:hint="eastAsia" w:ascii="宋体" w:hAnsi="宋体"/>
          <w:bCs/>
          <w:highlight w:val="none"/>
        </w:rPr>
        <w:t>”的顺序，结合评标办法自行编制目录）</w:t>
      </w:r>
    </w:p>
    <w:p w14:paraId="5325994E">
      <w:pPr>
        <w:snapToGrid w:val="0"/>
        <w:spacing w:line="440" w:lineRule="exact"/>
        <w:rPr>
          <w:rFonts w:ascii="宋体" w:hAnsi="宋体"/>
          <w:bCs/>
          <w:highlight w:val="none"/>
        </w:rPr>
      </w:pPr>
      <w:r>
        <w:rPr>
          <w:rFonts w:hint="eastAsia" w:ascii="宋体" w:hAnsi="宋体"/>
          <w:bCs/>
          <w:highlight w:val="none"/>
        </w:rPr>
        <w:t>例如：</w:t>
      </w:r>
    </w:p>
    <w:p w14:paraId="5785A7D2">
      <w:pPr>
        <w:snapToGrid w:val="0"/>
        <w:spacing w:line="440" w:lineRule="exact"/>
        <w:rPr>
          <w:rFonts w:ascii="宋体" w:hAnsi="宋体"/>
          <w:bCs/>
          <w:highlight w:val="none"/>
        </w:rPr>
      </w:pPr>
      <w:r>
        <w:rPr>
          <w:rFonts w:hint="eastAsia" w:ascii="宋体" w:hAnsi="宋体"/>
          <w:bCs/>
          <w:highlight w:val="none"/>
        </w:rPr>
        <w:t>资信商务文件：</w:t>
      </w:r>
    </w:p>
    <w:p w14:paraId="0F5EF4EE">
      <w:pPr>
        <w:snapToGrid w:val="0"/>
        <w:spacing w:line="440" w:lineRule="exact"/>
        <w:rPr>
          <w:rFonts w:ascii="宋体" w:hAnsi="宋体"/>
          <w:szCs w:val="20"/>
          <w:highlight w:val="none"/>
        </w:rPr>
      </w:pPr>
      <w:r>
        <w:rPr>
          <w:rFonts w:hint="eastAsia" w:ascii="宋体" w:hAnsi="宋体"/>
          <w:highlight w:val="none"/>
        </w:rPr>
        <w:t>（1</w:t>
      </w:r>
      <w:r>
        <w:rPr>
          <w:rFonts w:ascii="宋体" w:hAnsi="宋体"/>
          <w:highlight w:val="none"/>
        </w:rPr>
        <w:t>）</w:t>
      </w:r>
      <w:r>
        <w:rPr>
          <w:rFonts w:hint="eastAsia" w:ascii="宋体" w:hAnsi="宋体"/>
          <w:highlight w:val="none"/>
          <w:lang w:eastAsia="zh-CN"/>
        </w:rPr>
        <w:t>供应商</w:t>
      </w:r>
      <w:r>
        <w:rPr>
          <w:rFonts w:hint="eastAsia" w:ascii="宋体" w:hAnsi="宋体"/>
          <w:highlight w:val="none"/>
        </w:rPr>
        <w:t>基本情况介绍</w:t>
      </w:r>
      <w:r>
        <w:rPr>
          <w:rFonts w:ascii="宋体" w:hAnsi="宋体"/>
          <w:highlight w:val="none"/>
        </w:rPr>
        <w:t xml:space="preserve"> (格式见附</w:t>
      </w:r>
      <w:r>
        <w:rPr>
          <w:rFonts w:hint="eastAsia" w:ascii="宋体" w:hAnsi="宋体"/>
          <w:highlight w:val="none"/>
        </w:rPr>
        <w:t>件）</w:t>
      </w:r>
      <w:r>
        <w:rPr>
          <w:rFonts w:hint="eastAsia" w:ascii="宋体" w:hAnsi="宋体"/>
          <w:kern w:val="0"/>
          <w:highlight w:val="none"/>
        </w:rPr>
        <w:t>…………………………………（页码）</w:t>
      </w:r>
    </w:p>
    <w:p w14:paraId="5D820DF5">
      <w:pPr>
        <w:snapToGrid w:val="0"/>
        <w:spacing w:line="440" w:lineRule="exact"/>
        <w:jc w:val="left"/>
        <w:rPr>
          <w:rFonts w:ascii="宋体" w:hAnsi="宋体"/>
          <w:highlight w:val="none"/>
        </w:rPr>
      </w:pPr>
      <w:r>
        <w:rPr>
          <w:rFonts w:hint="eastAsia" w:ascii="宋体" w:hAnsi="宋体"/>
          <w:highlight w:val="none"/>
        </w:rPr>
        <w:t>（2</w:t>
      </w:r>
      <w:r>
        <w:rPr>
          <w:rFonts w:ascii="宋体" w:hAnsi="宋体"/>
          <w:highlight w:val="none"/>
        </w:rPr>
        <w:t>）</w:t>
      </w:r>
      <w:r>
        <w:rPr>
          <w:rFonts w:hint="eastAsia" w:ascii="宋体" w:hAnsi="宋体"/>
          <w:highlight w:val="none"/>
        </w:rPr>
        <w:t>诚信承诺书（格式见附件）</w:t>
      </w:r>
      <w:r>
        <w:rPr>
          <w:rFonts w:hint="eastAsia" w:ascii="宋体" w:hAnsi="宋体"/>
          <w:kern w:val="0"/>
          <w:highlight w:val="none"/>
        </w:rPr>
        <w:t>……………………………………………（页码）</w:t>
      </w:r>
    </w:p>
    <w:p w14:paraId="1883D9FF">
      <w:pPr>
        <w:snapToGrid w:val="0"/>
        <w:spacing w:line="440" w:lineRule="exact"/>
        <w:jc w:val="left"/>
        <w:rPr>
          <w:rFonts w:ascii="宋体" w:hAnsi="宋体"/>
          <w:highlight w:val="none"/>
        </w:rPr>
      </w:pPr>
      <w:r>
        <w:rPr>
          <w:rFonts w:hint="eastAsia" w:ascii="宋体" w:hAnsi="宋体"/>
          <w:highlight w:val="none"/>
        </w:rPr>
        <w:t>（3</w:t>
      </w:r>
      <w:r>
        <w:rPr>
          <w:rFonts w:ascii="宋体" w:hAnsi="宋体"/>
          <w:highlight w:val="none"/>
        </w:rPr>
        <w:t>）</w:t>
      </w:r>
      <w:r>
        <w:rPr>
          <w:rFonts w:hint="eastAsia" w:ascii="宋体" w:hAnsi="宋体"/>
          <w:highlight w:val="none"/>
        </w:rPr>
        <w:t>商务技术响应表（格式见附件）</w:t>
      </w:r>
      <w:r>
        <w:rPr>
          <w:rFonts w:hint="eastAsia" w:ascii="宋体" w:hAnsi="宋体"/>
          <w:kern w:val="0"/>
          <w:highlight w:val="none"/>
        </w:rPr>
        <w:t>………………………………………（页码）</w:t>
      </w:r>
    </w:p>
    <w:p w14:paraId="1CD1291C">
      <w:pPr>
        <w:snapToGrid w:val="0"/>
        <w:spacing w:beforeLines="50" w:after="50"/>
        <w:rPr>
          <w:rFonts w:ascii="宋体" w:hAnsi="宋体"/>
          <w:szCs w:val="20"/>
          <w:highlight w:val="none"/>
        </w:rPr>
      </w:pPr>
    </w:p>
    <w:p w14:paraId="6CD21A0A">
      <w:pPr>
        <w:snapToGrid w:val="0"/>
        <w:spacing w:beforeLines="50" w:after="50"/>
        <w:rPr>
          <w:rFonts w:ascii="宋体" w:hAnsi="宋体"/>
          <w:szCs w:val="20"/>
          <w:highlight w:val="none"/>
        </w:rPr>
      </w:pPr>
    </w:p>
    <w:p w14:paraId="2240998D">
      <w:pPr>
        <w:snapToGrid w:val="0"/>
        <w:spacing w:beforeLines="50" w:after="50"/>
        <w:rPr>
          <w:rFonts w:ascii="宋体" w:hAnsi="宋体"/>
          <w:szCs w:val="20"/>
          <w:highlight w:val="none"/>
        </w:rPr>
      </w:pPr>
    </w:p>
    <w:p w14:paraId="52F3CA8A">
      <w:pPr>
        <w:snapToGrid w:val="0"/>
        <w:spacing w:beforeLines="50" w:after="50"/>
        <w:rPr>
          <w:rFonts w:ascii="宋体" w:hAnsi="宋体"/>
          <w:szCs w:val="20"/>
          <w:highlight w:val="none"/>
        </w:rPr>
      </w:pPr>
    </w:p>
    <w:p w14:paraId="14472D77">
      <w:pPr>
        <w:snapToGrid w:val="0"/>
        <w:spacing w:beforeLines="50" w:after="50"/>
        <w:rPr>
          <w:rFonts w:ascii="宋体" w:hAnsi="宋体"/>
          <w:szCs w:val="20"/>
          <w:highlight w:val="none"/>
        </w:rPr>
      </w:pPr>
    </w:p>
    <w:p w14:paraId="0CBED6FB">
      <w:pPr>
        <w:snapToGrid w:val="0"/>
        <w:spacing w:beforeLines="50" w:after="50"/>
        <w:rPr>
          <w:rFonts w:ascii="宋体" w:hAnsi="宋体"/>
          <w:szCs w:val="20"/>
          <w:highlight w:val="none"/>
        </w:rPr>
      </w:pPr>
    </w:p>
    <w:p w14:paraId="124FC024">
      <w:pPr>
        <w:snapToGrid w:val="0"/>
        <w:spacing w:beforeLines="50" w:after="50"/>
        <w:rPr>
          <w:rFonts w:ascii="宋体" w:hAnsi="宋体"/>
          <w:szCs w:val="20"/>
          <w:highlight w:val="none"/>
        </w:rPr>
      </w:pPr>
    </w:p>
    <w:p w14:paraId="536B9970">
      <w:pPr>
        <w:snapToGrid w:val="0"/>
        <w:spacing w:beforeLines="50" w:after="50" w:line="360" w:lineRule="auto"/>
        <w:rPr>
          <w:rFonts w:ascii="宋体" w:hAnsi="宋体"/>
          <w:highlight w:val="none"/>
        </w:rPr>
      </w:pPr>
    </w:p>
    <w:p w14:paraId="2D064335">
      <w:pPr>
        <w:pStyle w:val="15"/>
        <w:ind w:left="480" w:firstLine="404"/>
        <w:rPr>
          <w:highlight w:val="none"/>
        </w:rPr>
      </w:pPr>
    </w:p>
    <w:p w14:paraId="04C38F43">
      <w:pPr>
        <w:pStyle w:val="15"/>
        <w:ind w:left="480" w:firstLine="464"/>
        <w:rPr>
          <w:rFonts w:hAnsi="宋体"/>
          <w:sz w:val="24"/>
          <w:highlight w:val="none"/>
        </w:rPr>
      </w:pPr>
    </w:p>
    <w:p w14:paraId="4993C16D">
      <w:pPr>
        <w:snapToGrid w:val="0"/>
        <w:spacing w:beforeLines="50" w:after="50" w:line="360" w:lineRule="auto"/>
        <w:rPr>
          <w:rFonts w:ascii="宋体" w:hAnsi="宋体"/>
          <w:highlight w:val="none"/>
        </w:rPr>
      </w:pPr>
    </w:p>
    <w:p w14:paraId="1A5AE782">
      <w:pPr>
        <w:pStyle w:val="18"/>
        <w:spacing w:before="120" w:after="120" w:line="360" w:lineRule="auto"/>
        <w:jc w:val="center"/>
        <w:rPr>
          <w:rFonts w:hAnsi="宋体"/>
          <w:b/>
          <w:highlight w:val="none"/>
        </w:rPr>
      </w:pPr>
      <w:r>
        <w:rPr>
          <w:rFonts w:hint="eastAsia" w:hAnsi="宋体"/>
          <w:b/>
          <w:highlight w:val="none"/>
          <w:lang w:eastAsia="zh-CN"/>
        </w:rPr>
        <w:t>供应商</w:t>
      </w:r>
      <w:r>
        <w:rPr>
          <w:rFonts w:hint="eastAsia" w:hAnsi="宋体"/>
          <w:b/>
          <w:highlight w:val="none"/>
          <w:lang w:val="en-US" w:eastAsia="zh-CN"/>
        </w:rPr>
        <w:t>基本</w:t>
      </w:r>
      <w:r>
        <w:rPr>
          <w:rFonts w:hint="eastAsia" w:hAnsi="宋体"/>
          <w:b/>
          <w:highlight w:val="none"/>
        </w:rPr>
        <w:t>情况介绍</w:t>
      </w:r>
    </w:p>
    <w:tbl>
      <w:tblPr>
        <w:tblStyle w:val="3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14:paraId="1C70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14:paraId="06A695BE">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名  称</w:t>
            </w:r>
          </w:p>
        </w:tc>
        <w:tc>
          <w:tcPr>
            <w:tcW w:w="7983" w:type="dxa"/>
            <w:gridSpan w:val="6"/>
            <w:noWrap/>
            <w:vAlign w:val="center"/>
          </w:tcPr>
          <w:p w14:paraId="15556F65">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　</w:t>
            </w:r>
          </w:p>
        </w:tc>
      </w:tr>
      <w:tr w14:paraId="2DD9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14:paraId="4BB87AE3">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地  址</w:t>
            </w:r>
          </w:p>
        </w:tc>
        <w:tc>
          <w:tcPr>
            <w:tcW w:w="7983" w:type="dxa"/>
            <w:gridSpan w:val="6"/>
            <w:noWrap/>
            <w:vAlign w:val="center"/>
          </w:tcPr>
          <w:p w14:paraId="7E136F0C">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　</w:t>
            </w:r>
          </w:p>
        </w:tc>
      </w:tr>
      <w:tr w14:paraId="7EC0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477" w:type="dxa"/>
            <w:vMerge w:val="restart"/>
            <w:noWrap/>
            <w:vAlign w:val="center"/>
          </w:tcPr>
          <w:p w14:paraId="7620A86F">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概  况</w:t>
            </w:r>
          </w:p>
        </w:tc>
        <w:tc>
          <w:tcPr>
            <w:tcW w:w="1371" w:type="dxa"/>
            <w:noWrap/>
            <w:vAlign w:val="center"/>
          </w:tcPr>
          <w:p w14:paraId="1B0BC926">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成立和注册时间</w:t>
            </w:r>
          </w:p>
        </w:tc>
        <w:tc>
          <w:tcPr>
            <w:tcW w:w="2520" w:type="dxa"/>
            <w:gridSpan w:val="2"/>
            <w:noWrap/>
            <w:vAlign w:val="center"/>
          </w:tcPr>
          <w:p w14:paraId="54445769">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　</w:t>
            </w:r>
          </w:p>
        </w:tc>
        <w:tc>
          <w:tcPr>
            <w:tcW w:w="1620" w:type="dxa"/>
            <w:noWrap/>
            <w:vAlign w:val="center"/>
          </w:tcPr>
          <w:p w14:paraId="2A8BD10D">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注册资金</w:t>
            </w:r>
          </w:p>
        </w:tc>
        <w:tc>
          <w:tcPr>
            <w:tcW w:w="2472" w:type="dxa"/>
            <w:gridSpan w:val="2"/>
            <w:noWrap/>
            <w:vAlign w:val="center"/>
          </w:tcPr>
          <w:p w14:paraId="13D1F5F8">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　</w:t>
            </w:r>
          </w:p>
        </w:tc>
      </w:tr>
      <w:tr w14:paraId="5BB4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14:paraId="3EF117DD">
            <w:pPr>
              <w:keepNext w:val="0"/>
              <w:keepLines w:val="0"/>
              <w:widowControl/>
              <w:suppressLineNumbers w:val="0"/>
              <w:spacing w:before="0" w:beforeAutospacing="0" w:after="0" w:afterAutospacing="0" w:line="360" w:lineRule="auto"/>
              <w:ind w:left="0" w:right="0"/>
              <w:jc w:val="left"/>
              <w:rPr>
                <w:rFonts w:hint="default" w:ascii="宋体" w:hAnsi="宋体"/>
                <w:kern w:val="0"/>
                <w:highlight w:val="none"/>
              </w:rPr>
            </w:pPr>
          </w:p>
        </w:tc>
        <w:tc>
          <w:tcPr>
            <w:tcW w:w="1371" w:type="dxa"/>
            <w:noWrap/>
            <w:vAlign w:val="center"/>
          </w:tcPr>
          <w:p w14:paraId="54B351BA">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法人代表</w:t>
            </w:r>
          </w:p>
        </w:tc>
        <w:tc>
          <w:tcPr>
            <w:tcW w:w="2520" w:type="dxa"/>
            <w:gridSpan w:val="2"/>
            <w:noWrap/>
            <w:vAlign w:val="center"/>
          </w:tcPr>
          <w:p w14:paraId="5B4CF616">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　</w:t>
            </w:r>
          </w:p>
        </w:tc>
        <w:tc>
          <w:tcPr>
            <w:tcW w:w="1620" w:type="dxa"/>
            <w:noWrap/>
            <w:vAlign w:val="center"/>
          </w:tcPr>
          <w:p w14:paraId="28560E4F">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电   话</w:t>
            </w:r>
          </w:p>
        </w:tc>
        <w:tc>
          <w:tcPr>
            <w:tcW w:w="2472" w:type="dxa"/>
            <w:gridSpan w:val="2"/>
            <w:noWrap/>
            <w:vAlign w:val="center"/>
          </w:tcPr>
          <w:p w14:paraId="16427E05">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　</w:t>
            </w:r>
          </w:p>
        </w:tc>
      </w:tr>
      <w:tr w14:paraId="3B4C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14:paraId="47BE4BDA">
            <w:pPr>
              <w:keepNext w:val="0"/>
              <w:keepLines w:val="0"/>
              <w:widowControl/>
              <w:suppressLineNumbers w:val="0"/>
              <w:spacing w:before="0" w:beforeAutospacing="0" w:after="0" w:afterAutospacing="0" w:line="360" w:lineRule="auto"/>
              <w:ind w:left="0" w:right="0"/>
              <w:jc w:val="left"/>
              <w:rPr>
                <w:rFonts w:hint="default" w:ascii="宋体" w:hAnsi="宋体"/>
                <w:kern w:val="0"/>
                <w:highlight w:val="none"/>
              </w:rPr>
            </w:pPr>
          </w:p>
        </w:tc>
        <w:tc>
          <w:tcPr>
            <w:tcW w:w="1371" w:type="dxa"/>
            <w:noWrap/>
            <w:vAlign w:val="center"/>
          </w:tcPr>
          <w:p w14:paraId="0121BE44">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技术负责人</w:t>
            </w:r>
          </w:p>
        </w:tc>
        <w:tc>
          <w:tcPr>
            <w:tcW w:w="2520" w:type="dxa"/>
            <w:gridSpan w:val="2"/>
            <w:noWrap/>
            <w:vAlign w:val="center"/>
          </w:tcPr>
          <w:p w14:paraId="3D213D66">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　</w:t>
            </w:r>
          </w:p>
        </w:tc>
        <w:tc>
          <w:tcPr>
            <w:tcW w:w="1620" w:type="dxa"/>
            <w:noWrap/>
            <w:vAlign w:val="center"/>
          </w:tcPr>
          <w:p w14:paraId="08868F77">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电   话</w:t>
            </w:r>
          </w:p>
        </w:tc>
        <w:tc>
          <w:tcPr>
            <w:tcW w:w="2472" w:type="dxa"/>
            <w:gridSpan w:val="2"/>
            <w:noWrap/>
            <w:vAlign w:val="center"/>
          </w:tcPr>
          <w:p w14:paraId="3192B2F2">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　</w:t>
            </w:r>
          </w:p>
        </w:tc>
      </w:tr>
      <w:tr w14:paraId="0920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14:paraId="1C843596">
            <w:pPr>
              <w:keepNext w:val="0"/>
              <w:keepLines w:val="0"/>
              <w:widowControl/>
              <w:suppressLineNumbers w:val="0"/>
              <w:spacing w:before="0" w:beforeAutospacing="0" w:after="0" w:afterAutospacing="0" w:line="360" w:lineRule="auto"/>
              <w:ind w:left="0" w:right="0"/>
              <w:jc w:val="left"/>
              <w:rPr>
                <w:rFonts w:hint="default" w:ascii="宋体" w:hAnsi="宋体"/>
                <w:kern w:val="0"/>
                <w:highlight w:val="none"/>
              </w:rPr>
            </w:pPr>
          </w:p>
        </w:tc>
        <w:tc>
          <w:tcPr>
            <w:tcW w:w="1371" w:type="dxa"/>
            <w:noWrap/>
            <w:vAlign w:val="center"/>
          </w:tcPr>
          <w:p w14:paraId="447C2FEB">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职工总数</w:t>
            </w:r>
          </w:p>
        </w:tc>
        <w:tc>
          <w:tcPr>
            <w:tcW w:w="2520" w:type="dxa"/>
            <w:gridSpan w:val="2"/>
            <w:noWrap/>
            <w:vAlign w:val="center"/>
          </w:tcPr>
          <w:p w14:paraId="232C7D54">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　</w:t>
            </w:r>
          </w:p>
        </w:tc>
        <w:tc>
          <w:tcPr>
            <w:tcW w:w="1620" w:type="dxa"/>
            <w:noWrap/>
            <w:vAlign w:val="center"/>
          </w:tcPr>
          <w:p w14:paraId="271D0D6F">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技术人员数</w:t>
            </w:r>
          </w:p>
        </w:tc>
        <w:tc>
          <w:tcPr>
            <w:tcW w:w="2472" w:type="dxa"/>
            <w:gridSpan w:val="2"/>
            <w:noWrap/>
            <w:vAlign w:val="center"/>
          </w:tcPr>
          <w:p w14:paraId="468E60FE">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　</w:t>
            </w:r>
          </w:p>
        </w:tc>
      </w:tr>
      <w:tr w14:paraId="65D9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14:paraId="6C5402A2">
            <w:pPr>
              <w:keepNext w:val="0"/>
              <w:keepLines w:val="0"/>
              <w:widowControl/>
              <w:suppressLineNumbers w:val="0"/>
              <w:spacing w:before="0" w:beforeAutospacing="0" w:after="0" w:afterAutospacing="0" w:line="360" w:lineRule="auto"/>
              <w:ind w:left="0" w:right="0"/>
              <w:jc w:val="left"/>
              <w:rPr>
                <w:rFonts w:hint="default" w:ascii="宋体" w:hAnsi="宋体"/>
                <w:kern w:val="0"/>
                <w:highlight w:val="none"/>
              </w:rPr>
            </w:pPr>
          </w:p>
        </w:tc>
        <w:tc>
          <w:tcPr>
            <w:tcW w:w="1371" w:type="dxa"/>
            <w:vMerge w:val="restart"/>
            <w:noWrap/>
            <w:vAlign w:val="center"/>
          </w:tcPr>
          <w:p w14:paraId="04EB468A">
            <w:pPr>
              <w:keepNext w:val="0"/>
              <w:keepLines w:val="0"/>
              <w:widowControl/>
              <w:suppressLineNumbers w:val="0"/>
              <w:spacing w:before="0" w:beforeAutospacing="0" w:after="0" w:afterAutospacing="0" w:line="400" w:lineRule="exact"/>
              <w:ind w:left="0" w:right="0"/>
              <w:jc w:val="center"/>
              <w:rPr>
                <w:rFonts w:hint="default" w:ascii="宋体" w:hAnsi="宋体"/>
                <w:kern w:val="0"/>
                <w:highlight w:val="none"/>
              </w:rPr>
            </w:pPr>
            <w:r>
              <w:rPr>
                <w:rFonts w:hint="eastAsia" w:ascii="宋体" w:hAnsi="宋体"/>
                <w:kern w:val="0"/>
                <w:highlight w:val="none"/>
              </w:rPr>
              <w:t>资产情况</w:t>
            </w:r>
          </w:p>
        </w:tc>
        <w:tc>
          <w:tcPr>
            <w:tcW w:w="2520" w:type="dxa"/>
            <w:gridSpan w:val="2"/>
            <w:noWrap/>
            <w:vAlign w:val="center"/>
          </w:tcPr>
          <w:p w14:paraId="4F980172">
            <w:pPr>
              <w:keepNext w:val="0"/>
              <w:keepLines w:val="0"/>
              <w:widowControl/>
              <w:suppressLineNumbers w:val="0"/>
              <w:spacing w:before="0" w:beforeAutospacing="0" w:after="0" w:afterAutospacing="0" w:line="400" w:lineRule="exact"/>
              <w:ind w:left="0" w:right="0"/>
              <w:jc w:val="left"/>
              <w:rPr>
                <w:rFonts w:hint="default" w:ascii="宋体" w:hAnsi="宋体"/>
                <w:kern w:val="0"/>
                <w:highlight w:val="none"/>
              </w:rPr>
            </w:pPr>
            <w:r>
              <w:rPr>
                <w:rFonts w:hint="eastAsia" w:ascii="宋体" w:hAnsi="宋体"/>
                <w:kern w:val="0"/>
                <w:highlight w:val="none"/>
              </w:rPr>
              <w:t xml:space="preserve">净资产：            </w:t>
            </w:r>
          </w:p>
        </w:tc>
        <w:tc>
          <w:tcPr>
            <w:tcW w:w="4092" w:type="dxa"/>
            <w:gridSpan w:val="3"/>
            <w:noWrap/>
            <w:vAlign w:val="center"/>
          </w:tcPr>
          <w:p w14:paraId="6C611264">
            <w:pPr>
              <w:keepNext w:val="0"/>
              <w:keepLines w:val="0"/>
              <w:widowControl/>
              <w:suppressLineNumbers w:val="0"/>
              <w:spacing w:before="0" w:beforeAutospacing="0" w:after="0" w:afterAutospacing="0" w:line="400" w:lineRule="exact"/>
              <w:ind w:left="0" w:right="0"/>
              <w:jc w:val="left"/>
              <w:rPr>
                <w:rFonts w:hint="default" w:ascii="宋体" w:hAnsi="宋体"/>
                <w:kern w:val="0"/>
                <w:highlight w:val="none"/>
              </w:rPr>
            </w:pPr>
            <w:r>
              <w:rPr>
                <w:rFonts w:hint="eastAsia" w:ascii="宋体" w:hAnsi="宋体"/>
                <w:kern w:val="0"/>
                <w:highlight w:val="none"/>
              </w:rPr>
              <w:t>固定资产原值：</w:t>
            </w:r>
          </w:p>
        </w:tc>
      </w:tr>
      <w:tr w14:paraId="225D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14:paraId="329E4B43">
            <w:pPr>
              <w:keepNext w:val="0"/>
              <w:keepLines w:val="0"/>
              <w:widowControl/>
              <w:suppressLineNumbers w:val="0"/>
              <w:spacing w:before="0" w:beforeAutospacing="0" w:after="0" w:afterAutospacing="0" w:line="360" w:lineRule="auto"/>
              <w:ind w:left="0" w:right="0"/>
              <w:jc w:val="left"/>
              <w:rPr>
                <w:rFonts w:hint="default" w:ascii="宋体" w:hAnsi="宋体"/>
                <w:kern w:val="0"/>
                <w:highlight w:val="none"/>
              </w:rPr>
            </w:pPr>
          </w:p>
        </w:tc>
        <w:tc>
          <w:tcPr>
            <w:tcW w:w="1371" w:type="dxa"/>
            <w:vMerge w:val="continue"/>
            <w:noWrap/>
            <w:vAlign w:val="center"/>
          </w:tcPr>
          <w:p w14:paraId="789CB58B">
            <w:pPr>
              <w:keepNext w:val="0"/>
              <w:keepLines w:val="0"/>
              <w:widowControl/>
              <w:suppressLineNumbers w:val="0"/>
              <w:spacing w:before="0" w:beforeAutospacing="0" w:after="0" w:afterAutospacing="0" w:line="400" w:lineRule="exact"/>
              <w:ind w:left="0" w:right="0"/>
              <w:jc w:val="left"/>
              <w:rPr>
                <w:rFonts w:hint="default" w:ascii="宋体" w:hAnsi="宋体"/>
                <w:kern w:val="0"/>
                <w:highlight w:val="none"/>
              </w:rPr>
            </w:pPr>
          </w:p>
        </w:tc>
        <w:tc>
          <w:tcPr>
            <w:tcW w:w="2520" w:type="dxa"/>
            <w:gridSpan w:val="2"/>
            <w:noWrap/>
            <w:vAlign w:val="center"/>
          </w:tcPr>
          <w:p w14:paraId="5EB1D40F">
            <w:pPr>
              <w:keepNext w:val="0"/>
              <w:keepLines w:val="0"/>
              <w:widowControl/>
              <w:suppressLineNumbers w:val="0"/>
              <w:spacing w:before="0" w:beforeAutospacing="0" w:after="0" w:afterAutospacing="0" w:line="400" w:lineRule="exact"/>
              <w:ind w:left="0" w:right="0"/>
              <w:jc w:val="left"/>
              <w:rPr>
                <w:rFonts w:hint="default" w:ascii="宋体" w:hAnsi="宋体"/>
                <w:kern w:val="0"/>
                <w:highlight w:val="none"/>
              </w:rPr>
            </w:pPr>
            <w:r>
              <w:rPr>
                <w:rFonts w:hint="eastAsia" w:ascii="宋体" w:hAnsi="宋体"/>
                <w:kern w:val="0"/>
                <w:highlight w:val="none"/>
              </w:rPr>
              <w:t xml:space="preserve">负  债：            </w:t>
            </w:r>
          </w:p>
        </w:tc>
        <w:tc>
          <w:tcPr>
            <w:tcW w:w="4092" w:type="dxa"/>
            <w:gridSpan w:val="3"/>
            <w:noWrap/>
            <w:vAlign w:val="center"/>
          </w:tcPr>
          <w:p w14:paraId="6EF831BE">
            <w:pPr>
              <w:keepNext w:val="0"/>
              <w:keepLines w:val="0"/>
              <w:widowControl/>
              <w:suppressLineNumbers w:val="0"/>
              <w:spacing w:before="0" w:beforeAutospacing="0" w:after="0" w:afterAutospacing="0" w:line="400" w:lineRule="exact"/>
              <w:ind w:left="0" w:right="0"/>
              <w:jc w:val="left"/>
              <w:rPr>
                <w:rFonts w:hint="default" w:ascii="宋体" w:hAnsi="宋体"/>
                <w:kern w:val="0"/>
                <w:highlight w:val="none"/>
              </w:rPr>
            </w:pPr>
            <w:r>
              <w:rPr>
                <w:rFonts w:hint="eastAsia" w:ascii="宋体" w:hAnsi="宋体"/>
                <w:kern w:val="0"/>
                <w:highlight w:val="none"/>
              </w:rPr>
              <w:t>固定资产净值：</w:t>
            </w:r>
          </w:p>
        </w:tc>
      </w:tr>
      <w:tr w14:paraId="79AC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14:paraId="63376339">
            <w:pPr>
              <w:keepNext w:val="0"/>
              <w:keepLines w:val="0"/>
              <w:widowControl/>
              <w:suppressLineNumbers w:val="0"/>
              <w:spacing w:before="0" w:beforeAutospacing="0" w:after="0" w:afterAutospacing="0" w:line="360" w:lineRule="auto"/>
              <w:ind w:left="0" w:right="0"/>
              <w:jc w:val="left"/>
              <w:rPr>
                <w:rFonts w:hint="default" w:ascii="宋体" w:hAnsi="宋体"/>
                <w:kern w:val="0"/>
                <w:highlight w:val="none"/>
              </w:rPr>
            </w:pPr>
          </w:p>
        </w:tc>
        <w:tc>
          <w:tcPr>
            <w:tcW w:w="1371" w:type="dxa"/>
            <w:noWrap/>
            <w:vAlign w:val="center"/>
          </w:tcPr>
          <w:p w14:paraId="1FDA83F1">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202</w:t>
            </w:r>
            <w:r>
              <w:rPr>
                <w:rFonts w:hint="eastAsia" w:ascii="宋体" w:hAnsi="宋体"/>
                <w:kern w:val="0"/>
                <w:highlight w:val="none"/>
                <w:lang w:val="en-US" w:eastAsia="zh-CN"/>
              </w:rPr>
              <w:t>3</w:t>
            </w:r>
            <w:r>
              <w:rPr>
                <w:rFonts w:hint="eastAsia" w:ascii="宋体" w:hAnsi="宋体"/>
                <w:kern w:val="0"/>
                <w:highlight w:val="none"/>
              </w:rPr>
              <w:t>年 度</w:t>
            </w:r>
          </w:p>
        </w:tc>
        <w:tc>
          <w:tcPr>
            <w:tcW w:w="1260" w:type="dxa"/>
            <w:noWrap/>
            <w:vAlign w:val="center"/>
          </w:tcPr>
          <w:p w14:paraId="75F2CDD3">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主营收入(万元)</w:t>
            </w:r>
          </w:p>
        </w:tc>
        <w:tc>
          <w:tcPr>
            <w:tcW w:w="1260" w:type="dxa"/>
            <w:noWrap/>
            <w:vAlign w:val="center"/>
          </w:tcPr>
          <w:p w14:paraId="7CD73A62">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收入总额(万元)</w:t>
            </w:r>
          </w:p>
        </w:tc>
        <w:tc>
          <w:tcPr>
            <w:tcW w:w="1620" w:type="dxa"/>
            <w:noWrap/>
            <w:vAlign w:val="center"/>
          </w:tcPr>
          <w:p w14:paraId="01295389">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利润收入(万元)</w:t>
            </w:r>
          </w:p>
        </w:tc>
        <w:tc>
          <w:tcPr>
            <w:tcW w:w="1260" w:type="dxa"/>
            <w:noWrap/>
            <w:vAlign w:val="center"/>
          </w:tcPr>
          <w:p w14:paraId="7B9059EE">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净利润收入(万元)</w:t>
            </w:r>
          </w:p>
        </w:tc>
        <w:tc>
          <w:tcPr>
            <w:tcW w:w="1212" w:type="dxa"/>
            <w:noWrap/>
            <w:vAlign w:val="center"/>
          </w:tcPr>
          <w:p w14:paraId="567FC91B">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资产负债率</w:t>
            </w:r>
          </w:p>
        </w:tc>
      </w:tr>
      <w:tr w14:paraId="798E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14:paraId="3555BC6B">
            <w:pPr>
              <w:keepNext w:val="0"/>
              <w:keepLines w:val="0"/>
              <w:widowControl/>
              <w:suppressLineNumbers w:val="0"/>
              <w:spacing w:before="0" w:beforeAutospacing="0" w:after="0" w:afterAutospacing="0" w:line="360" w:lineRule="auto"/>
              <w:ind w:left="0" w:right="0"/>
              <w:jc w:val="left"/>
              <w:rPr>
                <w:rFonts w:hint="default" w:ascii="宋体" w:hAnsi="宋体"/>
                <w:kern w:val="0"/>
                <w:highlight w:val="none"/>
              </w:rPr>
            </w:pPr>
          </w:p>
        </w:tc>
        <w:tc>
          <w:tcPr>
            <w:tcW w:w="1371" w:type="dxa"/>
            <w:noWrap/>
            <w:vAlign w:val="center"/>
          </w:tcPr>
          <w:p w14:paraId="4B7D9B01">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p>
        </w:tc>
        <w:tc>
          <w:tcPr>
            <w:tcW w:w="1260" w:type="dxa"/>
            <w:noWrap/>
            <w:vAlign w:val="center"/>
          </w:tcPr>
          <w:p w14:paraId="71864302">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p>
        </w:tc>
        <w:tc>
          <w:tcPr>
            <w:tcW w:w="1260" w:type="dxa"/>
            <w:noWrap/>
            <w:vAlign w:val="center"/>
          </w:tcPr>
          <w:p w14:paraId="537FA733">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p>
        </w:tc>
        <w:tc>
          <w:tcPr>
            <w:tcW w:w="1620" w:type="dxa"/>
            <w:noWrap/>
            <w:vAlign w:val="center"/>
          </w:tcPr>
          <w:p w14:paraId="6DBE8909">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p>
        </w:tc>
        <w:tc>
          <w:tcPr>
            <w:tcW w:w="1260" w:type="dxa"/>
            <w:noWrap/>
            <w:vAlign w:val="center"/>
          </w:tcPr>
          <w:p w14:paraId="552F4F79">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p>
        </w:tc>
        <w:tc>
          <w:tcPr>
            <w:tcW w:w="1212" w:type="dxa"/>
            <w:noWrap/>
            <w:vAlign w:val="center"/>
          </w:tcPr>
          <w:p w14:paraId="3A4E34A6">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p>
        </w:tc>
      </w:tr>
      <w:tr w14:paraId="0E16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14:paraId="1A3B54C7">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售后服务网点</w:t>
            </w:r>
          </w:p>
        </w:tc>
        <w:tc>
          <w:tcPr>
            <w:tcW w:w="1371" w:type="dxa"/>
            <w:noWrap/>
            <w:vAlign w:val="center"/>
          </w:tcPr>
          <w:p w14:paraId="7E776367">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服务机构</w:t>
            </w:r>
          </w:p>
          <w:p w14:paraId="3965E410">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名称</w:t>
            </w:r>
          </w:p>
        </w:tc>
        <w:tc>
          <w:tcPr>
            <w:tcW w:w="4140" w:type="dxa"/>
            <w:gridSpan w:val="3"/>
            <w:noWrap/>
            <w:vAlign w:val="center"/>
          </w:tcPr>
          <w:p w14:paraId="13350E60">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　</w:t>
            </w:r>
          </w:p>
        </w:tc>
        <w:tc>
          <w:tcPr>
            <w:tcW w:w="1260" w:type="dxa"/>
            <w:noWrap/>
            <w:vAlign w:val="center"/>
          </w:tcPr>
          <w:p w14:paraId="205C0E3C">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负 责 人</w:t>
            </w:r>
          </w:p>
        </w:tc>
        <w:tc>
          <w:tcPr>
            <w:tcW w:w="1212" w:type="dxa"/>
            <w:noWrap/>
            <w:vAlign w:val="center"/>
          </w:tcPr>
          <w:p w14:paraId="2D0F7549">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　</w:t>
            </w:r>
          </w:p>
        </w:tc>
      </w:tr>
      <w:tr w14:paraId="781A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14:paraId="27EA6293">
            <w:pPr>
              <w:keepNext w:val="0"/>
              <w:keepLines w:val="0"/>
              <w:widowControl/>
              <w:suppressLineNumbers w:val="0"/>
              <w:spacing w:before="0" w:beforeAutospacing="0" w:after="0" w:afterAutospacing="0" w:line="360" w:lineRule="auto"/>
              <w:ind w:left="0" w:right="0"/>
              <w:jc w:val="left"/>
              <w:rPr>
                <w:rFonts w:hint="default" w:ascii="宋体" w:hAnsi="宋体"/>
                <w:kern w:val="0"/>
                <w:highlight w:val="none"/>
              </w:rPr>
            </w:pPr>
          </w:p>
        </w:tc>
        <w:tc>
          <w:tcPr>
            <w:tcW w:w="1371" w:type="dxa"/>
            <w:noWrap/>
            <w:vAlign w:val="center"/>
          </w:tcPr>
          <w:p w14:paraId="5C612D20">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机构地点</w:t>
            </w:r>
          </w:p>
        </w:tc>
        <w:tc>
          <w:tcPr>
            <w:tcW w:w="4140" w:type="dxa"/>
            <w:gridSpan w:val="3"/>
            <w:noWrap/>
            <w:vAlign w:val="center"/>
          </w:tcPr>
          <w:p w14:paraId="344AD989">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　</w:t>
            </w:r>
          </w:p>
        </w:tc>
        <w:tc>
          <w:tcPr>
            <w:tcW w:w="1260" w:type="dxa"/>
            <w:noWrap/>
            <w:vAlign w:val="center"/>
          </w:tcPr>
          <w:p w14:paraId="19206EA4">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联系电话</w:t>
            </w:r>
          </w:p>
        </w:tc>
        <w:tc>
          <w:tcPr>
            <w:tcW w:w="1212" w:type="dxa"/>
            <w:noWrap/>
            <w:vAlign w:val="center"/>
          </w:tcPr>
          <w:p w14:paraId="25FB3C7F">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　</w:t>
            </w:r>
          </w:p>
        </w:tc>
      </w:tr>
      <w:tr w14:paraId="5082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477" w:type="dxa"/>
            <w:noWrap/>
            <w:vAlign w:val="center"/>
          </w:tcPr>
          <w:p w14:paraId="5FBD8B84">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lang w:eastAsia="zh-CN"/>
              </w:rPr>
              <w:t>供应商</w:t>
            </w:r>
            <w:r>
              <w:rPr>
                <w:rFonts w:hint="eastAsia" w:ascii="宋体" w:hAnsi="宋体"/>
                <w:kern w:val="0"/>
                <w:highlight w:val="none"/>
              </w:rPr>
              <w:t>简介及机构设置</w:t>
            </w:r>
          </w:p>
        </w:tc>
        <w:tc>
          <w:tcPr>
            <w:tcW w:w="7983" w:type="dxa"/>
            <w:gridSpan w:val="6"/>
            <w:noWrap/>
            <w:vAlign w:val="center"/>
          </w:tcPr>
          <w:p w14:paraId="74A55984">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p>
        </w:tc>
      </w:tr>
      <w:tr w14:paraId="29AA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77" w:type="dxa"/>
            <w:noWrap/>
            <w:vAlign w:val="center"/>
          </w:tcPr>
          <w:p w14:paraId="505F4DFF">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lang w:eastAsia="zh-CN"/>
              </w:rPr>
              <w:t>供应商</w:t>
            </w:r>
            <w:r>
              <w:rPr>
                <w:rFonts w:hint="eastAsia" w:ascii="宋体" w:hAnsi="宋体"/>
                <w:kern w:val="0"/>
                <w:highlight w:val="none"/>
              </w:rPr>
              <w:t>优势及特长</w:t>
            </w:r>
          </w:p>
        </w:tc>
        <w:tc>
          <w:tcPr>
            <w:tcW w:w="7983" w:type="dxa"/>
            <w:gridSpan w:val="6"/>
            <w:noWrap/>
            <w:vAlign w:val="center"/>
          </w:tcPr>
          <w:p w14:paraId="02AFC83B">
            <w:pPr>
              <w:keepNext w:val="0"/>
              <w:keepLines w:val="0"/>
              <w:widowControl/>
              <w:suppressLineNumbers w:val="0"/>
              <w:spacing w:before="0" w:beforeAutospacing="0" w:after="0" w:afterAutospacing="0" w:line="360" w:lineRule="auto"/>
              <w:ind w:left="0" w:right="0"/>
              <w:jc w:val="center"/>
              <w:rPr>
                <w:rFonts w:hint="default" w:ascii="宋体" w:hAnsi="宋体"/>
                <w:kern w:val="0"/>
                <w:highlight w:val="none"/>
              </w:rPr>
            </w:pPr>
            <w:r>
              <w:rPr>
                <w:rFonts w:hint="eastAsia" w:ascii="宋体" w:hAnsi="宋体"/>
                <w:kern w:val="0"/>
                <w:highlight w:val="none"/>
              </w:rPr>
              <w:t>　</w:t>
            </w:r>
          </w:p>
        </w:tc>
      </w:tr>
    </w:tbl>
    <w:p w14:paraId="7279D6BF">
      <w:pPr>
        <w:spacing w:line="360" w:lineRule="auto"/>
        <w:rPr>
          <w:rFonts w:ascii="宋体" w:hAnsi="宋体"/>
          <w:bCs/>
          <w:highlight w:val="none"/>
        </w:rPr>
      </w:pPr>
      <w:r>
        <w:rPr>
          <w:rFonts w:hint="eastAsia" w:ascii="宋体" w:hAnsi="宋体"/>
          <w:bCs/>
          <w:highlight w:val="none"/>
        </w:rPr>
        <w:t>说明：</w:t>
      </w:r>
      <w:r>
        <w:rPr>
          <w:rFonts w:ascii="宋体" w:hAnsi="宋体"/>
          <w:bCs/>
          <w:highlight w:val="none"/>
        </w:rPr>
        <w:t>在填写时，如本表格不适合</w:t>
      </w:r>
      <w:r>
        <w:rPr>
          <w:rFonts w:hint="eastAsia" w:ascii="宋体" w:hAnsi="宋体"/>
          <w:bCs/>
          <w:highlight w:val="none"/>
          <w:lang w:eastAsia="zh-CN"/>
        </w:rPr>
        <w:t>供应商</w:t>
      </w:r>
      <w:r>
        <w:rPr>
          <w:rFonts w:ascii="宋体" w:hAnsi="宋体"/>
          <w:bCs/>
          <w:highlight w:val="none"/>
        </w:rPr>
        <w:t>的实际情况，可根据本表格格式自行划表填写。</w:t>
      </w:r>
    </w:p>
    <w:p w14:paraId="55F92B11">
      <w:pPr>
        <w:tabs>
          <w:tab w:val="left" w:pos="1418"/>
        </w:tabs>
        <w:spacing w:line="360" w:lineRule="auto"/>
        <w:ind w:firstLine="240" w:firstLineChars="100"/>
        <w:rPr>
          <w:rFonts w:ascii="宋体" w:hAnsi="宋体"/>
          <w:highlight w:val="none"/>
        </w:rPr>
      </w:pPr>
    </w:p>
    <w:p w14:paraId="30172E1C">
      <w:pPr>
        <w:tabs>
          <w:tab w:val="left" w:pos="1418"/>
        </w:tabs>
        <w:spacing w:line="360" w:lineRule="auto"/>
        <w:ind w:firstLine="240" w:firstLineChars="100"/>
        <w:rPr>
          <w:rFonts w:ascii="宋体" w:hAnsi="宋体"/>
          <w:bCs/>
          <w:highlight w:val="none"/>
        </w:rPr>
      </w:pPr>
      <w:r>
        <w:rPr>
          <w:rFonts w:ascii="宋体" w:hAnsi="宋体"/>
          <w:highlight w:val="none"/>
        </w:rPr>
        <w:t>法定代表人或委托代理人签名：</w:t>
      </w:r>
    </w:p>
    <w:p w14:paraId="33D74B57">
      <w:pPr>
        <w:tabs>
          <w:tab w:val="left" w:pos="1418"/>
        </w:tabs>
        <w:spacing w:line="360" w:lineRule="auto"/>
        <w:ind w:firstLine="240" w:firstLineChars="100"/>
        <w:rPr>
          <w:rFonts w:ascii="宋体" w:hAnsi="宋体"/>
          <w:highlight w:val="none"/>
        </w:rPr>
      </w:pPr>
      <w:r>
        <w:rPr>
          <w:rFonts w:hint="eastAsia" w:ascii="宋体" w:hAnsi="宋体"/>
          <w:bCs/>
          <w:highlight w:val="none"/>
          <w:lang w:val="en-US" w:eastAsia="zh-CN"/>
        </w:rPr>
        <w:t xml:space="preserve">供 应 商  </w:t>
      </w:r>
      <w:r>
        <w:rPr>
          <w:rFonts w:hint="eastAsia" w:ascii="宋体" w:hAnsi="宋体"/>
          <w:bCs/>
          <w:highlight w:val="none"/>
        </w:rPr>
        <w:t>（盖章）：                              年  月  日</w:t>
      </w:r>
    </w:p>
    <w:p w14:paraId="7D3F4C85">
      <w:pPr>
        <w:snapToGrid w:val="0"/>
        <w:spacing w:line="360" w:lineRule="auto"/>
        <w:rPr>
          <w:rFonts w:ascii="宋体" w:hAnsi="宋体"/>
          <w:highlight w:val="none"/>
        </w:rPr>
      </w:pPr>
    </w:p>
    <w:p w14:paraId="7C912DEC">
      <w:pPr>
        <w:pStyle w:val="15"/>
        <w:ind w:left="480" w:firstLine="404"/>
        <w:rPr>
          <w:highlight w:val="none"/>
        </w:rPr>
      </w:pPr>
    </w:p>
    <w:p w14:paraId="0B219EA9">
      <w:pPr>
        <w:pStyle w:val="6"/>
        <w:pageBreakBefore/>
        <w:spacing w:line="360" w:lineRule="auto"/>
        <w:jc w:val="center"/>
        <w:rPr>
          <w:rFonts w:ascii="宋体" w:hAnsi="宋体" w:cs="宋体"/>
          <w:szCs w:val="24"/>
          <w:highlight w:val="none"/>
        </w:rPr>
      </w:pPr>
      <w:r>
        <w:rPr>
          <w:rFonts w:hint="eastAsia" w:ascii="宋体" w:hAnsi="宋体" w:cs="宋体"/>
          <w:szCs w:val="24"/>
          <w:highlight w:val="none"/>
        </w:rPr>
        <w:t>诚信承诺书</w:t>
      </w:r>
    </w:p>
    <w:p w14:paraId="1403D496">
      <w:pPr>
        <w:spacing w:line="360" w:lineRule="auto"/>
        <w:rPr>
          <w:rFonts w:ascii="宋体" w:hAnsi="宋体"/>
          <w:highlight w:val="none"/>
        </w:rPr>
      </w:pPr>
      <w:r>
        <w:rPr>
          <w:rFonts w:hint="eastAsia" w:ascii="宋体" w:hAnsi="宋体"/>
          <w:highlight w:val="none"/>
        </w:rPr>
        <w:t>致：</w:t>
      </w:r>
      <w:r>
        <w:rPr>
          <w:rFonts w:hint="eastAsia" w:ascii="宋体" w:hAnsi="宋体"/>
          <w:highlight w:val="none"/>
          <w:u w:val="single"/>
          <w:lang w:eastAsia="zh-CN"/>
        </w:rPr>
        <w:t>嘉善县公共资源交易中心</w:t>
      </w:r>
      <w:r>
        <w:rPr>
          <w:rFonts w:hint="eastAsia" w:ascii="宋体" w:hAnsi="宋体"/>
          <w:highlight w:val="none"/>
        </w:rPr>
        <w:t>：</w:t>
      </w:r>
    </w:p>
    <w:p w14:paraId="63CB1094">
      <w:pPr>
        <w:spacing w:line="360" w:lineRule="auto"/>
        <w:ind w:firstLine="480" w:firstLineChars="200"/>
        <w:rPr>
          <w:rFonts w:ascii="宋体" w:hAnsi="宋体"/>
          <w:highlight w:val="none"/>
        </w:rPr>
      </w:pPr>
      <w:r>
        <w:rPr>
          <w:rFonts w:hint="eastAsia" w:ascii="宋体" w:hAnsi="宋体"/>
          <w:highlight w:val="none"/>
        </w:rPr>
        <w:t>我方在参加贵单位的</w:t>
      </w:r>
      <w:r>
        <w:rPr>
          <w:rFonts w:hint="eastAsia" w:ascii="宋体" w:hAnsi="宋体"/>
          <w:color w:val="auto"/>
          <w:sz w:val="24"/>
          <w:highlight w:val="none"/>
          <w:u w:val="single"/>
        </w:rPr>
        <w:t xml:space="preserve">                  </w:t>
      </w:r>
      <w:r>
        <w:rPr>
          <w:rFonts w:hint="eastAsia" w:ascii="宋体" w:hAnsi="宋体"/>
          <w:highlight w:val="none"/>
        </w:rPr>
        <w:t>政府采购项目的招投标活动中，郑重承诺如下：</w:t>
      </w:r>
    </w:p>
    <w:p w14:paraId="2B028893">
      <w:pPr>
        <w:spacing w:line="360" w:lineRule="auto"/>
        <w:ind w:firstLine="480" w:firstLineChars="200"/>
        <w:rPr>
          <w:rFonts w:ascii="宋体" w:hAnsi="宋体"/>
          <w:highlight w:val="none"/>
        </w:rPr>
      </w:pPr>
      <w:r>
        <w:rPr>
          <w:rFonts w:hint="eastAsia" w:ascii="宋体" w:hAnsi="宋体"/>
          <w:highlight w:val="none"/>
        </w:rPr>
        <w:t>1、我方申报的所有资料都是真实、准确、完整的；</w:t>
      </w:r>
    </w:p>
    <w:p w14:paraId="6D6C93FC">
      <w:pPr>
        <w:spacing w:line="360" w:lineRule="auto"/>
        <w:ind w:firstLine="480" w:firstLineChars="200"/>
        <w:rPr>
          <w:rFonts w:ascii="宋体" w:hAnsi="宋体"/>
          <w:highlight w:val="none"/>
        </w:rPr>
      </w:pPr>
      <w:r>
        <w:rPr>
          <w:rFonts w:hint="eastAsia" w:ascii="宋体" w:hAnsi="宋体"/>
          <w:highlight w:val="none"/>
        </w:rPr>
        <w:t>2、我方无资质挂靠情形，保证不参与串标、围标及抬标；</w:t>
      </w:r>
    </w:p>
    <w:p w14:paraId="1A9C5A7F">
      <w:pPr>
        <w:spacing w:line="360" w:lineRule="auto"/>
        <w:ind w:firstLine="480" w:firstLineChars="200"/>
        <w:rPr>
          <w:rFonts w:ascii="宋体" w:hAnsi="宋体"/>
          <w:highlight w:val="none"/>
        </w:rPr>
      </w:pPr>
      <w:r>
        <w:rPr>
          <w:rFonts w:hint="eastAsia" w:ascii="宋体" w:hAnsi="宋体"/>
          <w:highlight w:val="none"/>
        </w:rPr>
        <w:t>3、我方未处于被各级行政主管部门做出停止市场行为处罚的期限内；</w:t>
      </w:r>
    </w:p>
    <w:p w14:paraId="4A031AB5">
      <w:pPr>
        <w:spacing w:line="360" w:lineRule="auto"/>
        <w:ind w:firstLine="480" w:firstLineChars="200"/>
        <w:rPr>
          <w:rFonts w:ascii="宋体" w:hAnsi="宋体"/>
          <w:highlight w:val="none"/>
        </w:rPr>
      </w:pPr>
      <w:r>
        <w:rPr>
          <w:rFonts w:hint="eastAsia" w:ascii="宋体" w:hAnsi="宋体"/>
          <w:highlight w:val="none"/>
        </w:rPr>
        <w:t>4、我方参加本项目政府采购活动前3年内在经营活动中没有重大违法记录；</w:t>
      </w:r>
    </w:p>
    <w:p w14:paraId="1F4FC1F8">
      <w:pPr>
        <w:spacing w:line="360" w:lineRule="auto"/>
        <w:ind w:firstLine="480" w:firstLineChars="200"/>
        <w:rPr>
          <w:rFonts w:ascii="宋体" w:hAnsi="宋体"/>
          <w:highlight w:val="none"/>
        </w:rPr>
      </w:pPr>
      <w:r>
        <w:rPr>
          <w:rFonts w:hint="eastAsia" w:ascii="宋体" w:hAnsi="宋体"/>
          <w:highlight w:val="none"/>
        </w:rPr>
        <w:t>5、若我方中标，将严格按照规定及时与采购人签订合同；</w:t>
      </w:r>
    </w:p>
    <w:p w14:paraId="0724C073">
      <w:pPr>
        <w:spacing w:line="360" w:lineRule="auto"/>
        <w:ind w:firstLine="480" w:firstLineChars="200"/>
        <w:rPr>
          <w:rFonts w:ascii="宋体" w:hAnsi="宋体"/>
          <w:highlight w:val="none"/>
        </w:rPr>
      </w:pPr>
      <w:r>
        <w:rPr>
          <w:rFonts w:hint="eastAsia" w:ascii="宋体" w:hAnsi="宋体"/>
          <w:highlight w:val="none"/>
        </w:rPr>
        <w:t>6、若我方中标，将严格按照</w:t>
      </w:r>
      <w:r>
        <w:rPr>
          <w:rFonts w:hint="eastAsia" w:ascii="宋体" w:hAnsi="宋体"/>
          <w:highlight w:val="none"/>
          <w:lang w:eastAsia="zh-CN"/>
        </w:rPr>
        <w:t>征集文件</w:t>
      </w:r>
      <w:r>
        <w:rPr>
          <w:rFonts w:hint="eastAsia" w:ascii="宋体" w:hAnsi="宋体"/>
          <w:highlight w:val="none"/>
        </w:rPr>
        <w:t>要求及响应文件承诺的报价、质量、工期、供应商案、项目负责人等内容组织实施；</w:t>
      </w:r>
    </w:p>
    <w:p w14:paraId="154D93C5">
      <w:pPr>
        <w:spacing w:line="360" w:lineRule="auto"/>
        <w:ind w:firstLine="480" w:firstLineChars="200"/>
        <w:rPr>
          <w:rFonts w:ascii="宋体" w:hAnsi="宋体"/>
          <w:highlight w:val="none"/>
        </w:rPr>
      </w:pPr>
      <w:r>
        <w:rPr>
          <w:rFonts w:hint="eastAsia" w:ascii="宋体" w:hAnsi="宋体"/>
          <w:highlight w:val="none"/>
        </w:rPr>
        <w:t>我方若违反上述承诺，隐瞒、提供虚假资料或不按</w:t>
      </w:r>
      <w:r>
        <w:rPr>
          <w:rFonts w:hint="eastAsia" w:ascii="宋体" w:hAnsi="宋体"/>
          <w:highlight w:val="none"/>
          <w:lang w:eastAsia="zh-CN"/>
        </w:rPr>
        <w:t>征集文件</w:t>
      </w:r>
      <w:r>
        <w:rPr>
          <w:rFonts w:hint="eastAsia" w:ascii="宋体" w:hAnsi="宋体"/>
          <w:highlight w:val="none"/>
        </w:rPr>
        <w:t>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22B2F5BD">
      <w:pPr>
        <w:spacing w:line="360" w:lineRule="auto"/>
        <w:ind w:firstLine="480" w:firstLineChars="200"/>
        <w:rPr>
          <w:rFonts w:ascii="宋体" w:hAnsi="宋体"/>
          <w:highlight w:val="none"/>
        </w:rPr>
      </w:pPr>
      <w:r>
        <w:rPr>
          <w:rFonts w:hint="eastAsia" w:ascii="宋体" w:hAnsi="宋体"/>
          <w:highlight w:val="none"/>
        </w:rPr>
        <w:t>特此承诺。</w:t>
      </w:r>
    </w:p>
    <w:p w14:paraId="65551CCD">
      <w:pPr>
        <w:tabs>
          <w:tab w:val="left" w:pos="1418"/>
        </w:tabs>
        <w:spacing w:line="360" w:lineRule="auto"/>
        <w:ind w:firstLine="480" w:firstLineChars="200"/>
        <w:rPr>
          <w:rFonts w:hint="eastAsia" w:ascii="宋体" w:hAnsi="宋体"/>
          <w:highlight w:val="none"/>
        </w:rPr>
      </w:pPr>
    </w:p>
    <w:p w14:paraId="35AD57D8">
      <w:pPr>
        <w:tabs>
          <w:tab w:val="left" w:pos="1418"/>
        </w:tabs>
        <w:spacing w:line="360" w:lineRule="auto"/>
        <w:ind w:firstLine="480" w:firstLineChars="200"/>
        <w:rPr>
          <w:rFonts w:ascii="宋体" w:hAnsi="宋体"/>
          <w:bCs/>
          <w:highlight w:val="none"/>
        </w:rPr>
      </w:pPr>
      <w:r>
        <w:rPr>
          <w:rFonts w:hint="eastAsia" w:ascii="宋体" w:hAnsi="宋体"/>
          <w:highlight w:val="none"/>
        </w:rPr>
        <w:t>法定代表人或委托代理人签名：</w:t>
      </w:r>
    </w:p>
    <w:p w14:paraId="63533592">
      <w:pPr>
        <w:tabs>
          <w:tab w:val="left" w:pos="1418"/>
        </w:tabs>
        <w:spacing w:line="360" w:lineRule="auto"/>
        <w:rPr>
          <w:rFonts w:ascii="宋体" w:hAnsi="宋体"/>
          <w:bCs/>
          <w:highlight w:val="none"/>
        </w:rPr>
      </w:pPr>
      <w:r>
        <w:rPr>
          <w:rFonts w:hint="eastAsia" w:ascii="宋体" w:hAnsi="宋体"/>
          <w:bCs/>
          <w:highlight w:val="none"/>
        </w:rPr>
        <w:t xml:space="preserve">   </w:t>
      </w:r>
      <w:r>
        <w:rPr>
          <w:rFonts w:hint="eastAsia" w:ascii="宋体" w:hAnsi="宋体"/>
          <w:bCs/>
          <w:highlight w:val="none"/>
          <w:lang w:val="en-US" w:eastAsia="zh-CN"/>
        </w:rPr>
        <w:t xml:space="preserve"> 供 应 商  </w:t>
      </w:r>
      <w:r>
        <w:rPr>
          <w:rFonts w:hint="eastAsia" w:ascii="宋体" w:hAnsi="宋体"/>
          <w:bCs/>
          <w:highlight w:val="none"/>
        </w:rPr>
        <w:t>（盖章）：                              年  月  日</w:t>
      </w:r>
    </w:p>
    <w:p w14:paraId="065B021E">
      <w:pPr>
        <w:tabs>
          <w:tab w:val="left" w:pos="1418"/>
        </w:tabs>
        <w:spacing w:line="360" w:lineRule="auto"/>
        <w:rPr>
          <w:rFonts w:ascii="宋体" w:hAnsi="宋体"/>
          <w:bCs/>
          <w:highlight w:val="none"/>
        </w:rPr>
      </w:pPr>
    </w:p>
    <w:p w14:paraId="33E67BE3">
      <w:pPr>
        <w:tabs>
          <w:tab w:val="left" w:pos="1418"/>
        </w:tabs>
        <w:spacing w:line="360" w:lineRule="auto"/>
        <w:rPr>
          <w:rFonts w:ascii="宋体" w:hAnsi="宋体"/>
          <w:bCs/>
          <w:highlight w:val="none"/>
        </w:rPr>
      </w:pPr>
    </w:p>
    <w:p w14:paraId="09B6626C">
      <w:pPr>
        <w:tabs>
          <w:tab w:val="left" w:pos="1418"/>
        </w:tabs>
        <w:spacing w:line="360" w:lineRule="auto"/>
        <w:rPr>
          <w:rFonts w:ascii="宋体" w:hAnsi="宋体"/>
          <w:bCs/>
          <w:highlight w:val="none"/>
        </w:rPr>
      </w:pPr>
    </w:p>
    <w:p w14:paraId="72309737">
      <w:pPr>
        <w:tabs>
          <w:tab w:val="left" w:pos="1418"/>
        </w:tabs>
        <w:spacing w:line="360" w:lineRule="auto"/>
        <w:rPr>
          <w:rFonts w:ascii="宋体" w:hAnsi="宋体"/>
          <w:bCs/>
          <w:highlight w:val="none"/>
        </w:rPr>
      </w:pPr>
    </w:p>
    <w:p w14:paraId="0823A16C">
      <w:pPr>
        <w:tabs>
          <w:tab w:val="left" w:pos="1418"/>
        </w:tabs>
        <w:spacing w:line="360" w:lineRule="auto"/>
        <w:rPr>
          <w:rFonts w:ascii="宋体" w:hAnsi="宋体"/>
          <w:bCs/>
          <w:highlight w:val="none"/>
        </w:rPr>
      </w:pPr>
    </w:p>
    <w:p w14:paraId="318CD5D0">
      <w:pPr>
        <w:pStyle w:val="15"/>
        <w:spacing w:line="360" w:lineRule="auto"/>
        <w:ind w:left="480" w:firstLine="464"/>
        <w:rPr>
          <w:rFonts w:hAnsi="宋体" w:cs="宋体"/>
          <w:bCs/>
          <w:sz w:val="24"/>
          <w:highlight w:val="none"/>
        </w:rPr>
      </w:pPr>
    </w:p>
    <w:p w14:paraId="58A26EA9">
      <w:pPr>
        <w:pStyle w:val="15"/>
        <w:spacing w:line="360" w:lineRule="auto"/>
        <w:ind w:left="480" w:firstLine="464"/>
        <w:rPr>
          <w:rFonts w:hAnsi="宋体" w:cs="宋体"/>
          <w:bCs/>
          <w:sz w:val="24"/>
          <w:highlight w:val="none"/>
        </w:rPr>
      </w:pPr>
    </w:p>
    <w:p w14:paraId="091372B6">
      <w:pPr>
        <w:rPr>
          <w:rFonts w:ascii="宋体" w:hAnsi="宋体"/>
          <w:bCs/>
          <w:highlight w:val="none"/>
        </w:rPr>
      </w:pPr>
    </w:p>
    <w:p w14:paraId="41A8990C">
      <w:pPr>
        <w:pStyle w:val="15"/>
        <w:ind w:left="480" w:firstLine="404"/>
        <w:rPr>
          <w:highlight w:val="none"/>
        </w:rPr>
      </w:pPr>
    </w:p>
    <w:p w14:paraId="100D7382">
      <w:pPr>
        <w:pStyle w:val="15"/>
        <w:spacing w:line="360" w:lineRule="auto"/>
        <w:ind w:left="480" w:firstLine="464"/>
        <w:rPr>
          <w:rFonts w:hAnsi="宋体" w:cs="宋体"/>
          <w:bCs/>
          <w:sz w:val="24"/>
          <w:highlight w:val="none"/>
        </w:rPr>
      </w:pPr>
    </w:p>
    <w:p w14:paraId="52F0E2C7">
      <w:pPr>
        <w:pStyle w:val="15"/>
        <w:spacing w:line="360" w:lineRule="auto"/>
        <w:ind w:left="0" w:leftChars="0" w:firstLine="0" w:firstLineChars="0"/>
        <w:rPr>
          <w:rFonts w:hAnsi="宋体" w:cs="宋体"/>
          <w:bCs/>
          <w:sz w:val="24"/>
          <w:highlight w:val="none"/>
        </w:rPr>
      </w:pPr>
    </w:p>
    <w:p w14:paraId="7FE8CE1C">
      <w:pPr>
        <w:pStyle w:val="18"/>
        <w:keepNext/>
        <w:pageBreakBefore/>
        <w:spacing w:before="120" w:after="120" w:line="360" w:lineRule="auto"/>
        <w:jc w:val="center"/>
        <w:rPr>
          <w:rFonts w:hAnsi="宋体" w:cs="宋体"/>
          <w:b/>
          <w:highlight w:val="none"/>
        </w:rPr>
      </w:pPr>
      <w:r>
        <w:rPr>
          <w:rFonts w:hint="eastAsia" w:hAnsi="宋体" w:cs="宋体"/>
          <w:b/>
          <w:highlight w:val="none"/>
        </w:rPr>
        <w:t>商务技术响应表</w:t>
      </w:r>
    </w:p>
    <w:p w14:paraId="161AC40B">
      <w:pPr>
        <w:spacing w:line="360" w:lineRule="auto"/>
        <w:ind w:firstLine="240" w:firstLineChars="100"/>
        <w:rPr>
          <w:rFonts w:ascii="宋体" w:hAnsi="宋体"/>
          <w:highlight w:val="none"/>
        </w:rPr>
      </w:pPr>
      <w:r>
        <w:rPr>
          <w:rFonts w:hint="eastAsia" w:ascii="宋体" w:hAnsi="宋体"/>
          <w:highlight w:val="none"/>
        </w:rPr>
        <w:t>单位名称（盖章）：</w:t>
      </w:r>
    </w:p>
    <w:tbl>
      <w:tblPr>
        <w:tblStyle w:val="32"/>
        <w:tblW w:w="8493"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14:paraId="114B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14:paraId="376D6BD3">
            <w:pPr>
              <w:keepNext w:val="0"/>
              <w:keepLines w:val="0"/>
              <w:suppressLineNumbers w:val="0"/>
              <w:spacing w:before="240" w:beforeAutospacing="0" w:after="240" w:afterAutospacing="0" w:line="360" w:lineRule="auto"/>
              <w:ind w:left="0" w:right="0"/>
              <w:jc w:val="center"/>
              <w:rPr>
                <w:rFonts w:hint="default" w:ascii="宋体" w:hAnsi="宋体"/>
                <w:highlight w:val="none"/>
              </w:rPr>
            </w:pPr>
            <w:r>
              <w:rPr>
                <w:rFonts w:hint="eastAsia" w:ascii="宋体" w:hAnsi="宋体"/>
                <w:highlight w:val="none"/>
              </w:rPr>
              <w:t>序号</w:t>
            </w:r>
          </w:p>
        </w:tc>
        <w:tc>
          <w:tcPr>
            <w:tcW w:w="3086" w:type="dxa"/>
            <w:noWrap/>
          </w:tcPr>
          <w:p w14:paraId="0674E6EA">
            <w:pPr>
              <w:keepNext w:val="0"/>
              <w:keepLines w:val="0"/>
              <w:suppressLineNumbers w:val="0"/>
              <w:spacing w:before="240" w:beforeAutospacing="0" w:after="240" w:afterAutospacing="0" w:line="360" w:lineRule="auto"/>
              <w:ind w:left="0" w:right="0"/>
              <w:jc w:val="center"/>
              <w:rPr>
                <w:rFonts w:hint="default" w:ascii="宋体" w:hAnsi="宋体"/>
                <w:highlight w:val="none"/>
              </w:rPr>
            </w:pPr>
            <w:r>
              <w:rPr>
                <w:rFonts w:hint="eastAsia" w:ascii="宋体" w:hAnsi="宋体"/>
                <w:highlight w:val="none"/>
              </w:rPr>
              <w:t>征集文件的规定</w:t>
            </w:r>
          </w:p>
        </w:tc>
        <w:tc>
          <w:tcPr>
            <w:tcW w:w="3086" w:type="dxa"/>
            <w:noWrap/>
          </w:tcPr>
          <w:p w14:paraId="7FB6661D">
            <w:pPr>
              <w:keepNext w:val="0"/>
              <w:keepLines w:val="0"/>
              <w:suppressLineNumbers w:val="0"/>
              <w:spacing w:before="240" w:beforeAutospacing="0" w:after="240" w:afterAutospacing="0" w:line="360" w:lineRule="auto"/>
              <w:ind w:left="0" w:right="0"/>
              <w:jc w:val="center"/>
              <w:rPr>
                <w:rFonts w:hint="default" w:ascii="宋体" w:hAnsi="宋体"/>
                <w:highlight w:val="none"/>
              </w:rPr>
            </w:pPr>
            <w:r>
              <w:rPr>
                <w:rFonts w:hint="eastAsia" w:ascii="宋体" w:hAnsi="宋体"/>
                <w:highlight w:val="none"/>
              </w:rPr>
              <w:t>响应文件的响应</w:t>
            </w:r>
          </w:p>
        </w:tc>
        <w:tc>
          <w:tcPr>
            <w:tcW w:w="1411" w:type="dxa"/>
            <w:noWrap/>
          </w:tcPr>
          <w:p w14:paraId="77614210">
            <w:pPr>
              <w:keepNext w:val="0"/>
              <w:keepLines w:val="0"/>
              <w:suppressLineNumbers w:val="0"/>
              <w:spacing w:before="240" w:beforeAutospacing="0" w:after="240" w:afterAutospacing="0" w:line="360" w:lineRule="auto"/>
              <w:ind w:left="0" w:right="0"/>
              <w:jc w:val="center"/>
              <w:rPr>
                <w:rFonts w:hint="default" w:ascii="宋体" w:hAnsi="宋体"/>
                <w:highlight w:val="none"/>
              </w:rPr>
            </w:pPr>
            <w:r>
              <w:rPr>
                <w:rFonts w:hint="eastAsia" w:ascii="宋体" w:hAnsi="宋体"/>
                <w:highlight w:val="none"/>
              </w:rPr>
              <w:t>偏离说明</w:t>
            </w:r>
          </w:p>
        </w:tc>
      </w:tr>
      <w:tr w14:paraId="4979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14:paraId="76A71534">
            <w:pPr>
              <w:keepNext w:val="0"/>
              <w:keepLines w:val="0"/>
              <w:suppressLineNumbers w:val="0"/>
              <w:spacing w:before="240" w:beforeAutospacing="0" w:after="240" w:afterAutospacing="0" w:line="360" w:lineRule="auto"/>
              <w:ind w:left="0" w:right="0"/>
              <w:rPr>
                <w:rFonts w:hint="default" w:ascii="宋体" w:hAnsi="宋体"/>
                <w:highlight w:val="none"/>
              </w:rPr>
            </w:pPr>
          </w:p>
        </w:tc>
        <w:tc>
          <w:tcPr>
            <w:tcW w:w="3086" w:type="dxa"/>
            <w:noWrap/>
          </w:tcPr>
          <w:p w14:paraId="23565017">
            <w:pPr>
              <w:keepNext w:val="0"/>
              <w:keepLines w:val="0"/>
              <w:suppressLineNumbers w:val="0"/>
              <w:spacing w:before="240" w:beforeAutospacing="0" w:after="240" w:afterAutospacing="0" w:line="360" w:lineRule="auto"/>
              <w:ind w:left="0" w:right="0"/>
              <w:rPr>
                <w:rFonts w:hint="default" w:ascii="宋体" w:hAnsi="宋体"/>
                <w:highlight w:val="none"/>
              </w:rPr>
            </w:pPr>
          </w:p>
        </w:tc>
        <w:tc>
          <w:tcPr>
            <w:tcW w:w="3086" w:type="dxa"/>
            <w:noWrap/>
          </w:tcPr>
          <w:p w14:paraId="42B8AF2D">
            <w:pPr>
              <w:keepNext w:val="0"/>
              <w:keepLines w:val="0"/>
              <w:suppressLineNumbers w:val="0"/>
              <w:spacing w:before="240" w:beforeAutospacing="0" w:after="240" w:afterAutospacing="0" w:line="360" w:lineRule="auto"/>
              <w:ind w:left="0" w:right="0"/>
              <w:rPr>
                <w:rFonts w:hint="default" w:ascii="宋体" w:hAnsi="宋体"/>
                <w:highlight w:val="none"/>
              </w:rPr>
            </w:pPr>
          </w:p>
        </w:tc>
        <w:tc>
          <w:tcPr>
            <w:tcW w:w="1411" w:type="dxa"/>
            <w:noWrap/>
          </w:tcPr>
          <w:p w14:paraId="593EE5C9">
            <w:pPr>
              <w:keepNext w:val="0"/>
              <w:keepLines w:val="0"/>
              <w:suppressLineNumbers w:val="0"/>
              <w:spacing w:before="240" w:beforeAutospacing="0" w:after="240" w:afterAutospacing="0" w:line="360" w:lineRule="auto"/>
              <w:ind w:left="0" w:right="0"/>
              <w:rPr>
                <w:rFonts w:hint="default" w:ascii="宋体" w:hAnsi="宋体"/>
                <w:highlight w:val="none"/>
              </w:rPr>
            </w:pPr>
          </w:p>
        </w:tc>
      </w:tr>
      <w:tr w14:paraId="2A14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14:paraId="5B7A3563">
            <w:pPr>
              <w:keepNext w:val="0"/>
              <w:keepLines w:val="0"/>
              <w:suppressLineNumbers w:val="0"/>
              <w:spacing w:before="240" w:beforeAutospacing="0" w:after="240" w:afterAutospacing="0" w:line="360" w:lineRule="auto"/>
              <w:ind w:left="0" w:right="0"/>
              <w:rPr>
                <w:rFonts w:hint="default" w:ascii="宋体" w:hAnsi="宋体"/>
                <w:highlight w:val="none"/>
              </w:rPr>
            </w:pPr>
          </w:p>
        </w:tc>
        <w:tc>
          <w:tcPr>
            <w:tcW w:w="3086" w:type="dxa"/>
            <w:noWrap/>
          </w:tcPr>
          <w:p w14:paraId="4FBA1B9D">
            <w:pPr>
              <w:keepNext w:val="0"/>
              <w:keepLines w:val="0"/>
              <w:suppressLineNumbers w:val="0"/>
              <w:spacing w:before="240" w:beforeAutospacing="0" w:after="240" w:afterAutospacing="0" w:line="360" w:lineRule="auto"/>
              <w:ind w:left="0" w:right="0"/>
              <w:rPr>
                <w:rFonts w:hint="default" w:ascii="宋体" w:hAnsi="宋体"/>
                <w:highlight w:val="none"/>
              </w:rPr>
            </w:pPr>
          </w:p>
        </w:tc>
        <w:tc>
          <w:tcPr>
            <w:tcW w:w="3086" w:type="dxa"/>
            <w:noWrap/>
          </w:tcPr>
          <w:p w14:paraId="6B3378CA">
            <w:pPr>
              <w:keepNext w:val="0"/>
              <w:keepLines w:val="0"/>
              <w:suppressLineNumbers w:val="0"/>
              <w:spacing w:before="240" w:beforeAutospacing="0" w:after="240" w:afterAutospacing="0" w:line="360" w:lineRule="auto"/>
              <w:ind w:left="0" w:right="0"/>
              <w:rPr>
                <w:rFonts w:hint="default" w:ascii="宋体" w:hAnsi="宋体"/>
                <w:highlight w:val="none"/>
              </w:rPr>
            </w:pPr>
          </w:p>
        </w:tc>
        <w:tc>
          <w:tcPr>
            <w:tcW w:w="1411" w:type="dxa"/>
            <w:noWrap/>
          </w:tcPr>
          <w:p w14:paraId="2E51AC00">
            <w:pPr>
              <w:keepNext w:val="0"/>
              <w:keepLines w:val="0"/>
              <w:suppressLineNumbers w:val="0"/>
              <w:spacing w:before="240" w:beforeAutospacing="0" w:after="240" w:afterAutospacing="0" w:line="360" w:lineRule="auto"/>
              <w:ind w:left="0" w:right="0"/>
              <w:rPr>
                <w:rFonts w:hint="default" w:ascii="宋体" w:hAnsi="宋体"/>
                <w:highlight w:val="none"/>
              </w:rPr>
            </w:pPr>
          </w:p>
        </w:tc>
      </w:tr>
    </w:tbl>
    <w:p w14:paraId="3BFD535C">
      <w:pPr>
        <w:spacing w:line="360" w:lineRule="auto"/>
        <w:rPr>
          <w:rFonts w:ascii="宋体" w:hAnsi="宋体"/>
          <w:highlight w:val="none"/>
        </w:rPr>
      </w:pPr>
      <w:r>
        <w:rPr>
          <w:rFonts w:hint="eastAsia" w:ascii="宋体" w:hAnsi="宋体"/>
          <w:highlight w:val="none"/>
        </w:rPr>
        <w:t>注：供应商的响应文件与征集文件之规定存在偏离的，应在此表中如实说明。未在上表中说明的，将被认为完全响应征集文件的规定。</w:t>
      </w:r>
    </w:p>
    <w:p w14:paraId="6FC2A2CE">
      <w:pPr>
        <w:spacing w:line="360" w:lineRule="auto"/>
        <w:rPr>
          <w:rFonts w:ascii="宋体" w:hAnsi="宋体"/>
          <w:highlight w:val="none"/>
        </w:rPr>
      </w:pPr>
    </w:p>
    <w:p w14:paraId="7DC39B31">
      <w:pPr>
        <w:tabs>
          <w:tab w:val="left" w:pos="1418"/>
        </w:tabs>
        <w:spacing w:line="360" w:lineRule="auto"/>
        <w:rPr>
          <w:rFonts w:ascii="宋体" w:hAnsi="宋体"/>
          <w:bCs/>
          <w:highlight w:val="none"/>
        </w:rPr>
      </w:pPr>
      <w:r>
        <w:rPr>
          <w:rFonts w:hint="eastAsia" w:ascii="宋体" w:hAnsi="宋体"/>
          <w:highlight w:val="none"/>
        </w:rPr>
        <w:t>法定代表人或委托代理人签名：</w:t>
      </w:r>
    </w:p>
    <w:p w14:paraId="180C757E">
      <w:pPr>
        <w:tabs>
          <w:tab w:val="left" w:pos="1418"/>
        </w:tabs>
        <w:spacing w:line="360" w:lineRule="auto"/>
        <w:rPr>
          <w:rFonts w:ascii="宋体" w:hAnsi="宋体"/>
          <w:bCs/>
          <w:highlight w:val="none"/>
        </w:rPr>
      </w:pPr>
      <w:r>
        <w:rPr>
          <w:rFonts w:hint="eastAsia" w:ascii="宋体" w:hAnsi="宋体"/>
          <w:bCs/>
          <w:highlight w:val="none"/>
          <w:lang w:val="en-US" w:eastAsia="zh-CN"/>
        </w:rPr>
        <w:t xml:space="preserve">供 应 商  </w:t>
      </w:r>
      <w:r>
        <w:rPr>
          <w:rFonts w:hint="eastAsia" w:ascii="宋体" w:hAnsi="宋体"/>
          <w:bCs/>
          <w:highlight w:val="none"/>
        </w:rPr>
        <w:t>（盖章）：                              年  月  日</w:t>
      </w:r>
    </w:p>
    <w:p w14:paraId="18C9DF75">
      <w:pPr>
        <w:pStyle w:val="15"/>
        <w:spacing w:line="360" w:lineRule="auto"/>
        <w:ind w:left="480" w:firstLine="464"/>
        <w:rPr>
          <w:rFonts w:hAnsi="宋体" w:cs="宋体"/>
          <w:bCs/>
          <w:sz w:val="24"/>
          <w:highlight w:val="none"/>
        </w:rPr>
      </w:pPr>
    </w:p>
    <w:p w14:paraId="1D46424E">
      <w:pPr>
        <w:pStyle w:val="15"/>
        <w:spacing w:line="360" w:lineRule="auto"/>
        <w:ind w:left="480" w:firstLine="464"/>
        <w:rPr>
          <w:rFonts w:hAnsi="宋体" w:cs="宋体"/>
          <w:bCs/>
          <w:sz w:val="24"/>
          <w:highlight w:val="none"/>
        </w:rPr>
      </w:pPr>
    </w:p>
    <w:p w14:paraId="45DC4916">
      <w:pPr>
        <w:pStyle w:val="15"/>
        <w:spacing w:line="360" w:lineRule="auto"/>
        <w:ind w:left="480" w:firstLine="464"/>
        <w:rPr>
          <w:rFonts w:hAnsi="宋体" w:cs="宋体"/>
          <w:bCs/>
          <w:sz w:val="24"/>
          <w:highlight w:val="none"/>
        </w:rPr>
      </w:pPr>
    </w:p>
    <w:p w14:paraId="6A2528F5">
      <w:pPr>
        <w:pStyle w:val="15"/>
        <w:spacing w:line="360" w:lineRule="auto"/>
        <w:ind w:left="480" w:firstLine="464"/>
        <w:rPr>
          <w:rFonts w:hAnsi="宋体" w:cs="宋体"/>
          <w:bCs/>
          <w:sz w:val="24"/>
          <w:highlight w:val="none"/>
        </w:rPr>
      </w:pPr>
    </w:p>
    <w:p w14:paraId="6F9D5473">
      <w:pPr>
        <w:pStyle w:val="15"/>
        <w:spacing w:line="360" w:lineRule="auto"/>
        <w:ind w:left="480" w:firstLine="464"/>
        <w:rPr>
          <w:rFonts w:hAnsi="宋体" w:cs="宋体"/>
          <w:bCs/>
          <w:sz w:val="24"/>
          <w:highlight w:val="none"/>
        </w:rPr>
      </w:pPr>
    </w:p>
    <w:p w14:paraId="1614A099">
      <w:pPr>
        <w:pStyle w:val="15"/>
        <w:spacing w:line="360" w:lineRule="auto"/>
        <w:ind w:left="480" w:firstLine="464"/>
        <w:rPr>
          <w:rFonts w:hAnsi="宋体" w:cs="宋体"/>
          <w:bCs/>
          <w:sz w:val="24"/>
          <w:highlight w:val="none"/>
        </w:rPr>
      </w:pPr>
    </w:p>
    <w:p w14:paraId="296EF1D0">
      <w:pPr>
        <w:pStyle w:val="15"/>
        <w:spacing w:line="360" w:lineRule="auto"/>
        <w:ind w:left="480" w:firstLine="464"/>
        <w:rPr>
          <w:rFonts w:hAnsi="宋体" w:cs="宋体"/>
          <w:bCs/>
          <w:sz w:val="24"/>
          <w:highlight w:val="none"/>
        </w:rPr>
      </w:pPr>
    </w:p>
    <w:p w14:paraId="28207573">
      <w:pPr>
        <w:pStyle w:val="15"/>
        <w:spacing w:line="360" w:lineRule="auto"/>
        <w:ind w:left="480" w:firstLine="464"/>
        <w:rPr>
          <w:rFonts w:hAnsi="宋体" w:cs="宋体"/>
          <w:bCs/>
          <w:sz w:val="24"/>
          <w:highlight w:val="none"/>
        </w:rPr>
      </w:pPr>
    </w:p>
    <w:p w14:paraId="307EFCF0">
      <w:pPr>
        <w:pStyle w:val="15"/>
        <w:spacing w:line="360" w:lineRule="auto"/>
        <w:ind w:left="480" w:firstLine="464"/>
        <w:rPr>
          <w:rFonts w:hAnsi="宋体" w:cs="宋体"/>
          <w:bCs/>
          <w:sz w:val="24"/>
          <w:highlight w:val="none"/>
        </w:rPr>
      </w:pPr>
    </w:p>
    <w:p w14:paraId="0DD083DA">
      <w:pPr>
        <w:pStyle w:val="15"/>
        <w:spacing w:line="360" w:lineRule="auto"/>
        <w:ind w:left="480" w:firstLine="464"/>
        <w:rPr>
          <w:rFonts w:hAnsi="宋体" w:cs="宋体"/>
          <w:bCs/>
          <w:sz w:val="24"/>
          <w:highlight w:val="none"/>
        </w:rPr>
      </w:pPr>
    </w:p>
    <w:p w14:paraId="42D3C6D5">
      <w:pPr>
        <w:pStyle w:val="15"/>
        <w:spacing w:line="360" w:lineRule="auto"/>
        <w:ind w:left="480" w:firstLine="464"/>
        <w:rPr>
          <w:rFonts w:hAnsi="宋体" w:cs="宋体"/>
          <w:bCs/>
          <w:sz w:val="24"/>
          <w:highlight w:val="none"/>
        </w:rPr>
      </w:pPr>
    </w:p>
    <w:p w14:paraId="112F4E00">
      <w:pPr>
        <w:pStyle w:val="15"/>
        <w:spacing w:line="360" w:lineRule="auto"/>
        <w:ind w:left="480" w:firstLine="464"/>
        <w:rPr>
          <w:rFonts w:hAnsi="宋体" w:cs="宋体"/>
          <w:bCs/>
          <w:sz w:val="24"/>
          <w:highlight w:val="none"/>
        </w:rPr>
      </w:pPr>
    </w:p>
    <w:p w14:paraId="237D371B">
      <w:pPr>
        <w:keepNext/>
        <w:keepLines w:val="0"/>
        <w:pageBreakBefore/>
        <w:kinsoku/>
        <w:wordWrap/>
        <w:overflowPunct/>
        <w:topLinePunct w:val="0"/>
        <w:autoSpaceDE/>
        <w:autoSpaceDN/>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snapToGrid w:val="0"/>
          <w:color w:val="auto"/>
          <w:sz w:val="24"/>
          <w:szCs w:val="24"/>
          <w:highlight w:val="none"/>
        </w:rPr>
        <w:t>拟派</w:t>
      </w:r>
      <w:r>
        <w:rPr>
          <w:rFonts w:hint="eastAsia" w:ascii="宋体" w:hAnsi="宋体" w:cs="宋体"/>
          <w:b/>
          <w:snapToGrid w:val="0"/>
          <w:color w:val="auto"/>
          <w:sz w:val="24"/>
          <w:szCs w:val="24"/>
          <w:highlight w:val="none"/>
          <w:lang w:val="en-US" w:eastAsia="zh-CN"/>
        </w:rPr>
        <w:t>项目</w:t>
      </w:r>
      <w:r>
        <w:rPr>
          <w:rFonts w:hint="eastAsia" w:ascii="宋体" w:hAnsi="宋体" w:eastAsia="宋体" w:cs="宋体"/>
          <w:b/>
          <w:snapToGrid w:val="0"/>
          <w:color w:val="auto"/>
          <w:sz w:val="24"/>
          <w:szCs w:val="24"/>
          <w:highlight w:val="none"/>
        </w:rPr>
        <w:t>负责人简历表</w:t>
      </w:r>
    </w:p>
    <w:tbl>
      <w:tblPr>
        <w:tblStyle w:val="32"/>
        <w:tblpPr w:leftFromText="180" w:rightFromText="180" w:vertAnchor="text" w:horzAnchor="margin" w:tblpXSpec="center" w:tblpY="211"/>
        <w:tblW w:w="870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4"/>
        <w:gridCol w:w="1500"/>
        <w:gridCol w:w="1901"/>
        <w:gridCol w:w="1851"/>
        <w:gridCol w:w="2564"/>
      </w:tblGrid>
      <w:tr w14:paraId="1254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2384" w:type="dxa"/>
            <w:gridSpan w:val="2"/>
            <w:tcBorders>
              <w:top w:val="single" w:color="000000" w:sz="8" w:space="0"/>
              <w:left w:val="single" w:color="000000" w:sz="8" w:space="0"/>
              <w:bottom w:val="single" w:color="000000" w:sz="4" w:space="0"/>
              <w:right w:val="single" w:color="auto" w:sz="4" w:space="0"/>
            </w:tcBorders>
            <w:vAlign w:val="center"/>
          </w:tcPr>
          <w:p w14:paraId="3EB1FDC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rPr>
              <w:t>姓  名</w:t>
            </w:r>
          </w:p>
        </w:tc>
        <w:tc>
          <w:tcPr>
            <w:tcW w:w="1901" w:type="dxa"/>
            <w:tcBorders>
              <w:top w:val="single" w:color="000000" w:sz="8" w:space="0"/>
              <w:left w:val="single" w:color="auto" w:sz="4" w:space="0"/>
              <w:bottom w:val="single" w:color="000000" w:sz="4" w:space="0"/>
              <w:right w:val="single" w:color="000000" w:sz="4" w:space="0"/>
            </w:tcBorders>
            <w:vAlign w:val="center"/>
          </w:tcPr>
          <w:p w14:paraId="45F8832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u w:color="000000"/>
              </w:rPr>
            </w:pPr>
          </w:p>
        </w:tc>
        <w:tc>
          <w:tcPr>
            <w:tcW w:w="1851" w:type="dxa"/>
            <w:tcBorders>
              <w:top w:val="single" w:color="000000" w:sz="8" w:space="0"/>
              <w:left w:val="single" w:color="auto" w:sz="4" w:space="0"/>
              <w:bottom w:val="single" w:color="000000" w:sz="4" w:space="0"/>
              <w:right w:val="single" w:color="000000" w:sz="4" w:space="0"/>
            </w:tcBorders>
            <w:vAlign w:val="center"/>
          </w:tcPr>
          <w:p w14:paraId="15EC4B5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rPr>
              <w:t>性  别</w:t>
            </w:r>
          </w:p>
        </w:tc>
        <w:tc>
          <w:tcPr>
            <w:tcW w:w="2564" w:type="dxa"/>
            <w:tcBorders>
              <w:top w:val="single" w:color="000000" w:sz="8" w:space="0"/>
              <w:left w:val="single" w:color="auto" w:sz="4" w:space="0"/>
              <w:bottom w:val="single" w:color="000000" w:sz="4" w:space="0"/>
              <w:right w:val="single" w:color="000000" w:sz="8" w:space="0"/>
            </w:tcBorders>
            <w:vAlign w:val="center"/>
          </w:tcPr>
          <w:p w14:paraId="3936982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u w:color="000000"/>
              </w:rPr>
            </w:pPr>
          </w:p>
        </w:tc>
      </w:tr>
      <w:tr w14:paraId="6EF2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2384" w:type="dxa"/>
            <w:gridSpan w:val="2"/>
            <w:tcBorders>
              <w:top w:val="single" w:color="000000" w:sz="8" w:space="0"/>
              <w:left w:val="single" w:color="000000" w:sz="8" w:space="0"/>
              <w:bottom w:val="single" w:color="000000" w:sz="4" w:space="0"/>
              <w:right w:val="single" w:color="auto" w:sz="4" w:space="0"/>
            </w:tcBorders>
            <w:vAlign w:val="center"/>
          </w:tcPr>
          <w:p w14:paraId="6C82B51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901" w:type="dxa"/>
            <w:tcBorders>
              <w:top w:val="single" w:color="000000" w:sz="8" w:space="0"/>
              <w:left w:val="single" w:color="auto" w:sz="4" w:space="0"/>
              <w:bottom w:val="single" w:color="000000" w:sz="4" w:space="0"/>
              <w:right w:val="single" w:color="000000" w:sz="4" w:space="0"/>
            </w:tcBorders>
            <w:vAlign w:val="center"/>
          </w:tcPr>
          <w:p w14:paraId="7D8A249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u w:color="000000"/>
              </w:rPr>
            </w:pPr>
          </w:p>
        </w:tc>
        <w:tc>
          <w:tcPr>
            <w:tcW w:w="1851" w:type="dxa"/>
            <w:tcBorders>
              <w:top w:val="single" w:color="000000" w:sz="8" w:space="0"/>
              <w:left w:val="single" w:color="auto" w:sz="4" w:space="0"/>
              <w:bottom w:val="single" w:color="000000" w:sz="4" w:space="0"/>
              <w:right w:val="single" w:color="000000" w:sz="4" w:space="0"/>
            </w:tcBorders>
            <w:vAlign w:val="center"/>
          </w:tcPr>
          <w:p w14:paraId="1BC6FA0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2564" w:type="dxa"/>
            <w:tcBorders>
              <w:top w:val="single" w:color="000000" w:sz="8" w:space="0"/>
              <w:left w:val="single" w:color="auto" w:sz="4" w:space="0"/>
              <w:bottom w:val="single" w:color="000000" w:sz="4" w:space="0"/>
              <w:right w:val="single" w:color="000000" w:sz="8" w:space="0"/>
            </w:tcBorders>
            <w:vAlign w:val="center"/>
          </w:tcPr>
          <w:p w14:paraId="44E7D0F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u w:color="000000"/>
              </w:rPr>
            </w:pPr>
          </w:p>
        </w:tc>
      </w:tr>
      <w:tr w14:paraId="66C0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2384" w:type="dxa"/>
            <w:gridSpan w:val="2"/>
            <w:tcBorders>
              <w:top w:val="single" w:color="auto" w:sz="4" w:space="0"/>
              <w:left w:val="single" w:color="000000" w:sz="8" w:space="0"/>
              <w:bottom w:val="single" w:color="auto" w:sz="4" w:space="0"/>
              <w:right w:val="single" w:color="auto" w:sz="4" w:space="0"/>
            </w:tcBorders>
            <w:vAlign w:val="center"/>
          </w:tcPr>
          <w:p w14:paraId="14C4711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rPr>
              <w:t>注册造价师执业资格</w:t>
            </w:r>
          </w:p>
        </w:tc>
        <w:tc>
          <w:tcPr>
            <w:tcW w:w="1901" w:type="dxa"/>
            <w:tcBorders>
              <w:top w:val="single" w:color="auto" w:sz="4" w:space="0"/>
              <w:left w:val="single" w:color="auto" w:sz="4" w:space="0"/>
              <w:bottom w:val="single" w:color="auto" w:sz="4" w:space="0"/>
              <w:right w:val="single" w:color="000000" w:sz="4" w:space="0"/>
            </w:tcBorders>
            <w:vAlign w:val="center"/>
          </w:tcPr>
          <w:p w14:paraId="11B707C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u w:color="000000"/>
              </w:rPr>
            </w:pPr>
          </w:p>
        </w:tc>
        <w:tc>
          <w:tcPr>
            <w:tcW w:w="1851" w:type="dxa"/>
            <w:tcBorders>
              <w:top w:val="single" w:color="auto" w:sz="4" w:space="0"/>
              <w:left w:val="single" w:color="auto" w:sz="4" w:space="0"/>
              <w:bottom w:val="single" w:color="auto" w:sz="4" w:space="0"/>
              <w:right w:val="single" w:color="auto" w:sz="4" w:space="0"/>
            </w:tcBorders>
            <w:vAlign w:val="center"/>
          </w:tcPr>
          <w:p w14:paraId="45F4F0B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rPr>
              <w:t>专业类别</w:t>
            </w:r>
          </w:p>
        </w:tc>
        <w:tc>
          <w:tcPr>
            <w:tcW w:w="2564" w:type="dxa"/>
            <w:tcBorders>
              <w:top w:val="single" w:color="auto" w:sz="4" w:space="0"/>
              <w:left w:val="single" w:color="auto" w:sz="4" w:space="0"/>
              <w:bottom w:val="single" w:color="auto" w:sz="4" w:space="0"/>
              <w:right w:val="single" w:color="000000" w:sz="8" w:space="0"/>
            </w:tcBorders>
            <w:vAlign w:val="center"/>
          </w:tcPr>
          <w:p w14:paraId="6724F05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u w:color="000000"/>
              </w:rPr>
            </w:pPr>
          </w:p>
        </w:tc>
      </w:tr>
      <w:tr w14:paraId="68B5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2384" w:type="dxa"/>
            <w:gridSpan w:val="2"/>
            <w:tcBorders>
              <w:top w:val="single" w:color="auto" w:sz="4" w:space="0"/>
              <w:left w:val="single" w:color="000000" w:sz="8" w:space="0"/>
              <w:bottom w:val="single" w:color="000000" w:sz="4" w:space="0"/>
              <w:right w:val="single" w:color="auto" w:sz="4" w:space="0"/>
            </w:tcBorders>
            <w:vAlign w:val="center"/>
          </w:tcPr>
          <w:p w14:paraId="0CC1931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rPr>
              <w:t>工程类职称</w:t>
            </w:r>
          </w:p>
        </w:tc>
        <w:tc>
          <w:tcPr>
            <w:tcW w:w="1901" w:type="dxa"/>
            <w:tcBorders>
              <w:top w:val="single" w:color="auto" w:sz="4" w:space="0"/>
              <w:left w:val="single" w:color="auto" w:sz="4" w:space="0"/>
              <w:bottom w:val="single" w:color="000000" w:sz="4" w:space="0"/>
              <w:right w:val="single" w:color="000000" w:sz="4" w:space="0"/>
            </w:tcBorders>
            <w:vAlign w:val="center"/>
          </w:tcPr>
          <w:p w14:paraId="0BE0243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19"/>
              <w:jc w:val="center"/>
              <w:rPr>
                <w:rFonts w:hint="eastAsia" w:ascii="宋体" w:hAnsi="宋体" w:eastAsia="宋体" w:cs="宋体"/>
                <w:color w:val="auto"/>
                <w:sz w:val="24"/>
                <w:szCs w:val="24"/>
                <w:highlight w:val="none"/>
                <w:u w:color="000000"/>
              </w:rPr>
            </w:pPr>
          </w:p>
        </w:tc>
        <w:tc>
          <w:tcPr>
            <w:tcW w:w="1851" w:type="dxa"/>
            <w:tcBorders>
              <w:top w:val="single" w:color="auto" w:sz="4" w:space="0"/>
              <w:left w:val="single" w:color="auto" w:sz="4" w:space="0"/>
              <w:bottom w:val="single" w:color="000000" w:sz="4" w:space="0"/>
              <w:right w:val="single" w:color="auto" w:sz="4" w:space="0"/>
            </w:tcBorders>
            <w:vAlign w:val="center"/>
          </w:tcPr>
          <w:p w14:paraId="1FE4974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75" w:firstLineChars="198"/>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手机号</w:t>
            </w:r>
          </w:p>
        </w:tc>
        <w:tc>
          <w:tcPr>
            <w:tcW w:w="2564" w:type="dxa"/>
            <w:tcBorders>
              <w:top w:val="single" w:color="auto" w:sz="4" w:space="0"/>
              <w:left w:val="single" w:color="auto" w:sz="4" w:space="0"/>
              <w:bottom w:val="single" w:color="000000" w:sz="4" w:space="0"/>
              <w:right w:val="single" w:color="000000" w:sz="8" w:space="0"/>
            </w:tcBorders>
            <w:vAlign w:val="center"/>
          </w:tcPr>
          <w:p w14:paraId="31D9565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u w:color="000000"/>
              </w:rPr>
            </w:pPr>
          </w:p>
        </w:tc>
      </w:tr>
      <w:tr w14:paraId="46FD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1" w:hRule="atLeast"/>
        </w:trPr>
        <w:tc>
          <w:tcPr>
            <w:tcW w:w="884" w:type="dxa"/>
            <w:tcBorders>
              <w:top w:val="single" w:color="auto" w:sz="4" w:space="0"/>
              <w:left w:val="single" w:color="000000" w:sz="8" w:space="0"/>
              <w:bottom w:val="single" w:color="000000" w:sz="8" w:space="0"/>
              <w:right w:val="single" w:color="000000" w:sz="4" w:space="0"/>
            </w:tcBorders>
            <w:vAlign w:val="center"/>
          </w:tcPr>
          <w:p w14:paraId="3BDB03A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rPr>
              <w:t>简</w:t>
            </w:r>
          </w:p>
          <w:p w14:paraId="623C73DF">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p w14:paraId="7AAEBC4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p w14:paraId="331C646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rPr>
              <w:t>历</w:t>
            </w:r>
          </w:p>
        </w:tc>
        <w:tc>
          <w:tcPr>
            <w:tcW w:w="7816" w:type="dxa"/>
            <w:gridSpan w:val="4"/>
            <w:tcBorders>
              <w:top w:val="single" w:color="auto" w:sz="4" w:space="0"/>
              <w:left w:val="single" w:color="auto" w:sz="4" w:space="0"/>
              <w:bottom w:val="single" w:color="000000" w:sz="8" w:space="0"/>
              <w:right w:val="single" w:color="000000" w:sz="8" w:space="0"/>
            </w:tcBorders>
            <w:vAlign w:val="center"/>
          </w:tcPr>
          <w:p w14:paraId="04FE3F5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rPr>
                <w:rFonts w:hint="eastAsia" w:ascii="宋体" w:hAnsi="宋体" w:eastAsia="宋体" w:cs="宋体"/>
                <w:b/>
                <w:bCs/>
                <w:color w:val="auto"/>
                <w:sz w:val="24"/>
                <w:szCs w:val="24"/>
                <w:highlight w:val="none"/>
                <w:u w:color="000000"/>
              </w:rPr>
            </w:pPr>
          </w:p>
        </w:tc>
      </w:tr>
    </w:tbl>
    <w:p w14:paraId="0751C8D6">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18173A94">
      <w:pPr>
        <w:keepNext w:val="0"/>
        <w:keepLines w:val="0"/>
        <w:pageBreakBefore w:val="0"/>
        <w:kinsoku/>
        <w:wordWrap/>
        <w:overflowPunct/>
        <w:topLinePunct w:val="0"/>
        <w:autoSpaceDE/>
        <w:autoSpaceDN/>
        <w:bidi w:val="0"/>
        <w:snapToGrid w:val="0"/>
        <w:spacing w:beforeLines="50"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.表格后面附清晰可辨的证书、身份证彩色扫描件（正反面）。</w:t>
      </w:r>
    </w:p>
    <w:p w14:paraId="3DE8B94F">
      <w:pPr>
        <w:keepNext w:val="0"/>
        <w:keepLines w:val="0"/>
        <w:pageBreakBefore w:val="0"/>
        <w:kinsoku/>
        <w:wordWrap/>
        <w:overflowPunct/>
        <w:topLinePunct w:val="0"/>
        <w:autoSpaceDE/>
        <w:autoSpaceDN/>
        <w:bidi w:val="0"/>
        <w:snapToGrid w:val="0"/>
        <w:spacing w:beforeLines="50" w:line="360" w:lineRule="auto"/>
        <w:jc w:val="left"/>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.造价工程师已注册未领证或因换证、年审、变更等原因无法提供证书原件扫描件的，须提供相关主管部门证明原件扫描件及造价工程师注册管理系统的打印件。</w:t>
      </w:r>
      <w:r>
        <w:rPr>
          <w:rFonts w:hint="eastAsia" w:ascii="宋体" w:hAnsi="宋体" w:eastAsia="宋体" w:cs="宋体"/>
          <w:color w:val="auto"/>
          <w:kern w:val="0"/>
          <w:sz w:val="21"/>
          <w:szCs w:val="21"/>
          <w:highlight w:val="none"/>
        </w:rPr>
        <w:t xml:space="preserve"> </w:t>
      </w:r>
    </w:p>
    <w:p w14:paraId="08C45198">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3.如供应商提供的成果文件扫描件因模糊不清而造成评标委员会在评审时做出对供应商不利的评审由供应商自行承担。</w:t>
      </w:r>
    </w:p>
    <w:p w14:paraId="5ADA0630">
      <w:pPr>
        <w:keepNext w:val="0"/>
        <w:keepLines w:val="0"/>
        <w:pageBreakBefore w:val="0"/>
        <w:tabs>
          <w:tab w:val="left" w:pos="1418"/>
        </w:tabs>
        <w:kinsoku/>
        <w:wordWrap/>
        <w:overflowPunct/>
        <w:topLinePunct w:val="0"/>
        <w:autoSpaceDE/>
        <w:autoSpaceDN/>
        <w:bidi w:val="0"/>
        <w:spacing w:line="360" w:lineRule="auto"/>
        <w:rPr>
          <w:rFonts w:hint="eastAsia" w:ascii="宋体" w:hAnsi="宋体" w:eastAsia="宋体" w:cs="宋体"/>
          <w:color w:val="auto"/>
          <w:sz w:val="24"/>
          <w:szCs w:val="24"/>
          <w:highlight w:val="none"/>
        </w:rPr>
      </w:pPr>
    </w:p>
    <w:p w14:paraId="6E99360A">
      <w:pPr>
        <w:pStyle w:val="2"/>
        <w:rPr>
          <w:rFonts w:hint="eastAsia" w:ascii="宋体" w:hAnsi="宋体" w:eastAsia="宋体" w:cs="宋体"/>
          <w:color w:val="auto"/>
          <w:sz w:val="24"/>
          <w:szCs w:val="24"/>
          <w:highlight w:val="none"/>
        </w:rPr>
      </w:pPr>
    </w:p>
    <w:p w14:paraId="20BC8921">
      <w:pPr>
        <w:keepNext w:val="0"/>
        <w:keepLines w:val="0"/>
        <w:pageBreakBefore w:val="0"/>
        <w:tabs>
          <w:tab w:val="left" w:pos="1418"/>
        </w:tabs>
        <w:kinsoku/>
        <w:wordWrap/>
        <w:overflowPunct/>
        <w:topLinePunct w:val="0"/>
        <w:autoSpaceDE/>
        <w:autoSpaceDN/>
        <w:bidi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法定代表人或委托代理人签名：</w:t>
      </w:r>
      <w:r>
        <w:rPr>
          <w:rFonts w:hint="eastAsia" w:ascii="宋体" w:hAnsi="宋体" w:eastAsia="宋体" w:cs="宋体"/>
          <w:bCs/>
          <w:color w:val="auto"/>
          <w:sz w:val="24"/>
          <w:szCs w:val="24"/>
          <w:highlight w:val="none"/>
        </w:rPr>
        <w:t xml:space="preserve"> </w:t>
      </w:r>
    </w:p>
    <w:p w14:paraId="5B8A0CD0">
      <w:pPr>
        <w:keepNext w:val="0"/>
        <w:keepLines w:val="0"/>
        <w:pageBreakBefore w:val="0"/>
        <w:tabs>
          <w:tab w:val="left" w:pos="1418"/>
        </w:tabs>
        <w:kinsoku/>
        <w:wordWrap/>
        <w:overflowPunct/>
        <w:topLinePunct w:val="0"/>
        <w:autoSpaceDE/>
        <w:autoSpaceDN/>
        <w:bidi w:val="0"/>
        <w:spacing w:line="360" w:lineRule="auto"/>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供 应 商  </w:t>
      </w:r>
      <w:r>
        <w:rPr>
          <w:rFonts w:hint="eastAsia" w:ascii="宋体" w:hAnsi="宋体" w:eastAsia="宋体" w:cs="宋体"/>
          <w:bCs/>
          <w:color w:val="auto"/>
          <w:sz w:val="24"/>
          <w:szCs w:val="24"/>
          <w:highlight w:val="none"/>
        </w:rPr>
        <w:t>（盖章）：                              年  月  日</w:t>
      </w:r>
    </w:p>
    <w:p w14:paraId="2E31B9B9">
      <w:pPr>
        <w:keepNext w:val="0"/>
        <w:keepLines w:val="0"/>
        <w:pageBreakBefore w:val="0"/>
        <w:kinsoku/>
        <w:wordWrap/>
        <w:overflowPunct/>
        <w:topLinePunct w:val="0"/>
        <w:autoSpaceDE/>
        <w:autoSpaceDN/>
        <w:bidi w:val="0"/>
        <w:snapToGrid w:val="0"/>
        <w:spacing w:before="50" w:line="360" w:lineRule="auto"/>
        <w:jc w:val="left"/>
        <w:rPr>
          <w:rFonts w:hint="eastAsia" w:ascii="宋体" w:hAnsi="宋体" w:eastAsia="宋体" w:cs="宋体"/>
          <w:bCs/>
          <w:color w:val="auto"/>
          <w:sz w:val="24"/>
          <w:szCs w:val="24"/>
          <w:highlight w:val="none"/>
          <w:lang w:val="en-US" w:eastAsia="zh-CN"/>
        </w:rPr>
      </w:pPr>
    </w:p>
    <w:p w14:paraId="0600CDE2">
      <w:pPr>
        <w:keepNext/>
        <w:keepLines w:val="0"/>
        <w:pageBreakBefore/>
        <w:kinsoku/>
        <w:wordWrap/>
        <w:overflowPunct/>
        <w:topLinePunct w:val="0"/>
        <w:autoSpaceDE/>
        <w:autoSpaceDN/>
        <w:bidi w:val="0"/>
        <w:spacing w:line="360" w:lineRule="auto"/>
        <w:jc w:val="center"/>
        <w:rPr>
          <w:rFonts w:hint="eastAsia" w:ascii="宋体" w:hAnsi="宋体" w:eastAsia="宋体" w:cs="宋体"/>
          <w:b/>
          <w:snapToGrid w:val="0"/>
          <w:color w:val="auto"/>
          <w:sz w:val="24"/>
          <w:szCs w:val="24"/>
          <w:highlight w:val="none"/>
          <w:lang w:val="en-US" w:eastAsia="zh-CN"/>
        </w:rPr>
      </w:pPr>
      <w:r>
        <w:rPr>
          <w:rFonts w:hint="eastAsia" w:ascii="宋体" w:hAnsi="宋体" w:eastAsia="宋体" w:cs="宋体"/>
          <w:b/>
          <w:snapToGrid w:val="0"/>
          <w:color w:val="auto"/>
          <w:sz w:val="24"/>
          <w:szCs w:val="24"/>
          <w:highlight w:val="none"/>
          <w:lang w:val="en-US" w:eastAsia="zh-CN"/>
        </w:rPr>
        <w:t>拟派项目</w:t>
      </w:r>
      <w:r>
        <w:rPr>
          <w:rFonts w:hint="eastAsia" w:ascii="宋体" w:hAnsi="宋体" w:cs="宋体"/>
          <w:b/>
          <w:snapToGrid w:val="0"/>
          <w:color w:val="auto"/>
          <w:sz w:val="24"/>
          <w:szCs w:val="24"/>
          <w:highlight w:val="none"/>
          <w:lang w:val="en-US" w:eastAsia="zh-CN"/>
        </w:rPr>
        <w:t>团队人员</w:t>
      </w:r>
      <w:r>
        <w:rPr>
          <w:rFonts w:hint="eastAsia" w:ascii="宋体" w:hAnsi="宋体" w:eastAsia="宋体" w:cs="宋体"/>
          <w:b/>
          <w:snapToGrid w:val="0"/>
          <w:color w:val="auto"/>
          <w:sz w:val="24"/>
          <w:szCs w:val="24"/>
          <w:highlight w:val="none"/>
          <w:lang w:val="en-US" w:eastAsia="zh-CN"/>
        </w:rPr>
        <w:t>基本情况表</w:t>
      </w:r>
    </w:p>
    <w:tbl>
      <w:tblPr>
        <w:tblStyle w:val="32"/>
        <w:tblW w:w="9894" w:type="dxa"/>
        <w:tblInd w:w="0" w:type="dxa"/>
        <w:tblLayout w:type="fixed"/>
        <w:tblCellMar>
          <w:top w:w="0" w:type="dxa"/>
          <w:left w:w="108" w:type="dxa"/>
          <w:bottom w:w="0" w:type="dxa"/>
          <w:right w:w="108" w:type="dxa"/>
        </w:tblCellMar>
      </w:tblPr>
      <w:tblGrid>
        <w:gridCol w:w="471"/>
        <w:gridCol w:w="1149"/>
        <w:gridCol w:w="824"/>
        <w:gridCol w:w="904"/>
        <w:gridCol w:w="779"/>
        <w:gridCol w:w="1225"/>
        <w:gridCol w:w="1197"/>
        <w:gridCol w:w="1264"/>
        <w:gridCol w:w="902"/>
        <w:gridCol w:w="1179"/>
      </w:tblGrid>
      <w:tr w14:paraId="1191C8E6">
        <w:tblPrEx>
          <w:tblCellMar>
            <w:top w:w="0" w:type="dxa"/>
            <w:left w:w="108" w:type="dxa"/>
            <w:bottom w:w="0" w:type="dxa"/>
            <w:right w:w="108" w:type="dxa"/>
          </w:tblCellMar>
        </w:tblPrEx>
        <w:trPr>
          <w:trHeight w:val="46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5FDD4AD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03BDD15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824" w:type="dxa"/>
            <w:tcBorders>
              <w:top w:val="single" w:color="auto" w:sz="4" w:space="0"/>
              <w:left w:val="nil"/>
              <w:bottom w:val="single" w:color="auto" w:sz="4" w:space="0"/>
              <w:right w:val="single" w:color="auto" w:sz="4" w:space="0"/>
            </w:tcBorders>
            <w:noWrap w:val="0"/>
            <w:vAlign w:val="center"/>
          </w:tcPr>
          <w:p w14:paraId="20B19F1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性别</w:t>
            </w:r>
          </w:p>
        </w:tc>
        <w:tc>
          <w:tcPr>
            <w:tcW w:w="904" w:type="dxa"/>
            <w:tcBorders>
              <w:top w:val="single" w:color="auto" w:sz="4" w:space="0"/>
              <w:left w:val="nil"/>
              <w:bottom w:val="single" w:color="auto" w:sz="4" w:space="0"/>
              <w:right w:val="single" w:color="auto" w:sz="4" w:space="0"/>
            </w:tcBorders>
            <w:noWrap w:val="0"/>
            <w:vAlign w:val="center"/>
          </w:tcPr>
          <w:p w14:paraId="3EFDF2D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出生年月</w:t>
            </w:r>
          </w:p>
        </w:tc>
        <w:tc>
          <w:tcPr>
            <w:tcW w:w="779" w:type="dxa"/>
            <w:tcBorders>
              <w:top w:val="single" w:color="auto" w:sz="4" w:space="0"/>
              <w:left w:val="nil"/>
              <w:bottom w:val="single" w:color="auto" w:sz="4" w:space="0"/>
              <w:right w:val="single" w:color="auto" w:sz="4" w:space="0"/>
            </w:tcBorders>
            <w:noWrap w:val="0"/>
            <w:vAlign w:val="center"/>
          </w:tcPr>
          <w:p w14:paraId="286B6E8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学历</w:t>
            </w:r>
          </w:p>
        </w:tc>
        <w:tc>
          <w:tcPr>
            <w:tcW w:w="1225" w:type="dxa"/>
            <w:tcBorders>
              <w:top w:val="single" w:color="auto" w:sz="4" w:space="0"/>
              <w:left w:val="nil"/>
              <w:bottom w:val="single" w:color="auto" w:sz="4" w:space="0"/>
              <w:right w:val="single" w:color="auto" w:sz="4" w:space="0"/>
            </w:tcBorders>
            <w:noWrap w:val="0"/>
            <w:vAlign w:val="center"/>
          </w:tcPr>
          <w:p w14:paraId="436CEE8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197" w:type="dxa"/>
            <w:tcBorders>
              <w:top w:val="single" w:color="auto" w:sz="4" w:space="0"/>
              <w:left w:val="nil"/>
              <w:bottom w:val="single" w:color="auto" w:sz="4" w:space="0"/>
              <w:right w:val="single" w:color="auto" w:sz="4" w:space="0"/>
            </w:tcBorders>
            <w:noWrap w:val="0"/>
            <w:vAlign w:val="center"/>
          </w:tcPr>
          <w:p w14:paraId="6AE2675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执业资格</w:t>
            </w:r>
          </w:p>
        </w:tc>
        <w:tc>
          <w:tcPr>
            <w:tcW w:w="1264" w:type="dxa"/>
            <w:tcBorders>
              <w:top w:val="single" w:color="auto" w:sz="4" w:space="0"/>
              <w:left w:val="nil"/>
              <w:bottom w:val="single" w:color="auto" w:sz="4" w:space="0"/>
              <w:right w:val="single" w:color="auto" w:sz="4" w:space="0"/>
            </w:tcBorders>
            <w:noWrap w:val="0"/>
            <w:vAlign w:val="center"/>
          </w:tcPr>
          <w:p w14:paraId="0E47177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从事专业</w:t>
            </w:r>
          </w:p>
        </w:tc>
        <w:tc>
          <w:tcPr>
            <w:tcW w:w="902" w:type="dxa"/>
            <w:tcBorders>
              <w:top w:val="single" w:color="auto" w:sz="4" w:space="0"/>
              <w:left w:val="nil"/>
              <w:bottom w:val="single" w:color="auto" w:sz="4" w:space="0"/>
              <w:right w:val="single" w:color="auto" w:sz="4" w:space="0"/>
            </w:tcBorders>
            <w:noWrap w:val="0"/>
            <w:vAlign w:val="center"/>
          </w:tcPr>
          <w:p w14:paraId="0EFBFCF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从业年限</w:t>
            </w:r>
          </w:p>
        </w:tc>
        <w:tc>
          <w:tcPr>
            <w:tcW w:w="1179" w:type="dxa"/>
            <w:tcBorders>
              <w:top w:val="single" w:color="auto" w:sz="4" w:space="0"/>
              <w:left w:val="nil"/>
              <w:bottom w:val="single" w:color="auto" w:sz="4" w:space="0"/>
              <w:right w:val="single" w:color="auto" w:sz="4" w:space="0"/>
            </w:tcBorders>
            <w:noWrap w:val="0"/>
            <w:vAlign w:val="center"/>
          </w:tcPr>
          <w:p w14:paraId="0378BA8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备注、联系电话</w:t>
            </w:r>
          </w:p>
        </w:tc>
      </w:tr>
      <w:tr w14:paraId="31460E93">
        <w:tblPrEx>
          <w:tblCellMar>
            <w:top w:w="0" w:type="dxa"/>
            <w:left w:w="108" w:type="dxa"/>
            <w:bottom w:w="0" w:type="dxa"/>
            <w:right w:w="108" w:type="dxa"/>
          </w:tblCellMar>
        </w:tblPrEx>
        <w:trPr>
          <w:trHeight w:val="531" w:hRule="atLeast"/>
        </w:trPr>
        <w:tc>
          <w:tcPr>
            <w:tcW w:w="471" w:type="dxa"/>
            <w:tcBorders>
              <w:top w:val="nil"/>
              <w:left w:val="single" w:color="auto" w:sz="4" w:space="0"/>
              <w:bottom w:val="single" w:color="auto" w:sz="4" w:space="0"/>
              <w:right w:val="single" w:color="auto" w:sz="4" w:space="0"/>
            </w:tcBorders>
            <w:noWrap w:val="0"/>
            <w:vAlign w:val="top"/>
          </w:tcPr>
          <w:p w14:paraId="727C1C8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1149" w:type="dxa"/>
            <w:tcBorders>
              <w:top w:val="nil"/>
              <w:left w:val="single" w:color="auto" w:sz="4" w:space="0"/>
              <w:bottom w:val="single" w:color="auto" w:sz="4" w:space="0"/>
              <w:right w:val="single" w:color="auto" w:sz="4" w:space="0"/>
            </w:tcBorders>
            <w:noWrap w:val="0"/>
            <w:vAlign w:val="center"/>
          </w:tcPr>
          <w:p w14:paraId="19B0F4F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rPr>
            </w:pPr>
          </w:p>
        </w:tc>
        <w:tc>
          <w:tcPr>
            <w:tcW w:w="824" w:type="dxa"/>
            <w:tcBorders>
              <w:top w:val="nil"/>
              <w:left w:val="nil"/>
              <w:bottom w:val="single" w:color="auto" w:sz="4" w:space="0"/>
              <w:right w:val="single" w:color="auto" w:sz="4" w:space="0"/>
            </w:tcBorders>
            <w:noWrap w:val="0"/>
            <w:vAlign w:val="center"/>
          </w:tcPr>
          <w:p w14:paraId="61B9258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4" w:type="dxa"/>
            <w:tcBorders>
              <w:top w:val="nil"/>
              <w:left w:val="nil"/>
              <w:bottom w:val="single" w:color="auto" w:sz="4" w:space="0"/>
              <w:right w:val="single" w:color="auto" w:sz="4" w:space="0"/>
            </w:tcBorders>
            <w:noWrap w:val="0"/>
            <w:vAlign w:val="center"/>
          </w:tcPr>
          <w:p w14:paraId="58878CA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779" w:type="dxa"/>
            <w:tcBorders>
              <w:top w:val="nil"/>
              <w:left w:val="nil"/>
              <w:bottom w:val="single" w:color="auto" w:sz="4" w:space="0"/>
              <w:right w:val="single" w:color="auto" w:sz="4" w:space="0"/>
            </w:tcBorders>
            <w:noWrap w:val="0"/>
            <w:vAlign w:val="center"/>
          </w:tcPr>
          <w:p w14:paraId="4171ED7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25" w:type="dxa"/>
            <w:tcBorders>
              <w:top w:val="nil"/>
              <w:left w:val="nil"/>
              <w:bottom w:val="single" w:color="auto" w:sz="4" w:space="0"/>
              <w:right w:val="single" w:color="auto" w:sz="4" w:space="0"/>
            </w:tcBorders>
            <w:noWrap w:val="0"/>
            <w:vAlign w:val="center"/>
          </w:tcPr>
          <w:p w14:paraId="7C58EAA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97" w:type="dxa"/>
            <w:tcBorders>
              <w:top w:val="nil"/>
              <w:left w:val="nil"/>
              <w:bottom w:val="single" w:color="auto" w:sz="4" w:space="0"/>
              <w:right w:val="single" w:color="auto" w:sz="4" w:space="0"/>
            </w:tcBorders>
            <w:noWrap w:val="0"/>
            <w:vAlign w:val="center"/>
          </w:tcPr>
          <w:p w14:paraId="4F87DA1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64" w:type="dxa"/>
            <w:tcBorders>
              <w:top w:val="nil"/>
              <w:left w:val="nil"/>
              <w:bottom w:val="single" w:color="auto" w:sz="4" w:space="0"/>
              <w:right w:val="single" w:color="auto" w:sz="4" w:space="0"/>
            </w:tcBorders>
            <w:noWrap w:val="0"/>
            <w:vAlign w:val="center"/>
          </w:tcPr>
          <w:p w14:paraId="01C1D38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2" w:type="dxa"/>
            <w:tcBorders>
              <w:top w:val="nil"/>
              <w:left w:val="nil"/>
              <w:bottom w:val="single" w:color="auto" w:sz="4" w:space="0"/>
              <w:right w:val="single" w:color="auto" w:sz="4" w:space="0"/>
            </w:tcBorders>
            <w:noWrap w:val="0"/>
            <w:vAlign w:val="center"/>
          </w:tcPr>
          <w:p w14:paraId="4526C4E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79" w:type="dxa"/>
            <w:tcBorders>
              <w:top w:val="nil"/>
              <w:left w:val="nil"/>
              <w:bottom w:val="single" w:color="auto" w:sz="4" w:space="0"/>
              <w:right w:val="single" w:color="auto" w:sz="4" w:space="0"/>
            </w:tcBorders>
            <w:noWrap w:val="0"/>
            <w:vAlign w:val="center"/>
          </w:tcPr>
          <w:p w14:paraId="3AB3053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58CFF1BF">
        <w:tblPrEx>
          <w:tblCellMar>
            <w:top w:w="0" w:type="dxa"/>
            <w:left w:w="108" w:type="dxa"/>
            <w:bottom w:w="0" w:type="dxa"/>
            <w:right w:w="108" w:type="dxa"/>
          </w:tblCellMar>
        </w:tblPrEx>
        <w:trPr>
          <w:trHeight w:val="531" w:hRule="atLeast"/>
        </w:trPr>
        <w:tc>
          <w:tcPr>
            <w:tcW w:w="471" w:type="dxa"/>
            <w:tcBorders>
              <w:top w:val="nil"/>
              <w:left w:val="single" w:color="auto" w:sz="4" w:space="0"/>
              <w:bottom w:val="single" w:color="auto" w:sz="4" w:space="0"/>
              <w:right w:val="single" w:color="auto" w:sz="4" w:space="0"/>
            </w:tcBorders>
            <w:noWrap w:val="0"/>
            <w:vAlign w:val="top"/>
          </w:tcPr>
          <w:p w14:paraId="1E1270E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149" w:type="dxa"/>
            <w:tcBorders>
              <w:top w:val="nil"/>
              <w:left w:val="single" w:color="auto" w:sz="4" w:space="0"/>
              <w:bottom w:val="single" w:color="auto" w:sz="4" w:space="0"/>
              <w:right w:val="single" w:color="auto" w:sz="4" w:space="0"/>
            </w:tcBorders>
            <w:noWrap w:val="0"/>
            <w:vAlign w:val="center"/>
          </w:tcPr>
          <w:p w14:paraId="39DEA21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824" w:type="dxa"/>
            <w:tcBorders>
              <w:top w:val="nil"/>
              <w:left w:val="nil"/>
              <w:bottom w:val="single" w:color="auto" w:sz="4" w:space="0"/>
              <w:right w:val="single" w:color="auto" w:sz="4" w:space="0"/>
            </w:tcBorders>
            <w:noWrap w:val="0"/>
            <w:vAlign w:val="center"/>
          </w:tcPr>
          <w:p w14:paraId="3A898AB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4" w:type="dxa"/>
            <w:tcBorders>
              <w:top w:val="nil"/>
              <w:left w:val="nil"/>
              <w:bottom w:val="single" w:color="auto" w:sz="4" w:space="0"/>
              <w:right w:val="single" w:color="auto" w:sz="4" w:space="0"/>
            </w:tcBorders>
            <w:noWrap w:val="0"/>
            <w:vAlign w:val="center"/>
          </w:tcPr>
          <w:p w14:paraId="5E4EAE9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779" w:type="dxa"/>
            <w:tcBorders>
              <w:top w:val="nil"/>
              <w:left w:val="nil"/>
              <w:bottom w:val="single" w:color="auto" w:sz="4" w:space="0"/>
              <w:right w:val="single" w:color="auto" w:sz="4" w:space="0"/>
            </w:tcBorders>
            <w:noWrap w:val="0"/>
            <w:vAlign w:val="center"/>
          </w:tcPr>
          <w:p w14:paraId="404D576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25" w:type="dxa"/>
            <w:tcBorders>
              <w:top w:val="nil"/>
              <w:left w:val="nil"/>
              <w:bottom w:val="single" w:color="auto" w:sz="4" w:space="0"/>
              <w:right w:val="single" w:color="auto" w:sz="4" w:space="0"/>
            </w:tcBorders>
            <w:noWrap w:val="0"/>
            <w:vAlign w:val="center"/>
          </w:tcPr>
          <w:p w14:paraId="535C977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97" w:type="dxa"/>
            <w:tcBorders>
              <w:top w:val="nil"/>
              <w:left w:val="nil"/>
              <w:bottom w:val="single" w:color="auto" w:sz="4" w:space="0"/>
              <w:right w:val="single" w:color="auto" w:sz="4" w:space="0"/>
            </w:tcBorders>
            <w:noWrap w:val="0"/>
            <w:vAlign w:val="center"/>
          </w:tcPr>
          <w:p w14:paraId="5AED68E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64" w:type="dxa"/>
            <w:tcBorders>
              <w:top w:val="nil"/>
              <w:left w:val="nil"/>
              <w:bottom w:val="single" w:color="auto" w:sz="4" w:space="0"/>
              <w:right w:val="single" w:color="auto" w:sz="4" w:space="0"/>
            </w:tcBorders>
            <w:noWrap w:val="0"/>
            <w:vAlign w:val="center"/>
          </w:tcPr>
          <w:p w14:paraId="6F38F01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2" w:type="dxa"/>
            <w:tcBorders>
              <w:top w:val="nil"/>
              <w:left w:val="nil"/>
              <w:bottom w:val="single" w:color="auto" w:sz="4" w:space="0"/>
              <w:right w:val="single" w:color="auto" w:sz="4" w:space="0"/>
            </w:tcBorders>
            <w:noWrap w:val="0"/>
            <w:vAlign w:val="center"/>
          </w:tcPr>
          <w:p w14:paraId="4A3F548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79" w:type="dxa"/>
            <w:tcBorders>
              <w:top w:val="nil"/>
              <w:left w:val="nil"/>
              <w:bottom w:val="single" w:color="auto" w:sz="4" w:space="0"/>
              <w:right w:val="single" w:color="auto" w:sz="4" w:space="0"/>
            </w:tcBorders>
            <w:noWrap w:val="0"/>
            <w:vAlign w:val="center"/>
          </w:tcPr>
          <w:p w14:paraId="1AB66BE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532445CB">
        <w:tblPrEx>
          <w:tblCellMar>
            <w:top w:w="0" w:type="dxa"/>
            <w:left w:w="108" w:type="dxa"/>
            <w:bottom w:w="0" w:type="dxa"/>
            <w:right w:w="108" w:type="dxa"/>
          </w:tblCellMar>
        </w:tblPrEx>
        <w:trPr>
          <w:trHeight w:val="531" w:hRule="atLeast"/>
        </w:trPr>
        <w:tc>
          <w:tcPr>
            <w:tcW w:w="471" w:type="dxa"/>
            <w:tcBorders>
              <w:top w:val="nil"/>
              <w:left w:val="single" w:color="auto" w:sz="4" w:space="0"/>
              <w:bottom w:val="single" w:color="auto" w:sz="4" w:space="0"/>
              <w:right w:val="single" w:color="auto" w:sz="4" w:space="0"/>
            </w:tcBorders>
            <w:noWrap w:val="0"/>
            <w:vAlign w:val="top"/>
          </w:tcPr>
          <w:p w14:paraId="71E2A22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149" w:type="dxa"/>
            <w:tcBorders>
              <w:top w:val="nil"/>
              <w:left w:val="single" w:color="auto" w:sz="4" w:space="0"/>
              <w:bottom w:val="single" w:color="auto" w:sz="4" w:space="0"/>
              <w:right w:val="single" w:color="auto" w:sz="4" w:space="0"/>
            </w:tcBorders>
            <w:noWrap w:val="0"/>
            <w:vAlign w:val="center"/>
          </w:tcPr>
          <w:p w14:paraId="09EAEC2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824" w:type="dxa"/>
            <w:tcBorders>
              <w:top w:val="nil"/>
              <w:left w:val="nil"/>
              <w:bottom w:val="single" w:color="auto" w:sz="4" w:space="0"/>
              <w:right w:val="single" w:color="auto" w:sz="4" w:space="0"/>
            </w:tcBorders>
            <w:noWrap w:val="0"/>
            <w:vAlign w:val="center"/>
          </w:tcPr>
          <w:p w14:paraId="4757BF3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4" w:type="dxa"/>
            <w:tcBorders>
              <w:top w:val="nil"/>
              <w:left w:val="nil"/>
              <w:bottom w:val="single" w:color="auto" w:sz="4" w:space="0"/>
              <w:right w:val="single" w:color="auto" w:sz="4" w:space="0"/>
            </w:tcBorders>
            <w:noWrap w:val="0"/>
            <w:vAlign w:val="center"/>
          </w:tcPr>
          <w:p w14:paraId="6FD6E52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779" w:type="dxa"/>
            <w:tcBorders>
              <w:top w:val="nil"/>
              <w:left w:val="nil"/>
              <w:bottom w:val="single" w:color="auto" w:sz="4" w:space="0"/>
              <w:right w:val="single" w:color="auto" w:sz="4" w:space="0"/>
            </w:tcBorders>
            <w:noWrap w:val="0"/>
            <w:vAlign w:val="center"/>
          </w:tcPr>
          <w:p w14:paraId="3E9B26D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25" w:type="dxa"/>
            <w:tcBorders>
              <w:top w:val="nil"/>
              <w:left w:val="nil"/>
              <w:bottom w:val="single" w:color="auto" w:sz="4" w:space="0"/>
              <w:right w:val="single" w:color="auto" w:sz="4" w:space="0"/>
            </w:tcBorders>
            <w:noWrap w:val="0"/>
            <w:vAlign w:val="center"/>
          </w:tcPr>
          <w:p w14:paraId="4DD0792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97" w:type="dxa"/>
            <w:tcBorders>
              <w:top w:val="nil"/>
              <w:left w:val="nil"/>
              <w:bottom w:val="single" w:color="auto" w:sz="4" w:space="0"/>
              <w:right w:val="single" w:color="auto" w:sz="4" w:space="0"/>
            </w:tcBorders>
            <w:noWrap w:val="0"/>
            <w:vAlign w:val="center"/>
          </w:tcPr>
          <w:p w14:paraId="1AC2FBE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64" w:type="dxa"/>
            <w:tcBorders>
              <w:top w:val="nil"/>
              <w:left w:val="nil"/>
              <w:bottom w:val="single" w:color="auto" w:sz="4" w:space="0"/>
              <w:right w:val="single" w:color="auto" w:sz="4" w:space="0"/>
            </w:tcBorders>
            <w:noWrap w:val="0"/>
            <w:vAlign w:val="center"/>
          </w:tcPr>
          <w:p w14:paraId="1C7B160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2" w:type="dxa"/>
            <w:tcBorders>
              <w:top w:val="nil"/>
              <w:left w:val="nil"/>
              <w:bottom w:val="single" w:color="auto" w:sz="4" w:space="0"/>
              <w:right w:val="single" w:color="auto" w:sz="4" w:space="0"/>
            </w:tcBorders>
            <w:noWrap w:val="0"/>
            <w:vAlign w:val="center"/>
          </w:tcPr>
          <w:p w14:paraId="53B8C05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79" w:type="dxa"/>
            <w:tcBorders>
              <w:top w:val="nil"/>
              <w:left w:val="nil"/>
              <w:bottom w:val="single" w:color="auto" w:sz="4" w:space="0"/>
              <w:right w:val="single" w:color="auto" w:sz="4" w:space="0"/>
            </w:tcBorders>
            <w:noWrap w:val="0"/>
            <w:vAlign w:val="center"/>
          </w:tcPr>
          <w:p w14:paraId="6B288EF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660EC9E7">
        <w:tblPrEx>
          <w:tblCellMar>
            <w:top w:w="0" w:type="dxa"/>
            <w:left w:w="108" w:type="dxa"/>
            <w:bottom w:w="0" w:type="dxa"/>
            <w:right w:w="108" w:type="dxa"/>
          </w:tblCellMar>
        </w:tblPrEx>
        <w:trPr>
          <w:trHeight w:val="531" w:hRule="atLeast"/>
        </w:trPr>
        <w:tc>
          <w:tcPr>
            <w:tcW w:w="471" w:type="dxa"/>
            <w:tcBorders>
              <w:top w:val="nil"/>
              <w:left w:val="single" w:color="auto" w:sz="4" w:space="0"/>
              <w:bottom w:val="single" w:color="auto" w:sz="4" w:space="0"/>
              <w:right w:val="single" w:color="auto" w:sz="4" w:space="0"/>
            </w:tcBorders>
            <w:noWrap w:val="0"/>
            <w:vAlign w:val="top"/>
          </w:tcPr>
          <w:p w14:paraId="2039179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149" w:type="dxa"/>
            <w:tcBorders>
              <w:top w:val="nil"/>
              <w:left w:val="single" w:color="auto" w:sz="4" w:space="0"/>
              <w:bottom w:val="single" w:color="auto" w:sz="4" w:space="0"/>
              <w:right w:val="single" w:color="auto" w:sz="4" w:space="0"/>
            </w:tcBorders>
            <w:noWrap w:val="0"/>
            <w:vAlign w:val="center"/>
          </w:tcPr>
          <w:p w14:paraId="7626292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824" w:type="dxa"/>
            <w:tcBorders>
              <w:top w:val="nil"/>
              <w:left w:val="nil"/>
              <w:bottom w:val="single" w:color="auto" w:sz="4" w:space="0"/>
              <w:right w:val="single" w:color="auto" w:sz="4" w:space="0"/>
            </w:tcBorders>
            <w:noWrap w:val="0"/>
            <w:vAlign w:val="center"/>
          </w:tcPr>
          <w:p w14:paraId="512BCD5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4" w:type="dxa"/>
            <w:tcBorders>
              <w:top w:val="nil"/>
              <w:left w:val="nil"/>
              <w:bottom w:val="single" w:color="auto" w:sz="4" w:space="0"/>
              <w:right w:val="single" w:color="auto" w:sz="4" w:space="0"/>
            </w:tcBorders>
            <w:noWrap w:val="0"/>
            <w:vAlign w:val="center"/>
          </w:tcPr>
          <w:p w14:paraId="7CCB649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779" w:type="dxa"/>
            <w:tcBorders>
              <w:top w:val="nil"/>
              <w:left w:val="nil"/>
              <w:bottom w:val="single" w:color="auto" w:sz="4" w:space="0"/>
              <w:right w:val="single" w:color="auto" w:sz="4" w:space="0"/>
            </w:tcBorders>
            <w:noWrap w:val="0"/>
            <w:vAlign w:val="center"/>
          </w:tcPr>
          <w:p w14:paraId="5E5A36F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25" w:type="dxa"/>
            <w:tcBorders>
              <w:top w:val="nil"/>
              <w:left w:val="nil"/>
              <w:bottom w:val="single" w:color="auto" w:sz="4" w:space="0"/>
              <w:right w:val="single" w:color="auto" w:sz="4" w:space="0"/>
            </w:tcBorders>
            <w:noWrap w:val="0"/>
            <w:vAlign w:val="center"/>
          </w:tcPr>
          <w:p w14:paraId="233769E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97" w:type="dxa"/>
            <w:tcBorders>
              <w:top w:val="nil"/>
              <w:left w:val="nil"/>
              <w:bottom w:val="single" w:color="auto" w:sz="4" w:space="0"/>
              <w:right w:val="single" w:color="auto" w:sz="4" w:space="0"/>
            </w:tcBorders>
            <w:noWrap w:val="0"/>
            <w:vAlign w:val="center"/>
          </w:tcPr>
          <w:p w14:paraId="6522AAB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64" w:type="dxa"/>
            <w:tcBorders>
              <w:top w:val="nil"/>
              <w:left w:val="nil"/>
              <w:bottom w:val="single" w:color="auto" w:sz="4" w:space="0"/>
              <w:right w:val="single" w:color="auto" w:sz="4" w:space="0"/>
            </w:tcBorders>
            <w:noWrap w:val="0"/>
            <w:vAlign w:val="center"/>
          </w:tcPr>
          <w:p w14:paraId="4566AE0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2" w:type="dxa"/>
            <w:tcBorders>
              <w:top w:val="nil"/>
              <w:left w:val="nil"/>
              <w:bottom w:val="single" w:color="auto" w:sz="4" w:space="0"/>
              <w:right w:val="single" w:color="auto" w:sz="4" w:space="0"/>
            </w:tcBorders>
            <w:noWrap w:val="0"/>
            <w:vAlign w:val="center"/>
          </w:tcPr>
          <w:p w14:paraId="65A4718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79" w:type="dxa"/>
            <w:tcBorders>
              <w:top w:val="nil"/>
              <w:left w:val="nil"/>
              <w:bottom w:val="single" w:color="auto" w:sz="4" w:space="0"/>
              <w:right w:val="single" w:color="auto" w:sz="4" w:space="0"/>
            </w:tcBorders>
            <w:noWrap w:val="0"/>
            <w:vAlign w:val="center"/>
          </w:tcPr>
          <w:p w14:paraId="743005C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56F080E9">
        <w:tblPrEx>
          <w:tblCellMar>
            <w:top w:w="0" w:type="dxa"/>
            <w:left w:w="108" w:type="dxa"/>
            <w:bottom w:w="0" w:type="dxa"/>
            <w:right w:w="108" w:type="dxa"/>
          </w:tblCellMar>
        </w:tblPrEx>
        <w:trPr>
          <w:trHeight w:val="531" w:hRule="atLeast"/>
        </w:trPr>
        <w:tc>
          <w:tcPr>
            <w:tcW w:w="471" w:type="dxa"/>
            <w:tcBorders>
              <w:top w:val="nil"/>
              <w:left w:val="single" w:color="auto" w:sz="4" w:space="0"/>
              <w:bottom w:val="single" w:color="auto" w:sz="4" w:space="0"/>
              <w:right w:val="single" w:color="auto" w:sz="4" w:space="0"/>
            </w:tcBorders>
            <w:noWrap w:val="0"/>
            <w:vAlign w:val="top"/>
          </w:tcPr>
          <w:p w14:paraId="5C2C3A5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1149" w:type="dxa"/>
            <w:tcBorders>
              <w:top w:val="nil"/>
              <w:left w:val="single" w:color="auto" w:sz="4" w:space="0"/>
              <w:bottom w:val="single" w:color="auto" w:sz="4" w:space="0"/>
              <w:right w:val="single" w:color="auto" w:sz="4" w:space="0"/>
            </w:tcBorders>
            <w:noWrap w:val="0"/>
            <w:vAlign w:val="center"/>
          </w:tcPr>
          <w:p w14:paraId="0ECE6D6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rPr>
            </w:pPr>
          </w:p>
        </w:tc>
        <w:tc>
          <w:tcPr>
            <w:tcW w:w="824" w:type="dxa"/>
            <w:tcBorders>
              <w:top w:val="nil"/>
              <w:left w:val="nil"/>
              <w:bottom w:val="single" w:color="auto" w:sz="4" w:space="0"/>
              <w:right w:val="single" w:color="auto" w:sz="4" w:space="0"/>
            </w:tcBorders>
            <w:noWrap w:val="0"/>
            <w:vAlign w:val="center"/>
          </w:tcPr>
          <w:p w14:paraId="4FFDCA7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4" w:type="dxa"/>
            <w:tcBorders>
              <w:top w:val="nil"/>
              <w:left w:val="nil"/>
              <w:bottom w:val="single" w:color="auto" w:sz="4" w:space="0"/>
              <w:right w:val="single" w:color="auto" w:sz="4" w:space="0"/>
            </w:tcBorders>
            <w:noWrap w:val="0"/>
            <w:vAlign w:val="center"/>
          </w:tcPr>
          <w:p w14:paraId="387EF6B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779" w:type="dxa"/>
            <w:tcBorders>
              <w:top w:val="nil"/>
              <w:left w:val="nil"/>
              <w:bottom w:val="single" w:color="auto" w:sz="4" w:space="0"/>
              <w:right w:val="single" w:color="auto" w:sz="4" w:space="0"/>
            </w:tcBorders>
            <w:noWrap w:val="0"/>
            <w:vAlign w:val="center"/>
          </w:tcPr>
          <w:p w14:paraId="277546F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25" w:type="dxa"/>
            <w:tcBorders>
              <w:top w:val="nil"/>
              <w:left w:val="nil"/>
              <w:bottom w:val="single" w:color="auto" w:sz="4" w:space="0"/>
              <w:right w:val="single" w:color="auto" w:sz="4" w:space="0"/>
            </w:tcBorders>
            <w:noWrap w:val="0"/>
            <w:vAlign w:val="center"/>
          </w:tcPr>
          <w:p w14:paraId="28477D3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97" w:type="dxa"/>
            <w:tcBorders>
              <w:top w:val="nil"/>
              <w:left w:val="nil"/>
              <w:bottom w:val="single" w:color="auto" w:sz="4" w:space="0"/>
              <w:right w:val="single" w:color="auto" w:sz="4" w:space="0"/>
            </w:tcBorders>
            <w:noWrap w:val="0"/>
            <w:vAlign w:val="center"/>
          </w:tcPr>
          <w:p w14:paraId="350D274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64" w:type="dxa"/>
            <w:tcBorders>
              <w:top w:val="nil"/>
              <w:left w:val="nil"/>
              <w:bottom w:val="single" w:color="auto" w:sz="4" w:space="0"/>
              <w:right w:val="single" w:color="auto" w:sz="4" w:space="0"/>
            </w:tcBorders>
            <w:noWrap w:val="0"/>
            <w:vAlign w:val="center"/>
          </w:tcPr>
          <w:p w14:paraId="1B2ACBB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2" w:type="dxa"/>
            <w:tcBorders>
              <w:top w:val="nil"/>
              <w:left w:val="nil"/>
              <w:bottom w:val="single" w:color="auto" w:sz="4" w:space="0"/>
              <w:right w:val="single" w:color="auto" w:sz="4" w:space="0"/>
            </w:tcBorders>
            <w:noWrap w:val="0"/>
            <w:vAlign w:val="center"/>
          </w:tcPr>
          <w:p w14:paraId="3FB3FBC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79" w:type="dxa"/>
            <w:tcBorders>
              <w:top w:val="nil"/>
              <w:left w:val="nil"/>
              <w:bottom w:val="single" w:color="auto" w:sz="4" w:space="0"/>
              <w:right w:val="single" w:color="auto" w:sz="4" w:space="0"/>
            </w:tcBorders>
            <w:noWrap w:val="0"/>
            <w:vAlign w:val="center"/>
          </w:tcPr>
          <w:p w14:paraId="4385AA6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04207FA1">
        <w:tblPrEx>
          <w:tblCellMar>
            <w:top w:w="0" w:type="dxa"/>
            <w:left w:w="108" w:type="dxa"/>
            <w:bottom w:w="0" w:type="dxa"/>
            <w:right w:w="108" w:type="dxa"/>
          </w:tblCellMar>
        </w:tblPrEx>
        <w:trPr>
          <w:trHeight w:val="531" w:hRule="atLeast"/>
        </w:trPr>
        <w:tc>
          <w:tcPr>
            <w:tcW w:w="471" w:type="dxa"/>
            <w:tcBorders>
              <w:top w:val="nil"/>
              <w:left w:val="single" w:color="auto" w:sz="4" w:space="0"/>
              <w:bottom w:val="single" w:color="auto" w:sz="4" w:space="0"/>
              <w:right w:val="single" w:color="auto" w:sz="4" w:space="0"/>
            </w:tcBorders>
            <w:noWrap w:val="0"/>
            <w:vAlign w:val="top"/>
          </w:tcPr>
          <w:p w14:paraId="29E5405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149" w:type="dxa"/>
            <w:tcBorders>
              <w:top w:val="nil"/>
              <w:left w:val="single" w:color="auto" w:sz="4" w:space="0"/>
              <w:bottom w:val="single" w:color="auto" w:sz="4" w:space="0"/>
              <w:right w:val="single" w:color="auto" w:sz="4" w:space="0"/>
            </w:tcBorders>
            <w:noWrap w:val="0"/>
            <w:vAlign w:val="center"/>
          </w:tcPr>
          <w:p w14:paraId="44C2DAA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824" w:type="dxa"/>
            <w:tcBorders>
              <w:top w:val="nil"/>
              <w:left w:val="nil"/>
              <w:bottom w:val="single" w:color="auto" w:sz="4" w:space="0"/>
              <w:right w:val="single" w:color="auto" w:sz="4" w:space="0"/>
            </w:tcBorders>
            <w:noWrap w:val="0"/>
            <w:vAlign w:val="center"/>
          </w:tcPr>
          <w:p w14:paraId="0AF6109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4" w:type="dxa"/>
            <w:tcBorders>
              <w:top w:val="nil"/>
              <w:left w:val="nil"/>
              <w:bottom w:val="single" w:color="auto" w:sz="4" w:space="0"/>
              <w:right w:val="single" w:color="auto" w:sz="4" w:space="0"/>
            </w:tcBorders>
            <w:noWrap w:val="0"/>
            <w:vAlign w:val="center"/>
          </w:tcPr>
          <w:p w14:paraId="3EE91AB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779" w:type="dxa"/>
            <w:tcBorders>
              <w:top w:val="nil"/>
              <w:left w:val="nil"/>
              <w:bottom w:val="single" w:color="auto" w:sz="4" w:space="0"/>
              <w:right w:val="single" w:color="auto" w:sz="4" w:space="0"/>
            </w:tcBorders>
            <w:noWrap w:val="0"/>
            <w:vAlign w:val="center"/>
          </w:tcPr>
          <w:p w14:paraId="0BFA586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25" w:type="dxa"/>
            <w:tcBorders>
              <w:top w:val="nil"/>
              <w:left w:val="nil"/>
              <w:bottom w:val="single" w:color="auto" w:sz="4" w:space="0"/>
              <w:right w:val="single" w:color="auto" w:sz="4" w:space="0"/>
            </w:tcBorders>
            <w:noWrap w:val="0"/>
            <w:vAlign w:val="center"/>
          </w:tcPr>
          <w:p w14:paraId="1FCEE92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97" w:type="dxa"/>
            <w:tcBorders>
              <w:top w:val="nil"/>
              <w:left w:val="nil"/>
              <w:bottom w:val="single" w:color="auto" w:sz="4" w:space="0"/>
              <w:right w:val="single" w:color="auto" w:sz="4" w:space="0"/>
            </w:tcBorders>
            <w:noWrap w:val="0"/>
            <w:vAlign w:val="center"/>
          </w:tcPr>
          <w:p w14:paraId="4F6494B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64" w:type="dxa"/>
            <w:tcBorders>
              <w:top w:val="nil"/>
              <w:left w:val="nil"/>
              <w:bottom w:val="single" w:color="auto" w:sz="4" w:space="0"/>
              <w:right w:val="single" w:color="auto" w:sz="4" w:space="0"/>
            </w:tcBorders>
            <w:noWrap w:val="0"/>
            <w:vAlign w:val="center"/>
          </w:tcPr>
          <w:p w14:paraId="1381804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2" w:type="dxa"/>
            <w:tcBorders>
              <w:top w:val="nil"/>
              <w:left w:val="nil"/>
              <w:bottom w:val="single" w:color="auto" w:sz="4" w:space="0"/>
              <w:right w:val="single" w:color="auto" w:sz="4" w:space="0"/>
            </w:tcBorders>
            <w:noWrap w:val="0"/>
            <w:vAlign w:val="center"/>
          </w:tcPr>
          <w:p w14:paraId="374BAA8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79" w:type="dxa"/>
            <w:tcBorders>
              <w:top w:val="nil"/>
              <w:left w:val="nil"/>
              <w:bottom w:val="single" w:color="auto" w:sz="4" w:space="0"/>
              <w:right w:val="single" w:color="auto" w:sz="4" w:space="0"/>
            </w:tcBorders>
            <w:noWrap w:val="0"/>
            <w:vAlign w:val="center"/>
          </w:tcPr>
          <w:p w14:paraId="678C3A1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4E1FFDFB">
        <w:tblPrEx>
          <w:tblCellMar>
            <w:top w:w="0" w:type="dxa"/>
            <w:left w:w="108" w:type="dxa"/>
            <w:bottom w:w="0" w:type="dxa"/>
            <w:right w:w="108" w:type="dxa"/>
          </w:tblCellMar>
        </w:tblPrEx>
        <w:trPr>
          <w:trHeight w:val="531" w:hRule="atLeast"/>
        </w:trPr>
        <w:tc>
          <w:tcPr>
            <w:tcW w:w="471" w:type="dxa"/>
            <w:tcBorders>
              <w:top w:val="nil"/>
              <w:left w:val="single" w:color="auto" w:sz="4" w:space="0"/>
              <w:bottom w:val="single" w:color="auto" w:sz="4" w:space="0"/>
              <w:right w:val="single" w:color="auto" w:sz="4" w:space="0"/>
            </w:tcBorders>
            <w:noWrap w:val="0"/>
            <w:vAlign w:val="top"/>
          </w:tcPr>
          <w:p w14:paraId="4F193C3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149" w:type="dxa"/>
            <w:tcBorders>
              <w:top w:val="nil"/>
              <w:left w:val="single" w:color="auto" w:sz="4" w:space="0"/>
              <w:bottom w:val="single" w:color="auto" w:sz="4" w:space="0"/>
              <w:right w:val="single" w:color="auto" w:sz="4" w:space="0"/>
            </w:tcBorders>
            <w:noWrap w:val="0"/>
            <w:vAlign w:val="center"/>
          </w:tcPr>
          <w:p w14:paraId="56697B6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824" w:type="dxa"/>
            <w:tcBorders>
              <w:top w:val="nil"/>
              <w:left w:val="nil"/>
              <w:bottom w:val="single" w:color="auto" w:sz="4" w:space="0"/>
              <w:right w:val="single" w:color="auto" w:sz="4" w:space="0"/>
            </w:tcBorders>
            <w:noWrap w:val="0"/>
            <w:vAlign w:val="center"/>
          </w:tcPr>
          <w:p w14:paraId="0A6840C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4" w:type="dxa"/>
            <w:tcBorders>
              <w:top w:val="nil"/>
              <w:left w:val="nil"/>
              <w:bottom w:val="single" w:color="auto" w:sz="4" w:space="0"/>
              <w:right w:val="single" w:color="auto" w:sz="4" w:space="0"/>
            </w:tcBorders>
            <w:noWrap w:val="0"/>
            <w:vAlign w:val="center"/>
          </w:tcPr>
          <w:p w14:paraId="438C159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779" w:type="dxa"/>
            <w:tcBorders>
              <w:top w:val="nil"/>
              <w:left w:val="nil"/>
              <w:bottom w:val="single" w:color="auto" w:sz="4" w:space="0"/>
              <w:right w:val="single" w:color="auto" w:sz="4" w:space="0"/>
            </w:tcBorders>
            <w:noWrap w:val="0"/>
            <w:vAlign w:val="center"/>
          </w:tcPr>
          <w:p w14:paraId="25B9AAC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25" w:type="dxa"/>
            <w:tcBorders>
              <w:top w:val="nil"/>
              <w:left w:val="nil"/>
              <w:bottom w:val="single" w:color="auto" w:sz="4" w:space="0"/>
              <w:right w:val="single" w:color="auto" w:sz="4" w:space="0"/>
            </w:tcBorders>
            <w:noWrap w:val="0"/>
            <w:vAlign w:val="center"/>
          </w:tcPr>
          <w:p w14:paraId="7514907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97" w:type="dxa"/>
            <w:tcBorders>
              <w:top w:val="nil"/>
              <w:left w:val="nil"/>
              <w:bottom w:val="single" w:color="auto" w:sz="4" w:space="0"/>
              <w:right w:val="single" w:color="auto" w:sz="4" w:space="0"/>
            </w:tcBorders>
            <w:noWrap w:val="0"/>
            <w:vAlign w:val="center"/>
          </w:tcPr>
          <w:p w14:paraId="1D18C40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64" w:type="dxa"/>
            <w:tcBorders>
              <w:top w:val="nil"/>
              <w:left w:val="nil"/>
              <w:bottom w:val="single" w:color="auto" w:sz="4" w:space="0"/>
              <w:right w:val="single" w:color="auto" w:sz="4" w:space="0"/>
            </w:tcBorders>
            <w:noWrap w:val="0"/>
            <w:vAlign w:val="center"/>
          </w:tcPr>
          <w:p w14:paraId="2B6ECFF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2" w:type="dxa"/>
            <w:tcBorders>
              <w:top w:val="nil"/>
              <w:left w:val="nil"/>
              <w:bottom w:val="single" w:color="auto" w:sz="4" w:space="0"/>
              <w:right w:val="single" w:color="auto" w:sz="4" w:space="0"/>
            </w:tcBorders>
            <w:noWrap w:val="0"/>
            <w:vAlign w:val="center"/>
          </w:tcPr>
          <w:p w14:paraId="032A69C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79" w:type="dxa"/>
            <w:tcBorders>
              <w:top w:val="nil"/>
              <w:left w:val="nil"/>
              <w:bottom w:val="single" w:color="auto" w:sz="4" w:space="0"/>
              <w:right w:val="single" w:color="auto" w:sz="4" w:space="0"/>
            </w:tcBorders>
            <w:noWrap w:val="0"/>
            <w:vAlign w:val="center"/>
          </w:tcPr>
          <w:p w14:paraId="02227C8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718ACF3D">
        <w:tblPrEx>
          <w:tblCellMar>
            <w:top w:w="0" w:type="dxa"/>
            <w:left w:w="108" w:type="dxa"/>
            <w:bottom w:w="0" w:type="dxa"/>
            <w:right w:w="108" w:type="dxa"/>
          </w:tblCellMar>
        </w:tblPrEx>
        <w:trPr>
          <w:trHeight w:val="531" w:hRule="atLeast"/>
        </w:trPr>
        <w:tc>
          <w:tcPr>
            <w:tcW w:w="471" w:type="dxa"/>
            <w:tcBorders>
              <w:top w:val="nil"/>
              <w:left w:val="single" w:color="auto" w:sz="4" w:space="0"/>
              <w:bottom w:val="single" w:color="auto" w:sz="4" w:space="0"/>
              <w:right w:val="single" w:color="auto" w:sz="4" w:space="0"/>
            </w:tcBorders>
            <w:noWrap w:val="0"/>
            <w:vAlign w:val="top"/>
          </w:tcPr>
          <w:p w14:paraId="205BE07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149" w:type="dxa"/>
            <w:tcBorders>
              <w:top w:val="nil"/>
              <w:left w:val="single" w:color="auto" w:sz="4" w:space="0"/>
              <w:bottom w:val="single" w:color="auto" w:sz="4" w:space="0"/>
              <w:right w:val="single" w:color="auto" w:sz="4" w:space="0"/>
            </w:tcBorders>
            <w:noWrap w:val="0"/>
            <w:vAlign w:val="center"/>
          </w:tcPr>
          <w:p w14:paraId="652D627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824" w:type="dxa"/>
            <w:tcBorders>
              <w:top w:val="nil"/>
              <w:left w:val="nil"/>
              <w:bottom w:val="single" w:color="auto" w:sz="4" w:space="0"/>
              <w:right w:val="single" w:color="auto" w:sz="4" w:space="0"/>
            </w:tcBorders>
            <w:noWrap w:val="0"/>
            <w:vAlign w:val="center"/>
          </w:tcPr>
          <w:p w14:paraId="218894A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4" w:type="dxa"/>
            <w:tcBorders>
              <w:top w:val="nil"/>
              <w:left w:val="nil"/>
              <w:bottom w:val="single" w:color="auto" w:sz="4" w:space="0"/>
              <w:right w:val="single" w:color="auto" w:sz="4" w:space="0"/>
            </w:tcBorders>
            <w:noWrap w:val="0"/>
            <w:vAlign w:val="center"/>
          </w:tcPr>
          <w:p w14:paraId="29784F8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779" w:type="dxa"/>
            <w:tcBorders>
              <w:top w:val="nil"/>
              <w:left w:val="nil"/>
              <w:bottom w:val="single" w:color="auto" w:sz="4" w:space="0"/>
              <w:right w:val="single" w:color="auto" w:sz="4" w:space="0"/>
            </w:tcBorders>
            <w:noWrap w:val="0"/>
            <w:vAlign w:val="center"/>
          </w:tcPr>
          <w:p w14:paraId="7184142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25" w:type="dxa"/>
            <w:tcBorders>
              <w:top w:val="nil"/>
              <w:left w:val="nil"/>
              <w:bottom w:val="single" w:color="auto" w:sz="4" w:space="0"/>
              <w:right w:val="single" w:color="auto" w:sz="4" w:space="0"/>
            </w:tcBorders>
            <w:noWrap w:val="0"/>
            <w:vAlign w:val="center"/>
          </w:tcPr>
          <w:p w14:paraId="33A6397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97" w:type="dxa"/>
            <w:tcBorders>
              <w:top w:val="nil"/>
              <w:left w:val="nil"/>
              <w:bottom w:val="single" w:color="auto" w:sz="4" w:space="0"/>
              <w:right w:val="single" w:color="auto" w:sz="4" w:space="0"/>
            </w:tcBorders>
            <w:noWrap w:val="0"/>
            <w:vAlign w:val="center"/>
          </w:tcPr>
          <w:p w14:paraId="74F8CA8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64" w:type="dxa"/>
            <w:tcBorders>
              <w:top w:val="nil"/>
              <w:left w:val="nil"/>
              <w:bottom w:val="single" w:color="auto" w:sz="4" w:space="0"/>
              <w:right w:val="single" w:color="auto" w:sz="4" w:space="0"/>
            </w:tcBorders>
            <w:noWrap w:val="0"/>
            <w:vAlign w:val="center"/>
          </w:tcPr>
          <w:p w14:paraId="5C83BAB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2" w:type="dxa"/>
            <w:tcBorders>
              <w:top w:val="nil"/>
              <w:left w:val="nil"/>
              <w:bottom w:val="single" w:color="auto" w:sz="4" w:space="0"/>
              <w:right w:val="single" w:color="auto" w:sz="4" w:space="0"/>
            </w:tcBorders>
            <w:noWrap w:val="0"/>
            <w:vAlign w:val="center"/>
          </w:tcPr>
          <w:p w14:paraId="320C680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79" w:type="dxa"/>
            <w:tcBorders>
              <w:top w:val="nil"/>
              <w:left w:val="nil"/>
              <w:bottom w:val="single" w:color="auto" w:sz="4" w:space="0"/>
              <w:right w:val="single" w:color="auto" w:sz="4" w:space="0"/>
            </w:tcBorders>
            <w:noWrap w:val="0"/>
            <w:vAlign w:val="center"/>
          </w:tcPr>
          <w:p w14:paraId="5776261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30A91164">
        <w:tblPrEx>
          <w:tblCellMar>
            <w:top w:w="0" w:type="dxa"/>
            <w:left w:w="108" w:type="dxa"/>
            <w:bottom w:w="0" w:type="dxa"/>
            <w:right w:w="108" w:type="dxa"/>
          </w:tblCellMar>
        </w:tblPrEx>
        <w:trPr>
          <w:trHeight w:val="531" w:hRule="atLeast"/>
        </w:trPr>
        <w:tc>
          <w:tcPr>
            <w:tcW w:w="471" w:type="dxa"/>
            <w:tcBorders>
              <w:top w:val="nil"/>
              <w:left w:val="single" w:color="auto" w:sz="4" w:space="0"/>
              <w:bottom w:val="single" w:color="auto" w:sz="4" w:space="0"/>
              <w:right w:val="single" w:color="auto" w:sz="4" w:space="0"/>
            </w:tcBorders>
            <w:noWrap w:val="0"/>
            <w:vAlign w:val="top"/>
          </w:tcPr>
          <w:p w14:paraId="0F405DC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149" w:type="dxa"/>
            <w:tcBorders>
              <w:top w:val="nil"/>
              <w:left w:val="single" w:color="auto" w:sz="4" w:space="0"/>
              <w:bottom w:val="single" w:color="auto" w:sz="4" w:space="0"/>
              <w:right w:val="single" w:color="auto" w:sz="4" w:space="0"/>
            </w:tcBorders>
            <w:noWrap w:val="0"/>
            <w:vAlign w:val="center"/>
          </w:tcPr>
          <w:p w14:paraId="0BD3809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824" w:type="dxa"/>
            <w:tcBorders>
              <w:top w:val="nil"/>
              <w:left w:val="nil"/>
              <w:bottom w:val="single" w:color="auto" w:sz="4" w:space="0"/>
              <w:right w:val="single" w:color="auto" w:sz="4" w:space="0"/>
            </w:tcBorders>
            <w:noWrap w:val="0"/>
            <w:vAlign w:val="center"/>
          </w:tcPr>
          <w:p w14:paraId="6D1A4F5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4" w:type="dxa"/>
            <w:tcBorders>
              <w:top w:val="nil"/>
              <w:left w:val="nil"/>
              <w:bottom w:val="single" w:color="auto" w:sz="4" w:space="0"/>
              <w:right w:val="single" w:color="auto" w:sz="4" w:space="0"/>
            </w:tcBorders>
            <w:noWrap w:val="0"/>
            <w:vAlign w:val="center"/>
          </w:tcPr>
          <w:p w14:paraId="1A8DD73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779" w:type="dxa"/>
            <w:tcBorders>
              <w:top w:val="nil"/>
              <w:left w:val="nil"/>
              <w:bottom w:val="single" w:color="auto" w:sz="4" w:space="0"/>
              <w:right w:val="single" w:color="auto" w:sz="4" w:space="0"/>
            </w:tcBorders>
            <w:noWrap w:val="0"/>
            <w:vAlign w:val="center"/>
          </w:tcPr>
          <w:p w14:paraId="7B77CB5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25" w:type="dxa"/>
            <w:tcBorders>
              <w:top w:val="nil"/>
              <w:left w:val="nil"/>
              <w:bottom w:val="single" w:color="auto" w:sz="4" w:space="0"/>
              <w:right w:val="single" w:color="auto" w:sz="4" w:space="0"/>
            </w:tcBorders>
            <w:noWrap w:val="0"/>
            <w:vAlign w:val="center"/>
          </w:tcPr>
          <w:p w14:paraId="560115E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97" w:type="dxa"/>
            <w:tcBorders>
              <w:top w:val="nil"/>
              <w:left w:val="nil"/>
              <w:bottom w:val="single" w:color="auto" w:sz="4" w:space="0"/>
              <w:right w:val="single" w:color="auto" w:sz="4" w:space="0"/>
            </w:tcBorders>
            <w:noWrap w:val="0"/>
            <w:vAlign w:val="center"/>
          </w:tcPr>
          <w:p w14:paraId="413828A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64" w:type="dxa"/>
            <w:tcBorders>
              <w:top w:val="nil"/>
              <w:left w:val="nil"/>
              <w:bottom w:val="single" w:color="auto" w:sz="4" w:space="0"/>
              <w:right w:val="single" w:color="auto" w:sz="4" w:space="0"/>
            </w:tcBorders>
            <w:noWrap w:val="0"/>
            <w:vAlign w:val="center"/>
          </w:tcPr>
          <w:p w14:paraId="3CD603C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02" w:type="dxa"/>
            <w:tcBorders>
              <w:top w:val="nil"/>
              <w:left w:val="nil"/>
              <w:bottom w:val="single" w:color="auto" w:sz="4" w:space="0"/>
              <w:right w:val="single" w:color="auto" w:sz="4" w:space="0"/>
            </w:tcBorders>
            <w:noWrap w:val="0"/>
            <w:vAlign w:val="center"/>
          </w:tcPr>
          <w:p w14:paraId="5D1069C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79" w:type="dxa"/>
            <w:tcBorders>
              <w:top w:val="nil"/>
              <w:left w:val="nil"/>
              <w:bottom w:val="single" w:color="auto" w:sz="4" w:space="0"/>
              <w:right w:val="single" w:color="auto" w:sz="4" w:space="0"/>
            </w:tcBorders>
            <w:noWrap w:val="0"/>
            <w:vAlign w:val="center"/>
          </w:tcPr>
          <w:p w14:paraId="72BB940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bl>
    <w:p w14:paraId="002DE967">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06DA92E6">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.表格后面附清晰可辨的证书、身份证彩色扫描件（正反面）。</w:t>
      </w:r>
    </w:p>
    <w:p w14:paraId="47B84E92">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.造价工程师已注册未领证或因换证、年审、变更等原因无法提供证书原件扫描件的，须提供相关主管部门证明原件扫描件及造价工程师注册管理系统的打印件。</w:t>
      </w:r>
    </w:p>
    <w:p w14:paraId="6F4BBE87">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3.如供应商提供的成果文件扫描件因模糊不清而造成评标委员会在评审时做出对供应商不利的评审由供应商自行承担。</w:t>
      </w:r>
    </w:p>
    <w:p w14:paraId="1A688A90">
      <w:pPr>
        <w:pStyle w:val="14"/>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p w14:paraId="195FFC42">
      <w:pPr>
        <w:keepNext w:val="0"/>
        <w:keepLines w:val="0"/>
        <w:pageBreakBefore w:val="0"/>
        <w:tabs>
          <w:tab w:val="left" w:pos="1418"/>
        </w:tabs>
        <w:kinsoku/>
        <w:wordWrap/>
        <w:overflowPunct/>
        <w:topLinePunct w:val="0"/>
        <w:autoSpaceDE/>
        <w:autoSpaceDN/>
        <w:bidi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法定代表人或委托代理人签名：</w:t>
      </w:r>
      <w:r>
        <w:rPr>
          <w:rFonts w:hint="eastAsia" w:ascii="宋体" w:hAnsi="宋体" w:eastAsia="宋体" w:cs="宋体"/>
          <w:bCs/>
          <w:color w:val="auto"/>
          <w:sz w:val="24"/>
          <w:szCs w:val="24"/>
          <w:highlight w:val="none"/>
        </w:rPr>
        <w:t xml:space="preserve"> </w:t>
      </w:r>
    </w:p>
    <w:p w14:paraId="680C0B64">
      <w:pPr>
        <w:keepNext w:val="0"/>
        <w:keepLines w:val="0"/>
        <w:pageBreakBefore w:val="0"/>
        <w:tabs>
          <w:tab w:val="left" w:pos="1418"/>
        </w:tabs>
        <w:kinsoku/>
        <w:wordWrap/>
        <w:overflowPunct/>
        <w:topLinePunct w:val="0"/>
        <w:autoSpaceDE/>
        <w:autoSpaceDN/>
        <w:bidi w:val="0"/>
        <w:spacing w:line="360" w:lineRule="auto"/>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供 应 商  </w:t>
      </w:r>
      <w:r>
        <w:rPr>
          <w:rFonts w:hint="eastAsia" w:ascii="宋体" w:hAnsi="宋体" w:eastAsia="宋体" w:cs="宋体"/>
          <w:bCs/>
          <w:color w:val="auto"/>
          <w:sz w:val="24"/>
          <w:szCs w:val="24"/>
          <w:highlight w:val="none"/>
        </w:rPr>
        <w:t>（盖章）：                              年  月  日</w:t>
      </w:r>
    </w:p>
    <w:p w14:paraId="27D39885">
      <w:pPr>
        <w:pStyle w:val="44"/>
        <w:keepNext w:val="0"/>
        <w:keepLines w:val="0"/>
        <w:pageBreakBefore w:val="0"/>
        <w:kinsoku/>
        <w:wordWrap/>
        <w:overflowPunct/>
        <w:topLinePunct w:val="0"/>
        <w:autoSpaceDE/>
        <w:autoSpaceDN/>
        <w:bidi w:val="0"/>
        <w:spacing w:line="360" w:lineRule="auto"/>
        <w:jc w:val="center"/>
        <w:rPr>
          <w:rFonts w:hint="eastAsia" w:ascii="宋体" w:hAnsi="宋体" w:eastAsia="宋体" w:cs="宋体"/>
          <w:b/>
          <w:snapToGrid w:val="0"/>
          <w:color w:val="auto"/>
          <w:sz w:val="24"/>
          <w:szCs w:val="24"/>
          <w:highlight w:val="none"/>
        </w:rPr>
        <w:sectPr>
          <w:headerReference r:id="rId4" w:type="default"/>
          <w:footerReference r:id="rId5" w:type="default"/>
          <w:pgSz w:w="11906" w:h="16838"/>
          <w:pgMar w:top="1440" w:right="1083" w:bottom="1440" w:left="1083" w:header="851" w:footer="850" w:gutter="0"/>
          <w:pgNumType w:fmt="decimal" w:start="2"/>
          <w:cols w:space="0" w:num="1"/>
          <w:rtlGutter w:val="0"/>
          <w:docGrid w:linePitch="312" w:charSpace="0"/>
        </w:sectPr>
      </w:pPr>
    </w:p>
    <w:p w14:paraId="1EACD95C">
      <w:pPr>
        <w:keepNext/>
        <w:keepLines w:val="0"/>
        <w:pageBreakBefore/>
        <w:kinsoku/>
        <w:wordWrap/>
        <w:overflowPunct/>
        <w:topLinePunct w:val="0"/>
        <w:autoSpaceDE/>
        <w:autoSpaceDN/>
        <w:bidi w:val="0"/>
        <w:spacing w:line="360" w:lineRule="auto"/>
        <w:jc w:val="center"/>
        <w:rPr>
          <w:rFonts w:hint="eastAsia" w:ascii="宋体" w:hAnsi="宋体" w:eastAsia="宋体" w:cs="宋体"/>
          <w:b/>
          <w:snapToGrid w:val="0"/>
          <w:color w:val="auto"/>
          <w:sz w:val="24"/>
          <w:szCs w:val="24"/>
          <w:highlight w:val="none"/>
          <w:lang w:val="en-US" w:eastAsia="zh-CN"/>
        </w:rPr>
      </w:pPr>
      <w:r>
        <w:rPr>
          <w:rFonts w:hint="eastAsia" w:ascii="宋体" w:hAnsi="宋体" w:eastAsia="宋体" w:cs="宋体"/>
          <w:b/>
          <w:snapToGrid w:val="0"/>
          <w:color w:val="auto"/>
          <w:sz w:val="24"/>
          <w:szCs w:val="24"/>
          <w:highlight w:val="none"/>
          <w:lang w:val="en-US" w:eastAsia="zh-CN"/>
        </w:rPr>
        <w:t>拟派</w:t>
      </w:r>
      <w:r>
        <w:rPr>
          <w:rFonts w:hint="eastAsia" w:ascii="宋体" w:hAnsi="宋体" w:cs="宋体"/>
          <w:b/>
          <w:snapToGrid w:val="0"/>
          <w:color w:val="auto"/>
          <w:sz w:val="24"/>
          <w:szCs w:val="24"/>
          <w:highlight w:val="none"/>
          <w:lang w:val="en-US" w:eastAsia="zh-CN"/>
        </w:rPr>
        <w:t>项目</w:t>
      </w:r>
      <w:r>
        <w:rPr>
          <w:rFonts w:hint="eastAsia" w:ascii="宋体" w:hAnsi="宋体" w:eastAsia="宋体" w:cs="宋体"/>
          <w:b/>
          <w:snapToGrid w:val="0"/>
          <w:color w:val="auto"/>
          <w:sz w:val="24"/>
          <w:szCs w:val="24"/>
          <w:highlight w:val="none"/>
          <w:lang w:val="en-US" w:eastAsia="zh-CN"/>
        </w:rPr>
        <w:t>团队</w:t>
      </w:r>
      <w:r>
        <w:rPr>
          <w:rFonts w:hint="eastAsia" w:ascii="宋体" w:hAnsi="宋体" w:cs="宋体"/>
          <w:b/>
          <w:snapToGrid w:val="0"/>
          <w:color w:val="auto"/>
          <w:sz w:val="24"/>
          <w:szCs w:val="24"/>
          <w:highlight w:val="none"/>
          <w:lang w:val="en-US" w:eastAsia="zh-CN"/>
        </w:rPr>
        <w:t>人员类似项目</w:t>
      </w:r>
      <w:r>
        <w:rPr>
          <w:rFonts w:hint="eastAsia" w:ascii="宋体" w:hAnsi="宋体" w:eastAsia="宋体" w:cs="宋体"/>
          <w:b/>
          <w:snapToGrid w:val="0"/>
          <w:color w:val="auto"/>
          <w:sz w:val="24"/>
          <w:szCs w:val="24"/>
          <w:highlight w:val="none"/>
          <w:lang w:val="en-US" w:eastAsia="zh-CN"/>
        </w:rPr>
        <w:t>经验一览表</w:t>
      </w:r>
    </w:p>
    <w:tbl>
      <w:tblPr>
        <w:tblStyle w:val="32"/>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1289"/>
        <w:gridCol w:w="1636"/>
        <w:gridCol w:w="1575"/>
        <w:gridCol w:w="1050"/>
        <w:gridCol w:w="1179"/>
        <w:gridCol w:w="1251"/>
        <w:gridCol w:w="1444"/>
      </w:tblGrid>
      <w:tr w14:paraId="07615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14:paraId="26BD6096">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89" w:type="dxa"/>
            <w:tcBorders>
              <w:top w:val="single" w:color="auto" w:sz="4" w:space="0"/>
              <w:left w:val="single" w:color="auto" w:sz="4" w:space="0"/>
              <w:bottom w:val="single" w:color="auto" w:sz="4" w:space="0"/>
              <w:right w:val="single" w:color="auto" w:sz="4" w:space="0"/>
            </w:tcBorders>
            <w:noWrap/>
            <w:vAlign w:val="center"/>
          </w:tcPr>
          <w:p w14:paraId="0B3D06CA">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636" w:type="dxa"/>
            <w:tcBorders>
              <w:top w:val="single" w:color="auto" w:sz="4" w:space="0"/>
              <w:left w:val="single" w:color="auto" w:sz="4" w:space="0"/>
              <w:bottom w:val="single" w:color="auto" w:sz="4" w:space="0"/>
              <w:right w:val="single" w:color="auto" w:sz="4" w:space="0"/>
            </w:tcBorders>
            <w:noWrap/>
            <w:vAlign w:val="center"/>
          </w:tcPr>
          <w:p w14:paraId="27C0C8F7">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委托单位</w:t>
            </w:r>
            <w:r>
              <w:rPr>
                <w:rFonts w:hint="eastAsia" w:ascii="宋体" w:hAnsi="宋体" w:eastAsia="宋体" w:cs="宋体"/>
                <w:b/>
                <w:bCs/>
                <w:color w:val="auto"/>
                <w:sz w:val="24"/>
                <w:szCs w:val="24"/>
                <w:highlight w:val="none"/>
              </w:rPr>
              <w:t>名称</w:t>
            </w:r>
          </w:p>
        </w:tc>
        <w:tc>
          <w:tcPr>
            <w:tcW w:w="1575" w:type="dxa"/>
            <w:tcBorders>
              <w:top w:val="single" w:color="auto" w:sz="4" w:space="0"/>
              <w:left w:val="single" w:color="auto" w:sz="4" w:space="0"/>
              <w:right w:val="single" w:color="auto" w:sz="4" w:space="0"/>
            </w:tcBorders>
            <w:noWrap/>
            <w:vAlign w:val="center"/>
          </w:tcPr>
          <w:p w14:paraId="72E91F5F">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报告出具时间</w:t>
            </w:r>
          </w:p>
        </w:tc>
        <w:tc>
          <w:tcPr>
            <w:tcW w:w="1050" w:type="dxa"/>
            <w:tcBorders>
              <w:top w:val="single" w:color="auto" w:sz="4" w:space="0"/>
              <w:left w:val="single" w:color="auto" w:sz="4" w:space="0"/>
              <w:bottom w:val="single" w:color="auto" w:sz="4" w:space="0"/>
              <w:right w:val="single" w:color="auto" w:sz="4" w:space="0"/>
            </w:tcBorders>
            <w:noWrap/>
            <w:vAlign w:val="center"/>
          </w:tcPr>
          <w:p w14:paraId="13E58988">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项目</w:t>
            </w:r>
            <w:r>
              <w:rPr>
                <w:rFonts w:hint="eastAsia" w:ascii="宋体" w:hAnsi="宋体" w:cs="宋体"/>
                <w:b/>
                <w:bCs/>
                <w:color w:val="auto"/>
                <w:sz w:val="24"/>
                <w:szCs w:val="24"/>
                <w:highlight w:val="none"/>
                <w:lang w:eastAsia="zh-CN"/>
              </w:rPr>
              <w:t>主审</w:t>
            </w:r>
            <w:r>
              <w:rPr>
                <w:rFonts w:hint="eastAsia" w:ascii="宋体" w:hAnsi="宋体" w:cs="宋体"/>
                <w:b/>
                <w:bCs/>
                <w:color w:val="auto"/>
                <w:sz w:val="24"/>
                <w:szCs w:val="24"/>
                <w:highlight w:val="none"/>
                <w:lang w:val="en-US" w:eastAsia="zh-CN"/>
              </w:rPr>
              <w:t>/项目参与</w:t>
            </w:r>
          </w:p>
        </w:tc>
        <w:tc>
          <w:tcPr>
            <w:tcW w:w="1179" w:type="dxa"/>
            <w:tcBorders>
              <w:top w:val="single" w:color="auto" w:sz="4" w:space="0"/>
              <w:left w:val="single" w:color="auto" w:sz="4" w:space="0"/>
              <w:bottom w:val="single" w:color="auto" w:sz="4" w:space="0"/>
              <w:right w:val="single" w:color="auto" w:sz="4" w:space="0"/>
            </w:tcBorders>
            <w:noWrap/>
            <w:vAlign w:val="center"/>
          </w:tcPr>
          <w:p w14:paraId="4E56919A">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项目所属专业</w:t>
            </w:r>
          </w:p>
        </w:tc>
        <w:tc>
          <w:tcPr>
            <w:tcW w:w="1251" w:type="dxa"/>
            <w:tcBorders>
              <w:top w:val="single" w:color="auto" w:sz="4" w:space="0"/>
              <w:left w:val="single" w:color="auto" w:sz="4" w:space="0"/>
              <w:bottom w:val="single" w:color="auto" w:sz="4" w:space="0"/>
              <w:right w:val="single" w:color="auto" w:sz="4" w:space="0"/>
            </w:tcBorders>
            <w:noWrap/>
            <w:vAlign w:val="center"/>
          </w:tcPr>
          <w:p w14:paraId="1D55F8FB">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委托单位</w:t>
            </w:r>
            <w:r>
              <w:rPr>
                <w:rFonts w:hint="eastAsia" w:ascii="宋体" w:hAnsi="宋体" w:eastAsia="宋体" w:cs="宋体"/>
                <w:b/>
                <w:bCs/>
                <w:color w:val="auto"/>
                <w:sz w:val="24"/>
                <w:szCs w:val="24"/>
                <w:highlight w:val="none"/>
              </w:rPr>
              <w:t>联系人</w:t>
            </w:r>
          </w:p>
        </w:tc>
        <w:tc>
          <w:tcPr>
            <w:tcW w:w="1444" w:type="dxa"/>
            <w:tcBorders>
              <w:top w:val="single" w:color="auto" w:sz="4" w:space="0"/>
              <w:left w:val="single" w:color="auto" w:sz="4" w:space="0"/>
              <w:bottom w:val="single" w:color="auto" w:sz="4" w:space="0"/>
              <w:right w:val="single" w:color="auto" w:sz="4" w:space="0"/>
            </w:tcBorders>
            <w:noWrap/>
            <w:vAlign w:val="center"/>
          </w:tcPr>
          <w:p w14:paraId="4649F77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w:t>
            </w:r>
          </w:p>
        </w:tc>
      </w:tr>
      <w:tr w14:paraId="00842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14:paraId="769F09C9">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ign w:val="center"/>
          </w:tcPr>
          <w:p w14:paraId="4BB4D636">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636" w:type="dxa"/>
            <w:tcBorders>
              <w:top w:val="single" w:color="auto" w:sz="4" w:space="0"/>
              <w:left w:val="single" w:color="auto" w:sz="4" w:space="0"/>
              <w:bottom w:val="single" w:color="auto" w:sz="4" w:space="0"/>
              <w:right w:val="single" w:color="auto" w:sz="4" w:space="0"/>
            </w:tcBorders>
            <w:noWrap/>
            <w:vAlign w:val="center"/>
          </w:tcPr>
          <w:p w14:paraId="42A1966C">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ign w:val="center"/>
          </w:tcPr>
          <w:p w14:paraId="38AF283D">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549AF274">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noWrap/>
            <w:vAlign w:val="center"/>
          </w:tcPr>
          <w:p w14:paraId="75D3771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noWrap/>
            <w:vAlign w:val="center"/>
          </w:tcPr>
          <w:p w14:paraId="346D4CBC">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444" w:type="dxa"/>
            <w:tcBorders>
              <w:top w:val="single" w:color="auto" w:sz="4" w:space="0"/>
              <w:left w:val="single" w:color="auto" w:sz="4" w:space="0"/>
              <w:bottom w:val="single" w:color="auto" w:sz="4" w:space="0"/>
              <w:right w:val="single" w:color="auto" w:sz="4" w:space="0"/>
            </w:tcBorders>
            <w:noWrap/>
            <w:vAlign w:val="center"/>
          </w:tcPr>
          <w:p w14:paraId="48D7C738">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r>
      <w:tr w14:paraId="5D48F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2" w:type="dxa"/>
            <w:tcBorders>
              <w:top w:val="single" w:color="auto" w:sz="4" w:space="0"/>
              <w:left w:val="single" w:color="auto" w:sz="4" w:space="0"/>
              <w:bottom w:val="single" w:color="auto" w:sz="4" w:space="0"/>
              <w:right w:val="single" w:color="auto" w:sz="4" w:space="0"/>
            </w:tcBorders>
            <w:noWrap/>
            <w:vAlign w:val="center"/>
          </w:tcPr>
          <w:p w14:paraId="5E965D03">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ign w:val="center"/>
          </w:tcPr>
          <w:p w14:paraId="7C0CF0C2">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636" w:type="dxa"/>
            <w:tcBorders>
              <w:top w:val="single" w:color="auto" w:sz="4" w:space="0"/>
              <w:left w:val="single" w:color="auto" w:sz="4" w:space="0"/>
              <w:bottom w:val="single" w:color="auto" w:sz="4" w:space="0"/>
              <w:right w:val="single" w:color="auto" w:sz="4" w:space="0"/>
            </w:tcBorders>
            <w:noWrap/>
            <w:vAlign w:val="center"/>
          </w:tcPr>
          <w:p w14:paraId="2A294F20">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ign w:val="center"/>
          </w:tcPr>
          <w:p w14:paraId="4701E604">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23F9D3D3">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noWrap/>
            <w:vAlign w:val="center"/>
          </w:tcPr>
          <w:p w14:paraId="39EA4A49">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noWrap/>
            <w:vAlign w:val="center"/>
          </w:tcPr>
          <w:p w14:paraId="1AA7B96F">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444" w:type="dxa"/>
            <w:tcBorders>
              <w:top w:val="single" w:color="auto" w:sz="4" w:space="0"/>
              <w:left w:val="single" w:color="auto" w:sz="4" w:space="0"/>
              <w:bottom w:val="single" w:color="auto" w:sz="4" w:space="0"/>
              <w:right w:val="single" w:color="auto" w:sz="4" w:space="0"/>
            </w:tcBorders>
            <w:noWrap/>
            <w:vAlign w:val="center"/>
          </w:tcPr>
          <w:p w14:paraId="16737A37">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r>
      <w:tr w14:paraId="419B3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14:paraId="67AD4A82">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ign w:val="center"/>
          </w:tcPr>
          <w:p w14:paraId="0FD5766B">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636" w:type="dxa"/>
            <w:tcBorders>
              <w:top w:val="single" w:color="auto" w:sz="4" w:space="0"/>
              <w:left w:val="single" w:color="auto" w:sz="4" w:space="0"/>
              <w:bottom w:val="single" w:color="auto" w:sz="4" w:space="0"/>
              <w:right w:val="single" w:color="auto" w:sz="4" w:space="0"/>
            </w:tcBorders>
            <w:noWrap/>
            <w:vAlign w:val="center"/>
          </w:tcPr>
          <w:p w14:paraId="03816F5B">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ign w:val="center"/>
          </w:tcPr>
          <w:p w14:paraId="0CD88212">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5A2901EF">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noWrap/>
            <w:vAlign w:val="center"/>
          </w:tcPr>
          <w:p w14:paraId="10B55FD7">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noWrap/>
            <w:vAlign w:val="center"/>
          </w:tcPr>
          <w:p w14:paraId="093B8D47">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444" w:type="dxa"/>
            <w:tcBorders>
              <w:top w:val="single" w:color="auto" w:sz="4" w:space="0"/>
              <w:left w:val="single" w:color="auto" w:sz="4" w:space="0"/>
              <w:bottom w:val="single" w:color="auto" w:sz="4" w:space="0"/>
              <w:right w:val="single" w:color="auto" w:sz="4" w:space="0"/>
            </w:tcBorders>
            <w:noWrap/>
            <w:vAlign w:val="center"/>
          </w:tcPr>
          <w:p w14:paraId="243570C4">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r>
      <w:tr w14:paraId="2F08B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2" w:type="dxa"/>
            <w:tcBorders>
              <w:top w:val="single" w:color="auto" w:sz="4" w:space="0"/>
              <w:left w:val="single" w:color="auto" w:sz="4" w:space="0"/>
              <w:bottom w:val="single" w:color="auto" w:sz="4" w:space="0"/>
              <w:right w:val="single" w:color="auto" w:sz="4" w:space="0"/>
            </w:tcBorders>
            <w:noWrap/>
            <w:vAlign w:val="center"/>
          </w:tcPr>
          <w:p w14:paraId="66A420FB">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ign w:val="center"/>
          </w:tcPr>
          <w:p w14:paraId="2C4E4824">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636" w:type="dxa"/>
            <w:tcBorders>
              <w:top w:val="single" w:color="auto" w:sz="4" w:space="0"/>
              <w:left w:val="single" w:color="auto" w:sz="4" w:space="0"/>
              <w:bottom w:val="single" w:color="auto" w:sz="4" w:space="0"/>
              <w:right w:val="single" w:color="auto" w:sz="4" w:space="0"/>
            </w:tcBorders>
            <w:noWrap/>
            <w:vAlign w:val="center"/>
          </w:tcPr>
          <w:p w14:paraId="0AAB9D70">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ign w:val="center"/>
          </w:tcPr>
          <w:p w14:paraId="0100003E">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44915609">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noWrap/>
            <w:vAlign w:val="center"/>
          </w:tcPr>
          <w:p w14:paraId="030F3511">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noWrap/>
            <w:vAlign w:val="center"/>
          </w:tcPr>
          <w:p w14:paraId="5690BF44">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444" w:type="dxa"/>
            <w:tcBorders>
              <w:top w:val="single" w:color="auto" w:sz="4" w:space="0"/>
              <w:left w:val="single" w:color="auto" w:sz="4" w:space="0"/>
              <w:bottom w:val="single" w:color="auto" w:sz="4" w:space="0"/>
              <w:right w:val="single" w:color="auto" w:sz="4" w:space="0"/>
            </w:tcBorders>
            <w:noWrap/>
            <w:vAlign w:val="center"/>
          </w:tcPr>
          <w:p w14:paraId="4DD8735D">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r>
      <w:tr w14:paraId="01D52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2" w:type="dxa"/>
            <w:tcBorders>
              <w:top w:val="single" w:color="auto" w:sz="4" w:space="0"/>
              <w:left w:val="single" w:color="auto" w:sz="4" w:space="0"/>
              <w:bottom w:val="single" w:color="auto" w:sz="4" w:space="0"/>
              <w:right w:val="single" w:color="auto" w:sz="4" w:space="0"/>
            </w:tcBorders>
            <w:noWrap/>
            <w:vAlign w:val="center"/>
          </w:tcPr>
          <w:p w14:paraId="60EFD760">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ign w:val="center"/>
          </w:tcPr>
          <w:p w14:paraId="42C8D697">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636" w:type="dxa"/>
            <w:tcBorders>
              <w:top w:val="single" w:color="auto" w:sz="4" w:space="0"/>
              <w:left w:val="single" w:color="auto" w:sz="4" w:space="0"/>
              <w:bottom w:val="single" w:color="auto" w:sz="4" w:space="0"/>
              <w:right w:val="single" w:color="auto" w:sz="4" w:space="0"/>
            </w:tcBorders>
            <w:noWrap/>
            <w:vAlign w:val="center"/>
          </w:tcPr>
          <w:p w14:paraId="33B94B17">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ign w:val="center"/>
          </w:tcPr>
          <w:p w14:paraId="358BAA1D">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0D8B5321">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noWrap/>
            <w:vAlign w:val="center"/>
          </w:tcPr>
          <w:p w14:paraId="00434DE8">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noWrap/>
            <w:vAlign w:val="center"/>
          </w:tcPr>
          <w:p w14:paraId="1FB84440">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444" w:type="dxa"/>
            <w:tcBorders>
              <w:top w:val="single" w:color="auto" w:sz="4" w:space="0"/>
              <w:left w:val="single" w:color="auto" w:sz="4" w:space="0"/>
              <w:bottom w:val="single" w:color="auto" w:sz="4" w:space="0"/>
              <w:right w:val="single" w:color="auto" w:sz="4" w:space="0"/>
            </w:tcBorders>
            <w:noWrap/>
            <w:vAlign w:val="center"/>
          </w:tcPr>
          <w:p w14:paraId="0F65F23D">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r>
    </w:tbl>
    <w:p w14:paraId="069C2CEB">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4B57A7FB">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上表中</w:t>
      </w:r>
      <w:r>
        <w:rPr>
          <w:rFonts w:hint="eastAsia" w:ascii="宋体" w:hAnsi="宋体" w:eastAsia="宋体" w:cs="宋体"/>
          <w:b w:val="0"/>
          <w:bCs w:val="0"/>
          <w:color w:val="auto"/>
          <w:sz w:val="21"/>
          <w:szCs w:val="21"/>
          <w:highlight w:val="none"/>
        </w:rPr>
        <w:t>项目</w:t>
      </w:r>
      <w:r>
        <w:rPr>
          <w:rFonts w:hint="eastAsia" w:ascii="宋体" w:hAnsi="宋体" w:cs="宋体"/>
          <w:b w:val="0"/>
          <w:bCs w:val="0"/>
          <w:color w:val="auto"/>
          <w:sz w:val="21"/>
          <w:szCs w:val="21"/>
          <w:highlight w:val="none"/>
          <w:lang w:eastAsia="zh-CN"/>
        </w:rPr>
        <w:t>主审</w:t>
      </w:r>
      <w:r>
        <w:rPr>
          <w:rFonts w:hint="eastAsia" w:ascii="宋体" w:hAnsi="宋体" w:cs="宋体"/>
          <w:b w:val="0"/>
          <w:bCs w:val="0"/>
          <w:color w:val="auto"/>
          <w:sz w:val="21"/>
          <w:szCs w:val="21"/>
          <w:highlight w:val="none"/>
          <w:lang w:val="en-US" w:eastAsia="zh-CN"/>
        </w:rPr>
        <w:t>/项目参与栏，根据项目参与情况填写“项目主审”或“项目参与”。</w:t>
      </w:r>
    </w:p>
    <w:p w14:paraId="6B1C3C69">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响应文件中须提供清晰可辨的审核报告扫描件。</w:t>
      </w:r>
    </w:p>
    <w:p w14:paraId="5F00CC45">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.如拟派</w:t>
      </w:r>
      <w:r>
        <w:rPr>
          <w:rFonts w:hint="eastAsia" w:ascii="宋体" w:hAnsi="宋体" w:eastAsia="宋体" w:cs="宋体"/>
          <w:color w:val="auto"/>
          <w:sz w:val="21"/>
          <w:szCs w:val="21"/>
          <w:highlight w:val="none"/>
          <w:lang w:eastAsia="zh-CN"/>
        </w:rPr>
        <w:t>团队组成员</w:t>
      </w:r>
      <w:r>
        <w:rPr>
          <w:rFonts w:hint="eastAsia" w:ascii="宋体" w:hAnsi="宋体" w:eastAsia="宋体" w:cs="宋体"/>
          <w:color w:val="auto"/>
          <w:sz w:val="21"/>
          <w:szCs w:val="21"/>
          <w:highlight w:val="none"/>
        </w:rPr>
        <w:t>在其他单位工作期间的项目经验，须提供同期在其他单位的社保证明。</w:t>
      </w:r>
    </w:p>
    <w:p w14:paraId="779E03E6">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.如供应商提供的合同扫描件因模糊不清而造成评标委员会在评审时做出对供应商不利的评审由供应商自行承担。</w:t>
      </w:r>
    </w:p>
    <w:p w14:paraId="241C4024">
      <w:pPr>
        <w:pStyle w:val="15"/>
        <w:keepNext w:val="0"/>
        <w:keepLines w:val="0"/>
        <w:pageBreakBefore w:val="0"/>
        <w:kinsoku/>
        <w:wordWrap/>
        <w:overflowPunct/>
        <w:topLinePunct w:val="0"/>
        <w:autoSpaceDE/>
        <w:autoSpaceDN/>
        <w:bidi w:val="0"/>
        <w:spacing w:line="360" w:lineRule="auto"/>
        <w:ind w:left="480" w:firstLine="404"/>
        <w:rPr>
          <w:rFonts w:hint="eastAsia" w:ascii="宋体" w:hAnsi="宋体" w:eastAsia="宋体" w:cs="宋体"/>
          <w:color w:val="auto"/>
          <w:sz w:val="24"/>
          <w:szCs w:val="24"/>
          <w:highlight w:val="none"/>
        </w:rPr>
      </w:pPr>
    </w:p>
    <w:p w14:paraId="7ED4F17F">
      <w:pPr>
        <w:keepNext w:val="0"/>
        <w:keepLines w:val="0"/>
        <w:pageBreakBefore w:val="0"/>
        <w:tabs>
          <w:tab w:val="left" w:pos="1418"/>
        </w:tabs>
        <w:kinsoku/>
        <w:wordWrap/>
        <w:overflowPunct/>
        <w:topLinePunct w:val="0"/>
        <w:autoSpaceDE/>
        <w:autoSpaceDN/>
        <w:bidi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法定代表人或委托代理人签名：</w:t>
      </w:r>
      <w:r>
        <w:rPr>
          <w:rFonts w:hint="eastAsia" w:ascii="宋体" w:hAnsi="宋体" w:eastAsia="宋体" w:cs="宋体"/>
          <w:bCs/>
          <w:color w:val="auto"/>
          <w:sz w:val="24"/>
          <w:szCs w:val="24"/>
          <w:highlight w:val="none"/>
        </w:rPr>
        <w:t xml:space="preserve"> </w:t>
      </w:r>
    </w:p>
    <w:p w14:paraId="38D6E3CA">
      <w:pPr>
        <w:keepNext w:val="0"/>
        <w:keepLines w:val="0"/>
        <w:pageBreakBefore w:val="0"/>
        <w:tabs>
          <w:tab w:val="left" w:pos="1418"/>
        </w:tabs>
        <w:kinsoku/>
        <w:wordWrap/>
        <w:overflowPunct/>
        <w:topLinePunct w:val="0"/>
        <w:autoSpaceDE/>
        <w:autoSpaceDN/>
        <w:bidi w:val="0"/>
        <w:spacing w:line="360" w:lineRule="auto"/>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供 应 商  </w:t>
      </w:r>
      <w:r>
        <w:rPr>
          <w:rFonts w:hint="eastAsia" w:ascii="宋体" w:hAnsi="宋体" w:eastAsia="宋体" w:cs="宋体"/>
          <w:bCs/>
          <w:color w:val="auto"/>
          <w:sz w:val="24"/>
          <w:szCs w:val="24"/>
          <w:highlight w:val="none"/>
        </w:rPr>
        <w:t>（盖章）：                              年  月  日</w:t>
      </w:r>
    </w:p>
    <w:p w14:paraId="77AEBF0D">
      <w:pPr>
        <w:pStyle w:val="44"/>
        <w:keepNext w:val="0"/>
        <w:keepLines w:val="0"/>
        <w:pageBreakBefore w:val="0"/>
        <w:kinsoku/>
        <w:wordWrap/>
        <w:overflowPunct/>
        <w:topLinePunct w:val="0"/>
        <w:autoSpaceDE/>
        <w:autoSpaceDN/>
        <w:bidi w:val="0"/>
        <w:spacing w:line="360" w:lineRule="auto"/>
        <w:jc w:val="center"/>
        <w:rPr>
          <w:rFonts w:hint="eastAsia" w:ascii="宋体" w:hAnsi="宋体" w:eastAsia="宋体" w:cs="宋体"/>
          <w:b/>
          <w:snapToGrid w:val="0"/>
          <w:color w:val="auto"/>
          <w:sz w:val="24"/>
          <w:szCs w:val="24"/>
          <w:highlight w:val="none"/>
        </w:rPr>
        <w:sectPr>
          <w:pgSz w:w="11906" w:h="16838"/>
          <w:pgMar w:top="1440" w:right="1083" w:bottom="1440" w:left="1083" w:header="851" w:footer="850" w:gutter="0"/>
          <w:pgNumType w:fmt="decimal"/>
          <w:cols w:space="0" w:num="1"/>
          <w:rtlGutter w:val="0"/>
          <w:docGrid w:linePitch="312" w:charSpace="0"/>
        </w:sectPr>
      </w:pPr>
    </w:p>
    <w:p w14:paraId="1A17E68C">
      <w:pPr>
        <w:keepNext/>
        <w:keepLines w:val="0"/>
        <w:pageBreakBefore/>
        <w:kinsoku/>
        <w:wordWrap/>
        <w:overflowPunct/>
        <w:topLinePunct w:val="0"/>
        <w:autoSpaceDE/>
        <w:autoSpaceDN/>
        <w:bidi w:val="0"/>
        <w:spacing w:line="360" w:lineRule="auto"/>
        <w:jc w:val="center"/>
        <w:rPr>
          <w:rFonts w:hint="eastAsia" w:ascii="宋体" w:hAnsi="宋体" w:eastAsia="宋体" w:cs="宋体"/>
          <w:b/>
          <w:snapToGrid w:val="0"/>
          <w:color w:val="auto"/>
          <w:sz w:val="24"/>
          <w:szCs w:val="24"/>
          <w:highlight w:val="none"/>
          <w:lang w:val="en-US" w:eastAsia="zh-CN"/>
        </w:rPr>
      </w:pPr>
      <w:r>
        <w:rPr>
          <w:rFonts w:hint="eastAsia" w:ascii="宋体" w:hAnsi="宋体" w:eastAsia="宋体" w:cs="宋体"/>
          <w:b/>
          <w:snapToGrid w:val="0"/>
          <w:color w:val="auto"/>
          <w:sz w:val="24"/>
          <w:szCs w:val="24"/>
          <w:highlight w:val="none"/>
          <w:lang w:val="en-US" w:eastAsia="zh-CN"/>
        </w:rPr>
        <w:t>项目</w:t>
      </w:r>
      <w:r>
        <w:rPr>
          <w:rFonts w:hint="eastAsia" w:ascii="宋体" w:hAnsi="宋体" w:cs="宋体"/>
          <w:b/>
          <w:snapToGrid w:val="0"/>
          <w:color w:val="auto"/>
          <w:sz w:val="24"/>
          <w:szCs w:val="24"/>
          <w:highlight w:val="none"/>
          <w:lang w:val="en-US" w:eastAsia="zh-CN"/>
        </w:rPr>
        <w:t>负责人类似项目经验</w:t>
      </w:r>
    </w:p>
    <w:tbl>
      <w:tblPr>
        <w:tblStyle w:val="32"/>
        <w:tblW w:w="8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233"/>
        <w:gridCol w:w="1378"/>
        <w:gridCol w:w="1741"/>
        <w:gridCol w:w="1175"/>
        <w:gridCol w:w="1291"/>
        <w:gridCol w:w="918"/>
      </w:tblGrid>
      <w:tr w14:paraId="02B71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32" w:type="dxa"/>
            <w:tcBorders>
              <w:top w:val="single" w:color="auto" w:sz="4" w:space="0"/>
              <w:left w:val="single" w:color="auto" w:sz="4" w:space="0"/>
              <w:bottom w:val="single" w:color="auto" w:sz="4" w:space="0"/>
              <w:right w:val="single" w:color="auto" w:sz="4" w:space="0"/>
            </w:tcBorders>
            <w:noWrap/>
            <w:vAlign w:val="center"/>
          </w:tcPr>
          <w:p w14:paraId="2BDB2D00">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33" w:type="dxa"/>
            <w:tcBorders>
              <w:top w:val="single" w:color="auto" w:sz="4" w:space="0"/>
              <w:left w:val="single" w:color="auto" w:sz="4" w:space="0"/>
              <w:bottom w:val="single" w:color="auto" w:sz="4" w:space="0"/>
              <w:right w:val="single" w:color="auto" w:sz="4" w:space="0"/>
            </w:tcBorders>
            <w:noWrap/>
            <w:vAlign w:val="center"/>
          </w:tcPr>
          <w:p w14:paraId="66EE140C">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378" w:type="dxa"/>
            <w:tcBorders>
              <w:top w:val="single" w:color="auto" w:sz="4" w:space="0"/>
              <w:left w:val="single" w:color="auto" w:sz="4" w:space="0"/>
              <w:bottom w:val="single" w:color="auto" w:sz="4" w:space="0"/>
              <w:right w:val="single" w:color="auto" w:sz="4" w:space="0"/>
            </w:tcBorders>
            <w:noWrap/>
            <w:vAlign w:val="center"/>
          </w:tcPr>
          <w:p w14:paraId="46604033">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委托</w:t>
            </w:r>
            <w:r>
              <w:rPr>
                <w:rFonts w:hint="eastAsia" w:ascii="宋体" w:hAnsi="宋体" w:cs="宋体"/>
                <w:b/>
                <w:bCs/>
                <w:color w:val="auto"/>
                <w:sz w:val="24"/>
                <w:szCs w:val="24"/>
                <w:highlight w:val="none"/>
                <w:lang w:eastAsia="zh-CN"/>
              </w:rPr>
              <w:t>单位</w:t>
            </w:r>
            <w:r>
              <w:rPr>
                <w:rFonts w:hint="eastAsia" w:ascii="宋体" w:hAnsi="宋体" w:eastAsia="宋体" w:cs="宋体"/>
                <w:b/>
                <w:bCs/>
                <w:color w:val="auto"/>
                <w:sz w:val="24"/>
                <w:szCs w:val="24"/>
                <w:highlight w:val="none"/>
              </w:rPr>
              <w:t>名称</w:t>
            </w:r>
          </w:p>
        </w:tc>
        <w:tc>
          <w:tcPr>
            <w:tcW w:w="1741" w:type="dxa"/>
            <w:tcBorders>
              <w:top w:val="single" w:color="auto" w:sz="4" w:space="0"/>
              <w:left w:val="single" w:color="auto" w:sz="4" w:space="0"/>
              <w:right w:val="single" w:color="auto" w:sz="4" w:space="0"/>
            </w:tcBorders>
            <w:noWrap/>
            <w:vAlign w:val="center"/>
          </w:tcPr>
          <w:p w14:paraId="06E9D90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项目金额</w:t>
            </w:r>
          </w:p>
        </w:tc>
        <w:tc>
          <w:tcPr>
            <w:tcW w:w="1175" w:type="dxa"/>
            <w:tcBorders>
              <w:top w:val="single" w:color="auto" w:sz="4" w:space="0"/>
              <w:left w:val="single" w:color="auto" w:sz="4" w:space="0"/>
              <w:bottom w:val="single" w:color="auto" w:sz="4" w:space="0"/>
              <w:right w:val="single" w:color="auto" w:sz="4" w:space="0"/>
            </w:tcBorders>
            <w:noWrap/>
            <w:vAlign w:val="center"/>
          </w:tcPr>
          <w:p w14:paraId="7ECCBA5B">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出具审核</w:t>
            </w:r>
            <w:r>
              <w:rPr>
                <w:rFonts w:hint="eastAsia" w:ascii="宋体" w:hAnsi="宋体" w:eastAsia="宋体" w:cs="宋体"/>
                <w:b/>
                <w:bCs/>
                <w:color w:val="auto"/>
                <w:sz w:val="24"/>
                <w:szCs w:val="24"/>
                <w:highlight w:val="none"/>
              </w:rPr>
              <w:t>报告时间</w:t>
            </w:r>
          </w:p>
        </w:tc>
        <w:tc>
          <w:tcPr>
            <w:tcW w:w="1291" w:type="dxa"/>
            <w:tcBorders>
              <w:top w:val="single" w:color="auto" w:sz="4" w:space="0"/>
              <w:left w:val="single" w:color="auto" w:sz="4" w:space="0"/>
              <w:bottom w:val="single" w:color="auto" w:sz="4" w:space="0"/>
              <w:right w:val="single" w:color="auto" w:sz="4" w:space="0"/>
            </w:tcBorders>
            <w:noWrap/>
            <w:vAlign w:val="center"/>
          </w:tcPr>
          <w:p w14:paraId="608E2E36">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审核</w:t>
            </w:r>
            <w:r>
              <w:rPr>
                <w:rFonts w:hint="eastAsia" w:ascii="宋体" w:hAnsi="宋体" w:eastAsia="宋体" w:cs="宋体"/>
                <w:b/>
                <w:bCs/>
                <w:color w:val="auto"/>
                <w:sz w:val="24"/>
                <w:szCs w:val="24"/>
                <w:highlight w:val="none"/>
                <w:lang w:eastAsia="zh-CN"/>
              </w:rPr>
              <w:t>类别</w:t>
            </w:r>
          </w:p>
        </w:tc>
        <w:tc>
          <w:tcPr>
            <w:tcW w:w="918" w:type="dxa"/>
            <w:tcBorders>
              <w:top w:val="single" w:color="auto" w:sz="4" w:space="0"/>
              <w:left w:val="single" w:color="auto" w:sz="4" w:space="0"/>
              <w:bottom w:val="single" w:color="auto" w:sz="4" w:space="0"/>
              <w:right w:val="single" w:color="auto" w:sz="4" w:space="0"/>
            </w:tcBorders>
            <w:noWrap/>
            <w:vAlign w:val="center"/>
          </w:tcPr>
          <w:p w14:paraId="56EDC40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备注</w:t>
            </w:r>
          </w:p>
        </w:tc>
      </w:tr>
      <w:tr w14:paraId="3F049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732" w:type="dxa"/>
            <w:tcBorders>
              <w:top w:val="single" w:color="auto" w:sz="4" w:space="0"/>
              <w:left w:val="single" w:color="auto" w:sz="4" w:space="0"/>
              <w:bottom w:val="single" w:color="auto" w:sz="4" w:space="0"/>
              <w:right w:val="single" w:color="auto" w:sz="4" w:space="0"/>
            </w:tcBorders>
            <w:noWrap/>
            <w:vAlign w:val="center"/>
          </w:tcPr>
          <w:p w14:paraId="3A0EA003">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233" w:type="dxa"/>
            <w:tcBorders>
              <w:top w:val="single" w:color="auto" w:sz="4" w:space="0"/>
              <w:left w:val="single" w:color="auto" w:sz="4" w:space="0"/>
              <w:bottom w:val="single" w:color="auto" w:sz="4" w:space="0"/>
              <w:right w:val="single" w:color="auto" w:sz="4" w:space="0"/>
            </w:tcBorders>
            <w:noWrap/>
            <w:vAlign w:val="center"/>
          </w:tcPr>
          <w:p w14:paraId="5EA8E7AB">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ign w:val="center"/>
          </w:tcPr>
          <w:p w14:paraId="2E5C1414">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3C111386">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175" w:type="dxa"/>
            <w:tcBorders>
              <w:top w:val="single" w:color="auto" w:sz="4" w:space="0"/>
              <w:left w:val="single" w:color="auto" w:sz="4" w:space="0"/>
              <w:bottom w:val="single" w:color="auto" w:sz="4" w:space="0"/>
              <w:right w:val="single" w:color="auto" w:sz="4" w:space="0"/>
            </w:tcBorders>
            <w:noWrap/>
            <w:vAlign w:val="center"/>
          </w:tcPr>
          <w:p w14:paraId="5B9C9117">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6059F4F0">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14:paraId="17B7713D">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r>
      <w:tr w14:paraId="5DEE2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noWrap/>
            <w:vAlign w:val="center"/>
          </w:tcPr>
          <w:p w14:paraId="139A362B">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233" w:type="dxa"/>
            <w:tcBorders>
              <w:top w:val="single" w:color="auto" w:sz="4" w:space="0"/>
              <w:left w:val="single" w:color="auto" w:sz="4" w:space="0"/>
              <w:bottom w:val="single" w:color="auto" w:sz="4" w:space="0"/>
              <w:right w:val="single" w:color="auto" w:sz="4" w:space="0"/>
            </w:tcBorders>
            <w:noWrap/>
            <w:vAlign w:val="center"/>
          </w:tcPr>
          <w:p w14:paraId="4D31159C">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ign w:val="center"/>
          </w:tcPr>
          <w:p w14:paraId="08F1C849">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787E9AFC">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175" w:type="dxa"/>
            <w:tcBorders>
              <w:top w:val="single" w:color="auto" w:sz="4" w:space="0"/>
              <w:left w:val="single" w:color="auto" w:sz="4" w:space="0"/>
              <w:bottom w:val="single" w:color="auto" w:sz="4" w:space="0"/>
              <w:right w:val="single" w:color="auto" w:sz="4" w:space="0"/>
            </w:tcBorders>
            <w:noWrap/>
            <w:vAlign w:val="center"/>
          </w:tcPr>
          <w:p w14:paraId="0B085E9C">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588C8B38">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14:paraId="1C06E3BF">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r>
      <w:tr w14:paraId="5AC80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32" w:type="dxa"/>
            <w:tcBorders>
              <w:top w:val="single" w:color="auto" w:sz="4" w:space="0"/>
              <w:left w:val="single" w:color="auto" w:sz="4" w:space="0"/>
              <w:bottom w:val="single" w:color="auto" w:sz="4" w:space="0"/>
              <w:right w:val="single" w:color="auto" w:sz="4" w:space="0"/>
            </w:tcBorders>
            <w:noWrap/>
            <w:vAlign w:val="center"/>
          </w:tcPr>
          <w:p w14:paraId="66C50FA3">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233" w:type="dxa"/>
            <w:tcBorders>
              <w:top w:val="single" w:color="auto" w:sz="4" w:space="0"/>
              <w:left w:val="single" w:color="auto" w:sz="4" w:space="0"/>
              <w:bottom w:val="single" w:color="auto" w:sz="4" w:space="0"/>
              <w:right w:val="single" w:color="auto" w:sz="4" w:space="0"/>
            </w:tcBorders>
            <w:noWrap/>
            <w:vAlign w:val="center"/>
          </w:tcPr>
          <w:p w14:paraId="6F453D6D">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ign w:val="center"/>
          </w:tcPr>
          <w:p w14:paraId="0915F004">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7AC8096E">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175" w:type="dxa"/>
            <w:tcBorders>
              <w:top w:val="single" w:color="auto" w:sz="4" w:space="0"/>
              <w:left w:val="single" w:color="auto" w:sz="4" w:space="0"/>
              <w:bottom w:val="single" w:color="auto" w:sz="4" w:space="0"/>
              <w:right w:val="single" w:color="auto" w:sz="4" w:space="0"/>
            </w:tcBorders>
            <w:noWrap/>
            <w:vAlign w:val="center"/>
          </w:tcPr>
          <w:p w14:paraId="7963B595">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5636E2FB">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14:paraId="391B7B4A">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r>
      <w:tr w14:paraId="619EF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noWrap/>
            <w:vAlign w:val="center"/>
          </w:tcPr>
          <w:p w14:paraId="376C83E0">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233" w:type="dxa"/>
            <w:tcBorders>
              <w:top w:val="single" w:color="auto" w:sz="4" w:space="0"/>
              <w:left w:val="single" w:color="auto" w:sz="4" w:space="0"/>
              <w:bottom w:val="single" w:color="auto" w:sz="4" w:space="0"/>
              <w:right w:val="single" w:color="auto" w:sz="4" w:space="0"/>
            </w:tcBorders>
            <w:noWrap/>
            <w:vAlign w:val="center"/>
          </w:tcPr>
          <w:p w14:paraId="5A40A743">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ign w:val="center"/>
          </w:tcPr>
          <w:p w14:paraId="54861DFB">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5D3798B3">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175" w:type="dxa"/>
            <w:tcBorders>
              <w:top w:val="single" w:color="auto" w:sz="4" w:space="0"/>
              <w:left w:val="single" w:color="auto" w:sz="4" w:space="0"/>
              <w:bottom w:val="single" w:color="auto" w:sz="4" w:space="0"/>
              <w:right w:val="single" w:color="auto" w:sz="4" w:space="0"/>
            </w:tcBorders>
            <w:noWrap/>
            <w:vAlign w:val="center"/>
          </w:tcPr>
          <w:p w14:paraId="39332E59">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1AC27C35">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14:paraId="0A8A9194">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r>
      <w:tr w14:paraId="0D576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noWrap/>
            <w:vAlign w:val="center"/>
          </w:tcPr>
          <w:p w14:paraId="0B2D6A04">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233" w:type="dxa"/>
            <w:tcBorders>
              <w:top w:val="single" w:color="auto" w:sz="4" w:space="0"/>
              <w:left w:val="single" w:color="auto" w:sz="4" w:space="0"/>
              <w:bottom w:val="single" w:color="auto" w:sz="4" w:space="0"/>
              <w:right w:val="single" w:color="auto" w:sz="4" w:space="0"/>
            </w:tcBorders>
            <w:noWrap/>
            <w:vAlign w:val="center"/>
          </w:tcPr>
          <w:p w14:paraId="37E44814">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ign w:val="center"/>
          </w:tcPr>
          <w:p w14:paraId="5810AF85">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2C814487">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175" w:type="dxa"/>
            <w:tcBorders>
              <w:top w:val="single" w:color="auto" w:sz="4" w:space="0"/>
              <w:left w:val="single" w:color="auto" w:sz="4" w:space="0"/>
              <w:bottom w:val="single" w:color="auto" w:sz="4" w:space="0"/>
              <w:right w:val="single" w:color="auto" w:sz="4" w:space="0"/>
            </w:tcBorders>
            <w:noWrap/>
            <w:vAlign w:val="center"/>
          </w:tcPr>
          <w:p w14:paraId="0202069D">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369B7925">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14:paraId="5930C074">
            <w:pPr>
              <w:keepNext w:val="0"/>
              <w:keepLines w:val="0"/>
              <w:pageBreakBefore w:val="0"/>
              <w:suppressLineNumbers w:val="0"/>
              <w:kinsoku/>
              <w:wordWrap/>
              <w:overflowPunct/>
              <w:topLinePunct w:val="0"/>
              <w:autoSpaceDE/>
              <w:autoSpaceDN/>
              <w:bidi w:val="0"/>
              <w:snapToGrid w:val="0"/>
              <w:spacing w:before="50" w:beforeAutospacing="0" w:after="0" w:afterLines="50" w:afterAutospacing="0" w:line="360" w:lineRule="auto"/>
              <w:ind w:left="0" w:right="0"/>
              <w:jc w:val="left"/>
              <w:rPr>
                <w:rFonts w:hint="eastAsia" w:ascii="宋体" w:hAnsi="宋体" w:eastAsia="宋体" w:cs="宋体"/>
                <w:color w:val="auto"/>
                <w:sz w:val="24"/>
                <w:szCs w:val="24"/>
                <w:highlight w:val="none"/>
              </w:rPr>
            </w:pPr>
          </w:p>
        </w:tc>
      </w:tr>
    </w:tbl>
    <w:p w14:paraId="0E710231">
      <w:pPr>
        <w:spacing w:line="360" w:lineRule="auto"/>
        <w:rPr>
          <w:rFonts w:hint="eastAsia" w:ascii="宋体" w:hAnsi="宋体" w:eastAsia="宋体" w:cs="宋体"/>
          <w:highlight w:val="none"/>
        </w:rPr>
      </w:pPr>
      <w:r>
        <w:rPr>
          <w:rFonts w:hint="eastAsia" w:ascii="宋体" w:hAnsi="宋体" w:eastAsia="宋体" w:cs="宋体"/>
          <w:highlight w:val="none"/>
        </w:rPr>
        <w:t>说明：</w:t>
      </w:r>
    </w:p>
    <w:p w14:paraId="256C198E">
      <w:pPr>
        <w:tabs>
          <w:tab w:val="left" w:pos="1418"/>
        </w:tabs>
        <w:spacing w:line="360" w:lineRule="auto"/>
        <w:rPr>
          <w:rFonts w:hint="eastAsia" w:ascii="宋体" w:hAnsi="宋体"/>
          <w:highlight w:val="none"/>
        </w:rPr>
      </w:pPr>
      <w:r>
        <w:rPr>
          <w:rFonts w:hint="eastAsia" w:ascii="宋体" w:hAnsi="宋体"/>
          <w:highlight w:val="none"/>
        </w:rPr>
        <w:t>1.表格不够，可按同样格式扩展，并分别填写；</w:t>
      </w:r>
    </w:p>
    <w:p w14:paraId="741CF826">
      <w:pPr>
        <w:tabs>
          <w:tab w:val="left" w:pos="1418"/>
        </w:tabs>
        <w:spacing w:line="360" w:lineRule="auto"/>
        <w:rPr>
          <w:rFonts w:hint="eastAsia" w:ascii="宋体" w:hAnsi="宋体"/>
          <w:highlight w:val="none"/>
        </w:rPr>
      </w:pPr>
      <w:r>
        <w:rPr>
          <w:rFonts w:hint="eastAsia" w:ascii="宋体" w:hAnsi="宋体"/>
          <w:highlight w:val="none"/>
        </w:rPr>
        <w:t>2.提供</w:t>
      </w:r>
      <w:r>
        <w:rPr>
          <w:rFonts w:hint="eastAsia" w:ascii="宋体" w:hAnsi="宋体"/>
          <w:highlight w:val="none"/>
          <w:lang w:eastAsia="zh-CN"/>
        </w:rPr>
        <w:t>项目负责人</w:t>
      </w:r>
      <w:r>
        <w:rPr>
          <w:rFonts w:hint="eastAsia" w:ascii="宋体" w:hAnsi="宋体"/>
          <w:highlight w:val="none"/>
        </w:rPr>
        <w:t>自近三年以来政府投资或国企投资项目送审的工程造价结算和项目概算审核业绩证明材料附后，业绩证明材料包括委托协议或合同扫描件+ 审核报告（文字部分）扫描件。</w:t>
      </w:r>
    </w:p>
    <w:p w14:paraId="1D0866DA">
      <w:pPr>
        <w:tabs>
          <w:tab w:val="left" w:pos="1418"/>
        </w:tabs>
        <w:spacing w:line="360" w:lineRule="auto"/>
        <w:rPr>
          <w:rFonts w:hint="eastAsia" w:ascii="宋体" w:hAnsi="宋体"/>
          <w:highlight w:val="none"/>
        </w:rPr>
      </w:pPr>
      <w:r>
        <w:rPr>
          <w:rFonts w:hint="eastAsia" w:ascii="宋体" w:hAnsi="宋体"/>
          <w:highlight w:val="none"/>
        </w:rPr>
        <w:t>3.概算审核</w:t>
      </w:r>
      <w:r>
        <w:rPr>
          <w:rFonts w:hint="eastAsia" w:ascii="宋体" w:hAnsi="宋体"/>
          <w:highlight w:val="none"/>
          <w:lang w:eastAsia="zh-CN"/>
        </w:rPr>
        <w:t>、</w:t>
      </w:r>
      <w:r>
        <w:rPr>
          <w:rFonts w:hint="eastAsia" w:ascii="宋体" w:hAnsi="宋体"/>
          <w:highlight w:val="none"/>
        </w:rPr>
        <w:t>工程结算审核全部填在此表中，审核类别栏填写“工程结算审核”或“概算审核”。</w:t>
      </w:r>
    </w:p>
    <w:p w14:paraId="474A218E">
      <w:pPr>
        <w:pStyle w:val="2"/>
      </w:pPr>
    </w:p>
    <w:p w14:paraId="0FDDEE2F">
      <w:pPr>
        <w:tabs>
          <w:tab w:val="left" w:pos="1418"/>
        </w:tabs>
        <w:spacing w:line="360" w:lineRule="auto"/>
        <w:rPr>
          <w:rFonts w:ascii="宋体" w:hAnsi="宋体"/>
          <w:bCs/>
          <w:highlight w:val="none"/>
        </w:rPr>
      </w:pPr>
      <w:r>
        <w:rPr>
          <w:rFonts w:hint="eastAsia" w:ascii="宋体" w:hAnsi="宋体"/>
          <w:highlight w:val="none"/>
        </w:rPr>
        <w:t>法定代表人或委托代理人签名：</w:t>
      </w:r>
    </w:p>
    <w:p w14:paraId="42038D08">
      <w:pPr>
        <w:tabs>
          <w:tab w:val="left" w:pos="1418"/>
        </w:tabs>
        <w:spacing w:line="360" w:lineRule="auto"/>
        <w:rPr>
          <w:rFonts w:ascii="宋体" w:hAnsi="宋体"/>
          <w:bCs/>
          <w:highlight w:val="none"/>
        </w:rPr>
      </w:pPr>
      <w:r>
        <w:rPr>
          <w:rFonts w:hint="eastAsia" w:ascii="宋体" w:hAnsi="宋体"/>
          <w:bCs/>
          <w:highlight w:val="none"/>
          <w:lang w:val="en-US" w:eastAsia="zh-CN"/>
        </w:rPr>
        <w:t xml:space="preserve">供 应 商  </w:t>
      </w:r>
      <w:r>
        <w:rPr>
          <w:rFonts w:hint="eastAsia" w:ascii="宋体" w:hAnsi="宋体"/>
          <w:bCs/>
          <w:highlight w:val="none"/>
        </w:rPr>
        <w:t>（盖章）：                              年  月  日</w:t>
      </w:r>
    </w:p>
    <w:p w14:paraId="69D6C8FE">
      <w:pPr>
        <w:tabs>
          <w:tab w:val="left" w:pos="1418"/>
        </w:tabs>
        <w:spacing w:line="360" w:lineRule="auto"/>
        <w:rPr>
          <w:rFonts w:ascii="宋体" w:hAnsi="宋体"/>
          <w:bCs/>
          <w:highlight w:val="none"/>
        </w:rPr>
      </w:pPr>
    </w:p>
    <w:p w14:paraId="18ED0B6F">
      <w:pPr>
        <w:pStyle w:val="15"/>
        <w:ind w:left="480" w:firstLine="404"/>
        <w:rPr>
          <w:highlight w:val="none"/>
        </w:rPr>
      </w:pPr>
    </w:p>
    <w:p w14:paraId="0AB09F3E">
      <w:pPr>
        <w:rPr>
          <w:highlight w:val="none"/>
        </w:rPr>
      </w:pPr>
    </w:p>
    <w:p w14:paraId="635EBF08">
      <w:pPr>
        <w:pStyle w:val="15"/>
        <w:ind w:left="480" w:firstLine="404"/>
        <w:rPr>
          <w:highlight w:val="none"/>
        </w:rPr>
      </w:pPr>
    </w:p>
    <w:p w14:paraId="72CE0E08">
      <w:pPr>
        <w:rPr>
          <w:highlight w:val="none"/>
        </w:rPr>
      </w:pPr>
    </w:p>
    <w:p w14:paraId="7EDE0E4E">
      <w:pPr>
        <w:pStyle w:val="15"/>
        <w:ind w:left="480" w:firstLine="404"/>
        <w:rPr>
          <w:highlight w:val="none"/>
        </w:rPr>
      </w:pPr>
    </w:p>
    <w:p w14:paraId="221DBA7E">
      <w:pPr>
        <w:rPr>
          <w:highlight w:val="none"/>
        </w:rPr>
      </w:pPr>
    </w:p>
    <w:p w14:paraId="7E17F1C3">
      <w:pPr>
        <w:pStyle w:val="15"/>
        <w:ind w:left="480" w:firstLine="404"/>
        <w:rPr>
          <w:highlight w:val="none"/>
        </w:rPr>
      </w:pPr>
    </w:p>
    <w:p w14:paraId="2A7333A0">
      <w:pPr>
        <w:rPr>
          <w:highlight w:val="none"/>
        </w:rPr>
      </w:pPr>
    </w:p>
    <w:p w14:paraId="6CF82F68">
      <w:pPr>
        <w:pStyle w:val="15"/>
        <w:ind w:left="480" w:firstLine="404"/>
        <w:rPr>
          <w:highlight w:val="none"/>
        </w:rPr>
      </w:pPr>
    </w:p>
    <w:p w14:paraId="1E95FD0D">
      <w:pPr>
        <w:rPr>
          <w:highlight w:val="none"/>
        </w:rPr>
      </w:pPr>
    </w:p>
    <w:p w14:paraId="4ECA9033">
      <w:pPr>
        <w:pStyle w:val="15"/>
        <w:ind w:left="480" w:firstLine="404"/>
        <w:rPr>
          <w:highlight w:val="none"/>
        </w:rPr>
      </w:pPr>
    </w:p>
    <w:p w14:paraId="5A18B063">
      <w:pPr>
        <w:rPr>
          <w:highlight w:val="none"/>
        </w:rPr>
      </w:pPr>
    </w:p>
    <w:p w14:paraId="5CE62205">
      <w:pPr>
        <w:rPr>
          <w:highlight w:val="none"/>
        </w:rPr>
      </w:pPr>
    </w:p>
    <w:p w14:paraId="5B26F661">
      <w:pPr>
        <w:pStyle w:val="18"/>
        <w:snapToGrid w:val="0"/>
        <w:spacing w:beforeLines="0" w:afterLines="0" w:line="360" w:lineRule="auto"/>
        <w:outlineLvl w:val="1"/>
        <w:rPr>
          <w:rFonts w:hAnsi="宋体"/>
          <w:b/>
          <w:highlight w:val="none"/>
        </w:rPr>
      </w:pPr>
      <w:r>
        <w:rPr>
          <w:rFonts w:hint="eastAsia" w:hAnsi="宋体"/>
          <w:b/>
          <w:highlight w:val="none"/>
        </w:rPr>
        <w:t>三、报价文件格式</w:t>
      </w:r>
    </w:p>
    <w:p w14:paraId="4820570A">
      <w:pPr>
        <w:snapToGrid w:val="0"/>
        <w:spacing w:line="360" w:lineRule="auto"/>
        <w:rPr>
          <w:rFonts w:ascii="宋体" w:hAnsi="宋体"/>
          <w:highlight w:val="none"/>
        </w:rPr>
      </w:pPr>
      <w:r>
        <w:rPr>
          <w:rFonts w:hint="eastAsia" w:ascii="宋体" w:hAnsi="宋体"/>
          <w:bCs/>
          <w:highlight w:val="none"/>
        </w:rPr>
        <w:t>1</w:t>
      </w:r>
      <w:r>
        <w:rPr>
          <w:rFonts w:ascii="宋体" w:hAnsi="宋体"/>
          <w:highlight w:val="none"/>
        </w:rPr>
        <w:t>.</w:t>
      </w:r>
      <w:r>
        <w:rPr>
          <w:rFonts w:hint="eastAsia" w:ascii="宋体" w:hAnsi="宋体"/>
          <w:highlight w:val="none"/>
        </w:rPr>
        <w:t>投标报价文件封面格式</w:t>
      </w:r>
    </w:p>
    <w:p w14:paraId="2ECC2151">
      <w:pPr>
        <w:snapToGrid w:val="0"/>
        <w:spacing w:line="360" w:lineRule="auto"/>
        <w:rPr>
          <w:rFonts w:ascii="宋体" w:hAnsi="宋体"/>
          <w:b/>
          <w:bCs/>
          <w:highlight w:val="none"/>
        </w:rPr>
      </w:pPr>
    </w:p>
    <w:p w14:paraId="51166006">
      <w:pPr>
        <w:snapToGrid w:val="0"/>
        <w:spacing w:beforeLines="50" w:line="360" w:lineRule="auto"/>
        <w:jc w:val="center"/>
        <w:rPr>
          <w:rFonts w:ascii="宋体" w:hAnsi="宋体"/>
          <w:b/>
          <w:bCs/>
          <w:highlight w:val="none"/>
        </w:rPr>
      </w:pPr>
      <w:r>
        <w:rPr>
          <w:rFonts w:hint="eastAsia" w:ascii="宋体" w:hAnsi="宋体"/>
          <w:b/>
          <w:bCs/>
          <w:highlight w:val="none"/>
        </w:rPr>
        <w:t>投标报价文件</w:t>
      </w:r>
    </w:p>
    <w:p w14:paraId="5AFE6930">
      <w:pPr>
        <w:snapToGrid w:val="0"/>
        <w:spacing w:line="360" w:lineRule="auto"/>
        <w:ind w:firstLine="900" w:firstLineChars="375"/>
        <w:rPr>
          <w:rFonts w:ascii="宋体" w:hAnsi="宋体"/>
          <w:highlight w:val="none"/>
        </w:rPr>
      </w:pPr>
      <w:r>
        <w:rPr>
          <w:rFonts w:hint="eastAsia" w:ascii="宋体" w:hAnsi="宋体"/>
          <w:bCs/>
          <w:highlight w:val="none"/>
        </w:rPr>
        <w:t>项目名称：</w:t>
      </w:r>
      <w:r>
        <w:rPr>
          <w:rFonts w:hint="eastAsia" w:ascii="宋体" w:hAnsi="宋体"/>
          <w:bCs/>
          <w:color w:val="auto"/>
          <w:sz w:val="24"/>
          <w:highlight w:val="none"/>
          <w:u w:val="single"/>
        </w:rPr>
        <w:t xml:space="preserve">                          </w:t>
      </w:r>
      <w:r>
        <w:rPr>
          <w:rFonts w:hint="eastAsia" w:ascii="宋体" w:hAnsi="宋体"/>
          <w:highlight w:val="none"/>
        </w:rPr>
        <w:t>采购项目</w:t>
      </w:r>
    </w:p>
    <w:p w14:paraId="04C81FAD">
      <w:pPr>
        <w:pStyle w:val="11"/>
        <w:snapToGrid w:val="0"/>
        <w:spacing w:line="360" w:lineRule="auto"/>
        <w:ind w:firstLine="900" w:firstLineChars="375"/>
        <w:rPr>
          <w:rFonts w:ascii="宋体" w:hAnsi="宋体"/>
          <w:bCs/>
          <w:highlight w:val="none"/>
        </w:rPr>
      </w:pPr>
      <w:r>
        <w:rPr>
          <w:rFonts w:hint="eastAsia" w:ascii="宋体" w:hAnsi="宋体"/>
          <w:bCs/>
          <w:highlight w:val="none"/>
        </w:rPr>
        <w:t>项目编号及标段号：</w:t>
      </w:r>
    </w:p>
    <w:p w14:paraId="321778F1">
      <w:pPr>
        <w:pStyle w:val="11"/>
        <w:snapToGrid w:val="0"/>
        <w:spacing w:line="360" w:lineRule="auto"/>
        <w:ind w:firstLine="900" w:firstLineChars="375"/>
        <w:rPr>
          <w:rFonts w:ascii="宋体" w:hAnsi="宋体"/>
          <w:bCs/>
          <w:highlight w:val="none"/>
        </w:rPr>
      </w:pPr>
      <w:r>
        <w:rPr>
          <w:rFonts w:hint="eastAsia" w:ascii="宋体" w:hAnsi="宋体"/>
          <w:bCs/>
          <w:highlight w:val="none"/>
          <w:lang w:eastAsia="zh-CN"/>
        </w:rPr>
        <w:t>供应商</w:t>
      </w:r>
      <w:r>
        <w:rPr>
          <w:rFonts w:hint="eastAsia" w:ascii="宋体" w:hAnsi="宋体"/>
          <w:bCs/>
          <w:highlight w:val="none"/>
        </w:rPr>
        <w:t>名称（盖章）：</w:t>
      </w:r>
    </w:p>
    <w:p w14:paraId="7E62257E">
      <w:pPr>
        <w:pStyle w:val="11"/>
        <w:snapToGrid w:val="0"/>
        <w:spacing w:line="360" w:lineRule="auto"/>
        <w:ind w:firstLine="900" w:firstLineChars="375"/>
        <w:rPr>
          <w:rFonts w:ascii="宋体" w:hAnsi="宋体"/>
          <w:bCs/>
          <w:highlight w:val="none"/>
        </w:rPr>
      </w:pPr>
      <w:r>
        <w:rPr>
          <w:rFonts w:hint="eastAsia" w:ascii="宋体" w:hAnsi="宋体"/>
          <w:bCs/>
          <w:highlight w:val="none"/>
          <w:lang w:eastAsia="zh-CN"/>
        </w:rPr>
        <w:t>供应商</w:t>
      </w:r>
      <w:r>
        <w:rPr>
          <w:rFonts w:hint="eastAsia" w:ascii="宋体" w:hAnsi="宋体"/>
          <w:bCs/>
          <w:highlight w:val="none"/>
        </w:rPr>
        <w:t>地址：</w:t>
      </w:r>
    </w:p>
    <w:p w14:paraId="14D7655E">
      <w:pPr>
        <w:snapToGrid w:val="0"/>
        <w:spacing w:line="360" w:lineRule="auto"/>
        <w:ind w:firstLine="3280" w:firstLineChars="1367"/>
        <w:rPr>
          <w:rFonts w:hint="eastAsia" w:ascii="宋体" w:hAnsi="宋体"/>
          <w:highlight w:val="none"/>
        </w:rPr>
      </w:pPr>
    </w:p>
    <w:p w14:paraId="111644B7">
      <w:pPr>
        <w:snapToGrid w:val="0"/>
        <w:spacing w:line="360" w:lineRule="auto"/>
        <w:ind w:firstLine="4560" w:firstLineChars="1900"/>
        <w:jc w:val="both"/>
        <w:rPr>
          <w:rFonts w:ascii="宋体" w:hAnsi="宋体"/>
          <w:highlight w:val="none"/>
        </w:rPr>
      </w:pPr>
      <w:r>
        <w:rPr>
          <w:rFonts w:hint="eastAsia" w:ascii="宋体" w:hAnsi="宋体"/>
          <w:highlight w:val="none"/>
        </w:rPr>
        <w:t>年</w:t>
      </w:r>
      <w:r>
        <w:rPr>
          <w:rFonts w:hint="eastAsia" w:ascii="宋体" w:hAnsi="宋体"/>
          <w:highlight w:val="none"/>
          <w:lang w:val="en-US" w:eastAsia="zh-CN"/>
        </w:rPr>
        <w:t xml:space="preserve">  </w:t>
      </w:r>
      <w:r>
        <w:rPr>
          <w:rFonts w:hint="eastAsia" w:ascii="宋体" w:hAnsi="宋体"/>
          <w:highlight w:val="none"/>
        </w:rPr>
        <w:t>月</w:t>
      </w:r>
      <w:r>
        <w:rPr>
          <w:rFonts w:hint="eastAsia" w:ascii="宋体" w:hAnsi="宋体"/>
          <w:highlight w:val="none"/>
          <w:lang w:val="en-US" w:eastAsia="zh-CN"/>
        </w:rPr>
        <w:t xml:space="preserve">  </w:t>
      </w:r>
      <w:r>
        <w:rPr>
          <w:rFonts w:hint="eastAsia" w:ascii="宋体" w:hAnsi="宋体"/>
          <w:highlight w:val="none"/>
        </w:rPr>
        <w:t>日</w:t>
      </w:r>
    </w:p>
    <w:p w14:paraId="134B8221">
      <w:pPr>
        <w:snapToGrid w:val="0"/>
        <w:spacing w:line="360" w:lineRule="auto"/>
        <w:rPr>
          <w:rFonts w:ascii="宋体" w:hAnsi="宋体"/>
          <w:bCs/>
          <w:highlight w:val="none"/>
        </w:rPr>
      </w:pPr>
    </w:p>
    <w:p w14:paraId="6AF5E3C6">
      <w:pPr>
        <w:snapToGrid w:val="0"/>
        <w:spacing w:beforeLines="50" w:after="50"/>
        <w:rPr>
          <w:rFonts w:ascii="宋体" w:hAnsi="宋体"/>
          <w:bCs/>
          <w:highlight w:val="none"/>
        </w:rPr>
      </w:pPr>
      <w:r>
        <w:rPr>
          <w:rFonts w:hint="eastAsia" w:ascii="宋体" w:hAnsi="宋体"/>
          <w:bCs/>
          <w:highlight w:val="none"/>
        </w:rPr>
        <w:t>2</w:t>
      </w:r>
      <w:r>
        <w:rPr>
          <w:rFonts w:ascii="宋体" w:hAnsi="宋体"/>
          <w:bCs/>
          <w:highlight w:val="none"/>
        </w:rPr>
        <w:t>.</w:t>
      </w:r>
      <w:r>
        <w:rPr>
          <w:rFonts w:hint="eastAsia" w:ascii="宋体" w:hAnsi="宋体"/>
          <w:bCs/>
          <w:highlight w:val="none"/>
        </w:rPr>
        <w:t>投标报价文件目录（请按照“第三章</w:t>
      </w:r>
      <w:r>
        <w:rPr>
          <w:rFonts w:hint="eastAsia" w:ascii="宋体" w:hAnsi="宋体"/>
          <w:bCs/>
          <w:highlight w:val="none"/>
          <w:lang w:eastAsia="zh-CN"/>
        </w:rPr>
        <w:t>供应商</w:t>
      </w:r>
      <w:r>
        <w:rPr>
          <w:rFonts w:hint="eastAsia" w:ascii="宋体" w:hAnsi="宋体"/>
          <w:bCs/>
          <w:highlight w:val="none"/>
        </w:rPr>
        <w:t>须知，</w:t>
      </w:r>
      <w:r>
        <w:rPr>
          <w:rFonts w:ascii="宋体" w:hAnsi="宋体"/>
          <w:bCs/>
          <w:highlight w:val="none"/>
        </w:rPr>
        <w:t>三、</w:t>
      </w:r>
      <w:r>
        <w:rPr>
          <w:rFonts w:hint="eastAsia" w:ascii="宋体" w:hAnsi="宋体"/>
          <w:bCs/>
          <w:highlight w:val="none"/>
        </w:rPr>
        <w:t>响应文件</w:t>
      </w:r>
      <w:r>
        <w:rPr>
          <w:rFonts w:ascii="宋体" w:hAnsi="宋体"/>
          <w:bCs/>
          <w:highlight w:val="none"/>
        </w:rPr>
        <w:t>的编制</w:t>
      </w:r>
      <w:r>
        <w:rPr>
          <w:rFonts w:hint="eastAsia" w:ascii="宋体" w:hAnsi="宋体"/>
          <w:bCs/>
          <w:highlight w:val="none"/>
        </w:rPr>
        <w:t>”的顺序，结合评标办法自行编制目录）</w:t>
      </w:r>
    </w:p>
    <w:p w14:paraId="35F0BCCC">
      <w:pPr>
        <w:snapToGrid w:val="0"/>
        <w:spacing w:before="50" w:after="50"/>
        <w:rPr>
          <w:rFonts w:ascii="宋体" w:hAnsi="宋体"/>
          <w:bCs/>
          <w:highlight w:val="none"/>
        </w:rPr>
      </w:pPr>
      <w:r>
        <w:rPr>
          <w:rFonts w:hint="eastAsia" w:ascii="宋体" w:hAnsi="宋体"/>
          <w:bCs/>
          <w:highlight w:val="none"/>
        </w:rPr>
        <w:t>例如：</w:t>
      </w:r>
    </w:p>
    <w:p w14:paraId="72AC64B8">
      <w:pPr>
        <w:snapToGrid w:val="0"/>
        <w:spacing w:line="480" w:lineRule="exact"/>
        <w:rPr>
          <w:rFonts w:ascii="宋体" w:hAnsi="宋体"/>
          <w:highlight w:val="none"/>
        </w:rPr>
      </w:pPr>
      <w:r>
        <w:rPr>
          <w:rFonts w:hint="eastAsia" w:ascii="宋体" w:hAnsi="宋体"/>
          <w:bCs/>
          <w:highlight w:val="none"/>
        </w:rPr>
        <w:t>报价文件：</w:t>
      </w:r>
    </w:p>
    <w:p w14:paraId="15C07623">
      <w:pPr>
        <w:snapToGrid w:val="0"/>
        <w:spacing w:line="360" w:lineRule="auto"/>
        <w:jc w:val="center"/>
        <w:rPr>
          <w:rFonts w:ascii="宋体" w:hAnsi="宋体"/>
          <w:b/>
          <w:highlight w:val="none"/>
        </w:rPr>
      </w:pPr>
      <w:r>
        <w:rPr>
          <w:rFonts w:hint="eastAsia" w:ascii="宋体" w:hAnsi="宋体"/>
          <w:b/>
          <w:highlight w:val="none"/>
        </w:rPr>
        <w:t>目 录</w:t>
      </w:r>
    </w:p>
    <w:p w14:paraId="54452D87">
      <w:pPr>
        <w:spacing w:line="360" w:lineRule="auto"/>
        <w:outlineLvl w:val="0"/>
        <w:rPr>
          <w:rFonts w:ascii="宋体" w:hAnsi="宋体"/>
          <w:kern w:val="0"/>
          <w:highlight w:val="none"/>
        </w:rPr>
      </w:pPr>
      <w:r>
        <w:rPr>
          <w:rFonts w:hint="eastAsia" w:ascii="宋体" w:hAnsi="宋体"/>
          <w:kern w:val="0"/>
          <w:highlight w:val="none"/>
        </w:rPr>
        <w:t>（1）投标函……………………………………………………………………（页码）</w:t>
      </w:r>
    </w:p>
    <w:p w14:paraId="1BCDCACF">
      <w:pPr>
        <w:spacing w:line="360" w:lineRule="auto"/>
        <w:outlineLvl w:val="0"/>
        <w:rPr>
          <w:rFonts w:ascii="宋体" w:hAnsi="宋体"/>
          <w:kern w:val="0"/>
          <w:highlight w:val="none"/>
        </w:rPr>
      </w:pPr>
      <w:r>
        <w:rPr>
          <w:rFonts w:hint="eastAsia" w:ascii="宋体" w:hAnsi="宋体"/>
          <w:kern w:val="0"/>
          <w:highlight w:val="none"/>
        </w:rPr>
        <w:t>（2）</w:t>
      </w:r>
      <w:r>
        <w:rPr>
          <w:rFonts w:hint="eastAsia" w:ascii="宋体" w:hAnsi="宋体"/>
          <w:kern w:val="0"/>
          <w:highlight w:val="none"/>
          <w:lang w:eastAsia="zh-CN"/>
        </w:rPr>
        <w:t>报价一览表</w:t>
      </w:r>
      <w:r>
        <w:rPr>
          <w:rFonts w:hint="eastAsia" w:ascii="宋体" w:hAnsi="宋体"/>
          <w:kern w:val="0"/>
          <w:highlight w:val="none"/>
        </w:rPr>
        <w:t>………………………………………………………………（页码）</w:t>
      </w:r>
    </w:p>
    <w:p w14:paraId="48633110">
      <w:pPr>
        <w:spacing w:line="360" w:lineRule="auto"/>
        <w:rPr>
          <w:rFonts w:ascii="宋体" w:hAnsi="宋体"/>
          <w:highlight w:val="none"/>
        </w:rPr>
      </w:pPr>
    </w:p>
    <w:p w14:paraId="0A941211">
      <w:pPr>
        <w:spacing w:line="360" w:lineRule="auto"/>
        <w:rPr>
          <w:rFonts w:ascii="宋体" w:hAnsi="宋体"/>
          <w:highlight w:val="none"/>
        </w:rPr>
      </w:pPr>
    </w:p>
    <w:p w14:paraId="584E39AB">
      <w:pPr>
        <w:spacing w:line="360" w:lineRule="auto"/>
        <w:rPr>
          <w:rFonts w:ascii="宋体" w:hAnsi="宋体"/>
          <w:highlight w:val="none"/>
        </w:rPr>
      </w:pPr>
    </w:p>
    <w:p w14:paraId="4F7D11E4">
      <w:pPr>
        <w:spacing w:line="360" w:lineRule="auto"/>
        <w:rPr>
          <w:rFonts w:ascii="宋体" w:hAnsi="宋体"/>
          <w:highlight w:val="none"/>
        </w:rPr>
      </w:pPr>
    </w:p>
    <w:p w14:paraId="44BEC8E3">
      <w:pPr>
        <w:pStyle w:val="15"/>
        <w:ind w:left="480" w:firstLine="464"/>
        <w:rPr>
          <w:rFonts w:hAnsi="宋体"/>
          <w:sz w:val="24"/>
          <w:highlight w:val="none"/>
        </w:rPr>
      </w:pPr>
    </w:p>
    <w:p w14:paraId="0AD21CC2">
      <w:pPr>
        <w:rPr>
          <w:rFonts w:ascii="宋体" w:hAnsi="宋体"/>
          <w:highlight w:val="none"/>
        </w:rPr>
      </w:pPr>
    </w:p>
    <w:p w14:paraId="71191698">
      <w:pPr>
        <w:pStyle w:val="15"/>
        <w:ind w:left="480" w:firstLine="404"/>
        <w:rPr>
          <w:highlight w:val="none"/>
        </w:rPr>
      </w:pPr>
    </w:p>
    <w:p w14:paraId="37AB00F4">
      <w:pPr>
        <w:spacing w:line="360" w:lineRule="auto"/>
        <w:rPr>
          <w:rFonts w:ascii="宋体" w:hAnsi="宋体"/>
          <w:highlight w:val="none"/>
        </w:rPr>
      </w:pPr>
    </w:p>
    <w:p w14:paraId="00F9871C">
      <w:pPr>
        <w:pStyle w:val="15"/>
        <w:ind w:left="480" w:firstLine="464"/>
        <w:rPr>
          <w:rFonts w:hAnsi="宋体"/>
          <w:sz w:val="24"/>
          <w:highlight w:val="none"/>
        </w:rPr>
      </w:pPr>
    </w:p>
    <w:p w14:paraId="49EF82EB">
      <w:pPr>
        <w:pStyle w:val="15"/>
        <w:ind w:left="480" w:firstLine="464"/>
        <w:rPr>
          <w:rFonts w:hAnsi="宋体"/>
          <w:sz w:val="24"/>
          <w:highlight w:val="none"/>
        </w:rPr>
      </w:pPr>
    </w:p>
    <w:p w14:paraId="706D7CAD">
      <w:pPr>
        <w:pStyle w:val="15"/>
        <w:ind w:left="480" w:firstLine="464"/>
        <w:rPr>
          <w:rFonts w:hAnsi="宋体"/>
          <w:sz w:val="24"/>
          <w:highlight w:val="none"/>
        </w:rPr>
      </w:pPr>
    </w:p>
    <w:p w14:paraId="64012B6F">
      <w:pPr>
        <w:pStyle w:val="15"/>
        <w:ind w:left="480" w:firstLine="464"/>
        <w:rPr>
          <w:rFonts w:hAnsi="宋体"/>
          <w:sz w:val="24"/>
          <w:highlight w:val="none"/>
        </w:rPr>
      </w:pPr>
    </w:p>
    <w:p w14:paraId="0826668D">
      <w:pPr>
        <w:pStyle w:val="15"/>
        <w:ind w:left="480" w:firstLine="464"/>
        <w:rPr>
          <w:rFonts w:hAnsi="宋体"/>
          <w:sz w:val="24"/>
          <w:highlight w:val="none"/>
        </w:rPr>
      </w:pPr>
    </w:p>
    <w:p w14:paraId="3A874E56">
      <w:pPr>
        <w:pStyle w:val="6"/>
        <w:pageBreakBefore/>
        <w:spacing w:line="360" w:lineRule="auto"/>
        <w:jc w:val="center"/>
        <w:rPr>
          <w:rFonts w:ascii="宋体" w:hAnsi="宋体"/>
          <w:szCs w:val="24"/>
          <w:highlight w:val="none"/>
        </w:rPr>
      </w:pPr>
      <w:r>
        <w:rPr>
          <w:rFonts w:hint="eastAsia" w:ascii="宋体" w:hAnsi="宋体"/>
          <w:szCs w:val="24"/>
          <w:highlight w:val="none"/>
        </w:rPr>
        <w:t>投标函</w:t>
      </w:r>
    </w:p>
    <w:p w14:paraId="3F3AF8AD">
      <w:pPr>
        <w:spacing w:line="360" w:lineRule="auto"/>
        <w:rPr>
          <w:rFonts w:ascii="宋体" w:hAnsi="宋体"/>
          <w:highlight w:val="none"/>
        </w:rPr>
      </w:pPr>
      <w:r>
        <w:rPr>
          <w:rFonts w:ascii="宋体" w:hAnsi="宋体"/>
          <w:highlight w:val="none"/>
        </w:rPr>
        <w:t>致：</w:t>
      </w:r>
      <w:r>
        <w:rPr>
          <w:rFonts w:hint="eastAsia" w:ascii="宋体" w:hAnsi="宋体"/>
          <w:highlight w:val="none"/>
          <w:u w:val="single"/>
          <w:lang w:eastAsia="zh-CN"/>
        </w:rPr>
        <w:t>嘉善县公共资源交易中心</w:t>
      </w:r>
      <w:r>
        <w:rPr>
          <w:rFonts w:hint="eastAsia" w:ascii="宋体" w:hAnsi="宋体"/>
          <w:highlight w:val="none"/>
        </w:rPr>
        <w:t>：</w:t>
      </w:r>
    </w:p>
    <w:p w14:paraId="3E3C2C42">
      <w:pPr>
        <w:snapToGrid w:val="0"/>
        <w:spacing w:line="360" w:lineRule="auto"/>
        <w:ind w:firstLine="480"/>
        <w:rPr>
          <w:rFonts w:ascii="宋体" w:hAnsi="宋体"/>
          <w:highlight w:val="none"/>
        </w:rPr>
      </w:pPr>
      <w:r>
        <w:rPr>
          <w:rFonts w:hint="eastAsia" w:ascii="宋体" w:hAnsi="宋体"/>
          <w:highlight w:val="none"/>
        </w:rPr>
        <w:t>根据贵方为</w:t>
      </w:r>
      <w:r>
        <w:rPr>
          <w:rFonts w:ascii="宋体" w:hAnsi="宋体"/>
          <w:color w:val="auto"/>
          <w:sz w:val="24"/>
          <w:highlight w:val="none"/>
          <w:u w:val="single"/>
        </w:rPr>
        <w:t xml:space="preserve">        </w:t>
      </w:r>
      <w:r>
        <w:rPr>
          <w:rFonts w:hint="eastAsia" w:ascii="宋体" w:hAnsi="宋体"/>
          <w:highlight w:val="none"/>
        </w:rPr>
        <w:t>采购项目的公开招标公告（项目编号及标段号：</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highlight w:val="none"/>
        </w:rPr>
        <w:t>），签字代表</w:t>
      </w:r>
      <w:r>
        <w:rPr>
          <w:rFonts w:hint="eastAsia" w:ascii="宋体" w:hAnsi="宋体"/>
          <w:color w:val="auto"/>
          <w:sz w:val="24"/>
          <w:highlight w:val="none"/>
          <w:u w:val="single"/>
        </w:rPr>
        <w:t xml:space="preserve">        </w:t>
      </w:r>
      <w:r>
        <w:rPr>
          <w:rFonts w:hint="eastAsia" w:ascii="宋体" w:hAnsi="宋体"/>
          <w:highlight w:val="none"/>
        </w:rPr>
        <w:t>（全名）经正式授权并代表</w:t>
      </w:r>
      <w:r>
        <w:rPr>
          <w:rFonts w:hint="eastAsia" w:ascii="宋体" w:hAnsi="宋体"/>
          <w:highlight w:val="none"/>
          <w:lang w:eastAsia="zh-CN"/>
        </w:rPr>
        <w:t>供应商</w:t>
      </w:r>
      <w:r>
        <w:rPr>
          <w:rFonts w:hint="eastAsia" w:ascii="宋体" w:hAnsi="宋体" w:cs="宋体"/>
          <w:sz w:val="24"/>
          <w:u w:val="single"/>
        </w:rPr>
        <w:t xml:space="preserve">                     </w:t>
      </w:r>
      <w:r>
        <w:rPr>
          <w:rFonts w:hint="eastAsia" w:ascii="宋体" w:hAnsi="宋体"/>
          <w:highlight w:val="none"/>
        </w:rPr>
        <w:t>（</w:t>
      </w:r>
      <w:r>
        <w:rPr>
          <w:rFonts w:hint="eastAsia" w:ascii="宋体" w:hAnsi="宋体"/>
          <w:highlight w:val="none"/>
          <w:lang w:eastAsia="zh-CN"/>
        </w:rPr>
        <w:t>供应商</w:t>
      </w:r>
      <w:r>
        <w:rPr>
          <w:rFonts w:hint="eastAsia" w:ascii="宋体" w:hAnsi="宋体"/>
          <w:highlight w:val="none"/>
        </w:rPr>
        <w:t>名称）提交资信</w:t>
      </w:r>
      <w:r>
        <w:rPr>
          <w:rFonts w:ascii="宋体" w:hAnsi="宋体"/>
          <w:highlight w:val="none"/>
        </w:rPr>
        <w:t>/</w:t>
      </w:r>
      <w:r>
        <w:rPr>
          <w:rFonts w:hint="eastAsia" w:ascii="宋体" w:hAnsi="宋体"/>
          <w:highlight w:val="none"/>
        </w:rPr>
        <w:t>商务及技术文件、投标报价文件。</w:t>
      </w:r>
    </w:p>
    <w:p w14:paraId="3F92A3F4">
      <w:pPr>
        <w:snapToGrid w:val="0"/>
        <w:spacing w:line="360" w:lineRule="auto"/>
        <w:ind w:firstLine="480" w:firstLineChars="200"/>
        <w:rPr>
          <w:rFonts w:ascii="宋体" w:hAnsi="宋体"/>
          <w:highlight w:val="none"/>
        </w:rPr>
      </w:pPr>
      <w:r>
        <w:rPr>
          <w:rFonts w:hint="eastAsia" w:ascii="宋体" w:hAnsi="宋体"/>
          <w:highlight w:val="none"/>
        </w:rPr>
        <w:t>据此函，签字代表宣布同意如下：</w:t>
      </w:r>
    </w:p>
    <w:p w14:paraId="4B1ABF3B">
      <w:pPr>
        <w:snapToGrid w:val="0"/>
        <w:spacing w:line="360" w:lineRule="auto"/>
        <w:ind w:firstLine="480" w:firstLineChars="200"/>
        <w:rPr>
          <w:rFonts w:ascii="宋体" w:hAnsi="宋体"/>
          <w:highlight w:val="none"/>
        </w:rPr>
      </w:pPr>
      <w:r>
        <w:rPr>
          <w:rFonts w:ascii="宋体" w:hAnsi="宋体"/>
          <w:highlight w:val="none"/>
        </w:rPr>
        <w:t>1</w:t>
      </w:r>
      <w:r>
        <w:rPr>
          <w:rFonts w:hint="eastAsia" w:ascii="宋体" w:hAnsi="宋体"/>
          <w:highlight w:val="none"/>
        </w:rPr>
        <w:t>.我方已详细审查全部“</w:t>
      </w:r>
      <w:r>
        <w:rPr>
          <w:rFonts w:hint="eastAsia" w:ascii="宋体" w:hAnsi="宋体"/>
          <w:highlight w:val="none"/>
          <w:lang w:eastAsia="zh-CN"/>
        </w:rPr>
        <w:t>征集文件</w:t>
      </w:r>
      <w:r>
        <w:rPr>
          <w:rFonts w:hint="eastAsia" w:ascii="宋体" w:hAnsi="宋体"/>
          <w:highlight w:val="none"/>
        </w:rPr>
        <w:t>”，包括修改文件（如有的话）以及全部参考资料和有关附件，已经了解我方对于“</w:t>
      </w:r>
      <w:r>
        <w:rPr>
          <w:rFonts w:hint="eastAsia" w:ascii="宋体" w:hAnsi="宋体"/>
          <w:highlight w:val="none"/>
          <w:lang w:eastAsia="zh-CN"/>
        </w:rPr>
        <w:t>征集文件</w:t>
      </w:r>
      <w:r>
        <w:rPr>
          <w:rFonts w:hint="eastAsia" w:ascii="宋体" w:hAnsi="宋体"/>
          <w:highlight w:val="none"/>
        </w:rPr>
        <w:t>”、采购过程、采购结果有依法进行询问、质疑、投诉的权利及相关渠道和要求。</w:t>
      </w:r>
    </w:p>
    <w:p w14:paraId="6F33995D">
      <w:pPr>
        <w:snapToGrid w:val="0"/>
        <w:spacing w:line="360" w:lineRule="auto"/>
        <w:ind w:firstLine="480" w:firstLineChars="200"/>
        <w:rPr>
          <w:rFonts w:ascii="宋体" w:hAnsi="宋体"/>
          <w:highlight w:val="none"/>
        </w:rPr>
      </w:pPr>
      <w:r>
        <w:rPr>
          <w:rFonts w:ascii="宋体" w:hAnsi="宋体"/>
          <w:highlight w:val="none"/>
        </w:rPr>
        <w:t>2</w:t>
      </w:r>
      <w:r>
        <w:rPr>
          <w:rFonts w:hint="eastAsia" w:ascii="宋体" w:hAnsi="宋体"/>
          <w:highlight w:val="none"/>
        </w:rPr>
        <w:t>.我方在投标之前已经与贵方进行了充分的沟通，完全理解并接受“</w:t>
      </w:r>
      <w:r>
        <w:rPr>
          <w:rFonts w:hint="eastAsia" w:ascii="宋体" w:hAnsi="宋体"/>
          <w:highlight w:val="none"/>
          <w:lang w:eastAsia="zh-CN"/>
        </w:rPr>
        <w:t>征集文件</w:t>
      </w:r>
      <w:r>
        <w:rPr>
          <w:rFonts w:hint="eastAsia" w:ascii="宋体" w:hAnsi="宋体"/>
          <w:highlight w:val="none"/>
        </w:rPr>
        <w:t>”的各项规定和要求，对“</w:t>
      </w:r>
      <w:r>
        <w:rPr>
          <w:rFonts w:hint="eastAsia" w:ascii="宋体" w:hAnsi="宋体"/>
          <w:highlight w:val="none"/>
          <w:lang w:eastAsia="zh-CN"/>
        </w:rPr>
        <w:t>征集文件</w:t>
      </w:r>
      <w:r>
        <w:rPr>
          <w:rFonts w:hint="eastAsia" w:ascii="宋体" w:hAnsi="宋体"/>
          <w:highlight w:val="none"/>
        </w:rPr>
        <w:t>”的合理性、合法性不再有异议。</w:t>
      </w:r>
    </w:p>
    <w:p w14:paraId="0C24762D">
      <w:pPr>
        <w:snapToGrid w:val="0"/>
        <w:spacing w:line="360" w:lineRule="auto"/>
        <w:ind w:firstLine="480" w:firstLineChars="200"/>
        <w:rPr>
          <w:rFonts w:ascii="宋体" w:hAnsi="宋体"/>
          <w:highlight w:val="none"/>
        </w:rPr>
      </w:pPr>
      <w:r>
        <w:rPr>
          <w:rFonts w:hint="eastAsia" w:ascii="宋体" w:hAnsi="宋体"/>
          <w:highlight w:val="none"/>
        </w:rPr>
        <w:t>3.我方同意按照贵方要求提供与投标有关的一切数据或资料。</w:t>
      </w:r>
    </w:p>
    <w:p w14:paraId="61D0B2C5">
      <w:pPr>
        <w:spacing w:line="360" w:lineRule="auto"/>
        <w:ind w:firstLine="480" w:firstLineChars="200"/>
        <w:rPr>
          <w:rFonts w:ascii="宋体" w:hAnsi="宋体"/>
          <w:highlight w:val="none"/>
        </w:rPr>
      </w:pPr>
      <w:r>
        <w:rPr>
          <w:rFonts w:hint="eastAsia" w:ascii="宋体" w:hAnsi="宋体"/>
          <w:highlight w:val="none"/>
        </w:rPr>
        <w:t>4.我方完全理解贵方不一定要接受最低价的投标。</w:t>
      </w:r>
    </w:p>
    <w:p w14:paraId="495C0C3D">
      <w:pPr>
        <w:snapToGrid w:val="0"/>
        <w:spacing w:line="360" w:lineRule="auto"/>
        <w:ind w:firstLine="480" w:firstLineChars="200"/>
        <w:rPr>
          <w:rFonts w:ascii="宋体" w:hAnsi="宋体"/>
          <w:highlight w:val="none"/>
        </w:rPr>
      </w:pPr>
      <w:r>
        <w:rPr>
          <w:rFonts w:hint="eastAsia" w:ascii="宋体" w:hAnsi="宋体"/>
          <w:highlight w:val="none"/>
        </w:rPr>
        <w:t>5.本投标有效期自开标日起</w:t>
      </w:r>
      <w:r>
        <w:rPr>
          <w:rFonts w:hint="eastAsia" w:ascii="宋体" w:hAnsi="宋体"/>
          <w:highlight w:val="none"/>
          <w:u w:val="single"/>
        </w:rPr>
        <w:t xml:space="preserve">90 </w:t>
      </w:r>
      <w:r>
        <w:rPr>
          <w:rFonts w:hint="eastAsia" w:ascii="宋体" w:hAnsi="宋体"/>
          <w:highlight w:val="none"/>
        </w:rPr>
        <w:t>个日历天。</w:t>
      </w:r>
    </w:p>
    <w:p w14:paraId="7B3894E3">
      <w:pPr>
        <w:snapToGrid w:val="0"/>
        <w:spacing w:line="360" w:lineRule="auto"/>
        <w:ind w:firstLine="480" w:firstLineChars="200"/>
        <w:rPr>
          <w:rFonts w:ascii="宋体" w:hAnsi="宋体"/>
          <w:highlight w:val="none"/>
        </w:rPr>
      </w:pPr>
      <w:r>
        <w:rPr>
          <w:rFonts w:hint="eastAsia" w:ascii="宋体" w:hAnsi="宋体"/>
          <w:highlight w:val="none"/>
        </w:rPr>
        <w:t>6.如中标，本响应文件至本项目合同履行完毕均保持有效，本</w:t>
      </w:r>
      <w:r>
        <w:rPr>
          <w:rFonts w:hint="eastAsia" w:ascii="宋体" w:hAnsi="宋体"/>
          <w:highlight w:val="none"/>
          <w:lang w:eastAsia="zh-CN"/>
        </w:rPr>
        <w:t>供应商</w:t>
      </w:r>
      <w:r>
        <w:rPr>
          <w:rFonts w:hint="eastAsia" w:ascii="宋体" w:hAnsi="宋体"/>
          <w:highlight w:val="none"/>
        </w:rPr>
        <w:t>将保证忠实地执行双方所签订的合同，并承担合同规定的责任和义务。</w:t>
      </w:r>
    </w:p>
    <w:p w14:paraId="32115F12">
      <w:pPr>
        <w:snapToGrid w:val="0"/>
        <w:spacing w:line="360" w:lineRule="auto"/>
        <w:ind w:firstLine="480" w:firstLineChars="200"/>
        <w:rPr>
          <w:rFonts w:ascii="宋体" w:hAnsi="宋体"/>
          <w:highlight w:val="none"/>
        </w:rPr>
      </w:pPr>
      <w:r>
        <w:rPr>
          <w:rFonts w:hint="eastAsia" w:ascii="宋体" w:hAnsi="宋体"/>
          <w:highlight w:val="none"/>
        </w:rPr>
        <w:t>7.我方将严格遵守《中华人民共和国政府采购法》第七十七条、《</w:t>
      </w:r>
      <w:r>
        <w:rPr>
          <w:rFonts w:ascii="宋体" w:hAnsi="宋体" w:cs="Arial"/>
          <w:bCs/>
          <w:kern w:val="0"/>
          <w:highlight w:val="none"/>
        </w:rPr>
        <w:t>浙江省政府采购供应商注册及诚信管理暂行办法</w:t>
      </w:r>
      <w:r>
        <w:rPr>
          <w:rFonts w:hint="eastAsia" w:ascii="宋体" w:hAnsi="宋体" w:cs="Arial"/>
          <w:bCs/>
          <w:kern w:val="0"/>
          <w:highlight w:val="none"/>
        </w:rPr>
        <w:t>》</w:t>
      </w:r>
      <w:r>
        <w:rPr>
          <w:rFonts w:ascii="宋体" w:hAnsi="宋体" w:cs="Arial"/>
          <w:kern w:val="0"/>
          <w:highlight w:val="none"/>
        </w:rPr>
        <w:t>第三十八条</w:t>
      </w:r>
      <w:r>
        <w:rPr>
          <w:rFonts w:hint="eastAsia" w:ascii="宋体" w:hAnsi="宋体" w:cs="Arial"/>
          <w:kern w:val="0"/>
          <w:highlight w:val="none"/>
        </w:rPr>
        <w:t>、</w:t>
      </w:r>
      <w:r>
        <w:rPr>
          <w:rFonts w:ascii="宋体" w:hAnsi="宋体" w:cs="Arial"/>
          <w:kern w:val="0"/>
          <w:highlight w:val="none"/>
        </w:rPr>
        <w:t>第三十九条</w:t>
      </w:r>
      <w:r>
        <w:rPr>
          <w:rFonts w:hint="eastAsia" w:ascii="宋体" w:hAnsi="宋体" w:cs="Arial"/>
          <w:kern w:val="0"/>
          <w:highlight w:val="none"/>
        </w:rPr>
        <w:t>、</w:t>
      </w:r>
      <w:r>
        <w:rPr>
          <w:rFonts w:ascii="宋体" w:hAnsi="宋体" w:cs="Arial"/>
          <w:kern w:val="0"/>
          <w:highlight w:val="none"/>
        </w:rPr>
        <w:t>第四十条</w:t>
      </w:r>
      <w:r>
        <w:rPr>
          <w:rFonts w:hint="eastAsia" w:ascii="宋体" w:hAnsi="宋体"/>
          <w:highlight w:val="none"/>
        </w:rPr>
        <w:t>规定。</w:t>
      </w:r>
    </w:p>
    <w:p w14:paraId="4889E478">
      <w:pPr>
        <w:snapToGrid w:val="0"/>
        <w:spacing w:line="360" w:lineRule="auto"/>
        <w:ind w:firstLine="480" w:firstLineChars="200"/>
        <w:rPr>
          <w:rFonts w:ascii="宋体" w:hAnsi="宋体"/>
          <w:highlight w:val="none"/>
        </w:rPr>
      </w:pPr>
      <w:r>
        <w:rPr>
          <w:rFonts w:hint="eastAsia" w:ascii="宋体" w:hAnsi="宋体"/>
          <w:highlight w:val="none"/>
        </w:rPr>
        <w:t>8.与本投标有关的一切正式往来信函请寄：</w:t>
      </w:r>
    </w:p>
    <w:p w14:paraId="35B62880">
      <w:pPr>
        <w:snapToGrid w:val="0"/>
        <w:spacing w:line="360" w:lineRule="auto"/>
        <w:rPr>
          <w:rFonts w:ascii="宋体" w:hAnsi="宋体"/>
          <w:highlight w:val="none"/>
          <w:u w:val="single"/>
        </w:rPr>
      </w:pPr>
      <w:r>
        <w:rPr>
          <w:rFonts w:ascii="宋体" w:hAnsi="宋体"/>
          <w:highlight w:val="none"/>
        </w:rPr>
        <w:t>地址：</w:t>
      </w:r>
      <w:r>
        <w:rPr>
          <w:rFonts w:hint="eastAsia" w:ascii="宋体" w:hAnsi="宋体" w:cs="宋体"/>
          <w:sz w:val="24"/>
          <w:u w:val="single"/>
        </w:rPr>
        <w:t xml:space="preserve">                            </w:t>
      </w:r>
      <w:r>
        <w:rPr>
          <w:rFonts w:ascii="宋体" w:hAnsi="宋体"/>
          <w:highlight w:val="none"/>
        </w:rPr>
        <w:t>邮编：</w:t>
      </w:r>
      <w:r>
        <w:rPr>
          <w:rFonts w:hint="eastAsia" w:ascii="宋体" w:hAnsi="宋体" w:cs="宋体"/>
          <w:sz w:val="24"/>
        </w:rPr>
        <w:t xml:space="preserve">__________ </w:t>
      </w:r>
      <w:r>
        <w:rPr>
          <w:rFonts w:ascii="宋体" w:hAnsi="宋体"/>
          <w:highlight w:val="none"/>
        </w:rPr>
        <w:t>电话：</w:t>
      </w:r>
      <w:r>
        <w:rPr>
          <w:rFonts w:hint="eastAsia" w:ascii="宋体" w:hAnsi="宋体" w:cs="宋体"/>
          <w:sz w:val="24"/>
        </w:rPr>
        <w:t>_____________</w:t>
      </w:r>
    </w:p>
    <w:p w14:paraId="07928171">
      <w:pPr>
        <w:snapToGrid w:val="0"/>
        <w:spacing w:line="360" w:lineRule="auto"/>
        <w:rPr>
          <w:rFonts w:ascii="宋体" w:hAnsi="宋体"/>
          <w:highlight w:val="none"/>
          <w:u w:val="single"/>
        </w:rPr>
      </w:pPr>
      <w:r>
        <w:rPr>
          <w:rFonts w:ascii="宋体" w:hAnsi="宋体"/>
          <w:highlight w:val="none"/>
        </w:rPr>
        <w:t>传真：</w:t>
      </w:r>
      <w:r>
        <w:rPr>
          <w:rFonts w:hint="eastAsia" w:ascii="宋体" w:hAnsi="宋体" w:cs="宋体"/>
          <w:sz w:val="24"/>
        </w:rPr>
        <w:t>______________</w:t>
      </w:r>
      <w:r>
        <w:rPr>
          <w:rFonts w:hint="eastAsia" w:ascii="宋体" w:hAnsi="宋体"/>
          <w:highlight w:val="none"/>
          <w:lang w:eastAsia="zh-CN"/>
        </w:rPr>
        <w:t>供应商</w:t>
      </w:r>
      <w:r>
        <w:rPr>
          <w:rFonts w:ascii="宋体" w:hAnsi="宋体"/>
          <w:highlight w:val="none"/>
        </w:rPr>
        <w:t>代表姓名</w:t>
      </w:r>
      <w:r>
        <w:rPr>
          <w:rFonts w:hint="eastAsia" w:ascii="宋体" w:hAnsi="宋体"/>
          <w:highlight w:val="none"/>
        </w:rPr>
        <w:t>：</w:t>
      </w:r>
      <w:r>
        <w:rPr>
          <w:rFonts w:hint="eastAsia" w:ascii="宋体" w:hAnsi="宋体" w:cs="宋体"/>
          <w:sz w:val="24"/>
        </w:rPr>
        <w:t xml:space="preserve">__________  </w:t>
      </w:r>
      <w:r>
        <w:rPr>
          <w:rFonts w:ascii="宋体" w:hAnsi="宋体"/>
          <w:highlight w:val="none"/>
        </w:rPr>
        <w:t>职务：</w:t>
      </w:r>
      <w:r>
        <w:rPr>
          <w:rFonts w:hint="eastAsia" w:ascii="宋体" w:hAnsi="宋体" w:cs="宋体"/>
          <w:sz w:val="24"/>
          <w:u w:val="single"/>
        </w:rPr>
        <w:t xml:space="preserve">               </w:t>
      </w:r>
    </w:p>
    <w:p w14:paraId="0C2AA637">
      <w:pPr>
        <w:snapToGrid w:val="0"/>
        <w:spacing w:line="360" w:lineRule="auto"/>
        <w:rPr>
          <w:rFonts w:ascii="宋体" w:hAnsi="宋体"/>
          <w:highlight w:val="none"/>
          <w:u w:val="single"/>
        </w:rPr>
      </w:pPr>
      <w:r>
        <w:rPr>
          <w:rFonts w:hint="eastAsia" w:ascii="宋体" w:hAnsi="宋体"/>
          <w:highlight w:val="none"/>
          <w:lang w:eastAsia="zh-CN"/>
        </w:rPr>
        <w:t>供应商</w:t>
      </w:r>
      <w:r>
        <w:rPr>
          <w:rFonts w:ascii="宋体" w:hAnsi="宋体"/>
          <w:highlight w:val="none"/>
        </w:rPr>
        <w:t>名称(公章):</w:t>
      </w:r>
      <w:r>
        <w:rPr>
          <w:rFonts w:hint="eastAsia" w:ascii="宋体" w:hAnsi="宋体" w:cs="宋体"/>
          <w:sz w:val="24"/>
        </w:rPr>
        <w:t>___________________</w:t>
      </w:r>
    </w:p>
    <w:p w14:paraId="3F239E4D">
      <w:pPr>
        <w:snapToGrid w:val="0"/>
        <w:spacing w:line="360" w:lineRule="auto"/>
        <w:rPr>
          <w:rFonts w:ascii="宋体" w:hAnsi="宋体"/>
          <w:highlight w:val="none"/>
        </w:rPr>
      </w:pPr>
      <w:r>
        <w:rPr>
          <w:rFonts w:ascii="宋体" w:hAnsi="宋体"/>
          <w:highlight w:val="none"/>
        </w:rPr>
        <w:t>开户银行：</w:t>
      </w:r>
      <w:r>
        <w:rPr>
          <w:rFonts w:hint="eastAsia" w:ascii="宋体" w:hAnsi="宋体" w:cs="宋体"/>
          <w:sz w:val="24"/>
          <w:u w:val="single"/>
        </w:rPr>
        <w:t xml:space="preserve">                      </w:t>
      </w:r>
      <w:r>
        <w:rPr>
          <w:rFonts w:hint="eastAsia" w:ascii="宋体" w:hAnsi="宋体" w:cs="宋体"/>
          <w:sz w:val="24"/>
        </w:rPr>
        <w:t xml:space="preserve">  </w:t>
      </w:r>
      <w:r>
        <w:rPr>
          <w:rFonts w:ascii="宋体" w:hAnsi="宋体"/>
          <w:highlight w:val="none"/>
        </w:rPr>
        <w:t xml:space="preserve">  银行帐号：</w:t>
      </w:r>
      <w:r>
        <w:rPr>
          <w:rFonts w:hint="eastAsia" w:ascii="宋体" w:hAnsi="宋体" w:cs="宋体"/>
          <w:sz w:val="24"/>
          <w:u w:val="single"/>
        </w:rPr>
        <w:t xml:space="preserve">                    </w:t>
      </w:r>
      <w:r>
        <w:rPr>
          <w:rFonts w:hint="eastAsia" w:ascii="宋体" w:hAnsi="宋体" w:cs="宋体"/>
          <w:sz w:val="24"/>
        </w:rPr>
        <w:t xml:space="preserve"> </w:t>
      </w:r>
    </w:p>
    <w:p w14:paraId="592AEAE2">
      <w:pPr>
        <w:snapToGrid w:val="0"/>
        <w:spacing w:line="360" w:lineRule="auto"/>
        <w:rPr>
          <w:rFonts w:hint="eastAsia" w:ascii="宋体" w:hAnsi="宋体"/>
          <w:highlight w:val="none"/>
          <w:lang w:val="en-US" w:eastAsia="zh-CN"/>
        </w:rPr>
      </w:pPr>
      <w:r>
        <w:rPr>
          <w:rFonts w:hint="eastAsia" w:ascii="宋体" w:hAnsi="宋体"/>
          <w:highlight w:val="none"/>
        </w:rPr>
        <w:t>法定代表人签字：</w:t>
      </w:r>
      <w:r>
        <w:rPr>
          <w:rFonts w:ascii="宋体" w:hAnsi="宋体"/>
          <w:highlight w:val="none"/>
        </w:rPr>
        <w:t xml:space="preserve">___________   </w:t>
      </w:r>
      <w:r>
        <w:rPr>
          <w:rFonts w:hint="eastAsia" w:ascii="宋体" w:hAnsi="宋体"/>
          <w:highlight w:val="none"/>
          <w:lang w:val="en-US" w:eastAsia="zh-CN"/>
        </w:rPr>
        <w:t xml:space="preserve">      </w:t>
      </w:r>
      <w:r>
        <w:rPr>
          <w:rFonts w:hint="eastAsia" w:ascii="宋体" w:hAnsi="宋体" w:cs="宋体"/>
          <w:sz w:val="24"/>
          <w:lang w:eastAsia="zh-CN"/>
        </w:rPr>
        <w:t>供应商</w:t>
      </w:r>
      <w:r>
        <w:rPr>
          <w:rFonts w:hint="eastAsia" w:ascii="宋体" w:hAnsi="宋体" w:cs="宋体"/>
          <w:sz w:val="24"/>
        </w:rPr>
        <w:t xml:space="preserve">（加盖公章）：  </w:t>
      </w:r>
    </w:p>
    <w:p w14:paraId="4D1EE596">
      <w:pPr>
        <w:snapToGrid w:val="0"/>
        <w:spacing w:line="360" w:lineRule="auto"/>
        <w:ind w:firstLine="240" w:firstLineChars="100"/>
        <w:jc w:val="right"/>
        <w:rPr>
          <w:rFonts w:hint="eastAsia" w:ascii="宋体" w:hAnsi="宋体" w:cs="宋体"/>
          <w:sz w:val="24"/>
        </w:rPr>
      </w:pPr>
      <w:r>
        <w:rPr>
          <w:rFonts w:hint="eastAsia" w:ascii="宋体" w:hAnsi="宋体" w:cs="宋体"/>
          <w:sz w:val="24"/>
        </w:rPr>
        <w:t>日期:_____年___月___日</w:t>
      </w:r>
    </w:p>
    <w:p w14:paraId="55A8FB9D">
      <w:pPr>
        <w:snapToGrid w:val="0"/>
        <w:spacing w:line="360" w:lineRule="auto"/>
        <w:rPr>
          <w:rFonts w:ascii="宋体" w:hAnsi="宋体"/>
          <w:highlight w:val="none"/>
        </w:rPr>
      </w:pPr>
    </w:p>
    <w:p w14:paraId="450E9CB4">
      <w:pPr>
        <w:spacing w:line="360" w:lineRule="auto"/>
        <w:outlineLvl w:val="4"/>
        <w:rPr>
          <w:rFonts w:ascii="宋体" w:hAnsi="宋体"/>
          <w:highlight w:val="none"/>
        </w:rPr>
      </w:pPr>
    </w:p>
    <w:p w14:paraId="0C04B3BB">
      <w:pPr>
        <w:keepNext w:val="0"/>
        <w:keepLines w:val="0"/>
        <w:pageBreakBefore w:val="0"/>
        <w:widowControl w:val="0"/>
        <w:kinsoku/>
        <w:wordWrap w:val="0"/>
        <w:overflowPunct/>
        <w:topLinePunct w:val="0"/>
        <w:autoSpaceDE/>
        <w:autoSpaceDN/>
        <w:bidi w:val="0"/>
        <w:adjustRightInd/>
        <w:snapToGrid w:val="0"/>
        <w:spacing w:line="400" w:lineRule="exact"/>
        <w:ind w:firstLine="198" w:firstLineChars="82"/>
        <w:textAlignment w:val="auto"/>
        <w:rPr>
          <w:rFonts w:hint="eastAsia" w:ascii="宋体" w:hAnsi="宋体" w:eastAsia="宋体" w:cs="宋体"/>
          <w:b/>
          <w:color w:val="auto"/>
          <w:sz w:val="24"/>
          <w:lang w:val="en-US" w:eastAsia="zh-CN"/>
        </w:rPr>
      </w:pPr>
    </w:p>
    <w:p w14:paraId="0D8D7E99">
      <w:pPr>
        <w:pageBreakBefore w:val="0"/>
        <w:kinsoku/>
        <w:bidi w:val="0"/>
        <w:spacing w:line="400" w:lineRule="exact"/>
        <w:jc w:val="center"/>
        <w:rPr>
          <w:rFonts w:hint="eastAsia" w:eastAsia="楷体_GB2312"/>
          <w:b/>
          <w:bCs/>
          <w:color w:val="auto"/>
          <w:sz w:val="36"/>
          <w:szCs w:val="36"/>
        </w:rPr>
      </w:pPr>
    </w:p>
    <w:p w14:paraId="7FA15490">
      <w:pPr>
        <w:keepNext w:val="0"/>
        <w:keepLines w:val="0"/>
        <w:pageBreakBefore/>
        <w:widowControl w:val="0"/>
        <w:kinsoku/>
        <w:wordWrap/>
        <w:overflowPunct/>
        <w:topLinePunct w:val="0"/>
        <w:autoSpaceDE/>
        <w:autoSpaceDN/>
        <w:bidi w:val="0"/>
        <w:adjustRightInd/>
        <w:snapToGrid w:val="0"/>
        <w:textAlignment w:val="auto"/>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 xml:space="preserve">附件： </w:t>
      </w:r>
    </w:p>
    <w:p w14:paraId="7340B055">
      <w:pPr>
        <w:snapToGrid w:val="0"/>
        <w:jc w:val="center"/>
        <w:rPr>
          <w:rFonts w:hint="eastAsia" w:ascii="宋体" w:hAnsi="宋体" w:cs="Times New Roman"/>
          <w:b/>
          <w:bCs/>
          <w:color w:val="auto"/>
          <w:sz w:val="24"/>
          <w:szCs w:val="24"/>
        </w:rPr>
      </w:pPr>
      <w:r>
        <w:rPr>
          <w:rFonts w:hint="eastAsia" w:ascii="宋体" w:hAnsi="宋体" w:cs="Times New Roman"/>
          <w:b/>
          <w:bCs/>
          <w:color w:val="auto"/>
          <w:sz w:val="24"/>
          <w:szCs w:val="24"/>
        </w:rPr>
        <w:t>报价一览表</w:t>
      </w:r>
    </w:p>
    <w:p w14:paraId="73779DEF">
      <w:pPr>
        <w:pStyle w:val="2"/>
        <w:ind w:firstLine="280"/>
        <w:rPr>
          <w:rFonts w:hint="eastAsia"/>
          <w:color w:val="auto"/>
          <w:sz w:val="28"/>
          <w:szCs w:val="28"/>
        </w:rPr>
      </w:pPr>
    </w:p>
    <w:tbl>
      <w:tblPr>
        <w:tblStyle w:val="32"/>
        <w:tblW w:w="90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6"/>
        <w:gridCol w:w="4869"/>
        <w:gridCol w:w="2899"/>
      </w:tblGrid>
      <w:tr w14:paraId="2311B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14:paraId="7F18EFBA">
            <w:pPr>
              <w:keepNext w:val="0"/>
              <w:keepLines w:val="0"/>
              <w:suppressLineNumbers w:val="0"/>
              <w:snapToGrid w:val="0"/>
              <w:spacing w:before="0" w:beforeAutospacing="0" w:after="0" w:afterAutospacing="0"/>
              <w:ind w:left="0" w:right="0"/>
              <w:jc w:val="center"/>
              <w:rPr>
                <w:rFonts w:hint="eastAsia" w:ascii="宋体" w:hAnsi="宋体" w:cs="Arial"/>
                <w:color w:val="auto"/>
                <w:szCs w:val="21"/>
              </w:rPr>
            </w:pPr>
            <w:r>
              <w:rPr>
                <w:rFonts w:hint="eastAsia" w:ascii="宋体" w:hAnsi="宋体" w:cs="Arial"/>
                <w:color w:val="auto"/>
                <w:szCs w:val="21"/>
              </w:rPr>
              <w:t>序号</w:t>
            </w:r>
          </w:p>
        </w:tc>
        <w:tc>
          <w:tcPr>
            <w:tcW w:w="4869" w:type="dxa"/>
            <w:tcBorders>
              <w:top w:val="single" w:color="auto" w:sz="4" w:space="0"/>
              <w:left w:val="single" w:color="auto" w:sz="4" w:space="0"/>
              <w:bottom w:val="single" w:color="auto" w:sz="4" w:space="0"/>
              <w:right w:val="single" w:color="auto" w:sz="4" w:space="0"/>
            </w:tcBorders>
            <w:noWrap w:val="0"/>
            <w:vAlign w:val="center"/>
          </w:tcPr>
          <w:p w14:paraId="1F4538D9">
            <w:pPr>
              <w:keepNext w:val="0"/>
              <w:keepLines w:val="0"/>
              <w:suppressLineNumbers w:val="0"/>
              <w:snapToGrid w:val="0"/>
              <w:spacing w:before="0" w:beforeAutospacing="0" w:after="0" w:afterAutospacing="0"/>
              <w:ind w:left="0" w:right="0"/>
              <w:jc w:val="center"/>
              <w:rPr>
                <w:rFonts w:hint="eastAsia" w:ascii="宋体" w:hAnsi="宋体" w:cs="Arial"/>
                <w:color w:val="auto"/>
                <w:szCs w:val="21"/>
              </w:rPr>
            </w:pPr>
            <w:r>
              <w:rPr>
                <w:rFonts w:hint="eastAsia" w:ascii="宋体" w:hAnsi="宋体" w:cs="Arial"/>
                <w:color w:val="auto"/>
                <w:szCs w:val="21"/>
              </w:rPr>
              <w:t>计价项目名称</w:t>
            </w:r>
          </w:p>
        </w:tc>
        <w:tc>
          <w:tcPr>
            <w:tcW w:w="2899" w:type="dxa"/>
            <w:tcBorders>
              <w:top w:val="single" w:color="auto" w:sz="4" w:space="0"/>
              <w:left w:val="single" w:color="auto" w:sz="4" w:space="0"/>
              <w:bottom w:val="single" w:color="auto" w:sz="4" w:space="0"/>
              <w:right w:val="single" w:color="auto" w:sz="4" w:space="0"/>
            </w:tcBorders>
            <w:noWrap w:val="0"/>
            <w:vAlign w:val="center"/>
          </w:tcPr>
          <w:p w14:paraId="586FE0E8">
            <w:pPr>
              <w:keepNext w:val="0"/>
              <w:keepLines w:val="0"/>
              <w:suppressLineNumbers w:val="0"/>
              <w:snapToGrid w:val="0"/>
              <w:spacing w:before="0" w:beforeAutospacing="0" w:after="0" w:afterAutospacing="0"/>
              <w:ind w:left="0" w:right="0"/>
              <w:jc w:val="center"/>
              <w:rPr>
                <w:rFonts w:hint="default" w:ascii="宋体" w:hAnsi="宋体" w:cs="Arial"/>
                <w:color w:val="auto"/>
                <w:szCs w:val="21"/>
              </w:rPr>
            </w:pPr>
            <w:r>
              <w:rPr>
                <w:rFonts w:hint="eastAsia" w:ascii="宋体" w:hAnsi="宋体" w:cs="Arial"/>
                <w:color w:val="auto"/>
                <w:szCs w:val="21"/>
              </w:rPr>
              <w:t>优惠率（%）</w:t>
            </w:r>
          </w:p>
        </w:tc>
      </w:tr>
      <w:tr w14:paraId="546AB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14:paraId="0D32D46F">
            <w:pPr>
              <w:keepNext w:val="0"/>
              <w:keepLines w:val="0"/>
              <w:suppressLineNumbers w:val="0"/>
              <w:snapToGrid w:val="0"/>
              <w:spacing w:before="0" w:beforeAutospacing="0" w:after="0" w:afterAutospacing="0"/>
              <w:ind w:left="0" w:right="0"/>
              <w:jc w:val="center"/>
              <w:rPr>
                <w:rFonts w:hint="eastAsia" w:ascii="宋体" w:hAnsi="宋体" w:cs="Arial"/>
                <w:color w:val="auto"/>
                <w:szCs w:val="21"/>
              </w:rPr>
            </w:pPr>
            <w:r>
              <w:rPr>
                <w:rFonts w:hint="eastAsia" w:ascii="宋体" w:hAnsi="宋体" w:cs="Arial"/>
                <w:color w:val="auto"/>
                <w:szCs w:val="21"/>
              </w:rPr>
              <w:t>1</w:t>
            </w:r>
          </w:p>
        </w:tc>
        <w:tc>
          <w:tcPr>
            <w:tcW w:w="4869" w:type="dxa"/>
            <w:tcBorders>
              <w:top w:val="single" w:color="auto" w:sz="4" w:space="0"/>
              <w:left w:val="single" w:color="auto" w:sz="4" w:space="0"/>
              <w:bottom w:val="single" w:color="auto" w:sz="4" w:space="0"/>
              <w:right w:val="single" w:color="auto" w:sz="4" w:space="0"/>
            </w:tcBorders>
            <w:noWrap w:val="0"/>
            <w:vAlign w:val="center"/>
          </w:tcPr>
          <w:p w14:paraId="30AEB93D">
            <w:pPr>
              <w:keepNext w:val="0"/>
              <w:keepLines w:val="0"/>
              <w:widowControl/>
              <w:suppressLineNumbers w:val="0"/>
              <w:snapToGrid w:val="0"/>
              <w:spacing w:before="0" w:beforeAutospacing="0" w:after="0" w:afterAutospacing="0"/>
              <w:ind w:left="0" w:right="0"/>
              <w:textAlignment w:val="center"/>
              <w:rPr>
                <w:rFonts w:hint="default" w:ascii="宋体" w:hAnsi="宋体" w:eastAsia="宋体"/>
                <w:color w:val="auto"/>
              </w:rPr>
            </w:pPr>
            <w:r>
              <w:rPr>
                <w:rFonts w:hint="eastAsia" w:ascii="宋体" w:hAnsi="宋体" w:eastAsia="宋体"/>
                <w:color w:val="auto"/>
                <w:kern w:val="0"/>
              </w:rPr>
              <w:t>项目概算审核</w:t>
            </w:r>
          </w:p>
        </w:tc>
        <w:tc>
          <w:tcPr>
            <w:tcW w:w="2899" w:type="dxa"/>
            <w:vMerge w:val="restart"/>
            <w:tcBorders>
              <w:top w:val="single" w:color="auto" w:sz="4" w:space="0"/>
              <w:left w:val="single" w:color="auto" w:sz="4" w:space="0"/>
              <w:right w:val="single" w:color="auto" w:sz="4" w:space="0"/>
            </w:tcBorders>
            <w:noWrap w:val="0"/>
            <w:vAlign w:val="center"/>
          </w:tcPr>
          <w:p w14:paraId="5A34DAF3">
            <w:pPr>
              <w:keepNext w:val="0"/>
              <w:keepLines w:val="0"/>
              <w:suppressLineNumbers w:val="0"/>
              <w:snapToGrid w:val="0"/>
              <w:spacing w:before="0" w:beforeAutospacing="0" w:after="0" w:afterAutospacing="0"/>
              <w:ind w:left="0" w:right="0"/>
              <w:rPr>
                <w:rFonts w:hint="eastAsia" w:ascii="宋体" w:hAnsi="宋体" w:cs="Arial"/>
                <w:color w:val="auto"/>
                <w:szCs w:val="21"/>
                <w:highlight w:val="yellow"/>
              </w:rPr>
            </w:pPr>
          </w:p>
        </w:tc>
      </w:tr>
      <w:tr w14:paraId="1C51D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14:paraId="0675754B">
            <w:pPr>
              <w:keepNext w:val="0"/>
              <w:keepLines w:val="0"/>
              <w:suppressLineNumbers w:val="0"/>
              <w:snapToGrid w:val="0"/>
              <w:spacing w:before="0" w:beforeAutospacing="0" w:after="0" w:afterAutospacing="0"/>
              <w:ind w:left="0" w:right="0"/>
              <w:jc w:val="center"/>
              <w:rPr>
                <w:rFonts w:hint="eastAsia" w:ascii="宋体" w:hAnsi="宋体" w:cs="Arial"/>
                <w:color w:val="auto"/>
                <w:szCs w:val="21"/>
              </w:rPr>
            </w:pPr>
            <w:r>
              <w:rPr>
                <w:rFonts w:hint="eastAsia" w:ascii="宋体" w:hAnsi="宋体" w:cs="Arial"/>
                <w:color w:val="auto"/>
                <w:szCs w:val="21"/>
                <w:lang w:val="en-US" w:eastAsia="zh-CN"/>
              </w:rPr>
              <w:t>2</w:t>
            </w:r>
          </w:p>
        </w:tc>
        <w:tc>
          <w:tcPr>
            <w:tcW w:w="4869" w:type="dxa"/>
            <w:tcBorders>
              <w:top w:val="single" w:color="auto" w:sz="4" w:space="0"/>
              <w:left w:val="single" w:color="auto" w:sz="4" w:space="0"/>
              <w:bottom w:val="single" w:color="auto" w:sz="4" w:space="0"/>
              <w:right w:val="single" w:color="auto" w:sz="4" w:space="0"/>
            </w:tcBorders>
            <w:noWrap w:val="0"/>
            <w:vAlign w:val="center"/>
          </w:tcPr>
          <w:p w14:paraId="45113198">
            <w:pPr>
              <w:keepNext w:val="0"/>
              <w:keepLines w:val="0"/>
              <w:widowControl/>
              <w:suppressLineNumbers w:val="0"/>
              <w:snapToGrid w:val="0"/>
              <w:spacing w:before="0" w:beforeAutospacing="0" w:after="0" w:afterAutospacing="0"/>
              <w:ind w:left="0" w:right="0"/>
              <w:textAlignment w:val="center"/>
              <w:rPr>
                <w:rFonts w:hint="default" w:ascii="宋体" w:hAnsi="宋体" w:eastAsia="宋体"/>
                <w:color w:val="auto"/>
              </w:rPr>
            </w:pPr>
            <w:r>
              <w:rPr>
                <w:rFonts w:hint="eastAsia" w:ascii="宋体" w:hAnsi="宋体" w:eastAsia="宋体"/>
                <w:color w:val="auto"/>
                <w:kern w:val="0"/>
              </w:rPr>
              <w:t>工程结算审核</w:t>
            </w:r>
          </w:p>
        </w:tc>
        <w:tc>
          <w:tcPr>
            <w:tcW w:w="2899" w:type="dxa"/>
            <w:vMerge w:val="continue"/>
            <w:tcBorders>
              <w:left w:val="single" w:color="auto" w:sz="4" w:space="0"/>
              <w:bottom w:val="single" w:color="auto" w:sz="4" w:space="0"/>
              <w:right w:val="single" w:color="auto" w:sz="4" w:space="0"/>
            </w:tcBorders>
            <w:noWrap w:val="0"/>
            <w:vAlign w:val="center"/>
          </w:tcPr>
          <w:p w14:paraId="72EF9114">
            <w:pPr>
              <w:keepNext w:val="0"/>
              <w:keepLines w:val="0"/>
              <w:suppressLineNumbers w:val="0"/>
              <w:snapToGrid w:val="0"/>
              <w:spacing w:before="0" w:beforeAutospacing="0" w:after="0" w:afterAutospacing="0"/>
              <w:ind w:left="0" w:right="0"/>
              <w:rPr>
                <w:rFonts w:hint="eastAsia" w:ascii="宋体" w:hAnsi="宋体" w:cs="Arial"/>
                <w:color w:val="auto"/>
                <w:szCs w:val="21"/>
                <w:highlight w:val="yellow"/>
              </w:rPr>
            </w:pPr>
          </w:p>
        </w:tc>
      </w:tr>
    </w:tbl>
    <w:p w14:paraId="676725CA">
      <w:pPr>
        <w:pStyle w:val="4"/>
        <w:ind w:left="0" w:leftChars="0" w:firstLine="482" w:firstLineChars="200"/>
        <w:jc w:val="left"/>
        <w:rPr>
          <w:b/>
          <w:bCs/>
          <w:color w:val="auto"/>
          <w:sz w:val="28"/>
          <w:szCs w:val="28"/>
        </w:rPr>
      </w:pPr>
      <w:r>
        <w:rPr>
          <w:rFonts w:hint="eastAsia" w:ascii="宋体" w:hAnsi="宋体"/>
          <w:b/>
          <w:bCs/>
          <w:color w:val="auto"/>
          <w:sz w:val="24"/>
          <w:szCs w:val="24"/>
        </w:rPr>
        <w:t>注：</w:t>
      </w:r>
      <w:r>
        <w:rPr>
          <w:rFonts w:hint="eastAsia" w:ascii="宋体" w:hAnsi="宋体"/>
          <w:b w:val="0"/>
          <w:bCs w:val="0"/>
          <w:color w:val="auto"/>
          <w:sz w:val="24"/>
          <w:szCs w:val="24"/>
          <w:lang w:val="en-US" w:eastAsia="zh-CN"/>
        </w:rPr>
        <w:t>1、</w:t>
      </w:r>
      <w:r>
        <w:rPr>
          <w:rFonts w:hint="eastAsia" w:ascii="宋体" w:hAnsi="宋体" w:eastAsia="宋体" w:cs="Times New Roman"/>
          <w:b w:val="0"/>
          <w:bCs w:val="0"/>
          <w:color w:val="auto"/>
          <w:sz w:val="24"/>
          <w:szCs w:val="24"/>
          <w:highlight w:val="none"/>
          <w:lang w:val="en-US" w:eastAsia="zh-CN"/>
        </w:rPr>
        <w:t>供应商在</w:t>
      </w:r>
      <w:r>
        <w:rPr>
          <w:rFonts w:hint="eastAsia" w:ascii="宋体" w:hAnsi="宋体" w:eastAsia="宋体" w:cs="Times New Roman"/>
          <w:b w:val="0"/>
          <w:bCs w:val="0"/>
          <w:color w:val="auto"/>
          <w:sz w:val="24"/>
          <w:szCs w:val="24"/>
          <w:lang w:val="en-US" w:eastAsia="zh-CN"/>
        </w:rPr>
        <w:t>项目收费</w:t>
      </w:r>
      <w:r>
        <w:rPr>
          <w:rFonts w:hint="eastAsia" w:ascii="宋体" w:hAnsi="宋体" w:eastAsia="宋体" w:cs="Times New Roman"/>
          <w:b w:val="0"/>
          <w:bCs w:val="0"/>
          <w:color w:val="auto"/>
          <w:sz w:val="24"/>
          <w:szCs w:val="24"/>
          <w:highlight w:val="none"/>
          <w:lang w:val="en-US" w:eastAsia="zh-CN"/>
        </w:rPr>
        <w:t>最高限价</w:t>
      </w:r>
      <w:r>
        <w:rPr>
          <w:rFonts w:hint="eastAsia" w:ascii="宋体" w:hAnsi="宋体" w:eastAsia="宋体" w:cs="Times New Roman"/>
          <w:b w:val="0"/>
          <w:bCs w:val="0"/>
          <w:color w:val="auto"/>
          <w:sz w:val="24"/>
          <w:szCs w:val="24"/>
          <w:lang w:val="en-US" w:eastAsia="zh-CN"/>
        </w:rPr>
        <w:t>表（下附）</w:t>
      </w:r>
      <w:r>
        <w:rPr>
          <w:rFonts w:hint="eastAsia" w:ascii="宋体" w:hAnsi="宋体" w:eastAsia="宋体" w:cs="Times New Roman"/>
          <w:b w:val="0"/>
          <w:bCs w:val="0"/>
          <w:color w:val="auto"/>
          <w:sz w:val="24"/>
          <w:szCs w:val="24"/>
          <w:highlight w:val="none"/>
          <w:lang w:val="en-US" w:eastAsia="zh-CN"/>
        </w:rPr>
        <w:t>的基础上报投标优惠率（即按照</w:t>
      </w:r>
      <w:r>
        <w:rPr>
          <w:rFonts w:hint="eastAsia" w:ascii="宋体" w:hAnsi="宋体" w:cs="Times New Roman"/>
          <w:b w:val="0"/>
          <w:bCs w:val="0"/>
          <w:color w:val="auto"/>
          <w:sz w:val="24"/>
          <w:szCs w:val="24"/>
          <w:highlight w:val="none"/>
          <w:lang w:val="en-US" w:eastAsia="zh-CN"/>
        </w:rPr>
        <w:t>征集文件</w:t>
      </w:r>
      <w:r>
        <w:rPr>
          <w:rFonts w:hint="eastAsia" w:ascii="宋体" w:hAnsi="宋体" w:eastAsia="宋体" w:cs="Times New Roman"/>
          <w:b w:val="0"/>
          <w:bCs w:val="0"/>
          <w:color w:val="auto"/>
          <w:sz w:val="24"/>
          <w:szCs w:val="24"/>
          <w:highlight w:val="none"/>
          <w:lang w:val="en-US" w:eastAsia="zh-CN"/>
        </w:rPr>
        <w:t>规定收费标准的百分比计费）</w:t>
      </w:r>
      <w:r>
        <w:rPr>
          <w:rFonts w:hint="eastAsia" w:ascii="宋体" w:hAnsi="宋体"/>
          <w:b w:val="0"/>
          <w:bCs w:val="0"/>
          <w:color w:val="auto"/>
          <w:sz w:val="24"/>
          <w:szCs w:val="24"/>
        </w:rPr>
        <w:t>作为入围价格</w:t>
      </w:r>
      <w:r>
        <w:rPr>
          <w:rFonts w:hint="eastAsia" w:ascii="宋体" w:hAnsi="宋体" w:cs="Times New Roman"/>
          <w:b w:val="0"/>
          <w:bCs w:val="0"/>
          <w:color w:val="auto"/>
          <w:sz w:val="24"/>
          <w:szCs w:val="24"/>
          <w:highlight w:val="none"/>
          <w:lang w:val="en-US" w:eastAsia="zh-CN"/>
        </w:rPr>
        <w:t>，报价不应超出</w:t>
      </w:r>
      <w:r>
        <w:rPr>
          <w:rFonts w:hint="eastAsia" w:ascii="宋体" w:hAnsi="宋体" w:eastAsia="宋体" w:cs="Times New Roman"/>
          <w:b w:val="0"/>
          <w:bCs w:val="0"/>
          <w:color w:val="auto"/>
          <w:sz w:val="24"/>
          <w:szCs w:val="24"/>
          <w:lang w:val="en-US" w:eastAsia="zh-CN"/>
        </w:rPr>
        <w:t>项目收费最高限价表</w:t>
      </w:r>
      <w:r>
        <w:rPr>
          <w:rFonts w:hint="eastAsia" w:ascii="宋体" w:hAnsi="宋体" w:eastAsia="宋体" w:cs="Times New Roman"/>
          <w:b w:val="0"/>
          <w:bCs w:val="0"/>
          <w:color w:val="auto"/>
          <w:kern w:val="2"/>
          <w:sz w:val="24"/>
          <w:szCs w:val="24"/>
          <w:highlight w:val="none"/>
          <w:lang w:eastAsia="zh-CN"/>
        </w:rPr>
        <w:t>计费标准</w:t>
      </w:r>
      <w:r>
        <w:rPr>
          <w:rFonts w:hint="eastAsia" w:ascii="宋体" w:hAnsi="宋体" w:eastAsia="宋体" w:cs="Times New Roman"/>
          <w:b w:val="0"/>
          <w:bCs w:val="0"/>
          <w:color w:val="auto"/>
          <w:sz w:val="24"/>
          <w:szCs w:val="24"/>
          <w:highlight w:val="none"/>
          <w:lang w:val="en-US" w:eastAsia="zh-CN"/>
        </w:rPr>
        <w:t>的</w:t>
      </w:r>
      <w:r>
        <w:rPr>
          <w:rFonts w:hint="eastAsia" w:ascii="宋体" w:hAnsi="宋体" w:cs="Times New Roman"/>
          <w:b/>
          <w:bCs/>
          <w:color w:val="auto"/>
          <w:sz w:val="24"/>
          <w:szCs w:val="24"/>
          <w:highlight w:val="none"/>
          <w:lang w:val="en-US" w:eastAsia="zh-CN"/>
        </w:rPr>
        <w:t>99</w:t>
      </w:r>
      <w:r>
        <w:rPr>
          <w:rFonts w:hint="eastAsia" w:ascii="宋体" w:hAnsi="宋体" w:eastAsia="宋体" w:cs="Times New Roman"/>
          <w:b/>
          <w:bCs/>
          <w:color w:val="auto"/>
          <w:sz w:val="24"/>
          <w:szCs w:val="24"/>
          <w:highlight w:val="none"/>
          <w:lang w:val="en-US" w:eastAsia="zh-CN"/>
        </w:rPr>
        <w:t>%</w:t>
      </w:r>
      <w:r>
        <w:rPr>
          <w:rFonts w:hint="eastAsia" w:ascii="宋体" w:hAnsi="宋体"/>
          <w:b w:val="0"/>
          <w:bCs w:val="0"/>
          <w:color w:val="auto"/>
          <w:sz w:val="24"/>
          <w:szCs w:val="24"/>
        </w:rPr>
        <w:t>。具体项目结算时，采购单位可以与入围供应商商定不高于入围价格的成交</w:t>
      </w:r>
      <w:r>
        <w:rPr>
          <w:rFonts w:hint="eastAsia" w:ascii="宋体" w:hAnsi="宋体"/>
          <w:b w:val="0"/>
          <w:bCs w:val="0"/>
          <w:color w:val="auto"/>
          <w:sz w:val="24"/>
          <w:szCs w:val="24"/>
          <w:lang w:val="en-US" w:eastAsia="zh-CN"/>
        </w:rPr>
        <w:t>价格</w:t>
      </w:r>
      <w:r>
        <w:rPr>
          <w:rFonts w:hint="eastAsia" w:ascii="宋体" w:hAnsi="宋体"/>
          <w:b w:val="0"/>
          <w:bCs w:val="0"/>
          <w:color w:val="auto"/>
          <w:sz w:val="24"/>
          <w:szCs w:val="24"/>
          <w:lang w:eastAsia="zh-CN"/>
        </w:rPr>
        <w:t>；</w:t>
      </w:r>
      <w:r>
        <w:rPr>
          <w:rFonts w:hint="eastAsia" w:ascii="宋体" w:hAnsi="宋体"/>
          <w:b/>
          <w:bCs/>
          <w:color w:val="auto"/>
          <w:sz w:val="24"/>
          <w:szCs w:val="24"/>
        </w:rPr>
        <w:t>2、单个项目收费计算方式：按项目收费最高限价表（下附）计算所得金额×优惠率</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w:t>
      </w:r>
      <w:r>
        <w:rPr>
          <w:rFonts w:hint="eastAsia" w:ascii="宋体" w:hAnsi="宋体"/>
          <w:b/>
          <w:bCs/>
          <w:color w:val="auto"/>
          <w:sz w:val="24"/>
          <w:szCs w:val="24"/>
          <w:lang w:eastAsia="zh-CN"/>
        </w:rPr>
        <w:t>）</w:t>
      </w:r>
      <w:r>
        <w:rPr>
          <w:rFonts w:hint="eastAsia" w:ascii="宋体" w:hAnsi="宋体"/>
          <w:b/>
          <w:bCs/>
          <w:color w:val="auto"/>
          <w:sz w:val="24"/>
          <w:szCs w:val="24"/>
        </w:rPr>
        <w:t>。</w:t>
      </w:r>
    </w:p>
    <w:p w14:paraId="40CF213D">
      <w:pPr>
        <w:snapToGrid w:val="0"/>
        <w:jc w:val="left"/>
        <w:rPr>
          <w:rFonts w:hint="eastAsia" w:ascii="宋体" w:hAnsi="宋体"/>
          <w:b/>
          <w:bCs/>
          <w:color w:val="auto"/>
          <w:sz w:val="24"/>
          <w:szCs w:val="24"/>
          <w:lang w:val="en-US" w:eastAsia="zh-CN"/>
        </w:rPr>
      </w:pPr>
      <w:r>
        <w:rPr>
          <w:rFonts w:hint="eastAsia" w:ascii="宋体" w:hAnsi="宋体" w:cs="宋体"/>
          <w:b/>
          <w:bCs/>
          <w:color w:val="auto"/>
          <w:sz w:val="28"/>
          <w:szCs w:val="28"/>
          <w:lang w:val="en-US" w:eastAsia="zh-CN"/>
        </w:rPr>
        <w:t>例如：</w:t>
      </w:r>
      <w:r>
        <w:rPr>
          <w:rFonts w:hint="eastAsia" w:ascii="宋体" w:hAnsi="宋体"/>
          <w:b/>
          <w:bCs/>
          <w:color w:val="auto"/>
          <w:sz w:val="24"/>
          <w:szCs w:val="24"/>
        </w:rPr>
        <w:t>项目收费最高限价表计算所得金额</w:t>
      </w:r>
      <w:r>
        <w:rPr>
          <w:rFonts w:hint="eastAsia" w:ascii="宋体" w:hAnsi="宋体"/>
          <w:b/>
          <w:bCs/>
          <w:color w:val="auto"/>
          <w:sz w:val="24"/>
          <w:szCs w:val="24"/>
          <w:lang w:val="en-US" w:eastAsia="zh-CN"/>
        </w:rPr>
        <w:t>为10000元，供应商报价优惠率为90%，</w:t>
      </w:r>
      <w:r>
        <w:rPr>
          <w:rFonts w:hint="eastAsia" w:ascii="宋体" w:hAnsi="宋体"/>
          <w:b/>
          <w:bCs/>
          <w:color w:val="auto"/>
          <w:sz w:val="24"/>
          <w:szCs w:val="24"/>
        </w:rPr>
        <w:t>单个项目收费</w:t>
      </w:r>
      <w:r>
        <w:rPr>
          <w:rFonts w:hint="eastAsia" w:ascii="宋体" w:hAnsi="宋体"/>
          <w:b/>
          <w:bCs/>
          <w:color w:val="auto"/>
          <w:sz w:val="24"/>
          <w:szCs w:val="24"/>
          <w:lang w:val="en-US" w:eastAsia="zh-CN"/>
        </w:rPr>
        <w:t>为10000*90%=9000元。</w:t>
      </w:r>
    </w:p>
    <w:p w14:paraId="043255B0">
      <w:pPr>
        <w:pStyle w:val="2"/>
        <w:rPr>
          <w:rFonts w:hint="eastAsia" w:ascii="宋体" w:hAnsi="宋体"/>
          <w:b/>
          <w:bCs/>
          <w:color w:val="auto"/>
          <w:sz w:val="24"/>
          <w:szCs w:val="24"/>
          <w:lang w:val="en-US" w:eastAsia="zh-CN"/>
        </w:rPr>
      </w:pPr>
    </w:p>
    <w:p w14:paraId="64222A50">
      <w:pPr>
        <w:pStyle w:val="4"/>
        <w:rPr>
          <w:rFonts w:hint="default"/>
          <w:lang w:val="en-US" w:eastAsia="zh-CN"/>
        </w:rPr>
      </w:pPr>
    </w:p>
    <w:p w14:paraId="0F5E6589">
      <w:pPr>
        <w:snapToGrid w:val="0"/>
        <w:jc w:val="left"/>
        <w:rPr>
          <w:rFonts w:ascii="宋体" w:hAnsi="宋体" w:eastAsia="宋体" w:cs="宋体"/>
          <w:b/>
          <w:color w:val="auto"/>
          <w:sz w:val="28"/>
          <w:szCs w:val="28"/>
        </w:rPr>
      </w:pPr>
      <w:r>
        <w:rPr>
          <w:rFonts w:hint="eastAsia" w:ascii="宋体" w:hAnsi="宋体" w:eastAsia="宋体" w:cs="宋体"/>
          <w:b/>
          <w:color w:val="auto"/>
          <w:sz w:val="28"/>
          <w:szCs w:val="28"/>
        </w:rPr>
        <w:t>供应商（公章）：</w:t>
      </w:r>
    </w:p>
    <w:p w14:paraId="1FA7A050">
      <w:pPr>
        <w:pStyle w:val="3"/>
        <w:snapToGrid w:val="0"/>
        <w:spacing w:after="0"/>
        <w:jc w:val="left"/>
        <w:rPr>
          <w:rFonts w:ascii="宋体" w:hAnsi="宋体" w:eastAsia="宋体" w:cs="宋体"/>
          <w:b/>
          <w:color w:val="auto"/>
          <w:sz w:val="28"/>
          <w:szCs w:val="28"/>
        </w:rPr>
      </w:pPr>
    </w:p>
    <w:p w14:paraId="6FF867BD">
      <w:pPr>
        <w:snapToGrid w:val="0"/>
        <w:jc w:val="left"/>
        <w:rPr>
          <w:rFonts w:ascii="宋体" w:hAnsi="宋体" w:eastAsia="宋体" w:cs="宋体"/>
          <w:b/>
          <w:color w:val="auto"/>
          <w:sz w:val="28"/>
          <w:szCs w:val="28"/>
        </w:rPr>
      </w:pPr>
      <w:r>
        <w:rPr>
          <w:rFonts w:hint="eastAsia" w:ascii="宋体" w:hAnsi="宋体" w:eastAsia="宋体" w:cs="宋体"/>
          <w:b/>
          <w:color w:val="auto"/>
          <w:sz w:val="28"/>
          <w:szCs w:val="28"/>
        </w:rPr>
        <w:t>法定代表人或授权代表（签字或盖</w:t>
      </w:r>
      <w:r>
        <w:rPr>
          <w:rFonts w:hint="eastAsia" w:ascii="宋体" w:hAnsi="宋体" w:cs="宋体"/>
          <w:b/>
          <w:color w:val="auto"/>
          <w:sz w:val="28"/>
          <w:szCs w:val="28"/>
          <w:lang w:val="en-US" w:eastAsia="zh-CN"/>
        </w:rPr>
        <w:t>章</w:t>
      </w:r>
      <w:r>
        <w:rPr>
          <w:rFonts w:hint="eastAsia" w:ascii="宋体" w:hAnsi="宋体" w:eastAsia="宋体" w:cs="宋体"/>
          <w:b/>
          <w:color w:val="auto"/>
          <w:sz w:val="28"/>
          <w:szCs w:val="28"/>
        </w:rPr>
        <w:t>）：</w:t>
      </w:r>
    </w:p>
    <w:p w14:paraId="516E416C">
      <w:pPr>
        <w:pStyle w:val="3"/>
        <w:snapToGrid w:val="0"/>
        <w:spacing w:after="0"/>
        <w:ind w:firstLine="241"/>
        <w:jc w:val="left"/>
        <w:rPr>
          <w:rFonts w:ascii="宋体" w:hAnsi="宋体" w:eastAsia="宋体" w:cs="宋体"/>
          <w:b/>
          <w:color w:val="auto"/>
          <w:sz w:val="28"/>
          <w:szCs w:val="28"/>
        </w:rPr>
      </w:pPr>
    </w:p>
    <w:p w14:paraId="2246026C">
      <w:pPr>
        <w:tabs>
          <w:tab w:val="left" w:pos="1617"/>
          <w:tab w:val="left" w:pos="2219"/>
          <w:tab w:val="left" w:pos="2942"/>
        </w:tabs>
        <w:snapToGrid w:val="0"/>
        <w:jc w:val="right"/>
        <w:rPr>
          <w:rFonts w:hint="eastAsia" w:ascii="宋体" w:hAnsi="宋体" w:eastAsia="宋体" w:cs="宋体"/>
          <w:b/>
          <w:color w:val="auto"/>
          <w:sz w:val="28"/>
          <w:szCs w:val="28"/>
        </w:rPr>
      </w:pPr>
      <w:r>
        <w:rPr>
          <w:rFonts w:hint="eastAsia" w:ascii="宋体" w:hAnsi="宋体" w:eastAsia="宋体" w:cs="宋体"/>
          <w:b/>
          <w:color w:val="auto"/>
          <w:sz w:val="28"/>
          <w:szCs w:val="28"/>
        </w:rPr>
        <w:t>日期：</w:t>
      </w:r>
      <w:r>
        <w:rPr>
          <w:rFonts w:hint="eastAsia" w:ascii="宋体" w:hAnsi="宋体" w:eastAsia="宋体" w:cs="宋体"/>
          <w:b/>
          <w:color w:val="auto"/>
          <w:sz w:val="28"/>
          <w:szCs w:val="28"/>
        </w:rPr>
        <w:tab/>
      </w:r>
      <w:r>
        <w:rPr>
          <w:rFonts w:hint="eastAsia" w:ascii="宋体" w:hAnsi="宋体" w:eastAsia="宋体" w:cs="宋体"/>
          <w:b/>
          <w:color w:val="auto"/>
          <w:sz w:val="28"/>
          <w:szCs w:val="28"/>
        </w:rPr>
        <w:t>年</w:t>
      </w:r>
      <w:r>
        <w:rPr>
          <w:rFonts w:hint="eastAsia" w:ascii="宋体" w:hAnsi="宋体" w:eastAsia="宋体" w:cs="宋体"/>
          <w:b/>
          <w:color w:val="auto"/>
          <w:sz w:val="28"/>
          <w:szCs w:val="28"/>
        </w:rPr>
        <w:tab/>
      </w:r>
      <w:r>
        <w:rPr>
          <w:rFonts w:hint="eastAsia" w:ascii="宋体" w:hAnsi="宋体" w:eastAsia="宋体" w:cs="宋体"/>
          <w:b/>
          <w:color w:val="auto"/>
          <w:sz w:val="28"/>
          <w:szCs w:val="28"/>
        </w:rPr>
        <w:t>月  日</w:t>
      </w:r>
    </w:p>
    <w:p w14:paraId="0326822B">
      <w:pPr>
        <w:rPr>
          <w:rFonts w:hint="eastAsia"/>
          <w:color w:val="auto"/>
        </w:rPr>
      </w:pPr>
    </w:p>
    <w:p w14:paraId="64279037">
      <w:pPr>
        <w:pStyle w:val="9"/>
        <w:snapToGrid w:val="0"/>
        <w:ind w:left="0"/>
        <w:rPr>
          <w:rFonts w:hint="eastAsia" w:ascii="宋体" w:hAnsi="宋体" w:eastAsia="宋体" w:cs="宋体"/>
          <w:b w:val="0"/>
          <w:bCs w:val="0"/>
          <w:snapToGrid w:val="0"/>
          <w:color w:val="auto"/>
          <w:kern w:val="0"/>
          <w:sz w:val="28"/>
          <w:szCs w:val="28"/>
          <w:highlight w:val="none"/>
        </w:rPr>
      </w:pPr>
    </w:p>
    <w:p w14:paraId="0E75F1B1">
      <w:pPr>
        <w:pStyle w:val="9"/>
        <w:snapToGrid w:val="0"/>
        <w:ind w:left="0"/>
        <w:rPr>
          <w:rFonts w:ascii="宋体" w:hAnsi="宋体" w:eastAsia="宋体" w:cs="宋体"/>
          <w:b w:val="0"/>
          <w:bCs w:val="0"/>
          <w:snapToGrid w:val="0"/>
          <w:color w:val="auto"/>
          <w:kern w:val="0"/>
          <w:sz w:val="28"/>
          <w:szCs w:val="28"/>
          <w:highlight w:val="none"/>
        </w:rPr>
      </w:pPr>
      <w:r>
        <w:rPr>
          <w:rFonts w:hint="eastAsia" w:ascii="宋体" w:hAnsi="宋体" w:eastAsia="宋体" w:cs="宋体"/>
          <w:b w:val="0"/>
          <w:bCs w:val="0"/>
          <w:snapToGrid w:val="0"/>
          <w:color w:val="auto"/>
          <w:kern w:val="0"/>
          <w:sz w:val="28"/>
          <w:szCs w:val="28"/>
          <w:highlight w:val="none"/>
        </w:rPr>
        <w:t>附：项目收费最高限价表</w:t>
      </w:r>
    </w:p>
    <w:p w14:paraId="082BB4C3">
      <w:pPr>
        <w:widowControl/>
        <w:snapToGrid w:val="0"/>
        <w:jc w:val="right"/>
        <w:textAlignment w:val="center"/>
        <w:rPr>
          <w:rFonts w:ascii="宋体" w:hAnsi="宋体" w:eastAsia="宋体"/>
          <w:b/>
          <w:bCs/>
          <w:color w:val="auto"/>
          <w:kern w:val="0"/>
          <w:highlight w:val="none"/>
        </w:rPr>
      </w:pPr>
      <w:r>
        <w:rPr>
          <w:rFonts w:hint="eastAsia" w:ascii="宋体" w:hAnsi="宋体" w:eastAsia="宋体"/>
          <w:b/>
          <w:bCs/>
          <w:color w:val="auto"/>
          <w:kern w:val="0"/>
          <w:highlight w:val="none"/>
        </w:rPr>
        <w:t>费率：‰</w:t>
      </w:r>
    </w:p>
    <w:tbl>
      <w:tblPr>
        <w:tblStyle w:val="32"/>
        <w:tblW w:w="9879" w:type="dxa"/>
        <w:jc w:val="center"/>
        <w:tblLayout w:type="fixed"/>
        <w:tblCellMar>
          <w:top w:w="0" w:type="dxa"/>
          <w:left w:w="108" w:type="dxa"/>
          <w:bottom w:w="0" w:type="dxa"/>
          <w:right w:w="108" w:type="dxa"/>
        </w:tblCellMar>
      </w:tblPr>
      <w:tblGrid>
        <w:gridCol w:w="503"/>
        <w:gridCol w:w="556"/>
        <w:gridCol w:w="556"/>
        <w:gridCol w:w="713"/>
        <w:gridCol w:w="737"/>
        <w:gridCol w:w="763"/>
        <w:gridCol w:w="712"/>
        <w:gridCol w:w="813"/>
        <w:gridCol w:w="800"/>
        <w:gridCol w:w="825"/>
        <w:gridCol w:w="887"/>
        <w:gridCol w:w="929"/>
        <w:gridCol w:w="1085"/>
      </w:tblGrid>
      <w:tr w14:paraId="2484A6A6">
        <w:tblPrEx>
          <w:tblCellMar>
            <w:top w:w="0" w:type="dxa"/>
            <w:left w:w="108" w:type="dxa"/>
            <w:bottom w:w="0" w:type="dxa"/>
            <w:right w:w="108" w:type="dxa"/>
          </w:tblCellMar>
        </w:tblPrEx>
        <w:trPr>
          <w:trHeight w:val="602"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73035E1">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b/>
                <w:bCs/>
                <w:color w:val="auto"/>
                <w:sz w:val="21"/>
                <w:szCs w:val="21"/>
                <w:highlight w:val="none"/>
              </w:rPr>
            </w:pPr>
            <w:r>
              <w:rPr>
                <w:rFonts w:hint="eastAsia" w:ascii="宋体" w:hAnsi="宋体" w:eastAsia="宋体"/>
                <w:b/>
                <w:bCs/>
                <w:color w:val="auto"/>
                <w:kern w:val="0"/>
                <w:sz w:val="21"/>
                <w:szCs w:val="21"/>
                <w:highlight w:val="none"/>
              </w:rPr>
              <w:t>序号</w:t>
            </w:r>
          </w:p>
        </w:tc>
        <w:tc>
          <w:tcPr>
            <w:tcW w:w="11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1C43026">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b/>
                <w:bCs/>
                <w:color w:val="auto"/>
                <w:sz w:val="21"/>
                <w:szCs w:val="21"/>
                <w:highlight w:val="none"/>
              </w:rPr>
            </w:pPr>
            <w:r>
              <w:rPr>
                <w:rFonts w:hint="eastAsia" w:ascii="宋体" w:hAnsi="宋体" w:eastAsia="宋体"/>
                <w:b/>
                <w:bCs/>
                <w:color w:val="auto"/>
                <w:kern w:val="0"/>
                <w:sz w:val="21"/>
                <w:szCs w:val="21"/>
                <w:highlight w:val="none"/>
              </w:rPr>
              <w:t>咨询项目</w:t>
            </w:r>
          </w:p>
        </w:tc>
        <w:tc>
          <w:tcPr>
            <w:tcW w:w="7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C6BBB93">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b/>
                <w:bCs/>
                <w:color w:val="auto"/>
                <w:sz w:val="21"/>
                <w:szCs w:val="21"/>
                <w:highlight w:val="none"/>
              </w:rPr>
            </w:pPr>
            <w:r>
              <w:rPr>
                <w:rFonts w:hint="eastAsia" w:ascii="宋体" w:hAnsi="宋体" w:eastAsia="宋体"/>
                <w:b/>
                <w:bCs/>
                <w:color w:val="auto"/>
                <w:kern w:val="0"/>
                <w:sz w:val="21"/>
                <w:szCs w:val="21"/>
                <w:highlight w:val="none"/>
              </w:rPr>
              <w:t>收费基数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62FCE0A1">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b/>
                <w:bCs/>
                <w:color w:val="auto"/>
                <w:sz w:val="21"/>
                <w:szCs w:val="21"/>
                <w:highlight w:val="none"/>
              </w:rPr>
            </w:pPr>
            <w:r>
              <w:rPr>
                <w:rFonts w:hint="eastAsia" w:ascii="宋体" w:hAnsi="宋体" w:eastAsia="宋体"/>
                <w:b/>
                <w:bCs/>
                <w:color w:val="auto"/>
                <w:kern w:val="0"/>
                <w:sz w:val="21"/>
                <w:szCs w:val="21"/>
                <w:highlight w:val="none"/>
              </w:rPr>
              <w:t>分档累进计费标准</w:t>
            </w:r>
          </w:p>
        </w:tc>
      </w:tr>
      <w:tr w14:paraId="748069BC">
        <w:tblPrEx>
          <w:tblCellMar>
            <w:top w:w="0" w:type="dxa"/>
            <w:left w:w="108" w:type="dxa"/>
            <w:bottom w:w="0" w:type="dxa"/>
            <w:right w:w="108" w:type="dxa"/>
          </w:tblCellMar>
        </w:tblPrEx>
        <w:trPr>
          <w:trHeight w:val="28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D83EFB">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1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B7584C0">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7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B0516">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14:paraId="78D2766B">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100万元以内</w:t>
            </w:r>
          </w:p>
        </w:tc>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397E1C74">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101-500万元</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14:paraId="267D76C2">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501-1000万元</w:t>
            </w:r>
          </w:p>
        </w:tc>
        <w:tc>
          <w:tcPr>
            <w:tcW w:w="8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921D314">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1001-2000万元</w:t>
            </w:r>
          </w:p>
        </w:tc>
        <w:tc>
          <w:tcPr>
            <w:tcW w:w="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843C4A">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2001-5000万元</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D5DA572">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5001-10000万元</w:t>
            </w:r>
          </w:p>
        </w:tc>
        <w:tc>
          <w:tcPr>
            <w:tcW w:w="887" w:type="dxa"/>
            <w:vMerge w:val="restart"/>
            <w:tcBorders>
              <w:top w:val="single" w:color="000000" w:sz="4" w:space="0"/>
              <w:left w:val="single" w:color="000000" w:sz="4" w:space="0"/>
              <w:bottom w:val="single" w:color="000000" w:sz="4" w:space="0"/>
              <w:right w:val="single" w:color="000000" w:sz="4" w:space="0"/>
            </w:tcBorders>
            <w:noWrap w:val="0"/>
            <w:vAlign w:val="center"/>
          </w:tcPr>
          <w:p w14:paraId="5BCA8625">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10001-50000万元</w:t>
            </w:r>
          </w:p>
        </w:tc>
        <w:tc>
          <w:tcPr>
            <w:tcW w:w="929" w:type="dxa"/>
            <w:vMerge w:val="restart"/>
            <w:tcBorders>
              <w:top w:val="single" w:color="000000" w:sz="4" w:space="0"/>
              <w:left w:val="single" w:color="000000" w:sz="4" w:space="0"/>
              <w:bottom w:val="single" w:color="000000" w:sz="4" w:space="0"/>
              <w:right w:val="single" w:color="000000" w:sz="4" w:space="0"/>
            </w:tcBorders>
            <w:noWrap w:val="0"/>
            <w:vAlign w:val="center"/>
          </w:tcPr>
          <w:p w14:paraId="2D5AC97B">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50001-100000万元</w:t>
            </w:r>
          </w:p>
        </w:tc>
        <w:tc>
          <w:tcPr>
            <w:tcW w:w="10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06B963">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100000万元以上</w:t>
            </w:r>
          </w:p>
        </w:tc>
      </w:tr>
      <w:tr w14:paraId="786B2E91">
        <w:tblPrEx>
          <w:tblCellMar>
            <w:top w:w="0" w:type="dxa"/>
            <w:left w:w="108" w:type="dxa"/>
            <w:bottom w:w="0" w:type="dxa"/>
            <w:right w:w="108" w:type="dxa"/>
          </w:tblCellMar>
        </w:tblPrEx>
        <w:trPr>
          <w:trHeight w:val="28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192B5">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1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331F87D">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7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53242">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6ECF2">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C9B54">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A4D8D5">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8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F0FAB">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852AA">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36EE3">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47797">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9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7B2474">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1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91208">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r>
      <w:tr w14:paraId="7B3E20E0">
        <w:tblPrEx>
          <w:tblCellMar>
            <w:top w:w="0" w:type="dxa"/>
            <w:left w:w="108" w:type="dxa"/>
            <w:bottom w:w="0" w:type="dxa"/>
            <w:right w:w="108" w:type="dxa"/>
          </w:tblCellMar>
        </w:tblPrEx>
        <w:trPr>
          <w:trHeight w:val="513"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EB1FF">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1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5897715">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7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3BC20">
            <w:pPr>
              <w:keepNext w:val="0"/>
              <w:keepLines w:val="0"/>
              <w:suppressLineNumbers w:val="0"/>
              <w:snapToGrid w:val="0"/>
              <w:spacing w:before="0" w:beforeAutospacing="0" w:after="0" w:afterAutospacing="0"/>
              <w:ind w:left="0" w:right="0"/>
              <w:jc w:val="center"/>
              <w:rPr>
                <w:rFonts w:hint="default" w:ascii="宋体" w:hAnsi="宋体" w:eastAsia="宋体"/>
                <w:b/>
                <w:bCs/>
                <w:color w:val="auto"/>
                <w:sz w:val="21"/>
                <w:szCs w:val="21"/>
                <w:highlight w:val="none"/>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65FFF">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BFC2A0">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B1337">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8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F644B">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E07AC">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54F91">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E25033">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9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B1B9E">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c>
          <w:tcPr>
            <w:tcW w:w="1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A20DD">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rPr>
            </w:pPr>
          </w:p>
        </w:tc>
      </w:tr>
      <w:tr w14:paraId="5F18AF6F">
        <w:tblPrEx>
          <w:tblCellMar>
            <w:top w:w="0" w:type="dxa"/>
            <w:left w:w="108" w:type="dxa"/>
            <w:bottom w:w="0" w:type="dxa"/>
            <w:right w:w="108" w:type="dxa"/>
          </w:tblCellMar>
        </w:tblPrEx>
        <w:trPr>
          <w:trHeight w:val="750" w:hRule="atLeast"/>
          <w:jc w:val="center"/>
        </w:trPr>
        <w:tc>
          <w:tcPr>
            <w:tcW w:w="503" w:type="dxa"/>
            <w:tcBorders>
              <w:top w:val="single" w:color="000000" w:sz="4" w:space="0"/>
              <w:left w:val="single" w:color="000000" w:sz="4" w:space="0"/>
              <w:bottom w:val="single" w:color="000000" w:sz="4" w:space="0"/>
              <w:right w:val="single" w:color="000000" w:sz="4" w:space="0"/>
            </w:tcBorders>
            <w:noWrap w:val="0"/>
            <w:vAlign w:val="center"/>
          </w:tcPr>
          <w:p w14:paraId="370E16D7">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w:t>
            </w: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14:paraId="15EFF66E">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项目概算审核</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15D9564">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送审金额</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E53E289">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0.68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DDF14D3">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0.6</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5CEB9124">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0.52</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3195D70">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0.44</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FAA9D02">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102E9FF">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0.36</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B7198BE">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0.3</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32294EBE">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0.15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6BC9090D">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0.05</w:t>
            </w:r>
          </w:p>
        </w:tc>
      </w:tr>
      <w:tr w14:paraId="6C4D75E6">
        <w:tblPrEx>
          <w:tblCellMar>
            <w:top w:w="0" w:type="dxa"/>
            <w:left w:w="108" w:type="dxa"/>
            <w:bottom w:w="0" w:type="dxa"/>
            <w:right w:w="108" w:type="dxa"/>
          </w:tblCellMar>
        </w:tblPrEx>
        <w:trPr>
          <w:trHeight w:val="783" w:hRule="atLeast"/>
          <w:jc w:val="center"/>
        </w:trPr>
        <w:tc>
          <w:tcPr>
            <w:tcW w:w="503" w:type="dxa"/>
            <w:tcBorders>
              <w:top w:val="single" w:color="auto" w:sz="4" w:space="0"/>
              <w:left w:val="single" w:color="auto" w:sz="4" w:space="0"/>
              <w:bottom w:val="single" w:color="auto" w:sz="4" w:space="0"/>
              <w:right w:val="single" w:color="000000" w:sz="4" w:space="0"/>
            </w:tcBorders>
            <w:noWrap w:val="0"/>
            <w:vAlign w:val="center"/>
          </w:tcPr>
          <w:p w14:paraId="67F12358">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olor w:val="auto"/>
                <w:sz w:val="21"/>
                <w:szCs w:val="21"/>
                <w:highlight w:val="none"/>
                <w:lang w:eastAsia="zh-CN"/>
              </w:rPr>
            </w:pPr>
            <w:r>
              <w:rPr>
                <w:rFonts w:hint="eastAsia" w:ascii="宋体" w:hAnsi="宋体"/>
                <w:color w:val="auto"/>
                <w:kern w:val="0"/>
                <w:sz w:val="21"/>
                <w:szCs w:val="21"/>
                <w:highlight w:val="none"/>
                <w:lang w:val="en-US" w:eastAsia="zh-CN"/>
              </w:rPr>
              <w:t>2</w:t>
            </w:r>
          </w:p>
        </w:tc>
        <w:tc>
          <w:tcPr>
            <w:tcW w:w="556" w:type="dxa"/>
            <w:tcBorders>
              <w:top w:val="single" w:color="auto" w:sz="4" w:space="0"/>
              <w:left w:val="single" w:color="000000" w:sz="4" w:space="0"/>
              <w:bottom w:val="single" w:color="auto" w:sz="4" w:space="0"/>
              <w:right w:val="single" w:color="auto" w:sz="4" w:space="0"/>
            </w:tcBorders>
            <w:noWrap w:val="0"/>
            <w:vAlign w:val="center"/>
          </w:tcPr>
          <w:p w14:paraId="0846A34D">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工程结算审核</w:t>
            </w:r>
          </w:p>
        </w:tc>
        <w:tc>
          <w:tcPr>
            <w:tcW w:w="556" w:type="dxa"/>
            <w:tcBorders>
              <w:top w:val="single" w:color="000000" w:sz="4" w:space="0"/>
              <w:left w:val="single" w:color="auto" w:sz="4" w:space="0"/>
              <w:bottom w:val="single" w:color="000000" w:sz="4" w:space="0"/>
              <w:right w:val="single" w:color="000000" w:sz="4" w:space="0"/>
            </w:tcBorders>
            <w:noWrap w:val="0"/>
            <w:vAlign w:val="center"/>
          </w:tcPr>
          <w:p w14:paraId="09E8F0CD">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olor w:val="auto"/>
                <w:kern w:val="0"/>
                <w:sz w:val="21"/>
                <w:szCs w:val="21"/>
                <w:highlight w:val="none"/>
                <w:lang w:eastAsia="zh-CN"/>
              </w:rPr>
            </w:pPr>
            <w:r>
              <w:rPr>
                <w:rFonts w:hint="eastAsia" w:ascii="宋体" w:hAnsi="宋体"/>
                <w:color w:val="auto"/>
                <w:kern w:val="0"/>
                <w:sz w:val="21"/>
                <w:szCs w:val="21"/>
                <w:highlight w:val="none"/>
                <w:lang w:eastAsia="zh-CN"/>
              </w:rPr>
              <w:t>基本收费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F25996B">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送审金额</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AB70704">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1.68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53E7BB3">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1.5</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5D5A40E7">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1.32</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BE7671B">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1.14</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2F73D0D">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0.96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C64FA00">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0.78</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5839631">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0.6</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43A56C51">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0.4</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42A5F362">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olor w:val="auto"/>
                <w:sz w:val="21"/>
                <w:szCs w:val="21"/>
                <w:highlight w:val="none"/>
              </w:rPr>
            </w:pPr>
            <w:r>
              <w:rPr>
                <w:rFonts w:hint="eastAsia" w:ascii="宋体" w:hAnsi="宋体" w:eastAsia="宋体"/>
                <w:color w:val="auto"/>
                <w:kern w:val="0"/>
                <w:sz w:val="21"/>
                <w:szCs w:val="21"/>
                <w:highlight w:val="none"/>
              </w:rPr>
              <w:t>0.2</w:t>
            </w:r>
          </w:p>
        </w:tc>
      </w:tr>
    </w:tbl>
    <w:p w14:paraId="4D92998C">
      <w:pPr>
        <w:pStyle w:val="2"/>
        <w:ind w:left="0" w:leftChars="0" w:firstLine="0" w:firstLineChars="0"/>
        <w:rPr>
          <w:color w:val="auto"/>
        </w:rPr>
      </w:pPr>
    </w:p>
    <w:sectPr>
      <w:headerReference r:id="rId6" w:type="default"/>
      <w:footerReference r:id="rId7" w:type="default"/>
      <w:pgSz w:w="11906" w:h="16838"/>
      <w:pgMar w:top="1191" w:right="1247" w:bottom="1191" w:left="1247" w:header="851" w:footer="85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decorative"/>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decorative"/>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F13E7">
    <w:pPr>
      <w:pStyle w:val="22"/>
      <w:ind w:right="720" w:firstLine="210" w:firstLineChars="10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51116">
    <w:pPr>
      <w:pStyle w:val="2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1EBBC">
                          <w:pPr>
                            <w:pStyle w:val="2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51EBBC">
                    <w:pPr>
                      <w:pStyle w:val="2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p w14:paraId="7DB66A0D">
    <w:pPr>
      <w:pStyle w:val="22"/>
      <w:ind w:right="720" w:firstLine="210" w:firstLineChars="100"/>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9CC3">
    <w:pPr>
      <w:pStyle w:val="2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73E792B">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49</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53</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Hk7unWAQAAswMAAA4AAABkcnMvZTJvRG9jLnhtbK1Ty47TMBTd&#10;I/EPlvc0mUoDUdV0NKgahIQAaZgPcB2nseSXbLdJfwD+gBUb9nxXv4NjJ+mgYTOL2ST35XPvOb5e&#10;3wxakaPwQVpT06tFSYkw3DbS7Gv68O3uTUVJiMw0TFkjanoSgd5sXr9a924llrazqhGeAMSEVe9q&#10;2sXoVkUReCc0CwvrhEGytV6zCNfvi8azHuhaFcuyfFv01jfOWy5CQHQ7JumE6J8DaNtWcrG1/KCF&#10;iSOqF4pFUAqddIFu8rRtK3j80rZBRKJqCqYxf9EE9i59i82arfaeuU7yaQT2nBGecNJMGjS9QG1Z&#10;ZOTg5X9QWnJvg23jgltdjESyImBxVT7R5r5jTmQukDq4i+jh5WD55+NXT2SDTYAkhmnc+Pnnj/Ov&#10;P+ff3wliEKh3YYW6e4fKOLy3A4rneEAw8R5ar9MfjAjywDpd5BVDJDwdqpZVVSLFkZsd4BePx50P&#10;8YOwmiSjph73l2Vlx08hjqVzSepm7J1UKt+hMqQH6nX17jqfuKSArkwqFnkdJpzEaZw9WXHYDRPR&#10;nW1O4NljJWpq8AIoUR8NFMfccTb8bOxm4+C83Hd5vVKv4G4PEcPlmVOHERZck4O7zKynvUvL8q+f&#10;qx7f2u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KHk7unWAQAAswMAAA4AAAAAAAAAAQAg&#10;AAAAIgEAAGRycy9lMm9Eb2MueG1sUEsFBgAAAAAGAAYAWQEAAGoFAAAAAA==&#10;">
              <v:fill on="f" focussize="0,0"/>
              <v:stroke on="f" weight="1.25pt"/>
              <v:imagedata o:title=""/>
              <o:lock v:ext="edit" aspectratio="f"/>
              <v:textbox inset="0mm,0mm,0mm,0mm" style="mso-fit-shape-to-text:t;">
                <w:txbxContent>
                  <w:p w14:paraId="373E792B">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49</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53</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EA08E">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7A307">
    <w:pPr>
      <w:rPr>
        <w:rFonts w:hint="eastAsia"/>
      </w:rPr>
    </w:pPr>
    <w:r>
      <w:rPr>
        <w:rFonts w:hint="eastAsia"/>
      </w:rPr>
      <w:t xml:space="preserve">     </w:t>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18C6CB"/>
    <w:multiLevelType w:val="singleLevel"/>
    <w:tmpl w:val="1718C6CB"/>
    <w:lvl w:ilvl="0" w:tentative="0">
      <w:start w:val="1"/>
      <w:numFmt w:val="chineseCounting"/>
      <w:suff w:val="space"/>
      <w:lvlText w:val="(%1)"/>
      <w:lvlJc w:val="left"/>
      <w:pPr>
        <w:ind w:left="120" w:leftChars="0" w:firstLine="0" w:firstLineChars="0"/>
      </w:pPr>
      <w:rPr>
        <w:rFonts w:hint="eastAsia"/>
      </w:rPr>
    </w:lvl>
  </w:abstractNum>
  <w:abstractNum w:abstractNumId="1">
    <w:nsid w:val="6AB019D5"/>
    <w:multiLevelType w:val="singleLevel"/>
    <w:tmpl w:val="6AB019D5"/>
    <w:lvl w:ilvl="0" w:tentative="0">
      <w:start w:val="4"/>
      <w:numFmt w:val="decimal"/>
      <w:lvlText w:val="%1."/>
      <w:lvlJc w:val="left"/>
      <w:pPr>
        <w:tabs>
          <w:tab w:val="left" w:pos="312"/>
        </w:tabs>
      </w:pPr>
    </w:lvl>
  </w:abstractNum>
  <w:abstractNum w:abstractNumId="2">
    <w:nsid w:val="6F1F1FA5"/>
    <w:multiLevelType w:val="singleLevel"/>
    <w:tmpl w:val="6F1F1FA5"/>
    <w:lvl w:ilvl="0" w:tentative="0">
      <w:start w:val="1"/>
      <w:numFmt w:val="decimal"/>
      <w:pStyle w:val="10"/>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doNotShadeFormData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NTVlZjU5NGNlYTFkNTA0MjI5YmU0NWU5YTcwMjAifQ=="/>
  </w:docVars>
  <w:rsids>
    <w:rsidRoot w:val="00172A27"/>
    <w:rsid w:val="00002AA7"/>
    <w:rsid w:val="00002B1F"/>
    <w:rsid w:val="00004555"/>
    <w:rsid w:val="00006D34"/>
    <w:rsid w:val="000108B6"/>
    <w:rsid w:val="00011F31"/>
    <w:rsid w:val="00014A54"/>
    <w:rsid w:val="000175CA"/>
    <w:rsid w:val="00017601"/>
    <w:rsid w:val="00020E19"/>
    <w:rsid w:val="00022413"/>
    <w:rsid w:val="000279C0"/>
    <w:rsid w:val="00030559"/>
    <w:rsid w:val="0003664B"/>
    <w:rsid w:val="00036B88"/>
    <w:rsid w:val="00042AB1"/>
    <w:rsid w:val="0004607B"/>
    <w:rsid w:val="000511DF"/>
    <w:rsid w:val="000518FB"/>
    <w:rsid w:val="00053754"/>
    <w:rsid w:val="0005456A"/>
    <w:rsid w:val="00056756"/>
    <w:rsid w:val="00061B17"/>
    <w:rsid w:val="00065907"/>
    <w:rsid w:val="00067BC8"/>
    <w:rsid w:val="00071B7E"/>
    <w:rsid w:val="00072CA4"/>
    <w:rsid w:val="00072F55"/>
    <w:rsid w:val="00077280"/>
    <w:rsid w:val="00077396"/>
    <w:rsid w:val="00077E34"/>
    <w:rsid w:val="00081D6D"/>
    <w:rsid w:val="00083106"/>
    <w:rsid w:val="00084C23"/>
    <w:rsid w:val="00084E44"/>
    <w:rsid w:val="00086A9C"/>
    <w:rsid w:val="00096578"/>
    <w:rsid w:val="000978DB"/>
    <w:rsid w:val="000A1849"/>
    <w:rsid w:val="000A1AA8"/>
    <w:rsid w:val="000A24BA"/>
    <w:rsid w:val="000A3EC9"/>
    <w:rsid w:val="000A5FC9"/>
    <w:rsid w:val="000B281A"/>
    <w:rsid w:val="000C0B7C"/>
    <w:rsid w:val="000C3F2D"/>
    <w:rsid w:val="000D4119"/>
    <w:rsid w:val="000D5ACE"/>
    <w:rsid w:val="000E2908"/>
    <w:rsid w:val="000F0ED6"/>
    <w:rsid w:val="000F4372"/>
    <w:rsid w:val="000F5D32"/>
    <w:rsid w:val="0010133B"/>
    <w:rsid w:val="00103375"/>
    <w:rsid w:val="00103726"/>
    <w:rsid w:val="001050AF"/>
    <w:rsid w:val="0010549D"/>
    <w:rsid w:val="00106EA7"/>
    <w:rsid w:val="00107633"/>
    <w:rsid w:val="00113C7E"/>
    <w:rsid w:val="00115454"/>
    <w:rsid w:val="00116E8C"/>
    <w:rsid w:val="001174FA"/>
    <w:rsid w:val="00136DC7"/>
    <w:rsid w:val="00146C3D"/>
    <w:rsid w:val="001653E5"/>
    <w:rsid w:val="001669C2"/>
    <w:rsid w:val="00167A9E"/>
    <w:rsid w:val="001720DA"/>
    <w:rsid w:val="0017308E"/>
    <w:rsid w:val="00173758"/>
    <w:rsid w:val="00174695"/>
    <w:rsid w:val="0017602E"/>
    <w:rsid w:val="00176270"/>
    <w:rsid w:val="00180604"/>
    <w:rsid w:val="00182F2F"/>
    <w:rsid w:val="00186951"/>
    <w:rsid w:val="00191EB8"/>
    <w:rsid w:val="00194949"/>
    <w:rsid w:val="00197F27"/>
    <w:rsid w:val="001A0EF4"/>
    <w:rsid w:val="001A1887"/>
    <w:rsid w:val="001A5D16"/>
    <w:rsid w:val="001A6E55"/>
    <w:rsid w:val="001B0B0A"/>
    <w:rsid w:val="001B3DF6"/>
    <w:rsid w:val="001C13C4"/>
    <w:rsid w:val="001C38FC"/>
    <w:rsid w:val="001C4134"/>
    <w:rsid w:val="001C6DEB"/>
    <w:rsid w:val="001D0165"/>
    <w:rsid w:val="001E668B"/>
    <w:rsid w:val="001F58CE"/>
    <w:rsid w:val="001F5ED5"/>
    <w:rsid w:val="001F6327"/>
    <w:rsid w:val="002013B5"/>
    <w:rsid w:val="0020169F"/>
    <w:rsid w:val="00201854"/>
    <w:rsid w:val="00201AC5"/>
    <w:rsid w:val="00206B02"/>
    <w:rsid w:val="00210038"/>
    <w:rsid w:val="00211272"/>
    <w:rsid w:val="00214D1B"/>
    <w:rsid w:val="00216FCA"/>
    <w:rsid w:val="00224612"/>
    <w:rsid w:val="00226792"/>
    <w:rsid w:val="00232287"/>
    <w:rsid w:val="00233162"/>
    <w:rsid w:val="002358CC"/>
    <w:rsid w:val="00240D1F"/>
    <w:rsid w:val="00241CBF"/>
    <w:rsid w:val="00242DE4"/>
    <w:rsid w:val="002457A9"/>
    <w:rsid w:val="00262574"/>
    <w:rsid w:val="00262DA9"/>
    <w:rsid w:val="00263474"/>
    <w:rsid w:val="00272130"/>
    <w:rsid w:val="00275638"/>
    <w:rsid w:val="0027613E"/>
    <w:rsid w:val="00281EF6"/>
    <w:rsid w:val="0028406C"/>
    <w:rsid w:val="0028450E"/>
    <w:rsid w:val="00291D66"/>
    <w:rsid w:val="002922DF"/>
    <w:rsid w:val="0029244B"/>
    <w:rsid w:val="00296412"/>
    <w:rsid w:val="002A0C37"/>
    <w:rsid w:val="002A1ACB"/>
    <w:rsid w:val="002A56BA"/>
    <w:rsid w:val="002B1C80"/>
    <w:rsid w:val="002B5558"/>
    <w:rsid w:val="002D2F19"/>
    <w:rsid w:val="002D3223"/>
    <w:rsid w:val="002D48A1"/>
    <w:rsid w:val="002D67C4"/>
    <w:rsid w:val="002E605F"/>
    <w:rsid w:val="002F0C4F"/>
    <w:rsid w:val="002F2151"/>
    <w:rsid w:val="002F6074"/>
    <w:rsid w:val="003018D2"/>
    <w:rsid w:val="00303782"/>
    <w:rsid w:val="00304192"/>
    <w:rsid w:val="00305861"/>
    <w:rsid w:val="0031097E"/>
    <w:rsid w:val="00316620"/>
    <w:rsid w:val="00317F6B"/>
    <w:rsid w:val="003222AF"/>
    <w:rsid w:val="00324DD5"/>
    <w:rsid w:val="00326C8F"/>
    <w:rsid w:val="00327F5F"/>
    <w:rsid w:val="00330E7E"/>
    <w:rsid w:val="00335CFF"/>
    <w:rsid w:val="00341B73"/>
    <w:rsid w:val="003427BC"/>
    <w:rsid w:val="003447BE"/>
    <w:rsid w:val="0034588E"/>
    <w:rsid w:val="00351363"/>
    <w:rsid w:val="003545F3"/>
    <w:rsid w:val="00354B71"/>
    <w:rsid w:val="00361E8E"/>
    <w:rsid w:val="003809D7"/>
    <w:rsid w:val="003824B9"/>
    <w:rsid w:val="00385451"/>
    <w:rsid w:val="00387139"/>
    <w:rsid w:val="00387219"/>
    <w:rsid w:val="00393038"/>
    <w:rsid w:val="003962EF"/>
    <w:rsid w:val="003A2188"/>
    <w:rsid w:val="003A3D3C"/>
    <w:rsid w:val="003A6229"/>
    <w:rsid w:val="003B19F5"/>
    <w:rsid w:val="003B3214"/>
    <w:rsid w:val="003B7A51"/>
    <w:rsid w:val="003B7A68"/>
    <w:rsid w:val="003C6A04"/>
    <w:rsid w:val="003C6A35"/>
    <w:rsid w:val="003D1010"/>
    <w:rsid w:val="003D5C96"/>
    <w:rsid w:val="003E1989"/>
    <w:rsid w:val="003E2FBF"/>
    <w:rsid w:val="003E620D"/>
    <w:rsid w:val="003E650D"/>
    <w:rsid w:val="003F1C4E"/>
    <w:rsid w:val="0040059A"/>
    <w:rsid w:val="00415232"/>
    <w:rsid w:val="0041525E"/>
    <w:rsid w:val="004166A8"/>
    <w:rsid w:val="00417567"/>
    <w:rsid w:val="004200F4"/>
    <w:rsid w:val="00421089"/>
    <w:rsid w:val="00421DBC"/>
    <w:rsid w:val="00422779"/>
    <w:rsid w:val="00427CA1"/>
    <w:rsid w:val="00430FFA"/>
    <w:rsid w:val="00432D25"/>
    <w:rsid w:val="00447C76"/>
    <w:rsid w:val="004606C9"/>
    <w:rsid w:val="004619C7"/>
    <w:rsid w:val="00463D5D"/>
    <w:rsid w:val="004752A1"/>
    <w:rsid w:val="00476D65"/>
    <w:rsid w:val="00476E8D"/>
    <w:rsid w:val="00480403"/>
    <w:rsid w:val="00480EDE"/>
    <w:rsid w:val="00485905"/>
    <w:rsid w:val="0049437D"/>
    <w:rsid w:val="00494B07"/>
    <w:rsid w:val="004A3215"/>
    <w:rsid w:val="004A3DA2"/>
    <w:rsid w:val="004A6A1B"/>
    <w:rsid w:val="004B26FA"/>
    <w:rsid w:val="004B37A2"/>
    <w:rsid w:val="004B636C"/>
    <w:rsid w:val="004B6A13"/>
    <w:rsid w:val="004B77C3"/>
    <w:rsid w:val="004C4B98"/>
    <w:rsid w:val="004D3AE9"/>
    <w:rsid w:val="004D6328"/>
    <w:rsid w:val="004E04D8"/>
    <w:rsid w:val="004E1196"/>
    <w:rsid w:val="004E3B97"/>
    <w:rsid w:val="004F5AF4"/>
    <w:rsid w:val="004F5BA1"/>
    <w:rsid w:val="00501FE7"/>
    <w:rsid w:val="00502E96"/>
    <w:rsid w:val="00512C31"/>
    <w:rsid w:val="0051346E"/>
    <w:rsid w:val="005245F8"/>
    <w:rsid w:val="0053010F"/>
    <w:rsid w:val="00530BF1"/>
    <w:rsid w:val="00536467"/>
    <w:rsid w:val="00537071"/>
    <w:rsid w:val="0053711C"/>
    <w:rsid w:val="00541162"/>
    <w:rsid w:val="00547238"/>
    <w:rsid w:val="0054770F"/>
    <w:rsid w:val="00550DA8"/>
    <w:rsid w:val="00566D26"/>
    <w:rsid w:val="00567C8A"/>
    <w:rsid w:val="005705C1"/>
    <w:rsid w:val="00570CEA"/>
    <w:rsid w:val="00584C14"/>
    <w:rsid w:val="00585390"/>
    <w:rsid w:val="00585DAF"/>
    <w:rsid w:val="00593384"/>
    <w:rsid w:val="00593B2C"/>
    <w:rsid w:val="00593BC9"/>
    <w:rsid w:val="00593F38"/>
    <w:rsid w:val="0059523F"/>
    <w:rsid w:val="005A4A72"/>
    <w:rsid w:val="005A4ADD"/>
    <w:rsid w:val="005A51BD"/>
    <w:rsid w:val="005A5986"/>
    <w:rsid w:val="005B5E33"/>
    <w:rsid w:val="005B6A37"/>
    <w:rsid w:val="005C3A90"/>
    <w:rsid w:val="005C3C35"/>
    <w:rsid w:val="005C5371"/>
    <w:rsid w:val="005C798B"/>
    <w:rsid w:val="005D1964"/>
    <w:rsid w:val="005D2348"/>
    <w:rsid w:val="005D28FD"/>
    <w:rsid w:val="005F003C"/>
    <w:rsid w:val="005F63D4"/>
    <w:rsid w:val="005F7297"/>
    <w:rsid w:val="00606F46"/>
    <w:rsid w:val="00612422"/>
    <w:rsid w:val="00616042"/>
    <w:rsid w:val="006161A3"/>
    <w:rsid w:val="00620016"/>
    <w:rsid w:val="00624D1E"/>
    <w:rsid w:val="00626E73"/>
    <w:rsid w:val="00630577"/>
    <w:rsid w:val="00632CE7"/>
    <w:rsid w:val="00633208"/>
    <w:rsid w:val="006369B1"/>
    <w:rsid w:val="00637C1B"/>
    <w:rsid w:val="006402EC"/>
    <w:rsid w:val="00650056"/>
    <w:rsid w:val="0065005A"/>
    <w:rsid w:val="0065579B"/>
    <w:rsid w:val="0066031D"/>
    <w:rsid w:val="00661139"/>
    <w:rsid w:val="00662866"/>
    <w:rsid w:val="0066376A"/>
    <w:rsid w:val="00665F48"/>
    <w:rsid w:val="006767D7"/>
    <w:rsid w:val="006824DD"/>
    <w:rsid w:val="006856C9"/>
    <w:rsid w:val="006873F4"/>
    <w:rsid w:val="00694E50"/>
    <w:rsid w:val="006A0C43"/>
    <w:rsid w:val="006A5443"/>
    <w:rsid w:val="006B3920"/>
    <w:rsid w:val="006B55E6"/>
    <w:rsid w:val="006B6005"/>
    <w:rsid w:val="006C68DE"/>
    <w:rsid w:val="006C76FD"/>
    <w:rsid w:val="006D2B18"/>
    <w:rsid w:val="006D51F1"/>
    <w:rsid w:val="006D7824"/>
    <w:rsid w:val="006E0A01"/>
    <w:rsid w:val="006E1BAF"/>
    <w:rsid w:val="006E46F0"/>
    <w:rsid w:val="006E77D4"/>
    <w:rsid w:val="006F5633"/>
    <w:rsid w:val="006F7650"/>
    <w:rsid w:val="00701F25"/>
    <w:rsid w:val="00702C2B"/>
    <w:rsid w:val="007079D3"/>
    <w:rsid w:val="00710759"/>
    <w:rsid w:val="0071125B"/>
    <w:rsid w:val="00714814"/>
    <w:rsid w:val="0072661E"/>
    <w:rsid w:val="00730C48"/>
    <w:rsid w:val="00731F5F"/>
    <w:rsid w:val="007358B1"/>
    <w:rsid w:val="00736023"/>
    <w:rsid w:val="0074271E"/>
    <w:rsid w:val="007428C1"/>
    <w:rsid w:val="00743764"/>
    <w:rsid w:val="00743AD4"/>
    <w:rsid w:val="00746A54"/>
    <w:rsid w:val="00747365"/>
    <w:rsid w:val="007507A9"/>
    <w:rsid w:val="007512BE"/>
    <w:rsid w:val="0075171F"/>
    <w:rsid w:val="0075199A"/>
    <w:rsid w:val="00751A38"/>
    <w:rsid w:val="007557F1"/>
    <w:rsid w:val="00762736"/>
    <w:rsid w:val="00762840"/>
    <w:rsid w:val="00762DF1"/>
    <w:rsid w:val="00764858"/>
    <w:rsid w:val="007701B8"/>
    <w:rsid w:val="00777662"/>
    <w:rsid w:val="00782FD1"/>
    <w:rsid w:val="00790180"/>
    <w:rsid w:val="00790B3F"/>
    <w:rsid w:val="007953A5"/>
    <w:rsid w:val="007972F1"/>
    <w:rsid w:val="007B054E"/>
    <w:rsid w:val="007B0C5C"/>
    <w:rsid w:val="007B10AF"/>
    <w:rsid w:val="007B2A3C"/>
    <w:rsid w:val="007C2644"/>
    <w:rsid w:val="007C2A45"/>
    <w:rsid w:val="007C3BDA"/>
    <w:rsid w:val="007D0208"/>
    <w:rsid w:val="007D0467"/>
    <w:rsid w:val="007D0F50"/>
    <w:rsid w:val="007D468D"/>
    <w:rsid w:val="007D4B53"/>
    <w:rsid w:val="007D66DA"/>
    <w:rsid w:val="007D7449"/>
    <w:rsid w:val="007E1047"/>
    <w:rsid w:val="007E3AC8"/>
    <w:rsid w:val="007E3CEB"/>
    <w:rsid w:val="007E5865"/>
    <w:rsid w:val="007F35CA"/>
    <w:rsid w:val="008003A6"/>
    <w:rsid w:val="00800BA4"/>
    <w:rsid w:val="008072DC"/>
    <w:rsid w:val="00807552"/>
    <w:rsid w:val="008140DA"/>
    <w:rsid w:val="00814CB1"/>
    <w:rsid w:val="008152EA"/>
    <w:rsid w:val="00816440"/>
    <w:rsid w:val="00822F4F"/>
    <w:rsid w:val="00824C6C"/>
    <w:rsid w:val="00827DB0"/>
    <w:rsid w:val="00831642"/>
    <w:rsid w:val="00833056"/>
    <w:rsid w:val="008357F1"/>
    <w:rsid w:val="00835E3D"/>
    <w:rsid w:val="00836D80"/>
    <w:rsid w:val="00837EBD"/>
    <w:rsid w:val="008421A8"/>
    <w:rsid w:val="00845029"/>
    <w:rsid w:val="00845F50"/>
    <w:rsid w:val="008476FF"/>
    <w:rsid w:val="0084775A"/>
    <w:rsid w:val="00852036"/>
    <w:rsid w:val="00856CC5"/>
    <w:rsid w:val="00860502"/>
    <w:rsid w:val="0086095F"/>
    <w:rsid w:val="008655CD"/>
    <w:rsid w:val="00866BA0"/>
    <w:rsid w:val="008717A0"/>
    <w:rsid w:val="00872707"/>
    <w:rsid w:val="00873C56"/>
    <w:rsid w:val="00876301"/>
    <w:rsid w:val="00876A8D"/>
    <w:rsid w:val="00882C40"/>
    <w:rsid w:val="00885415"/>
    <w:rsid w:val="00887472"/>
    <w:rsid w:val="00891E9C"/>
    <w:rsid w:val="00893F30"/>
    <w:rsid w:val="008948B0"/>
    <w:rsid w:val="00894A74"/>
    <w:rsid w:val="00896A0A"/>
    <w:rsid w:val="008A0B79"/>
    <w:rsid w:val="008A14FD"/>
    <w:rsid w:val="008A2E8A"/>
    <w:rsid w:val="008A3E0B"/>
    <w:rsid w:val="008A6110"/>
    <w:rsid w:val="008A6747"/>
    <w:rsid w:val="008B14FE"/>
    <w:rsid w:val="008B1782"/>
    <w:rsid w:val="008B1AB0"/>
    <w:rsid w:val="008B3393"/>
    <w:rsid w:val="008C2CC2"/>
    <w:rsid w:val="008C3276"/>
    <w:rsid w:val="008C3913"/>
    <w:rsid w:val="008D52BF"/>
    <w:rsid w:val="008D5D57"/>
    <w:rsid w:val="008E53D1"/>
    <w:rsid w:val="008E5FAE"/>
    <w:rsid w:val="008E7124"/>
    <w:rsid w:val="008F099B"/>
    <w:rsid w:val="008F09F1"/>
    <w:rsid w:val="008F5851"/>
    <w:rsid w:val="009057C4"/>
    <w:rsid w:val="00906669"/>
    <w:rsid w:val="00910033"/>
    <w:rsid w:val="00911B1A"/>
    <w:rsid w:val="00911F32"/>
    <w:rsid w:val="00912A8D"/>
    <w:rsid w:val="00912D1C"/>
    <w:rsid w:val="00912E64"/>
    <w:rsid w:val="00914F6C"/>
    <w:rsid w:val="00923322"/>
    <w:rsid w:val="00923BDF"/>
    <w:rsid w:val="00924059"/>
    <w:rsid w:val="00924F90"/>
    <w:rsid w:val="009273DA"/>
    <w:rsid w:val="00933CEB"/>
    <w:rsid w:val="00936692"/>
    <w:rsid w:val="00936701"/>
    <w:rsid w:val="00937228"/>
    <w:rsid w:val="009455C5"/>
    <w:rsid w:val="009521B7"/>
    <w:rsid w:val="00955AA9"/>
    <w:rsid w:val="009567DC"/>
    <w:rsid w:val="00961B74"/>
    <w:rsid w:val="00962DBE"/>
    <w:rsid w:val="00963885"/>
    <w:rsid w:val="00964112"/>
    <w:rsid w:val="009641AD"/>
    <w:rsid w:val="00964D50"/>
    <w:rsid w:val="00966CFE"/>
    <w:rsid w:val="00972A61"/>
    <w:rsid w:val="00987D75"/>
    <w:rsid w:val="00992AE8"/>
    <w:rsid w:val="00996E8C"/>
    <w:rsid w:val="0099787C"/>
    <w:rsid w:val="009A3101"/>
    <w:rsid w:val="009A5CC7"/>
    <w:rsid w:val="009A796B"/>
    <w:rsid w:val="009A7BB4"/>
    <w:rsid w:val="009B0237"/>
    <w:rsid w:val="009B3B9A"/>
    <w:rsid w:val="009B3D64"/>
    <w:rsid w:val="009B79C0"/>
    <w:rsid w:val="009C15C8"/>
    <w:rsid w:val="009D6A62"/>
    <w:rsid w:val="009E2BD0"/>
    <w:rsid w:val="009E357E"/>
    <w:rsid w:val="009E4DC6"/>
    <w:rsid w:val="009E56E3"/>
    <w:rsid w:val="009F1C10"/>
    <w:rsid w:val="009F21BD"/>
    <w:rsid w:val="009F26CB"/>
    <w:rsid w:val="009F2A5B"/>
    <w:rsid w:val="009F33C0"/>
    <w:rsid w:val="009F4B4A"/>
    <w:rsid w:val="009F509A"/>
    <w:rsid w:val="009F6B44"/>
    <w:rsid w:val="00A0178A"/>
    <w:rsid w:val="00A0306B"/>
    <w:rsid w:val="00A04526"/>
    <w:rsid w:val="00A22874"/>
    <w:rsid w:val="00A24A39"/>
    <w:rsid w:val="00A3558B"/>
    <w:rsid w:val="00A531B7"/>
    <w:rsid w:val="00A61466"/>
    <w:rsid w:val="00A65C2F"/>
    <w:rsid w:val="00A668F5"/>
    <w:rsid w:val="00A76F48"/>
    <w:rsid w:val="00A77C9C"/>
    <w:rsid w:val="00A80DB9"/>
    <w:rsid w:val="00A8215A"/>
    <w:rsid w:val="00A84C3F"/>
    <w:rsid w:val="00A9520F"/>
    <w:rsid w:val="00AA1C3A"/>
    <w:rsid w:val="00AA2016"/>
    <w:rsid w:val="00AA4496"/>
    <w:rsid w:val="00AA6E7A"/>
    <w:rsid w:val="00AB4263"/>
    <w:rsid w:val="00AB63F8"/>
    <w:rsid w:val="00AC099D"/>
    <w:rsid w:val="00AC770B"/>
    <w:rsid w:val="00AD4A0D"/>
    <w:rsid w:val="00AD54ED"/>
    <w:rsid w:val="00AD57C8"/>
    <w:rsid w:val="00AE633D"/>
    <w:rsid w:val="00AF1623"/>
    <w:rsid w:val="00AF29DA"/>
    <w:rsid w:val="00AF2BE3"/>
    <w:rsid w:val="00AF3BBE"/>
    <w:rsid w:val="00AF4939"/>
    <w:rsid w:val="00AF49CE"/>
    <w:rsid w:val="00AF4A10"/>
    <w:rsid w:val="00B0036F"/>
    <w:rsid w:val="00B00811"/>
    <w:rsid w:val="00B04DDF"/>
    <w:rsid w:val="00B054AB"/>
    <w:rsid w:val="00B067DE"/>
    <w:rsid w:val="00B0718C"/>
    <w:rsid w:val="00B109BA"/>
    <w:rsid w:val="00B10DD9"/>
    <w:rsid w:val="00B11EBB"/>
    <w:rsid w:val="00B1628B"/>
    <w:rsid w:val="00B20241"/>
    <w:rsid w:val="00B227CE"/>
    <w:rsid w:val="00B23139"/>
    <w:rsid w:val="00B25C0F"/>
    <w:rsid w:val="00B2703E"/>
    <w:rsid w:val="00B27B0B"/>
    <w:rsid w:val="00B31220"/>
    <w:rsid w:val="00B32197"/>
    <w:rsid w:val="00B33316"/>
    <w:rsid w:val="00B3466A"/>
    <w:rsid w:val="00B3598B"/>
    <w:rsid w:val="00B471BC"/>
    <w:rsid w:val="00B477D2"/>
    <w:rsid w:val="00B52D85"/>
    <w:rsid w:val="00B5486A"/>
    <w:rsid w:val="00B551ED"/>
    <w:rsid w:val="00B556AE"/>
    <w:rsid w:val="00B56CFB"/>
    <w:rsid w:val="00B60799"/>
    <w:rsid w:val="00B619EE"/>
    <w:rsid w:val="00B63515"/>
    <w:rsid w:val="00B652F7"/>
    <w:rsid w:val="00B72B6F"/>
    <w:rsid w:val="00B744D7"/>
    <w:rsid w:val="00B80A86"/>
    <w:rsid w:val="00B824F0"/>
    <w:rsid w:val="00B8273D"/>
    <w:rsid w:val="00B85CA0"/>
    <w:rsid w:val="00B9110F"/>
    <w:rsid w:val="00B95EB3"/>
    <w:rsid w:val="00BA6B41"/>
    <w:rsid w:val="00BA72F3"/>
    <w:rsid w:val="00BA79CE"/>
    <w:rsid w:val="00BB229B"/>
    <w:rsid w:val="00BB44D8"/>
    <w:rsid w:val="00BB52C7"/>
    <w:rsid w:val="00BC5F7E"/>
    <w:rsid w:val="00BD0387"/>
    <w:rsid w:val="00BD1E64"/>
    <w:rsid w:val="00BD2852"/>
    <w:rsid w:val="00BE5063"/>
    <w:rsid w:val="00BF05B5"/>
    <w:rsid w:val="00C00AF1"/>
    <w:rsid w:val="00C0193C"/>
    <w:rsid w:val="00C02CEA"/>
    <w:rsid w:val="00C0402A"/>
    <w:rsid w:val="00C15976"/>
    <w:rsid w:val="00C23F51"/>
    <w:rsid w:val="00C246AC"/>
    <w:rsid w:val="00C2629C"/>
    <w:rsid w:val="00C26FC3"/>
    <w:rsid w:val="00C2758E"/>
    <w:rsid w:val="00C412CC"/>
    <w:rsid w:val="00C4480B"/>
    <w:rsid w:val="00C50A2C"/>
    <w:rsid w:val="00C51931"/>
    <w:rsid w:val="00C55278"/>
    <w:rsid w:val="00C63AC9"/>
    <w:rsid w:val="00C70FF9"/>
    <w:rsid w:val="00C71AFF"/>
    <w:rsid w:val="00C7545E"/>
    <w:rsid w:val="00C75E6F"/>
    <w:rsid w:val="00C80FAF"/>
    <w:rsid w:val="00C80FDC"/>
    <w:rsid w:val="00C82663"/>
    <w:rsid w:val="00C82B5F"/>
    <w:rsid w:val="00C8431C"/>
    <w:rsid w:val="00C85810"/>
    <w:rsid w:val="00C91006"/>
    <w:rsid w:val="00C92681"/>
    <w:rsid w:val="00C92E4C"/>
    <w:rsid w:val="00C9344F"/>
    <w:rsid w:val="00C96E72"/>
    <w:rsid w:val="00CA1FB0"/>
    <w:rsid w:val="00CA6161"/>
    <w:rsid w:val="00CB2E58"/>
    <w:rsid w:val="00CB689C"/>
    <w:rsid w:val="00CB6E9D"/>
    <w:rsid w:val="00CC3637"/>
    <w:rsid w:val="00CC5EB8"/>
    <w:rsid w:val="00CC69D2"/>
    <w:rsid w:val="00CC6E77"/>
    <w:rsid w:val="00CC76E4"/>
    <w:rsid w:val="00CC7FE8"/>
    <w:rsid w:val="00CD0870"/>
    <w:rsid w:val="00CD5269"/>
    <w:rsid w:val="00CE0586"/>
    <w:rsid w:val="00CF29E1"/>
    <w:rsid w:val="00CF2AD5"/>
    <w:rsid w:val="00CF54D6"/>
    <w:rsid w:val="00D00D1B"/>
    <w:rsid w:val="00D03596"/>
    <w:rsid w:val="00D03E34"/>
    <w:rsid w:val="00D03E7C"/>
    <w:rsid w:val="00D13AFD"/>
    <w:rsid w:val="00D1701A"/>
    <w:rsid w:val="00D20DF3"/>
    <w:rsid w:val="00D222D9"/>
    <w:rsid w:val="00D235F4"/>
    <w:rsid w:val="00D25ECD"/>
    <w:rsid w:val="00D34718"/>
    <w:rsid w:val="00D367E3"/>
    <w:rsid w:val="00D36CA1"/>
    <w:rsid w:val="00D40D14"/>
    <w:rsid w:val="00D419D0"/>
    <w:rsid w:val="00D42ECF"/>
    <w:rsid w:val="00D43AFC"/>
    <w:rsid w:val="00D4586F"/>
    <w:rsid w:val="00D53208"/>
    <w:rsid w:val="00D55484"/>
    <w:rsid w:val="00D564FD"/>
    <w:rsid w:val="00D6539E"/>
    <w:rsid w:val="00D6742B"/>
    <w:rsid w:val="00D709D5"/>
    <w:rsid w:val="00D70DB4"/>
    <w:rsid w:val="00D7387F"/>
    <w:rsid w:val="00D8213D"/>
    <w:rsid w:val="00D86F6F"/>
    <w:rsid w:val="00D87289"/>
    <w:rsid w:val="00D8783A"/>
    <w:rsid w:val="00D9188C"/>
    <w:rsid w:val="00D96816"/>
    <w:rsid w:val="00DA69A7"/>
    <w:rsid w:val="00DA76C3"/>
    <w:rsid w:val="00DB00F4"/>
    <w:rsid w:val="00DB0E5F"/>
    <w:rsid w:val="00DB2E05"/>
    <w:rsid w:val="00DC1573"/>
    <w:rsid w:val="00DC4367"/>
    <w:rsid w:val="00DC6CAE"/>
    <w:rsid w:val="00DC7912"/>
    <w:rsid w:val="00DD3792"/>
    <w:rsid w:val="00DD65C5"/>
    <w:rsid w:val="00DE1734"/>
    <w:rsid w:val="00DE601E"/>
    <w:rsid w:val="00DE7FBB"/>
    <w:rsid w:val="00DF2AD4"/>
    <w:rsid w:val="00DF3E1C"/>
    <w:rsid w:val="00DF5E16"/>
    <w:rsid w:val="00DF630E"/>
    <w:rsid w:val="00DF6E98"/>
    <w:rsid w:val="00E01410"/>
    <w:rsid w:val="00E04D7F"/>
    <w:rsid w:val="00E10C76"/>
    <w:rsid w:val="00E20D8A"/>
    <w:rsid w:val="00E25662"/>
    <w:rsid w:val="00E279A0"/>
    <w:rsid w:val="00E30408"/>
    <w:rsid w:val="00E32E10"/>
    <w:rsid w:val="00E51156"/>
    <w:rsid w:val="00E55368"/>
    <w:rsid w:val="00E571A8"/>
    <w:rsid w:val="00E61B01"/>
    <w:rsid w:val="00E70DB8"/>
    <w:rsid w:val="00E728AD"/>
    <w:rsid w:val="00E73335"/>
    <w:rsid w:val="00E737D4"/>
    <w:rsid w:val="00E76EE7"/>
    <w:rsid w:val="00E77FD4"/>
    <w:rsid w:val="00E863B1"/>
    <w:rsid w:val="00E86484"/>
    <w:rsid w:val="00E86D50"/>
    <w:rsid w:val="00E9083D"/>
    <w:rsid w:val="00EA38FF"/>
    <w:rsid w:val="00EA6663"/>
    <w:rsid w:val="00EB161C"/>
    <w:rsid w:val="00EB2EDD"/>
    <w:rsid w:val="00EB4578"/>
    <w:rsid w:val="00EB45B9"/>
    <w:rsid w:val="00EB65E3"/>
    <w:rsid w:val="00EC1A3B"/>
    <w:rsid w:val="00EC21F1"/>
    <w:rsid w:val="00EC302F"/>
    <w:rsid w:val="00ED1EE8"/>
    <w:rsid w:val="00ED5E22"/>
    <w:rsid w:val="00ED6374"/>
    <w:rsid w:val="00ED7158"/>
    <w:rsid w:val="00EE050A"/>
    <w:rsid w:val="00EE15CB"/>
    <w:rsid w:val="00EE2D33"/>
    <w:rsid w:val="00EE56A1"/>
    <w:rsid w:val="00EF2FF2"/>
    <w:rsid w:val="00EF74FB"/>
    <w:rsid w:val="00F010B1"/>
    <w:rsid w:val="00F0255D"/>
    <w:rsid w:val="00F13DFE"/>
    <w:rsid w:val="00F15F93"/>
    <w:rsid w:val="00F17992"/>
    <w:rsid w:val="00F17AD6"/>
    <w:rsid w:val="00F20639"/>
    <w:rsid w:val="00F24300"/>
    <w:rsid w:val="00F26F8E"/>
    <w:rsid w:val="00F27CEF"/>
    <w:rsid w:val="00F32B47"/>
    <w:rsid w:val="00F41396"/>
    <w:rsid w:val="00F54234"/>
    <w:rsid w:val="00F54BFD"/>
    <w:rsid w:val="00F57822"/>
    <w:rsid w:val="00F603A3"/>
    <w:rsid w:val="00F64AF8"/>
    <w:rsid w:val="00F70D3B"/>
    <w:rsid w:val="00F715D3"/>
    <w:rsid w:val="00F767E6"/>
    <w:rsid w:val="00F77536"/>
    <w:rsid w:val="00F803C6"/>
    <w:rsid w:val="00F821BA"/>
    <w:rsid w:val="00F845F7"/>
    <w:rsid w:val="00F902AE"/>
    <w:rsid w:val="00F93259"/>
    <w:rsid w:val="00FA17C9"/>
    <w:rsid w:val="00FA52BB"/>
    <w:rsid w:val="00FA5CDE"/>
    <w:rsid w:val="00FC035C"/>
    <w:rsid w:val="00FC2F73"/>
    <w:rsid w:val="00FC3CC1"/>
    <w:rsid w:val="00FC67CE"/>
    <w:rsid w:val="00FC6899"/>
    <w:rsid w:val="00FC726A"/>
    <w:rsid w:val="00FD3FA8"/>
    <w:rsid w:val="00FD411E"/>
    <w:rsid w:val="00FD4E54"/>
    <w:rsid w:val="00FD60AC"/>
    <w:rsid w:val="00FE0968"/>
    <w:rsid w:val="00FE3DA5"/>
    <w:rsid w:val="00FE7C3E"/>
    <w:rsid w:val="00FF4988"/>
    <w:rsid w:val="01637282"/>
    <w:rsid w:val="02A7100A"/>
    <w:rsid w:val="02BD4601"/>
    <w:rsid w:val="03D26D24"/>
    <w:rsid w:val="03DF99DE"/>
    <w:rsid w:val="03E84905"/>
    <w:rsid w:val="05257F82"/>
    <w:rsid w:val="05E45A9C"/>
    <w:rsid w:val="088B53B7"/>
    <w:rsid w:val="08A62AEA"/>
    <w:rsid w:val="09A84808"/>
    <w:rsid w:val="0A122363"/>
    <w:rsid w:val="0A187D10"/>
    <w:rsid w:val="0A2B404B"/>
    <w:rsid w:val="0AE305A4"/>
    <w:rsid w:val="0B370AA3"/>
    <w:rsid w:val="0CDC038B"/>
    <w:rsid w:val="0CF6ED64"/>
    <w:rsid w:val="0D4A4AAD"/>
    <w:rsid w:val="0DBA6B2B"/>
    <w:rsid w:val="0DD507D3"/>
    <w:rsid w:val="0E8476A4"/>
    <w:rsid w:val="0EE35B86"/>
    <w:rsid w:val="0EE66676"/>
    <w:rsid w:val="0F525761"/>
    <w:rsid w:val="0F6D3BCE"/>
    <w:rsid w:val="0FBE013E"/>
    <w:rsid w:val="0FC477CF"/>
    <w:rsid w:val="0FFF3146"/>
    <w:rsid w:val="10FC3F66"/>
    <w:rsid w:val="11645E15"/>
    <w:rsid w:val="127A1AE2"/>
    <w:rsid w:val="13675A6C"/>
    <w:rsid w:val="13BD2305"/>
    <w:rsid w:val="15326804"/>
    <w:rsid w:val="15582C8F"/>
    <w:rsid w:val="167FC35F"/>
    <w:rsid w:val="16A63C59"/>
    <w:rsid w:val="176D342B"/>
    <w:rsid w:val="17EF272C"/>
    <w:rsid w:val="17F25A26"/>
    <w:rsid w:val="18FFB768"/>
    <w:rsid w:val="1B7A7558"/>
    <w:rsid w:val="1BDF3880"/>
    <w:rsid w:val="1BED26EC"/>
    <w:rsid w:val="1C04273C"/>
    <w:rsid w:val="1CB73C72"/>
    <w:rsid w:val="1D8F2357"/>
    <w:rsid w:val="1DF779ED"/>
    <w:rsid w:val="1DFF5998"/>
    <w:rsid w:val="1DFF9BA0"/>
    <w:rsid w:val="1E0F7285"/>
    <w:rsid w:val="1E1862E1"/>
    <w:rsid w:val="1ED74A92"/>
    <w:rsid w:val="1ED7D089"/>
    <w:rsid w:val="1EDD8A6D"/>
    <w:rsid w:val="1EE75B81"/>
    <w:rsid w:val="1EFDD3C8"/>
    <w:rsid w:val="1FF4EF96"/>
    <w:rsid w:val="20085DD4"/>
    <w:rsid w:val="22F90318"/>
    <w:rsid w:val="2505779F"/>
    <w:rsid w:val="25A17209"/>
    <w:rsid w:val="268FEB55"/>
    <w:rsid w:val="26AB4379"/>
    <w:rsid w:val="27A47CF3"/>
    <w:rsid w:val="27CA004D"/>
    <w:rsid w:val="27FF55A6"/>
    <w:rsid w:val="28D4052A"/>
    <w:rsid w:val="290D5C84"/>
    <w:rsid w:val="294F022A"/>
    <w:rsid w:val="29A6D627"/>
    <w:rsid w:val="2A026EA2"/>
    <w:rsid w:val="2AA24702"/>
    <w:rsid w:val="2AAD7DB1"/>
    <w:rsid w:val="2BA2716D"/>
    <w:rsid w:val="2BEF50D5"/>
    <w:rsid w:val="2C0D7910"/>
    <w:rsid w:val="2C8B3BBE"/>
    <w:rsid w:val="2CB8559F"/>
    <w:rsid w:val="2CC07D61"/>
    <w:rsid w:val="2D9B807F"/>
    <w:rsid w:val="2DCA33D3"/>
    <w:rsid w:val="2DEE27A2"/>
    <w:rsid w:val="2DEFD7ED"/>
    <w:rsid w:val="2E057B07"/>
    <w:rsid w:val="2E8643EF"/>
    <w:rsid w:val="2ED7C914"/>
    <w:rsid w:val="2F9C03F4"/>
    <w:rsid w:val="2FA774C5"/>
    <w:rsid w:val="305F58BB"/>
    <w:rsid w:val="310A306A"/>
    <w:rsid w:val="31F99018"/>
    <w:rsid w:val="32103B6D"/>
    <w:rsid w:val="32C33E2F"/>
    <w:rsid w:val="331E0A06"/>
    <w:rsid w:val="33FA6E98"/>
    <w:rsid w:val="342C5051"/>
    <w:rsid w:val="34BDDA8A"/>
    <w:rsid w:val="350477F5"/>
    <w:rsid w:val="35B7E51A"/>
    <w:rsid w:val="36177689"/>
    <w:rsid w:val="36A91824"/>
    <w:rsid w:val="36B54B99"/>
    <w:rsid w:val="36C70625"/>
    <w:rsid w:val="36D3674A"/>
    <w:rsid w:val="36F75237"/>
    <w:rsid w:val="377516F6"/>
    <w:rsid w:val="379945AB"/>
    <w:rsid w:val="37F64781"/>
    <w:rsid w:val="38BF3630"/>
    <w:rsid w:val="38E20D18"/>
    <w:rsid w:val="38FE82E0"/>
    <w:rsid w:val="392F651F"/>
    <w:rsid w:val="393EAA37"/>
    <w:rsid w:val="39630B1E"/>
    <w:rsid w:val="39904B26"/>
    <w:rsid w:val="3A6043F3"/>
    <w:rsid w:val="3A7F1A8D"/>
    <w:rsid w:val="3AA90630"/>
    <w:rsid w:val="3B310F68"/>
    <w:rsid w:val="3B4F4519"/>
    <w:rsid w:val="3B732A45"/>
    <w:rsid w:val="3B7698DF"/>
    <w:rsid w:val="3B8E6F04"/>
    <w:rsid w:val="3B9B3E26"/>
    <w:rsid w:val="3BA01094"/>
    <w:rsid w:val="3BBF66B5"/>
    <w:rsid w:val="3BEFD580"/>
    <w:rsid w:val="3BF6784E"/>
    <w:rsid w:val="3C7D4B7D"/>
    <w:rsid w:val="3C840925"/>
    <w:rsid w:val="3CA74A88"/>
    <w:rsid w:val="3CDC0434"/>
    <w:rsid w:val="3D130EBC"/>
    <w:rsid w:val="3D6F5307"/>
    <w:rsid w:val="3DABB585"/>
    <w:rsid w:val="3DB07B16"/>
    <w:rsid w:val="3DDDFB6C"/>
    <w:rsid w:val="3DF7C80A"/>
    <w:rsid w:val="3DFA1C27"/>
    <w:rsid w:val="3DFD8BF5"/>
    <w:rsid w:val="3DFF0A6B"/>
    <w:rsid w:val="3E29203F"/>
    <w:rsid w:val="3E777330"/>
    <w:rsid w:val="3E920235"/>
    <w:rsid w:val="3EB4C194"/>
    <w:rsid w:val="3EBF2468"/>
    <w:rsid w:val="3EDB4212"/>
    <w:rsid w:val="3EF7C7E5"/>
    <w:rsid w:val="3F3F04DE"/>
    <w:rsid w:val="3F6F1920"/>
    <w:rsid w:val="3F75043B"/>
    <w:rsid w:val="3F7624A6"/>
    <w:rsid w:val="3F9B84AF"/>
    <w:rsid w:val="3FBB3C8B"/>
    <w:rsid w:val="3FBE2268"/>
    <w:rsid w:val="3FEF48DC"/>
    <w:rsid w:val="3FF559FF"/>
    <w:rsid w:val="3FFFD496"/>
    <w:rsid w:val="3FFFF008"/>
    <w:rsid w:val="3FFFF46F"/>
    <w:rsid w:val="40A2714D"/>
    <w:rsid w:val="40BC7DD7"/>
    <w:rsid w:val="41B961F2"/>
    <w:rsid w:val="425B1DF7"/>
    <w:rsid w:val="42627911"/>
    <w:rsid w:val="43EE5D2E"/>
    <w:rsid w:val="453559CE"/>
    <w:rsid w:val="454F7A1F"/>
    <w:rsid w:val="45AB5FA2"/>
    <w:rsid w:val="45F0284B"/>
    <w:rsid w:val="46E67CE2"/>
    <w:rsid w:val="479772EA"/>
    <w:rsid w:val="487970CD"/>
    <w:rsid w:val="493516BE"/>
    <w:rsid w:val="4975080B"/>
    <w:rsid w:val="4A9BE8A5"/>
    <w:rsid w:val="4B2D01A5"/>
    <w:rsid w:val="4C2438E9"/>
    <w:rsid w:val="4C2A53B9"/>
    <w:rsid w:val="4CC05449"/>
    <w:rsid w:val="4DAC591F"/>
    <w:rsid w:val="4E7DFC62"/>
    <w:rsid w:val="4F084FC8"/>
    <w:rsid w:val="4F573827"/>
    <w:rsid w:val="4F7A3E56"/>
    <w:rsid w:val="4FB34842"/>
    <w:rsid w:val="4FBB4A24"/>
    <w:rsid w:val="4FBFA919"/>
    <w:rsid w:val="4FE70DC0"/>
    <w:rsid w:val="4FFBE441"/>
    <w:rsid w:val="4FFF56D4"/>
    <w:rsid w:val="52524C09"/>
    <w:rsid w:val="529C5554"/>
    <w:rsid w:val="531FF1BA"/>
    <w:rsid w:val="535272B4"/>
    <w:rsid w:val="5476716E"/>
    <w:rsid w:val="54CF6DAE"/>
    <w:rsid w:val="556782B0"/>
    <w:rsid w:val="55BD20B3"/>
    <w:rsid w:val="55DD1DAC"/>
    <w:rsid w:val="565E7575"/>
    <w:rsid w:val="56DFF686"/>
    <w:rsid w:val="56FB912A"/>
    <w:rsid w:val="57257424"/>
    <w:rsid w:val="578165E3"/>
    <w:rsid w:val="57957DA2"/>
    <w:rsid w:val="57BD151B"/>
    <w:rsid w:val="582E3A30"/>
    <w:rsid w:val="589715D5"/>
    <w:rsid w:val="59446BA5"/>
    <w:rsid w:val="59730849"/>
    <w:rsid w:val="59BFADD1"/>
    <w:rsid w:val="5A7F7617"/>
    <w:rsid w:val="5AA26E5F"/>
    <w:rsid w:val="5ADE0E29"/>
    <w:rsid w:val="5B112DAB"/>
    <w:rsid w:val="5B46756A"/>
    <w:rsid w:val="5B73CC37"/>
    <w:rsid w:val="5BD22838"/>
    <w:rsid w:val="5BFF0B34"/>
    <w:rsid w:val="5BFF5BC2"/>
    <w:rsid w:val="5C3578BE"/>
    <w:rsid w:val="5C4E7612"/>
    <w:rsid w:val="5CA91301"/>
    <w:rsid w:val="5CDE0DF7"/>
    <w:rsid w:val="5CF7815F"/>
    <w:rsid w:val="5CFD4F96"/>
    <w:rsid w:val="5DDF19BC"/>
    <w:rsid w:val="5DE210E1"/>
    <w:rsid w:val="5DEF0B09"/>
    <w:rsid w:val="5DF68185"/>
    <w:rsid w:val="5DFE25AA"/>
    <w:rsid w:val="5DFF8AAA"/>
    <w:rsid w:val="5E234674"/>
    <w:rsid w:val="5E3A53FE"/>
    <w:rsid w:val="5E3D88C7"/>
    <w:rsid w:val="5E5B57AE"/>
    <w:rsid w:val="5E72A044"/>
    <w:rsid w:val="5E9F3BCE"/>
    <w:rsid w:val="5ED669EF"/>
    <w:rsid w:val="5ED7867B"/>
    <w:rsid w:val="5EFF92DE"/>
    <w:rsid w:val="5F1FE85E"/>
    <w:rsid w:val="5F3ACC20"/>
    <w:rsid w:val="5F7E82FD"/>
    <w:rsid w:val="5FB4674A"/>
    <w:rsid w:val="5FEF62AC"/>
    <w:rsid w:val="5FF74115"/>
    <w:rsid w:val="605040C4"/>
    <w:rsid w:val="623F5E11"/>
    <w:rsid w:val="62735E42"/>
    <w:rsid w:val="62BB4B46"/>
    <w:rsid w:val="62CD7FF7"/>
    <w:rsid w:val="62FE05A2"/>
    <w:rsid w:val="63AF1004"/>
    <w:rsid w:val="63FF667C"/>
    <w:rsid w:val="642C6970"/>
    <w:rsid w:val="64BD39AC"/>
    <w:rsid w:val="64C2311B"/>
    <w:rsid w:val="64E7448E"/>
    <w:rsid w:val="64FF852C"/>
    <w:rsid w:val="658140EA"/>
    <w:rsid w:val="65CD0B56"/>
    <w:rsid w:val="65CE3CD5"/>
    <w:rsid w:val="65FF711F"/>
    <w:rsid w:val="66520D6E"/>
    <w:rsid w:val="66A807C2"/>
    <w:rsid w:val="6764121C"/>
    <w:rsid w:val="677E683D"/>
    <w:rsid w:val="67884F01"/>
    <w:rsid w:val="67A27F96"/>
    <w:rsid w:val="67D33831"/>
    <w:rsid w:val="67FBA803"/>
    <w:rsid w:val="67FFE84F"/>
    <w:rsid w:val="687142D0"/>
    <w:rsid w:val="69166546"/>
    <w:rsid w:val="69DD60A3"/>
    <w:rsid w:val="69DF4C63"/>
    <w:rsid w:val="6A9729CB"/>
    <w:rsid w:val="6B3E7BAC"/>
    <w:rsid w:val="6B5E11DB"/>
    <w:rsid w:val="6B9F1E94"/>
    <w:rsid w:val="6BB1AAB6"/>
    <w:rsid w:val="6BE118EE"/>
    <w:rsid w:val="6BF83858"/>
    <w:rsid w:val="6BFBCA0F"/>
    <w:rsid w:val="6C662D79"/>
    <w:rsid w:val="6CBE3253"/>
    <w:rsid w:val="6D433898"/>
    <w:rsid w:val="6DBFFEA2"/>
    <w:rsid w:val="6DCFD2EF"/>
    <w:rsid w:val="6DF79AC5"/>
    <w:rsid w:val="6DFE4578"/>
    <w:rsid w:val="6E3A9B48"/>
    <w:rsid w:val="6E860975"/>
    <w:rsid w:val="6EAE1F2D"/>
    <w:rsid w:val="6EEF361B"/>
    <w:rsid w:val="6EFEE3C8"/>
    <w:rsid w:val="6F466DA7"/>
    <w:rsid w:val="6F64ABB1"/>
    <w:rsid w:val="6F833A97"/>
    <w:rsid w:val="6FAFD6B9"/>
    <w:rsid w:val="6FBD7E67"/>
    <w:rsid w:val="6FDF742B"/>
    <w:rsid w:val="6FFA531C"/>
    <w:rsid w:val="70112F3C"/>
    <w:rsid w:val="706BDC48"/>
    <w:rsid w:val="714F3385"/>
    <w:rsid w:val="71852D14"/>
    <w:rsid w:val="71DCB58C"/>
    <w:rsid w:val="72237A5C"/>
    <w:rsid w:val="72E53A82"/>
    <w:rsid w:val="72E6EB4A"/>
    <w:rsid w:val="731035D0"/>
    <w:rsid w:val="73607B75"/>
    <w:rsid w:val="73F64A2D"/>
    <w:rsid w:val="73FFE6A2"/>
    <w:rsid w:val="74336D51"/>
    <w:rsid w:val="745F59A3"/>
    <w:rsid w:val="746A4846"/>
    <w:rsid w:val="75DBF0FA"/>
    <w:rsid w:val="75DF2D19"/>
    <w:rsid w:val="75F07430"/>
    <w:rsid w:val="75F79F2E"/>
    <w:rsid w:val="75FE0BA8"/>
    <w:rsid w:val="7639F92A"/>
    <w:rsid w:val="76C67FAB"/>
    <w:rsid w:val="76CDEF1F"/>
    <w:rsid w:val="76D979F2"/>
    <w:rsid w:val="76DFA9E9"/>
    <w:rsid w:val="76F106C2"/>
    <w:rsid w:val="76FBFC40"/>
    <w:rsid w:val="76FEB4B1"/>
    <w:rsid w:val="7716FAA8"/>
    <w:rsid w:val="774B3754"/>
    <w:rsid w:val="77651FA5"/>
    <w:rsid w:val="77774292"/>
    <w:rsid w:val="7777F296"/>
    <w:rsid w:val="777B0E24"/>
    <w:rsid w:val="777BF860"/>
    <w:rsid w:val="77825D1F"/>
    <w:rsid w:val="77DFD5A2"/>
    <w:rsid w:val="77E6DF5F"/>
    <w:rsid w:val="77E76A2C"/>
    <w:rsid w:val="77EF89AE"/>
    <w:rsid w:val="77FAEF9C"/>
    <w:rsid w:val="77FCECC5"/>
    <w:rsid w:val="77FD0F67"/>
    <w:rsid w:val="77FD5092"/>
    <w:rsid w:val="77FEA937"/>
    <w:rsid w:val="77FEE6F4"/>
    <w:rsid w:val="77FF993A"/>
    <w:rsid w:val="788D7EA7"/>
    <w:rsid w:val="78920C23"/>
    <w:rsid w:val="78BE7D9B"/>
    <w:rsid w:val="793D39F4"/>
    <w:rsid w:val="795A247F"/>
    <w:rsid w:val="796AFBE4"/>
    <w:rsid w:val="796E9C83"/>
    <w:rsid w:val="797D3F49"/>
    <w:rsid w:val="79D5FF3D"/>
    <w:rsid w:val="79DDC2C9"/>
    <w:rsid w:val="79FB19A4"/>
    <w:rsid w:val="79FEE19D"/>
    <w:rsid w:val="79FFD827"/>
    <w:rsid w:val="7A3DB2B6"/>
    <w:rsid w:val="7A49337F"/>
    <w:rsid w:val="7AD71CC2"/>
    <w:rsid w:val="7AEED57E"/>
    <w:rsid w:val="7B6F4AE9"/>
    <w:rsid w:val="7B7972E2"/>
    <w:rsid w:val="7B7EE2A6"/>
    <w:rsid w:val="7BBFB948"/>
    <w:rsid w:val="7BBFDE4E"/>
    <w:rsid w:val="7BEBA79A"/>
    <w:rsid w:val="7BEEA582"/>
    <w:rsid w:val="7BF5962D"/>
    <w:rsid w:val="7BFF56A5"/>
    <w:rsid w:val="7CDB9868"/>
    <w:rsid w:val="7CF82572"/>
    <w:rsid w:val="7D2FD339"/>
    <w:rsid w:val="7D370DE3"/>
    <w:rsid w:val="7D9CE26E"/>
    <w:rsid w:val="7D9FAF38"/>
    <w:rsid w:val="7DAC2A9E"/>
    <w:rsid w:val="7DB5860F"/>
    <w:rsid w:val="7DBF1A0A"/>
    <w:rsid w:val="7DCBAADA"/>
    <w:rsid w:val="7DD57AF3"/>
    <w:rsid w:val="7DDFEEDC"/>
    <w:rsid w:val="7DF78D34"/>
    <w:rsid w:val="7DF7A6C9"/>
    <w:rsid w:val="7DFDA7CC"/>
    <w:rsid w:val="7DFE3951"/>
    <w:rsid w:val="7DFF4B4E"/>
    <w:rsid w:val="7E5DEB13"/>
    <w:rsid w:val="7E7146B1"/>
    <w:rsid w:val="7EAFD3F7"/>
    <w:rsid w:val="7EBF74D4"/>
    <w:rsid w:val="7EBF81E2"/>
    <w:rsid w:val="7EBFD282"/>
    <w:rsid w:val="7ED55B24"/>
    <w:rsid w:val="7ED781A7"/>
    <w:rsid w:val="7ED967C1"/>
    <w:rsid w:val="7ED9F2B8"/>
    <w:rsid w:val="7EEAA523"/>
    <w:rsid w:val="7EEF1906"/>
    <w:rsid w:val="7EF3E906"/>
    <w:rsid w:val="7EF6CF64"/>
    <w:rsid w:val="7EF7A895"/>
    <w:rsid w:val="7EF7E550"/>
    <w:rsid w:val="7EFBBA0F"/>
    <w:rsid w:val="7EFBC2AB"/>
    <w:rsid w:val="7EFD648D"/>
    <w:rsid w:val="7EFE50A7"/>
    <w:rsid w:val="7EFF6CC2"/>
    <w:rsid w:val="7F2B3C04"/>
    <w:rsid w:val="7F4DB032"/>
    <w:rsid w:val="7F5FADF6"/>
    <w:rsid w:val="7F6D4901"/>
    <w:rsid w:val="7F7F267F"/>
    <w:rsid w:val="7F7F3595"/>
    <w:rsid w:val="7F9F7A0B"/>
    <w:rsid w:val="7FAD5AD7"/>
    <w:rsid w:val="7FB7302B"/>
    <w:rsid w:val="7FBD1A89"/>
    <w:rsid w:val="7FBF7D5B"/>
    <w:rsid w:val="7FBFBF6A"/>
    <w:rsid w:val="7FC53BED"/>
    <w:rsid w:val="7FCFD972"/>
    <w:rsid w:val="7FD6B249"/>
    <w:rsid w:val="7FD773B9"/>
    <w:rsid w:val="7FDD3382"/>
    <w:rsid w:val="7FDF439F"/>
    <w:rsid w:val="7FDFECDB"/>
    <w:rsid w:val="7FE67462"/>
    <w:rsid w:val="7FE6F886"/>
    <w:rsid w:val="7FEDA2A8"/>
    <w:rsid w:val="7FEE106C"/>
    <w:rsid w:val="7FEED16F"/>
    <w:rsid w:val="7FEF4F02"/>
    <w:rsid w:val="7FEFB816"/>
    <w:rsid w:val="7FEFFCF2"/>
    <w:rsid w:val="7FF3C0E0"/>
    <w:rsid w:val="7FF40765"/>
    <w:rsid w:val="7FF56C65"/>
    <w:rsid w:val="7FF72D07"/>
    <w:rsid w:val="7FFBE644"/>
    <w:rsid w:val="7FFC6B4D"/>
    <w:rsid w:val="7FFD7FFD"/>
    <w:rsid w:val="7FFE8CC9"/>
    <w:rsid w:val="7FFF6B4A"/>
    <w:rsid w:val="7FFFB436"/>
    <w:rsid w:val="81FFD2D1"/>
    <w:rsid w:val="837F3F7F"/>
    <w:rsid w:val="8DED8A0B"/>
    <w:rsid w:val="8FF2BFDA"/>
    <w:rsid w:val="92FF3DE6"/>
    <w:rsid w:val="97EE7CD9"/>
    <w:rsid w:val="97FFD266"/>
    <w:rsid w:val="9A7F827D"/>
    <w:rsid w:val="9AFC5131"/>
    <w:rsid w:val="9BAD1690"/>
    <w:rsid w:val="9BBDAC0C"/>
    <w:rsid w:val="9BF6E00C"/>
    <w:rsid w:val="9BF9C407"/>
    <w:rsid w:val="9BFF6E9C"/>
    <w:rsid w:val="9D4B5CFF"/>
    <w:rsid w:val="9D6FB8C9"/>
    <w:rsid w:val="9F7EC261"/>
    <w:rsid w:val="A293A25A"/>
    <w:rsid w:val="A7EF2B2F"/>
    <w:rsid w:val="A7EFD7F2"/>
    <w:rsid w:val="AADB4AA6"/>
    <w:rsid w:val="ABE7511E"/>
    <w:rsid w:val="AF0FC6FE"/>
    <w:rsid w:val="AFEE2D01"/>
    <w:rsid w:val="B2BFB731"/>
    <w:rsid w:val="B3828F59"/>
    <w:rsid w:val="B3EFB55A"/>
    <w:rsid w:val="B4BEA2EC"/>
    <w:rsid w:val="B6BF38AB"/>
    <w:rsid w:val="B86E6766"/>
    <w:rsid w:val="B89B0CDE"/>
    <w:rsid w:val="B9C7E79D"/>
    <w:rsid w:val="BA7B23C6"/>
    <w:rsid w:val="BACFA278"/>
    <w:rsid w:val="BACFABB0"/>
    <w:rsid w:val="BAD30202"/>
    <w:rsid w:val="BBCD6C76"/>
    <w:rsid w:val="BBE31BC7"/>
    <w:rsid w:val="BBFD3E6A"/>
    <w:rsid w:val="BBFDED99"/>
    <w:rsid w:val="BBFF1043"/>
    <w:rsid w:val="BCAA5C1F"/>
    <w:rsid w:val="BCEFDC3D"/>
    <w:rsid w:val="BD39B47D"/>
    <w:rsid w:val="BDBBA3C9"/>
    <w:rsid w:val="BDCCCFEB"/>
    <w:rsid w:val="BDDB54F8"/>
    <w:rsid w:val="BDEFEEB9"/>
    <w:rsid w:val="BDEFF7C0"/>
    <w:rsid w:val="BDFD0E1B"/>
    <w:rsid w:val="BDFF7CD7"/>
    <w:rsid w:val="BDFFEC1E"/>
    <w:rsid w:val="BE7D88CE"/>
    <w:rsid w:val="BF37701A"/>
    <w:rsid w:val="BF5BF3CA"/>
    <w:rsid w:val="BF68F569"/>
    <w:rsid w:val="BF7FC307"/>
    <w:rsid w:val="BFBB8041"/>
    <w:rsid w:val="BFCCF083"/>
    <w:rsid w:val="BFDF5E15"/>
    <w:rsid w:val="BFFE6788"/>
    <w:rsid w:val="BFFF8022"/>
    <w:rsid w:val="C2C4A9DF"/>
    <w:rsid w:val="C3F784CB"/>
    <w:rsid w:val="C5DF3BCA"/>
    <w:rsid w:val="C6CFE262"/>
    <w:rsid w:val="C775A97E"/>
    <w:rsid w:val="CC7EE142"/>
    <w:rsid w:val="CED7CC62"/>
    <w:rsid w:val="CF6F8B4E"/>
    <w:rsid w:val="CF7FB08C"/>
    <w:rsid w:val="CFFD5ED3"/>
    <w:rsid w:val="D1FB8E23"/>
    <w:rsid w:val="D5E5E97F"/>
    <w:rsid w:val="D6F6855B"/>
    <w:rsid w:val="D77EC8DF"/>
    <w:rsid w:val="D7EF29DD"/>
    <w:rsid w:val="D7F73119"/>
    <w:rsid w:val="D7FFD724"/>
    <w:rsid w:val="DA65A740"/>
    <w:rsid w:val="DABFA47E"/>
    <w:rsid w:val="DAFD3216"/>
    <w:rsid w:val="DB3E3CCF"/>
    <w:rsid w:val="DB7B026D"/>
    <w:rsid w:val="DB997886"/>
    <w:rsid w:val="DBC87D1B"/>
    <w:rsid w:val="DBF744F4"/>
    <w:rsid w:val="DD7F80E9"/>
    <w:rsid w:val="DDF12B1F"/>
    <w:rsid w:val="DEA64725"/>
    <w:rsid w:val="DEB6F53F"/>
    <w:rsid w:val="DEDF86ED"/>
    <w:rsid w:val="DEF55B04"/>
    <w:rsid w:val="DEFA7757"/>
    <w:rsid w:val="DEFF29A1"/>
    <w:rsid w:val="DF2B4AA7"/>
    <w:rsid w:val="DF2D3867"/>
    <w:rsid w:val="DF37F12F"/>
    <w:rsid w:val="DF3FE701"/>
    <w:rsid w:val="DF571034"/>
    <w:rsid w:val="DF738673"/>
    <w:rsid w:val="DF74CFE0"/>
    <w:rsid w:val="DFBEA4F0"/>
    <w:rsid w:val="DFBF8714"/>
    <w:rsid w:val="DFD8ADE0"/>
    <w:rsid w:val="DFDD5AD7"/>
    <w:rsid w:val="DFDF3429"/>
    <w:rsid w:val="DFE77439"/>
    <w:rsid w:val="DFF726A0"/>
    <w:rsid w:val="DFFADBDE"/>
    <w:rsid w:val="DFFB2745"/>
    <w:rsid w:val="DFFBB1FE"/>
    <w:rsid w:val="DFFD19AC"/>
    <w:rsid w:val="DFFDC389"/>
    <w:rsid w:val="DFFFD126"/>
    <w:rsid w:val="E17FB763"/>
    <w:rsid w:val="E2FD9A42"/>
    <w:rsid w:val="E32A6881"/>
    <w:rsid w:val="E33F445F"/>
    <w:rsid w:val="E3FF7BF5"/>
    <w:rsid w:val="E6BE8510"/>
    <w:rsid w:val="E73FE1E0"/>
    <w:rsid w:val="E96E2C7B"/>
    <w:rsid w:val="E97EDF92"/>
    <w:rsid w:val="EA7F0BA3"/>
    <w:rsid w:val="EAFA6E78"/>
    <w:rsid w:val="EAFF673A"/>
    <w:rsid w:val="EBDDE29A"/>
    <w:rsid w:val="EBDFFF9B"/>
    <w:rsid w:val="EBFD13E7"/>
    <w:rsid w:val="EBFF8F06"/>
    <w:rsid w:val="ECDBCD88"/>
    <w:rsid w:val="ED4F1192"/>
    <w:rsid w:val="EDD938E8"/>
    <w:rsid w:val="EDEBD8D2"/>
    <w:rsid w:val="EDFF68D6"/>
    <w:rsid w:val="EED09809"/>
    <w:rsid w:val="EEFE7F6E"/>
    <w:rsid w:val="EF3511B6"/>
    <w:rsid w:val="EFB87147"/>
    <w:rsid w:val="EFBFA944"/>
    <w:rsid w:val="EFE949C6"/>
    <w:rsid w:val="EFF79F99"/>
    <w:rsid w:val="EFFA446B"/>
    <w:rsid w:val="EFFF5A0B"/>
    <w:rsid w:val="EFFFE3DC"/>
    <w:rsid w:val="F0671F4F"/>
    <w:rsid w:val="F1BF5A19"/>
    <w:rsid w:val="F37C75A6"/>
    <w:rsid w:val="F3E30D2E"/>
    <w:rsid w:val="F45FABEA"/>
    <w:rsid w:val="F47EEB35"/>
    <w:rsid w:val="F4E50CA6"/>
    <w:rsid w:val="F55C90B9"/>
    <w:rsid w:val="F56F01AD"/>
    <w:rsid w:val="F57AED71"/>
    <w:rsid w:val="F5F5781A"/>
    <w:rsid w:val="F5F59F92"/>
    <w:rsid w:val="F69F0DAA"/>
    <w:rsid w:val="F76F85C3"/>
    <w:rsid w:val="F77BA630"/>
    <w:rsid w:val="F7AFD6B0"/>
    <w:rsid w:val="F7F70F52"/>
    <w:rsid w:val="F7F986AF"/>
    <w:rsid w:val="F7FADE13"/>
    <w:rsid w:val="F7FFF6F8"/>
    <w:rsid w:val="F97AFAC3"/>
    <w:rsid w:val="F97BB14E"/>
    <w:rsid w:val="F9E7EAAB"/>
    <w:rsid w:val="F9FFF296"/>
    <w:rsid w:val="FA6F9E5B"/>
    <w:rsid w:val="FAD768B1"/>
    <w:rsid w:val="FAEFA967"/>
    <w:rsid w:val="FB1E0BCD"/>
    <w:rsid w:val="FB3FA268"/>
    <w:rsid w:val="FB7B9C62"/>
    <w:rsid w:val="FB8F022D"/>
    <w:rsid w:val="FBAAAC9E"/>
    <w:rsid w:val="FBBD8DB5"/>
    <w:rsid w:val="FBD7B397"/>
    <w:rsid w:val="FBE71703"/>
    <w:rsid w:val="FBF7FFFB"/>
    <w:rsid w:val="FBFBFEF4"/>
    <w:rsid w:val="FBFD92BE"/>
    <w:rsid w:val="FBFE09DD"/>
    <w:rsid w:val="FBFEFA32"/>
    <w:rsid w:val="FCBFB59F"/>
    <w:rsid w:val="FCCAFA2F"/>
    <w:rsid w:val="FCDE7717"/>
    <w:rsid w:val="FCEF7B36"/>
    <w:rsid w:val="FD2B102A"/>
    <w:rsid w:val="FDBE3076"/>
    <w:rsid w:val="FDE38713"/>
    <w:rsid w:val="FDEA4B3A"/>
    <w:rsid w:val="FDF11C63"/>
    <w:rsid w:val="FDF6BEC7"/>
    <w:rsid w:val="FDFB3DEA"/>
    <w:rsid w:val="FDFDD5F0"/>
    <w:rsid w:val="FDFECA71"/>
    <w:rsid w:val="FDFF3F2D"/>
    <w:rsid w:val="FDFFB691"/>
    <w:rsid w:val="FDFFC893"/>
    <w:rsid w:val="FE5F87D9"/>
    <w:rsid w:val="FE734873"/>
    <w:rsid w:val="FEB76718"/>
    <w:rsid w:val="FEB98640"/>
    <w:rsid w:val="FEBF273B"/>
    <w:rsid w:val="FEDF3089"/>
    <w:rsid w:val="FEEF3BC8"/>
    <w:rsid w:val="FEEFA996"/>
    <w:rsid w:val="FEF7052D"/>
    <w:rsid w:val="FEF91F5F"/>
    <w:rsid w:val="FEFB169C"/>
    <w:rsid w:val="FEFD69F8"/>
    <w:rsid w:val="FEFDB7CC"/>
    <w:rsid w:val="FEFE2EC7"/>
    <w:rsid w:val="FEFF52F1"/>
    <w:rsid w:val="FF338262"/>
    <w:rsid w:val="FF3D2E71"/>
    <w:rsid w:val="FF3DE9CF"/>
    <w:rsid w:val="FF4FC95F"/>
    <w:rsid w:val="FF53F1B1"/>
    <w:rsid w:val="FF611D4C"/>
    <w:rsid w:val="FF677688"/>
    <w:rsid w:val="FF70E565"/>
    <w:rsid w:val="FF713FCC"/>
    <w:rsid w:val="FF7E45DF"/>
    <w:rsid w:val="FF9A4D0C"/>
    <w:rsid w:val="FFB5FF70"/>
    <w:rsid w:val="FFBAABC5"/>
    <w:rsid w:val="FFBBA200"/>
    <w:rsid w:val="FFBD3BED"/>
    <w:rsid w:val="FFD1AF35"/>
    <w:rsid w:val="FFD76599"/>
    <w:rsid w:val="FFDA2076"/>
    <w:rsid w:val="FFDB2B29"/>
    <w:rsid w:val="FFDD99A3"/>
    <w:rsid w:val="FFDF9699"/>
    <w:rsid w:val="FFE4B41A"/>
    <w:rsid w:val="FFEF8707"/>
    <w:rsid w:val="FFEFD016"/>
    <w:rsid w:val="FFF31F23"/>
    <w:rsid w:val="FFF6AC78"/>
    <w:rsid w:val="FFF7172E"/>
    <w:rsid w:val="FFF7B407"/>
    <w:rsid w:val="FFF98218"/>
    <w:rsid w:val="FFFA44C4"/>
    <w:rsid w:val="FFFA97E4"/>
    <w:rsid w:val="FFFD0F04"/>
    <w:rsid w:val="FFFECF94"/>
    <w:rsid w:val="FFFEDE6E"/>
    <w:rsid w:val="FFFF76DB"/>
    <w:rsid w:val="FFFF8121"/>
    <w:rsid w:val="FFFFA26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5">
    <w:name w:val="heading 1"/>
    <w:basedOn w:val="1"/>
    <w:next w:val="1"/>
    <w:qFormat/>
    <w:uiPriority w:val="0"/>
    <w:pPr>
      <w:keepNext/>
      <w:keepLines/>
      <w:spacing w:before="340" w:after="330" w:line="360" w:lineRule="auto"/>
      <w:jc w:val="center"/>
      <w:outlineLvl w:val="0"/>
    </w:pPr>
    <w:rPr>
      <w:rFonts w:ascii="楷体_GB2312" w:eastAsia="楷体_GB2312" w:cs="Times New Roman"/>
      <w:b/>
      <w:bCs/>
      <w:kern w:val="44"/>
      <w:sz w:val="44"/>
      <w:szCs w:val="44"/>
    </w:rPr>
  </w:style>
  <w:style w:type="paragraph" w:styleId="6">
    <w:name w:val="heading 2"/>
    <w:basedOn w:val="1"/>
    <w:next w:val="7"/>
    <w:qFormat/>
    <w:uiPriority w:val="0"/>
    <w:pPr>
      <w:keepNext/>
      <w:keepLines/>
      <w:spacing w:line="540" w:lineRule="exact"/>
      <w:jc w:val="left"/>
      <w:outlineLvl w:val="1"/>
    </w:pPr>
    <w:rPr>
      <w:rFonts w:ascii="Arial" w:hAnsi="Arial" w:cs="Times New Roman"/>
      <w:b/>
      <w:bCs/>
      <w:kern w:val="0"/>
      <w:szCs w:val="32"/>
    </w:rPr>
  </w:style>
  <w:style w:type="paragraph" w:styleId="8">
    <w:name w:val="heading 3"/>
    <w:basedOn w:val="1"/>
    <w:next w:val="1"/>
    <w:qFormat/>
    <w:uiPriority w:val="0"/>
    <w:pPr>
      <w:keepNext/>
      <w:keepLines/>
      <w:spacing w:line="360" w:lineRule="auto"/>
      <w:ind w:firstLine="482"/>
      <w:jc w:val="left"/>
      <w:outlineLvl w:val="2"/>
    </w:pPr>
    <w:rPr>
      <w:rFonts w:ascii="Cambria" w:hAnsi="Cambria" w:cs="Times New Roman"/>
      <w:b/>
      <w:bCs/>
    </w:rPr>
  </w:style>
  <w:style w:type="paragraph" w:styleId="9">
    <w:name w:val="heading 4"/>
    <w:basedOn w:val="1"/>
    <w:next w:val="1"/>
    <w:qFormat/>
    <w:uiPriority w:val="1"/>
    <w:pPr>
      <w:ind w:left="832"/>
      <w:outlineLvl w:val="3"/>
    </w:pPr>
    <w:rPr>
      <w:rFonts w:ascii="宋体" w:hAnsi="宋体"/>
      <w:b/>
      <w:b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link w:val="48"/>
    <w:qFormat/>
    <w:uiPriority w:val="0"/>
    <w:pPr>
      <w:spacing w:after="120"/>
    </w:pPr>
  </w:style>
  <w:style w:type="paragraph" w:styleId="4">
    <w:name w:val="toc 6"/>
    <w:basedOn w:val="1"/>
    <w:next w:val="1"/>
    <w:qFormat/>
    <w:uiPriority w:val="0"/>
    <w:pPr>
      <w:ind w:left="2100" w:leftChars="1000"/>
    </w:pPr>
    <w:rPr>
      <w:rFonts w:ascii="Times New Roman" w:hAnsi="Times New Roman" w:eastAsia="宋体" w:cs="Times New Roman"/>
    </w:rPr>
  </w:style>
  <w:style w:type="paragraph" w:customStyle="1" w:styleId="7">
    <w:name w:val="标准正文"/>
    <w:basedOn w:val="1"/>
    <w:qFormat/>
    <w:uiPriority w:val="0"/>
    <w:pPr>
      <w:spacing w:line="360" w:lineRule="auto"/>
      <w:ind w:firstLine="200" w:firstLineChars="200"/>
    </w:pPr>
    <w:rPr>
      <w:rFonts w:cs="Times New Roman"/>
      <w:szCs w:val="20"/>
    </w:rPr>
  </w:style>
  <w:style w:type="paragraph" w:styleId="10">
    <w:name w:val="List Number"/>
    <w:basedOn w:val="1"/>
    <w:qFormat/>
    <w:uiPriority w:val="0"/>
    <w:pPr>
      <w:numPr>
        <w:ilvl w:val="0"/>
        <w:numId w:val="1"/>
      </w:numPr>
    </w:pPr>
  </w:style>
  <w:style w:type="paragraph" w:styleId="11">
    <w:name w:val="Normal Indent"/>
    <w:basedOn w:val="1"/>
    <w:qFormat/>
    <w:uiPriority w:val="0"/>
    <w:pPr>
      <w:ind w:firstLine="420"/>
    </w:pPr>
    <w:rPr>
      <w:rFonts w:cs="Times New Roman"/>
      <w:szCs w:val="22"/>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Body Text 3"/>
    <w:basedOn w:val="1"/>
    <w:unhideWhenUsed/>
    <w:qFormat/>
    <w:uiPriority w:val="99"/>
    <w:pPr>
      <w:spacing w:after="120"/>
    </w:pPr>
    <w:rPr>
      <w:color w:val="595959"/>
      <w:sz w:val="16"/>
    </w:rPr>
  </w:style>
  <w:style w:type="paragraph" w:styleId="14">
    <w:name w:val="Body Text Indent"/>
    <w:basedOn w:val="1"/>
    <w:next w:val="15"/>
    <w:qFormat/>
    <w:uiPriority w:val="0"/>
    <w:pPr>
      <w:spacing w:line="200" w:lineRule="exact"/>
      <w:ind w:firstLine="301"/>
    </w:pPr>
    <w:rPr>
      <w:rFonts w:ascii="宋体" w:hAnsi="Courier New" w:cs="Times New Roman"/>
      <w:spacing w:val="-4"/>
      <w:kern w:val="0"/>
      <w:sz w:val="18"/>
      <w:szCs w:val="20"/>
    </w:rPr>
  </w:style>
  <w:style w:type="paragraph" w:styleId="15">
    <w:name w:val="Body Text First Indent 2"/>
    <w:basedOn w:val="14"/>
    <w:next w:val="1"/>
    <w:qFormat/>
    <w:uiPriority w:val="0"/>
    <w:pPr>
      <w:spacing w:after="120" w:line="240" w:lineRule="auto"/>
      <w:ind w:left="420" w:leftChars="200" w:firstLine="420" w:firstLineChars="200"/>
    </w:pPr>
    <w:rPr>
      <w:sz w:val="21"/>
      <w:szCs w:val="24"/>
    </w:rPr>
  </w:style>
  <w:style w:type="paragraph" w:styleId="16">
    <w:name w:val="Block Text"/>
    <w:basedOn w:val="1"/>
    <w:qFormat/>
    <w:uiPriority w:val="0"/>
    <w:pPr>
      <w:spacing w:before="120" w:line="360" w:lineRule="auto"/>
      <w:ind w:left="824" w:right="202"/>
    </w:pPr>
    <w:rPr>
      <w:rFonts w:ascii="宋体" w:cs="Times New Roman"/>
      <w:szCs w:val="21"/>
    </w:rPr>
  </w:style>
  <w:style w:type="paragraph" w:styleId="17">
    <w:name w:val="toc 3"/>
    <w:basedOn w:val="1"/>
    <w:next w:val="1"/>
    <w:qFormat/>
    <w:uiPriority w:val="0"/>
    <w:pPr>
      <w:tabs>
        <w:tab w:val="right" w:leader="dot" w:pos="8268"/>
      </w:tabs>
      <w:spacing w:line="460" w:lineRule="exact"/>
      <w:ind w:left="840" w:leftChars="400" w:firstLine="482"/>
    </w:pPr>
    <w:rPr>
      <w:rFonts w:ascii="宋体" w:hAnsi="宋体" w:eastAsia="宋体" w:cs="Times New Roman"/>
    </w:rPr>
  </w:style>
  <w:style w:type="paragraph" w:styleId="18">
    <w:name w:val="Plain Text"/>
    <w:basedOn w:val="1"/>
    <w:next w:val="1"/>
    <w:link w:val="49"/>
    <w:qFormat/>
    <w:uiPriority w:val="0"/>
    <w:pPr>
      <w:spacing w:beforeLines="50" w:afterLines="50" w:line="400" w:lineRule="exact"/>
    </w:pPr>
    <w:rPr>
      <w:rFonts w:ascii="宋体" w:hAnsi="Courier New" w:cs="Times New Roman"/>
      <w:kern w:val="0"/>
    </w:rPr>
  </w:style>
  <w:style w:type="paragraph" w:styleId="19">
    <w:name w:val="Date"/>
    <w:basedOn w:val="1"/>
    <w:next w:val="1"/>
    <w:qFormat/>
    <w:uiPriority w:val="0"/>
    <w:pPr>
      <w:ind w:left="2500" w:leftChars="2500"/>
    </w:pPr>
    <w:rPr>
      <w:rFonts w:eastAsia="楷体_GB2312"/>
      <w:kern w:val="0"/>
      <w:sz w:val="32"/>
      <w:szCs w:val="20"/>
    </w:rPr>
  </w:style>
  <w:style w:type="paragraph" w:styleId="20">
    <w:name w:val="Body Text Indent 2"/>
    <w:basedOn w:val="1"/>
    <w:qFormat/>
    <w:uiPriority w:val="0"/>
    <w:pPr>
      <w:spacing w:line="320" w:lineRule="atLeast"/>
      <w:ind w:firstLine="600" w:firstLineChars="250"/>
    </w:pPr>
    <w:rPr>
      <w:rFonts w:ascii="宋体" w:hAnsi="宋体"/>
    </w:rPr>
  </w:style>
  <w:style w:type="paragraph" w:styleId="21">
    <w:name w:val="Balloon Text"/>
    <w:basedOn w:val="1"/>
    <w:qFormat/>
    <w:uiPriority w:val="0"/>
    <w:rPr>
      <w:rFonts w:cs="Times New Roman"/>
      <w:kern w:val="0"/>
      <w:sz w:val="18"/>
      <w:szCs w:val="18"/>
    </w:rPr>
  </w:style>
  <w:style w:type="paragraph" w:styleId="22">
    <w:name w:val="footer"/>
    <w:basedOn w:val="1"/>
    <w:next w:val="23"/>
    <w:qFormat/>
    <w:uiPriority w:val="0"/>
    <w:pPr>
      <w:tabs>
        <w:tab w:val="center" w:pos="4153"/>
        <w:tab w:val="right" w:pos="8306"/>
      </w:tabs>
      <w:snapToGrid w:val="0"/>
      <w:jc w:val="left"/>
    </w:pPr>
    <w:rPr>
      <w:rFonts w:cs="Times New Roman"/>
      <w:kern w:val="0"/>
      <w:sz w:val="18"/>
      <w:szCs w:val="18"/>
    </w:rPr>
  </w:style>
  <w:style w:type="paragraph" w:styleId="23">
    <w:name w:val="toc 2"/>
    <w:basedOn w:val="1"/>
    <w:next w:val="1"/>
    <w:qFormat/>
    <w:uiPriority w:val="0"/>
    <w:pPr>
      <w:ind w:left="420" w:leftChars="200"/>
    </w:pPr>
  </w:style>
  <w:style w:type="paragraph" w:styleId="24">
    <w:name w:val="envelope return"/>
    <w:basedOn w:val="1"/>
    <w:qFormat/>
    <w:uiPriority w:val="99"/>
    <w:pPr>
      <w:snapToGrid w:val="0"/>
    </w:pPr>
    <w:rPr>
      <w:rFonts w:ascii="Arial" w:hAnsi="Arial" w:cs="Arial"/>
    </w:rPr>
  </w:style>
  <w:style w:type="paragraph" w:styleId="25">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26">
    <w:name w:val="toc 1"/>
    <w:basedOn w:val="1"/>
    <w:next w:val="1"/>
    <w:qFormat/>
    <w:uiPriority w:val="0"/>
    <w:rPr>
      <w:rFonts w:cs="Times New Roman"/>
    </w:rPr>
  </w:style>
  <w:style w:type="paragraph" w:styleId="27">
    <w:name w:val="List"/>
    <w:basedOn w:val="1"/>
    <w:qFormat/>
    <w:uiPriority w:val="0"/>
    <w:pPr>
      <w:ind w:left="200" w:hanging="200" w:hangingChars="200"/>
    </w:pPr>
    <w:rPr>
      <w:sz w:val="28"/>
    </w:rPr>
  </w:style>
  <w:style w:type="paragraph" w:styleId="28">
    <w:name w:val="Body Text Indent 3"/>
    <w:basedOn w:val="1"/>
    <w:qFormat/>
    <w:uiPriority w:val="0"/>
    <w:pPr>
      <w:snapToGrid w:val="0"/>
      <w:ind w:firstLine="480" w:firstLineChars="200"/>
      <w:jc w:val="left"/>
    </w:pPr>
    <w:rPr>
      <w:rFonts w:ascii="仿宋_GB2312" w:hAnsi="宋体" w:eastAsia="仿宋_GB2312" w:cs="Times New Roman"/>
      <w:color w:val="000000"/>
      <w:kern w:val="0"/>
    </w:rPr>
  </w:style>
  <w:style w:type="paragraph" w:styleId="29">
    <w:name w:val="Body Text 2"/>
    <w:basedOn w:val="1"/>
    <w:next w:val="1"/>
    <w:qFormat/>
    <w:uiPriority w:val="0"/>
    <w:pPr>
      <w:spacing w:after="120" w:line="480" w:lineRule="auto"/>
    </w:p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1">
    <w:name w:val="Normal (Web)"/>
    <w:basedOn w:val="1"/>
    <w:qFormat/>
    <w:uiPriority w:val="0"/>
    <w:pPr>
      <w:widowControl/>
      <w:spacing w:before="100" w:beforeAutospacing="1" w:after="100" w:afterAutospacing="1"/>
      <w:jc w:val="left"/>
    </w:pPr>
    <w:rPr>
      <w:rFonts w:ascii="宋体" w:hAnsi="宋体" w:cs="Times New Roman"/>
      <w:kern w:val="0"/>
    </w:rPr>
  </w:style>
  <w:style w:type="table" w:styleId="33">
    <w:name w:val="Table Grid"/>
    <w:basedOn w:val="3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5">
    <w:name w:val="Strong"/>
    <w:basedOn w:val="34"/>
    <w:qFormat/>
    <w:uiPriority w:val="0"/>
    <w:rPr>
      <w:b/>
    </w:rPr>
  </w:style>
  <w:style w:type="character" w:styleId="36">
    <w:name w:val="page number"/>
    <w:basedOn w:val="34"/>
    <w:qFormat/>
    <w:uiPriority w:val="0"/>
  </w:style>
  <w:style w:type="character" w:styleId="37">
    <w:name w:val="Emphasis"/>
    <w:basedOn w:val="34"/>
    <w:qFormat/>
    <w:uiPriority w:val="0"/>
    <w:rPr>
      <w:i/>
    </w:rPr>
  </w:style>
  <w:style w:type="character" w:styleId="38">
    <w:name w:val="Hyperlink"/>
    <w:qFormat/>
    <w:uiPriority w:val="0"/>
    <w:rPr>
      <w:rFonts w:ascii="Times New Roman" w:hAnsi="Times New Roman" w:eastAsia="宋体" w:cs="Times New Roman"/>
      <w:color w:val="0000FF"/>
      <w:u w:val="single"/>
    </w:rPr>
  </w:style>
  <w:style w:type="character" w:styleId="39">
    <w:name w:val="HTML Sample"/>
    <w:basedOn w:val="34"/>
    <w:qFormat/>
    <w:uiPriority w:val="0"/>
    <w:rPr>
      <w:rFonts w:ascii="Courier New" w:hAnsi="Courier New"/>
    </w:rPr>
  </w:style>
  <w:style w:type="paragraph" w:customStyle="1" w:styleId="40">
    <w:name w:val="Default"/>
    <w:next w:val="22"/>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41">
    <w:name w:val="xl53"/>
    <w:basedOn w:val="1"/>
    <w:next w:val="1"/>
    <w:qFormat/>
    <w:uiPriority w:val="0"/>
    <w:pPr>
      <w:spacing w:before="280" w:after="280" w:line="100" w:lineRule="exact"/>
      <w:jc w:val="center"/>
    </w:pPr>
    <w:rPr>
      <w:b/>
      <w:sz w:val="20"/>
    </w:rPr>
  </w:style>
  <w:style w:type="paragraph" w:customStyle="1" w:styleId="42">
    <w:name w:val="正文2"/>
    <w:basedOn w:val="1"/>
    <w:qFormat/>
    <w:uiPriority w:val="0"/>
    <w:pPr>
      <w:spacing w:before="156" w:line="360" w:lineRule="auto"/>
      <w:ind w:firstLine="510" w:firstLineChars="200"/>
    </w:pPr>
    <w:rPr>
      <w:szCs w:val="20"/>
    </w:rPr>
  </w:style>
  <w:style w:type="paragraph" w:customStyle="1" w:styleId="43">
    <w:name w:val="List Paragraph1"/>
    <w:basedOn w:val="1"/>
    <w:qFormat/>
    <w:uiPriority w:val="0"/>
    <w:pPr>
      <w:ind w:firstLine="200" w:firstLineChars="200"/>
    </w:pPr>
    <w:rPr>
      <w:sz w:val="28"/>
      <w:szCs w:val="28"/>
    </w:rPr>
  </w:style>
  <w:style w:type="paragraph" w:customStyle="1" w:styleId="44">
    <w:name w:val="纯文本1"/>
    <w:basedOn w:val="45"/>
    <w:qFormat/>
    <w:uiPriority w:val="0"/>
    <w:pPr>
      <w:tabs>
        <w:tab w:val="left" w:pos="0"/>
      </w:tabs>
      <w:adjustRightInd w:val="0"/>
      <w:textAlignment w:val="baseline"/>
    </w:pPr>
    <w:rPr>
      <w:rFonts w:ascii="宋体" w:hAnsi="Courier New" w:eastAsia="楷体_GB2312" w:cs="Times New Roman"/>
      <w:sz w:val="26"/>
      <w:szCs w:val="20"/>
    </w:rPr>
  </w:style>
  <w:style w:type="paragraph" w:customStyle="1" w:styleId="45">
    <w:name w:val="正文1"/>
    <w:basedOn w:val="17"/>
    <w:next w:val="1"/>
    <w:qFormat/>
    <w:uiPriority w:val="0"/>
    <w:pPr>
      <w:tabs>
        <w:tab w:val="left" w:pos="0"/>
        <w:tab w:val="clear" w:pos="8268"/>
      </w:tabs>
    </w:pPr>
    <w:rPr>
      <w:rFonts w:ascii="Arial" w:hAnsi="Arial" w:eastAsia="仿宋_GB2312" w:cs="Arial"/>
      <w:b/>
      <w:sz w:val="24"/>
      <w:szCs w:val="24"/>
    </w:rPr>
  </w:style>
  <w:style w:type="paragraph" w:customStyle="1" w:styleId="4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
    <w:name w:val="纯文本2"/>
    <w:basedOn w:val="1"/>
    <w:qFormat/>
    <w:uiPriority w:val="0"/>
    <w:pPr>
      <w:adjustRightInd w:val="0"/>
      <w:textAlignment w:val="baseline"/>
    </w:pPr>
    <w:rPr>
      <w:rFonts w:ascii="宋体" w:hAnsi="Courier New" w:eastAsia="楷体_GB2312" w:cs="Times New Roman"/>
      <w:sz w:val="26"/>
      <w:szCs w:val="20"/>
    </w:rPr>
  </w:style>
  <w:style w:type="character" w:customStyle="1" w:styleId="48">
    <w:name w:val="正文文本 Char"/>
    <w:basedOn w:val="34"/>
    <w:link w:val="3"/>
    <w:qFormat/>
    <w:uiPriority w:val="0"/>
    <w:rPr>
      <w:rFonts w:ascii="Times New Roman" w:hAnsi="Times New Roman" w:eastAsia="宋体" w:cs="宋体"/>
      <w:kern w:val="2"/>
      <w:sz w:val="24"/>
      <w:szCs w:val="24"/>
    </w:rPr>
  </w:style>
  <w:style w:type="character" w:customStyle="1" w:styleId="49">
    <w:name w:val="纯文本 Char"/>
    <w:basedOn w:val="34"/>
    <w:link w:val="18"/>
    <w:qFormat/>
    <w:uiPriority w:val="0"/>
    <w:rPr>
      <w:rFonts w:ascii="宋体" w:hAnsi="Courier New"/>
      <w:sz w:val="24"/>
      <w:szCs w:val="24"/>
    </w:rPr>
  </w:style>
  <w:style w:type="paragraph" w:styleId="50">
    <w:name w:val="List Paragraph"/>
    <w:basedOn w:val="1"/>
    <w:qFormat/>
    <w:uiPriority w:val="34"/>
    <w:pPr>
      <w:ind w:firstLine="420" w:firstLineChars="200"/>
    </w:pPr>
    <w:rPr>
      <w:rFonts w:ascii="Calibri" w:hAnsi="Calibri"/>
      <w:szCs w:val="22"/>
    </w:rPr>
  </w:style>
  <w:style w:type="character" w:customStyle="1" w:styleId="51">
    <w:name w:val="font11"/>
    <w:basedOn w:val="34"/>
    <w:qFormat/>
    <w:uiPriority w:val="0"/>
    <w:rPr>
      <w:rFonts w:hint="eastAsia" w:ascii="宋体" w:hAnsi="宋体" w:eastAsia="宋体" w:cs="宋体"/>
      <w:color w:val="000000"/>
      <w:sz w:val="22"/>
      <w:szCs w:val="22"/>
      <w:u w:val="none"/>
    </w:rPr>
  </w:style>
  <w:style w:type="character" w:customStyle="1" w:styleId="52">
    <w:name w:val="font01"/>
    <w:basedOn w:val="34"/>
    <w:qFormat/>
    <w:uiPriority w:val="0"/>
    <w:rPr>
      <w:rFonts w:hint="eastAsia" w:ascii="宋体" w:hAnsi="宋体" w:eastAsia="宋体" w:cs="宋体"/>
      <w:color w:val="000000"/>
      <w:sz w:val="22"/>
      <w:szCs w:val="22"/>
      <w:u w:val="none"/>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xl25"/>
    <w:basedOn w:val="1"/>
    <w:qFormat/>
    <w:uiPriority w:val="0"/>
    <w:pPr>
      <w:widowControl/>
      <w:spacing w:before="100" w:beforeAutospacing="1" w:after="100" w:afterAutospacing="1"/>
      <w:jc w:val="center"/>
    </w:pPr>
    <w:rPr>
      <w:rFonts w:hint="eastAsia" w:ascii="楷体_GB2312" w:hAnsi="宋体" w:eastAsia="楷体_GB2312"/>
      <w:kern w:val="0"/>
      <w:sz w:val="24"/>
      <w:szCs w:val="20"/>
    </w:rPr>
  </w:style>
  <w:style w:type="paragraph" w:customStyle="1" w:styleId="55">
    <w:name w:val="Plain Text1"/>
    <w:basedOn w:val="1"/>
    <w:qFormat/>
    <w:uiPriority w:val="99"/>
    <w:pPr>
      <w:adjustRightInd w:val="0"/>
      <w:textAlignment w:val="baseline"/>
    </w:pPr>
    <w:rPr>
      <w:rFonts w:ascii="宋体" w:hAnsi="Courier New" w:eastAsia="楷体_GB2312"/>
      <w:sz w:val="26"/>
      <w:szCs w:val="20"/>
    </w:rPr>
  </w:style>
  <w:style w:type="paragraph" w:customStyle="1" w:styleId="56">
    <w:name w:val="1正文"/>
    <w:basedOn w:val="1"/>
    <w:qFormat/>
    <w:uiPriority w:val="0"/>
    <w:rPr>
      <w:rFonts w:ascii="宋体" w:hAnsi="宋体"/>
      <w:color w:val="000000"/>
      <w:sz w:val="15"/>
      <w:szCs w:val="14"/>
    </w:rPr>
  </w:style>
  <w:style w:type="paragraph" w:customStyle="1" w:styleId="57">
    <w:name w:val="正文段"/>
    <w:basedOn w:val="1"/>
    <w:qFormat/>
    <w:uiPriority w:val="0"/>
    <w:pPr>
      <w:widowControl/>
      <w:snapToGrid w:val="0"/>
      <w:spacing w:after="50" w:afterLines="50"/>
      <w:ind w:firstLine="200" w:firstLineChars="200"/>
    </w:pPr>
    <w:rPr>
      <w:kern w:val="0"/>
      <w:sz w:val="24"/>
      <w:szCs w:val="20"/>
    </w:rPr>
  </w:style>
  <w:style w:type="paragraph" w:customStyle="1" w:styleId="58">
    <w:name w:val="样式 标题 2 + Times New Roman 四号 非加粗 段前: 5 磅 段后: 0 磅 行距: 固定值 20..."/>
    <w:basedOn w:val="6"/>
    <w:qFormat/>
    <w:uiPriority w:val="0"/>
    <w:pPr>
      <w:spacing w:before="100" w:line="400" w:lineRule="exact"/>
    </w:pPr>
    <w:rPr>
      <w:rFonts w:ascii="Verdana" w:hAnsi="Verdana" w:cs="等线 Light"/>
      <w:b w:val="0"/>
      <w:bCs w:val="0"/>
      <w:sz w:val="28"/>
      <w:szCs w:val="20"/>
    </w:rPr>
  </w:style>
  <w:style w:type="paragraph" w:customStyle="1" w:styleId="59">
    <w:name w:val="正文_0"/>
    <w:basedOn w:val="1"/>
    <w:qFormat/>
    <w:uiPriority w:val="0"/>
    <w:rPr>
      <w:rFonts w:ascii="华文中宋" w:hAnsi="华文中宋" w:eastAsia="等线 Light" w:cs="Times New Roman"/>
      <w:sz w:val="21"/>
      <w:szCs w:val="22"/>
    </w:rPr>
  </w:style>
  <w:style w:type="paragraph" w:customStyle="1" w:styleId="60">
    <w:name w:val="*正文"/>
    <w:basedOn w:val="1"/>
    <w:qFormat/>
    <w:uiPriority w:val="0"/>
    <w:pPr>
      <w:snapToGrid w:val="0"/>
      <w:spacing w:line="360" w:lineRule="auto"/>
      <w:ind w:firstLine="482"/>
      <w:jc w:val="left"/>
    </w:pPr>
    <w:rPr>
      <w:rFonts w:ascii="宋体" w:hAnsi="宋体" w:eastAsia="宋体" w:cs="Times New Roman"/>
      <w:kern w:val="0"/>
      <w:sz w:val="24"/>
      <w:szCs w:val="20"/>
    </w:rPr>
  </w:style>
  <w:style w:type="paragraph" w:customStyle="1" w:styleId="6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
    <w:name w:val="默认段落字体 Para Char Char Char Char Char Char Char Char Char1 Char Char Char Char"/>
    <w:basedOn w:val="1"/>
    <w:qFormat/>
    <w:uiPriority w:val="0"/>
    <w:rPr>
      <w:rFonts w:ascii="Tahoma" w:hAnsi="Tahoma"/>
      <w:sz w:val="24"/>
      <w:szCs w:val="20"/>
    </w:rPr>
  </w:style>
  <w:style w:type="paragraph" w:customStyle="1" w:styleId="64">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65">
    <w:name w:val="Plain Text"/>
    <w:basedOn w:val="1"/>
    <w:qFormat/>
    <w:uiPriority w:val="0"/>
    <w:pPr>
      <w:adjustRightInd w:val="0"/>
      <w:textAlignment w:val="baseline"/>
    </w:pPr>
    <w:rPr>
      <w:rFonts w:ascii="宋体" w:hAnsi="Courier New" w:eastAsia="楷体_GB2312"/>
      <w:sz w:val="26"/>
      <w:szCs w:val="20"/>
    </w:rPr>
  </w:style>
  <w:style w:type="paragraph" w:customStyle="1" w:styleId="6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font21"/>
    <w:basedOn w:val="3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2017.4</Company>
  <Pages>54</Pages>
  <Words>11179</Words>
  <Characters>12318</Characters>
  <Lines>1</Lines>
  <Paragraphs>1</Paragraphs>
  <TotalTime>33</TotalTime>
  <ScaleCrop>false</ScaleCrop>
  <LinksUpToDate>false</LinksUpToDate>
  <CharactersWithSpaces>12430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2022-04-30T15:25:00Z</dcterms:created>
  <dc:creator>thtf-5</dc:creator>
  <cp:lastModifiedBy>Later</cp:lastModifiedBy>
  <cp:lastPrinted>2024-12-16T01:23:00Z</cp:lastPrinted>
  <dcterms:modified xsi:type="dcterms:W3CDTF">2024-12-18T06:57:09Z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DD3446510D454732B69175C38BB23CA9</vt:lpwstr>
  </property>
  <property fmtid="{D5CDD505-2E9C-101B-9397-08002B2CF9AE}" pid="4" name="woTemplateTypoMode" linkTarget="0">
    <vt:lpwstr>web</vt:lpwstr>
  </property>
  <property fmtid="{D5CDD505-2E9C-101B-9397-08002B2CF9AE}" pid="5" name="woTemplate" linkTarget="0">
    <vt:i4>1</vt:i4>
  </property>
</Properties>
</file>