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965C6">
      <w:pPr>
        <w:pStyle w:val="24"/>
        <w:spacing w:line="600" w:lineRule="exact"/>
        <w:rPr>
          <w:rFonts w:asciiTheme="minorHAnsi" w:hAnsiTheme="minorHAnsi"/>
          <w:color w:val="auto"/>
          <w:spacing w:val="-28"/>
          <w:sz w:val="48"/>
          <w:szCs w:val="48"/>
          <w:highlight w:val="none"/>
        </w:rPr>
      </w:pPr>
    </w:p>
    <w:p w14:paraId="3188D220">
      <w:pPr>
        <w:pStyle w:val="40"/>
        <w:widowControl w:val="0"/>
        <w:snapToGrid w:val="0"/>
        <w:spacing w:line="470" w:lineRule="atLeast"/>
        <w:ind w:firstLine="0"/>
        <w:jc w:val="center"/>
        <w:rPr>
          <w:rFonts w:hint="eastAsia" w:ascii="黑体" w:hAnsi="宋体" w:eastAsia="黑体" w:cs="Angsana New"/>
          <w:b w:val="0"/>
          <w:snapToGrid w:val="0"/>
          <w:color w:val="auto"/>
          <w:spacing w:val="40"/>
          <w:w w:val="80"/>
          <w:sz w:val="72"/>
          <w:szCs w:val="72"/>
          <w:highlight w:val="none"/>
          <w:lang w:eastAsia="zh-CN" w:bidi="th-TH"/>
        </w:rPr>
      </w:pPr>
      <w:r>
        <w:rPr>
          <w:rFonts w:hint="eastAsia" w:ascii="宋体" w:hAnsi="宋体" w:eastAsia="宋体" w:cs="宋体"/>
          <w:bCs/>
          <w:snapToGrid w:val="0"/>
          <w:color w:val="auto"/>
          <w:spacing w:val="-16"/>
          <w:kern w:val="0"/>
          <w:sz w:val="52"/>
          <w:szCs w:val="52"/>
          <w:highlight w:val="none"/>
          <w:lang w:eastAsia="zh-CN"/>
        </w:rPr>
        <w:t>平湖市新仓镇01-03城镇单元制性详细规划服务采购项目</w:t>
      </w:r>
    </w:p>
    <w:p w14:paraId="241C8546">
      <w:pPr>
        <w:pStyle w:val="40"/>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20A19747">
      <w:pPr>
        <w:pStyle w:val="40"/>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2AD3F44B">
      <w:pPr>
        <w:pStyle w:val="40"/>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35B772CF">
      <w:pPr>
        <w:pStyle w:val="40"/>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651567DE">
      <w:pPr>
        <w:pStyle w:val="40"/>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327CEA45">
      <w:pPr>
        <w:pStyle w:val="40"/>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r>
        <w:rPr>
          <w:rFonts w:hint="eastAsia" w:ascii="宋体" w:hAnsi="宋体" w:eastAsia="宋体" w:cs="宋体"/>
          <w:snapToGrid w:val="0"/>
          <w:color w:val="auto"/>
          <w:spacing w:val="-16"/>
          <w:kern w:val="0"/>
          <w:sz w:val="52"/>
          <w:szCs w:val="52"/>
          <w:highlight w:val="none"/>
        </w:rPr>
        <w:t>竞争性磋商文件</w:t>
      </w:r>
    </w:p>
    <w:p w14:paraId="4F296B26">
      <w:pPr>
        <w:pStyle w:val="40"/>
        <w:widowControl w:val="0"/>
        <w:snapToGrid w:val="0"/>
        <w:spacing w:line="470" w:lineRule="atLeast"/>
        <w:ind w:firstLine="0"/>
        <w:jc w:val="center"/>
        <w:rPr>
          <w:rFonts w:ascii="黑体" w:hAnsi="宋体" w:eastAsia="黑体"/>
          <w:b w:val="0"/>
          <w:color w:val="auto"/>
          <w:sz w:val="32"/>
          <w:highlight w:val="none"/>
        </w:rPr>
      </w:pPr>
      <w:r>
        <w:rPr>
          <w:rFonts w:hint="eastAsia" w:ascii="黑体" w:hAnsi="宋体" w:eastAsia="黑体"/>
          <w:b w:val="0"/>
          <w:color w:val="auto"/>
          <w:sz w:val="32"/>
          <w:highlight w:val="none"/>
          <w:u w:val="none" w:color="auto"/>
          <w:lang w:eastAsia="zh-CN"/>
        </w:rPr>
        <w:t>（</w:t>
      </w:r>
      <w:r>
        <w:rPr>
          <w:rFonts w:hint="eastAsia" w:ascii="黑体" w:hAnsi="宋体" w:eastAsia="黑体"/>
          <w:b w:val="0"/>
          <w:color w:val="auto"/>
          <w:sz w:val="32"/>
          <w:highlight w:val="none"/>
          <w:u w:val="none" w:color="auto"/>
          <w:lang w:val="en-US" w:eastAsia="zh-CN"/>
        </w:rPr>
        <w:t>电子招标</w:t>
      </w:r>
      <w:r>
        <w:rPr>
          <w:rFonts w:hint="eastAsia" w:ascii="黑体" w:hAnsi="宋体" w:eastAsia="黑体"/>
          <w:b w:val="0"/>
          <w:color w:val="auto"/>
          <w:sz w:val="32"/>
          <w:highlight w:val="none"/>
          <w:u w:val="none" w:color="auto"/>
          <w:lang w:eastAsia="zh-CN"/>
        </w:rPr>
        <w:t>）</w:t>
      </w:r>
    </w:p>
    <w:p w14:paraId="65FF37A7">
      <w:pPr>
        <w:pStyle w:val="40"/>
        <w:widowControl w:val="0"/>
        <w:snapToGrid w:val="0"/>
        <w:spacing w:line="360" w:lineRule="auto"/>
        <w:ind w:firstLine="2400" w:firstLineChars="750"/>
        <w:rPr>
          <w:rFonts w:ascii="黑体" w:hAnsi="宋体" w:eastAsia="黑体"/>
          <w:b w:val="0"/>
          <w:color w:val="auto"/>
          <w:sz w:val="32"/>
          <w:highlight w:val="none"/>
          <w:u w:val="single"/>
        </w:rPr>
      </w:pPr>
    </w:p>
    <w:p w14:paraId="395FAA2A">
      <w:pPr>
        <w:pStyle w:val="40"/>
        <w:spacing w:line="700" w:lineRule="exact"/>
        <w:ind w:firstLine="360" w:firstLineChars="100"/>
        <w:rPr>
          <w:rFonts w:eastAsia="黑体"/>
          <w:b w:val="0"/>
          <w:color w:val="auto"/>
          <w:sz w:val="36"/>
          <w:highlight w:val="none"/>
        </w:rPr>
      </w:pPr>
    </w:p>
    <w:p w14:paraId="76662843">
      <w:pPr>
        <w:pStyle w:val="40"/>
        <w:spacing w:line="700" w:lineRule="exact"/>
        <w:ind w:firstLine="360" w:firstLineChars="100"/>
        <w:rPr>
          <w:rFonts w:eastAsia="黑体"/>
          <w:b w:val="0"/>
          <w:color w:val="auto"/>
          <w:sz w:val="36"/>
          <w:highlight w:val="none"/>
        </w:rPr>
      </w:pPr>
    </w:p>
    <w:p w14:paraId="4F0A992A">
      <w:pPr>
        <w:pStyle w:val="40"/>
        <w:spacing w:line="700" w:lineRule="exact"/>
        <w:ind w:firstLine="360" w:firstLineChars="100"/>
        <w:rPr>
          <w:rFonts w:eastAsia="黑体"/>
          <w:b w:val="0"/>
          <w:color w:val="auto"/>
          <w:sz w:val="36"/>
          <w:highlight w:val="none"/>
        </w:rPr>
      </w:pPr>
    </w:p>
    <w:p w14:paraId="272BFEA7">
      <w:pPr>
        <w:pStyle w:val="40"/>
        <w:spacing w:line="700" w:lineRule="exact"/>
        <w:ind w:firstLine="360" w:firstLineChars="100"/>
        <w:rPr>
          <w:rFonts w:eastAsia="黑体"/>
          <w:b w:val="0"/>
          <w:color w:val="auto"/>
          <w:sz w:val="36"/>
          <w:highlight w:val="none"/>
        </w:rPr>
      </w:pPr>
    </w:p>
    <w:p w14:paraId="42716B38">
      <w:pPr>
        <w:pStyle w:val="40"/>
        <w:spacing w:line="700" w:lineRule="exact"/>
        <w:ind w:firstLine="640" w:firstLineChars="200"/>
        <w:rPr>
          <w:rFonts w:hint="default" w:eastAsia="黑体"/>
          <w:b w:val="0"/>
          <w:color w:val="auto"/>
          <w:sz w:val="36"/>
          <w:highlight w:val="none"/>
          <w:lang w:val="en-US" w:eastAsia="zh-CN"/>
        </w:rPr>
      </w:pPr>
      <w:r>
        <w:rPr>
          <w:rFonts w:hint="eastAsia" w:ascii="宋体" w:hAnsi="宋体" w:eastAsiaTheme="minorEastAsia" w:cstheme="minorBidi"/>
          <w:b/>
          <w:bCs/>
          <w:color w:val="auto"/>
          <w:kern w:val="2"/>
          <w:sz w:val="32"/>
          <w:szCs w:val="32"/>
          <w:highlight w:val="none"/>
          <w:lang w:val="en-US" w:eastAsia="zh-CN" w:bidi="ar-SA"/>
        </w:rPr>
        <w:t>采购执行编号：</w:t>
      </w:r>
      <w:r>
        <w:rPr>
          <w:rFonts w:hint="eastAsia" w:ascii="宋体" w:hAnsi="宋体" w:cstheme="minorBidi"/>
          <w:b/>
          <w:bCs/>
          <w:color w:val="auto"/>
          <w:kern w:val="2"/>
          <w:sz w:val="32"/>
          <w:szCs w:val="32"/>
          <w:highlight w:val="none"/>
          <w:lang w:val="en-US" w:eastAsia="zh-CN" w:bidi="ar-SA"/>
        </w:rPr>
        <w:t>9240001047950</w:t>
      </w:r>
    </w:p>
    <w:p w14:paraId="4EA3B27C">
      <w:pPr>
        <w:pStyle w:val="15"/>
        <w:snapToGrid w:val="0"/>
        <w:spacing w:line="600" w:lineRule="exact"/>
        <w:ind w:firstLine="627" w:firstLineChars="196"/>
        <w:rPr>
          <w:rFonts w:hint="default" w:hAnsi="宋体" w:eastAsiaTheme="minorEastAsia"/>
          <w:b/>
          <w:bCs/>
          <w:color w:val="auto"/>
          <w:sz w:val="32"/>
          <w:szCs w:val="32"/>
          <w:highlight w:val="none"/>
          <w:lang w:val="en-US" w:eastAsia="zh-CN"/>
        </w:rPr>
      </w:pPr>
      <w:r>
        <w:rPr>
          <w:rFonts w:hAnsi="宋体"/>
          <w:b/>
          <w:bCs/>
          <w:color w:val="auto"/>
          <w:sz w:val="32"/>
          <w:szCs w:val="32"/>
          <w:highlight w:val="none"/>
        </w:rPr>
        <w:t>项目编号：</w:t>
      </w:r>
      <w:r>
        <w:rPr>
          <w:rFonts w:hint="eastAsia" w:hAnsi="宋体"/>
          <w:b/>
          <w:bCs/>
          <w:color w:val="auto"/>
          <w:sz w:val="32"/>
          <w:szCs w:val="32"/>
          <w:highlight w:val="none"/>
        </w:rPr>
        <w:t>JXQQPHC-2024-036</w:t>
      </w:r>
    </w:p>
    <w:p w14:paraId="3A5B8A71">
      <w:pPr>
        <w:pStyle w:val="15"/>
        <w:snapToGrid w:val="0"/>
        <w:spacing w:line="600" w:lineRule="exact"/>
        <w:ind w:left="2360" w:leftChars="286" w:hanging="1760" w:hangingChars="550"/>
        <w:rPr>
          <w:rFonts w:hint="eastAsia" w:hAnsi="宋体" w:eastAsiaTheme="minorEastAsia"/>
          <w:b/>
          <w:bCs/>
          <w:color w:val="auto"/>
          <w:sz w:val="32"/>
          <w:szCs w:val="32"/>
          <w:highlight w:val="none"/>
          <w:lang w:eastAsia="zh-CN"/>
        </w:rPr>
      </w:pPr>
      <w:r>
        <w:rPr>
          <w:rFonts w:hAnsi="宋体"/>
          <w:b/>
          <w:bCs/>
          <w:color w:val="auto"/>
          <w:sz w:val="32"/>
          <w:szCs w:val="32"/>
          <w:highlight w:val="none"/>
        </w:rPr>
        <w:t>采购单位：</w:t>
      </w:r>
      <w:r>
        <w:rPr>
          <w:rFonts w:hint="eastAsia" w:hAnsi="宋体"/>
          <w:b/>
          <w:bCs/>
          <w:color w:val="auto"/>
          <w:w w:val="95"/>
          <w:sz w:val="30"/>
          <w:szCs w:val="30"/>
          <w:highlight w:val="none"/>
          <w:lang w:eastAsia="zh-CN"/>
        </w:rPr>
        <w:t>平湖市新仓镇人民政府</w:t>
      </w:r>
    </w:p>
    <w:p w14:paraId="6D27A5D8">
      <w:pPr>
        <w:pStyle w:val="15"/>
        <w:snapToGrid w:val="0"/>
        <w:spacing w:line="600" w:lineRule="exact"/>
        <w:ind w:firstLine="627" w:firstLineChars="196"/>
        <w:rPr>
          <w:rFonts w:hAnsi="宋体"/>
          <w:b/>
          <w:bCs/>
          <w:color w:val="auto"/>
          <w:sz w:val="32"/>
          <w:szCs w:val="32"/>
          <w:highlight w:val="none"/>
        </w:rPr>
      </w:pPr>
      <w:r>
        <w:rPr>
          <w:rFonts w:hint="eastAsia" w:hAnsi="宋体"/>
          <w:b/>
          <w:bCs/>
          <w:color w:val="auto"/>
          <w:sz w:val="32"/>
          <w:szCs w:val="32"/>
          <w:highlight w:val="none"/>
        </w:rPr>
        <w:t>采购代理单位</w:t>
      </w:r>
      <w:r>
        <w:rPr>
          <w:rFonts w:hAnsi="宋体"/>
          <w:b/>
          <w:bCs/>
          <w:color w:val="auto"/>
          <w:sz w:val="32"/>
          <w:szCs w:val="32"/>
          <w:highlight w:val="none"/>
        </w:rPr>
        <w:t>：</w:t>
      </w:r>
      <w:r>
        <w:rPr>
          <w:rFonts w:hint="eastAsia" w:hAnsi="宋体"/>
          <w:b/>
          <w:bCs/>
          <w:color w:val="auto"/>
          <w:sz w:val="32"/>
          <w:szCs w:val="32"/>
          <w:highlight w:val="none"/>
        </w:rPr>
        <w:t>嘉兴市千秋工程咨询有限公司</w:t>
      </w:r>
    </w:p>
    <w:p w14:paraId="4FC99E6A">
      <w:pPr>
        <w:pStyle w:val="40"/>
        <w:widowControl w:val="0"/>
        <w:snapToGrid w:val="0"/>
        <w:spacing w:line="600" w:lineRule="exact"/>
        <w:ind w:right="-176" w:rightChars="-84" w:firstLine="627" w:firstLineChars="196"/>
        <w:rPr>
          <w:rFonts w:ascii="宋体" w:hAnsi="宋体"/>
          <w:bCs/>
          <w:color w:val="auto"/>
          <w:sz w:val="32"/>
          <w:szCs w:val="32"/>
          <w:highlight w:val="none"/>
        </w:rPr>
        <w:sectPr>
          <w:headerReference r:id="rId5" w:type="first"/>
          <w:headerReference r:id="rId3" w:type="default"/>
          <w:headerReference r:id="rId4" w:type="even"/>
          <w:footerReference r:id="rId6" w:type="even"/>
          <w:pgSz w:w="11906" w:h="16838"/>
          <w:pgMar w:top="1417" w:right="1416" w:bottom="1417" w:left="1417" w:header="851" w:footer="992" w:gutter="0"/>
          <w:pgNumType w:start="0"/>
          <w:cols w:space="720" w:num="1"/>
          <w:titlePg/>
          <w:docGrid w:type="linesAndChars" w:linePitch="312" w:charSpace="0"/>
        </w:sectPr>
      </w:pPr>
      <w:r>
        <w:rPr>
          <w:rFonts w:hint="eastAsia" w:ascii="宋体" w:hAnsi="宋体"/>
          <w:bCs/>
          <w:color w:val="auto"/>
          <w:sz w:val="32"/>
          <w:szCs w:val="32"/>
          <w:highlight w:val="none"/>
        </w:rPr>
        <w:t>编制日期：202</w:t>
      </w:r>
      <w:r>
        <w:rPr>
          <w:rFonts w:hint="eastAsia" w:ascii="宋体" w:hAnsi="宋体"/>
          <w:bCs/>
          <w:color w:val="auto"/>
          <w:sz w:val="32"/>
          <w:szCs w:val="32"/>
          <w:highlight w:val="none"/>
          <w:lang w:val="en-US" w:eastAsia="zh-CN"/>
        </w:rPr>
        <w:t>4</w:t>
      </w:r>
      <w:r>
        <w:rPr>
          <w:rFonts w:hint="eastAsia" w:ascii="宋体" w:hAnsi="宋体"/>
          <w:bCs/>
          <w:color w:val="auto"/>
          <w:sz w:val="32"/>
          <w:szCs w:val="32"/>
          <w:highlight w:val="none"/>
        </w:rPr>
        <w:t>年</w:t>
      </w:r>
      <w:r>
        <w:rPr>
          <w:rFonts w:hint="eastAsia" w:ascii="宋体" w:hAnsi="宋体"/>
          <w:bCs/>
          <w:color w:val="auto"/>
          <w:sz w:val="32"/>
          <w:szCs w:val="32"/>
          <w:highlight w:val="none"/>
          <w:lang w:val="en-US" w:eastAsia="zh-CN"/>
        </w:rPr>
        <w:t>8</w:t>
      </w:r>
      <w:r>
        <w:rPr>
          <w:rFonts w:hint="eastAsia" w:ascii="宋体" w:hAnsi="宋体"/>
          <w:bCs/>
          <w:color w:val="auto"/>
          <w:sz w:val="32"/>
          <w:szCs w:val="32"/>
          <w:highlight w:val="none"/>
        </w:rPr>
        <w:t>月</w:t>
      </w:r>
      <w:r>
        <w:rPr>
          <w:rFonts w:hint="eastAsia" w:ascii="宋体" w:hAnsi="宋体"/>
          <w:bCs/>
          <w:color w:val="auto"/>
          <w:sz w:val="32"/>
          <w:szCs w:val="32"/>
          <w:highlight w:val="none"/>
          <w:lang w:val="en-US" w:eastAsia="zh-CN"/>
        </w:rPr>
        <w:t>16</w:t>
      </w:r>
      <w:r>
        <w:rPr>
          <w:rFonts w:hint="eastAsia" w:ascii="宋体" w:hAnsi="宋体"/>
          <w:bCs/>
          <w:color w:val="auto"/>
          <w:sz w:val="32"/>
          <w:szCs w:val="32"/>
          <w:highlight w:val="none"/>
        </w:rPr>
        <w:t>日</w:t>
      </w:r>
    </w:p>
    <w:p w14:paraId="5134FE5C">
      <w:pPr>
        <w:pStyle w:val="40"/>
        <w:widowControl w:val="0"/>
        <w:snapToGrid w:val="0"/>
        <w:spacing w:line="442" w:lineRule="atLeast"/>
        <w:ind w:right="-176" w:rightChars="-84" w:firstLine="0"/>
        <w:jc w:val="center"/>
        <w:rPr>
          <w:rFonts w:ascii="宋体" w:hAnsi="宋体"/>
          <w:color w:val="auto"/>
          <w:sz w:val="32"/>
          <w:highlight w:val="none"/>
        </w:rPr>
      </w:pPr>
      <w:bookmarkStart w:id="0" w:name="_Toc118516209"/>
      <w:bookmarkStart w:id="1" w:name="_Toc171394907"/>
      <w:r>
        <w:rPr>
          <w:rFonts w:hint="eastAsia" w:ascii="宋体" w:hAnsi="宋体"/>
          <w:color w:val="auto"/>
          <w:sz w:val="32"/>
          <w:highlight w:val="none"/>
        </w:rPr>
        <w:t>目   录</w:t>
      </w:r>
    </w:p>
    <w:p w14:paraId="559D0FE3">
      <w:pPr>
        <w:pStyle w:val="40"/>
        <w:widowControl w:val="0"/>
        <w:snapToGrid w:val="0"/>
        <w:spacing w:line="442" w:lineRule="atLeast"/>
        <w:ind w:right="-176" w:rightChars="-84" w:firstLine="0"/>
        <w:jc w:val="center"/>
        <w:rPr>
          <w:rFonts w:ascii="宋体" w:hAnsi="宋体"/>
          <w:color w:val="auto"/>
          <w:sz w:val="32"/>
          <w:highlight w:val="none"/>
        </w:rPr>
      </w:pPr>
    </w:p>
    <w:p w14:paraId="68BC1F4B">
      <w:pPr>
        <w:pStyle w:val="20"/>
        <w:tabs>
          <w:tab w:val="right" w:leader="dot" w:pos="9072"/>
        </w:tabs>
        <w:ind w:left="0" w:leftChars="0" w:firstLine="0" w:firstLineChars="0"/>
        <w:jc w:val="both"/>
        <w:rPr>
          <w:color w:val="auto"/>
          <w:sz w:val="28"/>
          <w:szCs w:val="28"/>
          <w:highlight w:val="none"/>
        </w:rPr>
      </w:pPr>
      <w:r>
        <w:rPr>
          <w:color w:val="auto"/>
          <w:sz w:val="48"/>
          <w:szCs w:val="48"/>
          <w:highlight w:val="none"/>
        </w:rPr>
        <w:fldChar w:fldCharType="begin"/>
      </w:r>
      <w:r>
        <w:rPr>
          <w:color w:val="auto"/>
          <w:sz w:val="48"/>
          <w:szCs w:val="48"/>
          <w:highlight w:val="none"/>
        </w:rPr>
        <w:instrText xml:space="preserve"> TOC \o "1-3" \h \z \u </w:instrText>
      </w:r>
      <w:r>
        <w:rPr>
          <w:color w:val="auto"/>
          <w:sz w:val="48"/>
          <w:szCs w:val="48"/>
          <w:highlight w:val="none"/>
        </w:rPr>
        <w:fldChar w:fldCharType="separate"/>
      </w:r>
      <w:r>
        <w:rPr>
          <w:color w:val="auto"/>
          <w:sz w:val="28"/>
          <w:szCs w:val="96"/>
          <w:highlight w:val="none"/>
        </w:rPr>
        <w:fldChar w:fldCharType="begin"/>
      </w:r>
      <w:r>
        <w:rPr>
          <w:color w:val="auto"/>
          <w:sz w:val="28"/>
          <w:szCs w:val="96"/>
          <w:highlight w:val="none"/>
        </w:rPr>
        <w:instrText xml:space="preserve"> HYPERLINK \l _Toc2103 </w:instrText>
      </w:r>
      <w:r>
        <w:rPr>
          <w:color w:val="auto"/>
          <w:sz w:val="28"/>
          <w:szCs w:val="96"/>
          <w:highlight w:val="none"/>
        </w:rPr>
        <w:fldChar w:fldCharType="separate"/>
      </w:r>
      <w:r>
        <w:rPr>
          <w:rFonts w:hint="eastAsia" w:ascii="宋体" w:hAnsi="宋体" w:eastAsia="宋体"/>
          <w:color w:val="auto"/>
          <w:sz w:val="28"/>
          <w:szCs w:val="28"/>
          <w:highlight w:val="none"/>
        </w:rPr>
        <w:t>第一部分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_Toc2103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96"/>
          <w:highlight w:val="none"/>
        </w:rPr>
        <w:fldChar w:fldCharType="end"/>
      </w:r>
    </w:p>
    <w:p w14:paraId="43FF6C3F">
      <w:pPr>
        <w:pStyle w:val="20"/>
        <w:tabs>
          <w:tab w:val="right" w:leader="dot" w:pos="9072"/>
        </w:tabs>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_Toc25894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第二部分</w:t>
      </w:r>
      <w:r>
        <w:rPr>
          <w:rFonts w:hint="eastAsia" w:ascii="宋体" w:hAnsi="宋体" w:eastAsia="宋体"/>
          <w:color w:val="auto"/>
          <w:sz w:val="28"/>
          <w:szCs w:val="28"/>
          <w:highlight w:val="none"/>
          <w:lang w:val="en-US" w:eastAsia="zh-CN"/>
        </w:rPr>
        <w:t xml:space="preserve"> </w:t>
      </w:r>
      <w:r>
        <w:rPr>
          <w:rFonts w:hint="eastAsia" w:ascii="宋体" w:hAnsi="宋体" w:eastAsia="宋体"/>
          <w:color w:val="auto"/>
          <w:sz w:val="28"/>
          <w:szCs w:val="28"/>
          <w:highlight w:val="none"/>
        </w:rPr>
        <w:t>磋商须知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_Toc25894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宋体" w:hAnsi="宋体" w:eastAsia="宋体"/>
          <w:color w:val="auto"/>
          <w:sz w:val="28"/>
          <w:szCs w:val="96"/>
          <w:highlight w:val="none"/>
        </w:rPr>
        <w:fldChar w:fldCharType="end"/>
      </w:r>
    </w:p>
    <w:p w14:paraId="16A27CF1">
      <w:pPr>
        <w:pStyle w:val="20"/>
        <w:tabs>
          <w:tab w:val="right" w:leader="dot" w:pos="9072"/>
        </w:tabs>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_Toc308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 xml:space="preserve">第三部分 </w:t>
      </w:r>
      <w:r>
        <w:rPr>
          <w:rFonts w:hint="eastAsia" w:ascii="宋体" w:hAnsi="宋体" w:eastAsia="宋体"/>
          <w:color w:val="auto"/>
          <w:sz w:val="28"/>
          <w:szCs w:val="28"/>
          <w:highlight w:val="none"/>
          <w:lang w:val="en-US" w:eastAsia="zh-CN"/>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ascii="宋体" w:hAnsi="宋体" w:eastAsia="宋体"/>
          <w:color w:val="auto"/>
          <w:sz w:val="28"/>
          <w:szCs w:val="96"/>
          <w:highlight w:val="none"/>
        </w:rPr>
        <w:fldChar w:fldCharType="end"/>
      </w:r>
    </w:p>
    <w:p w14:paraId="1F7BA135">
      <w:pPr>
        <w:pStyle w:val="20"/>
        <w:tabs>
          <w:tab w:val="right" w:leader="dot" w:pos="9072"/>
        </w:tabs>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_Toc21163 </w:instrText>
      </w:r>
      <w:r>
        <w:rPr>
          <w:rFonts w:ascii="宋体" w:hAnsi="宋体" w:eastAsia="宋体"/>
          <w:color w:val="auto"/>
          <w:sz w:val="28"/>
          <w:szCs w:val="96"/>
          <w:highlight w:val="none"/>
        </w:rPr>
        <w:fldChar w:fldCharType="separate"/>
      </w:r>
      <w:r>
        <w:rPr>
          <w:color w:val="auto"/>
          <w:sz w:val="28"/>
          <w:szCs w:val="28"/>
          <w:highlight w:val="none"/>
        </w:rPr>
        <w:t>第四部分</w:t>
      </w:r>
      <w:r>
        <w:rPr>
          <w:rFonts w:hint="eastAsia"/>
          <w:color w:val="auto"/>
          <w:sz w:val="28"/>
          <w:szCs w:val="28"/>
          <w:highlight w:val="none"/>
          <w:lang w:val="en-US" w:eastAsia="zh-CN"/>
        </w:rPr>
        <w:t xml:space="preserve"> </w:t>
      </w:r>
      <w:r>
        <w:rPr>
          <w:rFonts w:hint="eastAsia"/>
          <w:color w:val="auto"/>
          <w:sz w:val="28"/>
          <w:szCs w:val="28"/>
          <w:highlight w:val="none"/>
        </w:rPr>
        <w:t>磋商办法及磋商标准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_Toc21163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ascii="宋体" w:hAnsi="宋体" w:eastAsia="宋体"/>
          <w:color w:val="auto"/>
          <w:sz w:val="28"/>
          <w:szCs w:val="96"/>
          <w:highlight w:val="none"/>
        </w:rPr>
        <w:fldChar w:fldCharType="end"/>
      </w:r>
    </w:p>
    <w:p w14:paraId="361BD38E">
      <w:pPr>
        <w:pStyle w:val="20"/>
        <w:tabs>
          <w:tab w:val="right" w:leader="dot" w:pos="9072"/>
        </w:tabs>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_Toc29390 </w:instrText>
      </w:r>
      <w:r>
        <w:rPr>
          <w:rFonts w:ascii="宋体" w:hAnsi="宋体" w:eastAsia="宋体"/>
          <w:color w:val="auto"/>
          <w:sz w:val="28"/>
          <w:szCs w:val="96"/>
          <w:highlight w:val="none"/>
        </w:rPr>
        <w:fldChar w:fldCharType="separate"/>
      </w:r>
      <w:r>
        <w:rPr>
          <w:rFonts w:hint="eastAsia"/>
          <w:color w:val="auto"/>
          <w:sz w:val="28"/>
          <w:szCs w:val="28"/>
          <w:highlight w:val="none"/>
          <w:lang w:val="en-US" w:eastAsia="zh-CN"/>
        </w:rPr>
        <w:t xml:space="preserve">第五部分 </w:t>
      </w:r>
      <w:r>
        <w:rPr>
          <w:color w:val="auto"/>
          <w:sz w:val="28"/>
          <w:szCs w:val="28"/>
          <w:highlight w:val="none"/>
        </w:rPr>
        <w:t>合同</w:t>
      </w:r>
      <w:r>
        <w:rPr>
          <w:rFonts w:hint="eastAsia"/>
          <w:color w:val="auto"/>
          <w:sz w:val="28"/>
          <w:szCs w:val="28"/>
          <w:highlight w:val="none"/>
        </w:rPr>
        <w:t>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_Toc29390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rFonts w:ascii="宋体" w:hAnsi="宋体" w:eastAsia="宋体"/>
          <w:color w:val="auto"/>
          <w:sz w:val="28"/>
          <w:szCs w:val="96"/>
          <w:highlight w:val="none"/>
        </w:rPr>
        <w:fldChar w:fldCharType="end"/>
      </w:r>
    </w:p>
    <w:p w14:paraId="55A3B40B">
      <w:pPr>
        <w:pStyle w:val="20"/>
        <w:tabs>
          <w:tab w:val="right" w:leader="dot" w:pos="9072"/>
        </w:tabs>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_Toc1150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w:t>
      </w:r>
      <w:r>
        <w:rPr>
          <w:rFonts w:hint="eastAsia" w:ascii="宋体" w:hAnsi="宋体" w:eastAsia="宋体"/>
          <w:color w:val="auto"/>
          <w:sz w:val="28"/>
          <w:szCs w:val="28"/>
          <w:highlight w:val="none"/>
          <w:lang w:val="en-US" w:eastAsia="zh-CN"/>
        </w:rPr>
        <w:t>六</w:t>
      </w:r>
      <w:r>
        <w:rPr>
          <w:rFonts w:hint="eastAsia" w:ascii="宋体" w:hAnsi="宋体" w:eastAsia="宋体"/>
          <w:color w:val="auto"/>
          <w:sz w:val="28"/>
          <w:szCs w:val="28"/>
          <w:highlight w:val="none"/>
        </w:rPr>
        <w:t>部分 附件(响应文件格式)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_Toc1150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ascii="宋体" w:hAnsi="宋体" w:eastAsia="宋体"/>
          <w:color w:val="auto"/>
          <w:sz w:val="28"/>
          <w:szCs w:val="96"/>
          <w:highlight w:val="none"/>
        </w:rPr>
        <w:fldChar w:fldCharType="end"/>
      </w:r>
    </w:p>
    <w:p w14:paraId="2BABC102">
      <w:pPr>
        <w:pStyle w:val="20"/>
        <w:tabs>
          <w:tab w:val="right" w:leader="dot" w:pos="9072"/>
        </w:tabs>
        <w:rPr>
          <w:color w:val="auto"/>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_Toc10774 </w:instrText>
      </w:r>
      <w:r>
        <w:rPr>
          <w:rFonts w:ascii="宋体" w:hAnsi="宋体" w:eastAsia="宋体"/>
          <w:color w:val="auto"/>
          <w:sz w:val="28"/>
          <w:szCs w:val="96"/>
          <w:highlight w:val="none"/>
        </w:rPr>
        <w:fldChar w:fldCharType="separate"/>
      </w:r>
      <w:r>
        <w:rPr>
          <w:rFonts w:hint="eastAsia" w:ascii="宋体" w:hAnsi="宋体" w:cs="宋体"/>
          <w:color w:val="auto"/>
          <w:sz w:val="28"/>
          <w:szCs w:val="44"/>
          <w:highlight w:val="none"/>
        </w:rPr>
        <w:t>第</w:t>
      </w:r>
      <w:r>
        <w:rPr>
          <w:rFonts w:hint="eastAsia" w:ascii="宋体" w:hAnsi="宋体" w:cs="宋体"/>
          <w:color w:val="auto"/>
          <w:sz w:val="28"/>
          <w:szCs w:val="44"/>
          <w:highlight w:val="none"/>
          <w:lang w:val="en-US" w:eastAsia="zh-CN"/>
        </w:rPr>
        <w:t>七</w:t>
      </w:r>
      <w:r>
        <w:rPr>
          <w:rFonts w:hint="eastAsia" w:ascii="宋体" w:hAnsi="宋体" w:cs="宋体"/>
          <w:color w:val="auto"/>
          <w:sz w:val="28"/>
          <w:szCs w:val="44"/>
          <w:highlight w:val="none"/>
        </w:rPr>
        <w:t>部分</w:t>
      </w:r>
      <w:r>
        <w:rPr>
          <w:rFonts w:hint="eastAsia" w:ascii="宋体" w:hAnsi="宋体" w:cs="宋体"/>
          <w:color w:val="auto"/>
          <w:sz w:val="28"/>
          <w:szCs w:val="44"/>
          <w:highlight w:val="none"/>
          <w:lang w:val="en-US" w:eastAsia="zh-CN"/>
        </w:rPr>
        <w:t xml:space="preserve"> </w:t>
      </w:r>
      <w:r>
        <w:rPr>
          <w:rFonts w:hint="eastAsia" w:ascii="宋体" w:hAnsi="宋体" w:cs="宋体"/>
          <w:color w:val="auto"/>
          <w:sz w:val="28"/>
          <w:szCs w:val="44"/>
          <w:highlight w:val="none"/>
        </w:rPr>
        <w:t>其它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_Toc10774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rFonts w:ascii="宋体" w:hAnsi="宋体" w:eastAsia="宋体"/>
          <w:color w:val="auto"/>
          <w:sz w:val="28"/>
          <w:szCs w:val="96"/>
          <w:highlight w:val="none"/>
        </w:rPr>
        <w:fldChar w:fldCharType="end"/>
      </w:r>
    </w:p>
    <w:p w14:paraId="5FE4D334">
      <w:pPr>
        <w:pStyle w:val="2"/>
        <w:tabs>
          <w:tab w:val="right" w:leader="dot" w:pos="9000"/>
        </w:tabs>
        <w:snapToGrid w:val="0"/>
        <w:spacing w:before="0" w:after="0"/>
        <w:rPr>
          <w:rFonts w:ascii="宋体" w:hAnsi="宋体" w:eastAsia="宋体"/>
          <w:color w:val="auto"/>
          <w:sz w:val="32"/>
          <w:highlight w:val="none"/>
        </w:rPr>
      </w:pPr>
      <w:r>
        <w:rPr>
          <w:rFonts w:ascii="宋体" w:hAnsi="宋体" w:eastAsia="宋体"/>
          <w:color w:val="auto"/>
          <w:szCs w:val="48"/>
          <w:highlight w:val="none"/>
        </w:rPr>
        <w:fldChar w:fldCharType="end"/>
      </w:r>
    </w:p>
    <w:p w14:paraId="3927AD0E">
      <w:pPr>
        <w:widowControl/>
        <w:jc w:val="left"/>
        <w:rPr>
          <w:rFonts w:ascii="宋体" w:hAnsi="宋体" w:eastAsia="宋体"/>
          <w:b/>
          <w:color w:val="auto"/>
          <w:kern w:val="44"/>
          <w:sz w:val="32"/>
          <w:highlight w:val="none"/>
        </w:rPr>
      </w:pPr>
      <w:r>
        <w:rPr>
          <w:rFonts w:ascii="宋体" w:hAnsi="宋体" w:eastAsia="宋体"/>
          <w:color w:val="auto"/>
          <w:sz w:val="32"/>
          <w:highlight w:val="none"/>
        </w:rPr>
        <w:br w:type="page"/>
      </w:r>
    </w:p>
    <w:bookmarkEnd w:id="0"/>
    <w:p w14:paraId="14B660C8">
      <w:pPr>
        <w:pStyle w:val="2"/>
        <w:numPr>
          <w:ilvl w:val="0"/>
          <w:numId w:val="2"/>
        </w:numPr>
        <w:tabs>
          <w:tab w:val="right" w:leader="dot" w:pos="9000"/>
        </w:tabs>
        <w:snapToGrid w:val="0"/>
        <w:spacing w:before="0" w:after="0"/>
        <w:jc w:val="center"/>
        <w:rPr>
          <w:rFonts w:ascii="宋体" w:hAnsi="宋体" w:eastAsia="宋体"/>
          <w:color w:val="auto"/>
          <w:sz w:val="32"/>
          <w:highlight w:val="none"/>
        </w:rPr>
      </w:pPr>
      <w:bookmarkStart w:id="2" w:name="_Toc2103"/>
      <w:r>
        <w:rPr>
          <w:rFonts w:hint="eastAsia" w:ascii="宋体" w:hAnsi="宋体" w:eastAsia="宋体"/>
          <w:color w:val="auto"/>
          <w:sz w:val="32"/>
          <w:highlight w:val="none"/>
        </w:rPr>
        <w:t>竞争性磋商公告</w:t>
      </w:r>
      <w:bookmarkEnd w:id="1"/>
      <w:bookmarkEnd w:id="2"/>
    </w:p>
    <w:p w14:paraId="5795CD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根据《中华人民共和国政府采购法》、《中华人民共和国政府采购法实施条例》、《政府采购竞争性磋商采购方式管理暂行办法》、《浙江省政府采购活动现场组织管理办法》等规定，经</w:t>
      </w:r>
      <w:r>
        <w:rPr>
          <w:rFonts w:hint="eastAsia"/>
          <w:color w:val="auto"/>
          <w:highlight w:val="none"/>
          <w:lang w:val="en-US" w:eastAsia="zh-CN"/>
        </w:rPr>
        <w:t xml:space="preserve">           </w:t>
      </w:r>
      <w:r>
        <w:rPr>
          <w:rFonts w:hint="eastAsia"/>
          <w:color w:val="auto"/>
          <w:highlight w:val="none"/>
        </w:rPr>
        <w:t>确认书</w:t>
      </w:r>
      <w:r>
        <w:rPr>
          <w:rFonts w:hint="eastAsia"/>
          <w:color w:val="auto"/>
          <w:highlight w:val="none"/>
          <w:lang w:val="en-US" w:eastAsia="zh-CN"/>
        </w:rPr>
        <w:t>平财采确临〔2024〕2931号</w:t>
      </w:r>
      <w:r>
        <w:rPr>
          <w:rFonts w:hint="eastAsia"/>
          <w:color w:val="auto"/>
          <w:highlight w:val="none"/>
        </w:rPr>
        <w:t>批准，嘉兴市千秋工程咨询有限公司</w:t>
      </w:r>
      <w:r>
        <w:rPr>
          <w:rFonts w:hint="eastAsia"/>
          <w:color w:val="auto"/>
          <w:highlight w:val="none"/>
          <w:lang w:eastAsia="zh-CN"/>
        </w:rPr>
        <w:t>（</w:t>
      </w:r>
      <w:r>
        <w:rPr>
          <w:rFonts w:hint="eastAsia"/>
          <w:color w:val="auto"/>
          <w:highlight w:val="none"/>
          <w:lang w:val="en-US" w:eastAsia="zh-CN"/>
        </w:rPr>
        <w:t>采购代理机构</w:t>
      </w:r>
      <w:r>
        <w:rPr>
          <w:rFonts w:hint="eastAsia"/>
          <w:color w:val="auto"/>
          <w:highlight w:val="none"/>
          <w:lang w:eastAsia="zh-CN"/>
        </w:rPr>
        <w:t>）</w:t>
      </w:r>
      <w:r>
        <w:rPr>
          <w:rFonts w:hint="eastAsia"/>
          <w:color w:val="auto"/>
          <w:highlight w:val="none"/>
        </w:rPr>
        <w:t>受</w:t>
      </w:r>
      <w:r>
        <w:rPr>
          <w:rFonts w:hint="eastAsia"/>
          <w:color w:val="auto"/>
          <w:highlight w:val="none"/>
          <w:lang w:val="en-US" w:eastAsia="zh-CN"/>
        </w:rPr>
        <w:t>平湖市新仓镇人民政府（采购单位）</w:t>
      </w:r>
      <w:r>
        <w:rPr>
          <w:rFonts w:hint="eastAsia"/>
          <w:color w:val="auto"/>
          <w:highlight w:val="none"/>
        </w:rPr>
        <w:t>委托，现就</w:t>
      </w:r>
      <w:r>
        <w:rPr>
          <w:rFonts w:hint="eastAsia"/>
          <w:color w:val="auto"/>
          <w:highlight w:val="none"/>
          <w:lang w:eastAsia="zh-CN"/>
        </w:rPr>
        <w:t>平湖市新仓镇01-03城镇单元制性详细规划服务采购项目</w:t>
      </w:r>
      <w:r>
        <w:rPr>
          <w:rFonts w:hint="eastAsia"/>
          <w:color w:val="auto"/>
          <w:highlight w:val="none"/>
        </w:rPr>
        <w:t>组织竞争性磋商，欢迎符合条件的供应商参加磋商活动，现将有关事项公告如下：</w:t>
      </w:r>
    </w:p>
    <w:p w14:paraId="6794017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eastAsia="zh-CN"/>
        </w:rPr>
      </w:pPr>
      <w:r>
        <w:rPr>
          <w:rFonts w:hint="eastAsia"/>
          <w:color w:val="auto"/>
          <w:highlight w:val="none"/>
          <w:lang w:val="en-US" w:eastAsia="zh-CN"/>
        </w:rPr>
        <w:t>一、项目编号：JXQQPHC-2024-036</w:t>
      </w:r>
    </w:p>
    <w:p w14:paraId="356DC6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二、</w:t>
      </w:r>
      <w:r>
        <w:rPr>
          <w:rFonts w:hint="eastAsia"/>
          <w:color w:val="auto"/>
          <w:highlight w:val="none"/>
        </w:rPr>
        <w:t>采购组织类型：分散采购委托代理</w:t>
      </w:r>
    </w:p>
    <w:p w14:paraId="7F93C3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eastAsia="zh-CN"/>
        </w:rPr>
      </w:pPr>
      <w:r>
        <w:rPr>
          <w:rFonts w:hint="eastAsia"/>
          <w:color w:val="auto"/>
          <w:highlight w:val="none"/>
        </w:rPr>
        <w:t>三、</w:t>
      </w:r>
      <w:r>
        <w:rPr>
          <w:color w:val="auto"/>
          <w:highlight w:val="none"/>
        </w:rPr>
        <w:t>采购方式：</w:t>
      </w:r>
      <w:r>
        <w:rPr>
          <w:rFonts w:hint="eastAsia"/>
          <w:color w:val="auto"/>
          <w:highlight w:val="none"/>
          <w:lang w:val="en-US" w:eastAsia="zh-CN"/>
        </w:rPr>
        <w:t>竞争性磋商</w:t>
      </w:r>
    </w:p>
    <w:p w14:paraId="3F7751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四</w:t>
      </w:r>
      <w:r>
        <w:rPr>
          <w:color w:val="auto"/>
          <w:highlight w:val="none"/>
        </w:rPr>
        <w:t>、</w:t>
      </w:r>
      <w:r>
        <w:rPr>
          <w:rFonts w:hint="eastAsia"/>
          <w:color w:val="auto"/>
          <w:highlight w:val="none"/>
        </w:rPr>
        <w:t>采购需求（概述）：</w:t>
      </w:r>
    </w:p>
    <w:tbl>
      <w:tblPr>
        <w:tblStyle w:val="27"/>
        <w:tblpPr w:leftFromText="180" w:rightFromText="180" w:vertAnchor="text" w:horzAnchor="page" w:tblpX="1686" w:tblpY="19"/>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6"/>
        <w:gridCol w:w="4107"/>
        <w:gridCol w:w="1037"/>
        <w:gridCol w:w="1725"/>
        <w:gridCol w:w="1568"/>
      </w:tblGrid>
      <w:tr w14:paraId="7917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686" w:type="dxa"/>
            <w:tcBorders>
              <w:top w:val="single" w:color="auto" w:sz="4" w:space="0"/>
              <w:left w:val="single" w:color="auto" w:sz="4" w:space="0"/>
              <w:bottom w:val="single" w:color="auto" w:sz="4" w:space="0"/>
              <w:right w:val="single" w:color="auto" w:sz="4" w:space="0"/>
            </w:tcBorders>
            <w:vAlign w:val="center"/>
          </w:tcPr>
          <w:p w14:paraId="73A877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序号</w:t>
            </w:r>
          </w:p>
        </w:tc>
        <w:tc>
          <w:tcPr>
            <w:tcW w:w="4107" w:type="dxa"/>
            <w:tcBorders>
              <w:top w:val="single" w:color="auto" w:sz="4" w:space="0"/>
              <w:left w:val="single" w:color="auto" w:sz="4" w:space="0"/>
              <w:bottom w:val="single" w:color="auto" w:sz="4" w:space="0"/>
              <w:right w:val="single" w:color="auto" w:sz="4" w:space="0"/>
            </w:tcBorders>
            <w:vAlign w:val="center"/>
          </w:tcPr>
          <w:p w14:paraId="4804CC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服务名称</w:t>
            </w:r>
          </w:p>
        </w:tc>
        <w:tc>
          <w:tcPr>
            <w:tcW w:w="1037" w:type="dxa"/>
            <w:tcBorders>
              <w:top w:val="single" w:color="auto" w:sz="4" w:space="0"/>
              <w:left w:val="single" w:color="auto" w:sz="4" w:space="0"/>
              <w:bottom w:val="single" w:color="auto" w:sz="4" w:space="0"/>
              <w:right w:val="single" w:color="auto" w:sz="4" w:space="0"/>
            </w:tcBorders>
            <w:vAlign w:val="center"/>
          </w:tcPr>
          <w:p w14:paraId="745B19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数量</w:t>
            </w:r>
          </w:p>
        </w:tc>
        <w:tc>
          <w:tcPr>
            <w:tcW w:w="17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892F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服务内容和要求</w:t>
            </w:r>
          </w:p>
        </w:tc>
        <w:tc>
          <w:tcPr>
            <w:tcW w:w="1568" w:type="dxa"/>
            <w:tcBorders>
              <w:top w:val="single" w:color="auto" w:sz="4" w:space="0"/>
              <w:left w:val="single" w:color="auto" w:sz="4" w:space="0"/>
              <w:bottom w:val="single" w:color="auto" w:sz="4" w:space="0"/>
              <w:right w:val="single" w:color="auto" w:sz="4" w:space="0"/>
            </w:tcBorders>
            <w:vAlign w:val="center"/>
          </w:tcPr>
          <w:p w14:paraId="5B1EA6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预算金额</w:t>
            </w:r>
          </w:p>
        </w:tc>
      </w:tr>
      <w:tr w14:paraId="05A6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686" w:type="dxa"/>
            <w:tcBorders>
              <w:top w:val="single" w:color="auto" w:sz="4" w:space="0"/>
              <w:left w:val="single" w:color="auto" w:sz="4" w:space="0"/>
              <w:bottom w:val="single" w:color="auto" w:sz="4" w:space="0"/>
              <w:right w:val="single" w:color="auto" w:sz="4" w:space="0"/>
            </w:tcBorders>
            <w:vAlign w:val="center"/>
          </w:tcPr>
          <w:p w14:paraId="7DEB02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1</w:t>
            </w:r>
          </w:p>
        </w:tc>
        <w:tc>
          <w:tcPr>
            <w:tcW w:w="4107" w:type="dxa"/>
            <w:tcBorders>
              <w:top w:val="single" w:color="auto" w:sz="4" w:space="0"/>
              <w:left w:val="single" w:color="auto" w:sz="4" w:space="0"/>
              <w:bottom w:val="single" w:color="auto" w:sz="4" w:space="0"/>
              <w:right w:val="single" w:color="auto" w:sz="4" w:space="0"/>
            </w:tcBorders>
            <w:vAlign w:val="center"/>
          </w:tcPr>
          <w:p w14:paraId="1A6810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lang w:eastAsia="zh-CN"/>
              </w:rPr>
              <w:t>平湖市新仓镇01-03城镇单元制性详细规划服务采购项目</w:t>
            </w:r>
          </w:p>
        </w:tc>
        <w:tc>
          <w:tcPr>
            <w:tcW w:w="1037" w:type="dxa"/>
            <w:tcBorders>
              <w:top w:val="single" w:color="auto" w:sz="4" w:space="0"/>
              <w:left w:val="single" w:color="auto" w:sz="4" w:space="0"/>
              <w:bottom w:val="single" w:color="auto" w:sz="4" w:space="0"/>
              <w:right w:val="single" w:color="auto" w:sz="4" w:space="0"/>
            </w:tcBorders>
            <w:vAlign w:val="center"/>
          </w:tcPr>
          <w:p w14:paraId="7459AE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1项</w:t>
            </w:r>
          </w:p>
        </w:tc>
        <w:tc>
          <w:tcPr>
            <w:tcW w:w="17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5E8F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详见第三部分</w:t>
            </w:r>
          </w:p>
        </w:tc>
        <w:tc>
          <w:tcPr>
            <w:tcW w:w="1568" w:type="dxa"/>
            <w:tcBorders>
              <w:top w:val="single" w:color="auto" w:sz="4" w:space="0"/>
              <w:left w:val="single" w:color="auto" w:sz="4" w:space="0"/>
              <w:bottom w:val="single" w:color="auto" w:sz="4" w:space="0"/>
              <w:right w:val="single" w:color="auto" w:sz="4" w:space="0"/>
            </w:tcBorders>
            <w:vAlign w:val="center"/>
          </w:tcPr>
          <w:p w14:paraId="467E08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color w:val="auto"/>
                <w:highlight w:val="none"/>
                <w:lang w:val="en-US" w:eastAsia="zh-CN"/>
              </w:rPr>
              <w:t>80.0000万元</w:t>
            </w:r>
          </w:p>
        </w:tc>
      </w:tr>
    </w:tbl>
    <w:p w14:paraId="1E9541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w:t>
      </w:r>
      <w:r>
        <w:rPr>
          <w:rFonts w:hint="eastAsia"/>
          <w:color w:val="auto"/>
          <w:highlight w:val="none"/>
          <w:lang w:val="en-US" w:eastAsia="zh-CN"/>
        </w:rPr>
        <w:t>五</w:t>
      </w:r>
      <w:r>
        <w:rPr>
          <w:color w:val="auto"/>
          <w:highlight w:val="none"/>
        </w:rPr>
        <w:t>、合格投标人的资格要求</w:t>
      </w:r>
    </w:p>
    <w:p w14:paraId="4EDB52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（一）符合政府采购法第二十二条：</w:t>
      </w:r>
    </w:p>
    <w:p w14:paraId="54AA2B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6982CB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8387D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（三）</w:t>
      </w:r>
      <w:r>
        <w:rPr>
          <w:rFonts w:hint="eastAsia"/>
          <w:color w:val="auto"/>
          <w:highlight w:val="none"/>
          <w:lang w:val="en-US" w:eastAsia="zh-CN"/>
        </w:rPr>
        <w:t>特定资格条件：</w:t>
      </w:r>
      <w:r>
        <w:rPr>
          <w:rFonts w:hint="eastAsia" w:ascii="Times New Roman" w:hAnsi="Times New Roman"/>
          <w:color w:val="auto"/>
          <w:sz w:val="21"/>
          <w:szCs w:val="21"/>
          <w:highlight w:val="none"/>
        </w:rPr>
        <w:t>投标单位须具有城乡规划编制乙级资质及以上</w:t>
      </w:r>
      <w:r>
        <w:rPr>
          <w:rFonts w:hint="eastAsia"/>
          <w:color w:val="auto"/>
          <w:highlight w:val="none"/>
        </w:rPr>
        <w:t>。</w:t>
      </w:r>
    </w:p>
    <w:p w14:paraId="64A31A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不接受联合体投标。</w:t>
      </w:r>
    </w:p>
    <w:p w14:paraId="20762D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val="zh-CN"/>
        </w:rPr>
      </w:pPr>
      <w:r>
        <w:rPr>
          <w:rFonts w:hint="eastAsia"/>
          <w:color w:val="auto"/>
          <w:highlight w:val="none"/>
          <w:lang w:val="zh-CN"/>
        </w:rPr>
        <w:t>注：本采购项目，中标单位与采购单位签订的政府采购合同适用于嘉兴市政府采购贷款政策，简称“政采贷”，具体内容可参阅政府采购贷款流程：http://jxszwsjb.jiaxing.gov.cn/phmain/zyxz/004001/20200508/ca9ef9e6-1353-4b6f-96fc-735325b1e78d.html</w:t>
      </w:r>
    </w:p>
    <w:p w14:paraId="68980B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六、公告期限：公告发布时间至投标截止时间止。 </w:t>
      </w:r>
    </w:p>
    <w:p w14:paraId="4DA658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七、投标说明：</w:t>
      </w:r>
    </w:p>
    <w:p w14:paraId="64B8E3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1、本项目按照《浙江省财政厅关于印发浙江省政府采购项电子交易管理暂行办法的通知》实行电子交易。</w:t>
      </w:r>
    </w:p>
    <w:p w14:paraId="4B0F96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2、注册网址：</w:t>
      </w:r>
    </w:p>
    <w:p w14:paraId="1781E8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浙江政府采购网：https://middle.zcygov.cn/settle-front/#/registry，政采云咨询电话：400-881-7190；</w:t>
      </w:r>
    </w:p>
    <w:p w14:paraId="4FE2F9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3、获取采购文件：</w:t>
      </w:r>
    </w:p>
    <w:p w14:paraId="738650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3.1本项目招标文件实行“浙江政采云平台（以下简称“政采云平台”在线获取，不提供招标文件纸质版。供应商获取招标文件前应先完成“政采云平台”的账号注册；</w:t>
      </w:r>
    </w:p>
    <w:p w14:paraId="45B08E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3.2招标文件获取时间：投标截止时间前；获取地址：“政采云平台”（http://www.zcygov.cn/） </w:t>
      </w:r>
    </w:p>
    <w:p w14:paraId="79BD4B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2CC05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3.4供应商获取招标文件时须提交的文件资料：无；</w:t>
      </w:r>
    </w:p>
    <w:p w14:paraId="727909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3.5提示：招标公告附件内的招标文件（或采购需求）仅供阅览使用，供应商只有在“政采云平台”完成获取招标文件申请并下载了招标文件后才视作依法获取招标文件（法律法规所指的供应商获取招标文件时间以供应商完成获取招标文件申请后下载招标文件的时间为准）。</w:t>
      </w:r>
    </w:p>
    <w:p w14:paraId="25D0DB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注：请供应商按上述要求获取招标文件，如未在“政采云”系统内完成相关流程，引起的投标无效责任自负。</w:t>
      </w:r>
    </w:p>
    <w:p w14:paraId="33ACA7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4、投标文件制作注意事项</w:t>
      </w:r>
    </w:p>
    <w:p w14:paraId="099402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供应商将政采云电子交易客户端下载、安装完成后，可通过账号密码或CA登录客户端进行响应文件制作。</w:t>
      </w:r>
      <w:r>
        <w:rPr>
          <w:rFonts w:hint="eastAsia"/>
          <w:color w:val="auto"/>
          <w:highlight w:val="none"/>
        </w:rPr>
        <w:br w:type="textWrapping"/>
      </w:r>
      <w:r>
        <w:rPr>
          <w:rFonts w:hint="eastAsia"/>
          <w:color w:val="auto"/>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0835AB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供应商-政府采购项目电子交易操作指南：</w:t>
      </w:r>
      <w:r>
        <w:rPr>
          <w:rFonts w:hint="eastAsia"/>
          <w:color w:val="auto"/>
          <w:highlight w:val="none"/>
        </w:rPr>
        <w:fldChar w:fldCharType="begin"/>
      </w:r>
      <w:r>
        <w:rPr>
          <w:rFonts w:hint="eastAsia"/>
          <w:color w:val="auto"/>
          <w:highlight w:val="none"/>
        </w:rPr>
        <w:instrText xml:space="preserve"> HYPERLINK "https://help.zcygov.cn/web/site_2/2018/12-28/2573.html" \t "_blank" </w:instrText>
      </w:r>
      <w:r>
        <w:rPr>
          <w:rFonts w:hint="eastAsia"/>
          <w:color w:val="auto"/>
          <w:highlight w:val="none"/>
        </w:rPr>
        <w:fldChar w:fldCharType="separate"/>
      </w:r>
      <w:r>
        <w:rPr>
          <w:rFonts w:hint="eastAsia"/>
          <w:color w:val="auto"/>
          <w:highlight w:val="none"/>
        </w:rPr>
        <w:t>https://help.zcygov.cn/web/site_2/2018/12-28/2573.html</w:t>
      </w:r>
      <w:r>
        <w:rPr>
          <w:rFonts w:hint="eastAsia"/>
          <w:color w:val="auto"/>
          <w:highlight w:val="none"/>
        </w:rPr>
        <w:fldChar w:fldCharType="end"/>
      </w:r>
      <w:r>
        <w:rPr>
          <w:rFonts w:hint="eastAsia"/>
          <w:color w:val="auto"/>
          <w:highlight w:val="none"/>
        </w:rPr>
        <w:br w:type="textWrapping"/>
      </w:r>
      <w:r>
        <w:rPr>
          <w:rFonts w:hint="eastAsia"/>
          <w:color w:val="auto"/>
          <w:highlight w:val="none"/>
        </w:rPr>
        <w:t>《CA申领操作指南》：</w:t>
      </w:r>
      <w:r>
        <w:rPr>
          <w:rFonts w:hint="eastAsia"/>
          <w:color w:val="auto"/>
          <w:highlight w:val="none"/>
        </w:rPr>
        <w:fldChar w:fldCharType="begin"/>
      </w:r>
      <w:r>
        <w:rPr>
          <w:rFonts w:hint="eastAsia"/>
          <w:color w:val="auto"/>
          <w:highlight w:val="none"/>
        </w:rPr>
        <w:instrText xml:space="preserve"> HYPERLINK "https://help.zcygov.cn/web/site_2/2018/11-29/2452.html" \t "_blank" </w:instrText>
      </w:r>
      <w:r>
        <w:rPr>
          <w:rFonts w:hint="eastAsia"/>
          <w:color w:val="auto"/>
          <w:highlight w:val="none"/>
        </w:rPr>
        <w:fldChar w:fldCharType="separate"/>
      </w:r>
      <w:r>
        <w:rPr>
          <w:rFonts w:hint="eastAsia"/>
          <w:color w:val="auto"/>
          <w:highlight w:val="none"/>
        </w:rPr>
        <w:t>https://help.zcygov.cn/web/site_2/2018/11-29/2452.html</w:t>
      </w:r>
      <w:r>
        <w:rPr>
          <w:rFonts w:hint="eastAsia"/>
          <w:color w:val="auto"/>
          <w:highlight w:val="none"/>
        </w:rPr>
        <w:fldChar w:fldCharType="end"/>
      </w:r>
      <w:r>
        <w:rPr>
          <w:rFonts w:hint="eastAsia"/>
          <w:color w:val="auto"/>
          <w:highlight w:val="none"/>
        </w:rPr>
        <w:br w:type="textWrapping"/>
      </w:r>
      <w:r>
        <w:rPr>
          <w:rFonts w:hint="eastAsia"/>
          <w:color w:val="auto"/>
          <w:highlight w:val="none"/>
        </w:rPr>
        <w:t>《CA管理操作指南》：</w:t>
      </w:r>
      <w:r>
        <w:rPr>
          <w:rFonts w:hint="eastAsia"/>
          <w:color w:val="auto"/>
          <w:highlight w:val="none"/>
        </w:rPr>
        <w:fldChar w:fldCharType="begin"/>
      </w:r>
      <w:r>
        <w:rPr>
          <w:rFonts w:hint="eastAsia"/>
          <w:color w:val="auto"/>
          <w:highlight w:val="none"/>
        </w:rPr>
        <w:instrText xml:space="preserve"> HYPERLINK "https://help.zcygov.cn/web/site_2/2019/08-20/3405.html" \t "_blank" </w:instrText>
      </w:r>
      <w:r>
        <w:rPr>
          <w:rFonts w:hint="eastAsia"/>
          <w:color w:val="auto"/>
          <w:highlight w:val="none"/>
        </w:rPr>
        <w:fldChar w:fldCharType="separate"/>
      </w:r>
      <w:r>
        <w:rPr>
          <w:rFonts w:hint="eastAsia"/>
          <w:color w:val="auto"/>
          <w:highlight w:val="none"/>
        </w:rPr>
        <w:t>https://help.zcygov.cn/web/site_2/2019/08-20/3405.html</w:t>
      </w:r>
      <w:r>
        <w:rPr>
          <w:rFonts w:hint="eastAsia"/>
          <w:color w:val="auto"/>
          <w:highlight w:val="none"/>
        </w:rPr>
        <w:fldChar w:fldCharType="end"/>
      </w:r>
      <w:r>
        <w:rPr>
          <w:rFonts w:hint="eastAsia"/>
          <w:color w:val="auto"/>
          <w:highlight w:val="none"/>
        </w:rPr>
        <w:br w:type="textWrapping"/>
      </w:r>
      <w:r>
        <w:rPr>
          <w:rFonts w:hint="eastAsia"/>
          <w:color w:val="auto"/>
          <w:highlight w:val="none"/>
        </w:rPr>
        <w:t>《CA驱动和申领流程》</w:t>
      </w:r>
      <w:r>
        <w:rPr>
          <w:rFonts w:hint="eastAsia"/>
          <w:color w:val="auto"/>
          <w:highlight w:val="none"/>
        </w:rPr>
        <w:fldChar w:fldCharType="begin"/>
      </w:r>
      <w:r>
        <w:rPr>
          <w:rFonts w:hint="eastAsia"/>
          <w:color w:val="auto"/>
          <w:highlight w:val="none"/>
        </w:rPr>
        <w:instrText xml:space="preserve"> HYPERLINK "http://www.zjzfcg.gov.cn/bidClientTemplate/2019-05-27/12945.html" \t "_blank" </w:instrText>
      </w:r>
      <w:r>
        <w:rPr>
          <w:rFonts w:hint="eastAsia"/>
          <w:color w:val="auto"/>
          <w:highlight w:val="none"/>
        </w:rPr>
        <w:fldChar w:fldCharType="separate"/>
      </w:r>
      <w:r>
        <w:rPr>
          <w:rFonts w:hint="eastAsia"/>
          <w:color w:val="auto"/>
          <w:highlight w:val="none"/>
        </w:rPr>
        <w:t>http://www.zjzfcg.gov.cn/bidClientTemplate/2019-05-27/12945.html</w:t>
      </w:r>
      <w:r>
        <w:rPr>
          <w:rFonts w:hint="eastAsia"/>
          <w:color w:val="auto"/>
          <w:highlight w:val="none"/>
        </w:rPr>
        <w:fldChar w:fldCharType="end"/>
      </w:r>
      <w:r>
        <w:rPr>
          <w:rFonts w:hint="eastAsia"/>
          <w:color w:val="auto"/>
          <w:highlight w:val="none"/>
        </w:rPr>
        <w:br w:type="textWrapping"/>
      </w:r>
      <w:r>
        <w:rPr>
          <w:rFonts w:hint="eastAsia"/>
          <w:color w:val="auto"/>
          <w:highlight w:val="none"/>
        </w:rPr>
        <w:t>在使用政采云投标客户端时，建议使用WIN7及以上操作系统。</w:t>
      </w:r>
      <w:r>
        <w:rPr>
          <w:rFonts w:hint="eastAsia"/>
          <w:color w:val="auto"/>
          <w:highlight w:val="none"/>
        </w:rPr>
        <w:br w:type="textWrapping"/>
      </w:r>
      <w:r>
        <w:rPr>
          <w:rFonts w:hint="eastAsia"/>
          <w:color w:val="auto"/>
          <w:highlight w:val="none"/>
        </w:rPr>
        <w:t xml:space="preserve">    5、政采云咨询电话：400-881-7190；</w:t>
      </w:r>
      <w:r>
        <w:rPr>
          <w:rFonts w:hint="eastAsia"/>
          <w:color w:val="auto"/>
          <w:highlight w:val="none"/>
        </w:rPr>
        <w:br w:type="textWrapping"/>
      </w:r>
      <w:r>
        <w:rPr>
          <w:rFonts w:hint="eastAsia"/>
          <w:color w:val="auto"/>
          <w:highlight w:val="none"/>
        </w:rPr>
        <w:t xml:space="preserve">    政采云平台服务中心：</w:t>
      </w:r>
      <w:r>
        <w:rPr>
          <w:rFonts w:hint="eastAsia"/>
          <w:color w:val="auto"/>
          <w:highlight w:val="none"/>
        </w:rPr>
        <w:fldChar w:fldCharType="begin"/>
      </w:r>
      <w:r>
        <w:rPr>
          <w:rFonts w:hint="eastAsia"/>
          <w:color w:val="auto"/>
          <w:highlight w:val="none"/>
        </w:rPr>
        <w:instrText xml:space="preserve"> HYPERLINK "https://service.zcygov.cn/" \l "/" \t "_blank" </w:instrText>
      </w:r>
      <w:r>
        <w:rPr>
          <w:rFonts w:hint="eastAsia"/>
          <w:color w:val="auto"/>
          <w:highlight w:val="none"/>
        </w:rPr>
        <w:fldChar w:fldCharType="separate"/>
      </w:r>
      <w:r>
        <w:rPr>
          <w:rFonts w:hint="eastAsia"/>
          <w:color w:val="auto"/>
          <w:highlight w:val="none"/>
        </w:rPr>
        <w:t>https://service.zcygov.cn/#/</w:t>
      </w:r>
      <w:r>
        <w:rPr>
          <w:rFonts w:hint="eastAsia"/>
          <w:color w:val="auto"/>
          <w:highlight w:val="none"/>
        </w:rPr>
        <w:fldChar w:fldCharType="end"/>
      </w:r>
    </w:p>
    <w:p w14:paraId="1ABFEA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6、汇信客服电话：400-888-4636</w:t>
      </w:r>
    </w:p>
    <w:p w14:paraId="357D5F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八、投标截止时间及递交注意事项：</w:t>
      </w:r>
    </w:p>
    <w:p w14:paraId="7EE6B7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1、开标时间及地点：</w:t>
      </w:r>
      <w:r>
        <w:rPr>
          <w:rFonts w:hint="eastAsia" w:ascii="宋体" w:hAnsi="宋体" w:cs="宋体"/>
          <w:color w:val="auto"/>
          <w:spacing w:val="-5"/>
          <w:szCs w:val="21"/>
          <w:highlight w:val="none"/>
          <w:u w:val="single"/>
        </w:rPr>
        <w:t>浙江省</w:t>
      </w:r>
      <w:r>
        <w:rPr>
          <w:rFonts w:hint="eastAsia" w:ascii="宋体" w:hAnsi="宋体" w:eastAsia="宋体" w:cs="仿宋_GB2312"/>
          <w:color w:val="auto"/>
          <w:szCs w:val="21"/>
          <w:highlight w:val="none"/>
          <w:u w:val="single"/>
          <w:lang w:eastAsia="zh-CN"/>
        </w:rPr>
        <w:t>平湖市当湖街道胜利路129号</w:t>
      </w:r>
      <w:r>
        <w:rPr>
          <w:rFonts w:hint="eastAsia" w:ascii="宋体" w:hAnsi="宋体" w:eastAsia="宋体" w:cs="仿宋_GB2312"/>
          <w:color w:val="auto"/>
          <w:szCs w:val="21"/>
          <w:highlight w:val="none"/>
          <w:u w:val="single"/>
          <w:lang w:val="en-US" w:eastAsia="zh-CN"/>
        </w:rPr>
        <w:t>建工大厦B座</w:t>
      </w:r>
      <w:r>
        <w:rPr>
          <w:rFonts w:hint="eastAsia" w:ascii="宋体" w:hAnsi="宋体" w:eastAsia="宋体" w:cs="仿宋_GB2312"/>
          <w:color w:val="auto"/>
          <w:szCs w:val="21"/>
          <w:highlight w:val="none"/>
          <w:u w:val="single"/>
          <w:lang w:eastAsia="zh-CN"/>
        </w:rPr>
        <w:t>1002室</w:t>
      </w:r>
      <w:r>
        <w:rPr>
          <w:rFonts w:hint="eastAsia" w:ascii="宋体" w:hAnsi="宋体" w:cs="宋体"/>
          <w:color w:val="auto"/>
          <w:spacing w:val="-5"/>
          <w:szCs w:val="21"/>
          <w:highlight w:val="none"/>
          <w:u w:val="single"/>
        </w:rPr>
        <w:t>（</w:t>
      </w:r>
      <w:r>
        <w:rPr>
          <w:rFonts w:hint="eastAsia" w:ascii="宋体" w:hAnsi="宋体" w:cs="宋体"/>
          <w:color w:val="auto"/>
          <w:spacing w:val="-5"/>
          <w:szCs w:val="21"/>
          <w:highlight w:val="none"/>
          <w:u w:val="single"/>
          <w:lang w:eastAsia="zh-CN"/>
        </w:rPr>
        <w:t>嘉兴市千秋工程咨询有限公司</w:t>
      </w:r>
      <w:r>
        <w:rPr>
          <w:rFonts w:hint="eastAsia" w:ascii="宋体" w:hAnsi="宋体" w:cs="宋体"/>
          <w:color w:val="auto"/>
          <w:spacing w:val="-5"/>
          <w:szCs w:val="21"/>
          <w:highlight w:val="none"/>
          <w:u w:val="single"/>
        </w:rPr>
        <w:t>平湖分公司会议室）。供应商通过“政府采购云平台（</w:t>
      </w:r>
      <w:r>
        <w:rPr>
          <w:rFonts w:hint="eastAsia" w:ascii="宋体" w:hAnsi="宋体" w:cs="宋体"/>
          <w:color w:val="auto"/>
          <w:spacing w:val="-5"/>
          <w:szCs w:val="21"/>
          <w:highlight w:val="none"/>
          <w:u w:val="single"/>
        </w:rPr>
        <w:fldChar w:fldCharType="begin"/>
      </w:r>
      <w:r>
        <w:rPr>
          <w:rFonts w:hint="eastAsia" w:ascii="宋体" w:hAnsi="宋体" w:cs="宋体"/>
          <w:color w:val="auto"/>
          <w:spacing w:val="-5"/>
          <w:szCs w:val="21"/>
          <w:highlight w:val="none"/>
          <w:u w:val="single"/>
        </w:rPr>
        <w:instrText xml:space="preserve"> HYPERLINK "http://www.zcygov.cn/" \h </w:instrText>
      </w:r>
      <w:r>
        <w:rPr>
          <w:rFonts w:hint="eastAsia" w:ascii="宋体" w:hAnsi="宋体" w:cs="宋体"/>
          <w:color w:val="auto"/>
          <w:spacing w:val="-5"/>
          <w:szCs w:val="21"/>
          <w:highlight w:val="none"/>
          <w:u w:val="single"/>
        </w:rPr>
        <w:fldChar w:fldCharType="separate"/>
      </w:r>
      <w:r>
        <w:rPr>
          <w:rFonts w:hint="eastAsia" w:ascii="宋体" w:hAnsi="宋体" w:cs="宋体"/>
          <w:color w:val="auto"/>
          <w:spacing w:val="-5"/>
          <w:szCs w:val="21"/>
          <w:highlight w:val="none"/>
          <w:u w:val="single"/>
        </w:rPr>
        <w:t>www.zcygov.cn</w:t>
      </w:r>
      <w:r>
        <w:rPr>
          <w:rFonts w:hint="eastAsia" w:ascii="宋体" w:hAnsi="宋体" w:cs="宋体"/>
          <w:color w:val="auto"/>
          <w:spacing w:val="-5"/>
          <w:szCs w:val="21"/>
          <w:highlight w:val="none"/>
          <w:u w:val="single"/>
        </w:rPr>
        <w:fldChar w:fldCharType="end"/>
      </w:r>
      <w:r>
        <w:rPr>
          <w:rFonts w:hint="eastAsia" w:ascii="宋体" w:hAnsi="宋体" w:cs="宋体"/>
          <w:color w:val="auto"/>
          <w:spacing w:val="-5"/>
          <w:szCs w:val="21"/>
          <w:highlight w:val="none"/>
          <w:u w:val="single"/>
        </w:rPr>
        <w:t>）”实行在线投标响应，在线参加开标</w:t>
      </w:r>
      <w:r>
        <w:rPr>
          <w:rFonts w:hint="eastAsia"/>
          <w:color w:val="auto"/>
          <w:highlight w:val="none"/>
        </w:rPr>
        <w:t>。</w:t>
      </w:r>
    </w:p>
    <w:p w14:paraId="737C27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w:t>
      </w:r>
      <w:r>
        <w:rPr>
          <w:rFonts w:hint="eastAsia"/>
          <w:color w:val="auto"/>
          <w:highlight w:val="none"/>
        </w:rPr>
        <w:t>、投标截止时间：202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14</w:t>
      </w:r>
      <w:r>
        <w:rPr>
          <w:rFonts w:hint="eastAsia"/>
          <w:color w:val="auto"/>
          <w:highlight w:val="none"/>
        </w:rPr>
        <w:t>时</w:t>
      </w:r>
      <w:r>
        <w:rPr>
          <w:rFonts w:hint="eastAsia"/>
          <w:color w:val="auto"/>
          <w:highlight w:val="none"/>
          <w:lang w:val="en-US" w:eastAsia="zh-CN"/>
        </w:rPr>
        <w:t>00</w:t>
      </w:r>
      <w:r>
        <w:rPr>
          <w:rFonts w:hint="eastAsia"/>
          <w:color w:val="auto"/>
          <w:highlight w:val="none"/>
        </w:rPr>
        <w:t>分</w:t>
      </w:r>
    </w:p>
    <w:p w14:paraId="4E873F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3、递交注意事项</w:t>
      </w:r>
    </w:p>
    <w:p w14:paraId="7EC608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5EB867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为确保采购项目顺利实施，避免因解密失败导致投标供应商投标无效，供应商在电子交易平台传输提交投标文件后，将政采云平台上最后生成的具备电子签章的备份电子投标文件1份下载至U盘，在投标截止时间前邮寄或直接送达至平湖市当湖街道胜利路129号建工大厦B座西梯10楼（嘉兴市千秋工程咨询有限公司平湖分公司），联系人：</w:t>
      </w:r>
      <w:r>
        <w:rPr>
          <w:rFonts w:hint="eastAsia"/>
          <w:color w:val="auto"/>
          <w:highlight w:val="none"/>
          <w:lang w:val="en-US" w:eastAsia="zh-CN"/>
        </w:rPr>
        <w:t>陈</w:t>
      </w:r>
      <w:r>
        <w:rPr>
          <w:rFonts w:hint="eastAsia"/>
          <w:color w:val="auto"/>
          <w:highlight w:val="none"/>
        </w:rPr>
        <w:t>女士</w:t>
      </w:r>
      <w:r>
        <w:rPr>
          <w:rFonts w:hint="eastAsia"/>
          <w:color w:val="auto"/>
          <w:highlight w:val="none"/>
          <w:lang w:val="en-US" w:eastAsia="zh-CN"/>
        </w:rPr>
        <w:t>15825743307</w:t>
      </w:r>
      <w:r>
        <w:rPr>
          <w:rFonts w:hint="eastAsia"/>
          <w:color w:val="auto"/>
          <w:highlight w:val="none"/>
        </w:rPr>
        <w:t>/0573-851</w:t>
      </w:r>
      <w:r>
        <w:rPr>
          <w:rFonts w:hint="eastAsia"/>
          <w:color w:val="auto"/>
          <w:highlight w:val="none"/>
          <w:lang w:val="en-US" w:eastAsia="zh-CN"/>
        </w:rPr>
        <w:t>26112</w:t>
      </w:r>
      <w:r>
        <w:rPr>
          <w:rFonts w:hint="eastAsia"/>
          <w:color w:val="auto"/>
          <w:highlight w:val="none"/>
        </w:rPr>
        <w:t>。备份投标文件应当密封包装并在包装上标注投标项目名称、投标单位名称并加盖公章，采用邮寄方式的同时将投标单位名称、联系人、联系电话、邮递单号等信息统一发送至代理机构邮箱：</w:t>
      </w:r>
      <w:r>
        <w:rPr>
          <w:rFonts w:hint="eastAsia"/>
          <w:color w:val="auto"/>
          <w:highlight w:val="none"/>
        </w:rPr>
        <w:fldChar w:fldCharType="begin"/>
      </w:r>
      <w:r>
        <w:rPr>
          <w:rFonts w:hint="eastAsia"/>
          <w:color w:val="auto"/>
          <w:highlight w:val="none"/>
        </w:rPr>
        <w:instrText xml:space="preserve"> HYPERLINK "mailto:1021233597@qq.com" </w:instrText>
      </w:r>
      <w:r>
        <w:rPr>
          <w:rFonts w:hint="eastAsia"/>
          <w:color w:val="auto"/>
          <w:highlight w:val="none"/>
        </w:rPr>
        <w:fldChar w:fldCharType="separate"/>
      </w:r>
      <w:r>
        <w:rPr>
          <w:rFonts w:hint="eastAsia"/>
          <w:color w:val="auto"/>
          <w:highlight w:val="none"/>
          <w:lang w:val="en-US" w:eastAsia="zh-CN"/>
        </w:rPr>
        <w:t>931145057</w:t>
      </w:r>
      <w:r>
        <w:rPr>
          <w:rFonts w:hint="eastAsia"/>
          <w:color w:val="auto"/>
          <w:highlight w:val="none"/>
        </w:rPr>
        <w:t>@qq.com</w:t>
      </w:r>
      <w:r>
        <w:rPr>
          <w:rFonts w:hint="eastAsia"/>
          <w:color w:val="auto"/>
          <w:highlight w:val="none"/>
        </w:rPr>
        <w:fldChar w:fldCharType="end"/>
      </w:r>
      <w:r>
        <w:rPr>
          <w:rFonts w:hint="eastAsia"/>
          <w:color w:val="auto"/>
          <w:highlight w:val="none"/>
        </w:rPr>
        <w:t>。不按要求提交的备份投标文件将予以拒收。供应商未在投标截止时间前完成电子交易文件的传输递交，其备份投标文件也将予以拒收。</w:t>
      </w:r>
    </w:p>
    <w:p w14:paraId="78072B8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auto"/>
          <w:highlight w:val="none"/>
        </w:rPr>
      </w:pPr>
      <w:r>
        <w:rPr>
          <w:rFonts w:hint="eastAsia"/>
          <w:b/>
          <w:bCs/>
          <w:color w:val="auto"/>
          <w:highlight w:val="none"/>
        </w:rPr>
        <w:t>备份电子标文件制作为非强制性</w:t>
      </w:r>
      <w:r>
        <w:rPr>
          <w:rFonts w:hint="eastAsia"/>
          <w:color w:val="auto"/>
          <w:highlight w:val="none"/>
        </w:rPr>
        <w:t>，但如遇供应商电子投标文件解密失败等情况造成无效标，后果由供应商自负。通过“政采云平台”上传递交的“电子加密投标文件”</w:t>
      </w:r>
      <w:r>
        <w:rPr>
          <w:rFonts w:hint="eastAsia" w:ascii="宋体" w:hAnsi="宋体" w:eastAsia="宋体" w:cs="Times New Roman"/>
          <w:b w:val="0"/>
          <w:bCs w:val="0"/>
          <w:color w:val="auto"/>
          <w:szCs w:val="21"/>
          <w:highlight w:val="none"/>
          <w:lang w:val="en-US" w:eastAsia="zh-CN"/>
        </w:rPr>
        <w:t>因投标人原因造成</w:t>
      </w:r>
      <w:r>
        <w:rPr>
          <w:rFonts w:hint="eastAsia"/>
          <w:color w:val="auto"/>
          <w:highlight w:val="none"/>
        </w:rPr>
        <w:t>电子加密投标文件</w:t>
      </w:r>
      <w:r>
        <w:rPr>
          <w:rFonts w:hint="eastAsia" w:ascii="宋体" w:hAnsi="宋体" w:eastAsia="宋体" w:cs="Times New Roman"/>
          <w:b w:val="0"/>
          <w:bCs w:val="0"/>
          <w:color w:val="auto"/>
          <w:szCs w:val="21"/>
          <w:highlight w:val="none"/>
          <w:lang w:val="en-US" w:eastAsia="zh-CN"/>
        </w:rPr>
        <w:t>无法解密时，视为撤销其投标文件，其他投标文件的开、评标继续进行</w:t>
      </w:r>
      <w:r>
        <w:rPr>
          <w:rFonts w:hint="eastAsia"/>
          <w:color w:val="auto"/>
          <w:highlight w:val="none"/>
        </w:rPr>
        <w:t>。通过“政采云平台”上传递交的“电子加密投标文件”已按时解密的，“备份投标文件”自动失效。投标供应商仅递交备份投标文件的，投标无效。</w:t>
      </w:r>
    </w:p>
    <w:p w14:paraId="7C1D5D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val="en-US" w:eastAsia="zh-CN"/>
        </w:rPr>
        <w:t>九</w:t>
      </w:r>
      <w:r>
        <w:rPr>
          <w:color w:val="auto"/>
          <w:highlight w:val="none"/>
        </w:rPr>
        <w:t>、</w:t>
      </w:r>
      <w:r>
        <w:rPr>
          <w:rFonts w:hint="eastAsia"/>
          <w:color w:val="auto"/>
          <w:highlight w:val="none"/>
        </w:rPr>
        <w:t>业务咨询</w:t>
      </w:r>
      <w:r>
        <w:rPr>
          <w:color w:val="auto"/>
          <w:highlight w:val="none"/>
        </w:rPr>
        <w:t>：</w:t>
      </w:r>
    </w:p>
    <w:p w14:paraId="18DF96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eastAsia="zh-CN"/>
        </w:rPr>
      </w:pPr>
      <w:r>
        <w:rPr>
          <w:rFonts w:hint="eastAsia"/>
          <w:color w:val="auto"/>
          <w:highlight w:val="none"/>
        </w:rPr>
        <w:t>采购单位联系方式：</w:t>
      </w:r>
      <w:r>
        <w:rPr>
          <w:rFonts w:hint="eastAsia"/>
          <w:color w:val="auto"/>
          <w:highlight w:val="none"/>
          <w:lang w:eastAsia="zh-CN"/>
        </w:rPr>
        <w:t>平湖市新仓镇人民政府</w:t>
      </w:r>
    </w:p>
    <w:p w14:paraId="3A425F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联系人：</w:t>
      </w:r>
      <w:r>
        <w:rPr>
          <w:rFonts w:hint="eastAsia"/>
          <w:color w:val="auto"/>
          <w:highlight w:val="none"/>
          <w:lang w:val="en-US" w:eastAsia="zh-CN"/>
        </w:rPr>
        <w:t>严先生</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联系电话：0573-85707983 </w:t>
      </w:r>
    </w:p>
    <w:p w14:paraId="7993E3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val="en-US" w:eastAsia="zh-CN"/>
        </w:rPr>
      </w:pPr>
      <w:r>
        <w:rPr>
          <w:rFonts w:hint="eastAsia"/>
          <w:color w:val="auto"/>
          <w:highlight w:val="none"/>
        </w:rPr>
        <w:t>采购代理机构联系方式：嘉兴市千秋工程咨询有限公司</w:t>
      </w:r>
      <w:r>
        <w:rPr>
          <w:rFonts w:hint="eastAsia"/>
          <w:color w:val="auto"/>
          <w:highlight w:val="none"/>
          <w:lang w:val="en-US" w:eastAsia="zh-CN"/>
        </w:rPr>
        <w:t xml:space="preserve"> </w:t>
      </w:r>
    </w:p>
    <w:p w14:paraId="61C401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联系人：</w:t>
      </w:r>
      <w:r>
        <w:rPr>
          <w:rFonts w:hint="eastAsia"/>
          <w:color w:val="auto"/>
          <w:highlight w:val="none"/>
          <w:lang w:val="en-US" w:eastAsia="zh-CN"/>
        </w:rPr>
        <w:t>陈女士</w:t>
      </w:r>
      <w:r>
        <w:rPr>
          <w:rFonts w:hint="eastAsia"/>
          <w:color w:val="auto"/>
          <w:highlight w:val="none"/>
        </w:rPr>
        <w:t xml:space="preserve">      联系电话（传真）：</w:t>
      </w:r>
      <w:r>
        <w:rPr>
          <w:color w:val="auto"/>
          <w:highlight w:val="none"/>
        </w:rPr>
        <w:t>05</w:t>
      </w:r>
      <w:bookmarkStart w:id="60" w:name="_GoBack"/>
      <w:bookmarkEnd w:id="60"/>
      <w:r>
        <w:rPr>
          <w:color w:val="auto"/>
          <w:highlight w:val="none"/>
        </w:rPr>
        <w:t>73-</w:t>
      </w:r>
      <w:r>
        <w:rPr>
          <w:rFonts w:hint="eastAsia"/>
          <w:color w:val="auto"/>
          <w:highlight w:val="none"/>
        </w:rPr>
        <w:t>85126112</w:t>
      </w:r>
    </w:p>
    <w:p w14:paraId="4D1B47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地址：平湖市当湖街道胜利路129号建工大厦B座西梯10楼</w:t>
      </w:r>
    </w:p>
    <w:p w14:paraId="0F607A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政府采购行政监管及投诉受理部门：</w:t>
      </w:r>
      <w:r>
        <w:rPr>
          <w:rFonts w:hint="eastAsia" w:ascii="宋体" w:hAnsi="宋体" w:cs="宋体"/>
          <w:color w:val="auto"/>
          <w:szCs w:val="21"/>
          <w:highlight w:val="none"/>
        </w:rPr>
        <w:t>平湖市财政局政府采购监管科</w:t>
      </w:r>
      <w:r>
        <w:rPr>
          <w:rFonts w:hint="eastAsia"/>
          <w:color w:val="auto"/>
          <w:highlight w:val="none"/>
        </w:rPr>
        <w:t xml:space="preserve"> </w:t>
      </w:r>
    </w:p>
    <w:p w14:paraId="35D6ED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联系人:</w:t>
      </w:r>
      <w:r>
        <w:rPr>
          <w:rFonts w:hint="eastAsia" w:ascii="宋体" w:hAnsi="宋体" w:cs="宋体"/>
          <w:color w:val="auto"/>
          <w:szCs w:val="21"/>
          <w:highlight w:val="none"/>
        </w:rPr>
        <w:t>陆先生</w:t>
      </w:r>
      <w:r>
        <w:rPr>
          <w:rFonts w:hint="eastAsia"/>
          <w:color w:val="auto"/>
          <w:highlight w:val="none"/>
        </w:rPr>
        <w:t xml:space="preserve">                 联系电话：</w:t>
      </w:r>
      <w:r>
        <w:rPr>
          <w:rFonts w:hint="eastAsia" w:ascii="宋体" w:hAnsi="宋体" w:cs="宋体"/>
          <w:color w:val="auto"/>
          <w:szCs w:val="21"/>
          <w:highlight w:val="none"/>
        </w:rPr>
        <w:t>0573-85013033</w:t>
      </w:r>
    </w:p>
    <w:p w14:paraId="21A14F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eastAsia="zh-CN"/>
        </w:rPr>
      </w:pPr>
    </w:p>
    <w:p w14:paraId="6E798E6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color w:val="auto"/>
          <w:highlight w:val="none"/>
          <w:lang w:eastAsia="zh-CN"/>
        </w:rPr>
      </w:pPr>
      <w:r>
        <w:rPr>
          <w:rFonts w:hint="eastAsia"/>
          <w:color w:val="auto"/>
          <w:highlight w:val="none"/>
          <w:lang w:eastAsia="zh-CN"/>
        </w:rPr>
        <w:t>平湖市新仓镇人民政府</w:t>
      </w:r>
    </w:p>
    <w:p w14:paraId="4465AF6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color w:val="auto"/>
          <w:highlight w:val="none"/>
        </w:rPr>
      </w:pPr>
      <w:r>
        <w:rPr>
          <w:rFonts w:hint="eastAsia"/>
          <w:color w:val="auto"/>
          <w:highlight w:val="none"/>
        </w:rPr>
        <w:t xml:space="preserve">嘉兴市千秋工程咨询有限公司                           </w:t>
      </w:r>
    </w:p>
    <w:p w14:paraId="33B1366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color w:val="auto"/>
          <w:szCs w:val="21"/>
          <w:highlight w:val="none"/>
        </w:rPr>
      </w:pPr>
      <w:r>
        <w:rPr>
          <w:rFonts w:hint="eastAsia"/>
          <w:color w:val="auto"/>
          <w:highlight w:val="none"/>
        </w:rPr>
        <w:t xml:space="preserve">                                               　　　　　</w:t>
      </w:r>
      <w:r>
        <w:rPr>
          <w:rFonts w:hint="eastAsia" w:ascii="宋体" w:hAnsi="宋体" w:eastAsia="宋体" w:cs="宋体"/>
          <w:color w:val="auto"/>
          <w:highlight w:val="none"/>
        </w:rPr>
        <w:t>　 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日</w:t>
      </w:r>
    </w:p>
    <w:p w14:paraId="2B9A21C5">
      <w:pPr>
        <w:adjustRightInd w:val="0"/>
        <w:snapToGrid w:val="0"/>
        <w:spacing w:line="360" w:lineRule="auto"/>
        <w:ind w:right="480"/>
        <w:jc w:val="center"/>
        <w:rPr>
          <w:rStyle w:val="41"/>
          <w:b w:val="0"/>
          <w:color w:val="auto"/>
          <w:sz w:val="32"/>
          <w:highlight w:val="none"/>
        </w:rPr>
      </w:pPr>
      <w:bookmarkStart w:id="3" w:name="_Toc171394913"/>
      <w:r>
        <w:rPr>
          <w:rStyle w:val="41"/>
          <w:b w:val="0"/>
          <w:color w:val="auto"/>
          <w:sz w:val="32"/>
          <w:highlight w:val="none"/>
        </w:rPr>
        <w:br w:type="page"/>
      </w:r>
    </w:p>
    <w:p w14:paraId="198FF02E">
      <w:pPr>
        <w:pStyle w:val="2"/>
        <w:snapToGrid w:val="0"/>
        <w:spacing w:before="240" w:after="240" w:line="240" w:lineRule="auto"/>
        <w:rPr>
          <w:color w:val="auto"/>
          <w:highlight w:val="none"/>
        </w:rPr>
      </w:pPr>
      <w:bookmarkStart w:id="4" w:name="_Toc25894"/>
      <w:r>
        <w:rPr>
          <w:rFonts w:hint="eastAsia" w:ascii="宋体" w:hAnsi="宋体" w:eastAsia="宋体"/>
          <w:color w:val="auto"/>
          <w:sz w:val="32"/>
          <w:highlight w:val="none"/>
        </w:rPr>
        <w:t>第二部分</w:t>
      </w:r>
      <w:r>
        <w:rPr>
          <w:rFonts w:hint="eastAsia" w:ascii="宋体" w:hAnsi="宋体" w:eastAsia="宋体"/>
          <w:color w:val="auto"/>
          <w:sz w:val="32"/>
          <w:highlight w:val="none"/>
          <w:lang w:val="en-US" w:eastAsia="zh-CN"/>
        </w:rPr>
        <w:t xml:space="preserve"> </w:t>
      </w:r>
      <w:r>
        <w:rPr>
          <w:rFonts w:hint="eastAsia" w:ascii="宋体" w:hAnsi="宋体" w:eastAsia="宋体"/>
          <w:color w:val="auto"/>
          <w:sz w:val="32"/>
          <w:highlight w:val="none"/>
        </w:rPr>
        <w:t>磋商须知</w:t>
      </w:r>
      <w:bookmarkEnd w:id="4"/>
    </w:p>
    <w:p w14:paraId="1CDA141D">
      <w:pPr>
        <w:bidi w:val="0"/>
        <w:jc w:val="center"/>
        <w:rPr>
          <w:color w:val="auto"/>
          <w:sz w:val="28"/>
          <w:szCs w:val="36"/>
          <w:highlight w:val="none"/>
        </w:rPr>
      </w:pPr>
      <w:r>
        <w:rPr>
          <w:rFonts w:hint="eastAsia"/>
          <w:color w:val="auto"/>
          <w:sz w:val="28"/>
          <w:szCs w:val="36"/>
          <w:highlight w:val="none"/>
        </w:rPr>
        <w:t>前 附 表</w:t>
      </w:r>
      <w:bookmarkEnd w:id="3"/>
      <w:bookmarkStart w:id="5" w:name="_Toc183786414"/>
      <w:bookmarkStart w:id="6" w:name="_Toc118516210"/>
      <w:bookmarkStart w:id="7" w:name="_Toc171394914"/>
    </w:p>
    <w:tbl>
      <w:tblPr>
        <w:tblStyle w:val="27"/>
        <w:tblW w:w="97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966"/>
      </w:tblGrid>
      <w:tr w14:paraId="3B10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33" w:type="dxa"/>
            <w:noWrap w:val="0"/>
            <w:vAlign w:val="center"/>
          </w:tcPr>
          <w:p w14:paraId="5F74E6B8">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966" w:type="dxa"/>
            <w:noWrap w:val="0"/>
            <w:vAlign w:val="center"/>
          </w:tcPr>
          <w:p w14:paraId="6110BDAF">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0889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noWrap w:val="0"/>
            <w:vAlign w:val="center"/>
          </w:tcPr>
          <w:p w14:paraId="04F79197">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66" w:type="dxa"/>
            <w:noWrap w:val="0"/>
            <w:vAlign w:val="center"/>
          </w:tcPr>
          <w:p w14:paraId="5AFCC2C5">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pacing w:val="6"/>
                <w:kern w:val="48"/>
                <w:szCs w:val="21"/>
                <w:highlight w:val="none"/>
                <w:lang w:eastAsia="zh-CN"/>
              </w:rPr>
              <w:t>平湖市新仓镇01-03城镇单元制性详细规划服务采购项目</w:t>
            </w:r>
          </w:p>
        </w:tc>
      </w:tr>
      <w:tr w14:paraId="275F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33" w:type="dxa"/>
            <w:noWrap w:val="0"/>
            <w:vAlign w:val="center"/>
          </w:tcPr>
          <w:p w14:paraId="12869543">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966" w:type="dxa"/>
            <w:noWrap w:val="0"/>
            <w:vAlign w:val="center"/>
          </w:tcPr>
          <w:p w14:paraId="1D430F5E">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采购内容：</w:t>
            </w:r>
            <w:r>
              <w:rPr>
                <w:rFonts w:hint="eastAsia" w:ascii="宋体" w:hAnsi="宋体" w:eastAsia="宋体" w:cs="宋体"/>
                <w:color w:val="auto"/>
                <w:szCs w:val="21"/>
                <w:highlight w:val="none"/>
              </w:rPr>
              <w:t>详见第</w:t>
            </w:r>
            <w:r>
              <w:rPr>
                <w:rFonts w:hint="eastAsia" w:ascii="宋体" w:hAnsi="宋体" w:eastAsia="宋体" w:cs="宋体"/>
                <w:color w:val="auto"/>
                <w:szCs w:val="21"/>
                <w:highlight w:val="none"/>
                <w:lang w:val="en-US" w:eastAsia="zh-CN"/>
              </w:rPr>
              <w:t>三部分</w:t>
            </w:r>
            <w:r>
              <w:rPr>
                <w:rFonts w:hint="eastAsia" w:ascii="宋体" w:hAnsi="宋体" w:eastAsia="宋体" w:cs="宋体"/>
                <w:color w:val="auto"/>
                <w:szCs w:val="21"/>
                <w:highlight w:val="none"/>
              </w:rPr>
              <w:t>采购需要</w:t>
            </w:r>
          </w:p>
        </w:tc>
      </w:tr>
      <w:tr w14:paraId="1825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3" w:type="dxa"/>
            <w:noWrap w:val="0"/>
            <w:vAlign w:val="center"/>
          </w:tcPr>
          <w:p w14:paraId="7E230CDB">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966" w:type="dxa"/>
            <w:noWrap w:val="0"/>
            <w:vAlign w:val="center"/>
          </w:tcPr>
          <w:p w14:paraId="580A69D1">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磋商报价及费用：</w:t>
            </w:r>
            <w:r>
              <w:rPr>
                <w:rFonts w:hint="eastAsia" w:ascii="宋体" w:hAnsi="宋体" w:eastAsia="宋体" w:cs="宋体"/>
                <w:color w:val="auto"/>
                <w:szCs w:val="21"/>
                <w:highlight w:val="none"/>
              </w:rPr>
              <w:t>1、本项目磋商应以人民币报价；2、不论磋商结果如何，供应商均应自行承担所有与磋商有关的全部费用</w:t>
            </w:r>
          </w:p>
        </w:tc>
      </w:tr>
      <w:tr w14:paraId="1E9B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3" w:type="dxa"/>
            <w:noWrap w:val="0"/>
            <w:vAlign w:val="center"/>
          </w:tcPr>
          <w:p w14:paraId="1F4276D9">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966" w:type="dxa"/>
            <w:noWrap w:val="0"/>
            <w:vAlign w:val="center"/>
          </w:tcPr>
          <w:p w14:paraId="75CCD4FC">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color w:val="auto"/>
                <w:szCs w:val="21"/>
                <w:highlight w:val="none"/>
              </w:rPr>
              <w:t>无</w:t>
            </w:r>
          </w:p>
        </w:tc>
      </w:tr>
      <w:tr w14:paraId="7E58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833" w:type="dxa"/>
            <w:noWrap w:val="0"/>
            <w:vAlign w:val="center"/>
          </w:tcPr>
          <w:p w14:paraId="0FF3AF9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966" w:type="dxa"/>
            <w:noWrap w:val="0"/>
            <w:vAlign w:val="center"/>
          </w:tcPr>
          <w:p w14:paraId="00962DEE">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1、由资信商务及技术文件、报价文件两部份组成。投标文件中所须加盖公章部分均采用CA签章。本招标文件所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14:paraId="63C39399">
            <w:pPr>
              <w:keepNext w:val="0"/>
              <w:keepLines w:val="0"/>
              <w:pageBreakBefore w:val="0"/>
              <w:widowControl w:val="0"/>
              <w:numPr>
                <w:ilvl w:val="0"/>
                <w:numId w:val="3"/>
              </w:numPr>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电子投标文件投标人应根据“政采云供应商项目采购-电子招投标操作指南”及本招标文件规定的格式和顺序编制电子投标文件并进行关联定位</w:t>
            </w:r>
          </w:p>
          <w:p w14:paraId="243B3F0B">
            <w:pPr>
              <w:keepNext w:val="0"/>
              <w:keepLines w:val="0"/>
              <w:pageBreakBefore w:val="0"/>
              <w:widowControl w:val="0"/>
              <w:numPr>
                <w:ilvl w:val="0"/>
                <w:numId w:val="3"/>
              </w:numPr>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成交供应商在领取成交通知书后需另行提供纸质版响应文件贰份</w:t>
            </w:r>
          </w:p>
        </w:tc>
      </w:tr>
      <w:tr w14:paraId="182E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3" w:type="dxa"/>
            <w:noWrap w:val="0"/>
            <w:vAlign w:val="center"/>
          </w:tcPr>
          <w:p w14:paraId="2E05B60A">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966" w:type="dxa"/>
            <w:noWrap w:val="0"/>
            <w:vAlign w:val="center"/>
          </w:tcPr>
          <w:p w14:paraId="0E864C1C">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投标截止时间及地点：</w:t>
            </w:r>
            <w:r>
              <w:rPr>
                <w:rFonts w:hint="eastAsia" w:ascii="宋体" w:hAnsi="宋体" w:eastAsia="宋体" w:cs="宋体"/>
                <w:color w:val="auto"/>
                <w:szCs w:val="21"/>
                <w:highlight w:val="none"/>
              </w:rPr>
              <w:t>详见招标公告</w:t>
            </w:r>
          </w:p>
        </w:tc>
      </w:tr>
      <w:tr w14:paraId="17A9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3" w:type="dxa"/>
            <w:noWrap w:val="0"/>
            <w:vAlign w:val="center"/>
          </w:tcPr>
          <w:p w14:paraId="0C18F492">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966" w:type="dxa"/>
            <w:noWrap w:val="0"/>
            <w:vAlign w:val="center"/>
          </w:tcPr>
          <w:p w14:paraId="1B4651A0">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开标时间及地点：</w:t>
            </w:r>
            <w:r>
              <w:rPr>
                <w:rFonts w:hint="eastAsia" w:ascii="宋体" w:hAnsi="宋体" w:eastAsia="宋体" w:cs="宋体"/>
                <w:color w:val="auto"/>
                <w:szCs w:val="21"/>
                <w:highlight w:val="none"/>
              </w:rPr>
              <w:t>详见采购公告</w:t>
            </w:r>
          </w:p>
        </w:tc>
      </w:tr>
      <w:tr w14:paraId="68B5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3" w:type="dxa"/>
            <w:noWrap w:val="0"/>
            <w:vAlign w:val="center"/>
          </w:tcPr>
          <w:p w14:paraId="2BB6EFA8">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966" w:type="dxa"/>
            <w:noWrap w:val="0"/>
            <w:vAlign w:val="center"/>
          </w:tcPr>
          <w:p w14:paraId="24933A56">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评标办法及评分标准：</w:t>
            </w:r>
            <w:r>
              <w:rPr>
                <w:rFonts w:hint="eastAsia" w:ascii="宋体" w:hAnsi="宋体" w:eastAsia="宋体" w:cs="宋体"/>
                <w:color w:val="auto"/>
                <w:szCs w:val="21"/>
                <w:highlight w:val="none"/>
              </w:rPr>
              <w:t>详见第四章</w:t>
            </w:r>
          </w:p>
        </w:tc>
      </w:tr>
      <w:tr w14:paraId="104D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3" w:type="dxa"/>
            <w:noWrap w:val="0"/>
            <w:vAlign w:val="center"/>
          </w:tcPr>
          <w:p w14:paraId="5FB8EC4A">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966" w:type="dxa"/>
            <w:noWrap w:val="0"/>
            <w:vAlign w:val="center"/>
          </w:tcPr>
          <w:p w14:paraId="7EF68CDC">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中标结果公告：</w:t>
            </w:r>
            <w:r>
              <w:rPr>
                <w:rFonts w:hint="eastAsia" w:ascii="宋体" w:hAnsi="宋体" w:eastAsia="宋体" w:cs="宋体"/>
                <w:color w:val="auto"/>
                <w:szCs w:val="21"/>
                <w:highlight w:val="none"/>
              </w:rPr>
              <w:t>自中标、成交供应商确定之日起2个工作日内结果公告于浙江省政府采购网(https://zfcg.czt.zj.gov.cn/)等网站或媒体。中标公告期限为1个工作日</w:t>
            </w:r>
          </w:p>
        </w:tc>
      </w:tr>
      <w:tr w14:paraId="284F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3" w:type="dxa"/>
            <w:noWrap w:val="0"/>
            <w:vAlign w:val="center"/>
          </w:tcPr>
          <w:p w14:paraId="6B1ECF6A">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966" w:type="dxa"/>
            <w:noWrap w:val="0"/>
            <w:vAlign w:val="center"/>
          </w:tcPr>
          <w:p w14:paraId="5E293889">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中标通知书：</w:t>
            </w:r>
            <w:r>
              <w:rPr>
                <w:rFonts w:hint="eastAsia" w:ascii="宋体" w:hAnsi="宋体" w:eastAsia="宋体" w:cs="宋体"/>
                <w:color w:val="auto"/>
                <w:szCs w:val="21"/>
                <w:highlight w:val="none"/>
              </w:rPr>
              <w:t>在公告中标结果的同时，采购机构向中标人发出中标通知书</w:t>
            </w:r>
          </w:p>
        </w:tc>
      </w:tr>
      <w:tr w14:paraId="7BC0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3" w:type="dxa"/>
            <w:noWrap w:val="0"/>
            <w:vAlign w:val="center"/>
          </w:tcPr>
          <w:p w14:paraId="5483965F">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966" w:type="dxa"/>
            <w:noWrap w:val="0"/>
            <w:vAlign w:val="center"/>
          </w:tcPr>
          <w:p w14:paraId="22985A21">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签订合同时间：</w:t>
            </w:r>
            <w:r>
              <w:rPr>
                <w:rFonts w:hint="eastAsia" w:ascii="宋体" w:hAnsi="宋体" w:eastAsia="宋体" w:cs="宋体"/>
                <w:color w:val="auto"/>
                <w:szCs w:val="21"/>
                <w:highlight w:val="none"/>
              </w:rPr>
              <w:t>中标通知书发出后30日内</w:t>
            </w:r>
          </w:p>
        </w:tc>
      </w:tr>
      <w:tr w14:paraId="22E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3" w:type="dxa"/>
            <w:noWrap w:val="0"/>
            <w:vAlign w:val="center"/>
          </w:tcPr>
          <w:p w14:paraId="45920A1B">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966" w:type="dxa"/>
            <w:noWrap w:val="0"/>
            <w:vAlign w:val="center"/>
          </w:tcPr>
          <w:p w14:paraId="0E7407B2">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本项目不设置履约保证金</w:t>
            </w:r>
          </w:p>
        </w:tc>
      </w:tr>
      <w:tr w14:paraId="246B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33" w:type="dxa"/>
            <w:noWrap w:val="0"/>
            <w:vAlign w:val="center"/>
          </w:tcPr>
          <w:p w14:paraId="05E37E36">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966" w:type="dxa"/>
            <w:noWrap w:val="0"/>
            <w:vAlign w:val="center"/>
          </w:tcPr>
          <w:p w14:paraId="71977F75">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b/>
                <w:color w:val="auto"/>
                <w:szCs w:val="21"/>
                <w:highlight w:val="none"/>
                <w:shd w:val="clear" w:color="auto" w:fill="FFFFFF"/>
              </w:rPr>
            </w:pPr>
            <w:r>
              <w:rPr>
                <w:rFonts w:hint="eastAsia" w:ascii="宋体" w:hAnsi="宋体" w:eastAsia="宋体" w:cs="宋体"/>
                <w:b/>
                <w:bCs/>
                <w:color w:val="auto"/>
                <w:szCs w:val="21"/>
                <w:highlight w:val="none"/>
              </w:rPr>
              <w:t>响应文件有效期：</w:t>
            </w:r>
            <w:r>
              <w:rPr>
                <w:rFonts w:hint="eastAsia" w:ascii="宋体" w:hAnsi="宋体" w:eastAsia="宋体" w:cs="宋体"/>
                <w:color w:val="auto"/>
                <w:szCs w:val="21"/>
                <w:highlight w:val="none"/>
              </w:rPr>
              <w:t>90天</w:t>
            </w:r>
          </w:p>
        </w:tc>
      </w:tr>
      <w:tr w14:paraId="3B11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33" w:type="dxa"/>
            <w:noWrap w:val="0"/>
            <w:vAlign w:val="center"/>
          </w:tcPr>
          <w:p w14:paraId="3661C5F5">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966" w:type="dxa"/>
            <w:noWrap w:val="0"/>
            <w:vAlign w:val="center"/>
          </w:tcPr>
          <w:p w14:paraId="7FCC4AA0">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获取磋商文件：</w:t>
            </w:r>
          </w:p>
          <w:p w14:paraId="296BAF01">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获取方式：磋商公告发布后，在政采云平台已完成注册的供应商登陆系统，可下载磋商文件。路径：用户中心——项目采购——获取磋商文件管理。在“已获取”的状态下，供应商可下载查看磋商文件</w:t>
            </w:r>
          </w:p>
          <w:p w14:paraId="02FFA460">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获取网址：浙江政府采购网https://zfcg.czt.zj.gov.cn/</w:t>
            </w:r>
          </w:p>
        </w:tc>
      </w:tr>
      <w:tr w14:paraId="1672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3" w:type="dxa"/>
            <w:noWrap w:val="0"/>
            <w:vAlign w:val="center"/>
          </w:tcPr>
          <w:p w14:paraId="0F89E16D">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p>
        </w:tc>
        <w:tc>
          <w:tcPr>
            <w:tcW w:w="8966" w:type="dxa"/>
            <w:noWrap w:val="0"/>
            <w:vAlign w:val="center"/>
          </w:tcPr>
          <w:p w14:paraId="25D3839D">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政策说明：</w:t>
            </w:r>
          </w:p>
          <w:p w14:paraId="778AA405">
            <w:pPr>
              <w:widowControl/>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小微企业有关政策：</w:t>
            </w:r>
          </w:p>
          <w:p w14:paraId="1C35C92C">
            <w:pPr>
              <w:widowControl/>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(1) 根据《政府采购促进中小企业发展管理办法》  (财库 (2020) 46 号) 的规定，对符合规定的小微企业 (含小型企业) ，其投标报价扣除10%后参与评审。</w:t>
            </w:r>
          </w:p>
          <w:p w14:paraId="1DEDAA79">
            <w:pPr>
              <w:widowControl/>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(2) 根据《关于政府采购支持监狱企业发展有关问题的通知》  (财库[2014]68 号) 的规定，监狱企业视同小型、微型企业，享受预留份额、评审中价格扣除等促进中小企业发展的政府采购政策。</w:t>
            </w:r>
          </w:p>
          <w:p w14:paraId="7833E601">
            <w:pPr>
              <w:widowControl/>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(3) 根据《财政部、民政部、中国残疾人联合会关于促进残疾人就业政府采购政策的通知》 (财库〔2017〕141 号) 的规定，残疾人福利性单位视同小型、微型企业，享受预留份额、评审中价格扣除等促进中小企业发展的政府采购政策。</w:t>
            </w:r>
          </w:p>
          <w:p w14:paraId="0ABEDCCF">
            <w:pPr>
              <w:widowControl/>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上述 (1) ， (2) ， (3) 政策不重复计算。</w:t>
            </w:r>
          </w:p>
          <w:p w14:paraId="0FE5CBC5">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default" w:ascii="宋体" w:hAnsi="宋体" w:eastAsia="宋体" w:cs="宋体"/>
                <w:color w:val="auto"/>
                <w:szCs w:val="21"/>
                <w:highlight w:val="none"/>
                <w:lang w:val="en-US" w:eastAsia="zh-CN"/>
              </w:rPr>
            </w:pPr>
            <w:r>
              <w:rPr>
                <w:rFonts w:hint="eastAsia" w:ascii="宋体" w:hAnsi="宋体"/>
                <w:b/>
                <w:color w:val="auto"/>
                <w:szCs w:val="21"/>
                <w:highlight w:val="none"/>
              </w:rPr>
              <w:t>(4) 本项目所属行业：其他未列明行业</w:t>
            </w:r>
            <w:r>
              <w:rPr>
                <w:rFonts w:hint="eastAsia" w:ascii="宋体" w:hAnsi="宋体" w:eastAsia="宋体" w:cs="宋体"/>
                <w:b/>
                <w:bCs/>
                <w:color w:val="auto"/>
                <w:szCs w:val="21"/>
                <w:highlight w:val="none"/>
              </w:rPr>
              <w:t>。</w:t>
            </w:r>
          </w:p>
        </w:tc>
      </w:tr>
      <w:tr w14:paraId="0F4D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33" w:type="dxa"/>
            <w:noWrap w:val="0"/>
            <w:vAlign w:val="center"/>
          </w:tcPr>
          <w:p w14:paraId="647940BC">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p>
        </w:tc>
        <w:tc>
          <w:tcPr>
            <w:tcW w:w="8966" w:type="dxa"/>
            <w:noWrap w:val="0"/>
            <w:vAlign w:val="center"/>
          </w:tcPr>
          <w:p w14:paraId="6C7BE7E5">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05D6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833" w:type="dxa"/>
            <w:noWrap w:val="0"/>
            <w:vAlign w:val="center"/>
          </w:tcPr>
          <w:p w14:paraId="0FDB7EDB">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p>
        </w:tc>
        <w:tc>
          <w:tcPr>
            <w:tcW w:w="8966" w:type="dxa"/>
            <w:noWrap w:val="0"/>
            <w:vAlign w:val="center"/>
          </w:tcPr>
          <w:p w14:paraId="6EB36864">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rPr>
            </w:pPr>
            <w:r>
              <w:rPr>
                <w:rFonts w:hint="eastAsia"/>
                <w:color w:val="auto"/>
                <w:highlight w:val="none"/>
              </w:rPr>
              <w:t>招标代理服务费：</w:t>
            </w:r>
          </w:p>
          <w:p w14:paraId="4D9185E9">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rPr>
            </w:pPr>
            <w:r>
              <w:rPr>
                <w:rFonts w:hint="eastAsia"/>
                <w:color w:val="auto"/>
                <w:highlight w:val="none"/>
              </w:rPr>
              <w:t>中标单位支付给招标代理公司，根据计价格〔2002〕1980号文件</w:t>
            </w:r>
            <w:r>
              <w:rPr>
                <w:rFonts w:hint="eastAsia"/>
                <w:color w:val="auto"/>
                <w:highlight w:val="none"/>
                <w:lang w:val="en-US" w:eastAsia="zh-CN"/>
              </w:rPr>
              <w:t>服务项目</w:t>
            </w:r>
            <w:r>
              <w:rPr>
                <w:rFonts w:hint="eastAsia"/>
                <w:color w:val="auto"/>
                <w:highlight w:val="none"/>
              </w:rPr>
              <w:t>收费标准，计算后不足</w:t>
            </w:r>
            <w:r>
              <w:rPr>
                <w:rFonts w:hint="eastAsia"/>
                <w:color w:val="auto"/>
                <w:highlight w:val="none"/>
                <w:lang w:val="en-US" w:eastAsia="zh-CN"/>
              </w:rPr>
              <w:t>6</w:t>
            </w:r>
            <w:r>
              <w:rPr>
                <w:rFonts w:hint="eastAsia"/>
                <w:color w:val="auto"/>
                <w:highlight w:val="none"/>
              </w:rPr>
              <w:t>000元的按</w:t>
            </w:r>
            <w:r>
              <w:rPr>
                <w:rFonts w:hint="eastAsia"/>
                <w:color w:val="auto"/>
                <w:highlight w:val="none"/>
                <w:lang w:val="en-US" w:eastAsia="zh-CN"/>
              </w:rPr>
              <w:t>6</w:t>
            </w:r>
            <w:r>
              <w:rPr>
                <w:rFonts w:hint="eastAsia"/>
                <w:color w:val="auto"/>
                <w:highlight w:val="none"/>
              </w:rPr>
              <w:t>000元计取，计费依据为项目中标价，在领取中标通知书的时候支付给招标代理公司。</w:t>
            </w:r>
          </w:p>
          <w:p w14:paraId="5D4D7083">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rPr>
            </w:pPr>
            <w:r>
              <w:rPr>
                <w:rFonts w:hint="eastAsia"/>
                <w:color w:val="auto"/>
                <w:highlight w:val="none"/>
              </w:rPr>
              <w:t>单位名称：嘉兴市千秋工程咨询有限公司平湖分公司</w:t>
            </w:r>
          </w:p>
          <w:p w14:paraId="7DF2AFBF">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rPr>
            </w:pPr>
            <w:r>
              <w:rPr>
                <w:rFonts w:hint="eastAsia"/>
                <w:color w:val="auto"/>
                <w:highlight w:val="none"/>
              </w:rPr>
              <w:t>开户行：浙江平湖农村商业银行股份有限公司当湖支行</w:t>
            </w:r>
          </w:p>
          <w:p w14:paraId="229D666B">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rPr>
            </w:pPr>
            <w:r>
              <w:rPr>
                <w:rFonts w:hint="eastAsia"/>
                <w:color w:val="auto"/>
                <w:highlight w:val="none"/>
              </w:rPr>
              <w:t>账号：201000238960660</w:t>
            </w:r>
          </w:p>
        </w:tc>
      </w:tr>
      <w:tr w14:paraId="33E1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3" w:type="dxa"/>
            <w:noWrap w:val="0"/>
            <w:vAlign w:val="center"/>
          </w:tcPr>
          <w:p w14:paraId="1D723DB1">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8966" w:type="dxa"/>
            <w:noWrap w:val="0"/>
            <w:vAlign w:val="center"/>
          </w:tcPr>
          <w:p w14:paraId="3B253A90">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解释：本磋商文件的解释权属于本招标文件的解释权属于招标采购单位</w:t>
            </w:r>
          </w:p>
        </w:tc>
      </w:tr>
      <w:tr w14:paraId="00B1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33" w:type="dxa"/>
            <w:noWrap w:val="0"/>
            <w:vAlign w:val="center"/>
          </w:tcPr>
          <w:p w14:paraId="57CE64A2">
            <w:pPr>
              <w:keepNext w:val="0"/>
              <w:keepLines w:val="0"/>
              <w:pageBreakBefore w:val="0"/>
              <w:widowControl w:val="0"/>
              <w:kinsoku/>
              <w:wordWrap/>
              <w:overflowPunct/>
              <w:topLinePunct w:val="0"/>
              <w:bidi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8966" w:type="dxa"/>
            <w:noWrap w:val="0"/>
            <w:vAlign w:val="center"/>
          </w:tcPr>
          <w:p w14:paraId="2F147AEF">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eastAsia="宋体"/>
                <w:color w:val="auto"/>
                <w:highlight w:val="none"/>
              </w:rPr>
            </w:pPr>
            <w:r>
              <w:rPr>
                <w:rFonts w:hint="eastAsia" w:ascii="宋体" w:hAnsi="宋体" w:eastAsia="宋体" w:cs="宋体"/>
                <w:color w:val="auto"/>
                <w:szCs w:val="21"/>
                <w:highlight w:val="none"/>
              </w:rPr>
              <w:t>注：根据省财政厅相关规定采用竞争性磋商采购方式采购的政府购买服务项目，在采购过程中符合要求的供应商需要3家或3家以上参加磋商，提交最后报价的供应商可以为2家</w:t>
            </w:r>
          </w:p>
        </w:tc>
      </w:tr>
    </w:tbl>
    <w:p w14:paraId="34556CF6">
      <w:pPr>
        <w:pStyle w:val="2"/>
        <w:snapToGrid w:val="0"/>
        <w:spacing w:before="240" w:after="240" w:line="240" w:lineRule="auto"/>
        <w:rPr>
          <w:color w:val="auto"/>
          <w:highlight w:val="none"/>
        </w:rPr>
      </w:pPr>
      <w:r>
        <w:rPr>
          <w:rFonts w:ascii="宋体" w:hAnsi="宋体" w:eastAsia="宋体"/>
          <w:color w:val="auto"/>
          <w:sz w:val="32"/>
          <w:highlight w:val="none"/>
        </w:rPr>
        <w:br w:type="page"/>
      </w:r>
      <w:bookmarkEnd w:id="5"/>
    </w:p>
    <w:p w14:paraId="748EA6A6">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bookmarkStart w:id="8" w:name="_Toc27482"/>
      <w:bookmarkStart w:id="9" w:name="_Toc183786415"/>
      <w:bookmarkStart w:id="10" w:name="_Toc27173"/>
      <w:bookmarkStart w:id="11" w:name="_Toc1083"/>
      <w:bookmarkStart w:id="12" w:name="_Toc22004"/>
      <w:bookmarkStart w:id="13" w:name="_Toc16194"/>
      <w:r>
        <w:rPr>
          <w:rFonts w:hint="eastAsia"/>
          <w:b/>
          <w:bCs/>
          <w:color w:val="auto"/>
          <w:highlight w:val="none"/>
        </w:rPr>
        <w:t>一、总则</w:t>
      </w:r>
      <w:bookmarkEnd w:id="8"/>
      <w:bookmarkEnd w:id="9"/>
      <w:bookmarkEnd w:id="10"/>
      <w:bookmarkEnd w:id="11"/>
      <w:bookmarkEnd w:id="12"/>
      <w:bookmarkEnd w:id="13"/>
    </w:p>
    <w:p w14:paraId="331933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本次采购工作是按照《中华人民共和国政府采购法》、《中华人民共和国政府采购法实施条例》、《政府采购竞争性磋商采购方式管理暂行办法》等相关法律组织和实施，并由政府采购管理部门指导和监督。</w:t>
      </w:r>
    </w:p>
    <w:p w14:paraId="650675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14" w:name="_Toc183786416"/>
      <w:r>
        <w:rPr>
          <w:rFonts w:hint="eastAsia"/>
          <w:color w:val="auto"/>
          <w:highlight w:val="none"/>
        </w:rPr>
        <w:t>（一） 适用范围</w:t>
      </w:r>
    </w:p>
    <w:p w14:paraId="1769C0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本磋商文件适用于本项目的磋商。</w:t>
      </w:r>
    </w:p>
    <w:p w14:paraId="59C8F8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（二）定义</w:t>
      </w:r>
    </w:p>
    <w:p w14:paraId="2B5A18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1.“招标采购单位”系指组织本次磋商的采购代理机构（“招标人”）</w:t>
      </w:r>
      <w:r>
        <w:rPr>
          <w:rFonts w:hint="eastAsia"/>
          <w:color w:val="auto"/>
          <w:highlight w:val="none"/>
          <w:u w:val="single"/>
        </w:rPr>
        <w:t xml:space="preserve">嘉兴市千秋工程咨询有限公司 </w:t>
      </w:r>
      <w:r>
        <w:rPr>
          <w:rFonts w:hint="eastAsia"/>
          <w:color w:val="auto"/>
          <w:highlight w:val="none"/>
        </w:rPr>
        <w:t>和采购人</w:t>
      </w:r>
      <w:r>
        <w:rPr>
          <w:rFonts w:hint="eastAsia"/>
          <w:color w:val="auto"/>
          <w:highlight w:val="none"/>
          <w:u w:val="single"/>
        </w:rPr>
        <w:t xml:space="preserve"> </w:t>
      </w:r>
      <w:r>
        <w:rPr>
          <w:rFonts w:hint="eastAsia"/>
          <w:color w:val="auto"/>
          <w:highlight w:val="none"/>
          <w:u w:val="single"/>
          <w:lang w:eastAsia="zh-CN"/>
        </w:rPr>
        <w:t>平湖市新仓镇人民政府</w:t>
      </w:r>
      <w:r>
        <w:rPr>
          <w:rFonts w:hint="eastAsia"/>
          <w:color w:val="auto"/>
          <w:highlight w:val="none"/>
        </w:rPr>
        <w:t>。</w:t>
      </w:r>
    </w:p>
    <w:p w14:paraId="0B01FB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2.“供应商”系指向招标人提交响应文件的供应商。</w:t>
      </w:r>
    </w:p>
    <w:p w14:paraId="58303B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3.“产品”系指供应商按磋商文件规定，须向采购人提供的设备、备品备件、工具及其它有关技术资料和材料。</w:t>
      </w:r>
    </w:p>
    <w:p w14:paraId="003C7C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4.“服务”系指磋商文件规定供应商须承担的运输、安装调试、验收、售后服务以及其他类似的义务。</w:t>
      </w:r>
    </w:p>
    <w:p w14:paraId="5CCFF7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5.“项目”系指供应商按磋商文件规定向采购人提供的产品和服务。</w:t>
      </w:r>
    </w:p>
    <w:p w14:paraId="3D5C4A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6.“书面形式”包括信函、传真、电子文档等。</w:t>
      </w:r>
    </w:p>
    <w:p w14:paraId="40556F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7.“▲”系指实质性要求条款，不满足实质性要求条款的响应文件无效。</w:t>
      </w:r>
    </w:p>
    <w:p w14:paraId="7F6DB7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（三）磋商方式</w:t>
      </w:r>
    </w:p>
    <w:p w14:paraId="34228B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1.本次采购采用竞争性磋商方式进行。</w:t>
      </w:r>
    </w:p>
    <w:p w14:paraId="48DECD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2.本次采购设定上限价为预算价。</w:t>
      </w:r>
    </w:p>
    <w:p w14:paraId="27ED65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（四）投标委托</w:t>
      </w:r>
    </w:p>
    <w:p w14:paraId="3937F3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供应商代表必须持身份证等有效证件出席磋商会议。</w:t>
      </w:r>
    </w:p>
    <w:p w14:paraId="3A4D54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（五）磋商费用</w:t>
      </w:r>
    </w:p>
    <w:p w14:paraId="225581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不论投标结果如何，供应商均应自行承担所有与磋商有关的全部费用（磋商文件有相关规定除外）。</w:t>
      </w:r>
    </w:p>
    <w:p w14:paraId="44D391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（六）联合体参与磋商</w:t>
      </w:r>
    </w:p>
    <w:p w14:paraId="667FA1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本项目不接受联合体参与磋商。</w:t>
      </w:r>
    </w:p>
    <w:p w14:paraId="21EEA7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（七）关联企业参与磋商</w:t>
      </w:r>
    </w:p>
    <w:p w14:paraId="794A85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1.本磋商文件所称关联企业,是指存在“关联关系”的企业；“关联关系”的界定适用《中华人民共和国公司法》217条之规定。</w:t>
      </w:r>
    </w:p>
    <w:p w14:paraId="69EF3F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2.▲关联企业中，法定代表人为同一个的两个及两个以上法人，母公司、全资子公司及其控股公司，都不得同时参加磋商；一经发现，将导致响应同时被拒绝。</w:t>
      </w:r>
    </w:p>
    <w:p w14:paraId="1F65EE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14:paraId="2CC4F0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（八）转包与分包</w:t>
      </w:r>
    </w:p>
    <w:p w14:paraId="3A622A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1.本项目不允许转包。</w:t>
      </w:r>
    </w:p>
    <w:p w14:paraId="789079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2.本项目不可以分包。</w:t>
      </w:r>
    </w:p>
    <w:p w14:paraId="024D4F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（九）是否允许采购进口产品</w:t>
      </w:r>
    </w:p>
    <w:p w14:paraId="55801B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本项目不允采购进口产品。</w:t>
      </w:r>
    </w:p>
    <w:p w14:paraId="001ECF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（十）特别说明：</w:t>
      </w:r>
    </w:p>
    <w:p w14:paraId="7B5895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1.供应商投标所使用的资格、信誉、荣誉、业绩与企业认证必须为本法人所拥有。供应商投标所使用的采购项目实施人员必须为本法人员工（或必须为本法人或控股公司正式员工）。</w:t>
      </w:r>
    </w:p>
    <w:p w14:paraId="56270C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2.供应商应仔细阅读磋商文件的所有内容，按照磋商文件的要求提交响应文件，并对所提供的全部资料的真实性承担法律责任。</w:t>
      </w:r>
    </w:p>
    <w:p w14:paraId="40ACC3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供应商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供应商的行政与刑事责任。</w:t>
      </w:r>
    </w:p>
    <w:p w14:paraId="4D95FB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（十一）质疑和投诉</w:t>
      </w:r>
    </w:p>
    <w:p w14:paraId="139A7B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供应商认为采购文件、采购过程、成交结果使自己的权益受到损害的，可以在知道或者应知其权益受到损害之日起7个工作日内，以书面形式一次性向采购人、采购机构提出针对同一采购程序环节的质疑。质疑供应商对采购人、采购机构的答复不满意，或者采购人、采购机构未在规定时间内作出答复的，可以在答复期满后15个工作日内向规定的财政部门提起投诉。</w:t>
      </w:r>
    </w:p>
    <w:p w14:paraId="1AA9D6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2.质疑和投诉应当满足《政府采购质疑和投诉办法》（中华人民共和国财政部令第94号）要求。</w:t>
      </w:r>
    </w:p>
    <w:p w14:paraId="24E78A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3.质疑受理地点：嘉兴市千秋工程咨询有限公司；联系人：</w:t>
      </w:r>
      <w:r>
        <w:rPr>
          <w:rFonts w:hint="eastAsia"/>
          <w:color w:val="auto"/>
          <w:highlight w:val="none"/>
          <w:lang w:val="en-US" w:eastAsia="zh-CN"/>
        </w:rPr>
        <w:t>戴</w:t>
      </w:r>
      <w:r>
        <w:rPr>
          <w:rFonts w:hint="eastAsia"/>
          <w:color w:val="auto"/>
          <w:highlight w:val="none"/>
        </w:rPr>
        <w:t>女士；联系电话： 0573-</w:t>
      </w:r>
      <w:r>
        <w:rPr>
          <w:rFonts w:hint="eastAsia"/>
          <w:color w:val="auto"/>
          <w:highlight w:val="none"/>
          <w:lang w:val="en-US" w:eastAsia="zh-CN"/>
        </w:rPr>
        <w:t>85126112</w:t>
      </w:r>
      <w:r>
        <w:rPr>
          <w:rFonts w:hint="eastAsia"/>
          <w:color w:val="auto"/>
          <w:highlight w:val="none"/>
        </w:rPr>
        <w:t>。</w:t>
      </w:r>
    </w:p>
    <w:p w14:paraId="2C61C6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4.投诉受理地点：嘉兴市财政局港区分局；联系人：</w:t>
      </w:r>
      <w:r>
        <w:rPr>
          <w:rFonts w:hint="eastAsia"/>
          <w:color w:val="auto"/>
          <w:highlight w:val="none"/>
          <w:lang w:val="en-US" w:eastAsia="zh-CN"/>
        </w:rPr>
        <w:t>唐</w:t>
      </w:r>
      <w:r>
        <w:rPr>
          <w:rFonts w:hint="eastAsia"/>
          <w:color w:val="auto"/>
          <w:highlight w:val="none"/>
        </w:rPr>
        <w:t>女士；联系电话：0573-85623733。</w:t>
      </w:r>
    </w:p>
    <w:p w14:paraId="28249284">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bookmarkStart w:id="15" w:name="_Toc17622"/>
      <w:bookmarkStart w:id="16" w:name="_Toc18825"/>
      <w:bookmarkStart w:id="17" w:name="_Toc31583"/>
      <w:bookmarkStart w:id="18" w:name="_Toc1588"/>
      <w:bookmarkStart w:id="19" w:name="_Toc18667"/>
      <w:r>
        <w:rPr>
          <w:rFonts w:hint="eastAsia"/>
          <w:b/>
          <w:bCs/>
          <w:color w:val="auto"/>
          <w:highlight w:val="none"/>
        </w:rPr>
        <w:t>二、</w:t>
      </w:r>
      <w:bookmarkEnd w:id="14"/>
      <w:r>
        <w:rPr>
          <w:rFonts w:hint="eastAsia"/>
          <w:b/>
          <w:bCs/>
          <w:color w:val="auto"/>
          <w:highlight w:val="none"/>
        </w:rPr>
        <w:t>竞争性磋商文件</w:t>
      </w:r>
      <w:bookmarkEnd w:id="15"/>
      <w:bookmarkEnd w:id="16"/>
      <w:bookmarkEnd w:id="17"/>
      <w:bookmarkEnd w:id="18"/>
      <w:bookmarkEnd w:id="19"/>
    </w:p>
    <w:p w14:paraId="7581FA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20" w:name="_Toc183786417"/>
      <w:bookmarkStart w:id="21" w:name="_Toc24095"/>
      <w:bookmarkStart w:id="22" w:name="_Toc16225"/>
      <w:bookmarkStart w:id="23" w:name="_Toc2458"/>
      <w:bookmarkStart w:id="24" w:name="_Toc7224"/>
      <w:bookmarkStart w:id="25" w:name="_Toc4595"/>
      <w:r>
        <w:rPr>
          <w:rFonts w:hint="eastAsia"/>
          <w:color w:val="auto"/>
          <w:highlight w:val="none"/>
        </w:rPr>
        <w:t>（一）磋商文件的构成</w:t>
      </w:r>
    </w:p>
    <w:p w14:paraId="6F5A77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磋商文件由磋商文件目录所列的全部内容及在磋商过程中发出的修正和补充文件组成。</w:t>
      </w:r>
    </w:p>
    <w:p w14:paraId="008F2B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（二）供应商的风险</w:t>
      </w:r>
    </w:p>
    <w:p w14:paraId="146DF3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供应商没有按照磋商文件要求提供全部资料，或者供应商没有对磋商文件在各方面做出实质性响应是供应商的风险，并可能导致其投标无效。</w:t>
      </w:r>
    </w:p>
    <w:p w14:paraId="1FDD1F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（三）磋商文件的澄清与修改 </w:t>
      </w:r>
    </w:p>
    <w:p w14:paraId="6F65E5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公告形式通知所有获取磋商文件的供应商；不足5日的，采购人、采购代理机构应当顺延提交首次响应文件截止时间。公告于浙江政府采购网</w:t>
      </w:r>
      <w:r>
        <w:rPr>
          <w:rFonts w:hint="eastAsia"/>
          <w:color w:val="auto"/>
          <w:highlight w:val="none"/>
          <w:lang w:eastAsia="zh-CN"/>
        </w:rPr>
        <w:t>（</w:t>
      </w:r>
      <w:r>
        <w:rPr>
          <w:rFonts w:hint="eastAsia" w:ascii="宋体" w:hAnsi="宋体" w:eastAsia="宋体" w:cs="宋体"/>
          <w:color w:val="auto"/>
          <w:szCs w:val="21"/>
          <w:highlight w:val="none"/>
        </w:rPr>
        <w:t>https://zfcg.czt.zj.gov.cn/</w:t>
      </w:r>
      <w:r>
        <w:rPr>
          <w:rFonts w:hint="eastAsia"/>
          <w:color w:val="auto"/>
          <w:highlight w:val="none"/>
          <w:lang w:eastAsia="zh-CN"/>
        </w:rPr>
        <w:t>）</w:t>
      </w:r>
      <w:r>
        <w:rPr>
          <w:rFonts w:hint="eastAsia"/>
          <w:color w:val="auto"/>
          <w:highlight w:val="none"/>
        </w:rPr>
        <w:t>上发布，请供应商在响应截止日期前及时关注。采购文件的澄清、答复、修改或补充，一经在上述媒体发布，即视所有投标人都已经收到相关文件。</w:t>
      </w:r>
    </w:p>
    <w:p w14:paraId="0A0226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 采购代理机构以公告形式答复供应商要求澄清的问题，但不包含问题来源；除上述媒体发布的答复以外的其他澄清方式及澄清内容均无效。</w:t>
      </w:r>
    </w:p>
    <w:p w14:paraId="168D2D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 采购代理机构对已发出的磋商文件进行必要澄清或者修改的，应当在财政部门指定的政府采购信息发布媒体上发布更正公告。磋商文件澄清、答复、修改、补充的内容为磋商文件的组成部分。当磋商文件与磋商文件的答复、澄清、修改、补充通知就同一内容的表述不一致时，以最后发出的书面文件为准。</w:t>
      </w:r>
    </w:p>
    <w:p w14:paraId="07F46B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4.磋商文件的澄清、答复、修改或补充都应该通过本代理机构以法定形式发布，采购人非通过本机构，不得擅自澄清、答复、修改或补充磋商文件。</w:t>
      </w:r>
    </w:p>
    <w:p w14:paraId="2AE4A2E9">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三、响应文件</w:t>
      </w:r>
      <w:bookmarkEnd w:id="20"/>
      <w:r>
        <w:rPr>
          <w:rFonts w:hint="eastAsia"/>
          <w:b/>
          <w:bCs/>
          <w:color w:val="auto"/>
          <w:highlight w:val="none"/>
        </w:rPr>
        <w:t>编制要求</w:t>
      </w:r>
      <w:bookmarkEnd w:id="21"/>
      <w:bookmarkEnd w:id="22"/>
      <w:bookmarkEnd w:id="23"/>
      <w:bookmarkEnd w:id="24"/>
      <w:bookmarkEnd w:id="25"/>
    </w:p>
    <w:p w14:paraId="7600DA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响应文件的组成</w:t>
      </w:r>
    </w:p>
    <w:p w14:paraId="5E715E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本项目所涉响应文件格式请详见第六章，未给出的格式请自拟。资信商务及技术文件中不得出现报价，否则响应文件将被视为无效： </w:t>
      </w:r>
    </w:p>
    <w:p w14:paraId="2A8ED7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val="en-US" w:eastAsia="zh-CN"/>
        </w:rPr>
        <w:t>1.</w:t>
      </w:r>
      <w:r>
        <w:rPr>
          <w:rFonts w:hint="eastAsia"/>
          <w:color w:val="auto"/>
          <w:highlight w:val="none"/>
        </w:rPr>
        <w:t>资格</w:t>
      </w:r>
      <w:r>
        <w:rPr>
          <w:rFonts w:hint="eastAsia"/>
          <w:color w:val="auto"/>
          <w:highlight w:val="none"/>
          <w:lang w:val="en-US" w:eastAsia="zh-CN"/>
        </w:rPr>
        <w:t>响应</w:t>
      </w:r>
      <w:r>
        <w:rPr>
          <w:rFonts w:hint="eastAsia"/>
          <w:color w:val="auto"/>
          <w:highlight w:val="none"/>
        </w:rPr>
        <w:t>文件</w:t>
      </w:r>
      <w:r>
        <w:rPr>
          <w:color w:val="auto"/>
          <w:highlight w:val="none"/>
        </w:rPr>
        <w:t>（包括以下内容）</w:t>
      </w:r>
      <w:r>
        <w:rPr>
          <w:rFonts w:hint="eastAsia"/>
          <w:color w:val="auto"/>
          <w:highlight w:val="none"/>
        </w:rPr>
        <w:t>：</w:t>
      </w:r>
    </w:p>
    <w:p w14:paraId="1F47B2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（1）基本资格条件证明材料： </w:t>
      </w:r>
    </w:p>
    <w:p w14:paraId="4AD445C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highlight w:val="none"/>
        </w:rPr>
      </w:pPr>
      <w:r>
        <w:rPr>
          <w:rFonts w:hint="eastAsia"/>
          <w:b/>
          <w:bCs/>
          <w:color w:val="auto"/>
          <w:highlight w:val="none"/>
        </w:rPr>
        <w:t xml:space="preserve">（以下a~e项是基本资格条件对应证明材料的具体内容，各供应商须在响应文件中出具对应证明材料，其中b~e项只需提供“符合参加政府采购活动应当具备的一般条件的承诺函”（格式详见附件）） </w:t>
      </w:r>
    </w:p>
    <w:p w14:paraId="72C0AD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a.具有独立承担民事责任的能力：</w:t>
      </w:r>
    </w:p>
    <w:p w14:paraId="444204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供应商须在响应文件中出具符合以下情况的证明材料复印件（五选一）： </w:t>
      </w:r>
    </w:p>
    <w:p w14:paraId="317AB6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①如供应商是企业（包括合伙企业），提供在工商部门注册的有效“企业法人营业执照”或“营业执照”； </w:t>
      </w:r>
    </w:p>
    <w:p w14:paraId="4165F5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②如供应商是事业单位，提供有效的“事业单位法人证书”； </w:t>
      </w:r>
    </w:p>
    <w:p w14:paraId="592189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③如供应商是非企业专业服务机构的，提供执业许可证或民办非企业单位法人登记证书等证明文件； </w:t>
      </w:r>
    </w:p>
    <w:p w14:paraId="3A4B39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④如供应商是个体工商户，提供有效的“个体工商户营业执照”； </w:t>
      </w:r>
    </w:p>
    <w:p w14:paraId="060909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⑤如供应商是自然人，提供有效的自然人身份证明（居民身份证正反面或公安机关出具的临时居民身份证正反面或港澳台胞证或护照）。 </w:t>
      </w:r>
    </w:p>
    <w:p w14:paraId="0CF0C7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b.具有良好的商业信誉和健全的财务会计制度的证明材料；</w:t>
      </w:r>
    </w:p>
    <w:p w14:paraId="3A0B6A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c.具有履行合同所必需的设备和专业技术能力； </w:t>
      </w:r>
    </w:p>
    <w:p w14:paraId="1882E1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d.有依法缴纳税收和社会保障资金的良好记录； </w:t>
      </w:r>
    </w:p>
    <w:p w14:paraId="52E092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e.参加政府采购活动前三年内，在经营活动中没有重大违法记录。</w:t>
      </w:r>
    </w:p>
    <w:p w14:paraId="61B860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 xml:space="preserve">落实政策要求的相关证明材料（中小企业声明函（格式见附件）；或供应商为监狱企业的证明文件：省级以上监狱管理局、戒毒管理局（含新疆生产建设兵团）出具；或供应商符合《财政部、民政部、中国残疾人联合会关于促进残疾人就业政府采购政策的通知》（财库〔2017〕141 号）政策规定的，须提供《残疾人福利性单位声明函》）。 </w:t>
      </w:r>
    </w:p>
    <w:p w14:paraId="08D622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特定资格要求：具体要求详见采购公告</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color w:val="auto"/>
          <w:highlight w:val="none"/>
        </w:rPr>
        <w:t>。</w:t>
      </w:r>
    </w:p>
    <w:p w14:paraId="3C87F01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auto"/>
          <w:highlight w:val="none"/>
        </w:rPr>
      </w:pPr>
      <w:r>
        <w:rPr>
          <w:rFonts w:hint="eastAsia"/>
          <w:b/>
          <w:bCs/>
          <w:color w:val="auto"/>
          <w:highlight w:val="none"/>
        </w:rPr>
        <w:t>上述资格证明文件是对供应商资格进行合格性审查的评审依据，供应商应提供上述资料。未按要求出具上述证明材料或出具的证明材料不完整的，资格性审查均不予通过</w:t>
      </w:r>
      <w:r>
        <w:rPr>
          <w:rFonts w:hint="eastAsia"/>
          <w:color w:val="auto"/>
          <w:highlight w:val="none"/>
        </w:rPr>
        <w:t>。</w:t>
      </w:r>
    </w:p>
    <w:p w14:paraId="1FB38E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eastAsia="zh-CN"/>
        </w:rPr>
      </w:pPr>
      <w:r>
        <w:rPr>
          <w:rFonts w:hint="eastAsia"/>
          <w:color w:val="auto"/>
          <w:highlight w:val="none"/>
          <w:lang w:val="en-US" w:eastAsia="zh-CN"/>
        </w:rPr>
        <w:t>2.商务技术响应</w:t>
      </w:r>
      <w:r>
        <w:rPr>
          <w:rFonts w:hint="eastAsia"/>
          <w:color w:val="auto"/>
          <w:highlight w:val="none"/>
        </w:rPr>
        <w:t>文件</w:t>
      </w:r>
      <w:r>
        <w:rPr>
          <w:color w:val="auto"/>
          <w:highlight w:val="none"/>
        </w:rPr>
        <w:t>（包括以下内容）</w:t>
      </w:r>
      <w:r>
        <w:rPr>
          <w:rFonts w:hint="eastAsia"/>
          <w:color w:val="auto"/>
          <w:highlight w:val="none"/>
        </w:rPr>
        <w:t>：</w:t>
      </w:r>
    </w:p>
    <w:p w14:paraId="453675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磋商响应函（格式见附件）；</w:t>
      </w:r>
    </w:p>
    <w:p w14:paraId="4EFBA3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）法定代表人资格证明及法定代表人授权书（如为法定代表人参加磋商，则只需提供法定代表人资格证明书）（格式见附件）；</w:t>
      </w:r>
    </w:p>
    <w:p w14:paraId="420B39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）技术响应（偏离）表（格式见附件）；</w:t>
      </w:r>
    </w:p>
    <w:p w14:paraId="656BC7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）商务响应（偏离）表（格式见附件）；</w:t>
      </w:r>
    </w:p>
    <w:p w14:paraId="58895D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）供应商基本情况表（格式见附件）；</w:t>
      </w:r>
    </w:p>
    <w:p w14:paraId="44426A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人员</w:t>
      </w:r>
      <w:r>
        <w:rPr>
          <w:rFonts w:hint="eastAsia"/>
          <w:color w:val="auto"/>
          <w:highlight w:val="none"/>
        </w:rPr>
        <w:t>备情况表</w:t>
      </w:r>
      <w:r>
        <w:rPr>
          <w:rFonts w:hint="eastAsia"/>
          <w:color w:val="auto"/>
          <w:highlight w:val="none"/>
          <w:lang w:eastAsia="zh-CN"/>
        </w:rPr>
        <w:t>（</w:t>
      </w:r>
      <w:r>
        <w:rPr>
          <w:rFonts w:hint="eastAsia"/>
          <w:color w:val="auto"/>
          <w:highlight w:val="none"/>
        </w:rPr>
        <w:t>格式见附件）；</w:t>
      </w:r>
    </w:p>
    <w:p w14:paraId="68B5E4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同类政府采购项目业绩（格式见附件）；</w:t>
      </w:r>
    </w:p>
    <w:p w14:paraId="2CF354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rFonts w:hint="eastAsia"/>
          <w:color w:val="auto"/>
          <w:sz w:val="21"/>
          <w:szCs w:val="21"/>
          <w:highlight w:val="none"/>
          <w:lang w:val="en-US" w:eastAsia="zh-CN"/>
        </w:rPr>
        <w:t>项目执行</w:t>
      </w:r>
      <w:r>
        <w:rPr>
          <w:rFonts w:hint="eastAsia"/>
          <w:color w:val="auto"/>
          <w:sz w:val="21"/>
          <w:szCs w:val="21"/>
          <w:highlight w:val="none"/>
        </w:rPr>
        <w:t>方案</w:t>
      </w:r>
      <w:r>
        <w:rPr>
          <w:rFonts w:hint="eastAsia"/>
          <w:color w:val="auto"/>
          <w:highlight w:val="none"/>
        </w:rPr>
        <w:t>（格式自拟）；</w:t>
      </w:r>
    </w:p>
    <w:p w14:paraId="017458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）供应商需要说明的其他内容（未尽事宜可按评分细则部分制作）；</w:t>
      </w:r>
    </w:p>
    <w:p w14:paraId="5437B5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）投标单位参与综合评分时需提供的证明文件；</w:t>
      </w:r>
    </w:p>
    <w:p w14:paraId="3E1F64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11</w:t>
      </w:r>
      <w:r>
        <w:rPr>
          <w:rFonts w:hint="eastAsia"/>
          <w:color w:val="auto"/>
          <w:highlight w:val="none"/>
        </w:rPr>
        <w:t>）投标人认为需要的其他技术文件或说明。</w:t>
      </w:r>
    </w:p>
    <w:p w14:paraId="399067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注：以上内容为复印件的应加盖磋商供应商公章，附件中有参考格式的，</w:t>
      </w:r>
      <w:r>
        <w:rPr>
          <w:rFonts w:hint="eastAsia"/>
          <w:color w:val="auto"/>
          <w:highlight w:val="none"/>
          <w:lang w:eastAsia="zh-CN"/>
        </w:rPr>
        <w:t>根据</w:t>
      </w:r>
      <w:r>
        <w:rPr>
          <w:rFonts w:hint="eastAsia"/>
          <w:color w:val="auto"/>
          <w:highlight w:val="none"/>
        </w:rPr>
        <w:t>格式，没有参考格式的，磋商供应商根据磋商文件要求自行编制。</w:t>
      </w:r>
    </w:p>
    <w:p w14:paraId="466A36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val="en-US" w:eastAsia="zh-CN"/>
        </w:rPr>
        <w:t>3.</w:t>
      </w:r>
      <w:r>
        <w:rPr>
          <w:color w:val="auto"/>
          <w:highlight w:val="none"/>
        </w:rPr>
        <w:t>投标报价文件</w:t>
      </w:r>
    </w:p>
    <w:p w14:paraId="284CF5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投标函；</w:t>
      </w:r>
    </w:p>
    <w:p w14:paraId="4D3EFB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磋商报价一览表（首次报价）（格式见附件）；</w:t>
      </w:r>
    </w:p>
    <w:p w14:paraId="3A2D23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报价明细表</w:t>
      </w:r>
    </w:p>
    <w:p w14:paraId="01A225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磋商供应商认为需要提供的其它文件及资料。</w:t>
      </w:r>
    </w:p>
    <w:p w14:paraId="028938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▲磋商响应函、法定代表人授权委托书、磋商报价一览表（首次报价）必须由法定代表人或委托代理人签名并加盖单位公章。</w:t>
      </w:r>
    </w:p>
    <w:bookmarkEnd w:id="6"/>
    <w:bookmarkEnd w:id="7"/>
    <w:p w14:paraId="16D081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（二）响应文件的语言及计量</w:t>
      </w:r>
    </w:p>
    <w:p w14:paraId="15E132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1.响应文件以及供应商与磋商人就有关投标事宜的所有来往函电，均应以中文汉语书写。除签名、盖章、专用名称等特殊情形外，以中文汉语以外的文字表述的响应文件视同未提供。</w:t>
      </w:r>
    </w:p>
    <w:p w14:paraId="66D235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2.投标计量单位，磋商文件已有明确规定的，使用磋商文件规定的计量单位；磋商文件没有规定的，应采用中华人民共和国法定计量单位（货币单位：人民币元），否则视同未响应。</w:t>
      </w:r>
    </w:p>
    <w:p w14:paraId="471C3A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（三）磋商报价</w:t>
      </w:r>
    </w:p>
    <w:p w14:paraId="2D891D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1.磋商报价应按磋商文件中相关附表格式填写。</w:t>
      </w:r>
    </w:p>
    <w:p w14:paraId="63FEC7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▲2.磋商报价是履行合同的最终价格，应包括但不限于人员工资、调查费、缴纳的社会保险、成果文本制作、作业费、专业工器具及设备使用费、汇报及咨询等相关服务费用、管理费用、食宿、交通费</w:t>
      </w:r>
      <w:r>
        <w:rPr>
          <w:rFonts w:hint="eastAsia"/>
          <w:color w:val="auto"/>
          <w:highlight w:val="none"/>
          <w:lang w:eastAsia="zh-CN"/>
        </w:rPr>
        <w:t>、</w:t>
      </w:r>
      <w:r>
        <w:rPr>
          <w:rFonts w:hint="eastAsia"/>
          <w:color w:val="auto"/>
          <w:highlight w:val="none"/>
        </w:rPr>
        <w:t>税金及政策性文件规定等各项应有费用。</w:t>
      </w:r>
    </w:p>
    <w:p w14:paraId="680A06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 在磋商过程中允许再进行最后一次报价，有选择的或有条件的报价将不予接受。</w:t>
      </w:r>
    </w:p>
    <w:p w14:paraId="01B371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（四）响应文件的有效期</w:t>
      </w:r>
    </w:p>
    <w:p w14:paraId="17B7E2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1.响应文件从响应文件递交截止之日起，有效期为90天，有效期不足的响应文件无效。</w:t>
      </w:r>
    </w:p>
    <w:p w14:paraId="0A6956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2.在特殊情况下，招标人可与供应商协商延长投标书的有效期，这种要求和答复均以书面形式进行。</w:t>
      </w:r>
    </w:p>
    <w:p w14:paraId="0E3800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3.供应商可拒绝接受延期要求。同意延长有效期的投标人不能修改响应文件。 </w:t>
      </w:r>
    </w:p>
    <w:p w14:paraId="505BEB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4.中标人的响应文件自开标之日起至合同履行完毕均应保持有效。</w:t>
      </w:r>
    </w:p>
    <w:p w14:paraId="25FAB2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（五）投标文件的签署和份数</w:t>
      </w:r>
    </w:p>
    <w:p w14:paraId="024E30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电子投标文件</w:t>
      </w:r>
    </w:p>
    <w:p w14:paraId="6919C1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电子投标文件按政采云平台供应商电子招投标操作指南（网址：https://help.zcygov.cn/web/site_2/2018/12-28/2573.html）及本招标文件规定的格式和顺序编制电子投标文件并进行关联定位。</w:t>
      </w:r>
    </w:p>
    <w:p w14:paraId="58A567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（六）投标无效的情形</w:t>
      </w:r>
    </w:p>
    <w:p w14:paraId="76CAF8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复印件、传真件等，原件必须加盖单位公章）。修改或者补正响应文件必须以书面形式进行，并应在中标结果公告之前查核原件。限期内不补正或经补正后仍不符合磋商文件要求的，应认定其投标无效。供应商修改、补正响应文件后，不影响磋商小组对其响应文件所作的评价和评分结果。</w:t>
      </w:r>
    </w:p>
    <w:p w14:paraId="189159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26" w:name="_Toc366144037"/>
      <w:r>
        <w:rPr>
          <w:rFonts w:hint="eastAsia"/>
          <w:color w:val="auto"/>
          <w:highlight w:val="none"/>
        </w:rPr>
        <w:t>1.电子投标文件解密失败的。</w:t>
      </w:r>
    </w:p>
    <w:p w14:paraId="6052DE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2.没有通过资格审查的，投标文件将被视为无效。</w:t>
      </w:r>
    </w:p>
    <w:p w14:paraId="6E1453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3.在符合性审查和商务评审时，如发现下列情形之一的，投标文件将被视为无效：</w:t>
      </w:r>
    </w:p>
    <w:p w14:paraId="4DB044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（1）电子投标文件未按规定要求提供电子签章的；</w:t>
      </w:r>
    </w:p>
    <w:p w14:paraId="2D59FB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（2）在资信商务技术文件中出现报价的；</w:t>
      </w:r>
    </w:p>
    <w:p w14:paraId="65C972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（3）资格证明文件不全的，或者不符合招标文件标明的资格要求的；</w:t>
      </w:r>
    </w:p>
    <w:p w14:paraId="68FA83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（4）投标文件无法定代表人签字（或盖章）,或未提供法定代表人授权委托书、投标声明书或者填写项目不齐全的；</w:t>
      </w:r>
    </w:p>
    <w:p w14:paraId="267745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（5）投标代表人未能出具身份证明或与法定代表人授权委托人身份不符的； </w:t>
      </w:r>
    </w:p>
    <w:p w14:paraId="00C905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（6）投标文件格式不规范、项目不齐全或者内容虚假的；</w:t>
      </w:r>
    </w:p>
    <w:p w14:paraId="1D0042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（7）投标文件的实质性内容未使用中文表述、意思表述不明确、前后矛盾或者使用计量单位不符合招标文件要求的（经评标委员会认定并允许其当场更正的笔误除外）；</w:t>
      </w:r>
    </w:p>
    <w:p w14:paraId="5EACBC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（8）投标有效期、交货时间、质保期等商务条款不能满足招标文件要求的；</w:t>
      </w:r>
    </w:p>
    <w:p w14:paraId="03D2AA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（9）未实质性响应招标文件要求或者投标文件有招标方不能接受的附加条件的；</w:t>
      </w:r>
    </w:p>
    <w:p w14:paraId="1976FD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（10）不符合本招标文件中的实质性要求条款。</w:t>
      </w:r>
    </w:p>
    <w:p w14:paraId="304840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4.在技术评审时，如发现下列情形之一的，投标文件将被视为无效：</w:t>
      </w:r>
    </w:p>
    <w:p w14:paraId="1221A4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（1）投标文件标明的响应或偏离与事实不符或虚假投标的；</w:t>
      </w:r>
    </w:p>
    <w:p w14:paraId="6E6A4B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（2）明显不符合招标文件要求的服务内容，或者与招标文件中标“▲”的服务需求、主要功能项目发生实质性偏离的；</w:t>
      </w:r>
    </w:p>
    <w:p w14:paraId="191D4A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（3）允许偏离的技术、性能指标或者辅助功能项目发生负偏离达 2 项（含）以上的；</w:t>
      </w:r>
    </w:p>
    <w:p w14:paraId="11E95B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（4）投标技术方案不明确，存在一个或一个以上备选（替代）投标方案的；</w:t>
      </w:r>
    </w:p>
    <w:p w14:paraId="56891E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（5）与其他参加本次投标供应商的投标文件（技术文件）的文字表述内容相同连续 20行以上或者差错相同 2 处以上的；</w:t>
      </w:r>
    </w:p>
    <w:p w14:paraId="7C75E4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5.在报价评审时，如发现下列情形之一的，投标文件将被视为无效：</w:t>
      </w:r>
    </w:p>
    <w:p w14:paraId="2ABFA6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（1）未采用人民币报价或者未按照招标文件标明的币种报价的；</w:t>
      </w:r>
    </w:p>
    <w:p w14:paraId="68849B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（2）报价超出最高限价；</w:t>
      </w:r>
    </w:p>
    <w:p w14:paraId="3ADBC7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（3）投标报价具有选择性，或者开标价格与投标文件承诺的优惠（折扣）价格不一致的。                                                                                         </w:t>
      </w:r>
    </w:p>
    <w:p w14:paraId="61584A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6.被拒绝的投标文件为无效。</w:t>
      </w:r>
    </w:p>
    <w:p w14:paraId="1636D2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（八）废标的情形</w:t>
      </w:r>
      <w:bookmarkEnd w:id="26"/>
    </w:p>
    <w:p w14:paraId="30C51F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采购中出现下列情形之一的，应予废标（废标后，采购代理机构应当将废标理由通知所有供应商）：</w:t>
      </w:r>
    </w:p>
    <w:p w14:paraId="1062D7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1.出现影响采购公正的违法、违规行为的；</w:t>
      </w:r>
    </w:p>
    <w:p w14:paraId="257991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2.供应商的报价均超过了采购预算，采购人不能支付的；</w:t>
      </w:r>
    </w:p>
    <w:p w14:paraId="45BEB6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3.因重大变故，采购任务取消的。</w:t>
      </w:r>
    </w:p>
    <w:p w14:paraId="09609F87">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四、磋商准备</w:t>
      </w:r>
    </w:p>
    <w:p w14:paraId="3DE4082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1.本项目实行电子开评标，</w:t>
      </w:r>
      <w:r>
        <w:rPr>
          <w:rFonts w:hint="eastAsia"/>
          <w:color w:val="auto"/>
          <w:highlight w:val="none"/>
        </w:rPr>
        <w:t>供应商代表必须持身份证等有效证件出席磋商会议</w:t>
      </w:r>
      <w:r>
        <w:rPr>
          <w:rFonts w:hint="eastAsia" w:ascii="宋体" w:hAnsi="宋体" w:cs="宋体"/>
          <w:bCs/>
          <w:color w:val="auto"/>
          <w:szCs w:val="21"/>
          <w:highlight w:val="none"/>
        </w:rPr>
        <w:t>。</w:t>
      </w:r>
    </w:p>
    <w:p w14:paraId="54A2EEA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2.电子开评标及评审程序</w:t>
      </w:r>
    </w:p>
    <w:p w14:paraId="2BB6198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2.1投标截止时间后的半小时内，由各供应商自行对电子投标文件进行解密（请各供应商务必在规定时间内完成电子投标文件的解密工作； </w:t>
      </w:r>
    </w:p>
    <w:p w14:paraId="7F157D0E">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2.2采购人或代理机构对供应商的资格审查文件进行审查；评标委员会对供应商的资信商务及技术响应文件进行评审；</w:t>
      </w:r>
    </w:p>
    <w:p w14:paraId="4FF1560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2.3评标委员会对报价文件进行评审；</w:t>
      </w:r>
    </w:p>
    <w:p w14:paraId="07F03E90">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2.4评标委员会撰写评审报告，推荐中标候选人。</w:t>
      </w:r>
    </w:p>
    <w:p w14:paraId="18084E6C">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highlight w:val="none"/>
        </w:rPr>
      </w:pPr>
      <w:r>
        <w:rPr>
          <w:rFonts w:hint="eastAsia"/>
          <w:b/>
          <w:bCs/>
          <w:color w:val="auto"/>
          <w:highlight w:val="none"/>
        </w:rPr>
        <w:t>五、磋商程序</w:t>
      </w:r>
    </w:p>
    <w:p w14:paraId="40182E33">
      <w:pPr>
        <w:keepNext w:val="0"/>
        <w:keepLines w:val="0"/>
        <w:pageBreakBefore w:val="0"/>
        <w:widowControl w:val="0"/>
        <w:kinsoku/>
        <w:wordWrap/>
        <w:overflowPunct/>
        <w:topLinePunct w:val="0"/>
        <w:autoSpaceDE/>
        <w:autoSpaceDN/>
        <w:bidi w:val="0"/>
        <w:adjustRightInd/>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（一）磋商程序</w:t>
      </w:r>
    </w:p>
    <w:p w14:paraId="3E04990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1.磋商小组讨论、通过磋商工作流程和磋商要点。</w:t>
      </w:r>
    </w:p>
    <w:p w14:paraId="57016A6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2.主持人宣布磋商的有关事项；</w:t>
      </w:r>
    </w:p>
    <w:p w14:paraId="3E33684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3.磋商小组对所提交的响应资信及商务、技术文件进行审查，审查结束后，由主持人公布无效响应方名单、响应无效的原因、废标情况；</w:t>
      </w:r>
    </w:p>
    <w:p w14:paraId="2626D1A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4.磋商小组与各响应方就项目需求、工期安排、价格构成、付款方式等要素分别进行磋商。</w:t>
      </w:r>
      <w:r>
        <w:rPr>
          <w:rFonts w:hint="eastAsia" w:hAnsi="宋体" w:cs="宋体-18030"/>
          <w:color w:val="auto"/>
          <w:szCs w:val="21"/>
          <w:highlight w:val="none"/>
        </w:rPr>
        <w:t>逐家磋商一次为一个轮次，磋商轮次由磋商小组视情况决定</w:t>
      </w:r>
      <w:r>
        <w:rPr>
          <w:rFonts w:hint="eastAsia" w:ascii="宋体" w:hAnsi="宋体" w:cs="宋体"/>
          <w:bCs/>
          <w:color w:val="auto"/>
          <w:szCs w:val="21"/>
          <w:highlight w:val="none"/>
        </w:rPr>
        <w:t>。</w:t>
      </w:r>
    </w:p>
    <w:p w14:paraId="6C73295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5.在磋商过程中，采购人和磋商对象可就合同内容进行磋商，技术需求如双方都认为有必要的情况可作相应微调，但评分标准不作调整。</w:t>
      </w:r>
    </w:p>
    <w:p w14:paraId="33B74D9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6.如磋商过程中有调整的内容，在最后一轮报价前，代理机构将根据磋商内容将调整的部分发给符合参与最后一轮报价的磋商供应商，以便其在最后一轮报价中调整报价。</w:t>
      </w:r>
    </w:p>
    <w:p w14:paraId="5C59F47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7.磋商结束后，主持人宣布本次最终报价的最高限价，并要求各响应方在规定时间内进行最终报价。在规定时间内没有提交最终报价的磋商供应商，其响应文件视为无效。</w:t>
      </w:r>
    </w:p>
    <w:p w14:paraId="7636F0F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8.在各响应方最终报价过程中，同时磋商小组根据本磋商文件的评审方法对各响应方的资信及商务、技术情况进行评审打分。工作人员按照磋商小组独立评定结果进行计算。</w:t>
      </w:r>
    </w:p>
    <w:p w14:paraId="014F296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9.工作人员确认各响应方提交的按规定进入价格标评审的磋商最终报价，并公开最终报价，最后要求响应方公开确认无误。</w:t>
      </w:r>
    </w:p>
    <w:p w14:paraId="5F02B88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10.磋商小组对最终报价的合理性进行审核，决定是否结束磋商。若报价合理，磋商小组则根据第四章评审方法计算出总得分并按照排序由高到低的原则推荐候选供应商；</w:t>
      </w:r>
    </w:p>
    <w:p w14:paraId="6662674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11.磋商结束后，主持人公布有效响应方的总得分结果和推荐排名。</w:t>
      </w:r>
    </w:p>
    <w:p w14:paraId="17B2E83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12.磋商原则：磋商小组必须公平、公正、客观，不带任何倾向性和启发性；不得向外界透露任何与磋商有关的内容；任何单位和个人不得干扰、影响磋商的正常进行；磋商小组及有关工作人员不得私下与响应方接触。</w:t>
      </w:r>
    </w:p>
    <w:p w14:paraId="38E0455F">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（二）响应文件的澄清</w:t>
      </w:r>
    </w:p>
    <w:p w14:paraId="1CC0EBA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1.在磋商期间，磋商小组有权要求磋商供应商对其响应文件含义不明确、同类问题表述不一致或者有明显文字和计算错误的内容进行澄清。磋商供应商应派授权代表和技术人员按磋商小组通知的时间接受询标。</w:t>
      </w:r>
    </w:p>
    <w:p w14:paraId="0A7F189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2.磋商小组认为有必要，可要求磋商供应商对某些问题作出必要的澄清、说明和纠正。供应商的澄清、说明或者补正应当采用书面形式，由其授权的代表签字。供应商的书面澄清材料作为响应文件的补充。</w:t>
      </w:r>
    </w:p>
    <w:p w14:paraId="5229643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3.磋商供应商不按磋商小组规定的时间作书面澄清，将视为放弃该权利。</w:t>
      </w:r>
    </w:p>
    <w:p w14:paraId="701C33A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4.并非每个磋商供应商都将被询标。</w:t>
      </w:r>
    </w:p>
    <w:p w14:paraId="2D431AC5">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（三）确定成交供应商</w:t>
      </w:r>
    </w:p>
    <w:p w14:paraId="5C4C615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1.磋商小组将对通过资格性审查和符合性审查的响应文件进行评价和比较。</w:t>
      </w:r>
    </w:p>
    <w:p w14:paraId="4E273C2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磋商小组按采购文件公布的评定成交标准对响应文件进行评审，并将最终得分排名提交给采购人，采购人书面授权磋商小组直接确定成交供应商磋商小组确认成交人。最低报价等任何单项因素的最优不作为成交的保证。</w:t>
      </w:r>
    </w:p>
    <w:p w14:paraId="527DACCF">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（四）磋商过程保密</w:t>
      </w:r>
    </w:p>
    <w:p w14:paraId="314727AE">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1.在宣布成交结果之前，凡属于审查、澄清、评价、比较磋商文件等有关信息，相关当事人均不得泄露给任何磋商供应商或与磋商工作无关的人员。</w:t>
      </w:r>
    </w:p>
    <w:p w14:paraId="3C3F920E">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2.磋商供应商不得探听上述信息，不得以任何行为影响磋商过程，否则其响应文件将被作为无效响应文件。</w:t>
      </w:r>
    </w:p>
    <w:p w14:paraId="7DFD745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3.在磋商期间，代理机构将有专门人员与磋商供应商进行联络。</w:t>
      </w:r>
    </w:p>
    <w:p w14:paraId="0C6B393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4.代理机构和磋商小组不向未成交的磋商供应商解释未成交原因，也不对磋商过程中的细节问题进行公布。</w:t>
      </w:r>
    </w:p>
    <w:p w14:paraId="272E6186">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六、评标</w:t>
      </w:r>
    </w:p>
    <w:p w14:paraId="38E0828D">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（一）组建评标委员会</w:t>
      </w:r>
    </w:p>
    <w:p w14:paraId="0103211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评标委员会由采购人代表和评审专家组成，</w:t>
      </w:r>
      <w:r>
        <w:rPr>
          <w:rFonts w:hint="eastAsia" w:ascii="宋体" w:hAnsi="宋体" w:cs="宋体"/>
          <w:b/>
          <w:bCs w:val="0"/>
          <w:color w:val="auto"/>
          <w:szCs w:val="21"/>
          <w:highlight w:val="none"/>
        </w:rPr>
        <w:t>政府采购评审专家2人和采购人代表1人，共3人组成</w:t>
      </w:r>
      <w:r>
        <w:rPr>
          <w:rFonts w:hint="eastAsia" w:ascii="宋体" w:hAnsi="宋体" w:cs="宋体"/>
          <w:bCs/>
          <w:color w:val="auto"/>
          <w:szCs w:val="21"/>
          <w:highlight w:val="none"/>
        </w:rPr>
        <w:t>。</w:t>
      </w:r>
    </w:p>
    <w:p w14:paraId="6FCFB8C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评标委员会负责具体评标事务，并独立履行下列职责：</w:t>
      </w:r>
    </w:p>
    <w:p w14:paraId="4AD44CD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1、审查、评价投标文件是否符合招标文件的商务、技术等实质性要求;</w:t>
      </w:r>
    </w:p>
    <w:p w14:paraId="7884EEE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2、要求供应商对投标文件有关事项作出澄清或者说明;</w:t>
      </w:r>
    </w:p>
    <w:p w14:paraId="60B1D5C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3、对投标文件进行比较和评价;</w:t>
      </w:r>
    </w:p>
    <w:p w14:paraId="2A08A31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4、确定中标候选人名单，以及根据采购人委托直接确定中标人;</w:t>
      </w:r>
    </w:p>
    <w:p w14:paraId="71E5A85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5、向采购人、代理机构或者有关部门报告评标中发现的违法行为。</w:t>
      </w:r>
    </w:p>
    <w:p w14:paraId="0B811EA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除采购人代表、评标现场组织人员外，采购人的其他工作人员以及与评标工作无关的人员不得进入评标现场。</w:t>
      </w:r>
    </w:p>
    <w:p w14:paraId="7EA3A558">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（二）评标的方式</w:t>
      </w:r>
    </w:p>
    <w:p w14:paraId="62AD4DE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本项目采用不公开方式评标，评标的依据为招标文件和投标文件。</w:t>
      </w:r>
    </w:p>
    <w:p w14:paraId="31784F25">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（三）评标程序</w:t>
      </w:r>
    </w:p>
    <w:p w14:paraId="27483D2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采购人可以在评标前说明项目背景和采购需求，说明内容不得含有歧视性、倾向性意见，不得超出招标文件所述范围。说明应当提交书面材料，并随招标文件一并存档。</w:t>
      </w:r>
    </w:p>
    <w:p w14:paraId="1DC3812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1.形式审查</w:t>
      </w:r>
    </w:p>
    <w:p w14:paraId="609F445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1255542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2.实质审查与比较</w:t>
      </w:r>
    </w:p>
    <w:p w14:paraId="2090007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（1）评标委员会审查投标文件的实质性内容是否符合招标文件的实质性要求。</w:t>
      </w:r>
    </w:p>
    <w:p w14:paraId="3A56AC5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（2）评标委员会将根据供应商的投标文件进行审查、核对,如有疑问,将对供应商进行询标,供应商要向评标委员会澄清有关问题,并最终以书面形式进行答复。</w:t>
      </w:r>
    </w:p>
    <w:p w14:paraId="0FC48AA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询标时，供应商代表未到场或者拒绝澄清或者澄清的内容改变了投标文件的实质性内容的，评标委员会有权对该投标文件作出不利于供应商的评判。</w:t>
      </w:r>
    </w:p>
    <w:p w14:paraId="561887C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（3）各供应商的资信商务及技术分按照评标委员会成员的独立评分结果汇后的算术平均分计算。</w:t>
      </w:r>
    </w:p>
    <w:p w14:paraId="7217899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（4）嘉兴市</w:t>
      </w:r>
      <w:r>
        <w:rPr>
          <w:rFonts w:hint="eastAsia" w:ascii="宋体" w:hAnsi="宋体" w:cs="宋体"/>
          <w:bCs/>
          <w:color w:val="auto"/>
          <w:szCs w:val="21"/>
          <w:highlight w:val="none"/>
          <w:lang w:val="en-US" w:eastAsia="zh-CN"/>
        </w:rPr>
        <w:t>千秋工程</w:t>
      </w:r>
      <w:r>
        <w:rPr>
          <w:rFonts w:hint="eastAsia" w:ascii="宋体" w:hAnsi="宋体" w:cs="宋体"/>
          <w:bCs/>
          <w:color w:val="auto"/>
          <w:szCs w:val="21"/>
          <w:highlight w:val="none"/>
        </w:rPr>
        <w:t>咨询有限公司工作人员协助评标委员会根据本项目的评分标准操作政府采购业务系统，由系统计算各供应商的商务报价得分。</w:t>
      </w:r>
    </w:p>
    <w:p w14:paraId="4402ABE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（5）评标委员会完成评标后,评委对各部分得分汇总,计算出本项目最终得分、性价比、评标价等。评标委员会按评标原则推荐中标候选人同时起草评标报告。</w:t>
      </w:r>
    </w:p>
    <w:p w14:paraId="1F765B2E">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（四）澄清问题的形式</w:t>
      </w:r>
    </w:p>
    <w:p w14:paraId="1182962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对投标文件中含义不明确、同类问题表述不一致或者有明显文字和计算错误的内容，评标委员会可要求供应商作出必要的澄清、说明或者纠正。</w:t>
      </w:r>
    </w:p>
    <w:p w14:paraId="430094F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7A9E948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2、如果供应商代表拒绝或未按评标委员会要求在“政采云”平台作出在线回复且无其他有效回复方式的，评标委员会可以对其作出无效标处理。</w:t>
      </w:r>
    </w:p>
    <w:p w14:paraId="23204F82">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（五）错误修正</w:t>
      </w:r>
    </w:p>
    <w:p w14:paraId="55FDB46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投标文件如果出现计算或表达上的错误，修正错误的原则如下：</w:t>
      </w:r>
    </w:p>
    <w:p w14:paraId="5A4F324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1.开标一览表总价与投标报价明细表汇总数不一致的，以开标一览表为准；</w:t>
      </w:r>
    </w:p>
    <w:p w14:paraId="6392BC5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2.投标文件的大写金额和小写金额不一致的，以大写金额为准；</w:t>
      </w:r>
    </w:p>
    <w:p w14:paraId="5915CB8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3.总价金额与按单价汇总金额不一致的，以单价金额计算结果为准；</w:t>
      </w:r>
    </w:p>
    <w:p w14:paraId="6E88799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4.对不同文字文本投标文件的解释发生异议的，以中文文本为准。</w:t>
      </w:r>
    </w:p>
    <w:p w14:paraId="4F59204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75131EC0">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（六）评标原则和评标办法</w:t>
      </w:r>
    </w:p>
    <w:p w14:paraId="6639449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3BD943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2.评标办法。本项目评标办法是 综合评标法，具体评标内容及评分标准等详见《第四</w:t>
      </w:r>
      <w:r>
        <w:rPr>
          <w:rFonts w:hint="eastAsia" w:ascii="宋体" w:hAnsi="宋体" w:cs="宋体"/>
          <w:bCs/>
          <w:color w:val="auto"/>
          <w:szCs w:val="21"/>
          <w:highlight w:val="none"/>
          <w:lang w:val="en-US" w:eastAsia="zh-CN"/>
        </w:rPr>
        <w:t>部分</w:t>
      </w:r>
      <w:r>
        <w:rPr>
          <w:rFonts w:hint="eastAsia" w:ascii="宋体" w:hAnsi="宋体" w:cs="宋体"/>
          <w:bCs/>
          <w:color w:val="auto"/>
          <w:szCs w:val="21"/>
          <w:highlight w:val="none"/>
        </w:rPr>
        <w:t>》。</w:t>
      </w:r>
    </w:p>
    <w:p w14:paraId="41698E43">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（七）评标过程的监控</w:t>
      </w:r>
    </w:p>
    <w:p w14:paraId="1CEA7FEE">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本项目评标过程实行全程录音、录像监控。供应商在评标过程中所进行的试图影响评标结果的不公正活动，可能导致其投标被拒绝。</w:t>
      </w:r>
    </w:p>
    <w:p w14:paraId="2A3E5B7D">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七、磋商结果的确定</w:t>
      </w:r>
    </w:p>
    <w:p w14:paraId="09EB38B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（一）磋商结果确定：采购人事先书面授权磋商小组直接确定成交供应商。</w:t>
      </w:r>
    </w:p>
    <w:p w14:paraId="63C3BA1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（二）成交公告：成交公告期限为1个工作日。</w:t>
      </w:r>
    </w:p>
    <w:p w14:paraId="281E021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（三）成交通知书：在公告成交结果的同时，代理机构向成交供应商发出成交通知书。</w:t>
      </w:r>
    </w:p>
    <w:p w14:paraId="67C610B6">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八、合同授予</w:t>
      </w:r>
    </w:p>
    <w:p w14:paraId="617C982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（一）签订合同</w:t>
      </w:r>
    </w:p>
    <w:p w14:paraId="6676AEC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1.采购人与成交供应商应当在《成交通知书》发出之日起30日内签订政府采购合同。同时，代理机构对合同内容进行审查，如发现与采购结果和投标承诺内容不一致的，将予以纠正。</w:t>
      </w:r>
    </w:p>
    <w:p w14:paraId="035BB84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2.成交供应商拖延、拒签合同的,将被取消中标资格，并报监督管理部门。</w:t>
      </w:r>
    </w:p>
    <w:p w14:paraId="0C26A8B5">
      <w:pPr>
        <w:keepNext w:val="0"/>
        <w:keepLines w:val="0"/>
        <w:pageBreakBefore w:val="0"/>
        <w:widowControl w:val="0"/>
        <w:kinsoku/>
        <w:wordWrap/>
        <w:overflowPunct/>
        <w:topLinePunct w:val="0"/>
        <w:autoSpaceDE/>
        <w:autoSpaceDN/>
        <w:bidi w:val="0"/>
        <w:snapToGrid w:val="0"/>
        <w:spacing w:line="400" w:lineRule="exact"/>
        <w:ind w:left="0" w:firstLine="422"/>
        <w:textAlignment w:val="auto"/>
        <w:rPr>
          <w:rFonts w:hint="eastAsia" w:ascii="宋体" w:hAnsi="宋体" w:cs="宋体"/>
          <w:b/>
          <w:color w:val="auto"/>
          <w:szCs w:val="21"/>
          <w:highlight w:val="none"/>
        </w:rPr>
      </w:pPr>
      <w:r>
        <w:rPr>
          <w:rFonts w:hint="eastAsia" w:ascii="宋体" w:hAnsi="宋体" w:cs="宋体"/>
          <w:b/>
          <w:color w:val="auto"/>
          <w:szCs w:val="21"/>
          <w:highlight w:val="none"/>
        </w:rPr>
        <w:t>（二）履约保证金</w:t>
      </w:r>
    </w:p>
    <w:p w14:paraId="28D5686E">
      <w:pPr>
        <w:pStyle w:val="15"/>
        <w:keepNext w:val="0"/>
        <w:keepLines w:val="0"/>
        <w:pageBreakBefore w:val="0"/>
        <w:widowControl w:val="0"/>
        <w:kinsoku/>
        <w:wordWrap/>
        <w:overflowPunct/>
        <w:topLinePunct w:val="0"/>
        <w:autoSpaceDE/>
        <w:autoSpaceDN/>
        <w:bidi w:val="0"/>
        <w:snapToGrid w:val="0"/>
        <w:spacing w:line="400" w:lineRule="exact"/>
        <w:ind w:left="0" w:firstLine="420"/>
        <w:textAlignment w:val="auto"/>
        <w:rPr>
          <w:rFonts w:hint="eastAsia" w:hAnsi="宋体" w:cs="宋体"/>
          <w:color w:val="auto"/>
          <w:sz w:val="21"/>
          <w:szCs w:val="21"/>
          <w:highlight w:val="none"/>
        </w:rPr>
      </w:pPr>
      <w:r>
        <w:rPr>
          <w:rFonts w:hint="eastAsia" w:hAnsi="宋体" w:cs="宋体"/>
          <w:color w:val="auto"/>
          <w:sz w:val="21"/>
          <w:szCs w:val="21"/>
          <w:highlight w:val="none"/>
        </w:rPr>
        <w:t>本项目不设置履约保证金</w:t>
      </w:r>
    </w:p>
    <w:p w14:paraId="19FE4F1F">
      <w:pPr>
        <w:snapToGrid w:val="0"/>
        <w:spacing w:line="360" w:lineRule="auto"/>
        <w:ind w:firstLine="420" w:firstLineChars="200"/>
        <w:rPr>
          <w:rFonts w:hint="eastAsia" w:ascii="宋体" w:hAnsi="宋体" w:cs="宋体"/>
          <w:bCs/>
          <w:color w:val="auto"/>
          <w:szCs w:val="21"/>
          <w:highlight w:val="none"/>
        </w:rPr>
      </w:pPr>
    </w:p>
    <w:p w14:paraId="3DAC5DBC">
      <w:pPr>
        <w:pStyle w:val="2"/>
        <w:pageBreakBefore/>
        <w:snapToGrid w:val="0"/>
        <w:spacing w:before="240" w:after="240" w:line="240" w:lineRule="auto"/>
        <w:rPr>
          <w:rFonts w:hint="default" w:ascii="宋体" w:hAnsi="宋体" w:eastAsia="宋体"/>
          <w:color w:val="auto"/>
          <w:sz w:val="32"/>
          <w:highlight w:val="none"/>
          <w:lang w:val="en-US" w:eastAsia="zh-CN"/>
        </w:rPr>
      </w:pPr>
      <w:bookmarkStart w:id="27" w:name="_Toc308"/>
      <w:r>
        <w:rPr>
          <w:rFonts w:hint="eastAsia" w:ascii="宋体" w:hAnsi="宋体" w:eastAsia="宋体"/>
          <w:color w:val="auto"/>
          <w:sz w:val="32"/>
          <w:highlight w:val="none"/>
        </w:rPr>
        <w:t xml:space="preserve">第三部分 </w:t>
      </w:r>
      <w:r>
        <w:rPr>
          <w:rFonts w:hint="eastAsia" w:ascii="宋体" w:hAnsi="宋体" w:eastAsia="宋体"/>
          <w:color w:val="auto"/>
          <w:sz w:val="32"/>
          <w:highlight w:val="none"/>
          <w:lang w:val="en-US" w:eastAsia="zh-CN"/>
        </w:rPr>
        <w:t>采购需求</w:t>
      </w:r>
      <w:bookmarkEnd w:id="27"/>
    </w:p>
    <w:p w14:paraId="3962FCB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bookmarkStart w:id="28" w:name="_Hlk111824055"/>
      <w:r>
        <w:rPr>
          <w:rFonts w:hint="eastAsia" w:ascii="微软雅黑" w:hAnsi="微软雅黑" w:cs="微软雅黑"/>
          <w:color w:val="auto"/>
          <w:szCs w:val="21"/>
          <w:highlight w:val="none"/>
        </w:rPr>
        <w:t>为全面贯彻《中共中央国务院关于建立国土空间规划体系并监督实施的若干意见》《浙江省委浙江省人民政府关于加强国土空间规划体系建设并监督实施的意见》，落实中共嘉兴市委市政府印发的《关于加强国土空间规划体系建设 提高市域国土空间治理能力的实施意见》，根据国家、省市相关法律法规、政策文件及规范标准的要求，结合平湖市</w:t>
      </w:r>
      <w:r>
        <w:rPr>
          <w:rFonts w:hint="eastAsia" w:ascii="微软雅黑" w:hAnsi="微软雅黑" w:cs="微软雅黑"/>
          <w:color w:val="auto"/>
          <w:szCs w:val="21"/>
          <w:highlight w:val="none"/>
          <w:lang w:val="en-US" w:eastAsia="zh-CN"/>
        </w:rPr>
        <w:t>新仓镇</w:t>
      </w:r>
      <w:r>
        <w:rPr>
          <w:rFonts w:hint="eastAsia" w:ascii="微软雅黑" w:hAnsi="微软雅黑" w:cs="微软雅黑"/>
          <w:color w:val="auto"/>
          <w:szCs w:val="21"/>
          <w:highlight w:val="none"/>
        </w:rPr>
        <w:t>镇实际，开展国土空间规划体系下新一轮的城镇单元详细规划编制工作</w:t>
      </w:r>
      <w:r>
        <w:rPr>
          <w:rFonts w:hint="eastAsia" w:ascii="宋体" w:hAnsi="宋体" w:eastAsia="宋体" w:cs="宋体"/>
          <w:color w:val="auto"/>
          <w:sz w:val="21"/>
          <w:szCs w:val="21"/>
          <w:highlight w:val="none"/>
          <w:lang w:eastAsia="zh-CN"/>
        </w:rPr>
        <w:t>。</w:t>
      </w:r>
    </w:p>
    <w:p w14:paraId="4ED84D9B">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一、服务内容</w:t>
      </w:r>
    </w:p>
    <w:p w14:paraId="0713183D">
      <w:pPr>
        <w:spacing w:line="500" w:lineRule="exact"/>
        <w:ind w:firstLine="420"/>
        <w:rPr>
          <w:rFonts w:hint="default" w:ascii="微软雅黑" w:hAnsi="微软雅黑" w:cs="微软雅黑"/>
          <w:color w:val="auto"/>
          <w:szCs w:val="21"/>
          <w:highlight w:val="none"/>
          <w:lang w:val="en-US" w:eastAsia="zh-CN"/>
        </w:rPr>
      </w:pPr>
      <w:r>
        <w:rPr>
          <w:rFonts w:hint="eastAsia" w:ascii="微软雅黑" w:hAnsi="微软雅黑" w:cs="微软雅黑"/>
          <w:color w:val="auto"/>
          <w:szCs w:val="21"/>
          <w:highlight w:val="none"/>
        </w:rPr>
        <w:t>1.项目范围：</w:t>
      </w:r>
      <w:r>
        <w:rPr>
          <w:rFonts w:hint="eastAsia" w:ascii="微软雅黑" w:hAnsi="微软雅黑" w:cs="微软雅黑"/>
          <w:color w:val="auto"/>
          <w:szCs w:val="21"/>
          <w:highlight w:val="none"/>
          <w:lang w:val="en-US" w:eastAsia="zh-CN"/>
        </w:rPr>
        <w:t>平湖市新仓镇01-03城镇单元制性详细规划，主要范围为安桥社区（33048200801）、芦川社区（33048200802）和新仓老街（33048200803）所在的三个城镇单元，总面积6.72平方公里，涉及到城镇开发边界内的面积3.91平方公里。</w:t>
      </w:r>
    </w:p>
    <w:p w14:paraId="0322EE80">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2.项目主要内容：</w:t>
      </w:r>
    </w:p>
    <w:p w14:paraId="6B8A8CFA">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结合《浙江省国土空间详细规划编制审批办法（征求意见稿）》《浙江省城镇单元控制性详细规划编制技术指南（征求意见稿）》等文件，编制国土空间规划体系下的城镇单元详细规划。</w:t>
      </w:r>
    </w:p>
    <w:p w14:paraId="1C49B90B">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对</w:t>
      </w:r>
      <w:r>
        <w:rPr>
          <w:rFonts w:hint="eastAsia" w:ascii="微软雅黑" w:hAnsi="微软雅黑" w:cs="微软雅黑"/>
          <w:color w:val="auto"/>
          <w:szCs w:val="21"/>
          <w:highlight w:val="none"/>
          <w:lang w:val="en-US" w:eastAsia="zh-CN"/>
        </w:rPr>
        <w:t>安桥社区（33048200801）、芦川社区（33048200802）和新仓老街（33048200803）</w:t>
      </w:r>
      <w:r>
        <w:rPr>
          <w:rFonts w:hint="eastAsia" w:ascii="微软雅黑" w:hAnsi="微软雅黑" w:cs="微软雅黑"/>
          <w:color w:val="auto"/>
          <w:szCs w:val="21"/>
          <w:highlight w:val="none"/>
        </w:rPr>
        <w:t>进行总体规划研究，包括相关规划衔接、总体定位、用地布局、公共服务设施、综合交通等内容。</w:t>
      </w:r>
    </w:p>
    <w:p w14:paraId="64C6F8AF">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城镇单元主要编制内容：</w:t>
      </w:r>
    </w:p>
    <w:p w14:paraId="0D6C5D92">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（1）现状分析。实地调研并对现状情况进行分析，包括用地情况、公共服务设施及基础设施建设情况等。</w:t>
      </w:r>
    </w:p>
    <w:p w14:paraId="0441C658">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2</w:t>
      </w:r>
      <w:r>
        <w:rPr>
          <w:rFonts w:hint="eastAsia" w:ascii="微软雅黑" w:hAnsi="微软雅黑" w:cs="微软雅黑"/>
          <w:color w:val="auto"/>
          <w:szCs w:val="21"/>
          <w:highlight w:val="none"/>
        </w:rPr>
        <w:t>）确定开发强度，依据总体布局和城市设计研究，合理确定城镇单元建设用地面积、平均容积率、居住建筑总量、规划居住人口数量、绿地率等指标。</w:t>
      </w:r>
    </w:p>
    <w:p w14:paraId="6E616E73">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3</w:t>
      </w:r>
      <w:r>
        <w:rPr>
          <w:rFonts w:hint="eastAsia" w:ascii="微软雅黑" w:hAnsi="微软雅黑" w:cs="微软雅黑"/>
          <w:color w:val="auto"/>
          <w:szCs w:val="21"/>
          <w:highlight w:val="none"/>
        </w:rPr>
        <w:t>）划定城市“六线”并明确管控要求。</w:t>
      </w:r>
    </w:p>
    <w:p w14:paraId="50FAD69F">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4</w:t>
      </w:r>
      <w:r>
        <w:rPr>
          <w:rFonts w:hint="eastAsia" w:ascii="微软雅黑" w:hAnsi="微软雅黑" w:cs="微软雅黑"/>
          <w:color w:val="auto"/>
          <w:szCs w:val="21"/>
          <w:highlight w:val="none"/>
        </w:rPr>
        <w:t>）确定公共服务设施数量、规模、使用性质、边界，并提出建设管控要求。</w:t>
      </w:r>
    </w:p>
    <w:p w14:paraId="30DAC148">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5</w:t>
      </w:r>
      <w:r>
        <w:rPr>
          <w:rFonts w:hint="eastAsia" w:ascii="微软雅黑" w:hAnsi="微软雅黑" w:cs="微软雅黑"/>
          <w:color w:val="auto"/>
          <w:szCs w:val="21"/>
          <w:highlight w:val="none"/>
        </w:rPr>
        <w:t>）明确各类交通体系，包括道路布局、断面形式，交通设施的数量、规模、使用性质、边界，并提出控制要求。</w:t>
      </w:r>
    </w:p>
    <w:p w14:paraId="30B36AA4">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6</w:t>
      </w:r>
      <w:r>
        <w:rPr>
          <w:rFonts w:hint="eastAsia" w:ascii="微软雅黑" w:hAnsi="微软雅黑" w:cs="微软雅黑"/>
          <w:color w:val="auto"/>
          <w:szCs w:val="21"/>
          <w:highlight w:val="none"/>
        </w:rPr>
        <w:t>）确定市政防灾等基础设施的线位、规模、界线和点位，提出控制要求。</w:t>
      </w:r>
    </w:p>
    <w:p w14:paraId="52A84E46">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7</w:t>
      </w:r>
      <w:r>
        <w:rPr>
          <w:rFonts w:hint="eastAsia" w:ascii="微软雅黑" w:hAnsi="微软雅黑" w:cs="微软雅黑"/>
          <w:color w:val="auto"/>
          <w:szCs w:val="21"/>
          <w:highlight w:val="none"/>
        </w:rPr>
        <w:t>）依据总体层面城市设计研究确定城镇单元相关控制指标及风貌管控要求。</w:t>
      </w:r>
    </w:p>
    <w:p w14:paraId="7907298F">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8</w:t>
      </w:r>
      <w:r>
        <w:rPr>
          <w:rFonts w:hint="eastAsia" w:ascii="微软雅黑" w:hAnsi="微软雅黑" w:cs="微软雅黑"/>
          <w:color w:val="auto"/>
          <w:szCs w:val="21"/>
          <w:highlight w:val="none"/>
        </w:rPr>
        <w:t>）明确地下空间（人防）规划要求。</w:t>
      </w:r>
    </w:p>
    <w:p w14:paraId="391EFF49">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9</w:t>
      </w:r>
      <w:r>
        <w:rPr>
          <w:rFonts w:hint="eastAsia" w:ascii="微软雅黑" w:hAnsi="微软雅黑" w:cs="微软雅黑"/>
          <w:color w:val="auto"/>
          <w:szCs w:val="21"/>
          <w:highlight w:val="none"/>
        </w:rPr>
        <w:t>）在城镇单元内划定街区（地块）范围，并研究制定街区层面开发建设指标和管控要求。</w:t>
      </w:r>
    </w:p>
    <w:p w14:paraId="784A768D">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10</w:t>
      </w:r>
      <w:r>
        <w:rPr>
          <w:rFonts w:hint="eastAsia" w:ascii="微软雅黑" w:hAnsi="微软雅黑" w:cs="微软雅黑"/>
          <w:color w:val="auto"/>
          <w:szCs w:val="21"/>
          <w:highlight w:val="none"/>
        </w:rPr>
        <w:t>）制定土地细分图则（地块管控图则）等。研究制定地块开发建设指标和管控要求。</w:t>
      </w:r>
    </w:p>
    <w:p w14:paraId="30F6A52A">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（1</w:t>
      </w:r>
      <w:r>
        <w:rPr>
          <w:rFonts w:ascii="微软雅黑" w:hAnsi="微软雅黑" w:cs="微软雅黑"/>
          <w:color w:val="auto"/>
          <w:szCs w:val="21"/>
          <w:highlight w:val="none"/>
        </w:rPr>
        <w:t>1</w:t>
      </w:r>
      <w:r>
        <w:rPr>
          <w:rFonts w:hint="eastAsia" w:ascii="微软雅黑" w:hAnsi="微软雅黑" w:cs="微软雅黑"/>
          <w:color w:val="auto"/>
          <w:szCs w:val="21"/>
          <w:highlight w:val="none"/>
        </w:rPr>
        <w:t>）相关类型城镇单元详细规划还应根据具体的类型特点与管控要求增加相应内容，提高规划精准性。同时在编制过程中进一步落实省、市对详细规划编制的最新要求。</w:t>
      </w:r>
    </w:p>
    <w:p w14:paraId="7BD35DF7">
      <w:pPr>
        <w:spacing w:line="500" w:lineRule="exact"/>
        <w:rPr>
          <w:rFonts w:ascii="微软雅黑" w:hAnsi="微软雅黑" w:cs="微软雅黑"/>
          <w:b/>
          <w:color w:val="auto"/>
          <w:szCs w:val="21"/>
          <w:highlight w:val="none"/>
        </w:rPr>
      </w:pPr>
      <w:r>
        <w:rPr>
          <w:rFonts w:hint="eastAsia" w:ascii="微软雅黑" w:hAnsi="微软雅黑" w:cs="微软雅黑"/>
          <w:b/>
          <w:color w:val="auto"/>
          <w:szCs w:val="21"/>
          <w:highlight w:val="none"/>
          <w:lang w:val="en-US" w:eastAsia="zh-CN"/>
        </w:rPr>
        <w:t>二</w:t>
      </w:r>
      <w:r>
        <w:rPr>
          <w:rFonts w:hint="eastAsia" w:ascii="微软雅黑" w:hAnsi="微软雅黑" w:cs="微软雅黑"/>
          <w:b/>
          <w:color w:val="auto"/>
          <w:szCs w:val="21"/>
          <w:highlight w:val="none"/>
        </w:rPr>
        <w:t>、成果要求</w:t>
      </w:r>
    </w:p>
    <w:p w14:paraId="39BB3C5C">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1.成果内容</w:t>
      </w:r>
    </w:p>
    <w:p w14:paraId="720129C5">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城镇单元成果包括法定文件、技术文件、附件三部分。</w:t>
      </w:r>
    </w:p>
    <w:p w14:paraId="359EE923">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（1）法定文件：包括文本、图则和相关附表。</w:t>
      </w:r>
    </w:p>
    <w:p w14:paraId="5D5E1D8D">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（2）技术文件：包括规划说明、图集等。</w:t>
      </w:r>
    </w:p>
    <w:p w14:paraId="741D4765">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（3）附件：包括基础资料汇编、会审意见与落实等相关材料。</w:t>
      </w:r>
    </w:p>
    <w:p w14:paraId="0360AE48">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2.纸质成果</w:t>
      </w:r>
    </w:p>
    <w:p w14:paraId="76D250FF">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纸质成果份数应满足审查、报批及存档需求。</w:t>
      </w:r>
    </w:p>
    <w:p w14:paraId="6BFC0EDE">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3.电子数据成果</w:t>
      </w:r>
    </w:p>
    <w:p w14:paraId="77DA4BC6">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（1）规划文本、说明书等采用WORD格式和PDF格式，规划图纸和规划图则采用DWG格式、GIS格式和JPG格式。</w:t>
      </w:r>
    </w:p>
    <w:p w14:paraId="7BFCD9CF">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（2）规划成果的电子文件必须符合平湖市自然资源和规划局关于一张图入库与维护管理的相关要求，纳入市国土空间规划“一张图”实施监督信息平台，实施“一张图”统一管理。</w:t>
      </w:r>
    </w:p>
    <w:p w14:paraId="57491EC5">
      <w:pPr>
        <w:spacing w:line="500" w:lineRule="exact"/>
        <w:rPr>
          <w:rFonts w:ascii="微软雅黑" w:hAnsi="微软雅黑" w:cs="微软雅黑"/>
          <w:b/>
          <w:color w:val="auto"/>
          <w:szCs w:val="21"/>
          <w:highlight w:val="none"/>
        </w:rPr>
      </w:pPr>
      <w:r>
        <w:rPr>
          <w:rFonts w:hint="eastAsia" w:ascii="微软雅黑" w:hAnsi="微软雅黑" w:cs="微软雅黑"/>
          <w:b/>
          <w:color w:val="auto"/>
          <w:szCs w:val="21"/>
          <w:highlight w:val="none"/>
          <w:lang w:val="en-US" w:eastAsia="zh-CN"/>
        </w:rPr>
        <w:t>三</w:t>
      </w:r>
      <w:r>
        <w:rPr>
          <w:rFonts w:hint="eastAsia" w:ascii="微软雅黑" w:hAnsi="微软雅黑" w:cs="微软雅黑"/>
          <w:b/>
          <w:color w:val="auto"/>
          <w:szCs w:val="21"/>
          <w:highlight w:val="none"/>
        </w:rPr>
        <w:t>、时间安排</w:t>
      </w:r>
    </w:p>
    <w:p w14:paraId="0567E922">
      <w:pPr>
        <w:spacing w:line="500" w:lineRule="exact"/>
        <w:ind w:firstLine="420"/>
        <w:rPr>
          <w:rFonts w:ascii="微软雅黑" w:hAnsi="微软雅黑" w:cs="微软雅黑"/>
          <w:color w:val="auto"/>
          <w:szCs w:val="21"/>
          <w:highlight w:val="none"/>
        </w:rPr>
      </w:pPr>
      <w:bookmarkStart w:id="29" w:name="_Hlk150111452"/>
      <w:r>
        <w:rPr>
          <w:rFonts w:hint="eastAsia" w:ascii="微软雅黑" w:hAnsi="微软雅黑" w:cs="微软雅黑"/>
          <w:color w:val="auto"/>
          <w:szCs w:val="21"/>
          <w:highlight w:val="none"/>
        </w:rPr>
        <w:t>服务期为12个月（具体以招标人要求为准）</w:t>
      </w:r>
    </w:p>
    <w:bookmarkEnd w:id="29"/>
    <w:p w14:paraId="31356BA8">
      <w:pPr>
        <w:spacing w:line="500" w:lineRule="exact"/>
        <w:rPr>
          <w:rFonts w:ascii="微软雅黑" w:hAnsi="微软雅黑" w:cs="微软雅黑"/>
          <w:b/>
          <w:color w:val="auto"/>
          <w:szCs w:val="21"/>
          <w:highlight w:val="none"/>
        </w:rPr>
      </w:pPr>
      <w:r>
        <w:rPr>
          <w:rFonts w:hint="eastAsia" w:ascii="微软雅黑" w:hAnsi="微软雅黑" w:cs="微软雅黑"/>
          <w:b/>
          <w:color w:val="auto"/>
          <w:szCs w:val="21"/>
          <w:highlight w:val="none"/>
          <w:lang w:val="en-US" w:eastAsia="zh-CN"/>
        </w:rPr>
        <w:t>四</w:t>
      </w:r>
      <w:r>
        <w:rPr>
          <w:rFonts w:hint="eastAsia" w:ascii="微软雅黑" w:hAnsi="微软雅黑" w:cs="微软雅黑"/>
          <w:b/>
          <w:color w:val="auto"/>
          <w:szCs w:val="21"/>
          <w:highlight w:val="none"/>
        </w:rPr>
        <w:t>、付款方式</w:t>
      </w:r>
    </w:p>
    <w:p w14:paraId="2564FA09">
      <w:pPr>
        <w:spacing w:line="500" w:lineRule="exact"/>
        <w:ind w:firstLine="420"/>
        <w:rPr>
          <w:rFonts w:ascii="微软雅黑" w:hAnsi="微软雅黑" w:cs="微软雅黑"/>
          <w:color w:val="auto"/>
          <w:szCs w:val="21"/>
          <w:highlight w:val="none"/>
        </w:rPr>
      </w:pPr>
      <w:bookmarkStart w:id="30" w:name="_Toc14893"/>
      <w:r>
        <w:rPr>
          <w:rFonts w:hint="eastAsia" w:ascii="微软雅黑" w:hAnsi="微软雅黑" w:cs="微软雅黑"/>
          <w:color w:val="auto"/>
          <w:szCs w:val="21"/>
          <w:highlight w:val="none"/>
        </w:rPr>
        <w:t>（</w:t>
      </w:r>
      <w:r>
        <w:rPr>
          <w:rFonts w:ascii="微软雅黑" w:hAnsi="微软雅黑" w:cs="微软雅黑"/>
          <w:color w:val="auto"/>
          <w:szCs w:val="21"/>
          <w:highlight w:val="none"/>
        </w:rPr>
        <w:t>1</w:t>
      </w:r>
      <w:r>
        <w:rPr>
          <w:rFonts w:hint="eastAsia" w:ascii="微软雅黑" w:hAnsi="微软雅黑" w:cs="微软雅黑"/>
          <w:color w:val="auto"/>
          <w:szCs w:val="21"/>
          <w:highlight w:val="none"/>
        </w:rPr>
        <w:t>）自合同签订之日起</w:t>
      </w:r>
      <w:r>
        <w:rPr>
          <w:rFonts w:ascii="微软雅黑" w:hAnsi="微软雅黑" w:cs="微软雅黑"/>
          <w:color w:val="auto"/>
          <w:szCs w:val="21"/>
          <w:highlight w:val="none"/>
        </w:rPr>
        <w:t>7</w:t>
      </w:r>
      <w:r>
        <w:rPr>
          <w:rFonts w:hint="eastAsia" w:ascii="微软雅黑" w:hAnsi="微软雅黑" w:cs="微软雅黑"/>
          <w:color w:val="auto"/>
          <w:szCs w:val="21"/>
          <w:highlight w:val="none"/>
        </w:rPr>
        <w:t>个工作日内向中标人支付合同金额的</w:t>
      </w:r>
      <w:r>
        <w:rPr>
          <w:rFonts w:hint="eastAsia" w:ascii="微软雅黑" w:hAnsi="微软雅黑" w:cs="微软雅黑"/>
          <w:color w:val="auto"/>
          <w:szCs w:val="21"/>
          <w:highlight w:val="none"/>
          <w:lang w:val="en-US" w:eastAsia="zh-CN"/>
        </w:rPr>
        <w:t>50</w:t>
      </w:r>
      <w:r>
        <w:rPr>
          <w:rFonts w:hint="eastAsia" w:ascii="微软雅黑" w:hAnsi="微软雅黑" w:cs="微软雅黑"/>
          <w:color w:val="auto"/>
          <w:szCs w:val="21"/>
          <w:highlight w:val="none"/>
        </w:rPr>
        <w:t>%。</w:t>
      </w:r>
    </w:p>
    <w:bookmarkEnd w:id="30"/>
    <w:p w14:paraId="1B1980DA">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（2）通过专家评审及市审查评审会议后5日内支付至合同价的90%。</w:t>
      </w:r>
    </w:p>
    <w:p w14:paraId="4A3A110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b/>
          <w:bCs/>
          <w:color w:val="auto"/>
          <w:sz w:val="21"/>
          <w:szCs w:val="21"/>
          <w:highlight w:val="none"/>
          <w:lang w:val="en-US" w:eastAsia="zh-CN"/>
        </w:rPr>
      </w:pPr>
      <w:r>
        <w:rPr>
          <w:rFonts w:hint="eastAsia" w:ascii="微软雅黑" w:hAnsi="微软雅黑" w:cs="微软雅黑"/>
          <w:color w:val="auto"/>
          <w:szCs w:val="21"/>
          <w:highlight w:val="none"/>
        </w:rPr>
        <w:t>（</w:t>
      </w:r>
      <w:r>
        <w:rPr>
          <w:rFonts w:ascii="微软雅黑" w:hAnsi="微软雅黑" w:cs="微软雅黑"/>
          <w:color w:val="auto"/>
          <w:szCs w:val="21"/>
          <w:highlight w:val="none"/>
        </w:rPr>
        <w:t>3</w:t>
      </w:r>
      <w:r>
        <w:rPr>
          <w:rFonts w:hint="eastAsia" w:ascii="微软雅黑" w:hAnsi="微软雅黑" w:cs="微软雅黑"/>
          <w:color w:val="auto"/>
          <w:szCs w:val="21"/>
          <w:highlight w:val="none"/>
        </w:rPr>
        <w:t>）工作结束后提交成果后5日内支付至合同价的100%</w:t>
      </w:r>
      <w:r>
        <w:rPr>
          <w:rFonts w:hint="eastAsia" w:ascii="宋体" w:hAnsi="宋体" w:eastAsia="宋体" w:cs="宋体"/>
          <w:b/>
          <w:bCs/>
          <w:color w:val="auto"/>
          <w:sz w:val="21"/>
          <w:szCs w:val="21"/>
          <w:highlight w:val="none"/>
          <w:lang w:val="en-US" w:eastAsia="zh-CN"/>
        </w:rPr>
        <w:t>。</w:t>
      </w:r>
    </w:p>
    <w:p w14:paraId="7825289F">
      <w:pPr>
        <w:pStyle w:val="3"/>
        <w:rPr>
          <w:rFonts w:hint="eastAsia"/>
          <w:color w:val="auto"/>
          <w:highlight w:val="none"/>
        </w:rPr>
      </w:pPr>
    </w:p>
    <w:bookmarkEnd w:id="28"/>
    <w:p w14:paraId="3D07D288">
      <w:pPr>
        <w:rPr>
          <w:color w:val="auto"/>
          <w:highlight w:val="none"/>
        </w:rPr>
      </w:pPr>
      <w:r>
        <w:rPr>
          <w:color w:val="auto"/>
          <w:highlight w:val="none"/>
        </w:rPr>
        <w:br w:type="page"/>
      </w:r>
    </w:p>
    <w:p w14:paraId="06464322">
      <w:pPr>
        <w:pStyle w:val="2"/>
        <w:keepNext/>
        <w:keepLines/>
        <w:pageBreakBefore w:val="0"/>
        <w:widowControl w:val="0"/>
        <w:kinsoku/>
        <w:wordWrap/>
        <w:overflowPunct/>
        <w:topLinePunct w:val="0"/>
        <w:autoSpaceDE/>
        <w:autoSpaceDN/>
        <w:bidi w:val="0"/>
        <w:adjustRightInd w:val="0"/>
        <w:snapToGrid/>
        <w:spacing w:after="100"/>
        <w:textAlignment w:val="auto"/>
        <w:rPr>
          <w:rFonts w:hint="eastAsia"/>
          <w:color w:val="auto"/>
          <w:highlight w:val="none"/>
        </w:rPr>
      </w:pPr>
      <w:bookmarkStart w:id="31" w:name="_Toc21163"/>
      <w:r>
        <w:rPr>
          <w:color w:val="auto"/>
          <w:highlight w:val="none"/>
        </w:rPr>
        <w:t>第四部分</w:t>
      </w:r>
      <w:r>
        <w:rPr>
          <w:rFonts w:hint="eastAsia"/>
          <w:color w:val="auto"/>
          <w:highlight w:val="none"/>
          <w:lang w:val="en-US" w:eastAsia="zh-CN"/>
        </w:rPr>
        <w:t xml:space="preserve"> </w:t>
      </w:r>
      <w:r>
        <w:rPr>
          <w:rFonts w:hint="eastAsia"/>
          <w:color w:val="auto"/>
          <w:highlight w:val="none"/>
        </w:rPr>
        <w:t>磋商办法及磋商标准</w:t>
      </w:r>
      <w:bookmarkEnd w:id="31"/>
    </w:p>
    <w:p w14:paraId="7E6755FA">
      <w:pPr>
        <w:keepNext w:val="0"/>
        <w:keepLines w:val="0"/>
        <w:pageBreakBefore w:val="0"/>
        <w:widowControl w:val="0"/>
        <w:kinsoku/>
        <w:wordWrap/>
        <w:overflowPunct/>
        <w:topLinePunct w:val="0"/>
        <w:autoSpaceDE/>
        <w:autoSpaceDN/>
        <w:bidi w:val="0"/>
        <w:adjustRightInd/>
        <w:snapToGrid/>
        <w:spacing w:line="460" w:lineRule="exact"/>
        <w:ind w:left="0" w:firstLine="472" w:firstLineChars="225"/>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为公正、公平、科学地选择中标人，根据《中华人民共和国政府采购法》等有关法律法规的规定，并结合本项目的实际，制定本办法。</w:t>
      </w:r>
    </w:p>
    <w:p w14:paraId="6BD6D5A5">
      <w:pPr>
        <w:keepNext w:val="0"/>
        <w:keepLines w:val="0"/>
        <w:pageBreakBefore w:val="0"/>
        <w:widowControl w:val="0"/>
        <w:kinsoku/>
        <w:wordWrap/>
        <w:overflowPunct/>
        <w:topLinePunct w:val="0"/>
        <w:autoSpaceDE/>
        <w:autoSpaceDN/>
        <w:bidi w:val="0"/>
        <w:snapToGrid w:val="0"/>
        <w:spacing w:line="460" w:lineRule="exact"/>
        <w:ind w:firstLine="413" w:firstLineChars="196"/>
        <w:textAlignment w:val="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132E3592">
      <w:pPr>
        <w:keepNext w:val="0"/>
        <w:keepLines w:val="0"/>
        <w:pageBreakBefore w:val="0"/>
        <w:widowControl w:val="0"/>
        <w:kinsoku/>
        <w:wordWrap/>
        <w:overflowPunct/>
        <w:topLinePunct w:val="0"/>
        <w:autoSpaceDE/>
        <w:autoSpaceDN/>
        <w:bidi w:val="0"/>
        <w:snapToGrid w:val="0"/>
        <w:spacing w:line="46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本次评标采用综合评分法，总分为100分，其中价格分</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r>
        <w:rPr>
          <w:rFonts w:hint="eastAsia" w:ascii="宋体" w:hAnsi="宋体" w:cs="宋体"/>
          <w:color w:val="auto"/>
          <w:szCs w:val="21"/>
          <w:highlight w:val="none"/>
        </w:rPr>
        <w:t>资信及商务技术分</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分组成。合格投标人的评标得分为各项目汇总得分，中标候选资格按评标得分由高到低顺序排列，得分相同的，按投标报价由低到高顺序排列；得分且投标报价相同的，按</w:t>
      </w:r>
      <w:r>
        <w:rPr>
          <w:rFonts w:hint="eastAsia" w:ascii="宋体" w:hAnsi="宋体" w:cs="宋体"/>
          <w:bCs/>
          <w:color w:val="auto"/>
          <w:szCs w:val="21"/>
          <w:highlight w:val="none"/>
        </w:rPr>
        <w:t>资信及商务</w:t>
      </w:r>
      <w:r>
        <w:rPr>
          <w:rFonts w:hint="eastAsia" w:ascii="宋体" w:hAnsi="宋体" w:cs="宋体"/>
          <w:color w:val="auto"/>
          <w:szCs w:val="21"/>
          <w:highlight w:val="none"/>
        </w:rPr>
        <w:t>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14:paraId="42B86A2D">
      <w:pPr>
        <w:keepNext w:val="0"/>
        <w:keepLines w:val="0"/>
        <w:pageBreakBefore w:val="0"/>
        <w:widowControl w:val="0"/>
        <w:kinsoku/>
        <w:wordWrap/>
        <w:overflowPunct/>
        <w:topLinePunct w:val="0"/>
        <w:autoSpaceDE/>
        <w:autoSpaceDN/>
        <w:bidi w:val="0"/>
        <w:snapToGrid w:val="0"/>
        <w:spacing w:line="46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2.投标人的投标报价不得超过采购人设定的上限价。价格是评标的重要因素之一，但最低报价不是中标的唯一依据。</w:t>
      </w:r>
      <w:r>
        <w:rPr>
          <w:rFonts w:hint="eastAsia" w:ascii="宋体" w:hAnsi="宋体" w:cs="宋体"/>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EFD6FF">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eastAsia" w:ascii="宋体" w:hAnsi="宋体" w:eastAsia="宋体" w:cs="宋体"/>
          <w:b/>
          <w:color w:val="auto"/>
          <w:sz w:val="21"/>
          <w:szCs w:val="21"/>
          <w:highlight w:val="none"/>
        </w:rPr>
      </w:pPr>
      <w:r>
        <w:rPr>
          <w:rFonts w:hint="eastAsia" w:ascii="宋体" w:hAnsi="宋体" w:cs="宋体"/>
          <w:color w:val="auto"/>
          <w:szCs w:val="21"/>
          <w:highlight w:val="none"/>
        </w:rPr>
        <w:t>3.投标人评标综合得分=价格分+资信商务及技术分。</w:t>
      </w:r>
    </w:p>
    <w:p w14:paraId="164339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pacing w:val="-4"/>
          <w:kern w:val="0"/>
          <w:sz w:val="21"/>
          <w:szCs w:val="21"/>
          <w:highlight w:val="none"/>
          <w:lang w:val="en-US" w:eastAsia="zh-CN"/>
        </w:rPr>
      </w:pPr>
      <w:r>
        <w:rPr>
          <w:rFonts w:hint="eastAsia" w:ascii="宋体" w:hAnsi="宋体" w:cs="宋体"/>
          <w:b/>
          <w:color w:val="auto"/>
          <w:szCs w:val="21"/>
          <w:highlight w:val="none"/>
        </w:rPr>
        <w:t>二、评标内容及标准</w:t>
      </w:r>
    </w:p>
    <w:p w14:paraId="3693C82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lang w:val="en-US" w:eastAsia="zh-CN"/>
        </w:rPr>
        <w:t>（一）</w:t>
      </w:r>
      <w:r>
        <w:rPr>
          <w:rFonts w:hint="eastAsia" w:ascii="宋体" w:hAnsi="宋体" w:eastAsia="宋体" w:cs="宋体"/>
          <w:b/>
          <w:bCs/>
          <w:color w:val="auto"/>
          <w:spacing w:val="-4"/>
          <w:kern w:val="0"/>
          <w:sz w:val="21"/>
          <w:szCs w:val="21"/>
          <w:highlight w:val="none"/>
        </w:rPr>
        <w:t>价格分（</w:t>
      </w:r>
      <w:r>
        <w:rPr>
          <w:rFonts w:hint="eastAsia" w:ascii="宋体" w:hAnsi="宋体" w:eastAsia="宋体" w:cs="宋体"/>
          <w:b/>
          <w:bCs/>
          <w:color w:val="auto"/>
          <w:spacing w:val="-4"/>
          <w:kern w:val="0"/>
          <w:sz w:val="21"/>
          <w:szCs w:val="21"/>
          <w:highlight w:val="none"/>
          <w:lang w:val="en-US" w:eastAsia="zh-CN"/>
        </w:rPr>
        <w:t>10</w:t>
      </w:r>
      <w:r>
        <w:rPr>
          <w:rFonts w:hint="eastAsia" w:ascii="宋体" w:hAnsi="宋体" w:eastAsia="宋体" w:cs="宋体"/>
          <w:b/>
          <w:bCs/>
          <w:color w:val="auto"/>
          <w:spacing w:val="-4"/>
          <w:kern w:val="0"/>
          <w:sz w:val="21"/>
          <w:szCs w:val="21"/>
          <w:highlight w:val="none"/>
        </w:rPr>
        <w:t>分）</w:t>
      </w:r>
    </w:p>
    <w:p w14:paraId="4EABD7E0">
      <w:pPr>
        <w:keepNext w:val="0"/>
        <w:keepLines w:val="0"/>
        <w:pageBreakBefore w:val="0"/>
        <w:widowControl w:val="0"/>
        <w:tabs>
          <w:tab w:val="left" w:pos="6264"/>
        </w:tabs>
        <w:kinsoku/>
        <w:wordWrap/>
        <w:overflowPunct/>
        <w:topLinePunct w:val="0"/>
        <w:autoSpaceDE/>
        <w:autoSpaceDN/>
        <w:bidi w:val="0"/>
        <w:adjustRightInd w:val="0"/>
        <w:snapToGrid w:val="0"/>
        <w:spacing w:line="460" w:lineRule="exact"/>
        <w:ind w:firstLine="476"/>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14:paraId="40E4F7F4">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%×100</w:t>
      </w:r>
    </w:p>
    <w:p w14:paraId="13BCDD3E">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2、投标人的投标报价超过采购人设定的最高限价，将作为无效标。</w:t>
      </w:r>
    </w:p>
    <w:p w14:paraId="386C6CA5">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32353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二、资信商务及技术分</w:t>
      </w:r>
      <w:r>
        <w:rPr>
          <w:rFonts w:hint="eastAsia" w:ascii="宋体" w:hAnsi="宋体" w:cs="宋体"/>
          <w:b/>
          <w:color w:val="auto"/>
          <w:szCs w:val="21"/>
          <w:highlight w:val="none"/>
          <w:lang w:val="en-US" w:eastAsia="zh-CN"/>
        </w:rPr>
        <w:t>90</w:t>
      </w:r>
      <w:r>
        <w:rPr>
          <w:rFonts w:hint="eastAsia" w:ascii="宋体" w:hAnsi="宋体" w:cs="宋体"/>
          <w:b/>
          <w:color w:val="auto"/>
          <w:szCs w:val="21"/>
          <w:highlight w:val="none"/>
        </w:rPr>
        <w:t>分。</w:t>
      </w:r>
    </w:p>
    <w:p w14:paraId="4A74C517">
      <w:pPr>
        <w:keepNext w:val="0"/>
        <w:keepLines w:val="0"/>
        <w:pageBreakBefore w:val="0"/>
        <w:widowControl w:val="0"/>
        <w:tabs>
          <w:tab w:val="left" w:pos="6264"/>
        </w:tabs>
        <w:kinsoku/>
        <w:wordWrap/>
        <w:overflowPunct/>
        <w:topLinePunct w:val="0"/>
        <w:autoSpaceDE/>
        <w:autoSpaceDN/>
        <w:bidi w:val="0"/>
        <w:adjustRightInd w:val="0"/>
        <w:snapToGrid w:val="0"/>
        <w:spacing w:line="460" w:lineRule="exact"/>
        <w:ind w:firstLine="476"/>
        <w:textAlignment w:val="auto"/>
        <w:rPr>
          <w:rFonts w:hint="eastAsia" w:ascii="宋体" w:hAnsi="宋体" w:cs="宋体"/>
          <w:color w:val="auto"/>
          <w:szCs w:val="21"/>
          <w:highlight w:val="none"/>
        </w:rPr>
      </w:pPr>
      <w:r>
        <w:rPr>
          <w:rFonts w:hint="eastAsia" w:ascii="宋体" w:hAnsi="宋体" w:cs="宋体"/>
          <w:color w:val="auto"/>
          <w:szCs w:val="21"/>
          <w:highlight w:val="none"/>
        </w:rPr>
        <w:t>各评委成员按评标具体办法独立进行评判，每人一张评分计算票，并记名，打分保留一位小数。如某张票的一个因素项目超过规定的范围，则该张票无效。各投标人的技术资信及商务分值为所有评标成员给出的值算术平均值。（计算结果保留小数点后2位，四舍五入法）</w:t>
      </w:r>
    </w:p>
    <w:tbl>
      <w:tblPr>
        <w:tblStyle w:val="2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20"/>
        <w:gridCol w:w="6415"/>
        <w:gridCol w:w="978"/>
      </w:tblGrid>
      <w:tr w14:paraId="79BB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282E7579">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4ABA510">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分项内容</w:t>
            </w:r>
          </w:p>
        </w:tc>
        <w:tc>
          <w:tcPr>
            <w:tcW w:w="6415" w:type="dxa"/>
            <w:tcBorders>
              <w:top w:val="single" w:color="auto" w:sz="4" w:space="0"/>
              <w:left w:val="single" w:color="auto" w:sz="4" w:space="0"/>
              <w:bottom w:val="single" w:color="auto" w:sz="4" w:space="0"/>
              <w:right w:val="single" w:color="auto" w:sz="4" w:space="0"/>
            </w:tcBorders>
            <w:noWrap w:val="0"/>
            <w:vAlign w:val="center"/>
          </w:tcPr>
          <w:p w14:paraId="20800CC4">
            <w:pPr>
              <w:keepNext w:val="0"/>
              <w:keepLines w:val="0"/>
              <w:pageBreakBefore w:val="0"/>
              <w:kinsoku/>
              <w:wordWrap/>
              <w:overflowPunct/>
              <w:topLinePunct w:val="0"/>
              <w:bidi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评分标准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71EFA33F">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7768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66B726AA">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F3A703C">
            <w:pPr>
              <w:widowControl/>
              <w:jc w:val="center"/>
              <w:rPr>
                <w:rFonts w:ascii="微软雅黑" w:hAnsi="微软雅黑"/>
                <w:color w:val="auto"/>
                <w:szCs w:val="21"/>
                <w:highlight w:val="none"/>
              </w:rPr>
            </w:pPr>
            <w:r>
              <w:rPr>
                <w:rFonts w:hint="eastAsia" w:ascii="微软雅黑" w:hAnsi="微软雅黑"/>
                <w:color w:val="auto"/>
                <w:szCs w:val="21"/>
                <w:highlight w:val="none"/>
              </w:rPr>
              <w:t>拟派人员配备情况</w:t>
            </w:r>
          </w:p>
          <w:p w14:paraId="766AC860">
            <w:pPr>
              <w:spacing w:line="380" w:lineRule="exact"/>
              <w:jc w:val="center"/>
              <w:rPr>
                <w:rFonts w:hint="eastAsia" w:ascii="宋体" w:hAnsi="宋体" w:eastAsia="宋体" w:cs="宋体"/>
                <w:color w:val="auto"/>
                <w:sz w:val="21"/>
                <w:szCs w:val="21"/>
                <w:highlight w:val="none"/>
              </w:rPr>
            </w:pPr>
          </w:p>
        </w:tc>
        <w:tc>
          <w:tcPr>
            <w:tcW w:w="6415" w:type="dxa"/>
            <w:tcBorders>
              <w:top w:val="single" w:color="auto" w:sz="4" w:space="0"/>
              <w:left w:val="single" w:color="auto" w:sz="4" w:space="0"/>
              <w:bottom w:val="single" w:color="auto" w:sz="4" w:space="0"/>
              <w:right w:val="single" w:color="auto" w:sz="4" w:space="0"/>
            </w:tcBorders>
            <w:noWrap w:val="0"/>
            <w:vAlign w:val="top"/>
          </w:tcPr>
          <w:p w14:paraId="027C7F7E">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（1）投入的项目负责人具有城乡（市）规划高级工程师职称得2分</w:t>
            </w:r>
          </w:p>
          <w:p w14:paraId="3769C7AF">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（2）除项目负责人之外，企业拟投入本项目服务的技术人员中，每1名具备注册城乡规划师或城乡（市）规划高级工程师的得2分，本项累计最高可得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分，同一人有多个技术职称或执业资格的，不可多次计分</w:t>
            </w:r>
          </w:p>
          <w:p w14:paraId="6918A0C7">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注：以上项目组成员及专业配备人员均须为投标人的正式员工，投标文件中提供项目组成员职称证书复印件、注册证书复印件、相关证明材料复印件、投标截止时间前1个月的社保证明，</w:t>
            </w:r>
            <w:r>
              <w:rPr>
                <w:rFonts w:hint="eastAsia" w:ascii="宋体" w:hAnsi="宋体" w:eastAsia="宋体" w:cs="宋体"/>
                <w:color w:val="auto"/>
                <w:szCs w:val="21"/>
                <w:highlight w:val="none"/>
                <w:lang w:val="en-US" w:eastAsia="zh-CN"/>
              </w:rPr>
              <w:t>以上涉及到的证书及相关证明材料均加盖单位公章，不</w:t>
            </w:r>
            <w:r>
              <w:rPr>
                <w:rFonts w:hint="eastAsia" w:ascii="宋体" w:hAnsi="宋体" w:eastAsia="宋体" w:cs="宋体"/>
                <w:color w:val="auto"/>
                <w:szCs w:val="21"/>
                <w:highlight w:val="none"/>
              </w:rPr>
              <w:t>提供不得分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7A4249AF">
            <w:pPr>
              <w:pStyle w:val="35"/>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47F4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1B4F2230">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5AC79F8">
            <w:pPr>
              <w:spacing w:line="380" w:lineRule="exact"/>
              <w:jc w:val="center"/>
              <w:rPr>
                <w:rFonts w:hint="eastAsia" w:ascii="宋体" w:hAnsi="宋体" w:eastAsia="宋体" w:cs="宋体"/>
                <w:color w:val="auto"/>
                <w:sz w:val="21"/>
                <w:szCs w:val="21"/>
                <w:highlight w:val="none"/>
              </w:rPr>
            </w:pPr>
            <w:r>
              <w:rPr>
                <w:rFonts w:hint="eastAsia" w:ascii="宋体" w:hAnsi="宋体" w:cs="宋体"/>
                <w:bCs/>
                <w:color w:val="auto"/>
                <w:kern w:val="28"/>
                <w:szCs w:val="21"/>
                <w:highlight w:val="none"/>
              </w:rPr>
              <w:t>相关能力评价</w:t>
            </w:r>
          </w:p>
        </w:tc>
        <w:tc>
          <w:tcPr>
            <w:tcW w:w="6415" w:type="dxa"/>
            <w:tcBorders>
              <w:top w:val="single" w:color="auto" w:sz="4" w:space="0"/>
              <w:left w:val="single" w:color="auto" w:sz="4" w:space="0"/>
              <w:bottom w:val="single" w:color="auto" w:sz="4" w:space="0"/>
              <w:right w:val="single" w:color="auto" w:sz="4" w:space="0"/>
            </w:tcBorders>
            <w:noWrap w:val="0"/>
            <w:vAlign w:val="top"/>
          </w:tcPr>
          <w:p w14:paraId="4BEA7F44">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投标人自2019年1月1日以来，获得过省级及以上规划类奖项的有一个得1分。本项最高得3分</w:t>
            </w:r>
          </w:p>
          <w:p w14:paraId="011974D9">
            <w:pPr>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投标文件中须提供有效的证书或证明材料复印件</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加盖单位公章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不提供不得分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6648A86F">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021F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01D2B786">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2ADA55E">
            <w:pPr>
              <w:spacing w:line="380" w:lineRule="exact"/>
              <w:jc w:val="center"/>
              <w:rPr>
                <w:rFonts w:hint="eastAsia" w:ascii="宋体" w:hAnsi="宋体" w:eastAsia="宋体" w:cs="宋体"/>
                <w:color w:val="auto"/>
                <w:sz w:val="21"/>
                <w:szCs w:val="21"/>
                <w:highlight w:val="none"/>
              </w:rPr>
            </w:pPr>
            <w:r>
              <w:rPr>
                <w:rFonts w:hint="eastAsia" w:ascii="宋体" w:hAnsi="宋体" w:cs="宋体"/>
                <w:bCs/>
                <w:color w:val="auto"/>
                <w:szCs w:val="21"/>
                <w:highlight w:val="none"/>
              </w:rPr>
              <w:t>投标人业绩</w:t>
            </w:r>
          </w:p>
        </w:tc>
        <w:tc>
          <w:tcPr>
            <w:tcW w:w="6415" w:type="dxa"/>
            <w:tcBorders>
              <w:top w:val="single" w:color="auto" w:sz="4" w:space="0"/>
              <w:left w:val="single" w:color="auto" w:sz="4" w:space="0"/>
              <w:bottom w:val="single" w:color="auto" w:sz="4" w:space="0"/>
              <w:right w:val="single" w:color="auto" w:sz="4" w:space="0"/>
            </w:tcBorders>
            <w:noWrap w:val="0"/>
            <w:vAlign w:val="top"/>
          </w:tcPr>
          <w:p w14:paraId="0554D0E9">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投标人自2019年1月1日以来，承担过控制性详细规划项目，</w:t>
            </w:r>
            <w:r>
              <w:rPr>
                <w:rFonts w:hint="eastAsia" w:ascii="宋体" w:hAnsi="宋体" w:eastAsia="宋体" w:cs="宋体"/>
                <w:color w:val="auto"/>
                <w:szCs w:val="21"/>
                <w:highlight w:val="none"/>
                <w:lang w:val="en-US" w:eastAsia="zh-CN"/>
              </w:rPr>
              <w:t>有一个的</w:t>
            </w:r>
            <w:r>
              <w:rPr>
                <w:rFonts w:hint="eastAsia" w:ascii="宋体" w:hAnsi="宋体" w:eastAsia="宋体" w:cs="宋体"/>
                <w:color w:val="auto"/>
                <w:szCs w:val="21"/>
                <w:highlight w:val="none"/>
              </w:rPr>
              <w:t>得0.5分，最高得1分</w:t>
            </w:r>
          </w:p>
          <w:p w14:paraId="6131EEFA">
            <w:pPr>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投标文件中须提供合同复印件</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加盖单位公章，时间以</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签订</w:t>
            </w:r>
            <w:r>
              <w:rPr>
                <w:rFonts w:hint="eastAsia" w:ascii="宋体" w:hAnsi="宋体" w:eastAsia="宋体" w:cs="宋体"/>
                <w:color w:val="auto"/>
                <w:szCs w:val="21"/>
                <w:highlight w:val="none"/>
                <w:lang w:val="en-US" w:eastAsia="zh-CN"/>
              </w:rPr>
              <w:t>时间为准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FBEC039">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0-1分</w:t>
            </w:r>
          </w:p>
        </w:tc>
      </w:tr>
      <w:tr w14:paraId="33B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20CAD867">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362E684">
            <w:pPr>
              <w:spacing w:line="380" w:lineRule="exact"/>
              <w:jc w:val="center"/>
              <w:rPr>
                <w:rFonts w:hint="eastAsia" w:ascii="宋体" w:hAnsi="宋体" w:eastAsia="宋体" w:cs="宋体"/>
                <w:color w:val="auto"/>
                <w:sz w:val="21"/>
                <w:szCs w:val="21"/>
                <w:highlight w:val="none"/>
              </w:rPr>
            </w:pPr>
            <w:r>
              <w:rPr>
                <w:rFonts w:hint="eastAsia" w:ascii="宋体" w:hAnsi="宋体" w:cs="宋体"/>
                <w:bCs/>
                <w:color w:val="auto"/>
                <w:szCs w:val="21"/>
                <w:highlight w:val="none"/>
              </w:rPr>
              <w:t>规划背景与范围</w:t>
            </w:r>
          </w:p>
        </w:tc>
        <w:tc>
          <w:tcPr>
            <w:tcW w:w="6415" w:type="dxa"/>
            <w:tcBorders>
              <w:top w:val="single" w:color="auto" w:sz="4" w:space="0"/>
              <w:left w:val="single" w:color="auto" w:sz="4" w:space="0"/>
              <w:bottom w:val="single" w:color="auto" w:sz="4" w:space="0"/>
              <w:right w:val="single" w:color="auto" w:sz="4" w:space="0"/>
            </w:tcBorders>
            <w:noWrap w:val="0"/>
            <w:vAlign w:val="top"/>
          </w:tcPr>
          <w:p w14:paraId="0DBF42A3">
            <w:pPr>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对本次规划政策背景、工作范畴等内容的分析全面性，科学合理性进行评分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82D468E">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35E7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6CE2AC9E">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3C132A02">
            <w:pPr>
              <w:spacing w:line="380" w:lineRule="exact"/>
              <w:jc w:val="center"/>
              <w:rPr>
                <w:rFonts w:hint="eastAsia" w:ascii="宋体" w:hAnsi="宋体" w:eastAsia="宋体" w:cs="宋体"/>
                <w:color w:val="auto"/>
                <w:sz w:val="21"/>
                <w:szCs w:val="21"/>
                <w:highlight w:val="none"/>
              </w:rPr>
            </w:pPr>
            <w:r>
              <w:rPr>
                <w:rFonts w:hint="eastAsia" w:ascii="微软雅黑" w:hAnsi="微软雅黑" w:cs="微软雅黑"/>
                <w:color w:val="auto"/>
                <w:szCs w:val="21"/>
                <w:highlight w:val="none"/>
              </w:rPr>
              <w:t>现状分析与上位规划衔接</w:t>
            </w:r>
          </w:p>
        </w:tc>
        <w:tc>
          <w:tcPr>
            <w:tcW w:w="6415" w:type="dxa"/>
            <w:tcBorders>
              <w:top w:val="single" w:color="auto" w:sz="4" w:space="0"/>
              <w:left w:val="single" w:color="auto" w:sz="4" w:space="0"/>
              <w:bottom w:val="single" w:color="auto" w:sz="4" w:space="0"/>
              <w:right w:val="single" w:color="auto" w:sz="4" w:space="0"/>
            </w:tcBorders>
            <w:noWrap w:val="0"/>
            <w:vAlign w:val="center"/>
          </w:tcPr>
          <w:p w14:paraId="3B117E21">
            <w:pPr>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对现状分析的合理性、完整性进行综合评审，包括用地布局、综合交通、水绿环境、配套设施、市政设施等</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B3D856D">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7-12分</w:t>
            </w:r>
          </w:p>
        </w:tc>
      </w:tr>
      <w:tr w14:paraId="7F87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3ACAB3DB">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646800A7">
            <w:pPr>
              <w:spacing w:line="380" w:lineRule="exact"/>
              <w:jc w:val="center"/>
              <w:rPr>
                <w:rFonts w:hint="eastAsia" w:ascii="宋体" w:hAnsi="宋体" w:eastAsia="宋体" w:cs="宋体"/>
                <w:color w:val="auto"/>
                <w:sz w:val="21"/>
                <w:szCs w:val="21"/>
                <w:highlight w:val="none"/>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14:paraId="0DAD7D3A">
            <w:pPr>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对上位规划传导落实情况进行综合评审，分析并落实上位规划的主要内容及相关控制线要求</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044C5C5">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0-5分</w:t>
            </w:r>
          </w:p>
        </w:tc>
      </w:tr>
      <w:tr w14:paraId="3924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39E1D0BB">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818A531">
            <w:pPr>
              <w:spacing w:line="380" w:lineRule="exact"/>
              <w:jc w:val="center"/>
              <w:rPr>
                <w:rFonts w:hint="eastAsia" w:ascii="宋体" w:hAnsi="宋体" w:eastAsia="宋体" w:cs="宋体"/>
                <w:color w:val="auto"/>
                <w:sz w:val="21"/>
                <w:szCs w:val="21"/>
                <w:highlight w:val="none"/>
              </w:rPr>
            </w:pPr>
            <w:r>
              <w:rPr>
                <w:rFonts w:hint="eastAsia" w:ascii="微软雅黑" w:hAnsi="微软雅黑" w:cs="微软雅黑"/>
                <w:color w:val="auto"/>
                <w:szCs w:val="21"/>
                <w:highlight w:val="none"/>
              </w:rPr>
              <w:t>现行控规实施评估</w:t>
            </w:r>
          </w:p>
        </w:tc>
        <w:tc>
          <w:tcPr>
            <w:tcW w:w="6415" w:type="dxa"/>
            <w:tcBorders>
              <w:top w:val="single" w:color="auto" w:sz="4" w:space="0"/>
              <w:left w:val="single" w:color="auto" w:sz="4" w:space="0"/>
              <w:bottom w:val="single" w:color="auto" w:sz="4" w:space="0"/>
              <w:right w:val="single" w:color="auto" w:sz="4" w:space="0"/>
            </w:tcBorders>
            <w:noWrap w:val="0"/>
            <w:vAlign w:val="center"/>
          </w:tcPr>
          <w:p w14:paraId="7FA5285E">
            <w:pPr>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对现行控规实施评估的合理性、完整性进行综合评审，包括</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版总规落实与传导评估、现行控规实施性评价、现行控规合理性评价、现行控规适应性评价等方面，总结并提出优化建议</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3C94C2C">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5-10分</w:t>
            </w:r>
          </w:p>
        </w:tc>
      </w:tr>
      <w:tr w14:paraId="5C8F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246094D2">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05972547">
            <w:pPr>
              <w:spacing w:line="380" w:lineRule="exact"/>
              <w:jc w:val="center"/>
              <w:rPr>
                <w:rFonts w:hint="eastAsia" w:ascii="宋体" w:hAnsi="宋体" w:eastAsia="宋体" w:cs="宋体"/>
                <w:color w:val="auto"/>
                <w:sz w:val="21"/>
                <w:szCs w:val="21"/>
                <w:highlight w:val="none"/>
              </w:rPr>
            </w:pPr>
            <w:r>
              <w:rPr>
                <w:rFonts w:ascii="微软雅黑" w:hAnsi="微软雅黑" w:cs="微软雅黑"/>
                <w:color w:val="auto"/>
                <w:szCs w:val="21"/>
                <w:highlight w:val="none"/>
              </w:rPr>
              <w:t>编制思路与</w:t>
            </w:r>
            <w:r>
              <w:rPr>
                <w:rFonts w:hint="eastAsia" w:ascii="微软雅黑" w:hAnsi="微软雅黑" w:cs="微软雅黑"/>
                <w:color w:val="auto"/>
                <w:szCs w:val="21"/>
                <w:highlight w:val="none"/>
              </w:rPr>
              <w:t>重难点</w:t>
            </w:r>
            <w:r>
              <w:rPr>
                <w:rFonts w:ascii="微软雅黑" w:hAnsi="微软雅黑" w:cs="微软雅黑"/>
                <w:color w:val="auto"/>
                <w:szCs w:val="21"/>
                <w:highlight w:val="none"/>
              </w:rPr>
              <w:t>分析</w:t>
            </w:r>
          </w:p>
        </w:tc>
        <w:tc>
          <w:tcPr>
            <w:tcW w:w="6415" w:type="dxa"/>
            <w:tcBorders>
              <w:top w:val="single" w:color="auto" w:sz="4" w:space="0"/>
              <w:left w:val="single" w:color="auto" w:sz="4" w:space="0"/>
              <w:bottom w:val="single" w:color="auto" w:sz="4" w:space="0"/>
              <w:right w:val="single" w:color="auto" w:sz="4" w:space="0"/>
            </w:tcBorders>
            <w:noWrap w:val="0"/>
            <w:vAlign w:val="center"/>
          </w:tcPr>
          <w:p w14:paraId="2E4369F0">
            <w:pPr>
              <w:spacing w:line="380" w:lineRule="exact"/>
              <w:jc w:val="left"/>
              <w:rPr>
                <w:rFonts w:hint="default" w:ascii="宋体" w:hAnsi="宋体" w:eastAsia="宋体" w:cs="宋体"/>
                <w:color w:val="auto"/>
                <w:sz w:val="21"/>
                <w:szCs w:val="21"/>
                <w:highlight w:val="none"/>
                <w:lang w:val="en-US" w:eastAsia="zh-CN"/>
              </w:rPr>
            </w:pPr>
            <w:r>
              <w:rPr>
                <w:rFonts w:hint="eastAsia" w:ascii="微软雅黑" w:hAnsi="微软雅黑" w:cs="微软雅黑"/>
                <w:color w:val="auto"/>
                <w:szCs w:val="21"/>
                <w:highlight w:val="none"/>
              </w:rPr>
              <w:t>对控规编制思路进行综合评审，提供符合实际的控规编制体系与方法</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68518F8">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0-5分</w:t>
            </w:r>
          </w:p>
        </w:tc>
      </w:tr>
      <w:tr w14:paraId="7B60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4324E6AF">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2BE6D59C">
            <w:pPr>
              <w:spacing w:line="380" w:lineRule="exact"/>
              <w:jc w:val="center"/>
              <w:rPr>
                <w:rFonts w:hint="eastAsia" w:ascii="宋体" w:hAnsi="宋体" w:eastAsia="宋体" w:cs="宋体"/>
                <w:color w:val="auto"/>
                <w:sz w:val="21"/>
                <w:szCs w:val="21"/>
                <w:highlight w:val="none"/>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14:paraId="2A62F08A">
            <w:pPr>
              <w:spacing w:line="380" w:lineRule="exact"/>
              <w:rPr>
                <w:rFonts w:hint="default" w:ascii="宋体" w:hAnsi="宋体" w:eastAsia="宋体" w:cs="宋体"/>
                <w:color w:val="auto"/>
                <w:sz w:val="21"/>
                <w:szCs w:val="21"/>
                <w:highlight w:val="none"/>
                <w:lang w:val="en-US" w:eastAsia="zh-CN"/>
              </w:rPr>
            </w:pPr>
            <w:r>
              <w:rPr>
                <w:rFonts w:hint="eastAsia" w:ascii="微软雅黑" w:hAnsi="微软雅黑" w:cs="微软雅黑"/>
                <w:color w:val="auto"/>
                <w:szCs w:val="21"/>
                <w:highlight w:val="none"/>
              </w:rPr>
              <w:t>对控规编制重点、难点剖析情况合理性进行综合评审</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B75EF55">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0-4</w:t>
            </w:r>
            <w:r>
              <w:rPr>
                <w:rFonts w:hint="eastAsia" w:ascii="宋体" w:hAnsi="宋体" w:eastAsia="宋体" w:cs="宋体"/>
                <w:color w:val="auto"/>
                <w:szCs w:val="21"/>
                <w:highlight w:val="none"/>
              </w:rPr>
              <w:t>分</w:t>
            </w:r>
          </w:p>
        </w:tc>
      </w:tr>
      <w:tr w14:paraId="36D2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6D45696D">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2C9FB7B">
            <w:pPr>
              <w:spacing w:line="380" w:lineRule="exact"/>
              <w:jc w:val="center"/>
              <w:rPr>
                <w:rFonts w:hint="eastAsia" w:ascii="宋体" w:hAnsi="宋体" w:eastAsia="宋体" w:cs="宋体"/>
                <w:color w:val="auto"/>
                <w:sz w:val="21"/>
                <w:szCs w:val="21"/>
                <w:highlight w:val="none"/>
              </w:rPr>
            </w:pPr>
            <w:r>
              <w:rPr>
                <w:rFonts w:ascii="微软雅黑" w:hAnsi="微软雅黑" w:cs="微软雅黑"/>
                <w:color w:val="auto"/>
                <w:szCs w:val="21"/>
                <w:highlight w:val="none"/>
              </w:rPr>
              <w:t>目标与定位</w:t>
            </w:r>
          </w:p>
        </w:tc>
        <w:tc>
          <w:tcPr>
            <w:tcW w:w="6415" w:type="dxa"/>
            <w:tcBorders>
              <w:top w:val="single" w:color="auto" w:sz="4" w:space="0"/>
              <w:left w:val="single" w:color="auto" w:sz="4" w:space="0"/>
              <w:bottom w:val="single" w:color="auto" w:sz="4" w:space="0"/>
              <w:right w:val="single" w:color="auto" w:sz="4" w:space="0"/>
            </w:tcBorders>
            <w:noWrap w:val="0"/>
            <w:vAlign w:val="center"/>
          </w:tcPr>
          <w:p w14:paraId="59E2E987">
            <w:pPr>
              <w:spacing w:line="380" w:lineRule="exact"/>
              <w:rPr>
                <w:rFonts w:hint="default" w:ascii="宋体" w:hAnsi="宋体" w:eastAsia="宋体" w:cs="宋体"/>
                <w:color w:val="auto"/>
                <w:sz w:val="21"/>
                <w:szCs w:val="21"/>
                <w:highlight w:val="none"/>
                <w:lang w:val="en-US" w:eastAsia="zh-CN"/>
              </w:rPr>
            </w:pPr>
            <w:r>
              <w:rPr>
                <w:rFonts w:hint="eastAsia" w:ascii="微软雅黑" w:hAnsi="微软雅黑" w:cs="微软雅黑"/>
                <w:color w:val="auto"/>
                <w:szCs w:val="21"/>
                <w:highlight w:val="none"/>
              </w:rPr>
              <w:t>对总体发展目标、功能定位、发展策略的合理性、完整性进行综合评审，提出产业发展方向与路径方案</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CAA2ECE">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0-6分</w:t>
            </w:r>
          </w:p>
        </w:tc>
      </w:tr>
      <w:tr w14:paraId="253B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3DCEF550">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5111DFC1">
            <w:pPr>
              <w:spacing w:line="380" w:lineRule="exact"/>
              <w:jc w:val="center"/>
              <w:rPr>
                <w:rFonts w:hint="eastAsia" w:ascii="宋体" w:hAnsi="宋体" w:eastAsia="宋体" w:cs="宋体"/>
                <w:color w:val="auto"/>
                <w:sz w:val="21"/>
                <w:szCs w:val="21"/>
                <w:highlight w:val="none"/>
              </w:rPr>
            </w:pPr>
            <w:r>
              <w:rPr>
                <w:rFonts w:hint="eastAsia" w:ascii="微软雅黑" w:hAnsi="微软雅黑" w:cs="微软雅黑"/>
                <w:color w:val="auto"/>
                <w:szCs w:val="21"/>
                <w:highlight w:val="none"/>
              </w:rPr>
              <w:t>总体空间布局研究</w:t>
            </w:r>
          </w:p>
        </w:tc>
        <w:tc>
          <w:tcPr>
            <w:tcW w:w="6415" w:type="dxa"/>
            <w:tcBorders>
              <w:top w:val="single" w:color="auto" w:sz="4" w:space="0"/>
              <w:left w:val="single" w:color="auto" w:sz="4" w:space="0"/>
              <w:bottom w:val="single" w:color="auto" w:sz="4" w:space="0"/>
              <w:right w:val="single" w:color="auto" w:sz="4" w:space="0"/>
            </w:tcBorders>
            <w:noWrap w:val="0"/>
            <w:vAlign w:val="center"/>
          </w:tcPr>
          <w:p w14:paraId="78A7B425">
            <w:pPr>
              <w:spacing w:line="380" w:lineRule="exact"/>
              <w:rPr>
                <w:rFonts w:hint="default" w:ascii="宋体" w:hAnsi="宋体" w:eastAsia="宋体" w:cs="宋体"/>
                <w:color w:val="auto"/>
                <w:sz w:val="21"/>
                <w:szCs w:val="21"/>
                <w:highlight w:val="none"/>
                <w:lang w:val="en-US" w:eastAsia="zh-CN"/>
              </w:rPr>
            </w:pPr>
            <w:r>
              <w:rPr>
                <w:rFonts w:hint="eastAsia" w:ascii="微软雅黑" w:hAnsi="微软雅黑" w:cs="微软雅黑"/>
                <w:color w:val="auto"/>
                <w:szCs w:val="21"/>
                <w:highlight w:val="none"/>
              </w:rPr>
              <w:t>对总体层面功能分区、用地布局的合理性、完整性进行综合评审</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00735EB">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tc>
      </w:tr>
      <w:tr w14:paraId="11CA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45EBD0B5">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3715B1FB">
            <w:pPr>
              <w:spacing w:line="380" w:lineRule="exact"/>
              <w:jc w:val="center"/>
              <w:rPr>
                <w:rFonts w:hint="eastAsia" w:ascii="宋体" w:hAnsi="宋体" w:eastAsia="宋体" w:cs="宋体"/>
                <w:color w:val="auto"/>
                <w:sz w:val="21"/>
                <w:szCs w:val="21"/>
                <w:highlight w:val="none"/>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14:paraId="77F9B6A4">
            <w:pPr>
              <w:spacing w:line="380" w:lineRule="exact"/>
              <w:rPr>
                <w:rFonts w:hint="default" w:ascii="宋体" w:hAnsi="宋体" w:eastAsia="宋体" w:cs="宋体"/>
                <w:color w:val="auto"/>
                <w:sz w:val="21"/>
                <w:szCs w:val="21"/>
                <w:highlight w:val="none"/>
                <w:lang w:val="en-US" w:eastAsia="zh-CN"/>
              </w:rPr>
            </w:pPr>
            <w:r>
              <w:rPr>
                <w:rFonts w:hint="eastAsia" w:ascii="微软雅黑" w:hAnsi="微软雅黑" w:cs="微软雅黑"/>
                <w:color w:val="auto"/>
                <w:szCs w:val="21"/>
                <w:highlight w:val="none"/>
              </w:rPr>
              <w:t>对总体层面容量等指标测算的合理性、完整性进行综合评审</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29302BC">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tc>
      </w:tr>
      <w:tr w14:paraId="7013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730AB73E">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417885A6">
            <w:pPr>
              <w:spacing w:line="380" w:lineRule="exact"/>
              <w:jc w:val="center"/>
              <w:rPr>
                <w:rFonts w:hint="eastAsia" w:ascii="宋体" w:hAnsi="宋体" w:eastAsia="宋体" w:cs="宋体"/>
                <w:color w:val="auto"/>
                <w:sz w:val="21"/>
                <w:szCs w:val="21"/>
                <w:highlight w:val="none"/>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14:paraId="318DD7D4">
            <w:pPr>
              <w:spacing w:line="380" w:lineRule="exact"/>
              <w:rPr>
                <w:rFonts w:hint="default" w:ascii="宋体" w:hAnsi="宋体" w:eastAsia="宋体" w:cs="宋体"/>
                <w:color w:val="auto"/>
                <w:sz w:val="21"/>
                <w:szCs w:val="21"/>
                <w:highlight w:val="none"/>
                <w:lang w:val="en-US" w:eastAsia="zh-CN"/>
              </w:rPr>
            </w:pPr>
            <w:r>
              <w:rPr>
                <w:rFonts w:hint="eastAsia" w:ascii="微软雅黑" w:hAnsi="微软雅黑" w:cs="微软雅黑"/>
                <w:color w:val="auto"/>
                <w:szCs w:val="21"/>
                <w:highlight w:val="none"/>
              </w:rPr>
              <w:t>对总体层面综合交通、水绿环境、配套设施、市政设施的合理性、完整性进行综合评审</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01AFC41">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3-8分</w:t>
            </w:r>
          </w:p>
        </w:tc>
      </w:tr>
      <w:tr w14:paraId="190D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430484BD">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18F4BD05">
            <w:pPr>
              <w:spacing w:line="380" w:lineRule="exact"/>
              <w:jc w:val="center"/>
              <w:rPr>
                <w:rFonts w:hint="eastAsia" w:ascii="宋体" w:hAnsi="宋体" w:eastAsia="宋体" w:cs="宋体"/>
                <w:color w:val="auto"/>
                <w:sz w:val="21"/>
                <w:szCs w:val="21"/>
                <w:highlight w:val="none"/>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14:paraId="502F25DC">
            <w:pPr>
              <w:spacing w:line="380" w:lineRule="exact"/>
              <w:rPr>
                <w:rFonts w:hint="default" w:ascii="宋体" w:hAnsi="宋体" w:eastAsia="宋体" w:cs="宋体"/>
                <w:color w:val="auto"/>
                <w:sz w:val="21"/>
                <w:szCs w:val="21"/>
                <w:highlight w:val="none"/>
                <w:lang w:val="en-US" w:eastAsia="zh-CN"/>
              </w:rPr>
            </w:pPr>
            <w:r>
              <w:rPr>
                <w:rFonts w:hint="eastAsia" w:ascii="微软雅黑" w:hAnsi="微软雅黑" w:cs="微软雅黑"/>
                <w:color w:val="auto"/>
                <w:szCs w:val="21"/>
                <w:highlight w:val="none"/>
              </w:rPr>
              <w:t>提出城市风貌管控（城市设计）思路和研究成果是否合理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3EE2C3C">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tc>
      </w:tr>
      <w:tr w14:paraId="59BE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594AB546">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29FCC187">
            <w:pPr>
              <w:spacing w:line="380" w:lineRule="exact"/>
              <w:jc w:val="center"/>
              <w:rPr>
                <w:rFonts w:hint="eastAsia" w:ascii="宋体" w:hAnsi="宋体" w:eastAsia="宋体" w:cs="宋体"/>
                <w:color w:val="auto"/>
                <w:sz w:val="21"/>
                <w:szCs w:val="21"/>
                <w:highlight w:val="none"/>
              </w:rPr>
            </w:pPr>
            <w:r>
              <w:rPr>
                <w:rFonts w:hint="eastAsia" w:ascii="微软雅黑" w:hAnsi="微软雅黑" w:cs="微软雅黑"/>
                <w:color w:val="auto"/>
                <w:szCs w:val="21"/>
                <w:highlight w:val="none"/>
              </w:rPr>
              <w:t>城镇单元方案（选择1个代表性城镇单元编制）</w:t>
            </w:r>
          </w:p>
        </w:tc>
        <w:tc>
          <w:tcPr>
            <w:tcW w:w="6415" w:type="dxa"/>
            <w:tcBorders>
              <w:top w:val="single" w:color="auto" w:sz="4" w:space="0"/>
              <w:left w:val="single" w:color="auto" w:sz="4" w:space="0"/>
              <w:bottom w:val="single" w:color="auto" w:sz="4" w:space="0"/>
              <w:right w:val="single" w:color="auto" w:sz="4" w:space="0"/>
            </w:tcBorders>
            <w:noWrap w:val="0"/>
            <w:vAlign w:val="center"/>
          </w:tcPr>
          <w:p w14:paraId="31E1A24C">
            <w:pPr>
              <w:spacing w:line="380" w:lineRule="exact"/>
              <w:rPr>
                <w:rFonts w:hint="default" w:ascii="宋体" w:hAnsi="宋体" w:eastAsia="宋体" w:cs="宋体"/>
                <w:color w:val="auto"/>
                <w:sz w:val="21"/>
                <w:szCs w:val="21"/>
                <w:highlight w:val="none"/>
                <w:lang w:val="en-US" w:eastAsia="zh-CN"/>
              </w:rPr>
            </w:pPr>
            <w:r>
              <w:rPr>
                <w:rFonts w:hint="eastAsia" w:ascii="微软雅黑" w:hAnsi="微软雅黑" w:cs="微软雅黑"/>
                <w:color w:val="auto"/>
                <w:szCs w:val="21"/>
                <w:highlight w:val="none"/>
              </w:rPr>
              <w:t>是否将总体层面确定的主导功能、建设容量、设施配套分解传导至城镇单元用地方案当中</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044A244">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0-4</w:t>
            </w:r>
            <w:r>
              <w:rPr>
                <w:rFonts w:hint="eastAsia" w:ascii="宋体" w:hAnsi="宋体" w:eastAsia="宋体" w:cs="宋体"/>
                <w:color w:val="auto"/>
                <w:szCs w:val="21"/>
                <w:highlight w:val="none"/>
              </w:rPr>
              <w:t>分</w:t>
            </w:r>
          </w:p>
        </w:tc>
      </w:tr>
      <w:tr w14:paraId="4AB8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1058B710">
            <w:pPr>
              <w:keepNext w:val="0"/>
              <w:keepLines w:val="0"/>
              <w:pageBreakBefore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64164173">
            <w:pPr>
              <w:spacing w:line="380" w:lineRule="exact"/>
              <w:jc w:val="center"/>
              <w:rPr>
                <w:rFonts w:hint="eastAsia" w:ascii="宋体" w:hAnsi="宋体" w:eastAsia="宋体" w:cs="宋体"/>
                <w:color w:val="auto"/>
                <w:sz w:val="21"/>
                <w:szCs w:val="21"/>
                <w:highlight w:val="none"/>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14:paraId="747B69B5">
            <w:pPr>
              <w:spacing w:line="380" w:lineRule="exact"/>
              <w:rPr>
                <w:rFonts w:hint="default" w:ascii="宋体" w:hAnsi="宋体" w:eastAsia="宋体" w:cs="宋体"/>
                <w:color w:val="auto"/>
                <w:sz w:val="21"/>
                <w:szCs w:val="21"/>
                <w:highlight w:val="none"/>
                <w:lang w:val="en-US" w:eastAsia="zh-CN"/>
              </w:rPr>
            </w:pPr>
            <w:r>
              <w:rPr>
                <w:rFonts w:ascii="微软雅黑" w:hAnsi="微软雅黑" w:cs="微软雅黑"/>
                <w:color w:val="auto"/>
                <w:szCs w:val="21"/>
                <w:highlight w:val="none"/>
              </w:rPr>
              <w:t>对城镇单元内用地布局</w:t>
            </w:r>
            <w:r>
              <w:rPr>
                <w:rFonts w:hint="eastAsia" w:ascii="微软雅黑" w:hAnsi="微软雅黑" w:cs="微软雅黑"/>
                <w:color w:val="auto"/>
                <w:szCs w:val="21"/>
                <w:highlight w:val="none"/>
              </w:rPr>
              <w:t>、</w:t>
            </w:r>
            <w:r>
              <w:rPr>
                <w:rFonts w:ascii="微软雅黑" w:hAnsi="微软雅黑" w:cs="微软雅黑"/>
                <w:color w:val="auto"/>
                <w:szCs w:val="21"/>
                <w:highlight w:val="none"/>
              </w:rPr>
              <w:t>综合交通</w:t>
            </w:r>
            <w:r>
              <w:rPr>
                <w:rFonts w:hint="eastAsia" w:ascii="微软雅黑" w:hAnsi="微软雅黑" w:cs="微软雅黑"/>
                <w:color w:val="auto"/>
                <w:szCs w:val="21"/>
                <w:highlight w:val="none"/>
              </w:rPr>
              <w:t>、</w:t>
            </w:r>
            <w:r>
              <w:rPr>
                <w:rFonts w:ascii="微软雅黑" w:hAnsi="微软雅黑" w:cs="微软雅黑"/>
                <w:color w:val="auto"/>
                <w:szCs w:val="21"/>
                <w:highlight w:val="none"/>
              </w:rPr>
              <w:t>配套设施</w:t>
            </w:r>
            <w:r>
              <w:rPr>
                <w:rFonts w:hint="eastAsia" w:ascii="微软雅黑" w:hAnsi="微软雅黑" w:cs="微软雅黑"/>
                <w:color w:val="auto"/>
                <w:szCs w:val="21"/>
                <w:highlight w:val="none"/>
              </w:rPr>
              <w:t>、</w:t>
            </w:r>
            <w:r>
              <w:rPr>
                <w:rFonts w:ascii="微软雅黑" w:hAnsi="微软雅黑" w:cs="微软雅黑"/>
                <w:color w:val="auto"/>
                <w:szCs w:val="21"/>
                <w:highlight w:val="none"/>
              </w:rPr>
              <w:t>市政管线等</w:t>
            </w:r>
            <w:r>
              <w:rPr>
                <w:rFonts w:hint="eastAsia" w:ascii="微软雅黑" w:hAnsi="微软雅黑" w:cs="微软雅黑"/>
                <w:color w:val="auto"/>
                <w:szCs w:val="21"/>
                <w:highlight w:val="none"/>
              </w:rPr>
              <w:t>规划的合理性、完整性进行综合评审</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C200CCB">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1-6分</w:t>
            </w:r>
          </w:p>
        </w:tc>
      </w:tr>
    </w:tbl>
    <w:p w14:paraId="34BDB66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color w:val="auto"/>
          <w:highlight w:val="none"/>
          <w:lang w:val="en-US"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以上所涉及项目，若附件格式未提供，请自行设计格式装订于投标文件中。建议在制作投标文件时，在目录后附一个评分索引表，方便查找</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2.以上所涉及项目缺项则该项为0分。</w:t>
      </w:r>
      <w:r>
        <w:rPr>
          <w:rFonts w:hint="eastAsia"/>
          <w:color w:val="auto"/>
          <w:highlight w:val="none"/>
          <w:lang w:val="en-US" w:eastAsia="zh-CN"/>
        </w:rPr>
        <w:br w:type="page"/>
      </w:r>
    </w:p>
    <w:p w14:paraId="76E5CD37">
      <w:pPr>
        <w:pStyle w:val="2"/>
        <w:rPr>
          <w:rFonts w:ascii="黑体" w:hAnsi="黑体" w:eastAsia="黑体" w:cs="Arial"/>
          <w:color w:val="auto"/>
          <w:kern w:val="0"/>
          <w:sz w:val="32"/>
          <w:szCs w:val="32"/>
          <w:highlight w:val="none"/>
        </w:rPr>
      </w:pPr>
      <w:bookmarkStart w:id="32" w:name="_Toc29390"/>
      <w:r>
        <w:rPr>
          <w:rFonts w:hint="eastAsia"/>
          <w:color w:val="auto"/>
          <w:highlight w:val="none"/>
          <w:lang w:val="en-US" w:eastAsia="zh-CN"/>
        </w:rPr>
        <w:t xml:space="preserve">第五部分 </w:t>
      </w:r>
      <w:r>
        <w:rPr>
          <w:color w:val="auto"/>
          <w:highlight w:val="none"/>
        </w:rPr>
        <w:t>合同</w:t>
      </w:r>
      <w:r>
        <w:rPr>
          <w:rFonts w:hint="eastAsia"/>
          <w:color w:val="auto"/>
          <w:highlight w:val="none"/>
        </w:rPr>
        <w:t>主要条款</w:t>
      </w:r>
      <w:bookmarkEnd w:id="32"/>
    </w:p>
    <w:p w14:paraId="1F0AC1A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项目名称：</w:t>
      </w:r>
    </w:p>
    <w:p w14:paraId="42DC1E2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合同编号：</w:t>
      </w:r>
    </w:p>
    <w:p w14:paraId="50DDADC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计划（预算）确认号：</w:t>
      </w:r>
    </w:p>
    <w:p w14:paraId="21BF863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预算金额：</w:t>
      </w:r>
    </w:p>
    <w:p w14:paraId="1744F0B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采购人（以下称甲方）：</w:t>
      </w:r>
    </w:p>
    <w:p w14:paraId="401CE41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供应商（以下称乙方）：</w:t>
      </w:r>
    </w:p>
    <w:p w14:paraId="3E4014F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u w:val="single"/>
        </w:rPr>
        <w:t>嘉兴市千秋工程咨询有限公司</w:t>
      </w:r>
    </w:p>
    <w:p w14:paraId="7E8155E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采购方式</w:t>
      </w:r>
      <w:r>
        <w:rPr>
          <w:rFonts w:hint="eastAsia" w:ascii="宋体" w:hAnsi="宋体" w:eastAsia="宋体" w:cs="宋体"/>
          <w:color w:val="auto"/>
          <w:kern w:val="0"/>
          <w:szCs w:val="21"/>
          <w:highlight w:val="none"/>
          <w:u w:val="single"/>
        </w:rPr>
        <w:t xml:space="preserve">：竞争性磋商   </w:t>
      </w:r>
    </w:p>
    <w:p w14:paraId="0DC4F56E">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根据</w:t>
      </w:r>
      <w:r>
        <w:rPr>
          <w:rFonts w:hint="eastAsia" w:ascii="宋体" w:hAnsi="宋体" w:eastAsia="宋体" w:cs="宋体"/>
          <w:color w:val="auto"/>
          <w:kern w:val="0"/>
          <w:szCs w:val="21"/>
          <w:highlight w:val="none"/>
        </w:rPr>
        <w:t>《中华人民共和国政府采购法》、《中华人民共和国民法典》等法律法规的规定，甲乙双方按照采购结果签订本合同。</w:t>
      </w:r>
    </w:p>
    <w:p w14:paraId="7779A6E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合同组成</w:t>
      </w:r>
    </w:p>
    <w:p w14:paraId="7423547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本次政府采购活动的相关文件为本合同的组成部分，这些文件包括但不限于：</w:t>
      </w:r>
    </w:p>
    <w:p w14:paraId="65AB5F1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（1）本合同文本；</w:t>
      </w:r>
    </w:p>
    <w:p w14:paraId="450A65A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（2）采购文件与采购响应文件；</w:t>
      </w:r>
    </w:p>
    <w:p w14:paraId="630781F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（3）中标或成交通知书；</w:t>
      </w:r>
    </w:p>
    <w:p w14:paraId="7C51A4B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组成本合同的所有文件必须为书面形式。政府采购合同备案时，须提供以上（1）、（3）两项，如由社会中介机构代理，须提供代理协议，合同如有变更的，须提供变更协议。</w:t>
      </w:r>
    </w:p>
    <w:p w14:paraId="73B318E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合同标的与相关属性</w:t>
      </w:r>
    </w:p>
    <w:p w14:paraId="63C3439C">
      <w:pPr>
        <w:keepNext w:val="0"/>
        <w:keepLines w:val="0"/>
        <w:pageBreakBefore w:val="0"/>
        <w:kinsoku/>
        <w:wordWrap/>
        <w:overflowPunct/>
        <w:topLinePunct w:val="0"/>
        <w:bidi w:val="0"/>
        <w:adjustRightInd w:val="0"/>
        <w:snapToGrid w:val="0"/>
        <w:spacing w:line="400" w:lineRule="exact"/>
        <w:ind w:left="0" w:leftChars="0" w:firstLine="420" w:firstLineChars="200"/>
        <w:textAlignment w:val="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1、本次采购的是</w:t>
      </w:r>
      <w:r>
        <w:rPr>
          <w:rFonts w:hint="eastAsia" w:ascii="宋体" w:hAnsi="宋体" w:eastAsia="宋体" w:cs="宋体"/>
          <w:color w:val="auto"/>
          <w:kern w:val="0"/>
          <w:szCs w:val="21"/>
          <w:highlight w:val="none"/>
          <w:u w:val="single"/>
          <w:lang w:val="en-US" w:eastAsia="zh-CN"/>
        </w:rPr>
        <w:t xml:space="preserve">                     </w:t>
      </w:r>
    </w:p>
    <w:p w14:paraId="7C286DC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2、乙方是否属于中小微企业：□是□否</w:t>
      </w:r>
    </w:p>
    <w:p w14:paraId="2FD1305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合同价款</w:t>
      </w:r>
    </w:p>
    <w:p w14:paraId="3B8AB1C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1、本合同项下总价款为</w:t>
      </w:r>
      <w:r>
        <w:rPr>
          <w:rFonts w:hint="eastAsia" w:ascii="宋体" w:hAnsi="宋体" w:eastAsia="宋体" w:cs="宋体"/>
          <w:color w:val="auto"/>
          <w:kern w:val="0"/>
          <w:szCs w:val="21"/>
          <w:highlight w:val="none"/>
          <w:u w:val="single"/>
        </w:rPr>
        <w:t>（大写）</w:t>
      </w:r>
      <w:r>
        <w:rPr>
          <w:rFonts w:hint="eastAsia" w:ascii="宋体" w:hAnsi="宋体" w:eastAsia="宋体" w:cs="宋体"/>
          <w:color w:val="auto"/>
          <w:kern w:val="0"/>
          <w:szCs w:val="21"/>
          <w:highlight w:val="none"/>
        </w:rPr>
        <w:t>人民币，分项价款见“价格清单”（如有）。</w:t>
      </w:r>
    </w:p>
    <w:p w14:paraId="7EDE06E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s="宋体"/>
          <w:color w:val="auto"/>
          <w:szCs w:val="21"/>
          <w:highlight w:val="none"/>
          <w:u w:val="single"/>
        </w:rPr>
        <w:t>合同</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总价款包括完成本项目所有工作内容所需的人员工资、调查费、缴纳的社会保险、成果文本制作、作业费、专业工器具及设备使用费、汇报及咨询等相关服务费用、管理费用、食宿、交通费</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税金及政策性文件规定等各项应有费用。各供应商所填写的投标报价在合同实施期间不因市场因素而变动，供应商发生差错遗漏的费用均不再调整（除采购文件另有说明外）</w:t>
      </w:r>
      <w:r>
        <w:rPr>
          <w:rFonts w:hint="eastAsia" w:ascii="宋体" w:hAnsi="宋体" w:cs="宋体"/>
          <w:color w:val="auto"/>
          <w:szCs w:val="21"/>
          <w:highlight w:val="none"/>
          <w:u w:val="single"/>
          <w:lang w:val="zh-CN"/>
        </w:rPr>
        <w:t>。</w:t>
      </w:r>
    </w:p>
    <w:p w14:paraId="63BD8A6A">
      <w:pPr>
        <w:pageBreakBefore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3、本合同付款方式为以下第</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项：</w:t>
      </w:r>
    </w:p>
    <w:p w14:paraId="690A5E76">
      <w:pPr>
        <w:pageBreakBefore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（1）本合同项下的采购资金系甲方自行支付，付款程序为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06951682">
      <w:pPr>
        <w:pageBreakBefore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（2）本合同项下的采购资金须财政直接支付，付款程序为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7BA7BA9F">
      <w:pPr>
        <w:pageBreakBefore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（3）其他方式：</w:t>
      </w:r>
    </w:p>
    <w:p w14:paraId="03AC473B">
      <w:pPr>
        <w:pageBreakBefore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4、本合同项下的采购资金付款进度按招投标文件规定，未规定时按以下第</w:t>
      </w:r>
      <w:r>
        <w:rPr>
          <w:rFonts w:hint="eastAsia" w:ascii="宋体" w:hAnsi="宋体" w:cs="宋体"/>
          <w:color w:val="auto"/>
          <w:kern w:val="0"/>
          <w:szCs w:val="21"/>
          <w:highlight w:val="none"/>
          <w:u w:val="single"/>
        </w:rPr>
        <w:t xml:space="preserve"> （2）</w:t>
      </w:r>
      <w:r>
        <w:rPr>
          <w:rFonts w:hint="eastAsia" w:ascii="宋体" w:hAnsi="宋体" w:cs="宋体"/>
          <w:color w:val="auto"/>
          <w:kern w:val="0"/>
          <w:szCs w:val="21"/>
          <w:highlight w:val="none"/>
        </w:rPr>
        <w:t xml:space="preserve"> 项支付：</w:t>
      </w:r>
    </w:p>
    <w:p w14:paraId="7900EE68">
      <w:pPr>
        <w:pageBreakBefore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（1）一次性付款：乙方合同履行达到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（条件）时，一次性付款；</w:t>
      </w:r>
    </w:p>
    <w:p w14:paraId="2C7EDC1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（2）分阶段付款</w:t>
      </w:r>
      <w:r>
        <w:rPr>
          <w:rFonts w:hint="eastAsia" w:ascii="宋体" w:hAnsi="宋体" w:eastAsia="宋体" w:cs="宋体"/>
          <w:color w:val="auto"/>
          <w:kern w:val="0"/>
          <w:szCs w:val="21"/>
          <w:highlight w:val="none"/>
        </w:rPr>
        <w:t>：</w:t>
      </w:r>
    </w:p>
    <w:p w14:paraId="3AA127F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rPr>
        <w:t>自合同签订之日起7个工作日内向中标人支付合同金额的</w:t>
      </w:r>
      <w:r>
        <w:rPr>
          <w:rFonts w:hint="eastAsia" w:ascii="宋体" w:hAnsi="宋体" w:eastAsia="宋体" w:cs="宋体"/>
          <w:color w:val="auto"/>
          <w:kern w:val="0"/>
          <w:szCs w:val="21"/>
          <w:highlight w:val="none"/>
          <w:u w:val="single"/>
          <w:lang w:val="en-US" w:eastAsia="zh-CN"/>
        </w:rPr>
        <w:t>50</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w:t>
      </w:r>
    </w:p>
    <w:p w14:paraId="00FE756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通过专家评审及市审查评审会议后5日内支付至合同价的90%</w:t>
      </w:r>
      <w:r>
        <w:rPr>
          <w:rFonts w:hint="eastAsia" w:ascii="宋体" w:hAnsi="宋体" w:eastAsia="宋体" w:cs="宋体"/>
          <w:color w:val="auto"/>
          <w:kern w:val="0"/>
          <w:szCs w:val="21"/>
          <w:highlight w:val="none"/>
          <w:u w:val="single"/>
          <w:lang w:eastAsia="zh-CN"/>
        </w:rPr>
        <w:t>；</w:t>
      </w:r>
    </w:p>
    <w:p w14:paraId="1FCEE0F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rPr>
        <w:t>工作结束后提交成果后5日内支付至合同价的100%</w:t>
      </w:r>
      <w:r>
        <w:rPr>
          <w:rFonts w:hint="eastAsia" w:ascii="宋体" w:hAnsi="宋体" w:eastAsia="宋体" w:cs="宋体"/>
          <w:color w:val="auto"/>
          <w:kern w:val="0"/>
          <w:szCs w:val="21"/>
          <w:highlight w:val="none"/>
          <w:u w:val="single"/>
          <w:lang w:eastAsia="zh-CN"/>
        </w:rPr>
        <w:t>。</w:t>
      </w:r>
    </w:p>
    <w:p w14:paraId="1394CE4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履约保证金</w:t>
      </w:r>
    </w:p>
    <w:p w14:paraId="5D42A90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按以下第</w:t>
      </w:r>
      <w:r>
        <w:rPr>
          <w:rFonts w:hint="eastAsia" w:ascii="宋体" w:hAnsi="宋体" w:eastAsia="宋体" w:cs="宋体"/>
          <w:color w:val="auto"/>
          <w:kern w:val="0"/>
          <w:szCs w:val="21"/>
          <w:highlight w:val="none"/>
          <w:u w:val="single"/>
        </w:rPr>
        <w:t xml:space="preserve"> 2 </w:t>
      </w:r>
      <w:r>
        <w:rPr>
          <w:rFonts w:hint="eastAsia" w:ascii="宋体" w:hAnsi="宋体" w:eastAsia="宋体" w:cs="宋体"/>
          <w:color w:val="auto"/>
          <w:kern w:val="0"/>
          <w:szCs w:val="21"/>
          <w:highlight w:val="none"/>
        </w:rPr>
        <w:t>项处理：</w:t>
      </w:r>
    </w:p>
    <w:p w14:paraId="4619E425">
      <w:pPr>
        <w:keepNext w:val="0"/>
        <w:keepLines w:val="0"/>
        <w:pageBreakBefore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本项目设置履约保证金，乙方应于</w:t>
      </w:r>
      <w:r>
        <w:rPr>
          <w:rFonts w:hint="eastAsia" w:ascii="宋体" w:hAnsi="宋体" w:eastAsia="宋体" w:cs="宋体"/>
          <w:color w:val="auto"/>
          <w:kern w:val="0"/>
          <w:szCs w:val="21"/>
          <w:highlight w:val="none"/>
          <w:u w:val="single"/>
        </w:rPr>
        <w:t>（时间）</w:t>
      </w:r>
      <w:r>
        <w:rPr>
          <w:rFonts w:hint="eastAsia" w:ascii="宋体" w:hAnsi="宋体" w:eastAsia="宋体" w:cs="宋体"/>
          <w:color w:val="auto"/>
          <w:kern w:val="0"/>
          <w:szCs w:val="21"/>
          <w:highlight w:val="none"/>
        </w:rPr>
        <w:t>向甲方提交履约保证金元（不得高于本合同金额的1%）。履约保证金在</w:t>
      </w:r>
      <w:r>
        <w:rPr>
          <w:rFonts w:hint="eastAsia" w:ascii="宋体" w:hAnsi="宋体" w:eastAsia="宋体" w:cs="宋体"/>
          <w:color w:val="auto"/>
          <w:kern w:val="0"/>
          <w:szCs w:val="21"/>
          <w:highlight w:val="none"/>
          <w:u w:val="single"/>
        </w:rPr>
        <w:t>（时间）</w:t>
      </w:r>
      <w:r>
        <w:rPr>
          <w:rFonts w:hint="eastAsia" w:ascii="宋体" w:hAnsi="宋体" w:eastAsia="宋体" w:cs="宋体"/>
          <w:color w:val="auto"/>
          <w:kern w:val="0"/>
          <w:szCs w:val="21"/>
          <w:highlight w:val="none"/>
        </w:rPr>
        <w:t>退还乙方。</w:t>
      </w:r>
    </w:p>
    <w:p w14:paraId="3564764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2、本项目不设置履约保证金。</w:t>
      </w:r>
    </w:p>
    <w:p w14:paraId="3239989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合同的变更和终止</w:t>
      </w:r>
    </w:p>
    <w:p w14:paraId="55BEBF8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1、除《政府采购法》第49条、第50条第二款规定的情形外，本合同一经签订，甲乙双方不得擅自终止合同或对合同实质性条款进行变更。确有特殊情况的，须经相关部门备案同意。</w:t>
      </w:r>
    </w:p>
    <w:p w14:paraId="0C067ABE">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、如乙方在合同履行过程中未实质性响应招标需求中“▲”的条款，甲方均有权终止合同。</w:t>
      </w:r>
    </w:p>
    <w:p w14:paraId="6898E88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合同的转让与分包</w:t>
      </w:r>
    </w:p>
    <w:p w14:paraId="34D75B1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乙方不得擅自部分或全部转让其应履行的合同义务。乙方分包的，应经过甲方书面同意。</w:t>
      </w:r>
    </w:p>
    <w:p w14:paraId="77E41E7A">
      <w:pPr>
        <w:pStyle w:val="12"/>
        <w:snapToGrid w:val="0"/>
        <w:spacing w:line="500" w:lineRule="exact"/>
        <w:ind w:firstLine="417" w:firstLineChars="198"/>
        <w:rPr>
          <w:rFonts w:hint="eastAsia" w:cs="宋体"/>
          <w:b/>
          <w:color w:val="auto"/>
          <w:sz w:val="21"/>
          <w:highlight w:val="none"/>
        </w:rPr>
      </w:pPr>
      <w:r>
        <w:rPr>
          <w:rFonts w:hint="eastAsia" w:cs="宋体"/>
          <w:b/>
          <w:color w:val="auto"/>
          <w:sz w:val="21"/>
          <w:highlight w:val="none"/>
          <w:lang w:val="en-US" w:eastAsia="zh-CN"/>
        </w:rPr>
        <w:t xml:space="preserve">第七条 </w:t>
      </w:r>
      <w:r>
        <w:rPr>
          <w:rFonts w:hint="eastAsia" w:cs="宋体"/>
          <w:b/>
          <w:color w:val="auto"/>
          <w:sz w:val="21"/>
          <w:highlight w:val="none"/>
        </w:rPr>
        <w:t>技术资料</w:t>
      </w:r>
    </w:p>
    <w:p w14:paraId="369C8803">
      <w:pPr>
        <w:tabs>
          <w:tab w:val="left" w:pos="2310"/>
        </w:tabs>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1、乙方应按招标文件规定的时间向甲方提供有关技术资料。</w:t>
      </w:r>
    </w:p>
    <w:p w14:paraId="4521D225">
      <w:pPr>
        <w:tabs>
          <w:tab w:val="left" w:pos="2310"/>
        </w:tabs>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A6FF74">
      <w:pPr>
        <w:pStyle w:val="12"/>
        <w:snapToGrid w:val="0"/>
        <w:spacing w:line="500" w:lineRule="exact"/>
        <w:ind w:firstLine="417" w:firstLineChars="198"/>
        <w:rPr>
          <w:rFonts w:hint="eastAsia" w:cs="宋体"/>
          <w:b/>
          <w:color w:val="auto"/>
          <w:sz w:val="21"/>
          <w:highlight w:val="none"/>
        </w:rPr>
      </w:pPr>
      <w:r>
        <w:rPr>
          <w:rFonts w:hint="eastAsia" w:cs="宋体"/>
          <w:b/>
          <w:color w:val="auto"/>
          <w:sz w:val="21"/>
          <w:highlight w:val="none"/>
          <w:lang w:val="en-US" w:eastAsia="zh-CN"/>
        </w:rPr>
        <w:t xml:space="preserve">第八条 </w:t>
      </w:r>
      <w:r>
        <w:rPr>
          <w:rFonts w:hint="eastAsia" w:cs="宋体"/>
          <w:b/>
          <w:color w:val="auto"/>
          <w:sz w:val="21"/>
          <w:highlight w:val="none"/>
        </w:rPr>
        <w:t>知识产权</w:t>
      </w:r>
    </w:p>
    <w:p w14:paraId="36FAB5F2">
      <w:pPr>
        <w:tabs>
          <w:tab w:val="left" w:pos="2310"/>
        </w:tabs>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1、乙方应保证提供服务过程中不会侵犯任何第三方的知识产权。</w:t>
      </w:r>
    </w:p>
    <w:p w14:paraId="177E0B22">
      <w:pPr>
        <w:tabs>
          <w:tab w:val="left" w:pos="2310"/>
        </w:tabs>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2、乙方应当对再提供服务过程中的知晓的信息进行保密，因乙方泄密造成甲方损失的，该损失由乙方承担。</w:t>
      </w:r>
    </w:p>
    <w:p w14:paraId="1A98BEE6">
      <w:pPr>
        <w:spacing w:line="360" w:lineRule="auto"/>
        <w:ind w:firstLine="369" w:firstLineChars="175"/>
        <w:rPr>
          <w:rFonts w:hint="eastAsia" w:ascii="宋体" w:hAnsi="宋体"/>
          <w:b/>
          <w:bCs/>
          <w:color w:val="auto"/>
          <w:szCs w:val="21"/>
          <w:highlight w:val="none"/>
        </w:rPr>
      </w:pPr>
      <w:r>
        <w:rPr>
          <w:rFonts w:hint="eastAsia" w:cs="宋体"/>
          <w:b/>
          <w:color w:val="auto"/>
          <w:highlight w:val="none"/>
          <w:lang w:val="en-US" w:eastAsia="zh-CN"/>
        </w:rPr>
        <w:t xml:space="preserve">第九条 </w:t>
      </w:r>
      <w:r>
        <w:rPr>
          <w:rFonts w:hint="eastAsia" w:ascii="宋体" w:hAnsi="宋体"/>
          <w:b/>
          <w:bCs/>
          <w:color w:val="auto"/>
          <w:szCs w:val="21"/>
          <w:highlight w:val="none"/>
        </w:rPr>
        <w:t>成果递交</w:t>
      </w:r>
    </w:p>
    <w:p w14:paraId="150B1F59">
      <w:pPr>
        <w:pStyle w:val="12"/>
        <w:snapToGrid w:val="0"/>
        <w:spacing w:line="500" w:lineRule="exact"/>
        <w:ind w:firstLine="415" w:firstLineChars="198"/>
        <w:rPr>
          <w:rFonts w:hint="eastAsia"/>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lang w:eastAsia="zh-CN"/>
        </w:rPr>
        <w:t>、</w:t>
      </w:r>
      <w:r>
        <w:rPr>
          <w:rFonts w:hint="eastAsia"/>
          <w:bCs/>
          <w:color w:val="auto"/>
          <w:sz w:val="21"/>
          <w:szCs w:val="21"/>
          <w:highlight w:val="none"/>
        </w:rPr>
        <w:t>成果内容</w:t>
      </w:r>
    </w:p>
    <w:p w14:paraId="2B6A74A5">
      <w:pPr>
        <w:pStyle w:val="12"/>
        <w:snapToGrid w:val="0"/>
        <w:spacing w:line="500" w:lineRule="exact"/>
        <w:ind w:firstLine="415" w:firstLineChars="198"/>
        <w:rPr>
          <w:rFonts w:hint="eastAsia"/>
          <w:bCs/>
          <w:color w:val="auto"/>
          <w:sz w:val="21"/>
          <w:szCs w:val="21"/>
          <w:highlight w:val="none"/>
        </w:rPr>
      </w:pPr>
      <w:r>
        <w:rPr>
          <w:rFonts w:hint="eastAsia"/>
          <w:bCs/>
          <w:color w:val="auto"/>
          <w:sz w:val="21"/>
          <w:szCs w:val="21"/>
          <w:highlight w:val="none"/>
        </w:rPr>
        <w:t>城镇单元成果包括法定文件、技术文件、附件三部分。</w:t>
      </w:r>
    </w:p>
    <w:p w14:paraId="786D4CEF">
      <w:pPr>
        <w:pStyle w:val="12"/>
        <w:snapToGrid w:val="0"/>
        <w:spacing w:line="500" w:lineRule="exact"/>
        <w:ind w:firstLine="415" w:firstLineChars="198"/>
        <w:rPr>
          <w:rFonts w:hint="eastAsia"/>
          <w:bCs/>
          <w:color w:val="auto"/>
          <w:sz w:val="21"/>
          <w:szCs w:val="21"/>
          <w:highlight w:val="none"/>
        </w:rPr>
      </w:pPr>
      <w:r>
        <w:rPr>
          <w:rFonts w:hint="eastAsia"/>
          <w:bCs/>
          <w:color w:val="auto"/>
          <w:sz w:val="21"/>
          <w:szCs w:val="21"/>
          <w:highlight w:val="none"/>
        </w:rPr>
        <w:t>（1）法定文件：包括文本、图则和相关附表。</w:t>
      </w:r>
    </w:p>
    <w:p w14:paraId="68230B7B">
      <w:pPr>
        <w:pStyle w:val="12"/>
        <w:snapToGrid w:val="0"/>
        <w:spacing w:line="500" w:lineRule="exact"/>
        <w:ind w:firstLine="415" w:firstLineChars="198"/>
        <w:rPr>
          <w:rFonts w:hint="eastAsia"/>
          <w:bCs/>
          <w:color w:val="auto"/>
          <w:sz w:val="21"/>
          <w:szCs w:val="21"/>
          <w:highlight w:val="none"/>
        </w:rPr>
      </w:pPr>
      <w:r>
        <w:rPr>
          <w:rFonts w:hint="eastAsia"/>
          <w:bCs/>
          <w:color w:val="auto"/>
          <w:sz w:val="21"/>
          <w:szCs w:val="21"/>
          <w:highlight w:val="none"/>
        </w:rPr>
        <w:t>（2）技术文件：包括规划说明、图集等。</w:t>
      </w:r>
    </w:p>
    <w:p w14:paraId="73B6DB99">
      <w:pPr>
        <w:pStyle w:val="12"/>
        <w:snapToGrid w:val="0"/>
        <w:spacing w:line="500" w:lineRule="exact"/>
        <w:ind w:firstLine="415" w:firstLineChars="198"/>
        <w:rPr>
          <w:rFonts w:hint="eastAsia"/>
          <w:bCs/>
          <w:color w:val="auto"/>
          <w:sz w:val="21"/>
          <w:szCs w:val="21"/>
          <w:highlight w:val="none"/>
        </w:rPr>
      </w:pPr>
      <w:r>
        <w:rPr>
          <w:rFonts w:hint="eastAsia"/>
          <w:bCs/>
          <w:color w:val="auto"/>
          <w:sz w:val="21"/>
          <w:szCs w:val="21"/>
          <w:highlight w:val="none"/>
        </w:rPr>
        <w:t>（3）附件：包括基础资料汇编、会审意见与落实等相关材料。</w:t>
      </w:r>
    </w:p>
    <w:p w14:paraId="5E84E46B">
      <w:pPr>
        <w:pStyle w:val="12"/>
        <w:snapToGrid w:val="0"/>
        <w:spacing w:line="500" w:lineRule="exact"/>
        <w:ind w:firstLine="415" w:firstLineChars="198"/>
        <w:rPr>
          <w:rFonts w:hint="eastAsia"/>
          <w:bCs/>
          <w:color w:val="auto"/>
          <w:sz w:val="21"/>
          <w:szCs w:val="21"/>
          <w:highlight w:val="none"/>
        </w:rPr>
      </w:pPr>
      <w:r>
        <w:rPr>
          <w:rFonts w:hint="eastAsia"/>
          <w:bCs/>
          <w:color w:val="auto"/>
          <w:sz w:val="21"/>
          <w:szCs w:val="21"/>
          <w:highlight w:val="none"/>
        </w:rPr>
        <w:t>2</w:t>
      </w:r>
      <w:r>
        <w:rPr>
          <w:rFonts w:hint="eastAsia"/>
          <w:bCs/>
          <w:color w:val="auto"/>
          <w:sz w:val="21"/>
          <w:szCs w:val="21"/>
          <w:highlight w:val="none"/>
          <w:lang w:eastAsia="zh-CN"/>
        </w:rPr>
        <w:t>、</w:t>
      </w:r>
      <w:r>
        <w:rPr>
          <w:rFonts w:hint="eastAsia"/>
          <w:bCs/>
          <w:color w:val="auto"/>
          <w:sz w:val="21"/>
          <w:szCs w:val="21"/>
          <w:highlight w:val="none"/>
        </w:rPr>
        <w:t>纸质成果</w:t>
      </w:r>
    </w:p>
    <w:p w14:paraId="1A3A78A8">
      <w:pPr>
        <w:pStyle w:val="12"/>
        <w:snapToGrid w:val="0"/>
        <w:spacing w:line="500" w:lineRule="exact"/>
        <w:ind w:firstLine="415" w:firstLineChars="198"/>
        <w:rPr>
          <w:rFonts w:hint="eastAsia"/>
          <w:bCs/>
          <w:color w:val="auto"/>
          <w:sz w:val="21"/>
          <w:szCs w:val="21"/>
          <w:highlight w:val="none"/>
        </w:rPr>
      </w:pPr>
      <w:r>
        <w:rPr>
          <w:rFonts w:hint="eastAsia"/>
          <w:bCs/>
          <w:color w:val="auto"/>
          <w:sz w:val="21"/>
          <w:szCs w:val="21"/>
          <w:highlight w:val="none"/>
        </w:rPr>
        <w:t>纸质成果份数应满足审查、报批及存档需求。</w:t>
      </w:r>
    </w:p>
    <w:p w14:paraId="1599A5B9">
      <w:pPr>
        <w:pStyle w:val="12"/>
        <w:snapToGrid w:val="0"/>
        <w:spacing w:line="500" w:lineRule="exact"/>
        <w:ind w:firstLine="415" w:firstLineChars="198"/>
        <w:rPr>
          <w:rFonts w:hint="eastAsia"/>
          <w:bCs/>
          <w:color w:val="auto"/>
          <w:sz w:val="21"/>
          <w:szCs w:val="21"/>
          <w:highlight w:val="none"/>
        </w:rPr>
      </w:pPr>
      <w:r>
        <w:rPr>
          <w:rFonts w:hint="eastAsia"/>
          <w:bCs/>
          <w:color w:val="auto"/>
          <w:sz w:val="21"/>
          <w:szCs w:val="21"/>
          <w:highlight w:val="none"/>
        </w:rPr>
        <w:t>3</w:t>
      </w:r>
      <w:r>
        <w:rPr>
          <w:rFonts w:hint="eastAsia"/>
          <w:bCs/>
          <w:color w:val="auto"/>
          <w:sz w:val="21"/>
          <w:szCs w:val="21"/>
          <w:highlight w:val="none"/>
          <w:lang w:eastAsia="zh-CN"/>
        </w:rPr>
        <w:t>、</w:t>
      </w:r>
      <w:r>
        <w:rPr>
          <w:rFonts w:hint="eastAsia"/>
          <w:bCs/>
          <w:color w:val="auto"/>
          <w:sz w:val="21"/>
          <w:szCs w:val="21"/>
          <w:highlight w:val="none"/>
        </w:rPr>
        <w:t>电子数据成果</w:t>
      </w:r>
    </w:p>
    <w:p w14:paraId="03CEC2DD">
      <w:pPr>
        <w:pStyle w:val="12"/>
        <w:snapToGrid w:val="0"/>
        <w:spacing w:line="500" w:lineRule="exact"/>
        <w:ind w:firstLine="415" w:firstLineChars="198"/>
        <w:rPr>
          <w:rFonts w:hint="eastAsia"/>
          <w:bCs/>
          <w:color w:val="auto"/>
          <w:sz w:val="21"/>
          <w:szCs w:val="21"/>
          <w:highlight w:val="none"/>
        </w:rPr>
      </w:pPr>
      <w:r>
        <w:rPr>
          <w:rFonts w:hint="eastAsia"/>
          <w:bCs/>
          <w:color w:val="auto"/>
          <w:sz w:val="21"/>
          <w:szCs w:val="21"/>
          <w:highlight w:val="none"/>
        </w:rPr>
        <w:t>（1）规划文本、说明书等采用WORD格式和PDF格式，规划图纸和规划图则采用DWG格式、GIS格式和JPG格式。</w:t>
      </w:r>
    </w:p>
    <w:p w14:paraId="0B6F75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bCs/>
          <w:color w:val="auto"/>
          <w:sz w:val="21"/>
          <w:szCs w:val="21"/>
          <w:highlight w:val="none"/>
        </w:rPr>
        <w:t>（2）规划成果的电子文件必须符合平湖市自然资源和规划局关于一张图入库与维护管理的相关要求，纳入市国土空间规划“一张图”实施监督信息平台，实施“一张图”统一管理</w:t>
      </w:r>
    </w:p>
    <w:p w14:paraId="38012C53">
      <w:pPr>
        <w:pStyle w:val="12"/>
        <w:snapToGrid w:val="0"/>
        <w:spacing w:line="500" w:lineRule="exact"/>
        <w:ind w:firstLine="417" w:firstLineChars="198"/>
        <w:rPr>
          <w:rFonts w:hint="eastAsia" w:cs="宋体"/>
          <w:b/>
          <w:color w:val="auto"/>
          <w:sz w:val="21"/>
          <w:highlight w:val="none"/>
        </w:rPr>
      </w:pPr>
      <w:r>
        <w:rPr>
          <w:rFonts w:hint="eastAsia" w:cs="宋体"/>
          <w:b/>
          <w:color w:val="auto"/>
          <w:sz w:val="21"/>
          <w:highlight w:val="none"/>
          <w:lang w:val="en-US" w:eastAsia="zh-CN"/>
        </w:rPr>
        <w:t xml:space="preserve">第十条 </w:t>
      </w:r>
      <w:r>
        <w:rPr>
          <w:rFonts w:hint="eastAsia" w:cs="宋体"/>
          <w:b/>
          <w:color w:val="auto"/>
          <w:sz w:val="21"/>
          <w:highlight w:val="none"/>
        </w:rPr>
        <w:t>质量保证及售后服务</w:t>
      </w:r>
    </w:p>
    <w:p w14:paraId="68383FD1">
      <w:pPr>
        <w:pStyle w:val="15"/>
        <w:spacing w:line="440" w:lineRule="exact"/>
        <w:ind w:firstLine="420" w:firstLineChars="200"/>
        <w:rPr>
          <w:rFonts w:ascii="Times New Roman" w:hAnsi="宋体"/>
          <w:color w:val="auto"/>
          <w:sz w:val="21"/>
          <w:szCs w:val="21"/>
          <w:highlight w:val="none"/>
        </w:rPr>
      </w:pPr>
      <w:r>
        <w:rPr>
          <w:rFonts w:hint="eastAsia" w:ascii="Times New Roman" w:hAnsi="宋体"/>
          <w:color w:val="auto"/>
          <w:sz w:val="21"/>
          <w:szCs w:val="21"/>
          <w:highlight w:val="none"/>
          <w:lang w:val="en-US" w:eastAsia="zh-CN"/>
        </w:rPr>
        <w:t>1、</w:t>
      </w:r>
      <w:r>
        <w:rPr>
          <w:rFonts w:ascii="Times New Roman" w:hAnsi="宋体"/>
          <w:color w:val="auto"/>
          <w:sz w:val="21"/>
          <w:szCs w:val="21"/>
          <w:highlight w:val="none"/>
        </w:rPr>
        <w:t>乙方应按招标文件规定向甲方提供服务。</w:t>
      </w:r>
    </w:p>
    <w:p w14:paraId="46C3E2FE">
      <w:pPr>
        <w:pStyle w:val="15"/>
        <w:spacing w:line="440" w:lineRule="exact"/>
        <w:ind w:firstLine="420" w:firstLineChars="200"/>
        <w:rPr>
          <w:rFonts w:ascii="Times New Roman" w:hAnsi="宋体"/>
          <w:color w:val="auto"/>
          <w:sz w:val="21"/>
          <w:szCs w:val="21"/>
          <w:highlight w:val="none"/>
        </w:rPr>
      </w:pPr>
      <w:r>
        <w:rPr>
          <w:rFonts w:hint="eastAsia" w:ascii="Times New Roman" w:hAnsi="宋体"/>
          <w:color w:val="auto"/>
          <w:sz w:val="21"/>
          <w:szCs w:val="21"/>
          <w:highlight w:val="none"/>
          <w:lang w:val="en-US" w:eastAsia="zh-CN"/>
        </w:rPr>
        <w:t>2、</w:t>
      </w:r>
      <w:r>
        <w:rPr>
          <w:rFonts w:hint="eastAsia" w:ascii="Times New Roman" w:hAnsi="宋体"/>
          <w:color w:val="auto"/>
          <w:sz w:val="21"/>
          <w:szCs w:val="21"/>
          <w:highlight w:val="none"/>
        </w:rPr>
        <w:t>乙方服务方法、质量应达到招标文件规定要求，并按本合同招标文件和附件要求接受甲方检查、考核。</w:t>
      </w:r>
    </w:p>
    <w:p w14:paraId="1CBA62DA">
      <w:pPr>
        <w:pStyle w:val="15"/>
        <w:spacing w:line="440" w:lineRule="exact"/>
        <w:ind w:firstLine="420" w:firstLineChars="200"/>
        <w:rPr>
          <w:rFonts w:ascii="Times New Roman" w:hAnsi="宋体"/>
          <w:color w:val="auto"/>
          <w:sz w:val="21"/>
          <w:szCs w:val="21"/>
          <w:highlight w:val="none"/>
        </w:rPr>
      </w:pPr>
      <w:r>
        <w:rPr>
          <w:rFonts w:hint="eastAsia" w:ascii="Times New Roman" w:hAnsi="宋体"/>
          <w:color w:val="auto"/>
          <w:sz w:val="21"/>
          <w:szCs w:val="21"/>
          <w:highlight w:val="none"/>
          <w:lang w:val="en-US" w:eastAsia="zh-CN"/>
        </w:rPr>
        <w:t>3、</w:t>
      </w:r>
      <w:r>
        <w:rPr>
          <w:rFonts w:ascii="Times New Roman" w:hAnsi="宋体"/>
          <w:color w:val="auto"/>
          <w:sz w:val="21"/>
          <w:szCs w:val="21"/>
          <w:highlight w:val="none"/>
        </w:rPr>
        <w:t xml:space="preserve"> 如在</w:t>
      </w:r>
      <w:r>
        <w:rPr>
          <w:rFonts w:hint="eastAsia" w:ascii="Times New Roman" w:hAnsi="宋体"/>
          <w:color w:val="auto"/>
          <w:sz w:val="21"/>
          <w:szCs w:val="21"/>
          <w:highlight w:val="none"/>
        </w:rPr>
        <w:t>服务</w:t>
      </w:r>
      <w:r>
        <w:rPr>
          <w:rFonts w:ascii="Times New Roman" w:hAnsi="宋体"/>
          <w:color w:val="auto"/>
          <w:sz w:val="21"/>
          <w:szCs w:val="21"/>
          <w:highlight w:val="none"/>
        </w:rPr>
        <w:t>过程中发生问题，乙方在接到甲方通知后在</w:t>
      </w:r>
      <w:r>
        <w:rPr>
          <w:rFonts w:hint="eastAsia" w:ascii="Times New Roman" w:hAnsi="宋体"/>
          <w:color w:val="auto"/>
          <w:sz w:val="21"/>
          <w:szCs w:val="21"/>
          <w:highlight w:val="none"/>
        </w:rPr>
        <w:t>招标文件或甲方规定时间</w:t>
      </w:r>
      <w:r>
        <w:rPr>
          <w:rFonts w:ascii="Times New Roman" w:hAnsi="宋体"/>
          <w:color w:val="auto"/>
          <w:sz w:val="21"/>
          <w:szCs w:val="21"/>
          <w:highlight w:val="none"/>
        </w:rPr>
        <w:t>内到达甲方现场。</w:t>
      </w:r>
    </w:p>
    <w:p w14:paraId="7FDEAD73">
      <w:pPr>
        <w:pStyle w:val="15"/>
        <w:spacing w:line="440" w:lineRule="exact"/>
        <w:ind w:firstLine="420" w:firstLineChars="200"/>
        <w:rPr>
          <w:rFonts w:hint="eastAsia" w:ascii="Times New Roman" w:hAnsi="宋体"/>
          <w:color w:val="auto"/>
          <w:sz w:val="21"/>
          <w:szCs w:val="21"/>
          <w:highlight w:val="none"/>
        </w:rPr>
      </w:pPr>
      <w:r>
        <w:rPr>
          <w:rFonts w:hint="eastAsia" w:ascii="Times New Roman" w:hAnsi="宋体"/>
          <w:color w:val="auto"/>
          <w:sz w:val="21"/>
          <w:szCs w:val="21"/>
          <w:highlight w:val="none"/>
          <w:lang w:val="en-US" w:eastAsia="zh-CN"/>
        </w:rPr>
        <w:t>4、</w:t>
      </w:r>
      <w:r>
        <w:rPr>
          <w:rFonts w:ascii="Times New Roman" w:hAnsi="宋体"/>
          <w:color w:val="auto"/>
          <w:sz w:val="21"/>
          <w:szCs w:val="21"/>
          <w:highlight w:val="none"/>
        </w:rPr>
        <w:t>在服务质量保证期内，乙方应对出现的质量及安全问题负责处理解决并承担一切费用。</w:t>
      </w:r>
    </w:p>
    <w:p w14:paraId="43747399">
      <w:pPr>
        <w:pStyle w:val="12"/>
        <w:snapToGrid w:val="0"/>
        <w:spacing w:line="500" w:lineRule="exact"/>
        <w:ind w:firstLine="417" w:firstLineChars="198"/>
        <w:rPr>
          <w:rFonts w:hint="eastAsia" w:cs="宋体"/>
          <w:b/>
          <w:color w:val="auto"/>
          <w:sz w:val="21"/>
          <w:highlight w:val="none"/>
        </w:rPr>
      </w:pPr>
      <w:r>
        <w:rPr>
          <w:rFonts w:hint="eastAsia" w:cs="宋体"/>
          <w:b/>
          <w:color w:val="auto"/>
          <w:sz w:val="21"/>
          <w:highlight w:val="none"/>
          <w:lang w:val="en-US" w:eastAsia="zh-CN"/>
        </w:rPr>
        <w:t xml:space="preserve">第十一条 </w:t>
      </w:r>
      <w:r>
        <w:rPr>
          <w:rFonts w:hint="eastAsia" w:cs="宋体"/>
          <w:b/>
          <w:color w:val="auto"/>
          <w:sz w:val="21"/>
          <w:highlight w:val="none"/>
        </w:rPr>
        <w:t>违约责任</w:t>
      </w:r>
    </w:p>
    <w:p w14:paraId="02EC2E3C">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1、乙方责任：在项目操作过程中未按协议规定的职责内容操作的，或者不符合协议其他规定的，乙方负责无偿返工，造成损失的，还要赔偿损失。</w:t>
      </w:r>
    </w:p>
    <w:p w14:paraId="2D8616D9">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2、甲方责任：未能按协议的规定履行自己应负的职责，应赔偿乙方因此造成的损失。</w:t>
      </w:r>
    </w:p>
    <w:p w14:paraId="1A472588">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3、乙方存在以下行为之一，甲方有权单方面终止本协议，甲方对此不承担责任。</w:t>
      </w:r>
    </w:p>
    <w:p w14:paraId="250E703E">
      <w:pPr>
        <w:tabs>
          <w:tab w:val="left" w:pos="1800"/>
        </w:tabs>
        <w:spacing w:line="5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（1）乙方不服从甲方的管理或不履行本合同约定的义务。</w:t>
      </w:r>
    </w:p>
    <w:p w14:paraId="60DFD8F4">
      <w:pPr>
        <w:tabs>
          <w:tab w:val="left" w:pos="1800"/>
        </w:tabs>
        <w:spacing w:line="5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（2）不愿无偿完成甲方指派的属乙方工作范围内的突击性、临时性的工作。</w:t>
      </w:r>
    </w:p>
    <w:p w14:paraId="1C802822">
      <w:pPr>
        <w:tabs>
          <w:tab w:val="left" w:pos="1800"/>
        </w:tabs>
        <w:spacing w:line="5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（3）发生重大事故又不积极处理。</w:t>
      </w:r>
    </w:p>
    <w:p w14:paraId="27E0AD84">
      <w:pPr>
        <w:tabs>
          <w:tab w:val="left" w:pos="1800"/>
        </w:tabs>
        <w:spacing w:line="5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（4）其他重大违规事件。</w:t>
      </w:r>
    </w:p>
    <w:p w14:paraId="66DC49FB">
      <w:pPr>
        <w:pStyle w:val="12"/>
        <w:snapToGrid w:val="0"/>
        <w:spacing w:line="500" w:lineRule="exact"/>
        <w:ind w:firstLine="417" w:firstLineChars="198"/>
        <w:rPr>
          <w:rFonts w:hint="eastAsia" w:cs="宋体"/>
          <w:b/>
          <w:color w:val="auto"/>
          <w:sz w:val="21"/>
          <w:highlight w:val="none"/>
        </w:rPr>
      </w:pPr>
      <w:r>
        <w:rPr>
          <w:rFonts w:hint="eastAsia" w:cs="宋体"/>
          <w:b/>
          <w:color w:val="auto"/>
          <w:sz w:val="21"/>
          <w:highlight w:val="none"/>
          <w:lang w:val="en-US" w:eastAsia="zh-CN"/>
        </w:rPr>
        <w:t xml:space="preserve">第十二条 </w:t>
      </w:r>
      <w:r>
        <w:rPr>
          <w:rFonts w:hint="eastAsia" w:cs="宋体"/>
          <w:b/>
          <w:color w:val="auto"/>
          <w:sz w:val="21"/>
          <w:highlight w:val="none"/>
        </w:rPr>
        <w:t>不可抗力事件处理</w:t>
      </w:r>
    </w:p>
    <w:p w14:paraId="2D9E9A71">
      <w:pPr>
        <w:autoSpaceDE w:val="0"/>
        <w:autoSpaceDN w:val="0"/>
        <w:adjustRightIn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1、因不可抗力不能履行合同的，根据不可抗力的影响，部分或者全部免除责任。但合同一方迟延履行后发生不可抗力的，不能免除责任。</w:t>
      </w:r>
    </w:p>
    <w:p w14:paraId="78EB71B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cs="宋体" w:eastAsiaTheme="minorEastAsia"/>
          <w:color w:val="auto"/>
          <w:kern w:val="0"/>
          <w:szCs w:val="21"/>
          <w:highlight w:val="none"/>
          <w:lang w:eastAsia="zh-CN"/>
        </w:rPr>
      </w:pPr>
      <w:r>
        <w:rPr>
          <w:rFonts w:hint="eastAsia" w:ascii="宋体" w:hAnsi="宋体" w:cs="宋体"/>
          <w:color w:val="auto"/>
          <w:szCs w:val="21"/>
          <w:highlight w:val="none"/>
        </w:rPr>
        <w:t>2、合同一方因不可抗力不能履行合同的，应当及时通知对方，以减轻可能给对方造成的损失，并应当在合理期限内提供证明</w:t>
      </w:r>
      <w:r>
        <w:rPr>
          <w:rFonts w:hint="eastAsia" w:ascii="宋体" w:hAnsi="宋体" w:cs="宋体"/>
          <w:color w:val="auto"/>
          <w:szCs w:val="21"/>
          <w:highlight w:val="none"/>
          <w:lang w:eastAsia="zh-CN"/>
        </w:rPr>
        <w:t>。</w:t>
      </w:r>
    </w:p>
    <w:p w14:paraId="527FDC2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 xml:space="preserve">第十三条 </w:t>
      </w:r>
      <w:r>
        <w:rPr>
          <w:rFonts w:hint="eastAsia" w:ascii="宋体" w:hAnsi="宋体" w:eastAsia="宋体" w:cs="宋体"/>
          <w:b/>
          <w:color w:val="auto"/>
          <w:kern w:val="0"/>
          <w:szCs w:val="21"/>
          <w:highlight w:val="none"/>
        </w:rPr>
        <w:t>争议的解决</w:t>
      </w:r>
    </w:p>
    <w:p w14:paraId="014060F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种方式解决争议：</w:t>
      </w:r>
    </w:p>
    <w:p w14:paraId="4F77C32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（1）向甲方所在地有管辖权的人民法院提起诉讼；</w:t>
      </w:r>
    </w:p>
    <w:p w14:paraId="230C186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（2）向仲裁委员申请仲裁。</w:t>
      </w:r>
    </w:p>
    <w:p w14:paraId="4983FE9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w:t>
      </w:r>
      <w:r>
        <w:rPr>
          <w:rFonts w:hint="eastAsia" w:ascii="宋体" w:hAnsi="宋体" w:eastAsia="宋体" w:cs="宋体"/>
          <w:b/>
          <w:bCs/>
          <w:color w:val="auto"/>
          <w:kern w:val="0"/>
          <w:szCs w:val="21"/>
          <w:highlight w:val="none"/>
          <w:lang w:val="en-US" w:eastAsia="zh-CN"/>
        </w:rPr>
        <w:t>十四</w:t>
      </w:r>
      <w:r>
        <w:rPr>
          <w:rFonts w:hint="eastAsia" w:ascii="宋体" w:hAnsi="宋体" w:eastAsia="宋体" w:cs="宋体"/>
          <w:b/>
          <w:bCs/>
          <w:color w:val="auto"/>
          <w:kern w:val="0"/>
          <w:szCs w:val="21"/>
          <w:highlight w:val="none"/>
        </w:rPr>
        <w:t>条 合同备案及其他</w:t>
      </w:r>
    </w:p>
    <w:p w14:paraId="75312554">
      <w:pPr>
        <w:pageBreakBefore w:val="0"/>
        <w:kinsoku/>
        <w:overflowPunct/>
        <w:topLinePunct w:val="0"/>
        <w:autoSpaceDE w:val="0"/>
        <w:autoSpaceDN w:val="0"/>
        <w:bidi w:val="0"/>
        <w:adjustRightInd w:val="0"/>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合同经双方法定代表人或授权委托代理人签字并加盖单位公章后生效。</w:t>
      </w:r>
    </w:p>
    <w:p w14:paraId="27D7AB1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本合同未尽事宜，遵照《</w:t>
      </w:r>
      <w:r>
        <w:rPr>
          <w:rFonts w:ascii="宋体" w:hAnsi="宋体"/>
          <w:color w:val="auto"/>
          <w:kern w:val="0"/>
          <w:szCs w:val="21"/>
          <w:highlight w:val="none"/>
        </w:rPr>
        <w:t>中华人民共和国</w:t>
      </w:r>
      <w:r>
        <w:rPr>
          <w:rFonts w:ascii="宋体" w:hAnsi="宋体"/>
          <w:color w:val="auto"/>
          <w:szCs w:val="21"/>
          <w:highlight w:val="none"/>
        </w:rPr>
        <w:t>合同法》有关条文执行</w:t>
      </w:r>
      <w:r>
        <w:rPr>
          <w:rFonts w:hint="eastAsia" w:ascii="宋体" w:hAnsi="宋体"/>
          <w:color w:val="auto"/>
          <w:szCs w:val="21"/>
          <w:highlight w:val="none"/>
          <w:lang w:eastAsia="zh-CN"/>
        </w:rPr>
        <w:t>。</w:t>
      </w:r>
    </w:p>
    <w:p w14:paraId="38A4BED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color w:val="auto"/>
          <w:highlight w:val="none"/>
        </w:rPr>
      </w:pPr>
      <w:r>
        <w:rPr>
          <w:rFonts w:hint="eastAsia" w:ascii="宋体" w:hAnsi="宋体"/>
          <w:color w:val="auto"/>
          <w:szCs w:val="21"/>
          <w:highlight w:val="none"/>
          <w:lang w:val="en-US" w:eastAsia="zh-CN"/>
        </w:rPr>
        <w:t>3、</w:t>
      </w:r>
      <w:r>
        <w:rPr>
          <w:rFonts w:hint="eastAsia"/>
          <w:color w:val="auto"/>
          <w:highlight w:val="none"/>
        </w:rPr>
        <w:t>本合同一式</w:t>
      </w:r>
      <w:r>
        <w:rPr>
          <w:rFonts w:hint="eastAsia"/>
          <w:color w:val="auto"/>
          <w:highlight w:val="none"/>
          <w:u w:val="single"/>
        </w:rPr>
        <w:t xml:space="preserve"> 六 </w:t>
      </w:r>
      <w:r>
        <w:rPr>
          <w:rFonts w:hint="eastAsia"/>
          <w:color w:val="auto"/>
          <w:highlight w:val="none"/>
        </w:rPr>
        <w:t>份，甲乙双方各执</w:t>
      </w:r>
      <w:r>
        <w:rPr>
          <w:rFonts w:hint="eastAsia"/>
          <w:color w:val="auto"/>
          <w:highlight w:val="none"/>
          <w:u w:val="single"/>
        </w:rPr>
        <w:t xml:space="preserve">  二 </w:t>
      </w:r>
      <w:r>
        <w:rPr>
          <w:rFonts w:hint="eastAsia"/>
          <w:color w:val="auto"/>
          <w:highlight w:val="none"/>
        </w:rPr>
        <w:t>份，一份报送政府采购监督管理部门备案，一份招标代理机构留存</w:t>
      </w:r>
      <w:r>
        <w:rPr>
          <w:rFonts w:hint="eastAsia" w:ascii="宋体" w:cs="Arial"/>
          <w:color w:val="auto"/>
          <w:kern w:val="0"/>
          <w:szCs w:val="21"/>
          <w:highlight w:val="none"/>
        </w:rPr>
        <w:t>。</w:t>
      </w:r>
    </w:p>
    <w:p w14:paraId="00C35CB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both"/>
        <w:textAlignment w:val="auto"/>
        <w:rPr>
          <w:rFonts w:hint="eastAsia" w:ascii="黑体" w:hAnsi="黑体" w:eastAsia="黑体" w:cs="Arial"/>
          <w:color w:val="auto"/>
          <w:kern w:val="0"/>
          <w:sz w:val="28"/>
          <w:szCs w:val="28"/>
          <w:highlight w:val="none"/>
        </w:rPr>
      </w:pPr>
    </w:p>
    <w:p w14:paraId="5EB060B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委托方（甲方）名称：（盖章）           受托方（乙方）名称：（盖章）</w:t>
      </w:r>
    </w:p>
    <w:p w14:paraId="0CB97AD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法定代表人：       　　　    　            法定代表人：</w:t>
      </w:r>
    </w:p>
    <w:p w14:paraId="41C9A84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lang w:val="en-US" w:eastAsia="zh-CN"/>
        </w:rPr>
        <w:t>或</w:t>
      </w:r>
      <w:r>
        <w:rPr>
          <w:rFonts w:hint="eastAsia" w:ascii="宋体" w:cs="Arial"/>
          <w:color w:val="auto"/>
          <w:kern w:val="0"/>
          <w:szCs w:val="21"/>
          <w:highlight w:val="none"/>
        </w:rPr>
        <w:t xml:space="preserve">委托代理人：       　　　    　         </w:t>
      </w:r>
      <w:r>
        <w:rPr>
          <w:rFonts w:hint="eastAsia" w:ascii="宋体" w:cs="Arial"/>
          <w:color w:val="auto"/>
          <w:kern w:val="0"/>
          <w:szCs w:val="21"/>
          <w:highlight w:val="none"/>
          <w:lang w:val="en-US" w:eastAsia="zh-CN"/>
        </w:rPr>
        <w:t xml:space="preserve"> 或</w:t>
      </w:r>
      <w:r>
        <w:rPr>
          <w:rFonts w:hint="eastAsia" w:ascii="宋体" w:cs="Arial"/>
          <w:color w:val="auto"/>
          <w:kern w:val="0"/>
          <w:szCs w:val="21"/>
          <w:highlight w:val="none"/>
        </w:rPr>
        <w:t>委托代理人：</w:t>
      </w:r>
    </w:p>
    <w:p w14:paraId="6639E18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住　　所：        　　　　　               住　　所：　　　　　　　　               </w:t>
      </w:r>
    </w:p>
    <w:p w14:paraId="73D8A07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邮政编码：　　　　　　　　               　邮政编码： </w:t>
      </w:r>
    </w:p>
    <w:p w14:paraId="246CC4D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电　　话：　　　　　　　　　               电　　话：  </w:t>
      </w:r>
    </w:p>
    <w:p w14:paraId="71C4940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传　　真：　　　　　　　　　               传　　真：  </w:t>
      </w:r>
    </w:p>
    <w:p w14:paraId="21FA4A6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开户银行：　　　　　　　　　               开户银行：  </w:t>
      </w:r>
    </w:p>
    <w:p w14:paraId="28EE707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银行帐号：　　　　　　　　　               银行帐号：  </w:t>
      </w:r>
    </w:p>
    <w:p w14:paraId="4E0898A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  年  月  日　　                             年   月  日</w:t>
      </w:r>
    </w:p>
    <w:p w14:paraId="2681BC80">
      <w:pPr>
        <w:pStyle w:val="15"/>
        <w:keepNext w:val="0"/>
        <w:keepLines w:val="0"/>
        <w:pageBreakBefore w:val="0"/>
        <w:kinsoku/>
        <w:wordWrap/>
        <w:overflowPunct/>
        <w:topLinePunct w:val="0"/>
        <w:bidi w:val="0"/>
        <w:snapToGrid w:val="0"/>
        <w:spacing w:line="400" w:lineRule="exact"/>
        <w:ind w:left="0" w:leftChars="0"/>
        <w:textAlignment w:val="auto"/>
        <w:rPr>
          <w:rFonts w:hint="eastAsia" w:cs="Arial"/>
          <w:color w:val="auto"/>
          <w:sz w:val="21"/>
          <w:szCs w:val="21"/>
          <w:highlight w:val="none"/>
        </w:rPr>
      </w:pPr>
    </w:p>
    <w:p w14:paraId="00BA9D13">
      <w:pPr>
        <w:autoSpaceDE w:val="0"/>
        <w:autoSpaceDN w:val="0"/>
        <w:adjustRightInd w:val="0"/>
        <w:snapToGrid w:val="0"/>
        <w:spacing w:line="440" w:lineRule="exact"/>
        <w:ind w:firstLine="4620" w:firstLineChars="2200"/>
        <w:contextualSpacing/>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rPr>
        <w:t>鉴证方</w:t>
      </w:r>
      <w:r>
        <w:rPr>
          <w:rFonts w:hint="eastAsia" w:ascii="宋体" w:hAnsi="宋体" w:cs="宋体"/>
          <w:color w:val="auto"/>
          <w:kern w:val="0"/>
          <w:szCs w:val="21"/>
          <w:highlight w:val="none"/>
          <w:lang w:val="en-US" w:eastAsia="zh-CN"/>
        </w:rPr>
        <w:t>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盖章</w:t>
      </w:r>
      <w:r>
        <w:rPr>
          <w:rFonts w:hint="eastAsia" w:ascii="宋体" w:hAnsi="宋体" w:cs="宋体"/>
          <w:color w:val="auto"/>
          <w:kern w:val="0"/>
          <w:szCs w:val="21"/>
          <w:highlight w:val="none"/>
          <w:lang w:eastAsia="zh-CN"/>
        </w:rPr>
        <w:t>）</w:t>
      </w:r>
    </w:p>
    <w:p w14:paraId="565DC157">
      <w:pPr>
        <w:autoSpaceDE w:val="0"/>
        <w:autoSpaceDN w:val="0"/>
        <w:adjustRightInd w:val="0"/>
        <w:snapToGrid w:val="0"/>
        <w:spacing w:line="440" w:lineRule="exact"/>
        <w:ind w:firstLine="4620" w:firstLineChars="22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法定代表人或委托代理人(签字)：</w:t>
      </w:r>
    </w:p>
    <w:p w14:paraId="4C37C894">
      <w:pPr>
        <w:snapToGrid w:val="0"/>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w:t>
      </w:r>
    </w:p>
    <w:p w14:paraId="1C738C77">
      <w:pPr>
        <w:snapToGrid w:val="0"/>
        <w:spacing w:line="360" w:lineRule="auto"/>
        <w:jc w:val="center"/>
        <w:rPr>
          <w:rFonts w:ascii="宋体" w:hAnsi="宋体" w:eastAsia="宋体"/>
          <w:color w:val="auto"/>
          <w:szCs w:val="21"/>
          <w:highlight w:val="none"/>
        </w:rPr>
      </w:pPr>
      <w:r>
        <w:rPr>
          <w:rFonts w:hint="eastAsia" w:ascii="宋体" w:hAnsi="宋体" w:cs="宋体"/>
          <w:color w:val="auto"/>
          <w:kern w:val="0"/>
          <w:szCs w:val="21"/>
          <w:highlight w:val="none"/>
          <w:lang w:val="en-US" w:eastAsia="zh-CN"/>
        </w:rPr>
        <w:t xml:space="preserve">                                                                 日期：    </w:t>
      </w:r>
      <w:r>
        <w:rPr>
          <w:rFonts w:hint="eastAsia" w:ascii="宋体" w:hAnsi="宋体" w:cs="宋体"/>
          <w:color w:val="auto"/>
          <w:kern w:val="0"/>
          <w:szCs w:val="21"/>
          <w:highlight w:val="none"/>
        </w:rPr>
        <w:t>年   月   日</w:t>
      </w:r>
    </w:p>
    <w:p w14:paraId="6FE20281">
      <w:pPr>
        <w:pStyle w:val="2"/>
        <w:pageBreakBefore/>
        <w:snapToGrid w:val="0"/>
        <w:spacing w:before="240" w:after="240" w:line="240" w:lineRule="auto"/>
        <w:jc w:val="both"/>
        <w:rPr>
          <w:rFonts w:ascii="宋体" w:hAnsi="宋体" w:eastAsia="宋体"/>
          <w:color w:val="auto"/>
          <w:sz w:val="32"/>
          <w:highlight w:val="none"/>
        </w:rPr>
      </w:pPr>
      <w:bookmarkStart w:id="33" w:name="_Toc1150"/>
      <w:r>
        <w:rPr>
          <w:rFonts w:hint="eastAsia" w:ascii="宋体" w:hAnsi="宋体" w:eastAsia="宋体"/>
          <w:color w:val="auto"/>
          <w:sz w:val="32"/>
          <w:highlight w:val="none"/>
        </w:rPr>
        <w:t>第</w:t>
      </w:r>
      <w:r>
        <w:rPr>
          <w:rFonts w:hint="eastAsia" w:ascii="宋体" w:hAnsi="宋体" w:eastAsia="宋体"/>
          <w:color w:val="auto"/>
          <w:sz w:val="32"/>
          <w:highlight w:val="none"/>
          <w:lang w:val="en-US" w:eastAsia="zh-CN"/>
        </w:rPr>
        <w:t>六</w:t>
      </w:r>
      <w:r>
        <w:rPr>
          <w:rFonts w:hint="eastAsia" w:ascii="宋体" w:hAnsi="宋体" w:eastAsia="宋体"/>
          <w:color w:val="auto"/>
          <w:sz w:val="32"/>
          <w:highlight w:val="none"/>
        </w:rPr>
        <w:t>部分</w:t>
      </w:r>
      <w:bookmarkStart w:id="34" w:name="_Toc118516258"/>
      <w:r>
        <w:rPr>
          <w:rFonts w:hint="eastAsia" w:ascii="宋体" w:hAnsi="宋体" w:eastAsia="宋体"/>
          <w:color w:val="auto"/>
          <w:sz w:val="32"/>
          <w:highlight w:val="none"/>
        </w:rPr>
        <w:t xml:space="preserve"> 附件(响应文件格式)</w:t>
      </w:r>
      <w:bookmarkEnd w:id="33"/>
      <w:bookmarkEnd w:id="34"/>
    </w:p>
    <w:p w14:paraId="7D66D20F">
      <w:pPr>
        <w:pStyle w:val="15"/>
        <w:spacing w:line="360" w:lineRule="auto"/>
        <w:ind w:firstLine="480" w:firstLineChars="200"/>
        <w:rPr>
          <w:color w:val="auto"/>
          <w:sz w:val="24"/>
          <w:highlight w:val="none"/>
        </w:rPr>
      </w:pPr>
      <w:r>
        <w:rPr>
          <w:color w:val="auto"/>
          <w:sz w:val="24"/>
          <w:highlight w:val="none"/>
        </w:rPr>
        <w:t>说明：</w:t>
      </w:r>
    </w:p>
    <w:p w14:paraId="5F3ABA1F">
      <w:pPr>
        <w:pStyle w:val="15"/>
        <w:spacing w:line="360" w:lineRule="auto"/>
        <w:ind w:firstLine="480" w:firstLineChars="200"/>
        <w:rPr>
          <w:color w:val="auto"/>
          <w:sz w:val="24"/>
          <w:highlight w:val="none"/>
        </w:rPr>
      </w:pPr>
      <w:r>
        <w:rPr>
          <w:color w:val="auto"/>
          <w:sz w:val="24"/>
          <w:highlight w:val="none"/>
        </w:rPr>
        <w:t>1.响应文件由磋商供应商根据照磋商文件要求</w:t>
      </w:r>
      <w:r>
        <w:rPr>
          <w:rFonts w:hint="eastAsia"/>
          <w:color w:val="auto"/>
          <w:sz w:val="24"/>
          <w:highlight w:val="none"/>
          <w:lang w:eastAsia="zh-CN"/>
        </w:rPr>
        <w:t>根据</w:t>
      </w:r>
      <w:r>
        <w:rPr>
          <w:color w:val="auto"/>
          <w:sz w:val="24"/>
          <w:highlight w:val="none"/>
        </w:rPr>
        <w:t>附件格式编制。</w:t>
      </w:r>
    </w:p>
    <w:p w14:paraId="10288EF9">
      <w:pPr>
        <w:pStyle w:val="15"/>
        <w:spacing w:line="360" w:lineRule="auto"/>
        <w:ind w:firstLine="480" w:firstLineChars="200"/>
        <w:rPr>
          <w:color w:val="auto"/>
          <w:sz w:val="24"/>
          <w:highlight w:val="none"/>
        </w:rPr>
      </w:pPr>
      <w:r>
        <w:rPr>
          <w:color w:val="auto"/>
          <w:sz w:val="24"/>
          <w:highlight w:val="none"/>
        </w:rPr>
        <w:t>2.附件中有参考格式的，</w:t>
      </w:r>
      <w:r>
        <w:rPr>
          <w:rFonts w:hint="eastAsia"/>
          <w:color w:val="auto"/>
          <w:sz w:val="24"/>
          <w:highlight w:val="none"/>
          <w:lang w:eastAsia="zh-CN"/>
        </w:rPr>
        <w:t>根据</w:t>
      </w:r>
      <w:r>
        <w:rPr>
          <w:color w:val="auto"/>
          <w:sz w:val="24"/>
          <w:highlight w:val="none"/>
        </w:rPr>
        <w:t>格式，没有参考格式的，自行编制。</w:t>
      </w:r>
    </w:p>
    <w:p w14:paraId="43C4DC75">
      <w:pPr>
        <w:rPr>
          <w:color w:val="auto"/>
          <w:highlight w:val="none"/>
        </w:rPr>
      </w:pPr>
      <w:r>
        <w:rPr>
          <w:color w:val="auto"/>
          <w:highlight w:val="none"/>
        </w:rPr>
        <w:br w:type="page"/>
      </w:r>
      <w:bookmarkStart w:id="35" w:name="_Toc440358277"/>
      <w:bookmarkStart w:id="36" w:name="_Toc441751183"/>
    </w:p>
    <w:p w14:paraId="4B485F38">
      <w:pPr>
        <w:bidi w:val="0"/>
        <w:rPr>
          <w:rFonts w:hint="eastAsia"/>
          <w:color w:val="auto"/>
          <w:highlight w:val="none"/>
        </w:rPr>
      </w:pPr>
      <w:bookmarkStart w:id="37" w:name="_Toc31669"/>
      <w:bookmarkStart w:id="38" w:name="_Toc17912"/>
      <w:bookmarkStart w:id="39" w:name="_Toc17306"/>
      <w:bookmarkStart w:id="40" w:name="_Toc20492"/>
      <w:r>
        <w:rPr>
          <w:rFonts w:hint="eastAsia"/>
          <w:color w:val="auto"/>
          <w:highlight w:val="none"/>
        </w:rPr>
        <w:t>一、政府采购活动现场确认声明书</w:t>
      </w:r>
      <w:bookmarkEnd w:id="37"/>
      <w:bookmarkEnd w:id="38"/>
      <w:bookmarkEnd w:id="39"/>
      <w:bookmarkEnd w:id="40"/>
    </w:p>
    <w:p w14:paraId="060BBDD2">
      <w:pPr>
        <w:pStyle w:val="66"/>
        <w:snapToGrid w:val="0"/>
        <w:spacing w:line="400" w:lineRule="exact"/>
        <w:jc w:val="left"/>
        <w:rPr>
          <w:rFonts w:asciiTheme="minorHAnsi" w:hAnsiTheme="minorHAnsi" w:eastAsiaTheme="minorEastAsia" w:cstheme="minorBidi"/>
          <w:color w:val="auto"/>
          <w:kern w:val="2"/>
          <w:sz w:val="21"/>
          <w:szCs w:val="21"/>
          <w:highlight w:val="none"/>
          <w:lang w:val="en-US" w:eastAsia="zh-CN" w:bidi="ar-SA"/>
        </w:rPr>
      </w:pPr>
      <w:r>
        <w:rPr>
          <w:rFonts w:asciiTheme="minorHAnsi" w:hAnsiTheme="minorHAnsi" w:eastAsiaTheme="minorEastAsia" w:cstheme="minorBidi"/>
          <w:color w:val="auto"/>
          <w:kern w:val="2"/>
          <w:sz w:val="21"/>
          <w:szCs w:val="21"/>
          <w:highlight w:val="none"/>
          <w:lang w:val="en-US" w:eastAsia="zh-CN" w:bidi="ar-SA"/>
        </w:rPr>
        <w:t>（要求</w:t>
      </w:r>
      <w:r>
        <w:rPr>
          <w:rFonts w:hint="eastAsia" w:asciiTheme="minorHAnsi" w:hAnsiTheme="minorHAnsi" w:eastAsiaTheme="minorEastAsia" w:cstheme="minorBidi"/>
          <w:color w:val="auto"/>
          <w:kern w:val="2"/>
          <w:sz w:val="21"/>
          <w:szCs w:val="21"/>
          <w:highlight w:val="none"/>
          <w:lang w:val="en-US" w:eastAsia="zh-CN" w:bidi="ar-SA"/>
        </w:rPr>
        <w:t>在电子投标文件解密后，将以下表格填写完成后，在通过邮件方式将照片传给代理公司（邮箱：931145057@qq.com）</w:t>
      </w:r>
      <w:r>
        <w:rPr>
          <w:rFonts w:asciiTheme="minorHAnsi" w:hAnsiTheme="minorHAnsi" w:eastAsiaTheme="minorEastAsia" w:cstheme="minorBidi"/>
          <w:color w:val="auto"/>
          <w:kern w:val="2"/>
          <w:sz w:val="21"/>
          <w:szCs w:val="21"/>
          <w:highlight w:val="none"/>
          <w:lang w:val="en-US" w:eastAsia="zh-CN" w:bidi="ar-SA"/>
        </w:rPr>
        <w:t>，不要封存于投标文件里）</w:t>
      </w:r>
    </w:p>
    <w:p w14:paraId="4EB66F57">
      <w:pPr>
        <w:pStyle w:val="9"/>
        <w:adjustRightInd w:val="0"/>
        <w:snapToGrid w:val="0"/>
        <w:spacing w:after="0" w:line="360" w:lineRule="auto"/>
        <w:ind w:firstLine="105" w:firstLineChars="50"/>
        <w:rPr>
          <w:rFonts w:hint="eastAsia"/>
          <w:b/>
          <w:color w:val="auto"/>
          <w:highlight w:val="none"/>
          <w:u w:val="single"/>
          <w:lang w:eastAsia="zh-CN"/>
        </w:rPr>
      </w:pPr>
    </w:p>
    <w:p w14:paraId="3E10BA9E">
      <w:pPr>
        <w:pStyle w:val="70"/>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7344E984">
      <w:pPr>
        <w:pStyle w:val="71"/>
        <w:widowControl/>
        <w:numPr>
          <w:ilvl w:val="0"/>
          <w:numId w:val="5"/>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3CE1A6A">
      <w:pPr>
        <w:pStyle w:val="71"/>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34BBB1DB">
      <w:pPr>
        <w:pStyle w:val="71"/>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1507AE2E">
      <w:pPr>
        <w:pStyle w:val="71"/>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6ADBFFA8">
      <w:pPr>
        <w:pStyle w:val="70"/>
        <w:snapToGrid w:val="0"/>
        <w:spacing w:before="120" w:after="120" w:line="380" w:lineRule="exact"/>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746053F7">
      <w:pPr>
        <w:pStyle w:val="70"/>
        <w:snapToGrid w:val="0"/>
        <w:spacing w:before="120" w:after="120" w:line="380" w:lineRule="exact"/>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613AFE21">
      <w:pPr>
        <w:pStyle w:val="70"/>
        <w:snapToGrid w:val="0"/>
        <w:spacing w:before="120" w:after="120" w:line="380" w:lineRule="exact"/>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5C9547B5">
      <w:pPr>
        <w:pStyle w:val="70"/>
        <w:snapToGrid w:val="0"/>
        <w:spacing w:before="120" w:after="120" w:line="380" w:lineRule="exact"/>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25F77DC0">
      <w:pPr>
        <w:pStyle w:val="70"/>
        <w:snapToGrid w:val="0"/>
        <w:spacing w:before="120" w:after="120" w:line="380" w:lineRule="exact"/>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19B99751">
      <w:pPr>
        <w:pStyle w:val="70"/>
        <w:snapToGrid w:val="0"/>
        <w:spacing w:before="120" w:after="120" w:line="380" w:lineRule="exact"/>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3EDFAA01">
      <w:pPr>
        <w:pStyle w:val="70"/>
        <w:snapToGrid w:val="0"/>
        <w:spacing w:before="120" w:after="120" w:line="380" w:lineRule="exact"/>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41F32DF3">
      <w:pPr>
        <w:pStyle w:val="70"/>
        <w:snapToGrid w:val="0"/>
        <w:spacing w:before="120" w:after="120" w:line="380" w:lineRule="exact"/>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7F886E4E">
      <w:pPr>
        <w:pStyle w:val="70"/>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4C83D18F">
      <w:pPr>
        <w:pStyle w:val="71"/>
        <w:widowControl/>
        <w:numPr>
          <w:ilvl w:val="0"/>
          <w:numId w:val="6"/>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7851D5AB">
      <w:pPr>
        <w:pStyle w:val="71"/>
        <w:widowControl/>
        <w:numPr>
          <w:ilvl w:val="0"/>
          <w:numId w:val="6"/>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5D71AF32">
      <w:pPr>
        <w:pStyle w:val="70"/>
        <w:snapToGrid w:val="0"/>
        <w:spacing w:before="120" w:after="120"/>
        <w:rPr>
          <w:rFonts w:hint="eastAsia" w:hAnsi="宋体" w:cs="宋体"/>
          <w:color w:val="auto"/>
          <w:sz w:val="21"/>
          <w:szCs w:val="21"/>
          <w:highlight w:val="none"/>
        </w:rPr>
      </w:pPr>
    </w:p>
    <w:p w14:paraId="0D35C228">
      <w:pPr>
        <w:pStyle w:val="70"/>
        <w:snapToGrid w:val="0"/>
        <w:spacing w:before="120" w:after="120"/>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供应商代表签名：</w:t>
      </w:r>
    </w:p>
    <w:p w14:paraId="2D918F4E">
      <w:pPr>
        <w:jc w:val="right"/>
        <w:rPr>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日期：</w:t>
      </w:r>
      <w:r>
        <w:rPr>
          <w:rFonts w:hint="eastAsia" w:ascii="宋体" w:hAnsi="宋体" w:cs="宋体"/>
          <w:color w:val="auto"/>
          <w:szCs w:val="21"/>
          <w:highlight w:val="none"/>
        </w:rPr>
        <w:t xml:space="preserve">    年  月  日</w:t>
      </w:r>
    </w:p>
    <w:p w14:paraId="7FA49CED">
      <w:pPr>
        <w:pStyle w:val="12"/>
        <w:rPr>
          <w:color w:val="auto"/>
          <w:highlight w:val="none"/>
        </w:rPr>
      </w:pPr>
    </w:p>
    <w:p w14:paraId="4803BE33">
      <w:pPr>
        <w:autoSpaceDE w:val="0"/>
        <w:autoSpaceDN w:val="0"/>
        <w:adjustRightInd w:val="0"/>
        <w:snapToGrid w:val="0"/>
        <w:spacing w:line="360" w:lineRule="auto"/>
        <w:outlineLvl w:val="1"/>
        <w:rPr>
          <w:rFonts w:ascii="宋体" w:hAnsi="宋体"/>
          <w:b/>
          <w:color w:val="auto"/>
          <w:szCs w:val="21"/>
          <w:highlight w:val="none"/>
        </w:rPr>
      </w:pPr>
      <w:r>
        <w:rPr>
          <w:rFonts w:ascii="宋体" w:hAnsi="宋体"/>
          <w:b/>
          <w:color w:val="auto"/>
          <w:szCs w:val="21"/>
          <w:highlight w:val="none"/>
        </w:rPr>
        <w:br w:type="page"/>
      </w:r>
      <w:bookmarkStart w:id="41" w:name="_Toc31871"/>
      <w:bookmarkStart w:id="42" w:name="_Toc18794"/>
      <w:bookmarkStart w:id="43" w:name="_Toc12683"/>
      <w:bookmarkStart w:id="44" w:name="_Toc32233"/>
    </w:p>
    <w:p w14:paraId="15F2129A">
      <w:pPr>
        <w:autoSpaceDE w:val="0"/>
        <w:autoSpaceDN w:val="0"/>
        <w:adjustRightInd w:val="0"/>
        <w:snapToGrid w:val="0"/>
        <w:spacing w:line="360" w:lineRule="auto"/>
        <w:outlineLvl w:val="1"/>
        <w:rPr>
          <w:rFonts w:ascii="宋体" w:hAnsi="宋体"/>
          <w:b/>
          <w:color w:val="auto"/>
          <w:szCs w:val="21"/>
          <w:highlight w:val="none"/>
        </w:rPr>
      </w:pPr>
    </w:p>
    <w:p w14:paraId="37423857">
      <w:pPr>
        <w:bidi w:val="0"/>
        <w:rPr>
          <w:color w:val="auto"/>
          <w:highlight w:val="none"/>
        </w:rPr>
      </w:pPr>
      <w:r>
        <w:rPr>
          <w:rFonts w:hint="eastAsia"/>
          <w:color w:val="auto"/>
          <w:highlight w:val="none"/>
        </w:rPr>
        <w:t>二、响应文件封面</w:t>
      </w:r>
      <w:bookmarkEnd w:id="35"/>
      <w:bookmarkEnd w:id="36"/>
      <w:bookmarkEnd w:id="41"/>
      <w:bookmarkEnd w:id="42"/>
      <w:bookmarkEnd w:id="43"/>
      <w:bookmarkEnd w:id="44"/>
    </w:p>
    <w:p w14:paraId="49F34550">
      <w:pPr>
        <w:autoSpaceDE w:val="0"/>
        <w:autoSpaceDN w:val="0"/>
        <w:adjustRightInd w:val="0"/>
        <w:rPr>
          <w:rFonts w:ascii="宋体" w:hAnsi="宋体"/>
          <w:bCs/>
          <w:color w:val="auto"/>
          <w:highlight w:val="none"/>
        </w:rPr>
      </w:pPr>
    </w:p>
    <w:p w14:paraId="1694D6BA">
      <w:pPr>
        <w:autoSpaceDE w:val="0"/>
        <w:autoSpaceDN w:val="0"/>
        <w:adjustRightInd w:val="0"/>
        <w:spacing w:line="360" w:lineRule="auto"/>
        <w:jc w:val="right"/>
        <w:rPr>
          <w:rFonts w:ascii="宋体" w:hAnsi="宋体"/>
          <w:b/>
          <w:color w:val="auto"/>
          <w:sz w:val="28"/>
          <w:szCs w:val="28"/>
          <w:highlight w:val="none"/>
        </w:rPr>
      </w:pPr>
    </w:p>
    <w:p w14:paraId="7231E8D4">
      <w:pPr>
        <w:autoSpaceDE w:val="0"/>
        <w:autoSpaceDN w:val="0"/>
        <w:adjustRightInd w:val="0"/>
        <w:spacing w:line="360" w:lineRule="auto"/>
        <w:jc w:val="center"/>
        <w:rPr>
          <w:rFonts w:ascii="宋体" w:hAnsi="宋体"/>
          <w:b/>
          <w:color w:val="auto"/>
          <w:sz w:val="44"/>
          <w:szCs w:val="44"/>
          <w:highlight w:val="none"/>
          <w:u w:val="single"/>
        </w:rPr>
      </w:pPr>
      <w:r>
        <w:rPr>
          <w:rFonts w:hint="eastAsia" w:ascii="宋体" w:hAnsi="宋体"/>
          <w:b/>
          <w:color w:val="auto"/>
          <w:sz w:val="44"/>
          <w:szCs w:val="44"/>
          <w:highlight w:val="none"/>
          <w:u w:val="single"/>
        </w:rPr>
        <w:t xml:space="preserve">    （项目名称） </w:t>
      </w:r>
    </w:p>
    <w:p w14:paraId="3FF21EEB">
      <w:pPr>
        <w:autoSpaceDE w:val="0"/>
        <w:autoSpaceDN w:val="0"/>
        <w:adjustRightInd w:val="0"/>
        <w:spacing w:line="360" w:lineRule="auto"/>
        <w:jc w:val="center"/>
        <w:rPr>
          <w:rFonts w:ascii="宋体" w:hAnsi="宋体"/>
          <w:b/>
          <w:color w:val="auto"/>
          <w:sz w:val="44"/>
          <w:szCs w:val="44"/>
          <w:highlight w:val="none"/>
        </w:rPr>
      </w:pPr>
    </w:p>
    <w:p w14:paraId="4FFF507A">
      <w:pPr>
        <w:spacing w:line="360" w:lineRule="auto"/>
        <w:jc w:val="center"/>
        <w:rPr>
          <w:rFonts w:ascii="宋体" w:hAnsi="宋体" w:cs="Angsana New"/>
          <w:color w:val="auto"/>
          <w:spacing w:val="40"/>
          <w:w w:val="90"/>
          <w:sz w:val="72"/>
          <w:szCs w:val="72"/>
          <w:highlight w:val="none"/>
          <w:lang w:bidi="th-TH"/>
        </w:rPr>
      </w:pPr>
      <w:r>
        <w:rPr>
          <w:rFonts w:hint="eastAsia" w:ascii="宋体" w:hAnsi="宋体" w:cs="Angsana New"/>
          <w:color w:val="auto"/>
          <w:spacing w:val="40"/>
          <w:w w:val="90"/>
          <w:sz w:val="72"/>
          <w:szCs w:val="72"/>
          <w:highlight w:val="none"/>
          <w:lang w:bidi="th-TH"/>
        </w:rPr>
        <w:t>磋商响应文件</w:t>
      </w:r>
    </w:p>
    <w:p w14:paraId="62021780">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w:t>
      </w:r>
      <w:r>
        <w:rPr>
          <w:rFonts w:hint="eastAsia" w:ascii="宋体" w:hAnsi="宋体"/>
          <w:b/>
          <w:color w:val="auto"/>
          <w:sz w:val="36"/>
          <w:szCs w:val="36"/>
          <w:highlight w:val="none"/>
          <w:lang w:val="en-US" w:eastAsia="zh-CN"/>
        </w:rPr>
        <w:t>资格响应文件/</w:t>
      </w:r>
      <w:r>
        <w:rPr>
          <w:rFonts w:hint="eastAsia" w:ascii="宋体" w:hAnsi="宋体"/>
          <w:b/>
          <w:color w:val="auto"/>
          <w:sz w:val="36"/>
          <w:szCs w:val="36"/>
          <w:highlight w:val="none"/>
        </w:rPr>
        <w:t>商务及技术响应文件/报价响应文件）</w:t>
      </w:r>
    </w:p>
    <w:p w14:paraId="1F6652F1">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采购编号：  </w:t>
      </w:r>
    </w:p>
    <w:p w14:paraId="4E50D1A3">
      <w:pPr>
        <w:autoSpaceDE w:val="0"/>
        <w:autoSpaceDN w:val="0"/>
        <w:adjustRightInd w:val="0"/>
        <w:spacing w:line="360" w:lineRule="auto"/>
        <w:rPr>
          <w:rFonts w:ascii="宋体" w:hAnsi="宋体"/>
          <w:b/>
          <w:color w:val="auto"/>
          <w:sz w:val="32"/>
          <w:szCs w:val="32"/>
          <w:highlight w:val="none"/>
        </w:rPr>
      </w:pPr>
    </w:p>
    <w:p w14:paraId="5C00E80E">
      <w:pPr>
        <w:autoSpaceDE w:val="0"/>
        <w:autoSpaceDN w:val="0"/>
        <w:adjustRightInd w:val="0"/>
        <w:spacing w:line="360" w:lineRule="auto"/>
        <w:rPr>
          <w:rFonts w:ascii="宋体" w:hAnsi="宋体"/>
          <w:b/>
          <w:color w:val="auto"/>
          <w:sz w:val="32"/>
          <w:szCs w:val="32"/>
          <w:highlight w:val="none"/>
        </w:rPr>
      </w:pPr>
    </w:p>
    <w:p w14:paraId="6689AC48">
      <w:pPr>
        <w:autoSpaceDE w:val="0"/>
        <w:autoSpaceDN w:val="0"/>
        <w:adjustRightInd w:val="0"/>
        <w:spacing w:line="360" w:lineRule="auto"/>
        <w:rPr>
          <w:rFonts w:ascii="宋体" w:hAnsi="宋体"/>
          <w:b/>
          <w:color w:val="auto"/>
          <w:sz w:val="32"/>
          <w:szCs w:val="32"/>
          <w:highlight w:val="none"/>
        </w:rPr>
      </w:pPr>
    </w:p>
    <w:p w14:paraId="44507FA5">
      <w:pPr>
        <w:autoSpaceDE w:val="0"/>
        <w:autoSpaceDN w:val="0"/>
        <w:adjustRightInd w:val="0"/>
        <w:spacing w:line="360" w:lineRule="auto"/>
        <w:rPr>
          <w:rFonts w:ascii="宋体" w:hAnsi="宋体"/>
          <w:b/>
          <w:color w:val="auto"/>
          <w:sz w:val="32"/>
          <w:szCs w:val="32"/>
          <w:highlight w:val="none"/>
        </w:rPr>
      </w:pPr>
    </w:p>
    <w:p w14:paraId="05361D67">
      <w:pPr>
        <w:autoSpaceDE w:val="0"/>
        <w:autoSpaceDN w:val="0"/>
        <w:adjustRightInd w:val="0"/>
        <w:spacing w:line="360" w:lineRule="auto"/>
        <w:rPr>
          <w:rFonts w:ascii="宋体" w:hAnsi="宋体"/>
          <w:b/>
          <w:color w:val="auto"/>
          <w:sz w:val="32"/>
          <w:szCs w:val="32"/>
          <w:highlight w:val="none"/>
        </w:rPr>
      </w:pPr>
    </w:p>
    <w:p w14:paraId="7F6672B7">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p>
    <w:p w14:paraId="6D544F1F">
      <w:pPr>
        <w:autoSpaceDE w:val="0"/>
        <w:autoSpaceDN w:val="0"/>
        <w:adjustRightInd w:val="0"/>
        <w:spacing w:line="360" w:lineRule="auto"/>
        <w:rPr>
          <w:rFonts w:ascii="宋体" w:hAnsi="宋体"/>
          <w:b/>
          <w:color w:val="auto"/>
          <w:sz w:val="32"/>
          <w:szCs w:val="32"/>
          <w:highlight w:val="none"/>
        </w:rPr>
      </w:pPr>
    </w:p>
    <w:p w14:paraId="709FF935">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p>
    <w:p w14:paraId="35C6BB94">
      <w:pPr>
        <w:autoSpaceDE w:val="0"/>
        <w:autoSpaceDN w:val="0"/>
        <w:adjustRightInd w:val="0"/>
        <w:spacing w:line="360" w:lineRule="auto"/>
        <w:rPr>
          <w:rFonts w:ascii="宋体" w:hAnsi="宋体"/>
          <w:b/>
          <w:color w:val="auto"/>
          <w:sz w:val="32"/>
          <w:szCs w:val="32"/>
          <w:highlight w:val="none"/>
        </w:rPr>
      </w:pPr>
    </w:p>
    <w:p w14:paraId="15AD3CE2">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14:paraId="7CBEBEE2">
      <w:pPr>
        <w:autoSpaceDE w:val="0"/>
        <w:autoSpaceDN w:val="0"/>
        <w:adjustRightInd w:val="0"/>
        <w:snapToGrid w:val="0"/>
        <w:spacing w:line="360" w:lineRule="auto"/>
        <w:outlineLvl w:val="1"/>
        <w:rPr>
          <w:rFonts w:hint="eastAsia" w:ascii="宋体" w:hAnsi="宋体"/>
          <w:b/>
          <w:bCs/>
          <w:color w:val="auto"/>
          <w:szCs w:val="21"/>
          <w:highlight w:val="none"/>
        </w:rPr>
      </w:pPr>
      <w:r>
        <w:rPr>
          <w:rFonts w:hint="eastAsia" w:ascii="宋体" w:hAnsi="宋体"/>
          <w:b/>
          <w:bCs/>
          <w:color w:val="auto"/>
          <w:szCs w:val="21"/>
          <w:highlight w:val="none"/>
        </w:rPr>
        <w:br w:type="page"/>
      </w:r>
      <w:bookmarkStart w:id="45" w:name="_Toc24429"/>
      <w:bookmarkStart w:id="46" w:name="_Toc29420"/>
      <w:bookmarkStart w:id="47" w:name="_Toc25497"/>
      <w:bookmarkStart w:id="48" w:name="_Toc6991"/>
    </w:p>
    <w:p w14:paraId="08FC2141">
      <w:pPr>
        <w:bidi w:val="0"/>
        <w:rPr>
          <w:rFonts w:hint="default" w:eastAsiaTheme="minorEastAsia"/>
          <w:color w:val="auto"/>
          <w:highlight w:val="none"/>
          <w:lang w:val="en-US" w:eastAsia="zh-CN"/>
        </w:rPr>
      </w:pPr>
      <w:r>
        <w:rPr>
          <w:rFonts w:hint="eastAsia"/>
          <w:color w:val="auto"/>
          <w:highlight w:val="none"/>
        </w:rPr>
        <w:t>三、</w:t>
      </w:r>
      <w:bookmarkEnd w:id="45"/>
      <w:bookmarkEnd w:id="46"/>
      <w:r>
        <w:rPr>
          <w:rFonts w:hint="eastAsia"/>
          <w:color w:val="auto"/>
          <w:highlight w:val="none"/>
          <w:lang w:val="en-US" w:eastAsia="zh-CN"/>
        </w:rPr>
        <w:t>资格响应文件部分格式</w:t>
      </w:r>
    </w:p>
    <w:p w14:paraId="310F8823">
      <w:pPr>
        <w:jc w:val="center"/>
        <w:rPr>
          <w:rFonts w:hint="default" w:eastAsiaTheme="minorEastAsia"/>
          <w:color w:val="auto"/>
          <w:highlight w:val="none"/>
          <w:lang w:val="en-US" w:eastAsia="zh-CN"/>
        </w:rPr>
      </w:pPr>
      <w:r>
        <w:rPr>
          <w:rFonts w:hint="eastAsia"/>
          <w:b/>
          <w:bCs/>
          <w:color w:val="auto"/>
          <w:sz w:val="32"/>
          <w:szCs w:val="40"/>
          <w:highlight w:val="none"/>
          <w:lang w:val="en-US" w:eastAsia="zh-CN"/>
        </w:rPr>
        <w:t>资格证明文件</w:t>
      </w:r>
    </w:p>
    <w:p w14:paraId="434D22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各供应商须按磋商须知</w:t>
      </w:r>
      <w:r>
        <w:rPr>
          <w:rFonts w:hint="eastAsia"/>
          <w:b/>
          <w:bCs/>
          <w:color w:val="auto"/>
          <w:highlight w:val="none"/>
        </w:rPr>
        <w:t>三、响应文件编制要求</w:t>
      </w:r>
      <w:r>
        <w:rPr>
          <w:rFonts w:hint="eastAsia"/>
          <w:color w:val="auto"/>
          <w:highlight w:val="none"/>
        </w:rPr>
        <w:t>的要求出具全部资格证明材料</w:t>
      </w:r>
    </w:p>
    <w:p w14:paraId="4653F7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val="en-US" w:eastAsia="zh-CN"/>
        </w:rPr>
      </w:pPr>
    </w:p>
    <w:p w14:paraId="55FD4C79">
      <w:pPr>
        <w:rPr>
          <w:rFonts w:hint="eastAsia"/>
          <w:color w:val="auto"/>
          <w:sz w:val="28"/>
          <w:szCs w:val="36"/>
          <w:highlight w:val="none"/>
        </w:rPr>
      </w:pPr>
      <w:bookmarkStart w:id="49" w:name="_Toc21945"/>
      <w:bookmarkStart w:id="50" w:name="_Toc27938"/>
      <w:r>
        <w:rPr>
          <w:rFonts w:hint="eastAsia"/>
          <w:color w:val="auto"/>
          <w:sz w:val="28"/>
          <w:szCs w:val="36"/>
          <w:highlight w:val="none"/>
        </w:rPr>
        <w:br w:type="page"/>
      </w:r>
    </w:p>
    <w:p w14:paraId="4A037F91">
      <w:pPr>
        <w:bidi w:val="0"/>
        <w:rPr>
          <w:rFonts w:ascii="宋体" w:hAnsi="宋体" w:eastAsia="宋体" w:cs="宋体"/>
          <w:b w:val="0"/>
          <w:bCs/>
          <w:color w:val="auto"/>
          <w:szCs w:val="21"/>
          <w:highlight w:val="none"/>
        </w:rPr>
      </w:pPr>
      <w:r>
        <w:rPr>
          <w:rFonts w:hint="eastAsia"/>
          <w:color w:val="auto"/>
          <w:sz w:val="28"/>
          <w:szCs w:val="36"/>
          <w:highlight w:val="none"/>
        </w:rPr>
        <w:t>（1）符合参加政府采购活动应当具备的一般条件的承诺函：</w:t>
      </w:r>
      <w:bookmarkEnd w:id="49"/>
      <w:bookmarkEnd w:id="50"/>
    </w:p>
    <w:p w14:paraId="665FF0E1">
      <w:pPr>
        <w:pStyle w:val="26"/>
        <w:rPr>
          <w:color w:val="auto"/>
          <w:highlight w:val="none"/>
        </w:rPr>
      </w:pPr>
    </w:p>
    <w:p w14:paraId="37AB3D85">
      <w:pPr>
        <w:jc w:val="center"/>
        <w:rPr>
          <w:rFonts w:ascii="宋体" w:hAnsi="宋体" w:cs="宋体"/>
          <w:color w:val="auto"/>
          <w:sz w:val="28"/>
          <w:szCs w:val="28"/>
          <w:highlight w:val="none"/>
        </w:rPr>
      </w:pPr>
      <w:bookmarkStart w:id="51" w:name="_Toc1989"/>
      <w:bookmarkStart w:id="52" w:name="_Toc18280"/>
      <w:r>
        <w:rPr>
          <w:rFonts w:ascii="宋体" w:hAnsi="宋体" w:cs="宋体"/>
          <w:color w:val="auto"/>
          <w:sz w:val="28"/>
          <w:szCs w:val="28"/>
          <w:highlight w:val="none"/>
        </w:rPr>
        <w:t>符合参加政府采购活动应当具备的一般条件的承诺函</w:t>
      </w:r>
    </w:p>
    <w:p w14:paraId="142C16A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p w14:paraId="1CCBCC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2"/>
          <w:szCs w:val="22"/>
          <w:highlight w:val="none"/>
          <w:lang w:val="en-US" w:eastAsia="zh-CN"/>
        </w:rPr>
      </w:pPr>
      <w:r>
        <w:rPr>
          <w:rFonts w:hint="eastAsia" w:ascii="宋体" w:hAnsi="宋体"/>
          <w:color w:val="auto"/>
          <w:szCs w:val="21"/>
          <w:highlight w:val="none"/>
          <w:u w:val="single"/>
        </w:rPr>
        <w:t>（采购单位名称）：</w:t>
      </w:r>
      <w:r>
        <w:rPr>
          <w:rFonts w:ascii="宋体" w:hAnsi="宋体" w:cs="宋体"/>
          <w:color w:val="auto"/>
          <w:sz w:val="22"/>
          <w:szCs w:val="22"/>
          <w:highlight w:val="none"/>
        </w:rPr>
        <w:br w:type="textWrapping"/>
      </w:r>
      <w:r>
        <w:rPr>
          <w:rFonts w:ascii="宋体" w:hAnsi="宋体" w:cs="宋体"/>
          <w:color w:val="auto"/>
          <w:sz w:val="22"/>
          <w:szCs w:val="22"/>
          <w:highlight w:val="none"/>
        </w:rPr>
        <w:t>我方参与项目</w:t>
      </w:r>
      <w:r>
        <w:rPr>
          <w:rFonts w:hint="eastAsia" w:ascii="宋体" w:hAnsi="宋体" w:cs="宋体"/>
          <w:color w:val="auto"/>
          <w:sz w:val="22"/>
          <w:szCs w:val="22"/>
          <w:highlight w:val="none"/>
          <w:u w:val="single"/>
          <w:lang w:val="en-US" w:eastAsia="zh-CN"/>
        </w:rPr>
        <w:t xml:space="preserve">        </w:t>
      </w:r>
      <w:r>
        <w:rPr>
          <w:rFonts w:ascii="宋体" w:hAnsi="宋体" w:cs="宋体"/>
          <w:color w:val="auto"/>
          <w:sz w:val="22"/>
          <w:szCs w:val="22"/>
          <w:highlight w:val="none"/>
        </w:rPr>
        <w:t>【招标编号：</w:t>
      </w:r>
      <w:r>
        <w:rPr>
          <w:rFonts w:hint="eastAsia" w:ascii="宋体" w:hAnsi="宋体" w:cs="宋体"/>
          <w:color w:val="auto"/>
          <w:sz w:val="22"/>
          <w:szCs w:val="22"/>
          <w:highlight w:val="none"/>
          <w:lang w:val="en-US" w:eastAsia="zh-CN"/>
        </w:rPr>
        <w:t xml:space="preserve"> </w:t>
      </w:r>
      <w:r>
        <w:rPr>
          <w:rFonts w:ascii="宋体" w:hAnsi="宋体" w:cs="宋体"/>
          <w:color w:val="auto"/>
          <w:sz w:val="22"/>
          <w:szCs w:val="22"/>
          <w:highlight w:val="none"/>
        </w:rPr>
        <w:t>】采购活动，郑重承诺：</w:t>
      </w:r>
      <w:r>
        <w:rPr>
          <w:rFonts w:ascii="宋体" w:hAnsi="宋体" w:cs="宋体"/>
          <w:color w:val="auto"/>
          <w:sz w:val="22"/>
          <w:szCs w:val="22"/>
          <w:highlight w:val="none"/>
        </w:rPr>
        <w:br w:type="textWrapping"/>
      </w:r>
      <w:r>
        <w:rPr>
          <w:rFonts w:ascii="宋体" w:hAnsi="宋体" w:cs="宋体"/>
          <w:color w:val="auto"/>
          <w:sz w:val="22"/>
          <w:szCs w:val="22"/>
          <w:highlight w:val="none"/>
        </w:rPr>
        <w:t>（一）具备《中华人民共和国政府采购法》第二十二条第一款规定的条件：</w:t>
      </w:r>
      <w:r>
        <w:rPr>
          <w:rFonts w:ascii="宋体" w:hAnsi="宋体" w:cs="宋体"/>
          <w:color w:val="auto"/>
          <w:sz w:val="22"/>
          <w:szCs w:val="22"/>
          <w:highlight w:val="none"/>
        </w:rPr>
        <w:br w:type="textWrapping"/>
      </w:r>
      <w:r>
        <w:rPr>
          <w:rFonts w:ascii="宋体" w:hAnsi="宋体" w:cs="宋体"/>
          <w:color w:val="auto"/>
          <w:sz w:val="22"/>
          <w:szCs w:val="22"/>
          <w:highlight w:val="none"/>
        </w:rPr>
        <w:t>1、具有独立承担民事责任的能力；</w:t>
      </w:r>
      <w:r>
        <w:rPr>
          <w:rFonts w:ascii="宋体" w:hAnsi="宋体" w:cs="宋体"/>
          <w:color w:val="auto"/>
          <w:sz w:val="22"/>
          <w:szCs w:val="22"/>
          <w:highlight w:val="none"/>
        </w:rPr>
        <w:br w:type="textWrapping"/>
      </w:r>
      <w:r>
        <w:rPr>
          <w:rFonts w:ascii="宋体" w:hAnsi="宋体" w:cs="宋体"/>
          <w:color w:val="auto"/>
          <w:sz w:val="22"/>
          <w:szCs w:val="22"/>
          <w:highlight w:val="none"/>
        </w:rPr>
        <w:t>2、具有良好的商业信誉和健全的财务会计制度； </w:t>
      </w:r>
      <w:r>
        <w:rPr>
          <w:rFonts w:ascii="宋体" w:hAnsi="宋体" w:cs="宋体"/>
          <w:color w:val="auto"/>
          <w:sz w:val="22"/>
          <w:szCs w:val="22"/>
          <w:highlight w:val="none"/>
        </w:rPr>
        <w:br w:type="textWrapping"/>
      </w:r>
      <w:r>
        <w:rPr>
          <w:rFonts w:ascii="宋体" w:hAnsi="宋体" w:cs="宋体"/>
          <w:color w:val="auto"/>
          <w:sz w:val="22"/>
          <w:szCs w:val="22"/>
          <w:highlight w:val="none"/>
        </w:rPr>
        <w:t>3、具有履行合同所必需的设备和专业技术能力；</w:t>
      </w:r>
      <w:r>
        <w:rPr>
          <w:rFonts w:ascii="宋体" w:hAnsi="宋体" w:cs="宋体"/>
          <w:color w:val="auto"/>
          <w:sz w:val="22"/>
          <w:szCs w:val="22"/>
          <w:highlight w:val="none"/>
        </w:rPr>
        <w:br w:type="textWrapping"/>
      </w:r>
      <w:r>
        <w:rPr>
          <w:rFonts w:ascii="宋体" w:hAnsi="宋体" w:cs="宋体"/>
          <w:color w:val="auto"/>
          <w:sz w:val="22"/>
          <w:szCs w:val="22"/>
          <w:highlight w:val="none"/>
        </w:rPr>
        <w:t>4、有依法缴纳税收和社会保障资金的良好记录；</w:t>
      </w:r>
      <w:r>
        <w:rPr>
          <w:rFonts w:ascii="宋体" w:hAnsi="宋体" w:cs="宋体"/>
          <w:color w:val="auto"/>
          <w:sz w:val="22"/>
          <w:szCs w:val="22"/>
          <w:highlight w:val="none"/>
        </w:rPr>
        <w:br w:type="textWrapping"/>
      </w:r>
      <w:r>
        <w:rPr>
          <w:rFonts w:ascii="宋体" w:hAnsi="宋体" w:cs="宋体"/>
          <w:color w:val="auto"/>
          <w:sz w:val="22"/>
          <w:szCs w:val="22"/>
          <w:highlight w:val="none"/>
        </w:rPr>
        <w:t>5、参加政府采购活动前三年内，在经营活动中没有重大违法记录；</w:t>
      </w:r>
      <w:r>
        <w:rPr>
          <w:rFonts w:ascii="宋体" w:hAnsi="宋体" w:cs="宋体"/>
          <w:color w:val="auto"/>
          <w:sz w:val="22"/>
          <w:szCs w:val="22"/>
          <w:highlight w:val="none"/>
        </w:rPr>
        <w:br w:type="textWrapping"/>
      </w:r>
      <w:r>
        <w:rPr>
          <w:rFonts w:ascii="宋体" w:hAnsi="宋体" w:cs="宋体"/>
          <w:color w:val="auto"/>
          <w:sz w:val="22"/>
          <w:szCs w:val="22"/>
          <w:highlight w:val="none"/>
        </w:rPr>
        <w:t>6、具有法律、行政法规规定的其他条件。</w:t>
      </w:r>
      <w:r>
        <w:rPr>
          <w:rFonts w:ascii="宋体" w:hAnsi="宋体" w:cs="宋体"/>
          <w:color w:val="auto"/>
          <w:sz w:val="22"/>
          <w:szCs w:val="22"/>
          <w:highlight w:val="none"/>
        </w:rPr>
        <w:br w:type="textWrapping"/>
      </w:r>
      <w:r>
        <w:rPr>
          <w:rFonts w:ascii="宋体" w:hAnsi="宋体" w:cs="宋体"/>
          <w:color w:val="auto"/>
          <w:sz w:val="22"/>
          <w:szCs w:val="22"/>
          <w:highlight w:val="none"/>
        </w:rPr>
        <w:t>（二）未被信用中国（www.creditchina.gov.cn)、中国政府采购网（www.ccgp.gov.cn）列入失信被执行人、重大税收违法案件当事人名单、政府采购严重违法失信行为记录名单。</w:t>
      </w:r>
      <w:r>
        <w:rPr>
          <w:rFonts w:ascii="宋体" w:hAnsi="宋体" w:cs="宋体"/>
          <w:color w:val="auto"/>
          <w:sz w:val="22"/>
          <w:szCs w:val="22"/>
          <w:highlight w:val="none"/>
        </w:rPr>
        <w:br w:type="textWrapping"/>
      </w:r>
      <w:r>
        <w:rPr>
          <w:rFonts w:ascii="宋体" w:hAnsi="宋体" w:cs="宋体"/>
          <w:color w:val="auto"/>
          <w:sz w:val="22"/>
          <w:szCs w:val="22"/>
          <w:highlight w:val="none"/>
        </w:rPr>
        <w:t>（三）不存在以下情况：</w:t>
      </w:r>
      <w:r>
        <w:rPr>
          <w:rFonts w:ascii="宋体" w:hAnsi="宋体" w:cs="宋体"/>
          <w:color w:val="auto"/>
          <w:sz w:val="22"/>
          <w:szCs w:val="22"/>
          <w:highlight w:val="none"/>
        </w:rPr>
        <w:br w:type="textWrapping"/>
      </w:r>
      <w:r>
        <w:rPr>
          <w:rFonts w:ascii="宋体" w:hAnsi="宋体" w:cs="宋体"/>
          <w:color w:val="auto"/>
          <w:sz w:val="22"/>
          <w:szCs w:val="22"/>
          <w:highlight w:val="none"/>
        </w:rPr>
        <w:t>1、单位负责人为同一人或者存在直接控股、管理关系的不同供应商参加同一合同项下的政府采购活动的；</w:t>
      </w:r>
      <w:r>
        <w:rPr>
          <w:rFonts w:ascii="宋体" w:hAnsi="宋体" w:cs="宋体"/>
          <w:color w:val="auto"/>
          <w:sz w:val="22"/>
          <w:szCs w:val="22"/>
          <w:highlight w:val="none"/>
        </w:rPr>
        <w:br w:type="textWrapping"/>
      </w:r>
      <w:r>
        <w:rPr>
          <w:rFonts w:ascii="宋体" w:hAnsi="宋体" w:cs="宋体"/>
          <w:color w:val="auto"/>
          <w:sz w:val="22"/>
          <w:szCs w:val="22"/>
          <w:highlight w:val="none"/>
        </w:rPr>
        <w:t>2、为采购项目提供整体设计、规范编制或者项目管理、监理、检测等服务后再参加该采购项目的其他采购活动的。</w:t>
      </w:r>
      <w:r>
        <w:rPr>
          <w:rFonts w:ascii="宋体" w:hAnsi="宋体" w:cs="宋体"/>
          <w:color w:val="auto"/>
          <w:sz w:val="22"/>
          <w:szCs w:val="22"/>
          <w:highlight w:val="none"/>
        </w:rPr>
        <w:br w:type="textWrapping"/>
      </w:r>
      <w:bookmarkEnd w:id="51"/>
      <w:bookmarkEnd w:id="52"/>
      <w:r>
        <w:rPr>
          <w:rFonts w:hint="eastAsia" w:ascii="宋体" w:hAnsi="宋体" w:cs="宋体"/>
          <w:color w:val="auto"/>
          <w:sz w:val="22"/>
          <w:szCs w:val="22"/>
          <w:highlight w:val="none"/>
          <w:lang w:val="en-US" w:eastAsia="zh-CN"/>
        </w:rPr>
        <w:t xml:space="preserve">    </w:t>
      </w:r>
    </w:p>
    <w:p w14:paraId="7D73DEC2">
      <w:pPr>
        <w:keepNext w:val="0"/>
        <w:keepLines w:val="0"/>
        <w:pageBreakBefore w:val="0"/>
        <w:widowControl w:val="0"/>
        <w:kinsoku/>
        <w:wordWrap/>
        <w:overflowPunct/>
        <w:topLinePunct w:val="0"/>
        <w:autoSpaceDE/>
        <w:autoSpaceDN/>
        <w:bidi w:val="0"/>
        <w:adjustRightInd/>
        <w:snapToGrid/>
        <w:spacing w:line="400" w:lineRule="exact"/>
        <w:ind w:firstLine="5250" w:firstLineChars="2500"/>
        <w:textAlignment w:val="auto"/>
        <w:rPr>
          <w:rFonts w:ascii="宋体" w:hAnsi="宋体" w:cs="宋体"/>
          <w:color w:val="auto"/>
          <w:sz w:val="22"/>
          <w:szCs w:val="22"/>
          <w:highlight w:val="none"/>
        </w:rPr>
      </w:pPr>
      <w:r>
        <w:rPr>
          <w:rFonts w:hint="eastAsia" w:ascii="宋体" w:hAnsi="宋体"/>
          <w:bCs/>
          <w:color w:val="auto"/>
          <w:szCs w:val="21"/>
          <w:highlight w:val="none"/>
        </w:rPr>
        <w:t>投 标 人（盖章）：</w:t>
      </w:r>
    </w:p>
    <w:p w14:paraId="41AC584C">
      <w:pPr>
        <w:keepNext w:val="0"/>
        <w:keepLines w:val="0"/>
        <w:pageBreakBefore w:val="0"/>
        <w:widowControl w:val="0"/>
        <w:tabs>
          <w:tab w:val="left" w:pos="1418"/>
        </w:tabs>
        <w:kinsoku/>
        <w:wordWrap/>
        <w:overflowPunct/>
        <w:topLinePunct w:val="0"/>
        <w:autoSpaceDE/>
        <w:autoSpaceDN/>
        <w:bidi w:val="0"/>
        <w:adjustRightInd/>
        <w:snapToGrid/>
        <w:spacing w:line="400" w:lineRule="exact"/>
        <w:ind w:firstLine="5250" w:firstLineChars="2500"/>
        <w:textAlignment w:val="auto"/>
        <w:rPr>
          <w:rFonts w:ascii="宋体" w:hAnsi="宋体"/>
          <w:b/>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r>
        <w:rPr>
          <w:rFonts w:hint="eastAsia" w:ascii="宋体" w:hAnsi="宋体"/>
          <w:bCs/>
          <w:color w:val="auto"/>
          <w:szCs w:val="21"/>
          <w:highlight w:val="none"/>
        </w:rPr>
        <w:t xml:space="preserve">              </w:t>
      </w:r>
    </w:p>
    <w:p w14:paraId="4019041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bCs/>
          <w:color w:val="auto"/>
          <w:szCs w:val="21"/>
          <w:highlight w:val="none"/>
          <w:lang w:val="en-US" w:eastAsia="zh-CN"/>
        </w:rPr>
        <w:t>日期：</w:t>
      </w:r>
      <w:r>
        <w:rPr>
          <w:rFonts w:hint="eastAsia" w:ascii="宋体" w:hAnsi="宋体"/>
          <w:bCs/>
          <w:color w:val="auto"/>
          <w:szCs w:val="21"/>
          <w:highlight w:val="none"/>
        </w:rPr>
        <w:t xml:space="preserve">  </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 xml:space="preserve">  年 </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 xml:space="preserve"> </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 xml:space="preserve">月 </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 xml:space="preserve"> 日</w:t>
      </w:r>
    </w:p>
    <w:p w14:paraId="2FF335EE">
      <w:pPr>
        <w:rPr>
          <w:rFonts w:ascii="宋体" w:hAnsi="宋体"/>
          <w:bCs/>
          <w:color w:val="auto"/>
          <w:szCs w:val="21"/>
          <w:highlight w:val="none"/>
        </w:rPr>
      </w:pPr>
      <w:r>
        <w:rPr>
          <w:rFonts w:hint="eastAsia" w:ascii="宋体" w:hAnsi="宋体"/>
          <w:bCs/>
          <w:color w:val="auto"/>
          <w:szCs w:val="21"/>
          <w:highlight w:val="none"/>
        </w:rPr>
        <w:br w:type="page"/>
      </w:r>
    </w:p>
    <w:p w14:paraId="024082C5">
      <w:pPr>
        <w:bidi w:val="0"/>
        <w:rPr>
          <w:rFonts w:hint="eastAsia"/>
          <w:color w:val="auto"/>
          <w:sz w:val="28"/>
          <w:szCs w:val="36"/>
          <w:highlight w:val="none"/>
        </w:rPr>
      </w:pPr>
      <w:r>
        <w:rPr>
          <w:rFonts w:hint="eastAsia"/>
          <w:color w:val="auto"/>
          <w:sz w:val="28"/>
          <w:szCs w:val="36"/>
          <w:highlight w:val="none"/>
          <w:lang w:eastAsia="zh-CN"/>
        </w:rPr>
        <w:t>（</w:t>
      </w:r>
      <w:r>
        <w:rPr>
          <w:rFonts w:hint="eastAsia"/>
          <w:color w:val="auto"/>
          <w:sz w:val="28"/>
          <w:szCs w:val="36"/>
          <w:highlight w:val="none"/>
          <w:lang w:val="en-US" w:eastAsia="zh-CN"/>
        </w:rPr>
        <w:t>2</w:t>
      </w:r>
      <w:r>
        <w:rPr>
          <w:rFonts w:hint="eastAsia"/>
          <w:color w:val="auto"/>
          <w:sz w:val="28"/>
          <w:szCs w:val="36"/>
          <w:highlight w:val="none"/>
          <w:lang w:eastAsia="zh-CN"/>
        </w:rPr>
        <w:t>）</w:t>
      </w:r>
      <w:r>
        <w:rPr>
          <w:rFonts w:hint="eastAsia"/>
          <w:color w:val="auto"/>
          <w:sz w:val="28"/>
          <w:szCs w:val="36"/>
          <w:highlight w:val="none"/>
        </w:rPr>
        <w:t>中小企业声明函（服务）</w:t>
      </w:r>
    </w:p>
    <w:p w14:paraId="5631007F">
      <w:pPr>
        <w:jc w:val="center"/>
        <w:rPr>
          <w:rFonts w:hint="eastAsia" w:ascii="宋体" w:hAnsi="宋体" w:cs="宋体"/>
          <w:b/>
          <w:bCs/>
          <w:color w:val="auto"/>
          <w:szCs w:val="21"/>
          <w:highlight w:val="none"/>
        </w:rPr>
      </w:pPr>
    </w:p>
    <w:p w14:paraId="0981711F">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中小企业声明函（服务）</w:t>
      </w:r>
    </w:p>
    <w:p w14:paraId="3804EB88">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采购活动，服务全部由符合政策要求的中小企业承接。相关企业的具体情况如下：</w:t>
      </w:r>
    </w:p>
    <w:p w14:paraId="45C200FE">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万元¹，属于（中型企业、小型企业、微型企业）；</w:t>
      </w:r>
    </w:p>
    <w:p w14:paraId="57E477CD">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12A4D85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36B9B664">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13F7DE67">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本企业对上述声明内容的真实性负责。如有虚假，将依法承担相应责任。 </w:t>
      </w:r>
    </w:p>
    <w:p w14:paraId="6287F76A">
      <w:pPr>
        <w:spacing w:line="360" w:lineRule="auto"/>
        <w:rPr>
          <w:rFonts w:hint="eastAsia" w:ascii="宋体" w:hAnsi="宋体" w:cs="宋体"/>
          <w:color w:val="auto"/>
          <w:szCs w:val="21"/>
          <w:highlight w:val="none"/>
        </w:rPr>
      </w:pPr>
    </w:p>
    <w:p w14:paraId="5F075402">
      <w:pPr>
        <w:snapToGrid w:val="0"/>
        <w:spacing w:line="360" w:lineRule="auto"/>
        <w:ind w:firstLine="6090" w:firstLineChars="2900"/>
        <w:rPr>
          <w:rFonts w:hint="eastAsia" w:ascii="宋体" w:hAnsi="宋体" w:cs="宋体"/>
          <w:color w:val="auto"/>
          <w:szCs w:val="21"/>
          <w:highlight w:val="none"/>
        </w:rPr>
      </w:pPr>
      <w:r>
        <w:rPr>
          <w:rFonts w:hint="eastAsia" w:ascii="宋体" w:hAnsi="宋体" w:cs="宋体"/>
          <w:color w:val="auto"/>
          <w:szCs w:val="21"/>
          <w:highlight w:val="none"/>
          <w:lang w:val="en-US" w:eastAsia="zh-CN"/>
        </w:rPr>
        <w:t>单位</w:t>
      </w:r>
      <w:r>
        <w:rPr>
          <w:rFonts w:hint="eastAsia" w:ascii="宋体" w:hAnsi="宋体" w:cs="宋体"/>
          <w:color w:val="auto"/>
          <w:szCs w:val="21"/>
          <w:highlight w:val="none"/>
        </w:rPr>
        <w:t xml:space="preserve">名称（盖章）： </w:t>
      </w:r>
    </w:p>
    <w:p w14:paraId="4D34D720">
      <w:pPr>
        <w:snapToGrid w:val="0"/>
        <w:spacing w:line="360" w:lineRule="auto"/>
        <w:ind w:firstLine="6090" w:firstLineChars="2900"/>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日 期：</w:t>
      </w:r>
      <w:r>
        <w:rPr>
          <w:rFonts w:hint="eastAsia" w:ascii="宋体" w:hAnsi="宋体" w:cs="宋体"/>
          <w:color w:val="auto"/>
          <w:szCs w:val="21"/>
          <w:highlight w:val="none"/>
          <w:lang w:val="en-US" w:eastAsia="zh-CN"/>
        </w:rPr>
        <w:t xml:space="preserve">   年  月  日 </w:t>
      </w:r>
    </w:p>
    <w:p w14:paraId="1A27A3E0">
      <w:pPr>
        <w:pStyle w:val="2"/>
        <w:keepNext w:val="0"/>
        <w:keepLines w:val="0"/>
        <w:tabs>
          <w:tab w:val="left" w:pos="432"/>
        </w:tabs>
        <w:spacing w:before="0" w:after="0" w:line="360" w:lineRule="auto"/>
        <w:ind w:left="0" w:firstLine="420" w:firstLineChars="200"/>
        <w:rPr>
          <w:rFonts w:hint="eastAsia" w:ascii="宋体" w:hAnsi="宋体" w:cs="宋体"/>
          <w:b w:val="0"/>
          <w:bCs w:val="0"/>
          <w:color w:val="auto"/>
          <w:kern w:val="2"/>
          <w:sz w:val="21"/>
          <w:szCs w:val="21"/>
          <w:highlight w:val="none"/>
        </w:rPr>
      </w:pPr>
    </w:p>
    <w:p w14:paraId="09E8F750">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注：从业人员、营业收入、资产总额填报上一年度数据，无上一年度数据的新成立企业可不填报。</w:t>
      </w:r>
    </w:p>
    <w:p w14:paraId="780DFE08">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中小企业应当按照《政府采购促进中小企业发展管理办法》规定和《中小企业划型标准规定》（工信部联企业〔2011〕300 号），如实填写并提交《中小企业声明函》。未按要求出具声明函的，投标报价不予扣减。</w:t>
      </w:r>
    </w:p>
    <w:p w14:paraId="0F258AE8">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中小企业对其声明内容的真实性负责，声明函内容不实的，属于提供虚假材料谋取中标、成交，依照《中华人民共和国政府采购法》等国家有关规定追究相应责任</w:t>
      </w:r>
    </w:p>
    <w:p w14:paraId="77BFA04E">
      <w:pPr>
        <w:rPr>
          <w:rFonts w:hint="eastAsia" w:ascii="宋体" w:hAnsi="宋体" w:cs="宋体"/>
          <w:color w:val="auto"/>
          <w:highlight w:val="none"/>
        </w:rPr>
      </w:pPr>
    </w:p>
    <w:p w14:paraId="48FDF46E">
      <w:pPr>
        <w:spacing w:line="588" w:lineRule="exact"/>
        <w:jc w:val="center"/>
        <w:rPr>
          <w:rFonts w:hint="eastAsia" w:ascii="宋体" w:hAnsi="宋体" w:cs="宋体"/>
          <w:b/>
          <w:color w:val="auto"/>
          <w:spacing w:val="6"/>
          <w:sz w:val="22"/>
          <w:szCs w:val="22"/>
          <w:highlight w:val="none"/>
        </w:rPr>
      </w:pPr>
    </w:p>
    <w:p w14:paraId="7B1FB648">
      <w:pPr>
        <w:spacing w:line="588" w:lineRule="exact"/>
        <w:jc w:val="center"/>
        <w:rPr>
          <w:rFonts w:hint="eastAsia" w:ascii="宋体" w:hAnsi="宋体" w:cs="宋体"/>
          <w:b/>
          <w:color w:val="auto"/>
          <w:spacing w:val="6"/>
          <w:sz w:val="22"/>
          <w:szCs w:val="22"/>
          <w:highlight w:val="none"/>
        </w:rPr>
      </w:pPr>
    </w:p>
    <w:p w14:paraId="7EA989B0">
      <w:pPr>
        <w:spacing w:line="588" w:lineRule="exact"/>
        <w:jc w:val="center"/>
        <w:rPr>
          <w:rFonts w:hint="eastAsia" w:ascii="宋体" w:hAnsi="宋体" w:cs="宋体"/>
          <w:b/>
          <w:color w:val="auto"/>
          <w:spacing w:val="6"/>
          <w:sz w:val="22"/>
          <w:szCs w:val="22"/>
          <w:highlight w:val="none"/>
        </w:rPr>
      </w:pPr>
    </w:p>
    <w:p w14:paraId="762EA53C">
      <w:pPr>
        <w:spacing w:line="588" w:lineRule="exact"/>
        <w:jc w:val="center"/>
        <w:rPr>
          <w:rFonts w:hint="eastAsia" w:ascii="宋体" w:hAnsi="宋体" w:cs="宋体"/>
          <w:b/>
          <w:color w:val="auto"/>
          <w:spacing w:val="6"/>
          <w:sz w:val="22"/>
          <w:szCs w:val="22"/>
          <w:highlight w:val="none"/>
        </w:rPr>
      </w:pPr>
    </w:p>
    <w:p w14:paraId="50DDF1D1">
      <w:pPr>
        <w:spacing w:line="588" w:lineRule="exact"/>
        <w:jc w:val="center"/>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5D82E849">
      <w:pPr>
        <w:spacing w:line="588" w:lineRule="exact"/>
        <w:rPr>
          <w:rFonts w:hint="eastAsia" w:ascii="宋体" w:hAnsi="宋体" w:cs="宋体"/>
          <w:b/>
          <w:color w:val="auto"/>
          <w:spacing w:val="6"/>
          <w:sz w:val="22"/>
          <w:szCs w:val="22"/>
          <w:highlight w:val="none"/>
        </w:rPr>
      </w:pPr>
    </w:p>
    <w:p w14:paraId="43DCE1A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C33A6F">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1C3B49CE">
      <w:pPr>
        <w:spacing w:line="588" w:lineRule="exact"/>
        <w:rPr>
          <w:rFonts w:hint="eastAsia" w:ascii="宋体" w:hAnsi="宋体" w:cs="宋体"/>
          <w:color w:val="auto"/>
          <w:spacing w:val="6"/>
          <w:sz w:val="22"/>
          <w:szCs w:val="22"/>
          <w:highlight w:val="none"/>
        </w:rPr>
      </w:pPr>
    </w:p>
    <w:p w14:paraId="2203C3E3">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单位名称（盖章）：</w:t>
      </w:r>
    </w:p>
    <w:p w14:paraId="0752F00A">
      <w:pPr>
        <w:wordWrap w:val="0"/>
        <w:spacing w:line="360" w:lineRule="auto"/>
        <w:ind w:firstLine="440" w:firstLineChars="200"/>
        <w:jc w:val="right"/>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rPr>
        <w:t xml:space="preserve">       日  期：</w:t>
      </w:r>
      <w:r>
        <w:rPr>
          <w:rFonts w:hint="eastAsia" w:ascii="宋体" w:hAnsi="宋体" w:cs="宋体"/>
          <w:color w:val="auto"/>
          <w:sz w:val="22"/>
          <w:szCs w:val="22"/>
          <w:highlight w:val="none"/>
          <w:lang w:val="en-US" w:eastAsia="zh-CN"/>
        </w:rPr>
        <w:t xml:space="preserve">  年  月  日 </w:t>
      </w:r>
    </w:p>
    <w:p w14:paraId="3D331127">
      <w:pPr>
        <w:rPr>
          <w:rFonts w:hint="eastAsia" w:ascii="宋体" w:hAnsi="宋体" w:cs="宋体"/>
          <w:color w:val="auto"/>
          <w:highlight w:val="none"/>
        </w:rPr>
      </w:pPr>
    </w:p>
    <w:p w14:paraId="7B0EE014">
      <w:pPr>
        <w:pStyle w:val="2"/>
        <w:jc w:val="left"/>
        <w:rPr>
          <w:rFonts w:hint="eastAsia" w:ascii="宋体" w:hAnsi="宋体" w:eastAsia="宋体" w:cs="宋体"/>
          <w:b w:val="0"/>
          <w:bCs/>
          <w:color w:val="auto"/>
          <w:sz w:val="28"/>
          <w:szCs w:val="21"/>
          <w:highlight w:val="none"/>
        </w:rPr>
      </w:pPr>
    </w:p>
    <w:p w14:paraId="36F083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br w:type="page"/>
      </w:r>
    </w:p>
    <w:p w14:paraId="5CDCF45F">
      <w:pPr>
        <w:bidi w:val="0"/>
        <w:rPr>
          <w:color w:val="auto"/>
          <w:highlight w:val="none"/>
        </w:rPr>
      </w:pPr>
      <w:r>
        <w:rPr>
          <w:rFonts w:hint="eastAsia"/>
          <w:color w:val="auto"/>
          <w:highlight w:val="none"/>
        </w:rPr>
        <w:t>三、商务及技术响应文件</w:t>
      </w:r>
      <w:r>
        <w:rPr>
          <w:rFonts w:hint="eastAsia"/>
          <w:color w:val="auto"/>
          <w:highlight w:val="none"/>
          <w:lang w:val="en-US" w:eastAsia="zh-CN"/>
        </w:rPr>
        <w:t>部分格式</w:t>
      </w:r>
      <w:bookmarkEnd w:id="47"/>
      <w:bookmarkEnd w:id="48"/>
    </w:p>
    <w:p w14:paraId="61E3F25A">
      <w:pPr>
        <w:bidi w:val="0"/>
        <w:rPr>
          <w:rFonts w:hint="eastAsia"/>
          <w:color w:val="auto"/>
          <w:sz w:val="24"/>
          <w:szCs w:val="32"/>
          <w:highlight w:val="none"/>
          <w:lang w:eastAsia="zh-CN"/>
        </w:rPr>
      </w:pPr>
    </w:p>
    <w:p w14:paraId="07023F47">
      <w:pPr>
        <w:bidi w:val="0"/>
        <w:rPr>
          <w:rFonts w:ascii="宋体" w:hAnsi="宋体" w:eastAsia="宋体" w:cs="宋体"/>
          <w:b w:val="0"/>
          <w:bCs/>
          <w:color w:val="auto"/>
          <w:szCs w:val="21"/>
          <w:highlight w:val="none"/>
        </w:rPr>
      </w:pPr>
      <w:r>
        <w:rPr>
          <w:rFonts w:hint="eastAsia"/>
          <w:color w:val="auto"/>
          <w:sz w:val="24"/>
          <w:szCs w:val="32"/>
          <w:highlight w:val="none"/>
          <w:lang w:eastAsia="zh-CN"/>
        </w:rPr>
        <w:t>（</w:t>
      </w:r>
      <w:r>
        <w:rPr>
          <w:rFonts w:hint="eastAsia"/>
          <w:color w:val="auto"/>
          <w:sz w:val="24"/>
          <w:szCs w:val="32"/>
          <w:highlight w:val="none"/>
          <w:lang w:val="en-US" w:eastAsia="zh-CN"/>
        </w:rPr>
        <w:t>1</w:t>
      </w:r>
      <w:r>
        <w:rPr>
          <w:rFonts w:hint="eastAsia"/>
          <w:color w:val="auto"/>
          <w:sz w:val="24"/>
          <w:szCs w:val="32"/>
          <w:highlight w:val="none"/>
          <w:lang w:eastAsia="zh-CN"/>
        </w:rPr>
        <w:t>）</w:t>
      </w:r>
      <w:r>
        <w:rPr>
          <w:rFonts w:hint="eastAsia"/>
          <w:color w:val="auto"/>
          <w:sz w:val="24"/>
          <w:szCs w:val="32"/>
          <w:highlight w:val="none"/>
        </w:rPr>
        <w:t>磋商响应函</w:t>
      </w:r>
      <w:r>
        <w:rPr>
          <w:rFonts w:hint="eastAsia" w:ascii="宋体" w:hAnsi="宋体" w:eastAsia="宋体" w:cs="宋体"/>
          <w:b w:val="0"/>
          <w:bCs/>
          <w:color w:val="auto"/>
          <w:szCs w:val="21"/>
          <w:highlight w:val="none"/>
        </w:rPr>
        <w:t xml:space="preserve"> </w:t>
      </w:r>
    </w:p>
    <w:p w14:paraId="3D1DD08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磋商响应函</w:t>
      </w:r>
    </w:p>
    <w:p w14:paraId="51701E1A">
      <w:pPr>
        <w:spacing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b/>
          <w:color w:val="auto"/>
          <w:highlight w:val="none"/>
          <w:u w:val="single"/>
          <w:lang w:eastAsia="zh-CN"/>
        </w:rPr>
        <w:t>平湖市新仓镇人民政府</w:t>
      </w:r>
      <w:r>
        <w:rPr>
          <w:rFonts w:hint="eastAsia"/>
          <w:b/>
          <w:color w:val="auto"/>
          <w:highlight w:val="none"/>
          <w:u w:val="single"/>
        </w:rPr>
        <w:t xml:space="preserve"> </w:t>
      </w:r>
    </w:p>
    <w:p w14:paraId="47F29EF5">
      <w:pPr>
        <w:spacing w:before="32" w:beforeLines="10" w:line="360" w:lineRule="auto"/>
        <w:ind w:firstLine="735" w:firstLineChars="35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授权</w:t>
      </w:r>
      <w:r>
        <w:rPr>
          <w:rFonts w:hint="eastAsia" w:ascii="宋体" w:hAnsi="宋体"/>
          <w:color w:val="auto"/>
          <w:szCs w:val="21"/>
          <w:highlight w:val="none"/>
          <w:u w:val="single"/>
        </w:rPr>
        <w:t>(全权代表姓名)(职务、职称)</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项目 </w:t>
      </w:r>
      <w:r>
        <w:rPr>
          <w:rFonts w:hint="eastAsia" w:ascii="宋体" w:hAnsi="宋体"/>
          <w:color w:val="auto"/>
          <w:szCs w:val="21"/>
          <w:highlight w:val="none"/>
        </w:rPr>
        <w:t>(采购编号：</w:t>
      </w:r>
      <w:r>
        <w:rPr>
          <w:rFonts w:hint="eastAsia" w:ascii="宋体" w:hAnsi="宋体"/>
          <w:color w:val="auto"/>
          <w:szCs w:val="21"/>
          <w:highlight w:val="none"/>
          <w:u w:val="single"/>
          <w:lang w:val="en-US" w:eastAsia="zh-CN"/>
        </w:rPr>
        <w:t xml:space="preserve">           </w:t>
      </w:r>
      <w:r>
        <w:rPr>
          <w:rFonts w:hint="eastAsia" w:ascii="宋体" w:hAnsi="宋体" w:cs="仿宋_GB2312"/>
          <w:color w:val="auto"/>
          <w:szCs w:val="21"/>
          <w:highlight w:val="none"/>
          <w:lang w:val="zh-CN"/>
        </w:rPr>
        <w:t>)</w:t>
      </w:r>
      <w:r>
        <w:rPr>
          <w:rFonts w:hint="eastAsia" w:ascii="宋体" w:hAnsi="宋体"/>
          <w:color w:val="auto"/>
          <w:szCs w:val="21"/>
          <w:highlight w:val="none"/>
        </w:rPr>
        <w:t>磋商的有关活动。为此：</w:t>
      </w:r>
    </w:p>
    <w:p w14:paraId="3A2DBF0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1、我方同意在供应商</w:t>
      </w:r>
      <w:r>
        <w:rPr>
          <w:rFonts w:hint="eastAsia" w:ascii="宋体" w:hAnsi="宋体"/>
          <w:color w:val="auto"/>
          <w:kern w:val="44"/>
          <w:szCs w:val="21"/>
          <w:highlight w:val="none"/>
        </w:rPr>
        <w:t>编制和提交响应文件须知</w:t>
      </w:r>
      <w:r>
        <w:rPr>
          <w:rFonts w:hint="eastAsia" w:ascii="宋体" w:hAnsi="宋体"/>
          <w:color w:val="auto"/>
          <w:szCs w:val="21"/>
          <w:highlight w:val="none"/>
        </w:rPr>
        <w:t>规定的响应文件开启日期起遵守本响应函中的承诺且在响应有效期满之前均具有约束力。</w:t>
      </w:r>
    </w:p>
    <w:p w14:paraId="431F3CF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2、我方承诺已经具备参加采购活动的供应商应当具备的条件：</w:t>
      </w:r>
    </w:p>
    <w:p w14:paraId="01828E1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79C9400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(2)遵守国家法律、行政法规，具有良好的信誉和商业道德；</w:t>
      </w:r>
    </w:p>
    <w:p w14:paraId="2A6FC87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(3)具有履行合同的能力和良好的履行合同记录；</w:t>
      </w:r>
    </w:p>
    <w:p w14:paraId="46C5E1A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(4)良好的资金、财务状况；</w:t>
      </w:r>
    </w:p>
    <w:p w14:paraId="485CD17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(5)提供的产品和服务符合采购规定的响应标准和环保标准；</w:t>
      </w:r>
    </w:p>
    <w:p w14:paraId="1474989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(6)没有违反采购法规、政策的记录；</w:t>
      </w:r>
    </w:p>
    <w:p w14:paraId="579161D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(7)没有发生重大经济纠纷和走私犯罪记录。</w:t>
      </w:r>
    </w:p>
    <w:p w14:paraId="78DE2D1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3、提供磋商须知规定的全部响应文件。具体内容为：</w:t>
      </w:r>
    </w:p>
    <w:p w14:paraId="76C887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(1)资信商务</w:t>
      </w:r>
      <w:r>
        <w:rPr>
          <w:rFonts w:hint="eastAsia" w:ascii="宋体" w:hAnsi="宋体"/>
          <w:bCs/>
          <w:color w:val="auto"/>
          <w:sz w:val="22"/>
          <w:highlight w:val="none"/>
        </w:rPr>
        <w:t>及技术响应文件</w:t>
      </w:r>
      <w:r>
        <w:rPr>
          <w:rFonts w:hint="eastAsia" w:ascii="宋体" w:hAnsi="宋体"/>
          <w:color w:val="auto"/>
          <w:szCs w:val="21"/>
          <w:highlight w:val="none"/>
        </w:rPr>
        <w:t xml:space="preserve">； </w:t>
      </w:r>
    </w:p>
    <w:p w14:paraId="36AAA6D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(2)报价响应文件；</w:t>
      </w:r>
    </w:p>
    <w:p w14:paraId="60A03F9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(3)磋商须知要求供应商提交的全部文件；</w:t>
      </w:r>
    </w:p>
    <w:p w14:paraId="562621B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(4)保证忠实地执行双方所签订的合同，并承担合同规定的责任和义务；</w:t>
      </w:r>
    </w:p>
    <w:p w14:paraId="66107DA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(5)保证遵守磋商文件中的其他有关规定。</w:t>
      </w:r>
    </w:p>
    <w:p w14:paraId="6B8582F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4、我方完全理解贵方不一定要接受最低价的响应。</w:t>
      </w:r>
    </w:p>
    <w:p w14:paraId="1A2809B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5、我方愿意向贵方提供任何与该项响应有关的数据、情况和服务资料。若贵方需要，我方愿意提供我方作出的一切承诺的证明材料。</w:t>
      </w:r>
    </w:p>
    <w:p w14:paraId="0782BAC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6、我方已详细审核全部磋商文件，包括磋商文件修改书（如有的话）、参考资料及有关附件，确认无误。我方完全理解并接受磋商文件的各项规定和要求，对磋商文件的合理性、合法性不再有异议。</w:t>
      </w:r>
    </w:p>
    <w:p w14:paraId="3B29EE7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7、供应商有下列情形之一的，处以采购金额5‰以上10‰以下的罚款；有违法所得的，并处没收违法所得；构成犯罪的，依法追究刑事责任：</w:t>
      </w:r>
    </w:p>
    <w:p w14:paraId="29AF13C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(1)提供虚假材料谋取成交、成交的；</w:t>
      </w:r>
    </w:p>
    <w:p w14:paraId="2C104F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(2)采取不正当手段诋毁、排挤其他供应商的；</w:t>
      </w:r>
    </w:p>
    <w:p w14:paraId="0B7CC47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(3)与采购人、其它供应商或者采购代理机构恶意串通的；</w:t>
      </w:r>
    </w:p>
    <w:p w14:paraId="6293F58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(4)向采购人、采购代理机构行贿或者提供其他不正当利益的；</w:t>
      </w:r>
    </w:p>
    <w:p w14:paraId="6BE8F34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(5)在磋商采购过程中与采购人进行协商谈判的；</w:t>
      </w:r>
    </w:p>
    <w:p w14:paraId="6E0EC91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(6)拒绝有关部门监督检查或提供虚假情况的。</w:t>
      </w:r>
    </w:p>
    <w:p w14:paraId="1FFF23DA">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供应商有前款第(1)至(5)项情形之一的，成交、成交无效。</w:t>
      </w:r>
    </w:p>
    <w:p w14:paraId="78E6995F">
      <w:pPr>
        <w:adjustRightInd w:val="0"/>
        <w:snapToGrid w:val="0"/>
        <w:spacing w:line="360" w:lineRule="auto"/>
        <w:ind w:firstLine="420" w:firstLineChars="200"/>
        <w:rPr>
          <w:rFonts w:ascii="宋体" w:hAnsi="宋体"/>
          <w:color w:val="auto"/>
          <w:szCs w:val="21"/>
          <w:highlight w:val="none"/>
        </w:rPr>
      </w:pPr>
    </w:p>
    <w:p w14:paraId="07D34417">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法定（授权）代表人（签字或盖章）：</w:t>
      </w:r>
      <w:r>
        <w:rPr>
          <w:rFonts w:hint="eastAsia" w:ascii="宋体" w:hAnsi="宋体" w:cs="宋体"/>
          <w:color w:val="auto"/>
          <w:szCs w:val="21"/>
          <w:highlight w:val="none"/>
        </w:rPr>
        <w:tab/>
      </w:r>
    </w:p>
    <w:p w14:paraId="115EE377">
      <w:pPr>
        <w:adjustRightInd w:val="0"/>
        <w:snapToGrid w:val="0"/>
        <w:spacing w:line="360" w:lineRule="auto"/>
        <w:ind w:left="420" w:leftChars="200"/>
        <w:rPr>
          <w:rFonts w:ascii="宋体" w:hAnsi="宋体" w:cs="宋体"/>
          <w:color w:val="auto"/>
          <w:szCs w:val="21"/>
          <w:highlight w:val="none"/>
          <w:u w:val="single"/>
          <w:lang w:val="zh-CN"/>
        </w:rPr>
      </w:pPr>
      <w:r>
        <w:rPr>
          <w:rFonts w:hint="eastAsia" w:ascii="宋体" w:hAnsi="宋体" w:cs="宋体"/>
          <w:color w:val="auto"/>
          <w:szCs w:val="21"/>
          <w:highlight w:val="none"/>
          <w:lang w:val="zh-CN"/>
        </w:rPr>
        <w:t xml:space="preserve">供应商盖章：  </w:t>
      </w:r>
    </w:p>
    <w:p w14:paraId="542638EF">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联系电话： 传真：   电子邮件：</w:t>
      </w:r>
    </w:p>
    <w:p w14:paraId="3BFC16F0">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开户银行：</w:t>
      </w:r>
    </w:p>
    <w:p w14:paraId="7D4A1BA6">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银行账号：</w:t>
      </w:r>
    </w:p>
    <w:p w14:paraId="05342EBD">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联系地址：</w:t>
      </w:r>
    </w:p>
    <w:p w14:paraId="1A9B9D60">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邮政编码：</w:t>
      </w:r>
    </w:p>
    <w:p w14:paraId="44E720A2">
      <w:pPr>
        <w:wordWrap w:val="0"/>
        <w:spacing w:line="360" w:lineRule="auto"/>
        <w:jc w:val="right"/>
        <w:rPr>
          <w:rFonts w:ascii="宋体" w:hAnsi="宋体"/>
          <w:color w:val="auto"/>
          <w:sz w:val="24"/>
          <w:highlight w:val="none"/>
        </w:rPr>
        <w:sectPr>
          <w:headerReference r:id="rId7" w:type="default"/>
          <w:footerReference r:id="rId8" w:type="default"/>
          <w:pgSz w:w="11906" w:h="16838"/>
          <w:pgMar w:top="1417" w:right="1417" w:bottom="1417" w:left="1417" w:header="851" w:footer="992" w:gutter="0"/>
          <w:pgNumType w:fmt="decimal" w:start="1"/>
          <w:cols w:space="720" w:num="1"/>
          <w:docGrid w:type="lines" w:linePitch="325" w:charSpace="0"/>
        </w:sectPr>
      </w:pPr>
      <w:r>
        <w:rPr>
          <w:rFonts w:hint="eastAsia" w:ascii="宋体" w:hAnsi="宋体" w:cs="宋体"/>
          <w:color w:val="auto"/>
          <w:szCs w:val="21"/>
          <w:highlight w:val="none"/>
          <w:lang w:val="zh-CN"/>
        </w:rPr>
        <w:t>日期</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rPr>
        <w:tab/>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zh-CN"/>
        </w:rPr>
        <w:t>日</w:t>
      </w:r>
    </w:p>
    <w:p w14:paraId="79FBC0AF">
      <w:pPr>
        <w:bidi w:val="0"/>
        <w:rPr>
          <w:color w:val="auto"/>
          <w:sz w:val="28"/>
          <w:szCs w:val="36"/>
          <w:highlight w:val="none"/>
        </w:rPr>
      </w:pPr>
      <w:r>
        <w:rPr>
          <w:rFonts w:hint="eastAsia"/>
          <w:color w:val="auto"/>
          <w:sz w:val="28"/>
          <w:szCs w:val="36"/>
          <w:highlight w:val="none"/>
        </w:rPr>
        <w:t>（</w:t>
      </w:r>
      <w:r>
        <w:rPr>
          <w:rFonts w:hint="eastAsia"/>
          <w:color w:val="auto"/>
          <w:sz w:val="28"/>
          <w:szCs w:val="36"/>
          <w:highlight w:val="none"/>
          <w:lang w:val="en-US" w:eastAsia="zh-CN"/>
        </w:rPr>
        <w:t>2</w:t>
      </w:r>
      <w:r>
        <w:rPr>
          <w:rFonts w:hint="eastAsia"/>
          <w:color w:val="auto"/>
          <w:sz w:val="28"/>
          <w:szCs w:val="36"/>
          <w:highlight w:val="none"/>
        </w:rPr>
        <w:t>）法定代表人资格证明及法定代表人授权书（如为法定代表人参加磋商，则只需提供法定代表人资格证明书）</w:t>
      </w:r>
    </w:p>
    <w:p w14:paraId="266F0C22">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（1）法定代表人资格证明书</w:t>
      </w:r>
    </w:p>
    <w:p w14:paraId="3F73F826">
      <w:pPr>
        <w:adjustRightInd w:val="0"/>
        <w:snapToGrid w:val="0"/>
        <w:spacing w:line="360" w:lineRule="auto"/>
        <w:rPr>
          <w:rFonts w:ascii="宋体" w:hAnsi="宋体"/>
          <w:color w:val="auto"/>
          <w:highlight w:val="none"/>
          <w:u w:val="single"/>
        </w:rPr>
      </w:pPr>
      <w:r>
        <w:rPr>
          <w:rFonts w:hint="eastAsia" w:ascii="宋体" w:hAnsi="宋体"/>
          <w:color w:val="auto"/>
          <w:highlight w:val="none"/>
        </w:rPr>
        <w:t>单位名称：</w:t>
      </w:r>
    </w:p>
    <w:p w14:paraId="760A314A">
      <w:pPr>
        <w:adjustRightInd w:val="0"/>
        <w:snapToGrid w:val="0"/>
        <w:spacing w:line="360" w:lineRule="auto"/>
        <w:rPr>
          <w:rFonts w:ascii="宋体" w:hAnsi="宋体"/>
          <w:color w:val="auto"/>
          <w:highlight w:val="none"/>
        </w:rPr>
      </w:pPr>
      <w:r>
        <w:rPr>
          <w:rFonts w:hint="eastAsia" w:ascii="宋体" w:hAnsi="宋体"/>
          <w:color w:val="auto"/>
          <w:highlight w:val="none"/>
        </w:rPr>
        <w:t>单位性质：</w:t>
      </w:r>
    </w:p>
    <w:p w14:paraId="58D8F95E">
      <w:pPr>
        <w:adjustRightInd w:val="0"/>
        <w:snapToGrid w:val="0"/>
        <w:spacing w:line="360" w:lineRule="auto"/>
        <w:rPr>
          <w:rFonts w:ascii="宋体" w:hAnsi="宋体"/>
          <w:color w:val="auto"/>
          <w:highlight w:val="none"/>
          <w:u w:val="single"/>
        </w:rPr>
      </w:pPr>
      <w:r>
        <w:rPr>
          <w:rFonts w:hint="eastAsia" w:ascii="宋体" w:hAnsi="宋体"/>
          <w:color w:val="auto"/>
          <w:highlight w:val="none"/>
        </w:rPr>
        <w:t>地址：</w:t>
      </w:r>
    </w:p>
    <w:p w14:paraId="22FCADC7">
      <w:pPr>
        <w:adjustRightInd w:val="0"/>
        <w:snapToGrid w:val="0"/>
        <w:spacing w:line="360" w:lineRule="auto"/>
        <w:rPr>
          <w:rFonts w:ascii="宋体" w:hAnsi="宋体"/>
          <w:color w:val="auto"/>
          <w:highlight w:val="none"/>
        </w:rPr>
      </w:pPr>
      <w:r>
        <w:rPr>
          <w:rFonts w:hint="eastAsia" w:ascii="宋体" w:hAnsi="宋体"/>
          <w:color w:val="auto"/>
          <w:highlight w:val="none"/>
        </w:rPr>
        <w:t>成立时间： 年  月  日</w:t>
      </w:r>
    </w:p>
    <w:p w14:paraId="501B059B">
      <w:pPr>
        <w:adjustRightInd w:val="0"/>
        <w:snapToGrid w:val="0"/>
        <w:spacing w:line="360" w:lineRule="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性别：年龄：</w:t>
      </w:r>
      <w:r>
        <w:rPr>
          <w:rFonts w:hint="eastAsia" w:ascii="宋体" w:hAnsi="宋体"/>
          <w:color w:val="auto"/>
          <w:highlight w:val="none"/>
          <w:u w:val="single"/>
        </w:rPr>
        <w:t xml:space="preserve"> 　　 </w:t>
      </w:r>
      <w:r>
        <w:rPr>
          <w:rFonts w:hint="eastAsia" w:ascii="宋体" w:hAnsi="宋体"/>
          <w:color w:val="auto"/>
          <w:highlight w:val="none"/>
        </w:rPr>
        <w:t>职务：，身份证号：系（供应商名称）的法定代表人。</w:t>
      </w:r>
    </w:p>
    <w:p w14:paraId="15BCE5BF">
      <w:pPr>
        <w:tabs>
          <w:tab w:val="left" w:pos="864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特此证明。</w:t>
      </w:r>
    </w:p>
    <w:p w14:paraId="7C023B76">
      <w:pPr>
        <w:tabs>
          <w:tab w:val="left" w:pos="8640"/>
        </w:tabs>
        <w:adjustRightInd w:val="0"/>
        <w:snapToGrid w:val="0"/>
        <w:spacing w:line="360" w:lineRule="auto"/>
        <w:jc w:val="right"/>
        <w:rPr>
          <w:rFonts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           （公章）</w:t>
      </w:r>
    </w:p>
    <w:p w14:paraId="4AABB9F6">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11ED10DB">
      <w:pPr>
        <w:spacing w:line="360" w:lineRule="auto"/>
        <w:ind w:left="4070" w:leftChars="1881" w:hanging="120" w:hangingChars="50"/>
        <w:rPr>
          <w:rFonts w:ascii="宋体" w:hAnsi="宋体"/>
          <w:color w:val="auto"/>
          <w:sz w:val="24"/>
          <w:highlight w:val="none"/>
        </w:rPr>
      </w:pPr>
    </w:p>
    <w:p w14:paraId="2C92CD35">
      <w:pPr>
        <w:spacing w:line="360" w:lineRule="atLeast"/>
        <w:ind w:left="-6" w:leftChars="-3" w:firstLine="480" w:firstLineChars="200"/>
        <w:rPr>
          <w:rFonts w:ascii="宋体" w:hAnsi="宋体"/>
          <w:color w:val="auto"/>
          <w:sz w:val="24"/>
          <w:highlight w:val="none"/>
        </w:rPr>
      </w:pPr>
    </w:p>
    <w:p w14:paraId="56A6C54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（2）法定代表人授权书</w:t>
      </w:r>
    </w:p>
    <w:p w14:paraId="45F4F51C">
      <w:pPr>
        <w:tabs>
          <w:tab w:val="left" w:pos="8100"/>
          <w:tab w:val="left" w:pos="8280"/>
        </w:tabs>
        <w:adjustRightInd w:val="0"/>
        <w:snapToGrid w:val="0"/>
        <w:spacing w:line="360" w:lineRule="auto"/>
        <w:ind w:right="32" w:firstLine="420" w:firstLineChars="200"/>
        <w:rPr>
          <w:rFonts w:ascii="宋体" w:hAnsi="宋体"/>
          <w:color w:val="auto"/>
          <w:highlight w:val="none"/>
        </w:rPr>
      </w:pPr>
    </w:p>
    <w:p w14:paraId="28F7FDC8">
      <w:pPr>
        <w:tabs>
          <w:tab w:val="left" w:pos="8100"/>
          <w:tab w:val="left" w:pos="8280"/>
        </w:tabs>
        <w:adjustRightInd w:val="0"/>
        <w:snapToGrid w:val="0"/>
        <w:spacing w:line="360" w:lineRule="auto"/>
        <w:ind w:right="32" w:firstLine="420" w:firstLineChars="200"/>
        <w:rPr>
          <w:color w:val="auto"/>
          <w:szCs w:val="21"/>
          <w:highlight w:val="none"/>
        </w:rPr>
      </w:pPr>
      <w:r>
        <w:rPr>
          <w:rFonts w:hint="eastAsia" w:ascii="宋体" w:hAnsi="宋体"/>
          <w:color w:val="auto"/>
          <w:highlight w:val="none"/>
        </w:rPr>
        <w:t>本人</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（供应商名称）</w:t>
      </w:r>
      <w:r>
        <w:rPr>
          <w:rFonts w:hint="eastAsia" w:ascii="宋体" w:hAnsi="宋体"/>
          <w:color w:val="auto"/>
          <w:highlight w:val="none"/>
        </w:rPr>
        <w:t>的法定代表人，现委托</w:t>
      </w:r>
      <w:r>
        <w:rPr>
          <w:rFonts w:hint="eastAsia" w:ascii="宋体" w:hAnsi="宋体"/>
          <w:color w:val="auto"/>
          <w:highlight w:val="none"/>
          <w:u w:val="single"/>
        </w:rPr>
        <w:t>（姓名、身份证号）</w:t>
      </w:r>
      <w:r>
        <w:rPr>
          <w:rFonts w:hint="eastAsia" w:ascii="宋体" w:hAnsi="宋体"/>
          <w:color w:val="auto"/>
          <w:highlight w:val="none"/>
        </w:rPr>
        <w:t>为我方代理人。代理人根据授权，以我方名义签署、</w:t>
      </w:r>
      <w:r>
        <w:rPr>
          <w:rFonts w:hint="eastAsia"/>
          <w:color w:val="auto"/>
          <w:szCs w:val="21"/>
          <w:highlight w:val="none"/>
        </w:rPr>
        <w:t>签署、澄清、说明、补正、递交、撤回、修改</w:t>
      </w:r>
      <w:r>
        <w:rPr>
          <w:rFonts w:hint="eastAsia"/>
          <w:color w:val="auto"/>
          <w:szCs w:val="21"/>
          <w:highlight w:val="none"/>
          <w:u w:val="single"/>
        </w:rPr>
        <w:t xml:space="preserve"> (项目名称)</w:t>
      </w:r>
      <w:r>
        <w:rPr>
          <w:rFonts w:hint="eastAsia"/>
          <w:color w:val="auto"/>
          <w:szCs w:val="21"/>
          <w:highlight w:val="none"/>
        </w:rPr>
        <w:t>响应文件、签订合同和处理有关事宜，其法律后果由我方承担。</w:t>
      </w:r>
    </w:p>
    <w:p w14:paraId="6231302A">
      <w:pPr>
        <w:adjustRightInd w:val="0"/>
        <w:snapToGrid w:val="0"/>
        <w:spacing w:line="360" w:lineRule="auto"/>
        <w:ind w:right="567" w:firstLine="425"/>
        <w:rPr>
          <w:color w:val="auto"/>
          <w:szCs w:val="21"/>
          <w:highlight w:val="none"/>
        </w:rPr>
      </w:pPr>
      <w:r>
        <w:rPr>
          <w:rFonts w:hint="eastAsia"/>
          <w:color w:val="auto"/>
          <w:szCs w:val="21"/>
          <w:highlight w:val="none"/>
        </w:rPr>
        <w:t>委托期限：</w:t>
      </w:r>
      <w:r>
        <w:rPr>
          <w:rFonts w:hint="eastAsia"/>
          <w:color w:val="auto"/>
          <w:szCs w:val="21"/>
          <w:highlight w:val="none"/>
          <w:u w:val="single"/>
          <w:lang w:val="en-US" w:eastAsia="zh-CN"/>
        </w:rPr>
        <w:t xml:space="preserve">               </w:t>
      </w:r>
      <w:r>
        <w:rPr>
          <w:rFonts w:hint="eastAsia"/>
          <w:color w:val="auto"/>
          <w:szCs w:val="21"/>
          <w:highlight w:val="none"/>
        </w:rPr>
        <w:t>。</w:t>
      </w:r>
    </w:p>
    <w:p w14:paraId="19FE3F79">
      <w:pPr>
        <w:adjustRightInd w:val="0"/>
        <w:snapToGrid w:val="0"/>
        <w:spacing w:line="360" w:lineRule="auto"/>
        <w:ind w:right="567" w:firstLine="425"/>
        <w:rPr>
          <w:color w:val="auto"/>
          <w:szCs w:val="21"/>
          <w:highlight w:val="none"/>
        </w:rPr>
      </w:pPr>
      <w:r>
        <w:rPr>
          <w:rFonts w:hint="eastAsia"/>
          <w:color w:val="auto"/>
          <w:szCs w:val="21"/>
          <w:highlight w:val="none"/>
        </w:rPr>
        <w:t>代理人无转委托权。</w:t>
      </w:r>
    </w:p>
    <w:p w14:paraId="1AD2638F">
      <w:pPr>
        <w:adjustRightInd w:val="0"/>
        <w:snapToGrid w:val="0"/>
        <w:spacing w:line="360" w:lineRule="auto"/>
        <w:ind w:left="3060" w:leftChars="1457" w:firstLine="1079" w:firstLineChars="514"/>
        <w:rPr>
          <w:color w:val="auto"/>
          <w:szCs w:val="21"/>
          <w:highlight w:val="none"/>
        </w:rPr>
      </w:pPr>
      <w:r>
        <w:rPr>
          <w:rFonts w:hint="eastAsia" w:ascii="宋体" w:hAnsi="宋体"/>
          <w:color w:val="auto"/>
          <w:highlight w:val="none"/>
        </w:rPr>
        <w:t>供应商</w:t>
      </w:r>
      <w:r>
        <w:rPr>
          <w:rFonts w:hint="eastAsia"/>
          <w:color w:val="auto"/>
          <w:szCs w:val="21"/>
          <w:highlight w:val="none"/>
        </w:rPr>
        <w:t>：（单位盖章）</w:t>
      </w:r>
    </w:p>
    <w:p w14:paraId="47B08C60">
      <w:pPr>
        <w:adjustRightInd w:val="0"/>
        <w:snapToGrid w:val="0"/>
        <w:spacing w:line="360" w:lineRule="auto"/>
        <w:rPr>
          <w:color w:val="auto"/>
          <w:szCs w:val="21"/>
          <w:highlight w:val="none"/>
        </w:rPr>
      </w:pPr>
      <w:r>
        <w:rPr>
          <w:rFonts w:hint="eastAsia"/>
          <w:color w:val="auto"/>
          <w:szCs w:val="21"/>
          <w:highlight w:val="none"/>
        </w:rPr>
        <w:t xml:space="preserve">                                       法定代表人：（签字或盖章） </w:t>
      </w:r>
    </w:p>
    <w:p w14:paraId="648D0784">
      <w:pPr>
        <w:adjustRightInd w:val="0"/>
        <w:snapToGrid w:val="0"/>
        <w:spacing w:line="360" w:lineRule="auto"/>
        <w:ind w:firstLine="4139" w:firstLineChars="1971"/>
        <w:rPr>
          <w:color w:val="auto"/>
          <w:szCs w:val="21"/>
          <w:highlight w:val="none"/>
        </w:rPr>
      </w:pPr>
      <w:r>
        <w:rPr>
          <w:rFonts w:hint="eastAsia"/>
          <w:color w:val="auto"/>
          <w:szCs w:val="21"/>
          <w:highlight w:val="none"/>
        </w:rPr>
        <w:t>身份证号码：</w:t>
      </w:r>
    </w:p>
    <w:p w14:paraId="24F7C400">
      <w:pPr>
        <w:adjustRightInd w:val="0"/>
        <w:snapToGrid w:val="0"/>
        <w:spacing w:line="360" w:lineRule="auto"/>
        <w:rPr>
          <w:color w:val="auto"/>
          <w:szCs w:val="21"/>
          <w:highlight w:val="none"/>
        </w:rPr>
      </w:pPr>
      <w:r>
        <w:rPr>
          <w:rFonts w:hint="eastAsia"/>
          <w:color w:val="auto"/>
          <w:szCs w:val="21"/>
          <w:highlight w:val="none"/>
        </w:rPr>
        <w:t xml:space="preserve">                                       委托代理人：（签字）</w:t>
      </w:r>
    </w:p>
    <w:p w14:paraId="635F38D4">
      <w:pPr>
        <w:adjustRightInd w:val="0"/>
        <w:snapToGrid w:val="0"/>
        <w:spacing w:line="360" w:lineRule="auto"/>
        <w:ind w:firstLine="4200" w:firstLineChars="2000"/>
        <w:rPr>
          <w:color w:val="auto"/>
          <w:szCs w:val="21"/>
          <w:highlight w:val="none"/>
        </w:rPr>
      </w:pPr>
      <w:r>
        <w:rPr>
          <w:rFonts w:hint="eastAsia"/>
          <w:color w:val="auto"/>
          <w:szCs w:val="21"/>
          <w:highlight w:val="none"/>
        </w:rPr>
        <w:t>身份证号码：</w:t>
      </w:r>
    </w:p>
    <w:p w14:paraId="56633EF7">
      <w:pPr>
        <w:spacing w:line="360" w:lineRule="auto"/>
        <w:ind w:firstLine="4200" w:firstLineChars="2000"/>
        <w:rPr>
          <w:rFonts w:ascii="宋体" w:hAnsi="宋体"/>
          <w:color w:val="auto"/>
          <w:sz w:val="24"/>
          <w:highlight w:val="none"/>
        </w:rPr>
      </w:pPr>
      <w:r>
        <w:rPr>
          <w:rFonts w:hint="eastAsia"/>
          <w:color w:val="auto"/>
          <w:highlight w:val="none"/>
        </w:rPr>
        <w:t>日   期：</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4E0EAD0A">
      <w:pPr>
        <w:spacing w:line="360" w:lineRule="auto"/>
        <w:rPr>
          <w:rFonts w:ascii="宋体" w:hAnsi="宋体"/>
          <w:color w:val="auto"/>
          <w:sz w:val="24"/>
          <w:highlight w:val="none"/>
        </w:rPr>
      </w:pPr>
    </w:p>
    <w:p w14:paraId="3192F520">
      <w:pPr>
        <w:spacing w:line="360" w:lineRule="auto"/>
        <w:rPr>
          <w:rFonts w:ascii="宋体" w:hAnsi="宋体"/>
          <w:b/>
          <w:bCs/>
          <w:color w:val="auto"/>
          <w:sz w:val="24"/>
          <w:highlight w:val="none"/>
        </w:rPr>
      </w:pPr>
      <w:r>
        <w:rPr>
          <w:rFonts w:hint="eastAsia" w:ascii="宋体" w:hAnsi="宋体"/>
          <w:b/>
          <w:bCs/>
          <w:color w:val="auto"/>
          <w:sz w:val="24"/>
          <w:highlight w:val="none"/>
        </w:rPr>
        <w:t>法定代表人和授权委托人的身份证复印件附后。（正反面）</w:t>
      </w:r>
    </w:p>
    <w:p w14:paraId="238C4ACE">
      <w:pPr>
        <w:pStyle w:val="9"/>
        <w:rPr>
          <w:color w:val="auto"/>
          <w:highlight w:val="none"/>
        </w:rPr>
      </w:pPr>
    </w:p>
    <w:p w14:paraId="17FB1FBB">
      <w:pPr>
        <w:bidi w:val="0"/>
        <w:rPr>
          <w:rFonts w:hint="eastAsia"/>
          <w:color w:val="auto"/>
          <w:highlight w:val="none"/>
        </w:rPr>
      </w:pPr>
    </w:p>
    <w:p w14:paraId="0D9AA6E8">
      <w:pPr>
        <w:bidi w:val="0"/>
        <w:rPr>
          <w:rFonts w:hint="eastAsia"/>
          <w:color w:val="auto"/>
          <w:highlight w:val="none"/>
        </w:rPr>
      </w:pPr>
    </w:p>
    <w:p w14:paraId="26C08DF0">
      <w:pPr>
        <w:bidi w:val="0"/>
        <w:rPr>
          <w:rFonts w:ascii="宋体" w:hAnsi="宋体" w:eastAsia="宋体" w:cs="宋体"/>
          <w:b w:val="0"/>
          <w:bCs/>
          <w:color w:val="auto"/>
          <w:szCs w:val="21"/>
          <w:highlight w:val="none"/>
        </w:rPr>
      </w:pPr>
      <w:r>
        <w:rPr>
          <w:rFonts w:hint="eastAsia"/>
          <w:color w:val="auto"/>
          <w:sz w:val="28"/>
          <w:szCs w:val="36"/>
          <w:highlight w:val="none"/>
          <w:lang w:val="en-US" w:eastAsia="zh-CN"/>
        </w:rPr>
        <w:t>（3</w:t>
      </w:r>
      <w:r>
        <w:rPr>
          <w:rFonts w:hint="eastAsia"/>
          <w:color w:val="auto"/>
          <w:sz w:val="28"/>
          <w:szCs w:val="36"/>
          <w:highlight w:val="none"/>
        </w:rPr>
        <w:t>）</w:t>
      </w:r>
      <w:r>
        <w:rPr>
          <w:rFonts w:hint="eastAsia"/>
          <w:color w:val="auto"/>
          <w:sz w:val="32"/>
          <w:szCs w:val="40"/>
          <w:highlight w:val="none"/>
        </w:rPr>
        <w:t>商务响应（偏离）表</w:t>
      </w:r>
    </w:p>
    <w:p w14:paraId="2977671F">
      <w:pPr>
        <w:pStyle w:val="66"/>
        <w:spacing w:line="276" w:lineRule="auto"/>
        <w:jc w:val="both"/>
        <w:rPr>
          <w:rFonts w:ascii="宋体" w:hAnsi="宋体" w:eastAsiaTheme="minorEastAsia"/>
          <w:color w:val="auto"/>
          <w:szCs w:val="21"/>
          <w:highlight w:val="none"/>
        </w:rPr>
      </w:pPr>
    </w:p>
    <w:p w14:paraId="51C196B2">
      <w:pPr>
        <w:pStyle w:val="66"/>
        <w:spacing w:line="276"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商务响应（偏离）表</w:t>
      </w:r>
    </w:p>
    <w:tbl>
      <w:tblPr>
        <w:tblStyle w:val="27"/>
        <w:tblW w:w="0" w:type="auto"/>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388C2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noWrap/>
            <w:vAlign w:val="center"/>
          </w:tcPr>
          <w:p w14:paraId="1F45823C">
            <w:pPr>
              <w:adjustRightInd w:val="0"/>
              <w:snapToGrid w:val="0"/>
              <w:spacing w:line="360" w:lineRule="auto"/>
              <w:jc w:val="center"/>
              <w:rPr>
                <w:rFonts w:ascii="宋体" w:hAnsi="宋体" w:cs="宋体"/>
                <w:b/>
                <w:bCs/>
                <w:color w:val="auto"/>
                <w:sz w:val="24"/>
                <w:highlight w:val="none"/>
              </w:rPr>
            </w:pPr>
            <w:r>
              <w:rPr>
                <w:rFonts w:hint="eastAsia"/>
                <w:color w:val="auto"/>
                <w:sz w:val="24"/>
                <w:highlight w:val="none"/>
              </w:rPr>
              <w:t>序</w:t>
            </w:r>
            <w:r>
              <w:rPr>
                <w:color w:val="auto"/>
                <w:sz w:val="24"/>
                <w:highlight w:val="none"/>
              </w:rPr>
              <w:t>号</w:t>
            </w:r>
          </w:p>
        </w:tc>
        <w:tc>
          <w:tcPr>
            <w:tcW w:w="3086" w:type="dxa"/>
            <w:noWrap/>
            <w:vAlign w:val="center"/>
          </w:tcPr>
          <w:p w14:paraId="7CA4BBDD">
            <w:pPr>
              <w:adjustRightInd w:val="0"/>
              <w:snapToGrid w:val="0"/>
              <w:spacing w:line="360" w:lineRule="auto"/>
              <w:jc w:val="center"/>
              <w:rPr>
                <w:rFonts w:ascii="宋体" w:hAnsi="宋体" w:cs="宋体"/>
                <w:b/>
                <w:bCs/>
                <w:color w:val="auto"/>
                <w:sz w:val="24"/>
                <w:highlight w:val="none"/>
              </w:rPr>
            </w:pPr>
            <w:r>
              <w:rPr>
                <w:rFonts w:hint="eastAsia"/>
                <w:color w:val="auto"/>
                <w:sz w:val="24"/>
                <w:highlight w:val="none"/>
              </w:rPr>
              <w:t>磋商文件要求</w:t>
            </w:r>
          </w:p>
        </w:tc>
        <w:tc>
          <w:tcPr>
            <w:tcW w:w="3086" w:type="dxa"/>
            <w:noWrap/>
            <w:vAlign w:val="center"/>
          </w:tcPr>
          <w:p w14:paraId="385404EE">
            <w:pPr>
              <w:widowControl/>
              <w:adjustRightInd w:val="0"/>
              <w:snapToGrid w:val="0"/>
              <w:jc w:val="center"/>
              <w:rPr>
                <w:rFonts w:ascii="宋体" w:hAnsi="宋体" w:cs="宋体"/>
                <w:b/>
                <w:bCs/>
                <w:color w:val="auto"/>
                <w:sz w:val="24"/>
                <w:highlight w:val="none"/>
              </w:rPr>
            </w:pPr>
            <w:r>
              <w:rPr>
                <w:rFonts w:hint="eastAsia"/>
                <w:color w:val="auto"/>
                <w:sz w:val="24"/>
                <w:highlight w:val="none"/>
              </w:rPr>
              <w:t>响应文件对应条款</w:t>
            </w:r>
          </w:p>
        </w:tc>
        <w:tc>
          <w:tcPr>
            <w:tcW w:w="2107" w:type="dxa"/>
            <w:noWrap/>
            <w:vAlign w:val="center"/>
          </w:tcPr>
          <w:p w14:paraId="6C690A53">
            <w:pPr>
              <w:adjustRightInd w:val="0"/>
              <w:snapToGrid w:val="0"/>
              <w:spacing w:line="360" w:lineRule="auto"/>
              <w:jc w:val="center"/>
              <w:rPr>
                <w:rFonts w:ascii="宋体" w:hAnsi="宋体" w:cs="宋体"/>
                <w:b/>
                <w:bCs/>
                <w:color w:val="auto"/>
                <w:sz w:val="24"/>
                <w:highlight w:val="none"/>
              </w:rPr>
            </w:pPr>
            <w:r>
              <w:rPr>
                <w:rFonts w:hint="eastAsia"/>
                <w:color w:val="auto"/>
                <w:sz w:val="24"/>
                <w:highlight w:val="none"/>
              </w:rPr>
              <w:t>备</w:t>
            </w:r>
            <w:r>
              <w:rPr>
                <w:color w:val="auto"/>
                <w:sz w:val="24"/>
                <w:highlight w:val="none"/>
              </w:rPr>
              <w:t>注</w:t>
            </w:r>
          </w:p>
        </w:tc>
      </w:tr>
      <w:tr w14:paraId="00331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noWrap/>
            <w:vAlign w:val="top"/>
          </w:tcPr>
          <w:p w14:paraId="772E45E5">
            <w:pPr>
              <w:adjustRightInd w:val="0"/>
              <w:spacing w:line="360" w:lineRule="auto"/>
              <w:ind w:firstLine="435" w:firstLineChars="0"/>
              <w:rPr>
                <w:rFonts w:ascii="宋体" w:hAnsi="宋体" w:cs="宋体"/>
                <w:color w:val="auto"/>
                <w:sz w:val="24"/>
                <w:highlight w:val="none"/>
              </w:rPr>
            </w:pPr>
            <w:r>
              <w:rPr>
                <w:color w:val="auto"/>
                <w:sz w:val="24"/>
                <w:highlight w:val="none"/>
              </w:rPr>
              <w:t>…</w:t>
            </w:r>
          </w:p>
        </w:tc>
        <w:tc>
          <w:tcPr>
            <w:tcW w:w="3086" w:type="dxa"/>
            <w:noWrap/>
            <w:vAlign w:val="center"/>
          </w:tcPr>
          <w:p w14:paraId="7AB80E35">
            <w:pPr>
              <w:adjustRightInd w:val="0"/>
              <w:spacing w:line="360" w:lineRule="auto"/>
              <w:jc w:val="center"/>
              <w:rPr>
                <w:rFonts w:ascii="宋体" w:hAnsi="宋体" w:cs="宋体"/>
                <w:color w:val="auto"/>
                <w:sz w:val="24"/>
                <w:highlight w:val="none"/>
              </w:rPr>
            </w:pPr>
            <w:r>
              <w:rPr>
                <w:rFonts w:hint="eastAsia"/>
                <w:color w:val="auto"/>
                <w:sz w:val="24"/>
                <w:highlight w:val="none"/>
              </w:rPr>
              <w:t xml:space="preserve">服务期 </w:t>
            </w:r>
          </w:p>
        </w:tc>
        <w:tc>
          <w:tcPr>
            <w:tcW w:w="3086" w:type="dxa"/>
            <w:noWrap/>
            <w:vAlign w:val="center"/>
          </w:tcPr>
          <w:p w14:paraId="1C536B9E">
            <w:pPr>
              <w:pStyle w:val="72"/>
              <w:spacing w:line="360" w:lineRule="auto"/>
              <w:rPr>
                <w:rFonts w:ascii="宋体" w:hAnsi="宋体" w:cs="宋体"/>
                <w:color w:val="auto"/>
                <w:sz w:val="24"/>
                <w:highlight w:val="none"/>
              </w:rPr>
            </w:pPr>
          </w:p>
        </w:tc>
        <w:tc>
          <w:tcPr>
            <w:tcW w:w="2107" w:type="dxa"/>
            <w:noWrap/>
            <w:vAlign w:val="top"/>
          </w:tcPr>
          <w:p w14:paraId="70A9AB64">
            <w:pPr>
              <w:adjustRightInd w:val="0"/>
              <w:spacing w:line="360" w:lineRule="auto"/>
              <w:rPr>
                <w:rFonts w:ascii="宋体" w:hAnsi="宋体" w:cs="宋体"/>
                <w:color w:val="auto"/>
                <w:sz w:val="24"/>
                <w:highlight w:val="none"/>
              </w:rPr>
            </w:pPr>
          </w:p>
        </w:tc>
      </w:tr>
      <w:tr w14:paraId="7CA4C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noWrap/>
            <w:vAlign w:val="top"/>
          </w:tcPr>
          <w:p w14:paraId="27ED2BC3">
            <w:pPr>
              <w:adjustRightInd w:val="0"/>
              <w:spacing w:line="360" w:lineRule="auto"/>
              <w:ind w:firstLine="435" w:firstLineChars="0"/>
              <w:rPr>
                <w:rFonts w:ascii="宋体" w:hAnsi="宋体" w:cs="宋体"/>
                <w:color w:val="auto"/>
                <w:sz w:val="24"/>
                <w:highlight w:val="none"/>
              </w:rPr>
            </w:pPr>
          </w:p>
        </w:tc>
        <w:tc>
          <w:tcPr>
            <w:tcW w:w="3086" w:type="dxa"/>
            <w:noWrap/>
            <w:vAlign w:val="center"/>
          </w:tcPr>
          <w:p w14:paraId="4BA42E9E">
            <w:pPr>
              <w:adjustRightInd w:val="0"/>
              <w:spacing w:line="360" w:lineRule="auto"/>
              <w:jc w:val="center"/>
              <w:rPr>
                <w:rFonts w:ascii="宋体" w:hAnsi="宋体" w:cs="宋体"/>
                <w:color w:val="auto"/>
                <w:sz w:val="24"/>
                <w:highlight w:val="none"/>
              </w:rPr>
            </w:pPr>
            <w:r>
              <w:rPr>
                <w:rFonts w:hint="eastAsia"/>
                <w:color w:val="auto"/>
                <w:sz w:val="24"/>
                <w:highlight w:val="none"/>
              </w:rPr>
              <w:t>付款条件</w:t>
            </w:r>
          </w:p>
        </w:tc>
        <w:tc>
          <w:tcPr>
            <w:tcW w:w="3086" w:type="dxa"/>
            <w:noWrap/>
            <w:vAlign w:val="center"/>
          </w:tcPr>
          <w:p w14:paraId="793C44C1">
            <w:pPr>
              <w:adjustRightInd w:val="0"/>
              <w:spacing w:line="360" w:lineRule="auto"/>
              <w:jc w:val="center"/>
              <w:rPr>
                <w:rFonts w:ascii="宋体" w:hAnsi="宋体" w:cs="宋体"/>
                <w:color w:val="auto"/>
                <w:sz w:val="24"/>
                <w:highlight w:val="none"/>
              </w:rPr>
            </w:pPr>
          </w:p>
        </w:tc>
        <w:tc>
          <w:tcPr>
            <w:tcW w:w="2107" w:type="dxa"/>
            <w:noWrap/>
            <w:vAlign w:val="top"/>
          </w:tcPr>
          <w:p w14:paraId="6F572AA4">
            <w:pPr>
              <w:adjustRightInd w:val="0"/>
              <w:spacing w:line="360" w:lineRule="auto"/>
              <w:rPr>
                <w:rFonts w:ascii="宋体" w:hAnsi="宋体" w:cs="宋体"/>
                <w:color w:val="auto"/>
                <w:sz w:val="24"/>
                <w:highlight w:val="none"/>
              </w:rPr>
            </w:pPr>
          </w:p>
        </w:tc>
      </w:tr>
      <w:tr w14:paraId="30243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noWrap/>
          </w:tcPr>
          <w:p w14:paraId="55E68CC8">
            <w:pPr>
              <w:spacing w:before="159" w:beforeLines="50" w:after="159" w:afterLines="50" w:line="276" w:lineRule="auto"/>
              <w:ind w:firstLine="480"/>
              <w:rPr>
                <w:rFonts w:ascii="宋体" w:hAnsi="宋体" w:cs="宋体"/>
                <w:color w:val="auto"/>
                <w:sz w:val="24"/>
                <w:highlight w:val="none"/>
              </w:rPr>
            </w:pPr>
          </w:p>
        </w:tc>
        <w:tc>
          <w:tcPr>
            <w:tcW w:w="3086" w:type="dxa"/>
            <w:noWrap/>
          </w:tcPr>
          <w:p w14:paraId="35A47B76">
            <w:pPr>
              <w:spacing w:before="159" w:beforeLines="50" w:after="159" w:afterLines="50" w:line="276" w:lineRule="auto"/>
              <w:ind w:firstLine="480"/>
              <w:rPr>
                <w:rFonts w:ascii="宋体" w:hAnsi="宋体" w:cs="宋体"/>
                <w:color w:val="auto"/>
                <w:sz w:val="24"/>
                <w:highlight w:val="none"/>
              </w:rPr>
            </w:pPr>
          </w:p>
        </w:tc>
        <w:tc>
          <w:tcPr>
            <w:tcW w:w="3086" w:type="dxa"/>
            <w:noWrap/>
          </w:tcPr>
          <w:p w14:paraId="644FF77D">
            <w:pPr>
              <w:spacing w:before="159" w:beforeLines="50" w:after="159" w:afterLines="50" w:line="276" w:lineRule="auto"/>
              <w:ind w:firstLine="480"/>
              <w:rPr>
                <w:rFonts w:ascii="宋体" w:hAnsi="宋体" w:cs="宋体"/>
                <w:color w:val="auto"/>
                <w:sz w:val="24"/>
                <w:highlight w:val="none"/>
              </w:rPr>
            </w:pPr>
          </w:p>
        </w:tc>
        <w:tc>
          <w:tcPr>
            <w:tcW w:w="2107" w:type="dxa"/>
            <w:noWrap/>
          </w:tcPr>
          <w:p w14:paraId="3C002A30">
            <w:pPr>
              <w:spacing w:before="159" w:beforeLines="50" w:after="159" w:afterLines="50" w:line="276" w:lineRule="auto"/>
              <w:ind w:firstLine="480"/>
              <w:rPr>
                <w:rFonts w:ascii="宋体" w:hAnsi="宋体" w:cs="宋体"/>
                <w:color w:val="auto"/>
                <w:sz w:val="24"/>
                <w:highlight w:val="none"/>
              </w:rPr>
            </w:pPr>
          </w:p>
        </w:tc>
      </w:tr>
      <w:tr w14:paraId="5631A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noWrap/>
            <w:vAlign w:val="center"/>
          </w:tcPr>
          <w:p w14:paraId="73185546">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noWrap/>
            <w:vAlign w:val="center"/>
          </w:tcPr>
          <w:p w14:paraId="6C43162C">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noWrap/>
            <w:vAlign w:val="center"/>
          </w:tcPr>
          <w:p w14:paraId="1E33E309">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noWrap/>
            <w:vAlign w:val="center"/>
          </w:tcPr>
          <w:p w14:paraId="288BB208">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r>
    </w:tbl>
    <w:p w14:paraId="30A18256">
      <w:pPr>
        <w:spacing w:line="360" w:lineRule="atLeast"/>
        <w:rPr>
          <w:rFonts w:ascii="宋体" w:hAnsi="宋体" w:cs="宋体"/>
          <w:color w:val="auto"/>
          <w:sz w:val="24"/>
          <w:highlight w:val="none"/>
        </w:rPr>
      </w:pPr>
      <w:r>
        <w:rPr>
          <w:rFonts w:hint="eastAsia" w:ascii="宋体" w:hAnsi="宋体" w:cs="宋体"/>
          <w:b/>
          <w:color w:val="auto"/>
          <w:sz w:val="24"/>
          <w:highlight w:val="none"/>
        </w:rPr>
        <w:t>注：供应商的响应文件（除技术规格部分）与采购文件之规定存在偏离的，应在此表中如实说明。未在上表中说明的，将被认为完全响应采购文件的规定。</w:t>
      </w:r>
    </w:p>
    <w:p w14:paraId="4B893120">
      <w:pPr>
        <w:spacing w:line="360" w:lineRule="atLeast"/>
        <w:rPr>
          <w:rFonts w:ascii="宋体" w:hAnsi="宋体" w:cs="宋体"/>
          <w:color w:val="auto"/>
          <w:sz w:val="24"/>
          <w:highlight w:val="none"/>
        </w:rPr>
      </w:pPr>
    </w:p>
    <w:p w14:paraId="63DB0817">
      <w:pPr>
        <w:spacing w:line="360" w:lineRule="atLeast"/>
        <w:ind w:firstLine="4320" w:firstLineChars="1800"/>
        <w:rPr>
          <w:rFonts w:ascii="宋体" w:hAnsi="宋体" w:cs="宋体"/>
          <w:color w:val="auto"/>
          <w:sz w:val="24"/>
          <w:highlight w:val="none"/>
        </w:rPr>
      </w:pPr>
      <w:r>
        <w:rPr>
          <w:rFonts w:hint="eastAsia" w:ascii="宋体" w:hAnsi="宋体" w:cs="宋体"/>
          <w:color w:val="auto"/>
          <w:sz w:val="24"/>
          <w:highlight w:val="none"/>
        </w:rPr>
        <w:t>磋商供应商(盖章)：</w:t>
      </w:r>
    </w:p>
    <w:p w14:paraId="0E833ADD">
      <w:pPr>
        <w:spacing w:line="360" w:lineRule="atLeast"/>
        <w:ind w:firstLine="4320" w:firstLineChars="1800"/>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14:paraId="676CE019">
      <w:pPr>
        <w:pStyle w:val="12"/>
        <w:rPr>
          <w:rFonts w:hint="default" w:eastAsiaTheme="minorEastAsia"/>
          <w:color w:val="auto"/>
          <w:highlight w:val="none"/>
          <w:lang w:val="en-US" w:eastAsia="zh-CN"/>
        </w:rPr>
      </w:pPr>
      <w:r>
        <w:rPr>
          <w:rFonts w:hint="eastAsia" w:cs="宋体"/>
          <w:color w:val="auto"/>
          <w:highlight w:val="none"/>
        </w:rPr>
        <w:t xml:space="preserve">            </w:t>
      </w:r>
      <w:r>
        <w:rPr>
          <w:rFonts w:hint="eastAsia" w:cs="宋体"/>
          <w:color w:val="auto"/>
          <w:highlight w:val="none"/>
          <w:lang w:val="en-US" w:eastAsia="zh-CN"/>
        </w:rPr>
        <w:t xml:space="preserve">                    </w:t>
      </w:r>
      <w:r>
        <w:rPr>
          <w:rFonts w:hint="eastAsia" w:cs="宋体"/>
          <w:color w:val="auto"/>
          <w:highlight w:val="none"/>
        </w:rPr>
        <w:t xml:space="preserve">日期：   </w:t>
      </w:r>
      <w:r>
        <w:rPr>
          <w:rFonts w:hint="eastAsia" w:cs="宋体"/>
          <w:color w:val="auto"/>
          <w:highlight w:val="none"/>
          <w:lang w:val="en-US" w:eastAsia="zh-CN"/>
        </w:rPr>
        <w:t>年   月  日</w:t>
      </w:r>
    </w:p>
    <w:p w14:paraId="3A37AB66">
      <w:pPr>
        <w:pStyle w:val="12"/>
        <w:rPr>
          <w:color w:val="auto"/>
          <w:highlight w:val="none"/>
        </w:rPr>
      </w:pPr>
    </w:p>
    <w:p w14:paraId="43875A2F">
      <w:pPr>
        <w:pStyle w:val="12"/>
        <w:rPr>
          <w:color w:val="auto"/>
          <w:highlight w:val="none"/>
        </w:rPr>
      </w:pPr>
    </w:p>
    <w:p w14:paraId="7440F50A">
      <w:pPr>
        <w:rPr>
          <w:rFonts w:ascii="宋体" w:hAnsi="宋体"/>
          <w:b/>
          <w:color w:val="auto"/>
          <w:highlight w:val="none"/>
        </w:rPr>
      </w:pPr>
      <w:r>
        <w:rPr>
          <w:rFonts w:hint="eastAsia" w:ascii="宋体" w:hAnsi="宋体"/>
          <w:b/>
          <w:color w:val="auto"/>
          <w:highlight w:val="none"/>
        </w:rPr>
        <w:br w:type="page"/>
      </w:r>
    </w:p>
    <w:p w14:paraId="3B29CA25">
      <w:pPr>
        <w:bidi w:val="0"/>
        <w:rPr>
          <w:rFonts w:ascii="宋体" w:hAnsi="宋体" w:eastAsia="宋体" w:cs="宋体"/>
          <w:b w:val="0"/>
          <w:bCs/>
          <w:color w:val="auto"/>
          <w:szCs w:val="21"/>
          <w:highlight w:val="none"/>
        </w:rPr>
      </w:pPr>
      <w:r>
        <w:rPr>
          <w:rFonts w:hint="eastAsia"/>
          <w:color w:val="auto"/>
          <w:sz w:val="28"/>
          <w:szCs w:val="36"/>
          <w:highlight w:val="none"/>
        </w:rPr>
        <w:t>（</w:t>
      </w:r>
      <w:r>
        <w:rPr>
          <w:rFonts w:hint="eastAsia"/>
          <w:color w:val="auto"/>
          <w:sz w:val="28"/>
          <w:szCs w:val="36"/>
          <w:highlight w:val="none"/>
          <w:lang w:val="en-US" w:eastAsia="zh-CN"/>
        </w:rPr>
        <w:t>5</w:t>
      </w:r>
      <w:r>
        <w:rPr>
          <w:rFonts w:hint="eastAsia"/>
          <w:color w:val="auto"/>
          <w:sz w:val="28"/>
          <w:szCs w:val="36"/>
          <w:highlight w:val="none"/>
        </w:rPr>
        <w:t>）供应商基本情况表</w:t>
      </w:r>
    </w:p>
    <w:p w14:paraId="2B988869">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供应商基本情况表</w:t>
      </w:r>
    </w:p>
    <w:tbl>
      <w:tblPr>
        <w:tblStyle w:val="27"/>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750"/>
        <w:gridCol w:w="869"/>
        <w:gridCol w:w="1154"/>
        <w:gridCol w:w="742"/>
      </w:tblGrid>
      <w:tr w14:paraId="477CE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261CD8D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14:paraId="08EB266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5EA6011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单位地址 </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71191F4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01AE0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709258C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14:paraId="40AB475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677DF0E8">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联系人</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3E6BCF3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A3C7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6E141FD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14:paraId="7700D21B">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3F37738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注册资金(万元) </w:t>
            </w:r>
          </w:p>
        </w:tc>
        <w:tc>
          <w:tcPr>
            <w:tcW w:w="750" w:type="dxa"/>
            <w:tcBorders>
              <w:top w:val="single" w:color="auto" w:sz="4" w:space="0"/>
              <w:left w:val="single" w:color="auto" w:sz="4" w:space="0"/>
              <w:bottom w:val="single" w:color="auto" w:sz="4" w:space="0"/>
              <w:right w:val="single" w:color="auto" w:sz="4" w:space="0"/>
            </w:tcBorders>
            <w:vAlign w:val="center"/>
          </w:tcPr>
          <w:p w14:paraId="775E630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2023" w:type="dxa"/>
            <w:gridSpan w:val="2"/>
            <w:tcBorders>
              <w:top w:val="single" w:color="auto" w:sz="4" w:space="0"/>
              <w:left w:val="single" w:color="auto" w:sz="4" w:space="0"/>
              <w:bottom w:val="single" w:color="auto" w:sz="4" w:space="0"/>
              <w:right w:val="single" w:color="auto" w:sz="4" w:space="0"/>
            </w:tcBorders>
            <w:vAlign w:val="center"/>
          </w:tcPr>
          <w:p w14:paraId="1BF325E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14:paraId="0958545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4B94E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14F716B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14:paraId="021DE83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53B6A40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技术负责人 </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47949FC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6BF7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14:paraId="140772C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证书情况 </w:t>
            </w:r>
          </w:p>
        </w:tc>
        <w:tc>
          <w:tcPr>
            <w:tcW w:w="1693" w:type="dxa"/>
            <w:tcBorders>
              <w:top w:val="single" w:color="auto" w:sz="4" w:space="0"/>
              <w:left w:val="single" w:color="auto" w:sz="4" w:space="0"/>
              <w:bottom w:val="single" w:color="auto" w:sz="4" w:space="0"/>
              <w:right w:val="single" w:color="auto" w:sz="4" w:space="0"/>
            </w:tcBorders>
            <w:vAlign w:val="center"/>
          </w:tcPr>
          <w:p w14:paraId="4F6A325A">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证书名称 </w:t>
            </w:r>
          </w:p>
        </w:tc>
        <w:tc>
          <w:tcPr>
            <w:tcW w:w="1948" w:type="dxa"/>
            <w:tcBorders>
              <w:top w:val="single" w:color="auto" w:sz="4" w:space="0"/>
              <w:left w:val="single" w:color="auto" w:sz="4" w:space="0"/>
              <w:bottom w:val="single" w:color="auto" w:sz="4" w:space="0"/>
              <w:right w:val="single" w:color="auto" w:sz="4" w:space="0"/>
            </w:tcBorders>
            <w:vAlign w:val="center"/>
          </w:tcPr>
          <w:p w14:paraId="3B2E551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218753D2">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颁发时间</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14BF316">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资质等级（如有）</w:t>
            </w:r>
          </w:p>
        </w:tc>
      </w:tr>
      <w:tr w14:paraId="7CF0B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208E4B6A">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672F03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4AA6225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43A1630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78AB95B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1ED71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5C8B15B4">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46EFEC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4DE8FD1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6409F4C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5FC9DA2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29781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3"/>
            <w:tcBorders>
              <w:top w:val="single" w:color="auto" w:sz="4" w:space="0"/>
              <w:left w:val="single" w:color="auto" w:sz="4" w:space="0"/>
              <w:bottom w:val="single" w:color="auto" w:sz="4" w:space="0"/>
              <w:right w:val="single" w:color="auto" w:sz="4" w:space="0"/>
            </w:tcBorders>
            <w:vAlign w:val="center"/>
          </w:tcPr>
          <w:p w14:paraId="158C3AA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供应商近三年有无不良记录或因招投标违规涉及司法诉讼情况 </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46BFB40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有（   ），无（   ） </w:t>
            </w:r>
          </w:p>
        </w:tc>
      </w:tr>
      <w:tr w14:paraId="00D0C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4" w:hRule="atLeast"/>
          <w:jc w:val="center"/>
        </w:trPr>
        <w:tc>
          <w:tcPr>
            <w:tcW w:w="1709" w:type="dxa"/>
            <w:tcBorders>
              <w:top w:val="single" w:color="auto" w:sz="4" w:space="0"/>
              <w:left w:val="single" w:color="auto" w:sz="4" w:space="0"/>
              <w:right w:val="single" w:color="auto" w:sz="4" w:space="0"/>
            </w:tcBorders>
            <w:vAlign w:val="center"/>
          </w:tcPr>
          <w:p w14:paraId="79E2D752">
            <w:pPr>
              <w:widowControl/>
              <w:adjustRightInd w:val="0"/>
              <w:snapToGrid w:val="0"/>
              <w:spacing w:before="100" w:beforeAutospacing="1" w:after="100" w:afterAutospacing="1"/>
              <w:rPr>
                <w:rFonts w:ascii="宋体" w:hAnsi="宋体" w:cs="宋体"/>
                <w:color w:val="auto"/>
                <w:sz w:val="24"/>
                <w:highlight w:val="none"/>
              </w:rPr>
            </w:pPr>
            <w:r>
              <w:rPr>
                <w:rFonts w:hint="eastAsia" w:ascii="宋体" w:hAnsi="宋体"/>
                <w:color w:val="auto"/>
                <w:sz w:val="22"/>
                <w:highlight w:val="none"/>
              </w:rPr>
              <w:t>供应商基本情况说明</w:t>
            </w:r>
          </w:p>
          <w:p w14:paraId="2FD7FB6C">
            <w:pPr>
              <w:adjustRightInd w:val="0"/>
              <w:snapToGrid w:val="0"/>
              <w:spacing w:before="100" w:beforeAutospacing="1" w:after="100" w:afterAutospacing="1"/>
              <w:jc w:val="center"/>
              <w:rPr>
                <w:rFonts w:ascii="宋体" w:hAnsi="宋体" w:cs="宋体"/>
                <w:color w:val="auto"/>
                <w:sz w:val="24"/>
                <w:highlight w:val="none"/>
              </w:rPr>
            </w:pPr>
          </w:p>
        </w:tc>
        <w:tc>
          <w:tcPr>
            <w:tcW w:w="7156" w:type="dxa"/>
            <w:gridSpan w:val="6"/>
            <w:tcBorders>
              <w:top w:val="single" w:color="auto" w:sz="4" w:space="0"/>
              <w:left w:val="single" w:color="auto" w:sz="4" w:space="0"/>
              <w:right w:val="single" w:color="auto" w:sz="4" w:space="0"/>
            </w:tcBorders>
            <w:vAlign w:val="center"/>
          </w:tcPr>
          <w:p w14:paraId="0C538C6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53203900">
            <w:pPr>
              <w:widowControl/>
              <w:adjustRightInd w:val="0"/>
              <w:snapToGrid w:val="0"/>
              <w:spacing w:before="100" w:beforeAutospacing="1" w:after="100" w:afterAutospacing="1"/>
              <w:jc w:val="center"/>
              <w:rPr>
                <w:rFonts w:ascii="宋体" w:hAnsi="宋体" w:cs="宋体"/>
                <w:color w:val="auto"/>
                <w:sz w:val="24"/>
                <w:highlight w:val="none"/>
              </w:rPr>
            </w:pPr>
          </w:p>
          <w:p w14:paraId="3B018E6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0945F68F">
            <w:pPr>
              <w:widowControl/>
              <w:adjustRightInd w:val="0"/>
              <w:snapToGrid w:val="0"/>
              <w:spacing w:before="100" w:beforeAutospacing="1" w:after="100" w:afterAutospacing="1"/>
              <w:jc w:val="center"/>
              <w:rPr>
                <w:rFonts w:ascii="宋体" w:hAnsi="宋体"/>
                <w:color w:val="auto"/>
                <w:sz w:val="22"/>
                <w:highlight w:val="none"/>
              </w:rPr>
            </w:pPr>
            <w:r>
              <w:rPr>
                <w:rFonts w:hint="eastAsia" w:ascii="宋体" w:hAnsi="宋体"/>
                <w:color w:val="auto"/>
                <w:sz w:val="22"/>
                <w:highlight w:val="none"/>
              </w:rPr>
              <w:t xml:space="preserve">可另附页说明  </w:t>
            </w:r>
          </w:p>
          <w:p w14:paraId="13B69928">
            <w:pPr>
              <w:widowControl/>
              <w:adjustRightInd w:val="0"/>
              <w:snapToGrid w:val="0"/>
              <w:spacing w:before="100" w:beforeAutospacing="1" w:after="100" w:afterAutospacing="1"/>
              <w:jc w:val="center"/>
              <w:rPr>
                <w:rFonts w:ascii="宋体" w:hAnsi="宋体"/>
                <w:color w:val="auto"/>
                <w:sz w:val="22"/>
                <w:highlight w:val="none"/>
              </w:rPr>
            </w:pPr>
          </w:p>
          <w:p w14:paraId="40FBA115">
            <w:pPr>
              <w:widowControl/>
              <w:adjustRightInd w:val="0"/>
              <w:snapToGrid w:val="0"/>
              <w:spacing w:before="100" w:beforeAutospacing="1" w:after="100" w:afterAutospacing="1"/>
              <w:jc w:val="center"/>
              <w:rPr>
                <w:rFonts w:ascii="宋体" w:hAnsi="宋体"/>
                <w:color w:val="auto"/>
                <w:sz w:val="22"/>
                <w:highlight w:val="none"/>
              </w:rPr>
            </w:pPr>
          </w:p>
          <w:p w14:paraId="0C79BCEF">
            <w:pPr>
              <w:widowControl/>
              <w:adjustRightInd w:val="0"/>
              <w:snapToGrid w:val="0"/>
              <w:spacing w:before="100" w:beforeAutospacing="1" w:after="100" w:afterAutospacing="1"/>
              <w:jc w:val="center"/>
              <w:rPr>
                <w:rFonts w:ascii="宋体" w:hAnsi="宋体"/>
                <w:color w:val="auto"/>
                <w:sz w:val="22"/>
                <w:highlight w:val="none"/>
              </w:rPr>
            </w:pPr>
          </w:p>
          <w:p w14:paraId="4768E188">
            <w:pPr>
              <w:widowControl/>
              <w:adjustRightInd w:val="0"/>
              <w:snapToGrid w:val="0"/>
              <w:spacing w:before="100" w:beforeAutospacing="1" w:after="100" w:afterAutospacing="1"/>
              <w:jc w:val="center"/>
              <w:rPr>
                <w:rFonts w:ascii="宋体" w:hAnsi="宋体" w:cs="宋体"/>
                <w:color w:val="auto"/>
                <w:sz w:val="24"/>
                <w:highlight w:val="none"/>
              </w:rPr>
            </w:pPr>
          </w:p>
          <w:p w14:paraId="630D1DB8">
            <w:pPr>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5A0C8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63D8863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其他有竞争力 </w:t>
            </w:r>
          </w:p>
          <w:p w14:paraId="46E90ECA">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的说明 </w:t>
            </w:r>
          </w:p>
        </w:tc>
        <w:tc>
          <w:tcPr>
            <w:tcW w:w="7156" w:type="dxa"/>
            <w:gridSpan w:val="6"/>
            <w:tcBorders>
              <w:top w:val="single" w:color="auto" w:sz="4" w:space="0"/>
              <w:left w:val="single" w:color="auto" w:sz="4" w:space="0"/>
              <w:bottom w:val="single" w:color="auto" w:sz="4" w:space="0"/>
              <w:right w:val="single" w:color="auto" w:sz="4" w:space="0"/>
            </w:tcBorders>
            <w:vAlign w:val="center"/>
          </w:tcPr>
          <w:p w14:paraId="5B3701D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05A3E0B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653B412B">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bl>
    <w:p w14:paraId="18BAF31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Cs/>
          <w:color w:val="auto"/>
          <w:sz w:val="22"/>
          <w:szCs w:val="22"/>
          <w:highlight w:val="none"/>
        </w:rPr>
        <w:t>在填写时，如本表格不适合投标人的实际情况，可根据本表格格式自行划表填写。</w:t>
      </w:r>
    </w:p>
    <w:p w14:paraId="33078B94">
      <w:pPr>
        <w:rPr>
          <w:rFonts w:hint="eastAsia"/>
          <w:color w:val="auto"/>
          <w:sz w:val="32"/>
          <w:szCs w:val="40"/>
          <w:highlight w:val="none"/>
        </w:rPr>
      </w:pPr>
      <w:r>
        <w:rPr>
          <w:rFonts w:hint="eastAsia"/>
          <w:color w:val="auto"/>
          <w:sz w:val="32"/>
          <w:szCs w:val="40"/>
          <w:highlight w:val="none"/>
        </w:rPr>
        <w:br w:type="page"/>
      </w:r>
    </w:p>
    <w:p w14:paraId="31B4ED73">
      <w:pPr>
        <w:bidi w:val="0"/>
        <w:rPr>
          <w:rFonts w:ascii="宋体" w:hAnsi="宋体" w:eastAsia="宋体" w:cs="宋体"/>
          <w:b w:val="0"/>
          <w:bCs/>
          <w:color w:val="auto"/>
          <w:szCs w:val="21"/>
          <w:highlight w:val="none"/>
        </w:rPr>
      </w:pPr>
      <w:r>
        <w:rPr>
          <w:rFonts w:hint="eastAsia"/>
          <w:color w:val="auto"/>
          <w:sz w:val="32"/>
          <w:szCs w:val="40"/>
          <w:highlight w:val="none"/>
        </w:rPr>
        <w:t>（</w:t>
      </w:r>
      <w:r>
        <w:rPr>
          <w:rFonts w:hint="eastAsia"/>
          <w:color w:val="auto"/>
          <w:sz w:val="32"/>
          <w:szCs w:val="40"/>
          <w:highlight w:val="none"/>
          <w:lang w:val="en-US" w:eastAsia="zh-CN"/>
        </w:rPr>
        <w:t>6</w:t>
      </w:r>
      <w:r>
        <w:rPr>
          <w:rFonts w:hint="eastAsia"/>
          <w:color w:val="auto"/>
          <w:sz w:val="32"/>
          <w:szCs w:val="40"/>
          <w:highlight w:val="none"/>
        </w:rPr>
        <w:t>）</w:t>
      </w:r>
      <w:r>
        <w:rPr>
          <w:rFonts w:hint="eastAsia"/>
          <w:color w:val="auto"/>
          <w:sz w:val="32"/>
          <w:szCs w:val="40"/>
          <w:highlight w:val="none"/>
          <w:lang w:val="en-US" w:eastAsia="zh-CN"/>
        </w:rPr>
        <w:t>人员</w:t>
      </w:r>
      <w:r>
        <w:rPr>
          <w:rFonts w:hint="eastAsia"/>
          <w:color w:val="auto"/>
          <w:sz w:val="32"/>
          <w:szCs w:val="40"/>
          <w:highlight w:val="none"/>
        </w:rPr>
        <w:t>备情况表</w:t>
      </w:r>
    </w:p>
    <w:p w14:paraId="152B0482">
      <w:pPr>
        <w:rPr>
          <w:color w:val="auto"/>
          <w:highlight w:val="none"/>
        </w:rPr>
      </w:pPr>
    </w:p>
    <w:p w14:paraId="410DFA94">
      <w:pPr>
        <w:adjustRightIn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人员</w:t>
      </w:r>
      <w:r>
        <w:rPr>
          <w:rFonts w:hint="eastAsia" w:ascii="宋体" w:hAnsi="宋体" w:cs="宋体"/>
          <w:b/>
          <w:color w:val="auto"/>
          <w:sz w:val="30"/>
          <w:szCs w:val="30"/>
          <w:highlight w:val="none"/>
        </w:rPr>
        <w:t>配备情况表</w:t>
      </w:r>
    </w:p>
    <w:tbl>
      <w:tblPr>
        <w:tblStyle w:val="27"/>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14:paraId="3414B043">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ign w:val="center"/>
          </w:tcPr>
          <w:p w14:paraId="2A21A627">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ign w:val="center"/>
          </w:tcPr>
          <w:p w14:paraId="68534705">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ign w:val="center"/>
          </w:tcPr>
          <w:p w14:paraId="46A9A3DC">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ign w:val="center"/>
          </w:tcPr>
          <w:p w14:paraId="3AE98C4A">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ign w:val="center"/>
          </w:tcPr>
          <w:p w14:paraId="1F0CA7D8">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ign w:val="center"/>
          </w:tcPr>
          <w:p w14:paraId="03C8D0BD">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ign w:val="center"/>
          </w:tcPr>
          <w:p w14:paraId="75F93650">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ign w:val="center"/>
          </w:tcPr>
          <w:p w14:paraId="7D5A3F99">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ign w:val="center"/>
          </w:tcPr>
          <w:p w14:paraId="5F1CF9FE">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备注</w:t>
            </w:r>
          </w:p>
        </w:tc>
      </w:tr>
      <w:tr w14:paraId="0F0BEEBE">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ign w:val="center"/>
          </w:tcPr>
          <w:p w14:paraId="270DC9D8">
            <w:pPr>
              <w:autoSpaceDE w:val="0"/>
              <w:autoSpaceDN w:val="0"/>
              <w:adjustRightInd w:val="0"/>
              <w:rPr>
                <w:rFonts w:ascii="宋体" w:hAnsi="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tcPr>
          <w:p w14:paraId="09A5B195">
            <w:pPr>
              <w:autoSpaceDE w:val="0"/>
              <w:autoSpaceDN w:val="0"/>
              <w:adjustRightInd w:val="0"/>
              <w:rPr>
                <w:rFonts w:ascii="宋体" w:hAnsi="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ign w:val="center"/>
          </w:tcPr>
          <w:p w14:paraId="2BC29FE8">
            <w:pPr>
              <w:autoSpaceDE w:val="0"/>
              <w:autoSpaceDN w:val="0"/>
              <w:adjustRightInd w:val="0"/>
              <w:rPr>
                <w:rFonts w:ascii="宋体" w:hAnsi="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ign w:val="center"/>
          </w:tcPr>
          <w:p w14:paraId="368FD041">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3C1DDA2A">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505F82E9">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01CC34B7">
            <w:pPr>
              <w:autoSpaceDE w:val="0"/>
              <w:autoSpaceDN w:val="0"/>
              <w:adjustRightInd w:val="0"/>
              <w:rPr>
                <w:rFonts w:ascii="宋体" w:hAnsi="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ign w:val="center"/>
          </w:tcPr>
          <w:p w14:paraId="571CA29B">
            <w:pPr>
              <w:autoSpaceDE w:val="0"/>
              <w:autoSpaceDN w:val="0"/>
              <w:adjustRightInd w:val="0"/>
              <w:ind w:left="5250"/>
              <w:rPr>
                <w:rFonts w:ascii="宋体" w:hAnsi="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ign w:val="center"/>
          </w:tcPr>
          <w:p w14:paraId="5191C65F">
            <w:pPr>
              <w:autoSpaceDE w:val="0"/>
              <w:autoSpaceDN w:val="0"/>
              <w:adjustRightInd w:val="0"/>
              <w:rPr>
                <w:rFonts w:ascii="宋体" w:hAnsi="宋体" w:cs="宋体"/>
                <w:color w:val="auto"/>
                <w:szCs w:val="21"/>
                <w:highlight w:val="none"/>
              </w:rPr>
            </w:pPr>
          </w:p>
        </w:tc>
      </w:tr>
      <w:tr w14:paraId="06894F3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BBD82C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6607ADE2">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03A7568D">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6C828CC2">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BEF2D5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A21A6A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C12926B">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40D7447">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FE7278B">
            <w:pPr>
              <w:autoSpaceDE w:val="0"/>
              <w:autoSpaceDN w:val="0"/>
              <w:adjustRightInd w:val="0"/>
              <w:ind w:left="5250"/>
              <w:rPr>
                <w:rFonts w:ascii="宋体" w:hAnsi="宋体" w:cs="宋体"/>
                <w:color w:val="auto"/>
                <w:szCs w:val="21"/>
                <w:highlight w:val="none"/>
              </w:rPr>
            </w:pPr>
          </w:p>
        </w:tc>
      </w:tr>
      <w:tr w14:paraId="189AA98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0653083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0722A86">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0EA84334">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11EEB965">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50AFE35">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CFF07A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0EA445B">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2B42B7B5">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40C5FEB9">
            <w:pPr>
              <w:autoSpaceDE w:val="0"/>
              <w:autoSpaceDN w:val="0"/>
              <w:adjustRightInd w:val="0"/>
              <w:rPr>
                <w:rFonts w:ascii="宋体" w:hAnsi="宋体" w:cs="宋体"/>
                <w:color w:val="auto"/>
                <w:szCs w:val="21"/>
                <w:highlight w:val="none"/>
              </w:rPr>
            </w:pPr>
          </w:p>
        </w:tc>
      </w:tr>
      <w:tr w14:paraId="11E4A3E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492EC3B6">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5EC322AC">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57E60C2E">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0A404486">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0AC7EE9">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B4CB2B5">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B9792FE">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0BEC8E8">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5B11887B">
            <w:pPr>
              <w:autoSpaceDE w:val="0"/>
              <w:autoSpaceDN w:val="0"/>
              <w:adjustRightInd w:val="0"/>
              <w:rPr>
                <w:rFonts w:ascii="宋体" w:hAnsi="宋体" w:cs="宋体"/>
                <w:color w:val="auto"/>
                <w:szCs w:val="21"/>
                <w:highlight w:val="none"/>
              </w:rPr>
            </w:pPr>
          </w:p>
        </w:tc>
      </w:tr>
      <w:tr w14:paraId="535AD42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727C38F4">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051A8332">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1DAB3255">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3D4848E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FF715B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001E66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6E2DC0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45470A0E">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1E329F6B">
            <w:pPr>
              <w:autoSpaceDE w:val="0"/>
              <w:autoSpaceDN w:val="0"/>
              <w:adjustRightInd w:val="0"/>
              <w:rPr>
                <w:rFonts w:ascii="宋体" w:hAnsi="宋体" w:cs="宋体"/>
                <w:color w:val="auto"/>
                <w:szCs w:val="21"/>
                <w:highlight w:val="none"/>
              </w:rPr>
            </w:pPr>
          </w:p>
        </w:tc>
      </w:tr>
      <w:tr w14:paraId="16CF7267">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0229FD92">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6F96A7F">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39092D92">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3698A196">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85A37C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612031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44A4D88">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2B9635C">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F596B9E">
            <w:pPr>
              <w:autoSpaceDE w:val="0"/>
              <w:autoSpaceDN w:val="0"/>
              <w:adjustRightInd w:val="0"/>
              <w:rPr>
                <w:rFonts w:ascii="宋体" w:hAnsi="宋体" w:cs="宋体"/>
                <w:color w:val="auto"/>
                <w:szCs w:val="21"/>
                <w:highlight w:val="none"/>
              </w:rPr>
            </w:pPr>
          </w:p>
        </w:tc>
      </w:tr>
      <w:tr w14:paraId="00337FBF">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35A73520">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2AF6D10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34BAB84">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036AA6A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6A669C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77470C7">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A92681F">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4100B32C">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5317C524">
            <w:pPr>
              <w:autoSpaceDE w:val="0"/>
              <w:autoSpaceDN w:val="0"/>
              <w:adjustRightInd w:val="0"/>
              <w:rPr>
                <w:rFonts w:ascii="宋体" w:hAnsi="宋体" w:cs="宋体"/>
                <w:color w:val="auto"/>
                <w:szCs w:val="21"/>
                <w:highlight w:val="none"/>
              </w:rPr>
            </w:pPr>
          </w:p>
        </w:tc>
      </w:tr>
      <w:tr w14:paraId="7FB0301C">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64007D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1BEF1B44">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59607F53">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68ED16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A412CC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978C5E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1AED24C">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42019326">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411A2CF">
            <w:pPr>
              <w:autoSpaceDE w:val="0"/>
              <w:autoSpaceDN w:val="0"/>
              <w:adjustRightInd w:val="0"/>
              <w:rPr>
                <w:rFonts w:ascii="宋体" w:hAnsi="宋体" w:cs="宋体"/>
                <w:color w:val="auto"/>
                <w:szCs w:val="21"/>
                <w:highlight w:val="none"/>
              </w:rPr>
            </w:pPr>
          </w:p>
        </w:tc>
      </w:tr>
      <w:tr w14:paraId="25D6C1C7">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0D346CAD">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5A2B00C4">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5AC79A48">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1B5F0EC2">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51E715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636A07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D519BE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27814CE7">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DD29E32">
            <w:pPr>
              <w:autoSpaceDE w:val="0"/>
              <w:autoSpaceDN w:val="0"/>
              <w:adjustRightInd w:val="0"/>
              <w:rPr>
                <w:rFonts w:ascii="宋体" w:hAnsi="宋体" w:cs="宋体"/>
                <w:color w:val="auto"/>
                <w:szCs w:val="21"/>
                <w:highlight w:val="none"/>
              </w:rPr>
            </w:pPr>
          </w:p>
        </w:tc>
      </w:tr>
      <w:tr w14:paraId="2D02B8BF">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887BF19">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12731110">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47B8FCCD">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265FEED2">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B1D3B17">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3C06012">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E628309">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49CFCA6">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23E9BEAF">
            <w:pPr>
              <w:autoSpaceDE w:val="0"/>
              <w:autoSpaceDN w:val="0"/>
              <w:adjustRightInd w:val="0"/>
              <w:rPr>
                <w:rFonts w:ascii="宋体" w:hAnsi="宋体" w:cs="宋体"/>
                <w:color w:val="auto"/>
                <w:szCs w:val="21"/>
                <w:highlight w:val="none"/>
              </w:rPr>
            </w:pPr>
          </w:p>
        </w:tc>
      </w:tr>
      <w:tr w14:paraId="5EECC32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3A0F76CD">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6D89E47C">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5B42929D">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4E5F65B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572D9C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1EC94A2">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F65149D">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7E4B3EA">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251780A5">
            <w:pPr>
              <w:autoSpaceDE w:val="0"/>
              <w:autoSpaceDN w:val="0"/>
              <w:adjustRightInd w:val="0"/>
              <w:rPr>
                <w:rFonts w:ascii="宋体" w:hAnsi="宋体" w:cs="宋体"/>
                <w:color w:val="auto"/>
                <w:szCs w:val="21"/>
                <w:highlight w:val="none"/>
              </w:rPr>
            </w:pPr>
          </w:p>
        </w:tc>
      </w:tr>
      <w:tr w14:paraId="2F933234">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722029B0">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13F4DCCE">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3ACB1EEC">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6ECC12E">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5AD7EC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81AB73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B1098D9">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2ADABF84">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3BFFBD1">
            <w:pPr>
              <w:autoSpaceDE w:val="0"/>
              <w:autoSpaceDN w:val="0"/>
              <w:adjustRightInd w:val="0"/>
              <w:rPr>
                <w:rFonts w:ascii="宋体" w:hAnsi="宋体" w:cs="宋体"/>
                <w:color w:val="auto"/>
                <w:szCs w:val="21"/>
                <w:highlight w:val="none"/>
              </w:rPr>
            </w:pPr>
          </w:p>
        </w:tc>
      </w:tr>
      <w:tr w14:paraId="5964E4C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4720A02A">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4EDF45F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77703E97">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27468EC6">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E771ED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07021D2">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A2736EA">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3A6050B5">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C01449E">
            <w:pPr>
              <w:autoSpaceDE w:val="0"/>
              <w:autoSpaceDN w:val="0"/>
              <w:adjustRightInd w:val="0"/>
              <w:rPr>
                <w:rFonts w:ascii="宋体" w:hAnsi="宋体" w:cs="宋体"/>
                <w:color w:val="auto"/>
                <w:szCs w:val="21"/>
                <w:highlight w:val="none"/>
              </w:rPr>
            </w:pPr>
          </w:p>
        </w:tc>
      </w:tr>
      <w:tr w14:paraId="1FBBACC0">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10C9AFD4">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2D45744C">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1EDA2F9C">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8310E0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7994CF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F4EE8E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044C880">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432368F3">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AD37905">
            <w:pPr>
              <w:autoSpaceDE w:val="0"/>
              <w:autoSpaceDN w:val="0"/>
              <w:adjustRightInd w:val="0"/>
              <w:rPr>
                <w:rFonts w:ascii="宋体" w:hAnsi="宋体" w:cs="宋体"/>
                <w:color w:val="auto"/>
                <w:szCs w:val="21"/>
                <w:highlight w:val="none"/>
              </w:rPr>
            </w:pPr>
          </w:p>
        </w:tc>
      </w:tr>
      <w:tr w14:paraId="069BF20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5999034A">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B987C70">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6A077326">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35EEA849">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6702229">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80CF1AE">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661919C">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A0AB002">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0959924">
            <w:pPr>
              <w:autoSpaceDE w:val="0"/>
              <w:autoSpaceDN w:val="0"/>
              <w:adjustRightInd w:val="0"/>
              <w:rPr>
                <w:rFonts w:ascii="宋体" w:hAnsi="宋体" w:cs="宋体"/>
                <w:color w:val="auto"/>
                <w:szCs w:val="21"/>
                <w:highlight w:val="none"/>
              </w:rPr>
            </w:pPr>
          </w:p>
        </w:tc>
      </w:tr>
      <w:tr w14:paraId="056AC1F7">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ign w:val="center"/>
          </w:tcPr>
          <w:p w14:paraId="231A545D">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tcPr>
          <w:p w14:paraId="725F81F8">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ign w:val="center"/>
          </w:tcPr>
          <w:p w14:paraId="2119211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ign w:val="center"/>
          </w:tcPr>
          <w:p w14:paraId="2682D357">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4BD7EE6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63A6539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3AAE3182">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ign w:val="center"/>
          </w:tcPr>
          <w:p w14:paraId="770B9416">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ign w:val="center"/>
          </w:tcPr>
          <w:p w14:paraId="5587BC4E">
            <w:pPr>
              <w:autoSpaceDE w:val="0"/>
              <w:autoSpaceDN w:val="0"/>
              <w:adjustRightInd w:val="0"/>
              <w:rPr>
                <w:rFonts w:ascii="宋体" w:hAnsi="宋体" w:cs="宋体"/>
                <w:color w:val="auto"/>
                <w:szCs w:val="21"/>
                <w:highlight w:val="none"/>
              </w:rPr>
            </w:pPr>
          </w:p>
        </w:tc>
      </w:tr>
    </w:tbl>
    <w:p w14:paraId="25CA91D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注：项目人员涉及评分项的其它证明材料附后。</w:t>
      </w:r>
    </w:p>
    <w:p w14:paraId="278AE455">
      <w:pPr>
        <w:snapToGrid w:val="0"/>
        <w:spacing w:line="360" w:lineRule="auto"/>
        <w:rPr>
          <w:rFonts w:ascii="宋体" w:hAnsi="宋体" w:cs="宋体"/>
          <w:b/>
          <w:color w:val="auto"/>
          <w:sz w:val="24"/>
          <w:highlight w:val="none"/>
        </w:rPr>
      </w:pPr>
    </w:p>
    <w:p w14:paraId="09FC51FF">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33A3A922">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611345A5">
      <w:pPr>
        <w:spacing w:line="360" w:lineRule="atLeast"/>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年   月  日</w:t>
      </w:r>
    </w:p>
    <w:p w14:paraId="4B8FBA78">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0599603F">
      <w:pPr>
        <w:snapToGrid w:val="0"/>
        <w:spacing w:line="360" w:lineRule="auto"/>
        <w:rPr>
          <w:rFonts w:hint="eastAsia" w:ascii="宋体" w:hAnsi="宋体" w:cs="宋体"/>
          <w:b/>
          <w:color w:val="auto"/>
          <w:kern w:val="0"/>
          <w:sz w:val="22"/>
          <w:szCs w:val="22"/>
          <w:highlight w:val="none"/>
          <w:lang w:val="zh-CN"/>
        </w:rPr>
      </w:pPr>
      <w:r>
        <w:rPr>
          <w:rFonts w:hint="eastAsia"/>
          <w:color w:val="auto"/>
          <w:sz w:val="32"/>
          <w:szCs w:val="40"/>
          <w:highlight w:val="none"/>
        </w:rPr>
        <w:t>（</w:t>
      </w:r>
      <w:r>
        <w:rPr>
          <w:rFonts w:hint="eastAsia"/>
          <w:color w:val="auto"/>
          <w:sz w:val="32"/>
          <w:szCs w:val="40"/>
          <w:highlight w:val="none"/>
          <w:lang w:val="en-US" w:eastAsia="zh-CN"/>
        </w:rPr>
        <w:t>7</w:t>
      </w:r>
      <w:r>
        <w:rPr>
          <w:rFonts w:hint="eastAsia"/>
          <w:color w:val="auto"/>
          <w:sz w:val="32"/>
          <w:szCs w:val="40"/>
          <w:highlight w:val="none"/>
        </w:rPr>
        <w:t>）</w:t>
      </w:r>
      <w:r>
        <w:rPr>
          <w:rFonts w:hint="eastAsia" w:ascii="宋体" w:hAnsi="宋体" w:cs="宋体"/>
          <w:b w:val="0"/>
          <w:bCs/>
          <w:color w:val="auto"/>
          <w:sz w:val="28"/>
          <w:szCs w:val="28"/>
          <w:highlight w:val="none"/>
        </w:rPr>
        <w:t>同类政府采购项目业绩格式：</w:t>
      </w:r>
    </w:p>
    <w:p w14:paraId="39C2DA79">
      <w:pPr>
        <w:pStyle w:val="15"/>
        <w:spacing w:before="156" w:after="156" w:line="360" w:lineRule="auto"/>
        <w:jc w:val="center"/>
        <w:rPr>
          <w:rFonts w:hint="eastAsia" w:hAnsi="宋体" w:cs="宋体"/>
          <w:b/>
          <w:color w:val="auto"/>
          <w:sz w:val="22"/>
          <w:szCs w:val="22"/>
          <w:highlight w:val="none"/>
        </w:rPr>
      </w:pPr>
      <w:r>
        <w:rPr>
          <w:rFonts w:hint="eastAsia" w:hAnsi="宋体" w:cs="宋体"/>
          <w:b/>
          <w:color w:val="auto"/>
          <w:sz w:val="22"/>
          <w:szCs w:val="22"/>
          <w:highlight w:val="none"/>
        </w:rPr>
        <w:t>投标人同类项目实施情况一览表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50"/>
        <w:gridCol w:w="1540"/>
        <w:gridCol w:w="2022"/>
        <w:gridCol w:w="2168"/>
      </w:tblGrid>
      <w:tr w14:paraId="58E1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B3A4732">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145383D">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采购单位名称</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5247B96">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677DEBAE">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w:t>
            </w:r>
          </w:p>
          <w:p w14:paraId="7504407C">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金额(万元)</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23FE4CC">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采购单位联系人及联系电话</w:t>
            </w:r>
          </w:p>
        </w:tc>
      </w:tr>
      <w:tr w14:paraId="7600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67D100D">
            <w:pPr>
              <w:widowControl/>
              <w:spacing w:line="360" w:lineRule="auto"/>
              <w:jc w:val="left"/>
              <w:rPr>
                <w:rFonts w:hint="eastAsia" w:ascii="宋体" w:hAnsi="宋体" w:eastAsia="宋体" w:cs="宋体"/>
                <w:color w:val="auto"/>
                <w:sz w:val="22"/>
                <w:szCs w:val="22"/>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63236E2F">
            <w:pPr>
              <w:widowControl/>
              <w:spacing w:line="360" w:lineRule="auto"/>
              <w:jc w:val="left"/>
              <w:rPr>
                <w:rFonts w:hint="eastAsia" w:ascii="宋体" w:hAnsi="宋体" w:eastAsia="宋体" w:cs="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24076E8">
            <w:pPr>
              <w:widowControl/>
              <w:spacing w:line="360" w:lineRule="auto"/>
              <w:jc w:val="left"/>
              <w:rPr>
                <w:rFonts w:hint="eastAsia" w:ascii="宋体" w:hAnsi="宋体" w:eastAsia="宋体" w:cs="宋体"/>
                <w:color w:val="auto"/>
                <w:sz w:val="22"/>
                <w:szCs w:val="22"/>
                <w:highlight w:val="none"/>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14:paraId="4E0405A6">
            <w:pPr>
              <w:widowControl/>
              <w:spacing w:line="360" w:lineRule="auto"/>
              <w:jc w:val="left"/>
              <w:rPr>
                <w:rFonts w:hint="eastAsia" w:ascii="宋体" w:hAnsi="宋体" w:eastAsia="宋体" w:cs="宋体"/>
                <w:color w:val="auto"/>
                <w:sz w:val="22"/>
                <w:szCs w:val="22"/>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72542425">
            <w:pPr>
              <w:widowControl/>
              <w:spacing w:line="360" w:lineRule="auto"/>
              <w:jc w:val="left"/>
              <w:rPr>
                <w:rFonts w:hint="eastAsia" w:ascii="宋体" w:hAnsi="宋体" w:eastAsia="宋体" w:cs="宋体"/>
                <w:color w:val="auto"/>
                <w:sz w:val="22"/>
                <w:szCs w:val="22"/>
                <w:highlight w:val="none"/>
              </w:rPr>
            </w:pPr>
          </w:p>
        </w:tc>
      </w:tr>
      <w:tr w14:paraId="060E9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59A25FB">
            <w:pPr>
              <w:widowControl/>
              <w:spacing w:line="360" w:lineRule="auto"/>
              <w:jc w:val="left"/>
              <w:rPr>
                <w:rFonts w:hint="eastAsia" w:ascii="宋体" w:hAnsi="宋体" w:eastAsia="宋体" w:cs="宋体"/>
                <w:color w:val="auto"/>
                <w:sz w:val="22"/>
                <w:szCs w:val="22"/>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32DC1A77">
            <w:pPr>
              <w:widowControl/>
              <w:spacing w:line="360" w:lineRule="auto"/>
              <w:jc w:val="left"/>
              <w:rPr>
                <w:rFonts w:hint="eastAsia" w:ascii="宋体" w:hAnsi="宋体" w:eastAsia="宋体" w:cs="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5861427">
            <w:pPr>
              <w:widowControl/>
              <w:spacing w:line="360" w:lineRule="auto"/>
              <w:jc w:val="left"/>
              <w:rPr>
                <w:rFonts w:hint="eastAsia" w:ascii="宋体" w:hAnsi="宋体" w:eastAsia="宋体" w:cs="宋体"/>
                <w:color w:val="auto"/>
                <w:sz w:val="22"/>
                <w:szCs w:val="22"/>
                <w:highlight w:val="none"/>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14:paraId="798C3105">
            <w:pPr>
              <w:widowControl/>
              <w:spacing w:line="360" w:lineRule="auto"/>
              <w:jc w:val="left"/>
              <w:rPr>
                <w:rFonts w:hint="eastAsia" w:ascii="宋体" w:hAnsi="宋体" w:eastAsia="宋体" w:cs="宋体"/>
                <w:color w:val="auto"/>
                <w:sz w:val="22"/>
                <w:szCs w:val="22"/>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2A6D0478">
            <w:pPr>
              <w:widowControl/>
              <w:spacing w:line="360" w:lineRule="auto"/>
              <w:jc w:val="left"/>
              <w:rPr>
                <w:rFonts w:hint="eastAsia" w:ascii="宋体" w:hAnsi="宋体" w:eastAsia="宋体" w:cs="宋体"/>
                <w:color w:val="auto"/>
                <w:sz w:val="22"/>
                <w:szCs w:val="22"/>
                <w:highlight w:val="none"/>
              </w:rPr>
            </w:pPr>
          </w:p>
        </w:tc>
      </w:tr>
      <w:tr w14:paraId="5DCE6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3555D01">
            <w:pPr>
              <w:widowControl/>
              <w:spacing w:line="360" w:lineRule="auto"/>
              <w:jc w:val="left"/>
              <w:rPr>
                <w:rFonts w:hint="eastAsia" w:ascii="宋体" w:hAnsi="宋体" w:eastAsia="宋体" w:cs="宋体"/>
                <w:color w:val="auto"/>
                <w:sz w:val="22"/>
                <w:szCs w:val="22"/>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D97EBEF">
            <w:pPr>
              <w:widowControl/>
              <w:spacing w:line="360" w:lineRule="auto"/>
              <w:jc w:val="left"/>
              <w:rPr>
                <w:rFonts w:hint="eastAsia" w:ascii="宋体" w:hAnsi="宋体" w:eastAsia="宋体" w:cs="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530B73D">
            <w:pPr>
              <w:widowControl/>
              <w:spacing w:line="360" w:lineRule="auto"/>
              <w:jc w:val="left"/>
              <w:rPr>
                <w:rFonts w:hint="eastAsia" w:ascii="宋体" w:hAnsi="宋体" w:eastAsia="宋体" w:cs="宋体"/>
                <w:color w:val="auto"/>
                <w:sz w:val="22"/>
                <w:szCs w:val="22"/>
                <w:highlight w:val="none"/>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14:paraId="77753C8B">
            <w:pPr>
              <w:widowControl/>
              <w:spacing w:line="360" w:lineRule="auto"/>
              <w:jc w:val="left"/>
              <w:rPr>
                <w:rFonts w:hint="eastAsia" w:ascii="宋体" w:hAnsi="宋体" w:eastAsia="宋体" w:cs="宋体"/>
                <w:color w:val="auto"/>
                <w:sz w:val="22"/>
                <w:szCs w:val="22"/>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8E1A060">
            <w:pPr>
              <w:widowControl/>
              <w:spacing w:line="360" w:lineRule="auto"/>
              <w:jc w:val="left"/>
              <w:rPr>
                <w:rFonts w:hint="eastAsia" w:ascii="宋体" w:hAnsi="宋体" w:eastAsia="宋体" w:cs="宋体"/>
                <w:color w:val="auto"/>
                <w:sz w:val="22"/>
                <w:szCs w:val="22"/>
                <w:highlight w:val="none"/>
              </w:rPr>
            </w:pPr>
          </w:p>
        </w:tc>
      </w:tr>
    </w:tbl>
    <w:p w14:paraId="032CBF17">
      <w:pPr>
        <w:pStyle w:val="3"/>
        <w:rPr>
          <w:color w:val="auto"/>
          <w:highlight w:val="none"/>
        </w:rPr>
      </w:pPr>
    </w:p>
    <w:p w14:paraId="4484EFB9">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6C11B4CC">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0687E0DF">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年   月  日</w:t>
      </w:r>
    </w:p>
    <w:p w14:paraId="0222E3BC">
      <w:pPr>
        <w:rPr>
          <w:rFonts w:ascii="宋体" w:hAnsi="宋体" w:cs="宋体"/>
          <w:color w:val="auto"/>
          <w:szCs w:val="21"/>
          <w:highlight w:val="none"/>
        </w:rPr>
      </w:pPr>
    </w:p>
    <w:p w14:paraId="289A0649">
      <w:pPr>
        <w:rPr>
          <w:rFonts w:hint="eastAsia" w:ascii="宋体" w:hAnsi="宋体"/>
          <w:b/>
          <w:bCs/>
          <w:color w:val="auto"/>
          <w:szCs w:val="21"/>
          <w:highlight w:val="none"/>
        </w:rPr>
      </w:pPr>
      <w:bookmarkStart w:id="53" w:name="_Toc15491"/>
      <w:bookmarkStart w:id="54" w:name="_Toc24046"/>
      <w:bookmarkStart w:id="55" w:name="_Toc13428"/>
      <w:bookmarkStart w:id="56" w:name="_Toc8160"/>
      <w:r>
        <w:rPr>
          <w:rFonts w:hint="eastAsia" w:ascii="宋体" w:hAnsi="宋体"/>
          <w:b/>
          <w:bCs/>
          <w:color w:val="auto"/>
          <w:szCs w:val="21"/>
          <w:highlight w:val="none"/>
        </w:rPr>
        <w:br w:type="page"/>
      </w:r>
    </w:p>
    <w:p w14:paraId="0A0798D0">
      <w:pPr>
        <w:bidi w:val="0"/>
        <w:rPr>
          <w:rFonts w:ascii="宋体" w:hAnsi="宋体"/>
          <w:b/>
          <w:bCs/>
          <w:color w:val="auto"/>
          <w:szCs w:val="21"/>
          <w:highlight w:val="none"/>
        </w:rPr>
      </w:pPr>
      <w:r>
        <w:rPr>
          <w:rFonts w:hint="eastAsia"/>
          <w:color w:val="auto"/>
          <w:sz w:val="24"/>
          <w:szCs w:val="32"/>
          <w:highlight w:val="none"/>
        </w:rPr>
        <w:t>四、报价响应文件部分格式</w:t>
      </w:r>
      <w:bookmarkEnd w:id="53"/>
      <w:bookmarkEnd w:id="54"/>
      <w:bookmarkEnd w:id="55"/>
      <w:bookmarkEnd w:id="56"/>
    </w:p>
    <w:p w14:paraId="793E11B8">
      <w:pPr>
        <w:spacing w:line="360" w:lineRule="auto"/>
        <w:rPr>
          <w:rFonts w:hint="eastAsia" w:ascii="宋体" w:hAnsi="宋体" w:cs="宋体"/>
          <w:b/>
          <w:color w:val="auto"/>
          <w:kern w:val="0"/>
          <w:sz w:val="24"/>
          <w:szCs w:val="22"/>
          <w:highlight w:val="none"/>
        </w:rPr>
      </w:pPr>
      <w:bookmarkStart w:id="57" w:name="_Toc9164"/>
      <w:bookmarkStart w:id="58" w:name="_Toc29263"/>
      <w:r>
        <w:rPr>
          <w:rFonts w:hint="eastAsia" w:ascii="宋体" w:hAnsi="宋体" w:cs="宋体"/>
          <w:b/>
          <w:color w:val="auto"/>
          <w:sz w:val="22"/>
          <w:szCs w:val="21"/>
          <w:highlight w:val="none"/>
        </w:rPr>
        <w:t>1、投标函</w:t>
      </w:r>
    </w:p>
    <w:p w14:paraId="593F29E5">
      <w:pPr>
        <w:snapToGrid w:val="0"/>
        <w:spacing w:before="120" w:beforeLines="50" w:after="5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投标函</w:t>
      </w:r>
    </w:p>
    <w:p w14:paraId="526F5E01">
      <w:pPr>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（招标采购单位名称）：</w:t>
      </w:r>
    </w:p>
    <w:p w14:paraId="50971138">
      <w:pPr>
        <w:snapToGrid w:val="0"/>
        <w:spacing w:line="360" w:lineRule="auto"/>
        <w:ind w:firstLine="480"/>
        <w:rPr>
          <w:rFonts w:hint="eastAsia" w:ascii="宋体" w:hAnsi="宋体" w:cs="宋体"/>
          <w:color w:val="auto"/>
          <w:sz w:val="22"/>
          <w:szCs w:val="21"/>
          <w:highlight w:val="none"/>
        </w:rPr>
      </w:pPr>
      <w:r>
        <w:rPr>
          <w:rFonts w:hint="eastAsia" w:ascii="宋体" w:hAnsi="宋体" w:cs="宋体"/>
          <w:color w:val="auto"/>
          <w:sz w:val="22"/>
          <w:szCs w:val="21"/>
          <w:highlight w:val="none"/>
        </w:rPr>
        <w:t>根据贵方为</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采购项目招标公告（项目编号：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），签字代表</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（全名）经正式授权并代表投标人</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（投标人名称）提交资信/商务及技术文件、投标报价文件。</w:t>
      </w:r>
    </w:p>
    <w:p w14:paraId="3E1F8B77">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据此函，签字代表宣布同意如下：</w:t>
      </w:r>
    </w:p>
    <w:p w14:paraId="0FF6C485">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C8799DD">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2.我方在投标之前已经与贵方进行了充分的沟通，完全理解并接受“招标文件”的各项规定和要求，对“招标文件”的合理性、合法性不再有异议。</w:t>
      </w:r>
    </w:p>
    <w:p w14:paraId="6A1E880C">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3.我方同意按照贵方要求提供与投标有关的一切数据或资料。</w:t>
      </w:r>
    </w:p>
    <w:p w14:paraId="4D46258B">
      <w:pPr>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4.我方完全理解贵方不一定要接受最低价的投标。</w:t>
      </w:r>
    </w:p>
    <w:p w14:paraId="4B721B4A">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5.本投标有效期自开标日起</w:t>
      </w:r>
      <w:r>
        <w:rPr>
          <w:rFonts w:hint="eastAsia" w:ascii="宋体" w:hAnsi="宋体" w:cs="宋体"/>
          <w:color w:val="auto"/>
          <w:sz w:val="22"/>
          <w:szCs w:val="21"/>
          <w:highlight w:val="none"/>
          <w:u w:val="single"/>
        </w:rPr>
        <w:t xml:space="preserve"> 90_</w:t>
      </w:r>
      <w:r>
        <w:rPr>
          <w:rFonts w:hint="eastAsia" w:ascii="宋体" w:hAnsi="宋体" w:cs="宋体"/>
          <w:color w:val="auto"/>
          <w:sz w:val="22"/>
          <w:szCs w:val="21"/>
          <w:highlight w:val="none"/>
        </w:rPr>
        <w:t>个日历天。</w:t>
      </w:r>
    </w:p>
    <w:p w14:paraId="429693A9">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6.如中标，本投标文件至本项目合同履行完毕均保持有效，本投标人将保证忠实地执行双方所签订的合同，并承担合同规定的责任和义务。</w:t>
      </w:r>
    </w:p>
    <w:p w14:paraId="5A7B126A">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7.我方将严格遵守《中华人民共和国政府采购法》第七十七条、《</w:t>
      </w:r>
      <w:r>
        <w:rPr>
          <w:rFonts w:hint="eastAsia" w:ascii="宋体" w:hAnsi="宋体" w:cs="宋体"/>
          <w:bCs/>
          <w:color w:val="auto"/>
          <w:kern w:val="0"/>
          <w:sz w:val="22"/>
          <w:szCs w:val="21"/>
          <w:highlight w:val="none"/>
        </w:rPr>
        <w:t>浙江省政府采购供应商注册及诚信管理暂行办法》</w:t>
      </w:r>
      <w:r>
        <w:rPr>
          <w:rFonts w:hint="eastAsia" w:ascii="宋体" w:hAnsi="宋体" w:cs="宋体"/>
          <w:color w:val="auto"/>
          <w:kern w:val="0"/>
          <w:sz w:val="22"/>
          <w:szCs w:val="21"/>
          <w:highlight w:val="none"/>
        </w:rPr>
        <w:t>第三十八条、第三十九条、第四十条</w:t>
      </w:r>
      <w:r>
        <w:rPr>
          <w:rFonts w:hint="eastAsia" w:ascii="宋体" w:hAnsi="宋体" w:cs="宋体"/>
          <w:color w:val="auto"/>
          <w:sz w:val="22"/>
          <w:szCs w:val="21"/>
          <w:highlight w:val="none"/>
        </w:rPr>
        <w:t>规定。</w:t>
      </w:r>
    </w:p>
    <w:p w14:paraId="2826DD2B">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8.与本投标有关的一切正式往来信函请寄：</w:t>
      </w:r>
    </w:p>
    <w:p w14:paraId="3098737D">
      <w:pPr>
        <w:widowControl/>
        <w:adjustRightInd w:val="0"/>
        <w:snapToGrid w:val="0"/>
        <w:jc w:val="left"/>
        <w:rPr>
          <w:rFonts w:hint="eastAsia" w:ascii="宋体" w:hAnsi="宋体" w:cs="宋体"/>
          <w:color w:val="auto"/>
          <w:kern w:val="0"/>
          <w:sz w:val="22"/>
          <w:szCs w:val="21"/>
          <w:highlight w:val="none"/>
        </w:rPr>
      </w:pPr>
    </w:p>
    <w:p w14:paraId="0A6DE4A2">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地址：</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邮编：</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电话：</w:t>
      </w:r>
      <w:r>
        <w:rPr>
          <w:rFonts w:hint="eastAsia" w:ascii="宋体" w:hAnsi="宋体" w:cs="宋体"/>
          <w:color w:val="auto"/>
          <w:sz w:val="22"/>
          <w:szCs w:val="21"/>
          <w:highlight w:val="none"/>
          <w:u w:val="single"/>
        </w:rPr>
        <w:t xml:space="preserve">              </w:t>
      </w:r>
    </w:p>
    <w:p w14:paraId="1E8C66D8">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传真：</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投标人代表姓名：</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职务：</w:t>
      </w:r>
      <w:r>
        <w:rPr>
          <w:rFonts w:hint="eastAsia" w:ascii="宋体" w:hAnsi="宋体" w:cs="宋体"/>
          <w:color w:val="auto"/>
          <w:sz w:val="22"/>
          <w:szCs w:val="21"/>
          <w:highlight w:val="none"/>
          <w:u w:val="single"/>
        </w:rPr>
        <w:t xml:space="preserve">              </w:t>
      </w:r>
    </w:p>
    <w:p w14:paraId="3A2699A7">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投标人名称(公章)：</w:t>
      </w:r>
      <w:r>
        <w:rPr>
          <w:rFonts w:hint="eastAsia" w:ascii="宋体" w:hAnsi="宋体" w:cs="宋体"/>
          <w:color w:val="auto"/>
          <w:sz w:val="22"/>
          <w:szCs w:val="21"/>
          <w:highlight w:val="none"/>
          <w:u w:val="single"/>
        </w:rPr>
        <w:t xml:space="preserve">                                  </w:t>
      </w:r>
    </w:p>
    <w:p w14:paraId="4FE20899">
      <w:pPr>
        <w:snapToGrid w:val="0"/>
        <w:spacing w:line="400" w:lineRule="exact"/>
        <w:ind w:firstLine="440"/>
        <w:rPr>
          <w:rFonts w:hint="eastAsia" w:ascii="宋体" w:hAnsi="宋体" w:cs="宋体"/>
          <w:color w:val="auto"/>
          <w:sz w:val="22"/>
          <w:szCs w:val="21"/>
          <w:highlight w:val="none"/>
        </w:rPr>
      </w:pPr>
      <w:r>
        <w:rPr>
          <w:rFonts w:hint="eastAsia" w:ascii="宋体" w:hAnsi="宋体" w:cs="宋体"/>
          <w:color w:val="auto"/>
          <w:sz w:val="22"/>
          <w:szCs w:val="21"/>
          <w:highlight w:val="none"/>
        </w:rPr>
        <w:t>开户银行：</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银行帐号：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w:t>
      </w:r>
    </w:p>
    <w:p w14:paraId="3D33C36F">
      <w:pPr>
        <w:snapToGrid w:val="0"/>
        <w:spacing w:line="400" w:lineRule="exact"/>
        <w:ind w:firstLine="440"/>
        <w:rPr>
          <w:rFonts w:hint="eastAsia" w:ascii="宋体" w:hAnsi="宋体" w:cs="宋体"/>
          <w:color w:val="auto"/>
          <w:sz w:val="22"/>
          <w:szCs w:val="21"/>
          <w:highlight w:val="none"/>
        </w:rPr>
      </w:pPr>
      <w:r>
        <w:rPr>
          <w:rFonts w:hint="eastAsia" w:ascii="宋体" w:hAnsi="宋体" w:cs="宋体"/>
          <w:color w:val="auto"/>
          <w:sz w:val="22"/>
          <w:szCs w:val="21"/>
          <w:highlight w:val="none"/>
        </w:rPr>
        <w:t>授权代表签字：</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日期： </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年</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月</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日</w:t>
      </w:r>
    </w:p>
    <w:p w14:paraId="1E94ACEE">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3EAEB589">
      <w:pPr>
        <w:bidi w:val="0"/>
        <w:rPr>
          <w:rFonts w:ascii="宋体" w:hAnsi="宋体" w:eastAsia="宋体" w:cs="宋体"/>
          <w:color w:val="auto"/>
          <w:sz w:val="28"/>
          <w:szCs w:val="21"/>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color w:val="auto"/>
          <w:sz w:val="28"/>
          <w:szCs w:val="21"/>
          <w:highlight w:val="none"/>
        </w:rPr>
        <w:t>磋商报价一览表</w:t>
      </w:r>
    </w:p>
    <w:p w14:paraId="28C9AC08">
      <w:pPr>
        <w:pStyle w:val="15"/>
        <w:snapToGrid w:val="0"/>
        <w:spacing w:line="400" w:lineRule="exact"/>
        <w:jc w:val="center"/>
        <w:rPr>
          <w:rFonts w:hint="eastAsia" w:ascii="宋体" w:hAnsi="宋体" w:eastAsia="宋体" w:cs="宋体"/>
          <w:color w:val="auto"/>
          <w:sz w:val="28"/>
          <w:szCs w:val="21"/>
          <w:highlight w:val="none"/>
        </w:rPr>
      </w:pPr>
    </w:p>
    <w:p w14:paraId="03F179A0">
      <w:pPr>
        <w:pStyle w:val="15"/>
        <w:snapToGrid w:val="0"/>
        <w:spacing w:line="400" w:lineRule="exact"/>
        <w:jc w:val="center"/>
        <w:rPr>
          <w:rFonts w:cs="Times New Roman"/>
          <w:b/>
          <w:color w:val="auto"/>
          <w:sz w:val="21"/>
          <w:szCs w:val="21"/>
          <w:highlight w:val="none"/>
        </w:rPr>
      </w:pPr>
      <w:r>
        <w:rPr>
          <w:rFonts w:hint="eastAsia" w:ascii="宋体" w:hAnsi="宋体" w:eastAsia="宋体" w:cs="宋体"/>
          <w:color w:val="auto"/>
          <w:sz w:val="28"/>
          <w:szCs w:val="21"/>
          <w:highlight w:val="none"/>
        </w:rPr>
        <w:t>磋商报价一览表（首次报价）</w:t>
      </w:r>
    </w:p>
    <w:p w14:paraId="3E22DC42">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p>
    <w:p w14:paraId="2FA4B080">
      <w:pPr>
        <w:snapToGrid w:val="0"/>
        <w:spacing w:line="440" w:lineRule="exact"/>
        <w:ind w:right="480" w:firstLine="90" w:firstLineChars="43"/>
        <w:rPr>
          <w:rFonts w:hint="eastAsia" w:ascii="宋体" w:hAnsi="宋体"/>
          <w:color w:val="auto"/>
          <w:szCs w:val="21"/>
          <w:highlight w:val="none"/>
        </w:rPr>
      </w:pPr>
      <w:r>
        <w:rPr>
          <w:rFonts w:hint="eastAsia" w:ascii="宋体" w:hAnsi="宋体"/>
          <w:color w:val="auto"/>
          <w:szCs w:val="21"/>
          <w:highlight w:val="none"/>
        </w:rPr>
        <w:t>投标人名称：</w:t>
      </w:r>
    </w:p>
    <w:p w14:paraId="7D8988F6">
      <w:pPr>
        <w:snapToGrid w:val="0"/>
        <w:spacing w:line="440" w:lineRule="exact"/>
        <w:ind w:right="480" w:firstLine="90" w:firstLineChars="43"/>
        <w:jc w:val="right"/>
        <w:rPr>
          <w:rFonts w:ascii="宋体" w:hAnsi="宋体"/>
          <w:color w:val="auto"/>
          <w:szCs w:val="21"/>
          <w:highlight w:val="none"/>
        </w:rPr>
      </w:pPr>
      <w:r>
        <w:rPr>
          <w:rFonts w:hint="eastAsia" w:ascii="宋体" w:hAnsi="宋体"/>
          <w:color w:val="auto"/>
          <w:szCs w:val="21"/>
          <w:highlight w:val="none"/>
        </w:rPr>
        <w:t>金额单位：人民币（元）</w:t>
      </w:r>
    </w:p>
    <w:tbl>
      <w:tblPr>
        <w:tblStyle w:val="27"/>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6933"/>
      </w:tblGrid>
      <w:tr w14:paraId="2094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46" w:type="dxa"/>
            <w:noWrap/>
            <w:vAlign w:val="center"/>
          </w:tcPr>
          <w:p w14:paraId="13277760">
            <w:pPr>
              <w:adjustRightInd w:val="0"/>
              <w:snapToGrid w:val="0"/>
              <w:spacing w:line="400" w:lineRule="exact"/>
              <w:contextualSpacing/>
              <w:jc w:val="center"/>
              <w:rPr>
                <w:rFonts w:hint="eastAsia" w:hAnsi="宋体" w:cs="仿宋_GB2312" w:eastAsiaTheme="minorEastAsia"/>
                <w:color w:val="auto"/>
                <w:szCs w:val="21"/>
                <w:highlight w:val="none"/>
                <w:lang w:val="en-US" w:eastAsia="zh-CN"/>
              </w:rPr>
            </w:pPr>
            <w:r>
              <w:rPr>
                <w:rFonts w:hint="eastAsia" w:ascii="宋体" w:hAnsi="宋体" w:cs="宋体"/>
                <w:b/>
                <w:color w:val="auto"/>
                <w:kern w:val="0"/>
                <w:szCs w:val="21"/>
                <w:highlight w:val="none"/>
              </w:rPr>
              <w:t>项目名称</w:t>
            </w:r>
          </w:p>
        </w:tc>
        <w:tc>
          <w:tcPr>
            <w:tcW w:w="6933" w:type="dxa"/>
            <w:noWrap/>
            <w:vAlign w:val="center"/>
          </w:tcPr>
          <w:p w14:paraId="6C93C265">
            <w:pPr>
              <w:spacing w:before="120" w:beforeLines="50"/>
              <w:jc w:val="center"/>
              <w:rPr>
                <w:rFonts w:ascii="宋体" w:hAnsi="宋体" w:cs="Arial"/>
                <w:color w:val="auto"/>
                <w:szCs w:val="21"/>
                <w:highlight w:val="none"/>
              </w:rPr>
            </w:pPr>
          </w:p>
        </w:tc>
      </w:tr>
      <w:tr w14:paraId="3528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646" w:type="dxa"/>
            <w:noWrap/>
            <w:vAlign w:val="center"/>
          </w:tcPr>
          <w:p w14:paraId="513A0B83">
            <w:pPr>
              <w:adjustRightInd w:val="0"/>
              <w:snapToGrid w:val="0"/>
              <w:spacing w:line="400" w:lineRule="exact"/>
              <w:contextualSpacing/>
              <w:jc w:val="center"/>
              <w:rPr>
                <w:rFonts w:ascii="宋体" w:hAnsi="宋体" w:cs="Arial"/>
                <w:color w:val="auto"/>
                <w:szCs w:val="21"/>
                <w:highlight w:val="none"/>
              </w:rPr>
            </w:pPr>
            <w:r>
              <w:rPr>
                <w:rFonts w:hint="eastAsia" w:ascii="宋体" w:hAnsi="宋体" w:cs="宋体"/>
                <w:b/>
                <w:color w:val="auto"/>
                <w:kern w:val="0"/>
                <w:szCs w:val="21"/>
                <w:highlight w:val="none"/>
              </w:rPr>
              <w:t>采购内容</w:t>
            </w:r>
          </w:p>
        </w:tc>
        <w:tc>
          <w:tcPr>
            <w:tcW w:w="6933" w:type="dxa"/>
            <w:noWrap/>
            <w:vAlign w:val="center"/>
          </w:tcPr>
          <w:p w14:paraId="2C23FA96">
            <w:pPr>
              <w:spacing w:before="120" w:beforeLines="50"/>
              <w:jc w:val="center"/>
              <w:rPr>
                <w:rFonts w:ascii="宋体" w:hAnsi="宋体" w:cs="Arial"/>
                <w:color w:val="auto"/>
                <w:szCs w:val="21"/>
                <w:highlight w:val="none"/>
              </w:rPr>
            </w:pPr>
          </w:p>
        </w:tc>
      </w:tr>
      <w:tr w14:paraId="5E8B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646" w:type="dxa"/>
            <w:noWrap/>
            <w:vAlign w:val="center"/>
          </w:tcPr>
          <w:p w14:paraId="2F19CB30">
            <w:pPr>
              <w:adjustRightInd w:val="0"/>
              <w:snapToGrid w:val="0"/>
              <w:spacing w:line="400" w:lineRule="exact"/>
              <w:contextualSpacing/>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总投标报价</w:t>
            </w:r>
          </w:p>
          <w:p w14:paraId="431FCDD8">
            <w:pPr>
              <w:adjustRightInd w:val="0"/>
              <w:snapToGrid w:val="0"/>
              <w:spacing w:line="400" w:lineRule="exact"/>
              <w:contextualSpacing/>
              <w:jc w:val="center"/>
              <w:rPr>
                <w:rFonts w:ascii="宋体" w:hAnsi="宋体" w:cs="Arial"/>
                <w:color w:val="auto"/>
                <w:szCs w:val="21"/>
                <w:highlight w:val="none"/>
              </w:rPr>
            </w:pPr>
          </w:p>
        </w:tc>
        <w:tc>
          <w:tcPr>
            <w:tcW w:w="6933" w:type="dxa"/>
            <w:noWrap/>
            <w:vAlign w:val="center"/>
          </w:tcPr>
          <w:p w14:paraId="6DAD73E7">
            <w:pPr>
              <w:spacing w:before="12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小写：￥</w:t>
            </w:r>
          </w:p>
          <w:p w14:paraId="31B23C2E">
            <w:pPr>
              <w:spacing w:before="120" w:beforeLines="50"/>
              <w:jc w:val="left"/>
              <w:rPr>
                <w:rFonts w:ascii="宋体" w:hAnsi="宋体" w:cs="Arial"/>
                <w:color w:val="auto"/>
                <w:szCs w:val="21"/>
                <w:highlight w:val="none"/>
              </w:rPr>
            </w:pPr>
            <w:r>
              <w:rPr>
                <w:rFonts w:hint="eastAsia" w:ascii="宋体" w:hAnsi="宋体" w:cs="宋体"/>
                <w:bCs/>
                <w:color w:val="auto"/>
                <w:kern w:val="0"/>
                <w:szCs w:val="21"/>
                <w:highlight w:val="none"/>
              </w:rPr>
              <w:t>人民币大写：</w:t>
            </w:r>
          </w:p>
        </w:tc>
      </w:tr>
      <w:tr w14:paraId="12A6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46" w:type="dxa"/>
            <w:noWrap/>
            <w:vAlign w:val="center"/>
          </w:tcPr>
          <w:p w14:paraId="253CF02E">
            <w:pPr>
              <w:adjustRightInd w:val="0"/>
              <w:snapToGrid w:val="0"/>
              <w:spacing w:line="400" w:lineRule="exact"/>
              <w:contextualSpacing/>
              <w:jc w:val="center"/>
              <w:rPr>
                <w:rFonts w:ascii="宋体" w:hAnsi="宋体" w:cs="Arial"/>
                <w:color w:val="auto"/>
                <w:szCs w:val="21"/>
                <w:highlight w:val="none"/>
              </w:rPr>
            </w:pPr>
            <w:r>
              <w:rPr>
                <w:rFonts w:hint="eastAsia" w:ascii="宋体" w:hAnsi="宋体" w:cs="宋体"/>
                <w:b/>
                <w:color w:val="auto"/>
                <w:kern w:val="0"/>
                <w:szCs w:val="21"/>
                <w:highlight w:val="none"/>
              </w:rPr>
              <w:t>备注</w:t>
            </w:r>
          </w:p>
        </w:tc>
        <w:tc>
          <w:tcPr>
            <w:tcW w:w="6933" w:type="dxa"/>
            <w:noWrap/>
            <w:vAlign w:val="center"/>
          </w:tcPr>
          <w:p w14:paraId="7256289A">
            <w:pPr>
              <w:widowControl/>
              <w:spacing w:line="400" w:lineRule="exact"/>
              <w:rPr>
                <w:rFonts w:ascii="宋体" w:hAnsi="宋体" w:cs="Arial"/>
                <w:color w:val="auto"/>
                <w:szCs w:val="21"/>
                <w:highlight w:val="none"/>
              </w:rPr>
            </w:pPr>
          </w:p>
        </w:tc>
      </w:tr>
    </w:tbl>
    <w:p w14:paraId="30AD53AD">
      <w:pPr>
        <w:adjustRightInd w:val="0"/>
        <w:snapToGrid w:val="0"/>
        <w:spacing w:line="500" w:lineRule="exact"/>
        <w:contextualSpacing/>
        <w:rPr>
          <w:rFonts w:hint="eastAsia" w:ascii="宋体" w:hAnsi="宋体" w:cs="宋体"/>
          <w:color w:val="auto"/>
          <w:szCs w:val="21"/>
          <w:highlight w:val="none"/>
        </w:rPr>
      </w:pPr>
      <w:r>
        <w:rPr>
          <w:rFonts w:hint="eastAsia" w:ascii="宋体" w:hAnsi="宋体" w:cs="宋体"/>
          <w:color w:val="auto"/>
          <w:szCs w:val="21"/>
          <w:highlight w:val="none"/>
          <w:lang w:val="en-US" w:eastAsia="zh-CN"/>
        </w:rPr>
        <w:t>注：</w:t>
      </w:r>
      <w:r>
        <w:rPr>
          <w:rFonts w:hint="eastAsia" w:ascii="宋体" w:hAnsi="宋体" w:cs="宋体"/>
          <w:b/>
          <w:color w:val="auto"/>
          <w:szCs w:val="21"/>
          <w:highlight w:val="none"/>
        </w:rPr>
        <w:t xml:space="preserve"> </w:t>
      </w:r>
      <w:r>
        <w:rPr>
          <w:rFonts w:hint="eastAsia" w:ascii="宋体" w:hAnsi="宋体" w:cs="宋体"/>
          <w:color w:val="auto"/>
          <w:szCs w:val="21"/>
          <w:highlight w:val="none"/>
        </w:rPr>
        <w:t>1、报价一经涂改，应在涂改处加盖单位公章或者由法定代表人或授权委托人签字或盖章，否则其投标作无效标处理；</w:t>
      </w:r>
    </w:p>
    <w:p w14:paraId="1882BF52">
      <w:pPr>
        <w:snapToGrid w:val="0"/>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2、投标单位的投标报价</w:t>
      </w:r>
      <w:r>
        <w:rPr>
          <w:rFonts w:hint="eastAsia" w:ascii="宋体" w:hAnsi="宋体" w:cs="宋体"/>
          <w:b/>
          <w:bCs/>
          <w:color w:val="auto"/>
          <w:szCs w:val="21"/>
          <w:highlight w:val="none"/>
        </w:rPr>
        <w:t>是履行合同的最终价格，投标单位的投标报价应包括完成本项目所</w:t>
      </w:r>
      <w:r>
        <w:rPr>
          <w:rFonts w:hint="eastAsia" w:ascii="宋体" w:hAnsi="宋体" w:cs="宋体"/>
          <w:b/>
          <w:bCs/>
          <w:color w:val="auto"/>
          <w:szCs w:val="21"/>
          <w:highlight w:val="none"/>
          <w:lang w:val="en-US" w:eastAsia="zh-CN"/>
        </w:rPr>
        <w:t>需</w:t>
      </w:r>
      <w:r>
        <w:rPr>
          <w:rFonts w:hint="eastAsia" w:ascii="宋体" w:hAnsi="宋体" w:cs="宋体"/>
          <w:b/>
          <w:bCs/>
          <w:color w:val="auto"/>
          <w:szCs w:val="21"/>
          <w:highlight w:val="none"/>
        </w:rPr>
        <w:t>的人员工资、调查费、缴纳的社会保险、成果文本制作、作业费、专业工器具及设备使用费、汇报及咨询等相关服务费用、管理费用、食宿、交通费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税金及政策性文件规定等各项应有费用。</w:t>
      </w:r>
    </w:p>
    <w:p w14:paraId="3CAE25D5">
      <w:pPr>
        <w:spacing w:line="360" w:lineRule="auto"/>
        <w:ind w:firstLine="420" w:firstLineChars="200"/>
        <w:jc w:val="left"/>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3、以上各标项的“投标价”应与“投标总价”相一致，且必须与“报价明细表”中相应标项的“投标总价”相一致</w:t>
      </w:r>
    </w:p>
    <w:p w14:paraId="37A4B91E">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71339F1A">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2CA98A1C">
      <w:pPr>
        <w:spacing w:line="360" w:lineRule="auto"/>
        <w:ind w:firstLine="4830" w:firstLineChars="2300"/>
        <w:jc w:val="lef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年   月  日</w:t>
      </w:r>
    </w:p>
    <w:p w14:paraId="0B67F4F7">
      <w:pPr>
        <w:spacing w:line="400" w:lineRule="exact"/>
        <w:rPr>
          <w:rFonts w:ascii="宋体"/>
          <w:b/>
          <w:color w:val="auto"/>
          <w:sz w:val="28"/>
          <w:szCs w:val="21"/>
          <w:highlight w:val="none"/>
        </w:rPr>
      </w:pPr>
      <w:r>
        <w:rPr>
          <w:rFonts w:hint="eastAsia" w:ascii="宋体" w:hAnsi="宋体" w:cs="宋体"/>
          <w:color w:val="auto"/>
          <w:szCs w:val="21"/>
          <w:highlight w:val="none"/>
        </w:rPr>
        <w:br w:type="column"/>
      </w:r>
      <w:r>
        <w:rPr>
          <w:rFonts w:hint="eastAsia" w:ascii="宋体" w:hAnsi="宋体" w:cs="宋体"/>
          <w:b w:val="0"/>
          <w:bCs w:val="0"/>
          <w:color w:val="auto"/>
          <w:sz w:val="28"/>
          <w:szCs w:val="28"/>
          <w:highlight w:val="none"/>
          <w:lang w:val="en-US" w:eastAsia="zh-CN"/>
        </w:rPr>
        <w:t>3、</w:t>
      </w:r>
      <w:r>
        <w:rPr>
          <w:rFonts w:hint="eastAsia" w:ascii="宋体"/>
          <w:b w:val="0"/>
          <w:bCs w:val="0"/>
          <w:color w:val="auto"/>
          <w:sz w:val="28"/>
          <w:szCs w:val="28"/>
          <w:highlight w:val="none"/>
        </w:rPr>
        <w:t>报价明细表</w:t>
      </w:r>
    </w:p>
    <w:p w14:paraId="18591CDD">
      <w:pPr>
        <w:jc w:val="center"/>
        <w:rPr>
          <w:rFonts w:hint="eastAsia" w:ascii="宋体" w:hAnsi="宋体"/>
          <w:b/>
          <w:iCs/>
          <w:color w:val="auto"/>
          <w:spacing w:val="20"/>
          <w:szCs w:val="21"/>
          <w:highlight w:val="none"/>
        </w:rPr>
      </w:pPr>
    </w:p>
    <w:p w14:paraId="7CCBE09E">
      <w:pPr>
        <w:jc w:val="center"/>
        <w:rPr>
          <w:rFonts w:hint="eastAsia" w:ascii="宋体" w:hAnsi="宋体" w:eastAsia="宋体"/>
          <w:b/>
          <w:iCs/>
          <w:color w:val="auto"/>
          <w:spacing w:val="20"/>
          <w:szCs w:val="21"/>
          <w:highlight w:val="none"/>
          <w:lang w:eastAsia="zh-CN"/>
        </w:rPr>
      </w:pPr>
      <w:r>
        <w:rPr>
          <w:rFonts w:hint="eastAsia" w:ascii="宋体" w:hAnsi="宋体"/>
          <w:b/>
          <w:iCs/>
          <w:color w:val="auto"/>
          <w:spacing w:val="20"/>
          <w:szCs w:val="21"/>
          <w:highlight w:val="none"/>
        </w:rPr>
        <w:t>报价明细表</w:t>
      </w:r>
      <w:r>
        <w:rPr>
          <w:rFonts w:hint="eastAsia" w:ascii="宋体" w:hAnsi="宋体"/>
          <w:b/>
          <w:iCs/>
          <w:color w:val="auto"/>
          <w:spacing w:val="20"/>
          <w:szCs w:val="21"/>
          <w:highlight w:val="none"/>
          <w:lang w:eastAsia="zh-CN"/>
        </w:rPr>
        <w:t>（</w:t>
      </w:r>
      <w:r>
        <w:rPr>
          <w:rFonts w:hint="eastAsia" w:ascii="宋体" w:hAnsi="宋体"/>
          <w:b/>
          <w:iCs/>
          <w:color w:val="auto"/>
          <w:spacing w:val="20"/>
          <w:szCs w:val="21"/>
          <w:highlight w:val="none"/>
          <w:lang w:val="en-US" w:eastAsia="zh-CN"/>
        </w:rPr>
        <w:t>格式可自拟</w:t>
      </w:r>
      <w:r>
        <w:rPr>
          <w:rFonts w:hint="eastAsia" w:ascii="宋体" w:hAnsi="宋体"/>
          <w:b/>
          <w:iCs/>
          <w:color w:val="auto"/>
          <w:spacing w:val="20"/>
          <w:szCs w:val="21"/>
          <w:highlight w:val="none"/>
          <w:lang w:eastAsia="zh-CN"/>
        </w:rPr>
        <w:t>）</w:t>
      </w:r>
    </w:p>
    <w:p w14:paraId="298528F3">
      <w:pPr>
        <w:jc w:val="center"/>
        <w:rPr>
          <w:rFonts w:ascii="宋体" w:hAnsi="宋体"/>
          <w:b/>
          <w:iCs/>
          <w:color w:val="auto"/>
          <w:spacing w:val="20"/>
          <w:szCs w:val="21"/>
          <w:highlight w:val="none"/>
        </w:rPr>
      </w:pPr>
    </w:p>
    <w:tbl>
      <w:tblPr>
        <w:tblStyle w:val="2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40"/>
        <w:gridCol w:w="720"/>
        <w:gridCol w:w="720"/>
        <w:gridCol w:w="2160"/>
        <w:gridCol w:w="1800"/>
      </w:tblGrid>
      <w:tr w14:paraId="567A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20" w:type="dxa"/>
            <w:noWrap/>
            <w:vAlign w:val="center"/>
          </w:tcPr>
          <w:p w14:paraId="64114946">
            <w:pPr>
              <w:jc w:val="center"/>
              <w:rPr>
                <w:rFonts w:ascii="宋体"/>
                <w:b/>
                <w:color w:val="auto"/>
                <w:szCs w:val="21"/>
                <w:highlight w:val="none"/>
              </w:rPr>
            </w:pPr>
            <w:r>
              <w:rPr>
                <w:rFonts w:hint="eastAsia" w:ascii="宋体"/>
                <w:b/>
                <w:bCs/>
                <w:color w:val="auto"/>
                <w:szCs w:val="21"/>
                <w:highlight w:val="none"/>
              </w:rPr>
              <w:t>序号</w:t>
            </w:r>
          </w:p>
        </w:tc>
        <w:tc>
          <w:tcPr>
            <w:tcW w:w="2340" w:type="dxa"/>
            <w:noWrap/>
            <w:vAlign w:val="center"/>
          </w:tcPr>
          <w:p w14:paraId="03C93462">
            <w:pPr>
              <w:ind w:left="102"/>
              <w:jc w:val="center"/>
              <w:rPr>
                <w:rFonts w:ascii="宋体"/>
                <w:b/>
                <w:color w:val="auto"/>
                <w:szCs w:val="21"/>
                <w:highlight w:val="none"/>
              </w:rPr>
            </w:pPr>
            <w:r>
              <w:rPr>
                <w:rFonts w:hint="eastAsia" w:ascii="宋体"/>
                <w:b/>
                <w:color w:val="auto"/>
                <w:szCs w:val="21"/>
                <w:highlight w:val="none"/>
              </w:rPr>
              <w:t>分项内容</w:t>
            </w:r>
          </w:p>
        </w:tc>
        <w:tc>
          <w:tcPr>
            <w:tcW w:w="720" w:type="dxa"/>
            <w:noWrap/>
            <w:vAlign w:val="center"/>
          </w:tcPr>
          <w:p w14:paraId="69BFC7EB">
            <w:pPr>
              <w:jc w:val="center"/>
              <w:rPr>
                <w:rFonts w:ascii="宋体"/>
                <w:b/>
                <w:color w:val="auto"/>
                <w:szCs w:val="21"/>
                <w:highlight w:val="none"/>
              </w:rPr>
            </w:pPr>
            <w:r>
              <w:rPr>
                <w:rFonts w:hint="eastAsia" w:ascii="宋体"/>
                <w:b/>
                <w:color w:val="auto"/>
                <w:szCs w:val="21"/>
                <w:highlight w:val="none"/>
              </w:rPr>
              <w:t>单位</w:t>
            </w:r>
          </w:p>
        </w:tc>
        <w:tc>
          <w:tcPr>
            <w:tcW w:w="720" w:type="dxa"/>
            <w:noWrap/>
            <w:vAlign w:val="center"/>
          </w:tcPr>
          <w:p w14:paraId="129E222F">
            <w:pPr>
              <w:jc w:val="center"/>
              <w:rPr>
                <w:rFonts w:ascii="宋体"/>
                <w:b/>
                <w:color w:val="auto"/>
                <w:szCs w:val="21"/>
                <w:highlight w:val="none"/>
              </w:rPr>
            </w:pPr>
            <w:r>
              <w:rPr>
                <w:rFonts w:hint="eastAsia" w:ascii="宋体"/>
                <w:b/>
                <w:color w:val="auto"/>
                <w:szCs w:val="21"/>
                <w:highlight w:val="none"/>
              </w:rPr>
              <w:t>数量</w:t>
            </w:r>
          </w:p>
        </w:tc>
        <w:tc>
          <w:tcPr>
            <w:tcW w:w="2160" w:type="dxa"/>
            <w:noWrap/>
            <w:vAlign w:val="center"/>
          </w:tcPr>
          <w:p w14:paraId="51AD7081">
            <w:pPr>
              <w:jc w:val="center"/>
              <w:rPr>
                <w:rFonts w:ascii="宋体"/>
                <w:b/>
                <w:color w:val="auto"/>
                <w:szCs w:val="21"/>
                <w:highlight w:val="none"/>
              </w:rPr>
            </w:pPr>
            <w:r>
              <w:rPr>
                <w:rFonts w:hint="eastAsia" w:ascii="宋体"/>
                <w:b/>
                <w:color w:val="auto"/>
                <w:szCs w:val="21"/>
                <w:highlight w:val="none"/>
              </w:rPr>
              <w:t>分项报价单价（元）</w:t>
            </w:r>
          </w:p>
        </w:tc>
        <w:tc>
          <w:tcPr>
            <w:tcW w:w="1800" w:type="dxa"/>
            <w:noWrap/>
            <w:vAlign w:val="center"/>
          </w:tcPr>
          <w:p w14:paraId="3BA2D0BF">
            <w:pPr>
              <w:jc w:val="center"/>
              <w:rPr>
                <w:rFonts w:ascii="宋体"/>
                <w:b/>
                <w:color w:val="auto"/>
                <w:szCs w:val="21"/>
                <w:highlight w:val="none"/>
              </w:rPr>
            </w:pPr>
            <w:r>
              <w:rPr>
                <w:rFonts w:hint="eastAsia" w:ascii="宋体"/>
                <w:b/>
                <w:color w:val="auto"/>
                <w:szCs w:val="21"/>
                <w:highlight w:val="none"/>
              </w:rPr>
              <w:t>小计（元）</w:t>
            </w:r>
          </w:p>
        </w:tc>
      </w:tr>
      <w:tr w14:paraId="2E13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noWrap/>
            <w:vAlign w:val="center"/>
          </w:tcPr>
          <w:p w14:paraId="795929A4">
            <w:pPr>
              <w:jc w:val="center"/>
              <w:rPr>
                <w:rFonts w:ascii="宋体"/>
                <w:color w:val="auto"/>
                <w:szCs w:val="21"/>
                <w:highlight w:val="none"/>
              </w:rPr>
            </w:pPr>
            <w:r>
              <w:rPr>
                <w:rFonts w:hint="eastAsia" w:ascii="宋体"/>
                <w:color w:val="auto"/>
                <w:szCs w:val="21"/>
                <w:highlight w:val="none"/>
              </w:rPr>
              <w:t>1</w:t>
            </w:r>
          </w:p>
        </w:tc>
        <w:tc>
          <w:tcPr>
            <w:tcW w:w="2340" w:type="dxa"/>
            <w:noWrap/>
            <w:vAlign w:val="center"/>
          </w:tcPr>
          <w:p w14:paraId="207DCA76">
            <w:pPr>
              <w:jc w:val="center"/>
              <w:rPr>
                <w:rFonts w:ascii="宋体"/>
                <w:color w:val="auto"/>
                <w:szCs w:val="21"/>
                <w:highlight w:val="none"/>
              </w:rPr>
            </w:pPr>
          </w:p>
        </w:tc>
        <w:tc>
          <w:tcPr>
            <w:tcW w:w="720" w:type="dxa"/>
            <w:noWrap/>
            <w:vAlign w:val="center"/>
          </w:tcPr>
          <w:p w14:paraId="01938717">
            <w:pPr>
              <w:jc w:val="center"/>
              <w:rPr>
                <w:rFonts w:ascii="宋体"/>
                <w:color w:val="auto"/>
                <w:szCs w:val="21"/>
                <w:highlight w:val="none"/>
              </w:rPr>
            </w:pPr>
          </w:p>
        </w:tc>
        <w:tc>
          <w:tcPr>
            <w:tcW w:w="720" w:type="dxa"/>
            <w:noWrap/>
            <w:vAlign w:val="center"/>
          </w:tcPr>
          <w:p w14:paraId="62EEB5F1">
            <w:pPr>
              <w:jc w:val="center"/>
              <w:rPr>
                <w:rFonts w:ascii="宋体"/>
                <w:color w:val="auto"/>
                <w:szCs w:val="21"/>
                <w:highlight w:val="none"/>
              </w:rPr>
            </w:pPr>
          </w:p>
        </w:tc>
        <w:tc>
          <w:tcPr>
            <w:tcW w:w="2160" w:type="dxa"/>
            <w:noWrap/>
            <w:vAlign w:val="center"/>
          </w:tcPr>
          <w:p w14:paraId="4F9DFF2E">
            <w:pPr>
              <w:jc w:val="center"/>
              <w:rPr>
                <w:rFonts w:ascii="宋体"/>
                <w:color w:val="auto"/>
                <w:szCs w:val="21"/>
                <w:highlight w:val="none"/>
              </w:rPr>
            </w:pPr>
          </w:p>
        </w:tc>
        <w:tc>
          <w:tcPr>
            <w:tcW w:w="1800" w:type="dxa"/>
            <w:noWrap/>
            <w:vAlign w:val="center"/>
          </w:tcPr>
          <w:p w14:paraId="727C08B5">
            <w:pPr>
              <w:jc w:val="center"/>
              <w:rPr>
                <w:rFonts w:ascii="宋体"/>
                <w:color w:val="auto"/>
                <w:szCs w:val="21"/>
                <w:highlight w:val="none"/>
              </w:rPr>
            </w:pPr>
          </w:p>
        </w:tc>
      </w:tr>
      <w:tr w14:paraId="0C57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noWrap/>
            <w:vAlign w:val="center"/>
          </w:tcPr>
          <w:p w14:paraId="573F9163">
            <w:pPr>
              <w:jc w:val="center"/>
              <w:rPr>
                <w:rFonts w:ascii="宋体"/>
                <w:color w:val="auto"/>
                <w:szCs w:val="21"/>
                <w:highlight w:val="none"/>
              </w:rPr>
            </w:pPr>
            <w:r>
              <w:rPr>
                <w:rFonts w:hint="eastAsia" w:ascii="宋体"/>
                <w:color w:val="auto"/>
                <w:szCs w:val="21"/>
                <w:highlight w:val="none"/>
              </w:rPr>
              <w:t>2</w:t>
            </w:r>
          </w:p>
        </w:tc>
        <w:tc>
          <w:tcPr>
            <w:tcW w:w="2340" w:type="dxa"/>
            <w:noWrap/>
            <w:vAlign w:val="center"/>
          </w:tcPr>
          <w:p w14:paraId="20E2B600">
            <w:pPr>
              <w:jc w:val="center"/>
              <w:rPr>
                <w:rFonts w:ascii="宋体"/>
                <w:color w:val="auto"/>
                <w:szCs w:val="21"/>
                <w:highlight w:val="none"/>
              </w:rPr>
            </w:pPr>
          </w:p>
        </w:tc>
        <w:tc>
          <w:tcPr>
            <w:tcW w:w="720" w:type="dxa"/>
            <w:noWrap/>
            <w:vAlign w:val="center"/>
          </w:tcPr>
          <w:p w14:paraId="07AC4D82">
            <w:pPr>
              <w:jc w:val="center"/>
              <w:rPr>
                <w:rFonts w:ascii="宋体"/>
                <w:color w:val="auto"/>
                <w:szCs w:val="21"/>
                <w:highlight w:val="none"/>
              </w:rPr>
            </w:pPr>
          </w:p>
        </w:tc>
        <w:tc>
          <w:tcPr>
            <w:tcW w:w="720" w:type="dxa"/>
            <w:noWrap/>
            <w:vAlign w:val="center"/>
          </w:tcPr>
          <w:p w14:paraId="0FF158C9">
            <w:pPr>
              <w:jc w:val="center"/>
              <w:rPr>
                <w:rFonts w:ascii="宋体"/>
                <w:color w:val="auto"/>
                <w:szCs w:val="21"/>
                <w:highlight w:val="none"/>
              </w:rPr>
            </w:pPr>
          </w:p>
        </w:tc>
        <w:tc>
          <w:tcPr>
            <w:tcW w:w="2160" w:type="dxa"/>
            <w:noWrap/>
            <w:vAlign w:val="center"/>
          </w:tcPr>
          <w:p w14:paraId="5ECEED1A">
            <w:pPr>
              <w:jc w:val="center"/>
              <w:rPr>
                <w:rFonts w:ascii="宋体"/>
                <w:color w:val="auto"/>
                <w:szCs w:val="21"/>
                <w:highlight w:val="none"/>
              </w:rPr>
            </w:pPr>
          </w:p>
        </w:tc>
        <w:tc>
          <w:tcPr>
            <w:tcW w:w="1800" w:type="dxa"/>
            <w:noWrap/>
            <w:vAlign w:val="center"/>
          </w:tcPr>
          <w:p w14:paraId="5F73B051">
            <w:pPr>
              <w:jc w:val="center"/>
              <w:rPr>
                <w:rFonts w:ascii="宋体"/>
                <w:color w:val="auto"/>
                <w:szCs w:val="21"/>
                <w:highlight w:val="none"/>
              </w:rPr>
            </w:pPr>
          </w:p>
        </w:tc>
      </w:tr>
      <w:tr w14:paraId="3275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noWrap/>
            <w:vAlign w:val="center"/>
          </w:tcPr>
          <w:p w14:paraId="17BC72F5">
            <w:pPr>
              <w:jc w:val="center"/>
              <w:rPr>
                <w:rFonts w:ascii="宋体"/>
                <w:color w:val="auto"/>
                <w:szCs w:val="21"/>
                <w:highlight w:val="none"/>
              </w:rPr>
            </w:pPr>
            <w:r>
              <w:rPr>
                <w:rFonts w:hint="eastAsia" w:ascii="宋体"/>
                <w:color w:val="auto"/>
                <w:szCs w:val="21"/>
                <w:highlight w:val="none"/>
              </w:rPr>
              <w:t>…</w:t>
            </w:r>
          </w:p>
        </w:tc>
        <w:tc>
          <w:tcPr>
            <w:tcW w:w="2340" w:type="dxa"/>
            <w:noWrap/>
            <w:vAlign w:val="center"/>
          </w:tcPr>
          <w:p w14:paraId="0F02537A">
            <w:pPr>
              <w:jc w:val="center"/>
              <w:rPr>
                <w:rFonts w:ascii="宋体"/>
                <w:color w:val="auto"/>
                <w:szCs w:val="21"/>
                <w:highlight w:val="none"/>
              </w:rPr>
            </w:pPr>
          </w:p>
        </w:tc>
        <w:tc>
          <w:tcPr>
            <w:tcW w:w="720" w:type="dxa"/>
            <w:noWrap/>
            <w:vAlign w:val="center"/>
          </w:tcPr>
          <w:p w14:paraId="3FA1C218">
            <w:pPr>
              <w:jc w:val="center"/>
              <w:rPr>
                <w:rFonts w:ascii="宋体"/>
                <w:color w:val="auto"/>
                <w:szCs w:val="21"/>
                <w:highlight w:val="none"/>
              </w:rPr>
            </w:pPr>
          </w:p>
        </w:tc>
        <w:tc>
          <w:tcPr>
            <w:tcW w:w="720" w:type="dxa"/>
            <w:noWrap/>
            <w:vAlign w:val="center"/>
          </w:tcPr>
          <w:p w14:paraId="49FDF42D">
            <w:pPr>
              <w:jc w:val="center"/>
              <w:rPr>
                <w:rFonts w:ascii="宋体"/>
                <w:color w:val="auto"/>
                <w:szCs w:val="21"/>
                <w:highlight w:val="none"/>
              </w:rPr>
            </w:pPr>
          </w:p>
        </w:tc>
        <w:tc>
          <w:tcPr>
            <w:tcW w:w="2160" w:type="dxa"/>
            <w:noWrap/>
            <w:vAlign w:val="center"/>
          </w:tcPr>
          <w:p w14:paraId="3CCCFA46">
            <w:pPr>
              <w:jc w:val="center"/>
              <w:rPr>
                <w:rFonts w:ascii="宋体"/>
                <w:color w:val="auto"/>
                <w:szCs w:val="21"/>
                <w:highlight w:val="none"/>
              </w:rPr>
            </w:pPr>
          </w:p>
        </w:tc>
        <w:tc>
          <w:tcPr>
            <w:tcW w:w="1800" w:type="dxa"/>
            <w:noWrap/>
            <w:vAlign w:val="center"/>
          </w:tcPr>
          <w:p w14:paraId="6F92107B">
            <w:pPr>
              <w:jc w:val="center"/>
              <w:rPr>
                <w:rFonts w:ascii="宋体"/>
                <w:color w:val="auto"/>
                <w:szCs w:val="21"/>
                <w:highlight w:val="none"/>
              </w:rPr>
            </w:pPr>
          </w:p>
        </w:tc>
      </w:tr>
      <w:tr w14:paraId="6CEC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460" w:type="dxa"/>
            <w:gridSpan w:val="6"/>
            <w:noWrap/>
            <w:vAlign w:val="center"/>
          </w:tcPr>
          <w:p w14:paraId="46A05805">
            <w:pPr>
              <w:rPr>
                <w:rFonts w:ascii="宋体"/>
                <w:color w:val="auto"/>
                <w:sz w:val="28"/>
                <w:szCs w:val="28"/>
                <w:highlight w:val="none"/>
              </w:rPr>
            </w:pPr>
            <w:r>
              <w:rPr>
                <w:rFonts w:hint="eastAsia" w:ascii="宋体"/>
                <w:b/>
                <w:bCs/>
                <w:color w:val="auto"/>
                <w:sz w:val="28"/>
                <w:szCs w:val="28"/>
                <w:highlight w:val="none"/>
              </w:rPr>
              <w:t>报价合计（人民币大写）：                      （￥         ）</w:t>
            </w:r>
          </w:p>
        </w:tc>
      </w:tr>
    </w:tbl>
    <w:p w14:paraId="7093D865">
      <w:pPr>
        <w:pStyle w:val="7"/>
        <w:spacing w:line="360" w:lineRule="auto"/>
        <w:ind w:firstLine="4830" w:firstLineChars="2300"/>
        <w:rPr>
          <w:rFonts w:ascii="宋体"/>
          <w:color w:val="auto"/>
          <w:sz w:val="21"/>
          <w:szCs w:val="21"/>
          <w:highlight w:val="none"/>
        </w:rPr>
      </w:pPr>
    </w:p>
    <w:p w14:paraId="1549D1DA">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5C80F469">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1EDD69EC">
      <w:pPr>
        <w:spacing w:line="360" w:lineRule="auto"/>
        <w:ind w:firstLine="4830" w:firstLineChars="2300"/>
        <w:jc w:val="lef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年   月  日</w:t>
      </w:r>
    </w:p>
    <w:p w14:paraId="65E93951">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364FAB6">
      <w:pPr>
        <w:pStyle w:val="26"/>
        <w:rPr>
          <w:rFonts w:hint="eastAsia"/>
          <w:color w:val="auto"/>
          <w:highlight w:val="none"/>
          <w:lang w:val="en-US" w:eastAsia="zh-CN"/>
        </w:rPr>
      </w:pPr>
    </w:p>
    <w:p w14:paraId="5BEF1650">
      <w:pPr>
        <w:adjustRightInd w:val="0"/>
        <w:snapToGrid w:val="0"/>
        <w:spacing w:before="159" w:beforeLines="50" w:after="159" w:afterLines="50" w:line="360" w:lineRule="auto"/>
        <w:jc w:val="center"/>
        <w:outlineLvl w:val="0"/>
        <w:rPr>
          <w:rFonts w:ascii="宋体" w:hAnsi="宋体" w:cs="宋体"/>
          <w:b/>
          <w:color w:val="auto"/>
          <w:sz w:val="30"/>
          <w:szCs w:val="30"/>
          <w:highlight w:val="none"/>
        </w:rPr>
      </w:pPr>
      <w:bookmarkStart w:id="59" w:name="_Toc10774"/>
      <w:r>
        <w:rPr>
          <w:rFonts w:hint="eastAsia" w:ascii="宋体" w:hAnsi="宋体" w:cs="宋体"/>
          <w:b/>
          <w:color w:val="auto"/>
          <w:sz w:val="30"/>
          <w:szCs w:val="30"/>
          <w:highlight w:val="none"/>
        </w:rPr>
        <w:t>第</w:t>
      </w: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部分</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其它</w:t>
      </w:r>
      <w:bookmarkEnd w:id="57"/>
      <w:bookmarkEnd w:id="58"/>
      <w:bookmarkEnd w:id="59"/>
    </w:p>
    <w:p w14:paraId="4777F324">
      <w:pPr>
        <w:bidi w:val="0"/>
        <w:jc w:val="center"/>
        <w:rPr>
          <w:color w:val="auto"/>
          <w:sz w:val="32"/>
          <w:szCs w:val="40"/>
          <w:highlight w:val="none"/>
        </w:rPr>
      </w:pPr>
      <w:r>
        <w:rPr>
          <w:rFonts w:hint="eastAsia"/>
          <w:color w:val="auto"/>
          <w:sz w:val="32"/>
          <w:szCs w:val="40"/>
          <w:highlight w:val="none"/>
        </w:rPr>
        <w:t>磋商报价一览表（最终报价）</w:t>
      </w:r>
    </w:p>
    <w:p w14:paraId="2871F7B2">
      <w:pPr>
        <w:pStyle w:val="15"/>
        <w:snapToGrid w:val="0"/>
        <w:spacing w:line="400" w:lineRule="exact"/>
        <w:jc w:val="center"/>
        <w:rPr>
          <w:rFonts w:cs="Times New Roman"/>
          <w:b/>
          <w:color w:val="auto"/>
          <w:sz w:val="21"/>
          <w:szCs w:val="21"/>
          <w:highlight w:val="none"/>
        </w:rPr>
      </w:pPr>
    </w:p>
    <w:p w14:paraId="7A9ECD25">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32B1D711">
      <w:pPr>
        <w:pStyle w:val="12"/>
        <w:spacing w:line="400" w:lineRule="exact"/>
        <w:ind w:firstLine="0"/>
        <w:rPr>
          <w:rFonts w:eastAsia="宋体"/>
          <w:color w:val="auto"/>
          <w:sz w:val="21"/>
          <w:szCs w:val="21"/>
          <w:highlight w:val="none"/>
        </w:rPr>
      </w:pPr>
      <w:r>
        <w:rPr>
          <w:rFonts w:hint="eastAsia" w:cs="宋体"/>
          <w:color w:val="auto"/>
          <w:sz w:val="21"/>
          <w:szCs w:val="21"/>
          <w:highlight w:val="none"/>
          <w:lang w:val="en-US" w:eastAsia="zh-CN"/>
        </w:rPr>
        <w:t>磋商文件</w:t>
      </w:r>
      <w:r>
        <w:rPr>
          <w:rFonts w:hint="eastAsia" w:cs="宋体"/>
          <w:color w:val="auto"/>
          <w:sz w:val="21"/>
          <w:szCs w:val="21"/>
          <w:highlight w:val="none"/>
        </w:rPr>
        <w:t xml:space="preserve">编号： </w:t>
      </w:r>
    </w:p>
    <w:p w14:paraId="43B00E9A">
      <w:pPr>
        <w:pStyle w:val="12"/>
        <w:spacing w:line="400" w:lineRule="exact"/>
        <w:ind w:firstLine="420"/>
        <w:jc w:val="right"/>
        <w:rPr>
          <w:rFonts w:eastAsia="宋体"/>
          <w:color w:val="auto"/>
          <w:sz w:val="21"/>
          <w:szCs w:val="21"/>
          <w:highlight w:val="none"/>
        </w:rPr>
      </w:pPr>
      <w:r>
        <w:rPr>
          <w:rFonts w:hint="eastAsia" w:ascii="宋体" w:hAnsi="宋体" w:eastAsia="宋体"/>
          <w:color w:val="auto"/>
          <w:sz w:val="21"/>
          <w:szCs w:val="21"/>
          <w:highlight w:val="none"/>
        </w:rPr>
        <w:t>金额单位：</w:t>
      </w:r>
      <w:r>
        <w:rPr>
          <w:rFonts w:hint="eastAsia" w:eastAsia="宋体"/>
          <w:color w:val="auto"/>
          <w:sz w:val="21"/>
          <w:szCs w:val="21"/>
          <w:highlight w:val="none"/>
        </w:rPr>
        <w:t>人民币元</w:t>
      </w:r>
    </w:p>
    <w:tbl>
      <w:tblPr>
        <w:tblStyle w:val="2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6729"/>
      </w:tblGrid>
      <w:tr w14:paraId="1E2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430" w:type="dxa"/>
            <w:noWrap/>
            <w:vAlign w:val="center"/>
          </w:tcPr>
          <w:p w14:paraId="2A5731A6">
            <w:pPr>
              <w:adjustRightInd w:val="0"/>
              <w:snapToGrid w:val="0"/>
              <w:spacing w:line="400" w:lineRule="exact"/>
              <w:contextualSpacing/>
              <w:jc w:val="center"/>
              <w:rPr>
                <w:rFonts w:ascii="宋体" w:hAnsi="宋体" w:cs="Arial"/>
                <w:color w:val="auto"/>
                <w:szCs w:val="21"/>
                <w:highlight w:val="none"/>
              </w:rPr>
            </w:pPr>
            <w:r>
              <w:rPr>
                <w:rFonts w:hint="eastAsia" w:ascii="宋体" w:hAnsi="宋体" w:cs="宋体"/>
                <w:b/>
                <w:color w:val="auto"/>
                <w:kern w:val="0"/>
                <w:szCs w:val="21"/>
                <w:highlight w:val="none"/>
              </w:rPr>
              <w:t>项目名称</w:t>
            </w:r>
          </w:p>
        </w:tc>
        <w:tc>
          <w:tcPr>
            <w:tcW w:w="6729" w:type="dxa"/>
            <w:noWrap/>
            <w:vAlign w:val="center"/>
          </w:tcPr>
          <w:p w14:paraId="613DE1B8">
            <w:pPr>
              <w:spacing w:before="120" w:beforeLines="50"/>
              <w:jc w:val="center"/>
              <w:rPr>
                <w:rFonts w:ascii="宋体" w:hAnsi="宋体" w:cs="Arial"/>
                <w:color w:val="auto"/>
                <w:szCs w:val="21"/>
                <w:highlight w:val="none"/>
              </w:rPr>
            </w:pPr>
          </w:p>
        </w:tc>
      </w:tr>
      <w:tr w14:paraId="5A09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430" w:type="dxa"/>
            <w:noWrap/>
            <w:vAlign w:val="center"/>
          </w:tcPr>
          <w:p w14:paraId="5BD2C7A0">
            <w:pPr>
              <w:adjustRightInd w:val="0"/>
              <w:snapToGrid w:val="0"/>
              <w:spacing w:line="400" w:lineRule="exact"/>
              <w:contextualSpacing/>
              <w:jc w:val="center"/>
              <w:rPr>
                <w:rFonts w:ascii="宋体" w:hAnsi="宋体" w:cs="Arial"/>
                <w:color w:val="auto"/>
                <w:szCs w:val="21"/>
                <w:highlight w:val="none"/>
              </w:rPr>
            </w:pPr>
            <w:r>
              <w:rPr>
                <w:rFonts w:hint="eastAsia" w:ascii="宋体" w:hAnsi="宋体" w:cs="宋体"/>
                <w:b/>
                <w:color w:val="auto"/>
                <w:kern w:val="0"/>
                <w:szCs w:val="21"/>
                <w:highlight w:val="none"/>
              </w:rPr>
              <w:t>采购内容</w:t>
            </w:r>
          </w:p>
        </w:tc>
        <w:tc>
          <w:tcPr>
            <w:tcW w:w="6729" w:type="dxa"/>
            <w:noWrap/>
            <w:vAlign w:val="center"/>
          </w:tcPr>
          <w:p w14:paraId="594F78D5">
            <w:pPr>
              <w:spacing w:before="120" w:beforeLines="50"/>
              <w:jc w:val="center"/>
              <w:rPr>
                <w:rFonts w:ascii="宋体" w:hAnsi="宋体" w:cs="Arial"/>
                <w:color w:val="auto"/>
                <w:szCs w:val="21"/>
                <w:highlight w:val="none"/>
              </w:rPr>
            </w:pPr>
          </w:p>
        </w:tc>
      </w:tr>
      <w:tr w14:paraId="19AB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30" w:type="dxa"/>
            <w:noWrap/>
            <w:vAlign w:val="center"/>
          </w:tcPr>
          <w:p w14:paraId="060AA375">
            <w:pPr>
              <w:adjustRightInd w:val="0"/>
              <w:snapToGrid w:val="0"/>
              <w:spacing w:line="400" w:lineRule="exact"/>
              <w:contextualSpacing/>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磋商最终总</w:t>
            </w:r>
            <w:r>
              <w:rPr>
                <w:rFonts w:hint="eastAsia" w:ascii="宋体" w:hAnsi="宋体" w:cs="宋体"/>
                <w:b/>
                <w:color w:val="auto"/>
                <w:kern w:val="0"/>
                <w:szCs w:val="21"/>
                <w:highlight w:val="none"/>
              </w:rPr>
              <w:t>报价</w:t>
            </w:r>
          </w:p>
          <w:p w14:paraId="55D70F66">
            <w:pPr>
              <w:adjustRightInd w:val="0"/>
              <w:snapToGrid w:val="0"/>
              <w:spacing w:line="400" w:lineRule="exact"/>
              <w:contextualSpacing/>
              <w:jc w:val="center"/>
              <w:rPr>
                <w:rFonts w:ascii="宋体" w:hAnsi="宋体" w:cs="Arial"/>
                <w:color w:val="auto"/>
                <w:szCs w:val="21"/>
                <w:highlight w:val="none"/>
              </w:rPr>
            </w:pPr>
          </w:p>
        </w:tc>
        <w:tc>
          <w:tcPr>
            <w:tcW w:w="6729" w:type="dxa"/>
            <w:noWrap/>
            <w:vAlign w:val="center"/>
          </w:tcPr>
          <w:p w14:paraId="1D8B268E">
            <w:pPr>
              <w:spacing w:before="12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小写：￥</w:t>
            </w:r>
          </w:p>
          <w:p w14:paraId="4F002E86">
            <w:pPr>
              <w:spacing w:before="120" w:beforeLines="50"/>
              <w:jc w:val="left"/>
              <w:rPr>
                <w:rFonts w:ascii="宋体" w:hAnsi="宋体" w:cs="Arial"/>
                <w:color w:val="auto"/>
                <w:szCs w:val="21"/>
                <w:highlight w:val="none"/>
              </w:rPr>
            </w:pPr>
            <w:r>
              <w:rPr>
                <w:rFonts w:hint="eastAsia" w:ascii="宋体" w:hAnsi="宋体" w:cs="宋体"/>
                <w:bCs/>
                <w:color w:val="auto"/>
                <w:kern w:val="0"/>
                <w:szCs w:val="21"/>
                <w:highlight w:val="none"/>
              </w:rPr>
              <w:t>人民币大写：</w:t>
            </w:r>
          </w:p>
        </w:tc>
      </w:tr>
      <w:tr w14:paraId="0F5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30" w:type="dxa"/>
            <w:noWrap/>
            <w:vAlign w:val="center"/>
          </w:tcPr>
          <w:p w14:paraId="376BC0F7">
            <w:pPr>
              <w:adjustRightInd w:val="0"/>
              <w:snapToGrid w:val="0"/>
              <w:spacing w:line="400" w:lineRule="exact"/>
              <w:contextualSpacing/>
              <w:jc w:val="center"/>
              <w:rPr>
                <w:rFonts w:ascii="宋体" w:hAnsi="宋体" w:cs="Arial"/>
                <w:color w:val="auto"/>
                <w:szCs w:val="21"/>
                <w:highlight w:val="none"/>
              </w:rPr>
            </w:pPr>
            <w:r>
              <w:rPr>
                <w:rFonts w:hint="eastAsia" w:ascii="宋体" w:hAnsi="宋体" w:cs="宋体"/>
                <w:b/>
                <w:color w:val="auto"/>
                <w:kern w:val="0"/>
                <w:szCs w:val="21"/>
                <w:highlight w:val="none"/>
              </w:rPr>
              <w:t>备注</w:t>
            </w:r>
          </w:p>
        </w:tc>
        <w:tc>
          <w:tcPr>
            <w:tcW w:w="6729" w:type="dxa"/>
            <w:noWrap/>
            <w:vAlign w:val="center"/>
          </w:tcPr>
          <w:p w14:paraId="0739DE58">
            <w:pPr>
              <w:widowControl/>
              <w:spacing w:line="400" w:lineRule="exact"/>
              <w:rPr>
                <w:rFonts w:ascii="宋体" w:hAnsi="宋体" w:cs="Arial"/>
                <w:color w:val="auto"/>
                <w:szCs w:val="21"/>
                <w:highlight w:val="none"/>
              </w:rPr>
            </w:pPr>
          </w:p>
        </w:tc>
      </w:tr>
    </w:tbl>
    <w:p w14:paraId="096F680B">
      <w:pPr>
        <w:spacing w:line="360" w:lineRule="auto"/>
        <w:ind w:firstLine="5670" w:firstLineChars="2700"/>
        <w:jc w:val="left"/>
        <w:rPr>
          <w:rFonts w:ascii="宋体" w:hAnsi="宋体" w:cs="宋体"/>
          <w:color w:val="auto"/>
          <w:szCs w:val="21"/>
          <w:highlight w:val="none"/>
        </w:rPr>
      </w:pPr>
    </w:p>
    <w:p w14:paraId="5A03C98D">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376AF862">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3B41F1AD">
      <w:pPr>
        <w:spacing w:line="360" w:lineRule="auto"/>
        <w:ind w:firstLine="4830" w:firstLineChars="2300"/>
        <w:jc w:val="left"/>
        <w:rPr>
          <w:rFonts w:ascii="宋体" w:hAnsi="宋体" w:cs="宋体"/>
          <w:color w:val="auto"/>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年   月  日</w:t>
      </w:r>
    </w:p>
    <w:p w14:paraId="318258B1">
      <w:pPr>
        <w:pStyle w:val="39"/>
        <w:spacing w:before="159"/>
        <w:rPr>
          <w:rFonts w:ascii="宋体" w:hAnsi="宋体"/>
          <w:b/>
          <w:color w:val="auto"/>
          <w:szCs w:val="21"/>
          <w:highlight w:val="none"/>
        </w:rPr>
      </w:pPr>
    </w:p>
    <w:sectPr>
      <w:headerReference r:id="rId9" w:type="default"/>
      <w:footerReference r:id="rId10" w:type="default"/>
      <w:pgSz w:w="11906" w:h="16838"/>
      <w:pgMar w:top="1417" w:right="1417" w:bottom="1417" w:left="1417"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B8D5">
    <w:pPr>
      <w:pStyle w:val="18"/>
      <w:framePr w:wrap="around" w:vAnchor="text" w:hAnchor="margin" w:xAlign="center" w:y="1"/>
      <w:rPr>
        <w:rStyle w:val="31"/>
      </w:rPr>
    </w:pPr>
    <w:r>
      <w:fldChar w:fldCharType="begin"/>
    </w:r>
    <w:r>
      <w:rPr>
        <w:rStyle w:val="31"/>
      </w:rPr>
      <w:instrText xml:space="preserve">PAGE  </w:instrText>
    </w:r>
    <w:r>
      <w:fldChar w:fldCharType="end"/>
    </w:r>
  </w:p>
  <w:p w14:paraId="4B0CBE6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FDFD">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922D6">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F922D6">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51C88">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45CF4">
                          <w:pPr>
                            <w:pStyle w:val="1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945CF4">
                    <w:pPr>
                      <w:pStyle w:val="1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BE3C">
    <w:pPr>
      <w:pStyle w:val="19"/>
      <w:pBdr>
        <w:bottom w:val="none" w:color="auto" w:sz="0" w:space="0"/>
      </w:pBdr>
      <w:jc w:val="left"/>
      <w:rPr>
        <w:rFonts w:ascii="宋体" w:hAnsi="宋体" w:eastAsia="宋体" w:cs="宋体"/>
        <w:sz w:val="24"/>
        <w:u w:val="single"/>
      </w:rPr>
    </w:pPr>
    <w:r>
      <w:rPr>
        <w:rFonts w:hint="eastAsia" w:ascii="宋体" w:hAnsi="宋体" w:eastAsia="宋体" w:cs="宋体"/>
        <w:color w:val="000000"/>
        <w:sz w:val="24"/>
        <w:u w:val="single"/>
      </w:rPr>
      <w:t xml:space="preserve">   城投公司安置房智慧电梯监管系统建设项目磋商文件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7D0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829E">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A230">
    <w:pPr>
      <w:pStyle w:val="19"/>
      <w:jc w:val="both"/>
    </w:pPr>
    <w:r>
      <w:rPr>
        <w:rFonts w:hint="eastAsia" w:ascii="宋体" w:hAnsi="宋体" w:eastAsia="宋体" w:cs="宋体"/>
        <w:color w:val="000000"/>
        <w:sz w:val="24"/>
        <w:lang w:eastAsia="zh-CN"/>
      </w:rPr>
      <w:t>平湖市新仓镇01-03城镇单元制性详细规划服务采购项目</w:t>
    </w:r>
    <w:r>
      <w:rPr>
        <w:rFonts w:hint="eastAsia" w:ascii="宋体" w:hAnsi="宋体" w:eastAsia="宋体" w:cs="宋体"/>
        <w:color w:val="000000"/>
        <w:sz w:val="24"/>
      </w:rPr>
      <w:t>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C733B">
    <w:pPr>
      <w:pStyle w:val="19"/>
      <w:jc w:val="both"/>
    </w:pPr>
    <w:r>
      <w:rPr>
        <w:rFonts w:hint="eastAsia" w:ascii="宋体" w:hAnsi="宋体" w:eastAsia="宋体" w:cs="宋体"/>
        <w:color w:val="000000"/>
        <w:sz w:val="24"/>
        <w:lang w:eastAsia="zh-CN"/>
      </w:rPr>
      <w:t>平湖市新仓镇01-03城镇单元制性详细规划服务采购项目</w:t>
    </w:r>
    <w:r>
      <w:rPr>
        <w:rFonts w:hint="eastAsia" w:ascii="宋体" w:hAnsi="宋体" w:eastAsia="宋体" w:cs="宋体"/>
        <w:color w:val="000000"/>
        <w:sz w:val="24"/>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F12E7"/>
    <w:multiLevelType w:val="singleLevel"/>
    <w:tmpl w:val="AB6F12E7"/>
    <w:lvl w:ilvl="0" w:tentative="0">
      <w:start w:val="1"/>
      <w:numFmt w:val="chineseCounting"/>
      <w:suff w:val="space"/>
      <w:lvlText w:val="第%1部分"/>
      <w:lvlJc w:val="left"/>
      <w:rPr>
        <w:rFonts w:hint="eastAsia"/>
      </w:rPr>
    </w:lvl>
  </w:abstractNum>
  <w:abstractNum w:abstractNumId="1">
    <w:nsid w:val="063662B8"/>
    <w:multiLevelType w:val="singleLevel"/>
    <w:tmpl w:val="063662B8"/>
    <w:lvl w:ilvl="0" w:tentative="0">
      <w:start w:val="1"/>
      <w:numFmt w:val="decimal"/>
      <w:suff w:val="nothing"/>
      <w:lvlText w:val="%1、"/>
      <w:lvlJc w:val="left"/>
    </w:lvl>
  </w:abstractNum>
  <w:abstractNum w:abstractNumId="2">
    <w:nsid w:val="2536C06D"/>
    <w:multiLevelType w:val="singleLevel"/>
    <w:tmpl w:val="2536C06D"/>
    <w:lvl w:ilvl="0" w:tentative="0">
      <w:start w:val="2"/>
      <w:numFmt w:val="decimal"/>
      <w:suff w:val="nothing"/>
      <w:lvlText w:val="%1、"/>
      <w:lvlJc w:val="left"/>
    </w:lvl>
  </w:abstractNum>
  <w:abstractNum w:abstractNumId="3">
    <w:nsid w:val="5257F154"/>
    <w:multiLevelType w:val="singleLevel"/>
    <w:tmpl w:val="5257F154"/>
    <w:lvl w:ilvl="0" w:tentative="0">
      <w:start w:val="1"/>
      <w:numFmt w:val="decimal"/>
      <w:pStyle w:val="6"/>
      <w:lvlText w:val="%1."/>
      <w:lvlJc w:val="left"/>
      <w:pPr>
        <w:tabs>
          <w:tab w:val="left" w:pos="360"/>
        </w:tabs>
        <w:ind w:left="360" w:hanging="36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TViZDY4MjYwYzZhNjViMDk0YThkMWQ3YzMzZjMifQ=="/>
  </w:docVars>
  <w:rsids>
    <w:rsidRoot w:val="1FF57905"/>
    <w:rsid w:val="000009D6"/>
    <w:rsid w:val="00002E18"/>
    <w:rsid w:val="00003F3B"/>
    <w:rsid w:val="00004C15"/>
    <w:rsid w:val="00006074"/>
    <w:rsid w:val="00007162"/>
    <w:rsid w:val="000107CC"/>
    <w:rsid w:val="00011F05"/>
    <w:rsid w:val="000229C8"/>
    <w:rsid w:val="00032C92"/>
    <w:rsid w:val="0003351A"/>
    <w:rsid w:val="00033870"/>
    <w:rsid w:val="000406DF"/>
    <w:rsid w:val="00054A08"/>
    <w:rsid w:val="0006430C"/>
    <w:rsid w:val="000833CA"/>
    <w:rsid w:val="00085A21"/>
    <w:rsid w:val="000B110E"/>
    <w:rsid w:val="000B5A93"/>
    <w:rsid w:val="000E4E10"/>
    <w:rsid w:val="000E5326"/>
    <w:rsid w:val="00102513"/>
    <w:rsid w:val="00106A57"/>
    <w:rsid w:val="00115A24"/>
    <w:rsid w:val="00126DF8"/>
    <w:rsid w:val="00161608"/>
    <w:rsid w:val="001622B5"/>
    <w:rsid w:val="00176050"/>
    <w:rsid w:val="00195E97"/>
    <w:rsid w:val="001A3E57"/>
    <w:rsid w:val="001A5567"/>
    <w:rsid w:val="001F0E93"/>
    <w:rsid w:val="002163C0"/>
    <w:rsid w:val="00240180"/>
    <w:rsid w:val="00242A05"/>
    <w:rsid w:val="002726CA"/>
    <w:rsid w:val="002814E3"/>
    <w:rsid w:val="00285FDF"/>
    <w:rsid w:val="002915C7"/>
    <w:rsid w:val="00296BA5"/>
    <w:rsid w:val="002A396E"/>
    <w:rsid w:val="002A5C37"/>
    <w:rsid w:val="002B7A56"/>
    <w:rsid w:val="002C2BAC"/>
    <w:rsid w:val="002E5853"/>
    <w:rsid w:val="002E5DA9"/>
    <w:rsid w:val="00301E7B"/>
    <w:rsid w:val="0030217E"/>
    <w:rsid w:val="003178AB"/>
    <w:rsid w:val="00323655"/>
    <w:rsid w:val="003325A7"/>
    <w:rsid w:val="00355862"/>
    <w:rsid w:val="00365646"/>
    <w:rsid w:val="00376B79"/>
    <w:rsid w:val="0039590F"/>
    <w:rsid w:val="003A3AFA"/>
    <w:rsid w:val="003A6F9D"/>
    <w:rsid w:val="003E24BB"/>
    <w:rsid w:val="003F3319"/>
    <w:rsid w:val="003F4151"/>
    <w:rsid w:val="0040633D"/>
    <w:rsid w:val="00407495"/>
    <w:rsid w:val="004120CF"/>
    <w:rsid w:val="004222F2"/>
    <w:rsid w:val="004336E8"/>
    <w:rsid w:val="004370AD"/>
    <w:rsid w:val="00451946"/>
    <w:rsid w:val="00455429"/>
    <w:rsid w:val="0046181D"/>
    <w:rsid w:val="004625C5"/>
    <w:rsid w:val="00496365"/>
    <w:rsid w:val="00496A8D"/>
    <w:rsid w:val="004C72FE"/>
    <w:rsid w:val="004D0E07"/>
    <w:rsid w:val="004E0151"/>
    <w:rsid w:val="004F1B94"/>
    <w:rsid w:val="0050439A"/>
    <w:rsid w:val="00507A8E"/>
    <w:rsid w:val="0051002D"/>
    <w:rsid w:val="00513E48"/>
    <w:rsid w:val="005262FD"/>
    <w:rsid w:val="00527303"/>
    <w:rsid w:val="005367E2"/>
    <w:rsid w:val="00542C27"/>
    <w:rsid w:val="0055021B"/>
    <w:rsid w:val="00556163"/>
    <w:rsid w:val="00563065"/>
    <w:rsid w:val="00581965"/>
    <w:rsid w:val="0059014B"/>
    <w:rsid w:val="005A7604"/>
    <w:rsid w:val="005C2247"/>
    <w:rsid w:val="005C573F"/>
    <w:rsid w:val="00625DDF"/>
    <w:rsid w:val="00630ADE"/>
    <w:rsid w:val="00634DCE"/>
    <w:rsid w:val="00671A1B"/>
    <w:rsid w:val="00687C20"/>
    <w:rsid w:val="00696D51"/>
    <w:rsid w:val="006C4FB2"/>
    <w:rsid w:val="006E5782"/>
    <w:rsid w:val="00711477"/>
    <w:rsid w:val="00715C20"/>
    <w:rsid w:val="00716A5F"/>
    <w:rsid w:val="007234F2"/>
    <w:rsid w:val="00741149"/>
    <w:rsid w:val="00756873"/>
    <w:rsid w:val="00760ED2"/>
    <w:rsid w:val="007659CD"/>
    <w:rsid w:val="00767544"/>
    <w:rsid w:val="007761CD"/>
    <w:rsid w:val="007844EF"/>
    <w:rsid w:val="00796B56"/>
    <w:rsid w:val="007A510F"/>
    <w:rsid w:val="007C6B5A"/>
    <w:rsid w:val="007D3448"/>
    <w:rsid w:val="007D5A55"/>
    <w:rsid w:val="00800EF0"/>
    <w:rsid w:val="00810D1E"/>
    <w:rsid w:val="008334E1"/>
    <w:rsid w:val="00844FEB"/>
    <w:rsid w:val="00846FE8"/>
    <w:rsid w:val="00867EBC"/>
    <w:rsid w:val="008717F9"/>
    <w:rsid w:val="008764B6"/>
    <w:rsid w:val="00877A9F"/>
    <w:rsid w:val="008806C3"/>
    <w:rsid w:val="00894F63"/>
    <w:rsid w:val="00894FEC"/>
    <w:rsid w:val="008B314F"/>
    <w:rsid w:val="008B534D"/>
    <w:rsid w:val="008B57FA"/>
    <w:rsid w:val="008C3404"/>
    <w:rsid w:val="008C4A6F"/>
    <w:rsid w:val="008C5691"/>
    <w:rsid w:val="008C7C5B"/>
    <w:rsid w:val="009000FE"/>
    <w:rsid w:val="009449E2"/>
    <w:rsid w:val="00947170"/>
    <w:rsid w:val="00947713"/>
    <w:rsid w:val="00954D42"/>
    <w:rsid w:val="00956009"/>
    <w:rsid w:val="00961868"/>
    <w:rsid w:val="00967660"/>
    <w:rsid w:val="00975318"/>
    <w:rsid w:val="009C3D0C"/>
    <w:rsid w:val="009D033E"/>
    <w:rsid w:val="009D6FB7"/>
    <w:rsid w:val="009E3363"/>
    <w:rsid w:val="009E78C4"/>
    <w:rsid w:val="009F2B52"/>
    <w:rsid w:val="009F4E6B"/>
    <w:rsid w:val="00A04932"/>
    <w:rsid w:val="00A1677D"/>
    <w:rsid w:val="00A1761F"/>
    <w:rsid w:val="00A25702"/>
    <w:rsid w:val="00A367A0"/>
    <w:rsid w:val="00A4491D"/>
    <w:rsid w:val="00A453D6"/>
    <w:rsid w:val="00A51CB2"/>
    <w:rsid w:val="00A53CFF"/>
    <w:rsid w:val="00A774D6"/>
    <w:rsid w:val="00A776AE"/>
    <w:rsid w:val="00A77B59"/>
    <w:rsid w:val="00A8712D"/>
    <w:rsid w:val="00A96240"/>
    <w:rsid w:val="00AA257B"/>
    <w:rsid w:val="00AB3291"/>
    <w:rsid w:val="00AB4769"/>
    <w:rsid w:val="00AF203B"/>
    <w:rsid w:val="00B36059"/>
    <w:rsid w:val="00B37CE1"/>
    <w:rsid w:val="00B45B4A"/>
    <w:rsid w:val="00B54691"/>
    <w:rsid w:val="00B65AE1"/>
    <w:rsid w:val="00B66136"/>
    <w:rsid w:val="00B6687C"/>
    <w:rsid w:val="00B7193E"/>
    <w:rsid w:val="00B87DD7"/>
    <w:rsid w:val="00BA0645"/>
    <w:rsid w:val="00C11960"/>
    <w:rsid w:val="00C15CD0"/>
    <w:rsid w:val="00C1637A"/>
    <w:rsid w:val="00C215D9"/>
    <w:rsid w:val="00C2748D"/>
    <w:rsid w:val="00C369BF"/>
    <w:rsid w:val="00C57D56"/>
    <w:rsid w:val="00C60A7D"/>
    <w:rsid w:val="00C60B61"/>
    <w:rsid w:val="00C75AA0"/>
    <w:rsid w:val="00C7695F"/>
    <w:rsid w:val="00C844A0"/>
    <w:rsid w:val="00CB052B"/>
    <w:rsid w:val="00CB0741"/>
    <w:rsid w:val="00CB09F0"/>
    <w:rsid w:val="00CC2C0B"/>
    <w:rsid w:val="00CC62D0"/>
    <w:rsid w:val="00CC7192"/>
    <w:rsid w:val="00CD29C9"/>
    <w:rsid w:val="00CF0D14"/>
    <w:rsid w:val="00CF159C"/>
    <w:rsid w:val="00D00D7E"/>
    <w:rsid w:val="00D019D9"/>
    <w:rsid w:val="00D01BA7"/>
    <w:rsid w:val="00D02E06"/>
    <w:rsid w:val="00D300AF"/>
    <w:rsid w:val="00D328A5"/>
    <w:rsid w:val="00D35256"/>
    <w:rsid w:val="00D477CF"/>
    <w:rsid w:val="00D47E4F"/>
    <w:rsid w:val="00D6192A"/>
    <w:rsid w:val="00D80BE7"/>
    <w:rsid w:val="00D844F9"/>
    <w:rsid w:val="00D94A41"/>
    <w:rsid w:val="00DB611C"/>
    <w:rsid w:val="00DC1008"/>
    <w:rsid w:val="00DD1F44"/>
    <w:rsid w:val="00DD6181"/>
    <w:rsid w:val="00DE4695"/>
    <w:rsid w:val="00DF50E4"/>
    <w:rsid w:val="00DF64CB"/>
    <w:rsid w:val="00E23716"/>
    <w:rsid w:val="00E275EC"/>
    <w:rsid w:val="00E27E9C"/>
    <w:rsid w:val="00E32952"/>
    <w:rsid w:val="00E46988"/>
    <w:rsid w:val="00E61D95"/>
    <w:rsid w:val="00E704FE"/>
    <w:rsid w:val="00E759CD"/>
    <w:rsid w:val="00E81747"/>
    <w:rsid w:val="00E828A8"/>
    <w:rsid w:val="00E85E26"/>
    <w:rsid w:val="00EA4F28"/>
    <w:rsid w:val="00EA6B59"/>
    <w:rsid w:val="00EC0A88"/>
    <w:rsid w:val="00EF7AF4"/>
    <w:rsid w:val="00F07B5C"/>
    <w:rsid w:val="00F234DF"/>
    <w:rsid w:val="00F3276B"/>
    <w:rsid w:val="00F43EDC"/>
    <w:rsid w:val="00F50E00"/>
    <w:rsid w:val="00F55BB8"/>
    <w:rsid w:val="00F62D9B"/>
    <w:rsid w:val="00F926B2"/>
    <w:rsid w:val="00FA11AC"/>
    <w:rsid w:val="00FA405E"/>
    <w:rsid w:val="00FA5AA3"/>
    <w:rsid w:val="00FB0C55"/>
    <w:rsid w:val="00FC1530"/>
    <w:rsid w:val="00FE1FE1"/>
    <w:rsid w:val="00FE65C4"/>
    <w:rsid w:val="012B4E80"/>
    <w:rsid w:val="013C06BC"/>
    <w:rsid w:val="013F6B64"/>
    <w:rsid w:val="0145726D"/>
    <w:rsid w:val="01D96B25"/>
    <w:rsid w:val="01DB3B8D"/>
    <w:rsid w:val="0204191F"/>
    <w:rsid w:val="028862AA"/>
    <w:rsid w:val="02F66AEC"/>
    <w:rsid w:val="03006250"/>
    <w:rsid w:val="0341220C"/>
    <w:rsid w:val="036528FC"/>
    <w:rsid w:val="038E469F"/>
    <w:rsid w:val="0390163E"/>
    <w:rsid w:val="03F40DCB"/>
    <w:rsid w:val="040A6D8B"/>
    <w:rsid w:val="040C7B8E"/>
    <w:rsid w:val="042D2776"/>
    <w:rsid w:val="042F445E"/>
    <w:rsid w:val="04593B34"/>
    <w:rsid w:val="047F723D"/>
    <w:rsid w:val="04E800AC"/>
    <w:rsid w:val="053D0831"/>
    <w:rsid w:val="067453E7"/>
    <w:rsid w:val="06810C27"/>
    <w:rsid w:val="06B46FA1"/>
    <w:rsid w:val="06D24366"/>
    <w:rsid w:val="0722600C"/>
    <w:rsid w:val="0723245A"/>
    <w:rsid w:val="07290AFB"/>
    <w:rsid w:val="073E708E"/>
    <w:rsid w:val="074A7018"/>
    <w:rsid w:val="075D0824"/>
    <w:rsid w:val="075D30EC"/>
    <w:rsid w:val="088C7DB3"/>
    <w:rsid w:val="09065191"/>
    <w:rsid w:val="09102B5A"/>
    <w:rsid w:val="095841ED"/>
    <w:rsid w:val="09722ECD"/>
    <w:rsid w:val="0AC06079"/>
    <w:rsid w:val="0ACC2445"/>
    <w:rsid w:val="0ACE05D7"/>
    <w:rsid w:val="0B5B534D"/>
    <w:rsid w:val="0B93537C"/>
    <w:rsid w:val="0BBF2D0A"/>
    <w:rsid w:val="0CAE1503"/>
    <w:rsid w:val="0D847672"/>
    <w:rsid w:val="0E427599"/>
    <w:rsid w:val="0E46625E"/>
    <w:rsid w:val="0EB45D35"/>
    <w:rsid w:val="0F84395A"/>
    <w:rsid w:val="0FBA436E"/>
    <w:rsid w:val="10252619"/>
    <w:rsid w:val="103A5C95"/>
    <w:rsid w:val="109E4EEF"/>
    <w:rsid w:val="10B52B76"/>
    <w:rsid w:val="10DE0116"/>
    <w:rsid w:val="119540A4"/>
    <w:rsid w:val="125E7394"/>
    <w:rsid w:val="12653A13"/>
    <w:rsid w:val="13686946"/>
    <w:rsid w:val="13C31C76"/>
    <w:rsid w:val="13FA265F"/>
    <w:rsid w:val="14025795"/>
    <w:rsid w:val="143B10C7"/>
    <w:rsid w:val="14C30A80"/>
    <w:rsid w:val="15751756"/>
    <w:rsid w:val="15A73A5F"/>
    <w:rsid w:val="173D31BB"/>
    <w:rsid w:val="17400A70"/>
    <w:rsid w:val="17637D64"/>
    <w:rsid w:val="17DF502E"/>
    <w:rsid w:val="18093797"/>
    <w:rsid w:val="18383533"/>
    <w:rsid w:val="184B5CDC"/>
    <w:rsid w:val="18581E27"/>
    <w:rsid w:val="18D6546C"/>
    <w:rsid w:val="19063631"/>
    <w:rsid w:val="19B32C45"/>
    <w:rsid w:val="1AAA44A7"/>
    <w:rsid w:val="1AAC6E3D"/>
    <w:rsid w:val="1AC930B5"/>
    <w:rsid w:val="1B7D5D7F"/>
    <w:rsid w:val="1B99078D"/>
    <w:rsid w:val="1BAF4ADC"/>
    <w:rsid w:val="1BD72D8D"/>
    <w:rsid w:val="1C623275"/>
    <w:rsid w:val="1C770859"/>
    <w:rsid w:val="1C927C25"/>
    <w:rsid w:val="1CB47967"/>
    <w:rsid w:val="1CC302EA"/>
    <w:rsid w:val="1CE82EF4"/>
    <w:rsid w:val="1D904FB2"/>
    <w:rsid w:val="1DB87EE1"/>
    <w:rsid w:val="1E566FF3"/>
    <w:rsid w:val="1E8A1706"/>
    <w:rsid w:val="1EE44415"/>
    <w:rsid w:val="1F073C5F"/>
    <w:rsid w:val="1FD13FB9"/>
    <w:rsid w:val="1FF57905"/>
    <w:rsid w:val="200B51CB"/>
    <w:rsid w:val="213E024C"/>
    <w:rsid w:val="214116AB"/>
    <w:rsid w:val="217F4023"/>
    <w:rsid w:val="21C77DD1"/>
    <w:rsid w:val="21CE5E36"/>
    <w:rsid w:val="22094A37"/>
    <w:rsid w:val="22312638"/>
    <w:rsid w:val="22552F34"/>
    <w:rsid w:val="22654E4B"/>
    <w:rsid w:val="22BA14E5"/>
    <w:rsid w:val="23082921"/>
    <w:rsid w:val="23122C2F"/>
    <w:rsid w:val="23575981"/>
    <w:rsid w:val="23DE5924"/>
    <w:rsid w:val="24A0493A"/>
    <w:rsid w:val="24D57A5F"/>
    <w:rsid w:val="24E24592"/>
    <w:rsid w:val="25267945"/>
    <w:rsid w:val="255464FB"/>
    <w:rsid w:val="25D36F91"/>
    <w:rsid w:val="263B5B30"/>
    <w:rsid w:val="26892D3D"/>
    <w:rsid w:val="26AF735D"/>
    <w:rsid w:val="26FC7859"/>
    <w:rsid w:val="272B37C5"/>
    <w:rsid w:val="27A1673C"/>
    <w:rsid w:val="27D165A2"/>
    <w:rsid w:val="28006CBA"/>
    <w:rsid w:val="280C65A2"/>
    <w:rsid w:val="28FD67FF"/>
    <w:rsid w:val="29957AE0"/>
    <w:rsid w:val="29C55D16"/>
    <w:rsid w:val="2A2D464E"/>
    <w:rsid w:val="2A593EFD"/>
    <w:rsid w:val="2AB32EED"/>
    <w:rsid w:val="2AF40DAB"/>
    <w:rsid w:val="2BD4136D"/>
    <w:rsid w:val="2BD4161B"/>
    <w:rsid w:val="2BE55328"/>
    <w:rsid w:val="2CCF1A03"/>
    <w:rsid w:val="2CD00993"/>
    <w:rsid w:val="2D0A15F9"/>
    <w:rsid w:val="2D3447B9"/>
    <w:rsid w:val="2D3C71CA"/>
    <w:rsid w:val="2DBC468A"/>
    <w:rsid w:val="2E436D53"/>
    <w:rsid w:val="2F1A353B"/>
    <w:rsid w:val="2F967065"/>
    <w:rsid w:val="2FDB4BA1"/>
    <w:rsid w:val="303B1CA3"/>
    <w:rsid w:val="30907771"/>
    <w:rsid w:val="30C01E98"/>
    <w:rsid w:val="30CA7F28"/>
    <w:rsid w:val="31554CFE"/>
    <w:rsid w:val="31BD6874"/>
    <w:rsid w:val="337D1E14"/>
    <w:rsid w:val="33FF507A"/>
    <w:rsid w:val="34251453"/>
    <w:rsid w:val="34BD54DE"/>
    <w:rsid w:val="34C512A0"/>
    <w:rsid w:val="353D7A35"/>
    <w:rsid w:val="35814171"/>
    <w:rsid w:val="35E41C26"/>
    <w:rsid w:val="368220F2"/>
    <w:rsid w:val="36FE6E6A"/>
    <w:rsid w:val="372238D5"/>
    <w:rsid w:val="372A233E"/>
    <w:rsid w:val="379F2B4A"/>
    <w:rsid w:val="37A20571"/>
    <w:rsid w:val="37BF642A"/>
    <w:rsid w:val="38042FDA"/>
    <w:rsid w:val="385362AC"/>
    <w:rsid w:val="38682942"/>
    <w:rsid w:val="389B12CC"/>
    <w:rsid w:val="38BD10D4"/>
    <w:rsid w:val="39562369"/>
    <w:rsid w:val="39620852"/>
    <w:rsid w:val="39AD4D85"/>
    <w:rsid w:val="39CA6153"/>
    <w:rsid w:val="3A7D7122"/>
    <w:rsid w:val="3A961614"/>
    <w:rsid w:val="3B2B0D30"/>
    <w:rsid w:val="3B30771A"/>
    <w:rsid w:val="3B457E57"/>
    <w:rsid w:val="3B7B6E9A"/>
    <w:rsid w:val="3BE81DEB"/>
    <w:rsid w:val="3C074E47"/>
    <w:rsid w:val="3C2A63A2"/>
    <w:rsid w:val="3C597D99"/>
    <w:rsid w:val="3C847748"/>
    <w:rsid w:val="3CB84BB0"/>
    <w:rsid w:val="3D234917"/>
    <w:rsid w:val="3DBB1F87"/>
    <w:rsid w:val="3E0F681E"/>
    <w:rsid w:val="3E8C0A8D"/>
    <w:rsid w:val="3EFE1B77"/>
    <w:rsid w:val="3F244EFE"/>
    <w:rsid w:val="3F5062DF"/>
    <w:rsid w:val="3F80388E"/>
    <w:rsid w:val="3F980BD8"/>
    <w:rsid w:val="402934D2"/>
    <w:rsid w:val="41713148"/>
    <w:rsid w:val="42390685"/>
    <w:rsid w:val="423C050C"/>
    <w:rsid w:val="426F182B"/>
    <w:rsid w:val="42E12896"/>
    <w:rsid w:val="43207881"/>
    <w:rsid w:val="435B43F6"/>
    <w:rsid w:val="436A1F04"/>
    <w:rsid w:val="43747266"/>
    <w:rsid w:val="43A4188E"/>
    <w:rsid w:val="43DE2931"/>
    <w:rsid w:val="442A5B77"/>
    <w:rsid w:val="446813B4"/>
    <w:rsid w:val="44CC59D8"/>
    <w:rsid w:val="44D633F9"/>
    <w:rsid w:val="45242AAE"/>
    <w:rsid w:val="4548631D"/>
    <w:rsid w:val="45581DB4"/>
    <w:rsid w:val="45C823A3"/>
    <w:rsid w:val="461B1C1B"/>
    <w:rsid w:val="46AB5BAC"/>
    <w:rsid w:val="47077163"/>
    <w:rsid w:val="47321912"/>
    <w:rsid w:val="4757758E"/>
    <w:rsid w:val="47C60A45"/>
    <w:rsid w:val="47E2740D"/>
    <w:rsid w:val="48315726"/>
    <w:rsid w:val="48A84EDE"/>
    <w:rsid w:val="4A743FEF"/>
    <w:rsid w:val="4AF66272"/>
    <w:rsid w:val="4AF81442"/>
    <w:rsid w:val="4B493817"/>
    <w:rsid w:val="4BD80052"/>
    <w:rsid w:val="4BF35229"/>
    <w:rsid w:val="4C586E38"/>
    <w:rsid w:val="4C612216"/>
    <w:rsid w:val="4C740FC0"/>
    <w:rsid w:val="4CA5311E"/>
    <w:rsid w:val="4CEE3D51"/>
    <w:rsid w:val="4D213121"/>
    <w:rsid w:val="4D457F2C"/>
    <w:rsid w:val="4DE72F2B"/>
    <w:rsid w:val="4DF53699"/>
    <w:rsid w:val="4E297C73"/>
    <w:rsid w:val="4EAA5B5C"/>
    <w:rsid w:val="4F152D1C"/>
    <w:rsid w:val="4F440A08"/>
    <w:rsid w:val="4F622A93"/>
    <w:rsid w:val="4F952A3E"/>
    <w:rsid w:val="4FB3549C"/>
    <w:rsid w:val="4FC33858"/>
    <w:rsid w:val="4FF23A61"/>
    <w:rsid w:val="4FF37764"/>
    <w:rsid w:val="502A1B84"/>
    <w:rsid w:val="505B3857"/>
    <w:rsid w:val="50760355"/>
    <w:rsid w:val="51172AE9"/>
    <w:rsid w:val="514270BE"/>
    <w:rsid w:val="51651A9B"/>
    <w:rsid w:val="51BD6D82"/>
    <w:rsid w:val="51C770FB"/>
    <w:rsid w:val="51CE66DB"/>
    <w:rsid w:val="51DD0EDF"/>
    <w:rsid w:val="51E90E1F"/>
    <w:rsid w:val="52305BDE"/>
    <w:rsid w:val="52B743F1"/>
    <w:rsid w:val="53AE417F"/>
    <w:rsid w:val="54702239"/>
    <w:rsid w:val="548E5863"/>
    <w:rsid w:val="549479BD"/>
    <w:rsid w:val="54993AA4"/>
    <w:rsid w:val="54A42023"/>
    <w:rsid w:val="54A51010"/>
    <w:rsid w:val="55DA29E8"/>
    <w:rsid w:val="568923E9"/>
    <w:rsid w:val="56C97263"/>
    <w:rsid w:val="57757CFB"/>
    <w:rsid w:val="57C540DC"/>
    <w:rsid w:val="57C55B05"/>
    <w:rsid w:val="58ED113C"/>
    <w:rsid w:val="59161C38"/>
    <w:rsid w:val="5925030D"/>
    <w:rsid w:val="59BE0DE3"/>
    <w:rsid w:val="59DA542B"/>
    <w:rsid w:val="59F57CBD"/>
    <w:rsid w:val="5AC23BA2"/>
    <w:rsid w:val="5B182775"/>
    <w:rsid w:val="5B547C51"/>
    <w:rsid w:val="5B8C2AB5"/>
    <w:rsid w:val="5BB230D5"/>
    <w:rsid w:val="5BB64468"/>
    <w:rsid w:val="5C7D4F86"/>
    <w:rsid w:val="5C957821"/>
    <w:rsid w:val="5CB618CE"/>
    <w:rsid w:val="5D4A6062"/>
    <w:rsid w:val="5D656BE7"/>
    <w:rsid w:val="5D6D0621"/>
    <w:rsid w:val="5D720862"/>
    <w:rsid w:val="5DB82BF6"/>
    <w:rsid w:val="5DE80D7A"/>
    <w:rsid w:val="5EBE7CEA"/>
    <w:rsid w:val="5EFD0600"/>
    <w:rsid w:val="5F4C495A"/>
    <w:rsid w:val="5FE37594"/>
    <w:rsid w:val="5FE6679B"/>
    <w:rsid w:val="5FF75FFA"/>
    <w:rsid w:val="604A517F"/>
    <w:rsid w:val="605C0BE4"/>
    <w:rsid w:val="605D3104"/>
    <w:rsid w:val="608E7761"/>
    <w:rsid w:val="60B42F40"/>
    <w:rsid w:val="60F94C52"/>
    <w:rsid w:val="61196BC3"/>
    <w:rsid w:val="61216D08"/>
    <w:rsid w:val="6161507D"/>
    <w:rsid w:val="61690A44"/>
    <w:rsid w:val="620D6DAC"/>
    <w:rsid w:val="627C183B"/>
    <w:rsid w:val="628D1259"/>
    <w:rsid w:val="62C27736"/>
    <w:rsid w:val="62E4526B"/>
    <w:rsid w:val="6327433C"/>
    <w:rsid w:val="635E47D3"/>
    <w:rsid w:val="63866E19"/>
    <w:rsid w:val="64E5371D"/>
    <w:rsid w:val="64FE2D5A"/>
    <w:rsid w:val="65FA7647"/>
    <w:rsid w:val="66C96660"/>
    <w:rsid w:val="67031671"/>
    <w:rsid w:val="67142AAB"/>
    <w:rsid w:val="67AC5FE3"/>
    <w:rsid w:val="68C46CBB"/>
    <w:rsid w:val="68F50795"/>
    <w:rsid w:val="6A240B89"/>
    <w:rsid w:val="6A2829D5"/>
    <w:rsid w:val="6A433EC2"/>
    <w:rsid w:val="6A6670FB"/>
    <w:rsid w:val="6AAB53B4"/>
    <w:rsid w:val="6B256FF6"/>
    <w:rsid w:val="6B625A72"/>
    <w:rsid w:val="6B7B0740"/>
    <w:rsid w:val="6BCB2457"/>
    <w:rsid w:val="6BD45A2F"/>
    <w:rsid w:val="6D242FB6"/>
    <w:rsid w:val="6D346048"/>
    <w:rsid w:val="6D4C2ACF"/>
    <w:rsid w:val="6D8D0DA1"/>
    <w:rsid w:val="6DA84344"/>
    <w:rsid w:val="6DD1531E"/>
    <w:rsid w:val="6E5F58DC"/>
    <w:rsid w:val="6EBD458E"/>
    <w:rsid w:val="6EDC1FE0"/>
    <w:rsid w:val="6F455983"/>
    <w:rsid w:val="70F52EE5"/>
    <w:rsid w:val="714521E1"/>
    <w:rsid w:val="71BB4E1E"/>
    <w:rsid w:val="72194AC6"/>
    <w:rsid w:val="72514A93"/>
    <w:rsid w:val="72803C9E"/>
    <w:rsid w:val="729E1600"/>
    <w:rsid w:val="72D117F9"/>
    <w:rsid w:val="73003845"/>
    <w:rsid w:val="74087E92"/>
    <w:rsid w:val="747F58E7"/>
    <w:rsid w:val="74E474F8"/>
    <w:rsid w:val="75EA3234"/>
    <w:rsid w:val="76045330"/>
    <w:rsid w:val="763444AF"/>
    <w:rsid w:val="765E6A1F"/>
    <w:rsid w:val="7691545E"/>
    <w:rsid w:val="769436AC"/>
    <w:rsid w:val="77476464"/>
    <w:rsid w:val="77D11DD1"/>
    <w:rsid w:val="780251BC"/>
    <w:rsid w:val="78C319F7"/>
    <w:rsid w:val="78EC020C"/>
    <w:rsid w:val="791642B4"/>
    <w:rsid w:val="792C76C0"/>
    <w:rsid w:val="795E468E"/>
    <w:rsid w:val="79603510"/>
    <w:rsid w:val="79F66B2B"/>
    <w:rsid w:val="7BA75723"/>
    <w:rsid w:val="7BCA3EA8"/>
    <w:rsid w:val="7BF2699E"/>
    <w:rsid w:val="7C331578"/>
    <w:rsid w:val="7CC77D6B"/>
    <w:rsid w:val="7EDA1F34"/>
    <w:rsid w:val="7EFA1182"/>
    <w:rsid w:val="7F0D1D41"/>
    <w:rsid w:val="7F0E0762"/>
    <w:rsid w:val="7F4B1D8C"/>
    <w:rsid w:val="7F8340A2"/>
    <w:rsid w:val="7FC06B1A"/>
    <w:rsid w:val="7FD85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9"/>
    <w:qFormat/>
    <w:uiPriority w:val="0"/>
    <w:pPr>
      <w:keepNext/>
      <w:keepLines/>
      <w:adjustRightInd w:val="0"/>
      <w:spacing w:before="340" w:after="330" w:line="360" w:lineRule="auto"/>
      <w:jc w:val="center"/>
      <w:outlineLvl w:val="0"/>
    </w:pPr>
    <w:rPr>
      <w:rFonts w:eastAsia="黑体"/>
      <w:b/>
      <w:kern w:val="44"/>
      <w:sz w:val="36"/>
    </w:rPr>
  </w:style>
  <w:style w:type="paragraph" w:styleId="3">
    <w:name w:val="heading 2"/>
    <w:basedOn w:val="1"/>
    <w:next w:val="1"/>
    <w:unhideWhenUsed/>
    <w:qFormat/>
    <w:uiPriority w:val="0"/>
    <w:pPr>
      <w:spacing w:before="260" w:after="260" w:line="413" w:lineRule="auto"/>
      <w:outlineLvl w:val="1"/>
    </w:pPr>
    <w:rPr>
      <w:rFonts w:ascii="Arial" w:hAnsi="Arial"/>
      <w:sz w:val="28"/>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5">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pPr>
    <w:rPr>
      <w:rFonts w:ascii="Tahoma" w:hAnsi="Tahoma"/>
      <w:szCs w:val="22"/>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Body Text"/>
    <w:basedOn w:val="1"/>
    <w:next w:val="10"/>
    <w:qFormat/>
    <w:uiPriority w:val="0"/>
    <w:pPr>
      <w:spacing w:after="120"/>
    </w:pPr>
  </w:style>
  <w:style w:type="paragraph" w:styleId="10">
    <w:name w:val="Body Text First Indent"/>
    <w:basedOn w:val="9"/>
    <w:next w:val="11"/>
    <w:qFormat/>
    <w:uiPriority w:val="0"/>
    <w:pPr>
      <w:ind w:firstLine="420" w:firstLineChars="100"/>
    </w:pPr>
    <w:rPr>
      <w:rFonts w:ascii="Times New Roman" w:hAnsi="Times New Roman" w:eastAsia="宋体" w:cs="Times New Roman"/>
    </w:rPr>
  </w:style>
  <w:style w:type="paragraph" w:styleId="11">
    <w:name w:val="toc 6"/>
    <w:basedOn w:val="1"/>
    <w:next w:val="1"/>
    <w:qFormat/>
    <w:uiPriority w:val="0"/>
    <w:pPr>
      <w:ind w:left="1050"/>
      <w:jc w:val="left"/>
    </w:pPr>
    <w:rPr>
      <w:rFonts w:ascii="Calibri" w:hAnsi="Calibri"/>
      <w:sz w:val="18"/>
      <w:szCs w:val="18"/>
    </w:rPr>
  </w:style>
  <w:style w:type="paragraph" w:styleId="12">
    <w:name w:val="Body Text Indent"/>
    <w:basedOn w:val="1"/>
    <w:qFormat/>
    <w:uiPriority w:val="0"/>
    <w:pPr>
      <w:adjustRightInd w:val="0"/>
      <w:spacing w:line="360" w:lineRule="auto"/>
      <w:ind w:firstLine="490"/>
      <w:jc w:val="left"/>
    </w:pPr>
    <w:rPr>
      <w:rFonts w:ascii="宋体" w:hAnsi="宋体"/>
      <w:sz w:val="24"/>
    </w:rPr>
  </w:style>
  <w:style w:type="paragraph" w:styleId="13">
    <w:name w:val="Block Text"/>
    <w:basedOn w:val="1"/>
    <w:qFormat/>
    <w:uiPriority w:val="0"/>
    <w:pPr>
      <w:adjustRightInd w:val="0"/>
      <w:snapToGrid w:val="0"/>
      <w:spacing w:line="300" w:lineRule="auto"/>
      <w:ind w:left="958" w:right="-120" w:rightChars="-120"/>
      <w:jc w:val="left"/>
    </w:pPr>
    <w:rPr>
      <w:rFonts w:hint="eastAsia" w:ascii="宋体" w:hAnsi="宋体"/>
      <w:sz w:val="28"/>
    </w:rPr>
  </w:style>
  <w:style w:type="paragraph" w:styleId="14">
    <w:name w:val="index 4"/>
    <w:basedOn w:val="1"/>
    <w:next w:val="1"/>
    <w:unhideWhenUsed/>
    <w:qFormat/>
    <w:uiPriority w:val="99"/>
    <w:pPr>
      <w:ind w:left="600" w:leftChars="600"/>
    </w:pPr>
  </w:style>
  <w:style w:type="paragraph" w:styleId="15">
    <w:name w:val="Plain Text"/>
    <w:basedOn w:val="1"/>
    <w:link w:val="58"/>
    <w:qFormat/>
    <w:uiPriority w:val="0"/>
    <w:rPr>
      <w:rFonts w:ascii="宋体" w:hAnsi="Courier New"/>
      <w:sz w:val="18"/>
    </w:rPr>
  </w:style>
  <w:style w:type="paragraph" w:styleId="16">
    <w:name w:val="Date"/>
    <w:basedOn w:val="1"/>
    <w:next w:val="1"/>
    <w:qFormat/>
    <w:uiPriority w:val="0"/>
    <w:pPr>
      <w:ind w:left="2500" w:leftChars="2500"/>
    </w:pPr>
    <w:rPr>
      <w:rFonts w:hint="eastAsia" w:ascii="宋体" w:hAnsi="宋体"/>
      <w:sz w:val="24"/>
    </w:rPr>
  </w:style>
  <w:style w:type="paragraph" w:styleId="17">
    <w:name w:val="Balloon Text"/>
    <w:basedOn w:val="1"/>
    <w:link w:val="44"/>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39"/>
    <w:pPr>
      <w:spacing w:before="120" w:after="120" w:line="360" w:lineRule="atLeast"/>
      <w:ind w:firstLine="100" w:firstLineChars="50"/>
      <w:jc w:val="center"/>
    </w:pPr>
    <w:rPr>
      <w:rFonts w:ascii="宋体" w:hAnsi="宋体" w:eastAsia="宋体" w:cs="Times New Roman"/>
      <w:caps/>
      <w:snapToGrid w:val="0"/>
      <w:kern w:val="0"/>
      <w:sz w:val="20"/>
      <w:szCs w:val="20"/>
    </w:rPr>
  </w:style>
  <w:style w:type="paragraph" w:styleId="21">
    <w:name w:val="toc 4"/>
    <w:basedOn w:val="1"/>
    <w:next w:val="1"/>
    <w:unhideWhenUsed/>
    <w:qFormat/>
    <w:uiPriority w:val="39"/>
    <w:pPr>
      <w:ind w:left="1260" w:leftChars="600"/>
      <w:jc w:val="center"/>
    </w:pPr>
    <w:rPr>
      <w:rFonts w:ascii="宋体" w:hAnsi="宋体" w:cs="Calibri"/>
      <w:b/>
      <w:color w:val="FF0000"/>
      <w:szCs w:val="21"/>
    </w:rPr>
  </w:style>
  <w:style w:type="paragraph" w:styleId="2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3">
    <w:name w:val="toc 2"/>
    <w:basedOn w:val="1"/>
    <w:next w:val="1"/>
    <w:qFormat/>
    <w:uiPriority w:val="0"/>
    <w:pPr>
      <w:ind w:left="420" w:leftChars="200"/>
    </w:pPr>
  </w:style>
  <w:style w:type="paragraph" w:styleId="24">
    <w:name w:val="Body Text 2"/>
    <w:basedOn w:val="1"/>
    <w:next w:val="1"/>
    <w:qFormat/>
    <w:uiPriority w:val="0"/>
    <w:pPr>
      <w:jc w:val="center"/>
    </w:pPr>
    <w:rPr>
      <w:rFonts w:ascii="Calibri" w:hAnsi="Calibri"/>
      <w:b/>
      <w:sz w:val="72"/>
    </w:rPr>
  </w:style>
  <w:style w:type="paragraph" w:styleId="25">
    <w:name w:val="Normal (Web)"/>
    <w:basedOn w:val="1"/>
    <w:qFormat/>
    <w:uiPriority w:val="0"/>
    <w:pPr>
      <w:widowControl/>
      <w:spacing w:before="100" w:beforeAutospacing="1" w:after="100" w:afterAutospacing="1"/>
      <w:jc w:val="left"/>
    </w:pPr>
    <w:rPr>
      <w:rFonts w:ascii="宋体" w:hAnsi="宋体"/>
      <w:sz w:val="24"/>
    </w:rPr>
  </w:style>
  <w:style w:type="paragraph" w:styleId="26">
    <w:name w:val="Body Text First Indent 2"/>
    <w:basedOn w:val="12"/>
    <w:next w:val="1"/>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basedOn w:val="29"/>
    <w:qFormat/>
    <w:uiPriority w:val="0"/>
    <w:rPr>
      <w:color w:val="0000FF"/>
      <w:u w:val="single"/>
    </w:rPr>
  </w:style>
  <w:style w:type="paragraph" w:customStyle="1" w:styleId="33">
    <w:name w:val="表格文字"/>
    <w:basedOn w:val="1"/>
    <w:next w:val="9"/>
    <w:qFormat/>
    <w:uiPriority w:val="0"/>
    <w:pPr>
      <w:adjustRightInd w:val="0"/>
      <w:spacing w:line="420" w:lineRule="atLeast"/>
      <w:jc w:val="left"/>
      <w:textAlignment w:val="baseline"/>
    </w:pPr>
    <w:rPr>
      <w:kern w:val="0"/>
      <w:szCs w:val="20"/>
    </w:rPr>
  </w:style>
  <w:style w:type="paragraph" w:customStyle="1" w:styleId="34">
    <w:name w:val="正文文本首行缩进 2"/>
    <w:basedOn w:val="12"/>
    <w:qFormat/>
    <w:uiPriority w:val="99"/>
    <w:pPr>
      <w:spacing w:line="200" w:lineRule="atLeast"/>
      <w:ind w:firstLine="420"/>
    </w:pPr>
    <w:rPr>
      <w:rFonts w:ascii="宋体" w:hAnsi="Courier New"/>
      <w:spacing w:val="-4"/>
      <w:sz w:val="18"/>
    </w:rPr>
  </w:style>
  <w:style w:type="paragraph" w:customStyle="1" w:styleId="35">
    <w:name w:val="Default"/>
    <w:next w:val="36"/>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6">
    <w:name w:val="xl53"/>
    <w:basedOn w:val="1"/>
    <w:qFormat/>
    <w:uiPriority w:val="0"/>
    <w:pPr>
      <w:widowControl/>
      <w:pBdr>
        <w:top w:val="single" w:color="auto" w:sz="4" w:space="0"/>
        <w:left w:val="single" w:color="auto" w:sz="8" w:space="0"/>
        <w:bottom w:val="single" w:color="auto" w:sz="4" w:space="0"/>
        <w:right w:val="single" w:color="auto" w:sz="8" w:space="0"/>
      </w:pBdr>
      <w:snapToGrid w:val="0"/>
      <w:spacing w:before="100" w:after="100" w:line="360" w:lineRule="auto"/>
      <w:jc w:val="left"/>
      <w:textAlignment w:val="center"/>
    </w:pPr>
    <w:rPr>
      <w:rFonts w:ascii="宋体" w:hAnsi="宋体" w:eastAsia="华文细黑"/>
      <w:kern w:val="0"/>
      <w:sz w:val="20"/>
      <w:szCs w:val="20"/>
    </w:rPr>
  </w:style>
  <w:style w:type="paragraph" w:customStyle="1" w:styleId="37">
    <w:name w:val="引用1"/>
    <w:basedOn w:val="1"/>
    <w:next w:val="1"/>
    <w:qFormat/>
    <w:uiPriority w:val="99"/>
    <w:pPr>
      <w:spacing w:before="200" w:after="160"/>
      <w:ind w:left="864" w:right="864"/>
      <w:jc w:val="center"/>
    </w:pPr>
    <w:rPr>
      <w:i/>
      <w:iCs/>
      <w:color w:val="3F3F3F"/>
    </w:rPr>
  </w:style>
  <w:style w:type="paragraph" w:customStyle="1" w:styleId="38">
    <w:name w:val="正文文本首行缩进 21"/>
    <w:basedOn w:val="12"/>
    <w:qFormat/>
    <w:uiPriority w:val="99"/>
    <w:pPr>
      <w:spacing w:line="200" w:lineRule="atLeast"/>
      <w:ind w:firstLine="420"/>
    </w:pPr>
    <w:rPr>
      <w:rFonts w:hAnsi="Courier New"/>
      <w:spacing w:val="-4"/>
      <w:sz w:val="18"/>
    </w:rPr>
  </w:style>
  <w:style w:type="paragraph" w:customStyle="1" w:styleId="39">
    <w:name w:val="章正文"/>
    <w:basedOn w:val="1"/>
    <w:qFormat/>
    <w:uiPriority w:val="0"/>
    <w:pPr>
      <w:spacing w:beforeLines="50" w:after="120" w:line="300" w:lineRule="auto"/>
      <w:ind w:firstLine="480"/>
    </w:pPr>
    <w:rPr>
      <w:rFonts w:ascii="Helvetica" w:hAnsi="Helvetica"/>
      <w:kern w:val="0"/>
      <w:sz w:val="24"/>
    </w:rPr>
  </w:style>
  <w:style w:type="paragraph" w:customStyle="1" w:styleId="40">
    <w:name w:val="正文文字"/>
    <w:basedOn w:val="1"/>
    <w:qFormat/>
    <w:uiPriority w:val="0"/>
    <w:pPr>
      <w:widowControl/>
      <w:spacing w:line="952" w:lineRule="atLeast"/>
      <w:ind w:firstLine="419"/>
      <w:textAlignment w:val="baseline"/>
    </w:pPr>
    <w:rPr>
      <w:b/>
      <w:color w:val="000000"/>
      <w:sz w:val="44"/>
      <w:u w:color="000000"/>
    </w:rPr>
  </w:style>
  <w:style w:type="character" w:customStyle="1" w:styleId="41">
    <w:name w:val="标题 1 Char"/>
    <w:qFormat/>
    <w:uiPriority w:val="0"/>
    <w:rPr>
      <w:rFonts w:eastAsia="黑体"/>
      <w:b/>
      <w:snapToGrid w:val="0"/>
      <w:kern w:val="44"/>
      <w:sz w:val="36"/>
      <w:lang w:val="en-US" w:eastAsia="zh-CN"/>
    </w:rPr>
  </w:style>
  <w:style w:type="paragraph" w:customStyle="1" w:styleId="42">
    <w:name w:val="正文文本 21"/>
    <w:basedOn w:val="1"/>
    <w:qFormat/>
    <w:uiPriority w:val="0"/>
    <w:pPr>
      <w:adjustRightInd w:val="0"/>
      <w:spacing w:line="300" w:lineRule="auto"/>
      <w:jc w:val="center"/>
    </w:pPr>
    <w:rPr>
      <w:rFonts w:hint="eastAsia" w:ascii="宋体" w:hAnsi="宋体"/>
      <w:sz w:val="24"/>
    </w:rPr>
  </w:style>
  <w:style w:type="paragraph" w:customStyle="1" w:styleId="43">
    <w:name w:val="列出段落1"/>
    <w:basedOn w:val="1"/>
    <w:qFormat/>
    <w:uiPriority w:val="0"/>
    <w:pPr>
      <w:ind w:firstLine="420" w:firstLineChars="200"/>
    </w:pPr>
  </w:style>
  <w:style w:type="character" w:customStyle="1" w:styleId="44">
    <w:name w:val="批注框文本 字符"/>
    <w:basedOn w:val="29"/>
    <w:link w:val="17"/>
    <w:qFormat/>
    <w:uiPriority w:val="0"/>
    <w:rPr>
      <w:kern w:val="2"/>
      <w:sz w:val="18"/>
      <w:szCs w:val="18"/>
    </w:rPr>
  </w:style>
  <w:style w:type="paragraph" w:customStyle="1" w:styleId="45">
    <w:name w:val="首行缩进"/>
    <w:basedOn w:val="1"/>
    <w:qFormat/>
    <w:uiPriority w:val="0"/>
    <w:rPr>
      <w:lang w:val="zh-CN"/>
    </w:rPr>
  </w:style>
  <w:style w:type="paragraph" w:customStyle="1" w:styleId="46">
    <w:name w:val="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标题 3_0"/>
    <w:basedOn w:val="1"/>
    <w:next w:val="1"/>
    <w:qFormat/>
    <w:uiPriority w:val="0"/>
    <w:pPr>
      <w:keepNext/>
      <w:keepLines/>
      <w:spacing w:before="260" w:after="260" w:line="360" w:lineRule="auto"/>
      <w:ind w:firstLine="602" w:firstLineChars="200"/>
      <w:outlineLvl w:val="2"/>
    </w:pPr>
    <w:rPr>
      <w:rFonts w:ascii="仿宋_GB2312" w:hAnsi="Calibri" w:eastAsia="仿宋_GB2312"/>
      <w:b/>
      <w:bCs/>
      <w:sz w:val="30"/>
    </w:rPr>
  </w:style>
  <w:style w:type="character" w:customStyle="1" w:styleId="48">
    <w:name w:val="font41"/>
    <w:basedOn w:val="29"/>
    <w:qFormat/>
    <w:uiPriority w:val="0"/>
    <w:rPr>
      <w:rFonts w:hint="default" w:ascii="等线" w:hAnsi="等线" w:eastAsia="等线" w:cs="等线"/>
      <w:b/>
      <w:color w:val="000000"/>
      <w:sz w:val="22"/>
      <w:szCs w:val="22"/>
      <w:u w:val="none"/>
    </w:rPr>
  </w:style>
  <w:style w:type="character" w:customStyle="1" w:styleId="49">
    <w:name w:val="font01"/>
    <w:basedOn w:val="29"/>
    <w:qFormat/>
    <w:uiPriority w:val="0"/>
    <w:rPr>
      <w:rFonts w:hint="default" w:ascii="等线" w:hAnsi="等线" w:eastAsia="等线" w:cs="等线"/>
      <w:color w:val="000000"/>
      <w:sz w:val="22"/>
      <w:szCs w:val="22"/>
      <w:u w:val="none"/>
    </w:rPr>
  </w:style>
  <w:style w:type="character" w:customStyle="1" w:styleId="50">
    <w:name w:val="font31"/>
    <w:basedOn w:val="29"/>
    <w:qFormat/>
    <w:uiPriority w:val="0"/>
    <w:rPr>
      <w:rFonts w:hint="default" w:ascii="等线" w:hAnsi="等线" w:eastAsia="等线" w:cs="等线"/>
      <w:color w:val="000000"/>
      <w:sz w:val="22"/>
      <w:szCs w:val="22"/>
      <w:u w:val="none"/>
    </w:rPr>
  </w:style>
  <w:style w:type="character" w:customStyle="1" w:styleId="51">
    <w:name w:val="font51"/>
    <w:basedOn w:val="29"/>
    <w:qFormat/>
    <w:uiPriority w:val="0"/>
    <w:rPr>
      <w:rFonts w:hint="default" w:ascii="等线" w:hAnsi="等线" w:eastAsia="等线" w:cs="等线"/>
      <w:color w:val="FF0000"/>
      <w:sz w:val="22"/>
      <w:szCs w:val="22"/>
      <w:u w:val="none"/>
    </w:rPr>
  </w:style>
  <w:style w:type="character" w:customStyle="1" w:styleId="52">
    <w:name w:val="font11"/>
    <w:basedOn w:val="29"/>
    <w:qFormat/>
    <w:uiPriority w:val="0"/>
    <w:rPr>
      <w:rFonts w:hint="default" w:ascii="等线" w:hAnsi="等线" w:eastAsia="等线" w:cs="等线"/>
      <w:color w:val="000000"/>
      <w:sz w:val="22"/>
      <w:szCs w:val="22"/>
      <w:u w:val="none"/>
    </w:rPr>
  </w:style>
  <w:style w:type="character" w:customStyle="1" w:styleId="53">
    <w:name w:val="font61"/>
    <w:basedOn w:val="29"/>
    <w:qFormat/>
    <w:uiPriority w:val="0"/>
    <w:rPr>
      <w:rFonts w:hint="default" w:ascii="等线" w:hAnsi="等线" w:eastAsia="等线" w:cs="等线"/>
      <w:b/>
      <w:color w:val="000000"/>
      <w:sz w:val="22"/>
      <w:szCs w:val="22"/>
      <w:u w:val="none"/>
    </w:rPr>
  </w:style>
  <w:style w:type="paragraph" w:customStyle="1" w:styleId="54">
    <w:name w:val="￥正文"/>
    <w:basedOn w:val="1"/>
    <w:qFormat/>
    <w:uiPriority w:val="0"/>
    <w:pPr>
      <w:spacing w:line="360" w:lineRule="auto"/>
      <w:ind w:firstLine="200" w:firstLineChars="200"/>
    </w:pPr>
    <w:rPr>
      <w:rFonts w:ascii="Calibri" w:hAnsi="Calibri" w:eastAsia="仿宋_GB2312"/>
      <w:kern w:val="0"/>
      <w:sz w:val="24"/>
    </w:rPr>
  </w:style>
  <w:style w:type="character" w:customStyle="1" w:styleId="55">
    <w:name w:val="htd0"/>
    <w:basedOn w:val="29"/>
    <w:qFormat/>
    <w:uiPriority w:val="0"/>
  </w:style>
  <w:style w:type="paragraph" w:customStyle="1" w:styleId="56">
    <w:name w:val="Char"/>
    <w:basedOn w:val="1"/>
    <w:qFormat/>
    <w:uiPriority w:val="0"/>
    <w:rPr>
      <w:rFonts w:ascii="仿宋_GB2312" w:eastAsia="仿宋_GB2312" w:cs="仿宋_GB2312"/>
      <w:b/>
      <w:bCs/>
      <w:sz w:val="32"/>
      <w:szCs w:val="32"/>
    </w:rPr>
  </w:style>
  <w:style w:type="paragraph" w:styleId="57">
    <w:name w:val="List Paragraph"/>
    <w:basedOn w:val="1"/>
    <w:unhideWhenUsed/>
    <w:qFormat/>
    <w:uiPriority w:val="99"/>
    <w:pPr>
      <w:ind w:firstLine="420" w:firstLineChars="200"/>
    </w:pPr>
  </w:style>
  <w:style w:type="character" w:customStyle="1" w:styleId="58">
    <w:name w:val="纯文本 字符"/>
    <w:link w:val="15"/>
    <w:qFormat/>
    <w:uiPriority w:val="0"/>
    <w:rPr>
      <w:rFonts w:ascii="宋体" w:hAnsi="Courier New"/>
      <w:kern w:val="2"/>
      <w:sz w:val="18"/>
      <w:szCs w:val="24"/>
    </w:rPr>
  </w:style>
  <w:style w:type="paragraph" w:customStyle="1" w:styleId="59">
    <w:name w:val="Char Char Char Char"/>
    <w:basedOn w:val="1"/>
    <w:qFormat/>
    <w:uiPriority w:val="0"/>
    <w:pPr>
      <w:spacing w:line="360" w:lineRule="auto"/>
      <w:ind w:firstLine="200" w:firstLineChars="200"/>
    </w:pPr>
    <w:rPr>
      <w:rFonts w:ascii="宋体" w:cs="宋体"/>
      <w:sz w:val="24"/>
    </w:rPr>
  </w:style>
  <w:style w:type="paragraph" w:customStyle="1" w:styleId="60">
    <w:name w:val="BodyText"/>
    <w:basedOn w:val="1"/>
    <w:next w:val="1"/>
    <w:qFormat/>
    <w:uiPriority w:val="0"/>
    <w:pPr>
      <w:textAlignment w:val="baseline"/>
    </w:pPr>
    <w:rPr>
      <w:rFonts w:ascii="Calibri" w:hAnsi="Calibri" w:eastAsia="宋体" w:cs="Times New Roman"/>
      <w:b/>
      <w:sz w:val="30"/>
      <w:szCs w:val="22"/>
    </w:rPr>
  </w:style>
  <w:style w:type="paragraph" w:customStyle="1" w:styleId="61">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62">
    <w:name w:val="a"/>
    <w:basedOn w:val="1"/>
    <w:qFormat/>
    <w:uiPriority w:val="0"/>
    <w:pPr>
      <w:autoSpaceDE w:val="0"/>
      <w:autoSpaceDN w:val="0"/>
      <w:adjustRightInd w:val="0"/>
      <w:spacing w:line="440" w:lineRule="atLeast"/>
      <w:ind w:firstLine="480"/>
      <w:jc w:val="left"/>
    </w:pPr>
    <w:rPr>
      <w:rFonts w:hint="eastAsia" w:ascii="仿宋_GB2312" w:hAnsi="Times New Roman" w:eastAsia="仿宋_GB2312" w:cs="Times New Roman"/>
      <w:color w:val="000000"/>
      <w:sz w:val="24"/>
    </w:rPr>
  </w:style>
  <w:style w:type="character" w:customStyle="1" w:styleId="63">
    <w:name w:val="font21"/>
    <w:basedOn w:val="29"/>
    <w:qFormat/>
    <w:uiPriority w:val="0"/>
    <w:rPr>
      <w:rFonts w:hint="default" w:ascii="Times New Roman" w:hAnsi="Times New Roman" w:cs="Times New Roman"/>
      <w:color w:val="000000"/>
      <w:sz w:val="20"/>
      <w:szCs w:val="20"/>
      <w:u w:val="none"/>
    </w:rPr>
  </w:style>
  <w:style w:type="character" w:customStyle="1" w:styleId="64">
    <w:name w:val="font81"/>
    <w:basedOn w:val="29"/>
    <w:qFormat/>
    <w:uiPriority w:val="0"/>
    <w:rPr>
      <w:rFonts w:ascii="等线" w:hAnsi="等线" w:eastAsia="等线" w:cs="等线"/>
      <w:color w:val="000000"/>
      <w:sz w:val="20"/>
      <w:szCs w:val="20"/>
      <w:u w:val="none"/>
    </w:rPr>
  </w:style>
  <w:style w:type="paragraph" w:customStyle="1" w:styleId="65">
    <w:name w:val="p16"/>
    <w:basedOn w:val="1"/>
    <w:qFormat/>
    <w:uiPriority w:val="0"/>
    <w:pPr>
      <w:widowControl/>
      <w:spacing w:before="100" w:after="100"/>
      <w:jc w:val="left"/>
    </w:pPr>
    <w:rPr>
      <w:rFonts w:ascii="宋体" w:hAnsi="宋体" w:cs="宋体"/>
      <w:color w:val="000000"/>
      <w:kern w:val="0"/>
      <w:sz w:val="24"/>
    </w:rPr>
  </w:style>
  <w:style w:type="paragraph" w:customStyle="1" w:styleId="66">
    <w:name w:val="纯文本1"/>
    <w:basedOn w:val="1"/>
    <w:qFormat/>
    <w:uiPriority w:val="0"/>
    <w:pPr>
      <w:snapToGrid w:val="0"/>
      <w:jc w:val="left"/>
    </w:pPr>
    <w:rPr>
      <w:rFonts w:ascii="Century Gothic" w:hAnsi="楷体_GB2312" w:eastAsia="Century Gothic"/>
    </w:rPr>
  </w:style>
  <w:style w:type="paragraph" w:customStyle="1" w:styleId="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标题 1 Char1"/>
    <w:link w:val="2"/>
    <w:qFormat/>
    <w:uiPriority w:val="0"/>
    <w:rPr>
      <w:rFonts w:eastAsia="黑体"/>
      <w:b/>
      <w:kern w:val="44"/>
      <w:sz w:val="36"/>
    </w:rPr>
  </w:style>
  <w:style w:type="paragraph" w:customStyle="1" w:styleId="70">
    <w:name w:val="Plain Text"/>
    <w:basedOn w:val="1"/>
    <w:qFormat/>
    <w:uiPriority w:val="0"/>
    <w:pPr>
      <w:spacing w:before="156" w:beforeLines="50" w:after="156" w:afterLines="50" w:line="400" w:lineRule="exact"/>
    </w:pPr>
    <w:rPr>
      <w:rFonts w:ascii="宋体" w:hAnsi="Courier New"/>
      <w:sz w:val="24"/>
    </w:rPr>
  </w:style>
  <w:style w:type="paragraph" w:customStyle="1" w:styleId="7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2">
    <w:name w:val="Body Text 2"/>
    <w:basedOn w:val="1"/>
    <w:qFormat/>
    <w:uiPriority w:val="0"/>
    <w:pPr>
      <w:adjustRightInd w:val="0"/>
      <w:spacing w:line="300" w:lineRule="auto"/>
      <w:jc w:val="center"/>
    </w:pPr>
    <w:rPr>
      <w:rFonts w:hint="eastAsia"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502CC-205F-4347-B907-667BDC2D33A8}">
  <ds:schemaRefs/>
</ds:datastoreItem>
</file>

<file path=docProps/app.xml><?xml version="1.0" encoding="utf-8"?>
<Properties xmlns="http://schemas.openxmlformats.org/officeDocument/2006/extended-properties" xmlns:vt="http://schemas.openxmlformats.org/officeDocument/2006/docPropsVTypes">
  <Template>Normal</Template>
  <Pages>44</Pages>
  <Words>22971</Words>
  <Characters>24392</Characters>
  <Lines>217</Lines>
  <Paragraphs>61</Paragraphs>
  <TotalTime>286</TotalTime>
  <ScaleCrop>false</ScaleCrop>
  <LinksUpToDate>false</LinksUpToDate>
  <CharactersWithSpaces>26334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2022-02-08T08:50:00Z</dcterms:created>
  <dc:creator>桃子</dc:creator>
  <cp:lastModifiedBy>WT</cp:lastModifiedBy>
  <cp:lastPrinted>2024-08-12T01:10:00Z</cp:lastPrinted>
  <dcterms:modified xsi:type="dcterms:W3CDTF">2024-08-16T06:48:26Z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2D97AAD020CD4AA9969D217E3AE7296A_13</vt:lpwstr>
  </property>
</Properties>
</file>