
<file path=[Content_Types].xml><?xml version="1.0" encoding="utf-8"?>
<Types xmlns="http://schemas.openxmlformats.org/package/2006/content-types">
  <Default Extension="xml" ContentType="application/xml"/>
  <Default Extension="bin" ContentType="application/vnd.openxmlformats-officedocument.oleObject"/>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9679743">
      <w:pPr>
        <w:ind w:left="599" w:leftChars="-202" w:right="-521" w:rightChars="-248" w:hanging="1023" w:hangingChars="142"/>
        <w:jc w:val="center"/>
        <w:outlineLvl w:val="0"/>
        <w:rPr>
          <w:rFonts w:hint="eastAsia" w:ascii="微软雅黑" w:hAnsi="微软雅黑" w:cs="微软雅黑"/>
          <w:b/>
          <w:bCs/>
          <w:color w:val="auto"/>
          <w:sz w:val="72"/>
          <w:szCs w:val="72"/>
          <w:highlight w:val="none"/>
        </w:rPr>
      </w:pPr>
      <w:bookmarkStart w:id="0" w:name="_Toc24825"/>
      <w:bookmarkStart w:id="1" w:name="_Toc12262"/>
      <w:bookmarkStart w:id="2" w:name="_Toc11060"/>
      <w:r>
        <w:rPr>
          <w:rFonts w:hint="eastAsia" w:ascii="微软雅黑" w:hAnsi="微软雅黑" w:cs="微软雅黑"/>
          <w:b/>
          <w:bCs/>
          <w:color w:val="auto"/>
          <w:sz w:val="72"/>
          <w:szCs w:val="72"/>
          <w:highlight w:val="none"/>
        </w:rPr>
        <w:t>政府采购电子交易项目</w:t>
      </w:r>
      <w:bookmarkEnd w:id="0"/>
      <w:bookmarkEnd w:id="1"/>
      <w:bookmarkEnd w:id="2"/>
    </w:p>
    <w:p w14:paraId="5C8DFC68">
      <w:pPr>
        <w:pStyle w:val="52"/>
        <w:ind w:left="418" w:leftChars="0" w:hanging="418" w:hangingChars="58"/>
        <w:jc w:val="center"/>
        <w:rPr>
          <w:rFonts w:hint="eastAsia" w:ascii="微软雅黑" w:hAnsi="微软雅黑" w:cs="微软雅黑"/>
          <w:b/>
          <w:bCs/>
          <w:color w:val="auto"/>
          <w:sz w:val="72"/>
          <w:szCs w:val="72"/>
          <w:highlight w:val="none"/>
        </w:rPr>
      </w:pPr>
      <w:r>
        <w:rPr>
          <w:rFonts w:hint="eastAsia" w:ascii="微软雅黑" w:hAnsi="微软雅黑" w:cs="微软雅黑"/>
          <w:b/>
          <w:bCs/>
          <w:color w:val="auto"/>
          <w:sz w:val="72"/>
          <w:szCs w:val="72"/>
          <w:highlight w:val="none"/>
        </w:rPr>
        <w:t>公开招标采购文件</w:t>
      </w:r>
    </w:p>
    <w:p w14:paraId="5E2A29E6">
      <w:pPr>
        <w:pStyle w:val="278"/>
        <w:jc w:val="center"/>
        <w:rPr>
          <w:rFonts w:hint="eastAsia" w:ascii="方正粗黑宋简体" w:hAnsi="方正粗黑宋简体" w:eastAsia="方正粗黑宋简体"/>
          <w:color w:val="auto"/>
          <w:sz w:val="52"/>
          <w:szCs w:val="52"/>
          <w:highlight w:val="none"/>
        </w:rPr>
      </w:pPr>
    </w:p>
    <w:p w14:paraId="7A85BD02">
      <w:pPr>
        <w:ind w:left="120" w:leftChars="-337" w:right="-804" w:rightChars="-383" w:hanging="828" w:hangingChars="230"/>
        <w:jc w:val="center"/>
        <w:rPr>
          <w:rFonts w:hint="eastAsia" w:ascii="微软雅黑" w:hAnsi="微软雅黑"/>
          <w:b/>
          <w:bCs/>
          <w:color w:val="auto"/>
          <w:sz w:val="36"/>
          <w:szCs w:val="36"/>
          <w:highlight w:val="none"/>
        </w:rPr>
      </w:pPr>
      <w:r>
        <w:rPr>
          <w:rFonts w:ascii="微软雅黑" w:hAnsi="微软雅黑"/>
          <w:b/>
          <w:bCs/>
          <w:color w:val="auto"/>
          <w:sz w:val="36"/>
          <w:szCs w:val="36"/>
          <w:highlight w:val="none"/>
        </w:rPr>
        <w:drawing>
          <wp:inline distT="0" distB="0" distL="0" distR="0">
            <wp:extent cx="1713865" cy="1630045"/>
            <wp:effectExtent l="0" t="0" r="635" b="8255"/>
            <wp:docPr id="10"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 descr="C:\Users\ADMINI~1\AppData\Local\Temp\1639451168.jpg"/>
                    <pic:cNvPicPr>
                      <a:picLocks noChangeAspect="1" noChangeArrowheads="1"/>
                    </pic:cNvPicPr>
                  </pic:nvPicPr>
                  <pic:blipFill>
                    <a:blip r:embed="rId27" cstate="print"/>
                    <a:srcRect/>
                    <a:stretch>
                      <a:fillRect/>
                    </a:stretch>
                  </pic:blipFill>
                  <pic:spPr>
                    <a:xfrm>
                      <a:off x="0" y="0"/>
                      <a:ext cx="1713865" cy="1630045"/>
                    </a:xfrm>
                    <a:prstGeom prst="rect">
                      <a:avLst/>
                    </a:prstGeom>
                    <a:noFill/>
                    <a:ln w="9525">
                      <a:noFill/>
                      <a:miter lim="800000"/>
                      <a:headEnd/>
                      <a:tailEnd/>
                    </a:ln>
                  </pic:spPr>
                </pic:pic>
              </a:graphicData>
            </a:graphic>
          </wp:inline>
        </w:drawing>
      </w:r>
    </w:p>
    <w:p w14:paraId="72494964">
      <w:pPr>
        <w:pStyle w:val="27"/>
        <w:pBdr>
          <w:bottom w:val="thinThickThinMediumGap" w:color="auto" w:sz="18" w:space="1"/>
        </w:pBdr>
        <w:ind w:firstLine="532"/>
        <w:jc w:val="distribute"/>
        <w:rPr>
          <w:rFonts w:hint="eastAsia" w:ascii="微软雅黑" w:hAnsi="微软雅黑"/>
          <w:b/>
          <w:bCs/>
          <w:color w:val="auto"/>
          <w:w w:val="95"/>
          <w:sz w:val="28"/>
          <w:szCs w:val="28"/>
          <w:highlight w:val="none"/>
        </w:rPr>
      </w:pPr>
    </w:p>
    <w:p w14:paraId="7BD04F16">
      <w:pPr>
        <w:pStyle w:val="27"/>
        <w:pBdr>
          <w:bottom w:val="thinThickThinMediumGap" w:color="auto" w:sz="18" w:space="1"/>
        </w:pBdr>
        <w:ind w:firstLine="0" w:firstLineChars="0"/>
        <w:jc w:val="distribute"/>
        <w:outlineLvl w:val="0"/>
        <w:rPr>
          <w:rFonts w:hint="eastAsia" w:ascii="微软雅黑" w:hAnsi="微软雅黑"/>
          <w:b/>
          <w:bCs/>
          <w:color w:val="auto"/>
          <w:w w:val="95"/>
          <w:sz w:val="28"/>
          <w:szCs w:val="28"/>
          <w:highlight w:val="none"/>
        </w:rPr>
      </w:pPr>
      <w:bookmarkStart w:id="3" w:name="_Toc32224"/>
      <w:bookmarkStart w:id="4" w:name="_Toc18138"/>
      <w:bookmarkStart w:id="5" w:name="_Toc31634"/>
      <w:r>
        <w:rPr>
          <w:rFonts w:hint="eastAsia" w:ascii="微软雅黑" w:hAnsi="微软雅黑"/>
          <w:b/>
          <w:bCs/>
          <w:color w:val="auto"/>
          <w:w w:val="95"/>
          <w:sz w:val="28"/>
          <w:szCs w:val="28"/>
          <w:highlight w:val="none"/>
        </w:rPr>
        <w:t>嘉兴市千秋工程咨询有限公司</w:t>
      </w:r>
      <w:bookmarkEnd w:id="3"/>
      <w:bookmarkEnd w:id="4"/>
      <w:bookmarkEnd w:id="5"/>
    </w:p>
    <w:p w14:paraId="035DBFB0">
      <w:pPr>
        <w:pStyle w:val="27"/>
        <w:pBdr>
          <w:bottom w:val="thinThickThinMediumGap" w:color="auto" w:sz="18" w:space="1"/>
        </w:pBdr>
        <w:ind w:firstLine="0" w:firstLineChars="0"/>
        <w:jc w:val="distribute"/>
        <w:rPr>
          <w:rFonts w:hint="eastAsia" w:ascii="微软雅黑" w:hAnsi="微软雅黑"/>
          <w:b/>
          <w:bCs/>
          <w:color w:val="auto"/>
          <w:w w:val="95"/>
          <w:sz w:val="28"/>
          <w:szCs w:val="28"/>
          <w:highlight w:val="none"/>
        </w:rPr>
      </w:pPr>
      <w:r>
        <w:rPr>
          <w:rFonts w:hint="eastAsia" w:ascii="微软雅黑" w:hAnsi="微软雅黑"/>
          <w:b/>
          <w:bCs/>
          <w:color w:val="auto"/>
          <w:w w:val="95"/>
          <w:sz w:val="28"/>
          <w:szCs w:val="28"/>
          <w:highlight w:val="none"/>
        </w:rPr>
        <w:t>Jiaxing Qianqiu Engineering Consulting Co., Ltd</w:t>
      </w:r>
    </w:p>
    <w:p w14:paraId="0CC01E37">
      <w:pPr>
        <w:pStyle w:val="27"/>
        <w:ind w:firstLine="0" w:firstLineChars="0"/>
        <w:rPr>
          <w:rFonts w:hint="eastAsia" w:ascii="微软雅黑" w:hAnsi="微软雅黑" w:eastAsia="微软雅黑"/>
          <w:bCs/>
          <w:color w:val="auto"/>
          <w:w w:val="95"/>
          <w:sz w:val="28"/>
          <w:szCs w:val="28"/>
          <w:highlight w:val="none"/>
          <w:lang w:eastAsia="zh-CN"/>
        </w:rPr>
      </w:pPr>
      <w:r>
        <w:rPr>
          <w:rFonts w:hint="eastAsia" w:ascii="微软雅黑" w:hAnsi="微软雅黑"/>
          <w:bCs/>
          <w:color w:val="auto"/>
          <w:w w:val="95"/>
          <w:sz w:val="28"/>
          <w:szCs w:val="28"/>
          <w:highlight w:val="none"/>
        </w:rPr>
        <w:t>项目名称：</w:t>
      </w:r>
      <w:r>
        <w:rPr>
          <w:rFonts w:hint="eastAsia" w:ascii="微软雅黑" w:hAnsi="微软雅黑"/>
          <w:bCs/>
          <w:color w:val="auto"/>
          <w:w w:val="95"/>
          <w:sz w:val="28"/>
          <w:szCs w:val="28"/>
          <w:highlight w:val="none"/>
          <w:lang w:eastAsia="zh-CN"/>
        </w:rPr>
        <w:t>嘉兴市秀洲区精神障碍社区康复服务项目</w:t>
      </w:r>
    </w:p>
    <w:p w14:paraId="487002DB">
      <w:pPr>
        <w:pStyle w:val="27"/>
        <w:ind w:firstLine="0" w:firstLineChars="0"/>
        <w:rPr>
          <w:rFonts w:hint="eastAsia" w:ascii="微软雅黑" w:hAnsi="微软雅黑" w:eastAsia="微软雅黑"/>
          <w:bCs/>
          <w:color w:val="auto"/>
          <w:w w:val="95"/>
          <w:sz w:val="28"/>
          <w:szCs w:val="28"/>
          <w:highlight w:val="none"/>
          <w:lang w:eastAsia="zh-CN"/>
        </w:rPr>
      </w:pPr>
      <w:r>
        <w:rPr>
          <w:rFonts w:hint="eastAsia" w:ascii="微软雅黑" w:hAnsi="微软雅黑"/>
          <w:bCs/>
          <w:color w:val="auto"/>
          <w:w w:val="95"/>
          <w:sz w:val="28"/>
          <w:szCs w:val="28"/>
          <w:highlight w:val="none"/>
        </w:rPr>
        <w:t>招标编号：</w:t>
      </w:r>
      <w:r>
        <w:rPr>
          <w:rFonts w:hint="eastAsia" w:ascii="微软雅黑" w:hAnsi="微软雅黑"/>
          <w:bCs/>
          <w:color w:val="auto"/>
          <w:w w:val="95"/>
          <w:sz w:val="28"/>
          <w:szCs w:val="28"/>
          <w:highlight w:val="none"/>
          <w:lang w:eastAsia="zh-CN"/>
        </w:rPr>
        <w:t>千秋-JXQQGK（2025）第08号</w:t>
      </w:r>
    </w:p>
    <w:p w14:paraId="783311A4">
      <w:pPr>
        <w:pStyle w:val="27"/>
        <w:ind w:firstLine="0" w:firstLineChars="0"/>
        <w:rPr>
          <w:rFonts w:hint="eastAsia" w:ascii="微软雅黑" w:hAnsi="微软雅黑" w:eastAsia="微软雅黑"/>
          <w:bCs/>
          <w:color w:val="auto"/>
          <w:w w:val="95"/>
          <w:sz w:val="28"/>
          <w:szCs w:val="28"/>
          <w:highlight w:val="none"/>
          <w:lang w:eastAsia="zh-CN"/>
        </w:rPr>
      </w:pPr>
      <w:r>
        <w:rPr>
          <w:rFonts w:hint="eastAsia" w:ascii="微软雅黑" w:hAnsi="微软雅黑"/>
          <w:bCs/>
          <w:color w:val="auto"/>
          <w:w w:val="95"/>
          <w:sz w:val="28"/>
          <w:szCs w:val="28"/>
          <w:highlight w:val="none"/>
        </w:rPr>
        <w:t>采 购 人：</w:t>
      </w:r>
      <w:r>
        <w:rPr>
          <w:rFonts w:hint="eastAsia" w:ascii="微软雅黑" w:hAnsi="微软雅黑"/>
          <w:bCs/>
          <w:color w:val="auto"/>
          <w:w w:val="95"/>
          <w:sz w:val="28"/>
          <w:szCs w:val="28"/>
          <w:highlight w:val="none"/>
          <w:lang w:eastAsia="zh-CN"/>
        </w:rPr>
        <w:t>嘉兴市秀洲区民政局</w:t>
      </w:r>
    </w:p>
    <w:p w14:paraId="640D0E96">
      <w:pPr>
        <w:pStyle w:val="27"/>
        <w:ind w:firstLine="0" w:firstLineChars="0"/>
        <w:rPr>
          <w:rFonts w:hint="eastAsia" w:ascii="微软雅黑" w:hAnsi="微软雅黑"/>
          <w:bCs/>
          <w:color w:val="auto"/>
          <w:w w:val="95"/>
          <w:sz w:val="28"/>
          <w:szCs w:val="28"/>
          <w:highlight w:val="none"/>
        </w:rPr>
      </w:pPr>
      <w:r>
        <w:rPr>
          <w:rFonts w:hint="eastAsia" w:ascii="微软雅黑" w:hAnsi="微软雅黑"/>
          <w:bCs/>
          <w:color w:val="auto"/>
          <w:w w:val="95"/>
          <w:sz w:val="28"/>
          <w:szCs w:val="28"/>
          <w:highlight w:val="none"/>
        </w:rPr>
        <w:t>代理机构：嘉兴市千秋工程咨询有限公司</w:t>
      </w:r>
    </w:p>
    <w:p w14:paraId="5FE86C82">
      <w:pPr>
        <w:pStyle w:val="27"/>
        <w:ind w:firstLine="0" w:firstLineChars="0"/>
        <w:rPr>
          <w:rFonts w:hint="eastAsia" w:ascii="微软雅黑" w:hAnsi="微软雅黑"/>
          <w:b/>
          <w:color w:val="auto"/>
          <w:sz w:val="28"/>
          <w:szCs w:val="28"/>
          <w:highlight w:val="none"/>
        </w:rPr>
      </w:pPr>
      <w:bookmarkStart w:id="6" w:name="_Toc50012812"/>
      <w:r>
        <w:rPr>
          <w:rFonts w:hint="eastAsia" w:ascii="微软雅黑" w:hAnsi="微软雅黑"/>
          <w:bCs/>
          <w:color w:val="auto"/>
          <w:w w:val="95"/>
          <w:sz w:val="28"/>
          <w:szCs w:val="28"/>
          <w:highlight w:val="none"/>
        </w:rPr>
        <w:t>日    期：202</w:t>
      </w:r>
      <w:r>
        <w:rPr>
          <w:rFonts w:hint="eastAsia" w:ascii="微软雅黑" w:hAnsi="微软雅黑"/>
          <w:bCs/>
          <w:color w:val="auto"/>
          <w:w w:val="95"/>
          <w:sz w:val="28"/>
          <w:szCs w:val="28"/>
          <w:highlight w:val="none"/>
          <w:lang w:val="en-US" w:eastAsia="zh-CN"/>
        </w:rPr>
        <w:t>5</w:t>
      </w:r>
      <w:r>
        <w:rPr>
          <w:rFonts w:hint="eastAsia" w:ascii="微软雅黑" w:hAnsi="微软雅黑"/>
          <w:bCs/>
          <w:color w:val="auto"/>
          <w:w w:val="95"/>
          <w:sz w:val="28"/>
          <w:szCs w:val="28"/>
          <w:highlight w:val="none"/>
        </w:rPr>
        <w:t>年</w:t>
      </w:r>
      <w:r>
        <w:rPr>
          <w:rFonts w:hint="eastAsia" w:ascii="微软雅黑" w:hAnsi="微软雅黑"/>
          <w:bCs/>
          <w:color w:val="auto"/>
          <w:w w:val="95"/>
          <w:sz w:val="28"/>
          <w:szCs w:val="28"/>
          <w:highlight w:val="none"/>
          <w:lang w:val="en-US" w:eastAsia="zh-CN"/>
        </w:rPr>
        <w:t>04</w:t>
      </w:r>
      <w:r>
        <w:rPr>
          <w:rFonts w:hint="eastAsia" w:ascii="微软雅黑" w:hAnsi="微软雅黑"/>
          <w:bCs/>
          <w:color w:val="auto"/>
          <w:w w:val="95"/>
          <w:sz w:val="28"/>
          <w:szCs w:val="28"/>
          <w:highlight w:val="none"/>
        </w:rPr>
        <w:t>月</w:t>
      </w:r>
      <w:bookmarkEnd w:id="6"/>
      <w:r>
        <w:rPr>
          <w:rFonts w:hint="eastAsia" w:ascii="微软雅黑" w:hAnsi="微软雅黑"/>
          <w:bCs/>
          <w:color w:val="auto"/>
          <w:w w:val="95"/>
          <w:sz w:val="28"/>
          <w:szCs w:val="28"/>
          <w:highlight w:val="none"/>
          <w:lang w:val="en-US" w:eastAsia="zh-CN"/>
        </w:rPr>
        <w:t>01</w:t>
      </w:r>
      <w:r>
        <w:rPr>
          <w:rFonts w:hint="eastAsia" w:ascii="微软雅黑" w:hAnsi="微软雅黑"/>
          <w:bCs/>
          <w:color w:val="auto"/>
          <w:w w:val="95"/>
          <w:sz w:val="28"/>
          <w:szCs w:val="28"/>
          <w:highlight w:val="none"/>
        </w:rPr>
        <w:t>日</w:t>
      </w:r>
    </w:p>
    <w:p w14:paraId="278C24AF">
      <w:pPr>
        <w:pStyle w:val="129"/>
        <w:spacing w:before="0" w:line="360" w:lineRule="auto"/>
        <w:rPr>
          <w:rFonts w:hint="eastAsia" w:ascii="微软雅黑" w:hAnsi="微软雅黑"/>
          <w:color w:val="auto"/>
          <w:highlight w:val="none"/>
          <w:lang w:val="zh-CN"/>
        </w:rPr>
        <w:sectPr>
          <w:headerReference r:id="rId7" w:type="first"/>
          <w:footerReference r:id="rId10" w:type="first"/>
          <w:headerReference r:id="rId5" w:type="default"/>
          <w:footerReference r:id="rId8" w:type="default"/>
          <w:headerReference r:id="rId6" w:type="even"/>
          <w:footerReference r:id="rId9" w:type="even"/>
          <w:type w:val="nextColumn"/>
          <w:pgSz w:w="11906" w:h="16838"/>
          <w:pgMar w:top="1474" w:right="1134" w:bottom="1134" w:left="1474" w:header="851" w:footer="851" w:gutter="0"/>
          <w:cols w:space="720" w:num="1"/>
          <w:docGrid w:linePitch="312" w:charSpace="0"/>
        </w:sectPr>
      </w:pPr>
    </w:p>
    <w:p w14:paraId="7F95D020">
      <w:pPr>
        <w:pStyle w:val="300"/>
        <w:rPr>
          <w:rFonts w:hint="eastAsia"/>
          <w:color w:val="auto"/>
          <w:sz w:val="40"/>
          <w:szCs w:val="40"/>
          <w:highlight w:val="none"/>
        </w:rPr>
      </w:pPr>
    </w:p>
    <w:sdt>
      <w:sdtPr>
        <w:rPr>
          <w:rFonts w:ascii="宋体" w:hAnsi="宋体" w:eastAsia="宋体"/>
          <w:color w:val="auto"/>
          <w:sz w:val="40"/>
          <w:szCs w:val="40"/>
          <w:highlight w:val="none"/>
        </w:rPr>
        <w:id w:val="147478461"/>
        <w:docPartObj>
          <w:docPartGallery w:val="Table of Contents"/>
          <w:docPartUnique/>
        </w:docPartObj>
      </w:sdtPr>
      <w:sdtEndPr>
        <w:rPr>
          <w:rFonts w:ascii="宋体" w:hAnsi="宋体" w:eastAsia="宋体"/>
          <w:b/>
          <w:color w:val="auto"/>
          <w:sz w:val="40"/>
          <w:szCs w:val="40"/>
          <w:highlight w:val="none"/>
        </w:rPr>
      </w:sdtEndPr>
      <w:sdtContent>
        <w:p w14:paraId="22B01F8A">
          <w:pPr>
            <w:spacing w:line="240" w:lineRule="auto"/>
            <w:ind w:firstLine="0" w:firstLineChars="0"/>
            <w:jc w:val="center"/>
            <w:rPr>
              <w:color w:val="auto"/>
              <w:sz w:val="40"/>
              <w:szCs w:val="40"/>
              <w:highlight w:val="none"/>
            </w:rPr>
          </w:pPr>
          <w:r>
            <w:rPr>
              <w:rFonts w:ascii="宋体" w:hAnsi="宋体" w:eastAsia="宋体"/>
              <w:color w:val="auto"/>
              <w:sz w:val="40"/>
              <w:szCs w:val="40"/>
              <w:highlight w:val="none"/>
            </w:rPr>
            <w:t>目录</w:t>
          </w:r>
        </w:p>
        <w:p w14:paraId="2E27AE96">
          <w:pPr>
            <w:pStyle w:val="135"/>
            <w:tabs>
              <w:tab w:val="right" w:leader="dot" w:pos="8312"/>
            </w:tabs>
            <w:rPr>
              <w:b/>
              <w:color w:val="auto"/>
              <w:highlight w:val="none"/>
            </w:rPr>
          </w:pPr>
          <w:r>
            <w:rPr>
              <w:color w:val="auto"/>
              <w:highlight w:val="none"/>
            </w:rPr>
            <w:fldChar w:fldCharType="begin"/>
          </w:r>
          <w:r>
            <w:rPr>
              <w:color w:val="auto"/>
              <w:highlight w:val="none"/>
            </w:rPr>
            <w:instrText xml:space="preserve">TOC \o "1-2" \h \u </w:instrText>
          </w:r>
          <w:r>
            <w:rPr>
              <w:color w:val="auto"/>
              <w:highlight w:val="none"/>
            </w:rPr>
            <w:fldChar w:fldCharType="separate"/>
          </w:r>
        </w:p>
        <w:p w14:paraId="75D856AA">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"_Toc19316"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第一章 公开招标采购公告</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_Toc19316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0E8EE23">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"_Toc30616"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第二章 招标项目要求</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_Toc30616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8</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685D0970">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"_Toc32265" </w:instrText>
          </w:r>
          <w:r>
            <w:rPr>
              <w:color w:val="auto"/>
              <w:highlight w:val="none"/>
            </w:rPr>
            <w:fldChar w:fldCharType="separate"/>
          </w:r>
          <w:r>
            <w:rPr>
              <w:rFonts w:hint="eastAsia" w:ascii="微软雅黑" w:hAnsi="微软雅黑" w:eastAsia="微软雅黑" w:cs="微软雅黑"/>
              <w:bCs/>
              <w:color w:val="auto"/>
              <w:sz w:val="28"/>
              <w:szCs w:val="28"/>
              <w:highlight w:val="none"/>
            </w:rPr>
            <w:t>第三章 投标人须知</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_Toc32265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17</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68A84ECD">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"_Toc15642" </w:instrText>
          </w:r>
          <w:r>
            <w:rPr>
              <w:color w:val="auto"/>
              <w:highlight w:val="none"/>
            </w:rPr>
            <w:fldChar w:fldCharType="separate"/>
          </w:r>
          <w:r>
            <w:rPr>
              <w:rFonts w:hint="eastAsia" w:ascii="微软雅黑" w:hAnsi="微软雅黑" w:eastAsia="微软雅黑" w:cs="微软雅黑"/>
              <w:bCs/>
              <w:color w:val="auto"/>
              <w:sz w:val="28"/>
              <w:szCs w:val="28"/>
              <w:highlight w:val="none"/>
            </w:rPr>
            <w:t>电子交易注意事项</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_Toc15642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18</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58F2D49">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"_Toc9927" </w:instrText>
          </w:r>
          <w:r>
            <w:rPr>
              <w:color w:val="auto"/>
              <w:highlight w:val="none"/>
            </w:rPr>
            <w:fldChar w:fldCharType="separate"/>
          </w:r>
          <w:r>
            <w:rPr>
              <w:rFonts w:hint="eastAsia" w:ascii="微软雅黑" w:hAnsi="微软雅黑" w:eastAsia="微软雅黑" w:cs="微软雅黑"/>
              <w:bCs/>
              <w:color w:val="auto"/>
              <w:sz w:val="28"/>
              <w:szCs w:val="28"/>
              <w:highlight w:val="none"/>
            </w:rPr>
            <w:t>前附表</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_Toc9927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19</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4DD1F7C">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"_Toc3218" </w:instrText>
          </w:r>
          <w:r>
            <w:rPr>
              <w:color w:val="auto"/>
              <w:highlight w:val="none"/>
            </w:rPr>
            <w:fldChar w:fldCharType="separate"/>
          </w:r>
          <w:r>
            <w:rPr>
              <w:rFonts w:hint="eastAsia" w:ascii="微软雅黑" w:hAnsi="微软雅黑" w:eastAsia="微软雅黑" w:cs="微软雅黑"/>
              <w:bCs/>
              <w:color w:val="auto"/>
              <w:sz w:val="28"/>
              <w:szCs w:val="28"/>
              <w:highlight w:val="none"/>
            </w:rPr>
            <w:t>一、总  则</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_Toc3218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DDE0227">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"_Toc27754" </w:instrText>
          </w:r>
          <w:r>
            <w:rPr>
              <w:color w:val="auto"/>
              <w:highlight w:val="none"/>
            </w:rPr>
            <w:fldChar w:fldCharType="separate"/>
          </w:r>
          <w:r>
            <w:rPr>
              <w:rFonts w:hint="eastAsia" w:ascii="微软雅黑" w:hAnsi="微软雅黑" w:eastAsia="微软雅黑" w:cs="微软雅黑"/>
              <w:bCs/>
              <w:color w:val="auto"/>
              <w:sz w:val="28"/>
              <w:szCs w:val="28"/>
              <w:highlight w:val="none"/>
            </w:rPr>
            <w:t>二 、招标文件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_Toc27754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25</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D667B08">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"_Toc27689" </w:instrText>
          </w:r>
          <w:r>
            <w:rPr>
              <w:color w:val="auto"/>
              <w:highlight w:val="none"/>
            </w:rPr>
            <w:fldChar w:fldCharType="separate"/>
          </w:r>
          <w:r>
            <w:rPr>
              <w:rFonts w:hint="eastAsia" w:ascii="微软雅黑" w:hAnsi="微软雅黑" w:eastAsia="微软雅黑" w:cs="微软雅黑"/>
              <w:bCs/>
              <w:color w:val="auto"/>
              <w:sz w:val="28"/>
              <w:szCs w:val="28"/>
              <w:highlight w:val="none"/>
            </w:rPr>
            <w:t>三、 投标文件的编制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_Toc27689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26</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0D59F7D6">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"_Toc22083" </w:instrText>
          </w:r>
          <w:r>
            <w:rPr>
              <w:color w:val="auto"/>
              <w:highlight w:val="none"/>
            </w:rPr>
            <w:fldChar w:fldCharType="separate"/>
          </w:r>
          <w:r>
            <w:rPr>
              <w:rFonts w:hint="eastAsia" w:ascii="微软雅黑" w:hAnsi="微软雅黑" w:eastAsia="微软雅黑" w:cs="微软雅黑"/>
              <w:bCs/>
              <w:color w:val="auto"/>
              <w:sz w:val="28"/>
              <w:szCs w:val="28"/>
              <w:highlight w:val="none"/>
            </w:rPr>
            <w:t>四、开标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_Toc22083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30</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A47162A">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"_Toc18014" </w:instrText>
          </w:r>
          <w:r>
            <w:rPr>
              <w:color w:val="auto"/>
              <w:highlight w:val="none"/>
            </w:rPr>
            <w:fldChar w:fldCharType="separate"/>
          </w:r>
          <w:r>
            <w:rPr>
              <w:rFonts w:hint="eastAsia" w:ascii="微软雅黑" w:hAnsi="微软雅黑" w:eastAsia="微软雅黑" w:cs="微软雅黑"/>
              <w:bCs/>
              <w:color w:val="auto"/>
              <w:sz w:val="28"/>
              <w:szCs w:val="28"/>
              <w:highlight w:val="none"/>
            </w:rPr>
            <w:t>五、评标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_Toc18014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31</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6E3A3047">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"_Toc30708" </w:instrText>
          </w:r>
          <w:r>
            <w:rPr>
              <w:color w:val="auto"/>
              <w:highlight w:val="none"/>
            </w:rPr>
            <w:fldChar w:fldCharType="separate"/>
          </w:r>
          <w:r>
            <w:rPr>
              <w:rFonts w:hint="eastAsia" w:ascii="微软雅黑" w:hAnsi="微软雅黑" w:eastAsia="微软雅黑" w:cs="微软雅黑"/>
              <w:bCs/>
              <w:color w:val="auto"/>
              <w:sz w:val="28"/>
              <w:szCs w:val="28"/>
              <w:highlight w:val="none"/>
            </w:rPr>
            <w:t>六、定标</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_Toc30708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EFBCC90">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"_Toc4086" </w:instrText>
          </w:r>
          <w:r>
            <w:rPr>
              <w:color w:val="auto"/>
              <w:highlight w:val="none"/>
            </w:rPr>
            <w:fldChar w:fldCharType="separate"/>
          </w:r>
          <w:r>
            <w:rPr>
              <w:rFonts w:hint="eastAsia" w:ascii="微软雅黑" w:hAnsi="微软雅黑" w:eastAsia="微软雅黑" w:cs="微软雅黑"/>
              <w:bCs/>
              <w:color w:val="auto"/>
              <w:sz w:val="28"/>
              <w:szCs w:val="28"/>
              <w:highlight w:val="none"/>
            </w:rPr>
            <w:t>七、合同授予</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_Toc4086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9880CBF">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"_Toc17646" </w:instrText>
          </w:r>
          <w:r>
            <w:rPr>
              <w:color w:val="auto"/>
              <w:highlight w:val="none"/>
            </w:rPr>
            <w:fldChar w:fldCharType="separate"/>
          </w:r>
          <w:r>
            <w:rPr>
              <w:rFonts w:hint="eastAsia" w:ascii="微软雅黑" w:hAnsi="微软雅黑" w:eastAsia="微软雅黑" w:cs="微软雅黑"/>
              <w:bCs/>
              <w:color w:val="auto"/>
              <w:sz w:val="28"/>
              <w:szCs w:val="28"/>
              <w:highlight w:val="none"/>
            </w:rPr>
            <w:t>八、验收</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_Toc17646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34</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0E85F36">
          <w:pPr>
            <w:pStyle w:val="301"/>
            <w:tabs>
              <w:tab w:val="right" w:leader="dot" w:pos="8312"/>
            </w:tabs>
            <w:ind w:left="420"/>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"_Toc9282" </w:instrText>
          </w:r>
          <w:r>
            <w:rPr>
              <w:color w:val="auto"/>
              <w:highlight w:val="none"/>
            </w:rPr>
            <w:fldChar w:fldCharType="separate"/>
          </w:r>
          <w:r>
            <w:rPr>
              <w:rFonts w:hint="eastAsia" w:ascii="微软雅黑" w:hAnsi="微软雅黑" w:eastAsia="微软雅黑" w:cs="微软雅黑"/>
              <w:bCs/>
              <w:color w:val="auto"/>
              <w:sz w:val="28"/>
              <w:szCs w:val="28"/>
              <w:highlight w:val="none"/>
            </w:rPr>
            <w:t>九、招标代理费</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_Toc9282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35</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72924FA">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"_Toc27645" </w:instrText>
          </w:r>
          <w:r>
            <w:rPr>
              <w:color w:val="auto"/>
              <w:highlight w:val="none"/>
            </w:rPr>
            <w:fldChar w:fldCharType="separate"/>
          </w:r>
          <w:r>
            <w:rPr>
              <w:rFonts w:hint="eastAsia" w:ascii="微软雅黑" w:hAnsi="微软雅黑" w:eastAsia="微软雅黑" w:cs="微软雅黑"/>
              <w:bCs/>
              <w:color w:val="auto"/>
              <w:sz w:val="28"/>
              <w:szCs w:val="28"/>
              <w:highlight w:val="none"/>
            </w:rPr>
            <w:t>第四章 评标办法及评分标准</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_Toc27645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36</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34C3D60F">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"_Toc28705" </w:instrText>
          </w:r>
          <w:r>
            <w:rPr>
              <w:color w:val="auto"/>
              <w:highlight w:val="none"/>
            </w:rPr>
            <w:fldChar w:fldCharType="separate"/>
          </w:r>
          <w:r>
            <w:rPr>
              <w:rFonts w:hint="eastAsia" w:ascii="微软雅黑" w:hAnsi="微软雅黑" w:eastAsia="微软雅黑" w:cs="微软雅黑"/>
              <w:bCs/>
              <w:color w:val="auto"/>
              <w:sz w:val="28"/>
              <w:szCs w:val="28"/>
              <w:highlight w:val="none"/>
            </w:rPr>
            <w:t>第五章 采购合同（指引）</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_Toc28705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40</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76804D46">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"_Toc2506" </w:instrText>
          </w:r>
          <w:r>
            <w:rPr>
              <w:color w:val="auto"/>
              <w:highlight w:val="none"/>
            </w:rPr>
            <w:fldChar w:fldCharType="separate"/>
          </w:r>
          <w:r>
            <w:rPr>
              <w:rFonts w:hint="eastAsia" w:ascii="微软雅黑" w:hAnsi="微软雅黑" w:eastAsia="微软雅黑" w:cs="微软雅黑"/>
              <w:bCs/>
              <w:color w:val="auto"/>
              <w:sz w:val="28"/>
              <w:szCs w:val="28"/>
              <w:highlight w:val="none"/>
            </w:rPr>
            <w:t>第六章 投标文件相关格式</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_Toc2506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45</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541DCBBF">
          <w:pPr>
            <w:pStyle w:val="135"/>
            <w:tabs>
              <w:tab w:val="right" w:leader="dot" w:pos="8312"/>
            </w:tabs>
            <w:rPr>
              <w:rFonts w:hint="eastAsia" w:ascii="微软雅黑" w:hAnsi="微软雅黑" w:eastAsia="微软雅黑" w:cs="微软雅黑"/>
              <w:bCs/>
              <w:color w:val="auto"/>
              <w:sz w:val="28"/>
              <w:szCs w:val="28"/>
              <w:highlight w:val="none"/>
            </w:rPr>
          </w:pPr>
          <w:r>
            <w:rPr>
              <w:color w:val="auto"/>
              <w:highlight w:val="none"/>
            </w:rPr>
            <w:fldChar w:fldCharType="begin"/>
          </w:r>
          <w:r>
            <w:rPr>
              <w:color w:val="auto"/>
              <w:highlight w:val="none"/>
            </w:rPr>
            <w:instrText xml:space="preserve"> HYPERLINK \l "_Toc13790" </w:instrText>
          </w:r>
          <w:r>
            <w:rPr>
              <w:color w:val="auto"/>
              <w:highlight w:val="none"/>
            </w:rPr>
            <w:fldChar w:fldCharType="separate"/>
          </w:r>
          <w:r>
            <w:rPr>
              <w:rFonts w:hint="eastAsia" w:ascii="微软雅黑" w:hAnsi="微软雅黑" w:eastAsia="微软雅黑" w:cs="微软雅黑"/>
              <w:bCs/>
              <w:color w:val="auto"/>
              <w:sz w:val="28"/>
              <w:szCs w:val="28"/>
              <w:highlight w:val="none"/>
            </w:rPr>
            <w:t>国家统计局关于印发统计上大中小微型企业划分办法的通知</w:t>
          </w:r>
          <w:r>
            <w:rPr>
              <w:rFonts w:hint="eastAsia" w:ascii="微软雅黑" w:hAnsi="微软雅黑" w:eastAsia="微软雅黑" w:cs="微软雅黑"/>
              <w:bCs/>
              <w:color w:val="auto"/>
              <w:sz w:val="28"/>
              <w:szCs w:val="28"/>
              <w:highlight w:val="none"/>
            </w:rPr>
            <w:tab/>
          </w:r>
          <w:r>
            <w:rPr>
              <w:rFonts w:hint="eastAsia" w:ascii="微软雅黑" w:hAnsi="微软雅黑" w:eastAsia="微软雅黑" w:cs="微软雅黑"/>
              <w:bCs/>
              <w:color w:val="auto"/>
              <w:sz w:val="28"/>
              <w:szCs w:val="28"/>
              <w:highlight w:val="none"/>
            </w:rPr>
            <w:fldChar w:fldCharType="begin"/>
          </w:r>
          <w:r>
            <w:rPr>
              <w:rFonts w:hint="eastAsia" w:ascii="微软雅黑" w:hAnsi="微软雅黑" w:eastAsia="微软雅黑" w:cs="微软雅黑"/>
              <w:bCs/>
              <w:color w:val="auto"/>
              <w:sz w:val="28"/>
              <w:szCs w:val="28"/>
              <w:highlight w:val="none"/>
            </w:rPr>
            <w:instrText xml:space="preserve"> PAGEREF _Toc13790 \h </w:instrText>
          </w:r>
          <w:r>
            <w:rPr>
              <w:rFonts w:hint="eastAsia" w:ascii="微软雅黑" w:hAnsi="微软雅黑" w:eastAsia="微软雅黑" w:cs="微软雅黑"/>
              <w:bCs/>
              <w:color w:val="auto"/>
              <w:sz w:val="28"/>
              <w:szCs w:val="28"/>
              <w:highlight w:val="none"/>
            </w:rPr>
            <w:fldChar w:fldCharType="separate"/>
          </w:r>
          <w:r>
            <w:rPr>
              <w:rFonts w:hint="eastAsia" w:ascii="微软雅黑" w:hAnsi="微软雅黑" w:eastAsia="微软雅黑" w:cs="微软雅黑"/>
              <w:bCs/>
              <w:color w:val="auto"/>
              <w:sz w:val="28"/>
              <w:szCs w:val="28"/>
              <w:highlight w:val="none"/>
            </w:rPr>
            <w:t>67</w:t>
          </w:r>
          <w:r>
            <w:rPr>
              <w:rFonts w:hint="eastAsia" w:ascii="微软雅黑" w:hAnsi="微软雅黑" w:eastAsia="微软雅黑" w:cs="微软雅黑"/>
              <w:bCs/>
              <w:color w:val="auto"/>
              <w:sz w:val="28"/>
              <w:szCs w:val="28"/>
              <w:highlight w:val="none"/>
            </w:rPr>
            <w:fldChar w:fldCharType="end"/>
          </w:r>
          <w:r>
            <w:rPr>
              <w:rFonts w:hint="eastAsia" w:ascii="微软雅黑" w:hAnsi="微软雅黑" w:eastAsia="微软雅黑" w:cs="微软雅黑"/>
              <w:bCs/>
              <w:color w:val="auto"/>
              <w:sz w:val="28"/>
              <w:szCs w:val="28"/>
              <w:highlight w:val="none"/>
            </w:rPr>
            <w:fldChar w:fldCharType="end"/>
          </w:r>
        </w:p>
        <w:p w14:paraId="6477B733">
          <w:pPr>
            <w:pStyle w:val="135"/>
            <w:tabs>
              <w:tab w:val="right" w:leader="dot" w:pos="8312"/>
            </w:tabs>
            <w:rPr>
              <w:b/>
              <w:color w:val="auto"/>
              <w:highlight w:val="none"/>
            </w:rPr>
          </w:pPr>
        </w:p>
        <w:p w14:paraId="31F341D2">
          <w:pPr>
            <w:ind w:firstLine="420"/>
            <w:rPr>
              <w:color w:val="auto"/>
              <w:highlight w:val="none"/>
            </w:rPr>
          </w:pPr>
          <w:r>
            <w:rPr>
              <w:b/>
              <w:color w:val="auto"/>
              <w:highlight w:val="none"/>
            </w:rPr>
            <w:fldChar w:fldCharType="end"/>
          </w:r>
        </w:p>
      </w:sdtContent>
    </w:sdt>
    <w:p w14:paraId="1B471DD2">
      <w:pPr>
        <w:pStyle w:val="2"/>
        <w:numPr>
          <w:ilvl w:val="0"/>
          <w:numId w:val="3"/>
        </w:numPr>
        <w:rPr>
          <w:rStyle w:val="70"/>
          <w:b/>
          <w:bCs/>
          <w:color w:val="auto"/>
          <w:highlight w:val="none"/>
        </w:rPr>
        <w:sectPr>
          <w:headerReference r:id="rId13" w:type="first"/>
          <w:headerReference r:id="rId11" w:type="default"/>
          <w:footerReference r:id="rId14" w:type="default"/>
          <w:headerReference r:id="rId12" w:type="even"/>
          <w:type w:val="nextColumn"/>
          <w:pgSz w:w="11906" w:h="16838"/>
          <w:pgMar w:top="1474" w:right="1134" w:bottom="1134" w:left="1474" w:header="851" w:footer="851" w:gutter="0"/>
          <w:pgNumType w:start="1"/>
          <w:cols w:space="720" w:num="1"/>
          <w:docGrid w:linePitch="312" w:charSpace="0"/>
        </w:sectPr>
      </w:pPr>
      <w:bookmarkStart w:id="7" w:name="_Toc19316"/>
    </w:p>
    <w:p w14:paraId="2FDE40F1">
      <w:pPr>
        <w:pStyle w:val="2"/>
        <w:numPr>
          <w:ilvl w:val="0"/>
          <w:numId w:val="3"/>
        </w:numPr>
        <w:rPr>
          <w:rStyle w:val="70"/>
          <w:b/>
          <w:bCs/>
          <w:color w:val="auto"/>
          <w:highlight w:val="none"/>
        </w:rPr>
      </w:pPr>
      <w:r>
        <w:rPr>
          <w:rStyle w:val="70"/>
          <w:rFonts w:hint="eastAsia"/>
          <w:b/>
          <w:bCs/>
          <w:color w:val="auto"/>
          <w:highlight w:val="none"/>
        </w:rPr>
        <w:t>公开招标采购公告</w:t>
      </w:r>
      <w:bookmarkEnd w:id="7"/>
    </w:p>
    <w:tbl>
      <w:tblPr>
        <w:tblStyle w:val="55"/>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8"/>
      </w:tblGrid>
      <w:tr w14:paraId="436264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8" w:type="dxa"/>
          </w:tcPr>
          <w:p w14:paraId="048790E7">
            <w:pPr>
              <w:pStyle w:val="47"/>
              <w:spacing w:before="75" w:beforeAutospacing="0" w:after="75" w:afterAutospacing="0" w:line="276" w:lineRule="auto"/>
              <w:ind w:firstLine="0" w:firstLineChars="0"/>
              <w:jc w:val="both"/>
              <w:rPr>
                <w:rFonts w:hint="eastAsia" w:ascii="微软雅黑" w:hAnsi="微软雅黑" w:cs="Arial"/>
                <w:color w:val="auto"/>
                <w:sz w:val="21"/>
                <w:szCs w:val="21"/>
                <w:highlight w:val="none"/>
              </w:rPr>
            </w:pPr>
            <w:bookmarkStart w:id="8" w:name="_Toc493511541"/>
            <w:bookmarkStart w:id="9" w:name="_Toc177870534"/>
            <w:r>
              <w:rPr>
                <w:rFonts w:hint="eastAsia" w:ascii="微软雅黑" w:hAnsi="微软雅黑" w:cs="Arial"/>
                <w:color w:val="auto"/>
                <w:sz w:val="21"/>
                <w:szCs w:val="21"/>
                <w:highlight w:val="none"/>
              </w:rPr>
              <w:t>项目概况</w:t>
            </w:r>
            <w:r>
              <w:rPr>
                <w:rFonts w:ascii="微软雅黑" w:hAnsi="微软雅黑" w:cs="Calibri"/>
                <w:color w:val="auto"/>
                <w:sz w:val="21"/>
                <w:szCs w:val="21"/>
                <w:highlight w:val="none"/>
              </w:rPr>
              <w:t>                           </w:t>
            </w:r>
          </w:p>
          <w:p w14:paraId="136C2AA6">
            <w:pPr>
              <w:pStyle w:val="47"/>
              <w:spacing w:before="75" w:beforeAutospacing="0" w:after="75" w:afterAutospacing="0" w:line="276" w:lineRule="auto"/>
              <w:ind w:firstLine="420"/>
              <w:rPr>
                <w:rFonts w:hint="eastAsia" w:ascii="微软雅黑" w:hAnsi="微软雅黑" w:cs="Arial"/>
                <w:color w:val="auto"/>
                <w:sz w:val="21"/>
                <w:szCs w:val="21"/>
                <w:highlight w:val="none"/>
              </w:rPr>
            </w:pPr>
            <w:r>
              <w:rPr>
                <w:rFonts w:hint="eastAsia"/>
                <w:color w:val="auto"/>
                <w:sz w:val="21"/>
                <w:szCs w:val="21"/>
                <w:highlight w:val="none"/>
                <w:lang w:eastAsia="zh-CN"/>
              </w:rPr>
              <w:t>嘉兴市秀洲区精神障碍社区康复服务项目</w:t>
            </w:r>
            <w:r>
              <w:rPr>
                <w:rFonts w:hint="eastAsia" w:ascii="微软雅黑" w:hAnsi="微软雅黑" w:cs="Arial"/>
                <w:color w:val="auto"/>
                <w:sz w:val="21"/>
                <w:szCs w:val="21"/>
                <w:highlight w:val="none"/>
              </w:rPr>
              <w:t>的潜在投标人应在https://www.zcygov.cn获取（下载）招标文件，并于</w:t>
            </w:r>
            <w:r>
              <w:rPr>
                <w:rFonts w:ascii="微软雅黑" w:hAnsi="微软雅黑" w:cs="Calibri"/>
                <w:color w:val="auto"/>
                <w:sz w:val="21"/>
                <w:szCs w:val="21"/>
                <w:highlight w:val="none"/>
              </w:rPr>
              <w:t> </w:t>
            </w:r>
            <w:r>
              <w:rPr>
                <w:rFonts w:hint="eastAsia" w:ascii="微软雅黑" w:hAnsi="微软雅黑" w:cs="Arial"/>
                <w:color w:val="auto"/>
                <w:sz w:val="21"/>
                <w:szCs w:val="21"/>
                <w:highlight w:val="none"/>
              </w:rPr>
              <w:t>202</w:t>
            </w:r>
            <w:r>
              <w:rPr>
                <w:rFonts w:hint="eastAsia" w:ascii="微软雅黑" w:hAnsi="微软雅黑" w:cs="Arial"/>
                <w:color w:val="auto"/>
                <w:sz w:val="21"/>
                <w:szCs w:val="21"/>
                <w:highlight w:val="none"/>
                <w:lang w:val="en-US" w:eastAsia="zh-CN"/>
              </w:rPr>
              <w:t>5</w:t>
            </w:r>
            <w:r>
              <w:rPr>
                <w:rFonts w:hint="eastAsia" w:ascii="微软雅黑" w:hAnsi="微软雅黑" w:cs="Arial"/>
                <w:color w:val="auto"/>
                <w:sz w:val="21"/>
                <w:szCs w:val="21"/>
                <w:highlight w:val="none"/>
              </w:rPr>
              <w:t>年</w:t>
            </w:r>
            <w:r>
              <w:rPr>
                <w:rFonts w:hint="eastAsia" w:ascii="微软雅黑" w:hAnsi="微软雅黑" w:cs="Arial"/>
                <w:color w:val="auto"/>
                <w:sz w:val="21"/>
                <w:szCs w:val="21"/>
                <w:highlight w:val="none"/>
                <w:lang w:val="en-US" w:eastAsia="zh-CN"/>
              </w:rPr>
              <w:t>04</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22</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 w:val="21"/>
                <w:szCs w:val="21"/>
                <w:highlight w:val="none"/>
              </w:rPr>
              <w:t>（北京时间）前递交（上传）投标文件。</w:t>
            </w:r>
            <w:r>
              <w:rPr>
                <w:rFonts w:ascii="微软雅黑" w:hAnsi="微软雅黑" w:cs="Calibri"/>
                <w:color w:val="auto"/>
                <w:sz w:val="21"/>
                <w:szCs w:val="21"/>
                <w:highlight w:val="none"/>
              </w:rPr>
              <w:t>      </w:t>
            </w:r>
          </w:p>
        </w:tc>
      </w:tr>
    </w:tbl>
    <w:p w14:paraId="5E3FEDA2">
      <w:pPr>
        <w:widowControl/>
        <w:spacing w:before="255" w:after="255" w:line="300" w:lineRule="atLeast"/>
        <w:ind w:firstLine="0" w:firstLineChars="0"/>
        <w:jc w:val="both"/>
        <w:rPr>
          <w:rFonts w:hint="eastAsia" w:ascii="微软雅黑" w:hAnsi="微软雅黑" w:cs="Arial"/>
          <w:color w:val="auto"/>
          <w:kern w:val="0"/>
          <w:szCs w:val="21"/>
          <w:highlight w:val="none"/>
        </w:rPr>
      </w:pPr>
      <w:r>
        <w:rPr>
          <w:rFonts w:hint="eastAsia" w:ascii="微软雅黑" w:hAnsi="微软雅黑" w:cs="Arial"/>
          <w:b/>
          <w:bCs/>
          <w:color w:val="auto"/>
          <w:kern w:val="0"/>
          <w:szCs w:val="21"/>
          <w:highlight w:val="none"/>
        </w:rPr>
        <w:t>一、项目基本情况</w:t>
      </w:r>
      <w:r>
        <w:rPr>
          <w:rFonts w:ascii="微软雅黑" w:hAnsi="微软雅黑" w:cs="Calibri"/>
          <w:color w:val="auto"/>
          <w:kern w:val="0"/>
          <w:szCs w:val="21"/>
          <w:highlight w:val="none"/>
        </w:rPr>
        <w:t>                       </w:t>
      </w:r>
    </w:p>
    <w:p w14:paraId="6A9F1983">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采购计划编号：</w:t>
      </w:r>
      <w:r>
        <w:rPr>
          <w:rFonts w:ascii="微软雅黑" w:hAnsi="微软雅黑" w:eastAsia="微软雅黑" w:cs="微软雅黑"/>
          <w:i w:val="0"/>
          <w:iCs w:val="0"/>
          <w:caps w:val="0"/>
          <w:color w:val="auto"/>
          <w:spacing w:val="0"/>
          <w:sz w:val="21"/>
          <w:szCs w:val="21"/>
          <w:highlight w:val="none"/>
          <w:u w:val="none"/>
          <w:shd w:val="clear" w:fill="EBF4FF"/>
        </w:rPr>
        <w:fldChar w:fldCharType="begin"/>
      </w:r>
      <w:r>
        <w:rPr>
          <w:rFonts w:ascii="微软雅黑" w:hAnsi="微软雅黑" w:eastAsia="微软雅黑" w:cs="微软雅黑"/>
          <w:i w:val="0"/>
          <w:iCs w:val="0"/>
          <w:caps w:val="0"/>
          <w:color w:val="auto"/>
          <w:spacing w:val="0"/>
          <w:sz w:val="21"/>
          <w:szCs w:val="21"/>
          <w:highlight w:val="none"/>
          <w:u w:val="none"/>
          <w:shd w:val="clear" w:fill="EBF4FF"/>
        </w:rPr>
        <w:instrText xml:space="preserve"> HYPERLINK "https://pay.zcygov.cn/purchaseplan_front/" \l "/plan/list/view?id=1000000000015562358&amp;_app_=zcy.procurement" \t "https://www.zcygov.cn/project-center/_procurement_/purchasePlans/_blank" </w:instrText>
      </w:r>
      <w:r>
        <w:rPr>
          <w:rFonts w:ascii="微软雅黑" w:hAnsi="微软雅黑" w:eastAsia="微软雅黑" w:cs="微软雅黑"/>
          <w:i w:val="0"/>
          <w:iCs w:val="0"/>
          <w:caps w:val="0"/>
          <w:color w:val="auto"/>
          <w:spacing w:val="0"/>
          <w:sz w:val="21"/>
          <w:szCs w:val="21"/>
          <w:highlight w:val="none"/>
          <w:u w:val="none"/>
          <w:shd w:val="clear" w:fill="EBF4FF"/>
        </w:rPr>
        <w:fldChar w:fldCharType="separate"/>
      </w:r>
      <w:r>
        <w:rPr>
          <w:rStyle w:val="62"/>
          <w:rFonts w:hint="eastAsia" w:ascii="微软雅黑" w:hAnsi="微软雅黑" w:eastAsia="微软雅黑" w:cs="微软雅黑"/>
          <w:i w:val="0"/>
          <w:iCs w:val="0"/>
          <w:caps w:val="0"/>
          <w:color w:val="auto"/>
          <w:spacing w:val="0"/>
          <w:sz w:val="21"/>
          <w:szCs w:val="21"/>
          <w:highlight w:val="none"/>
          <w:u w:val="none"/>
          <w:shd w:val="clear" w:fill="EBF4FF"/>
        </w:rPr>
        <w:t>[2025]338号</w:t>
      </w:r>
      <w:r>
        <w:rPr>
          <w:rFonts w:hint="eastAsia" w:ascii="微软雅黑" w:hAnsi="微软雅黑" w:eastAsia="微软雅黑" w:cs="微软雅黑"/>
          <w:i w:val="0"/>
          <w:iCs w:val="0"/>
          <w:caps w:val="0"/>
          <w:color w:val="auto"/>
          <w:spacing w:val="0"/>
          <w:sz w:val="21"/>
          <w:szCs w:val="21"/>
          <w:highlight w:val="none"/>
          <w:u w:val="none"/>
          <w:shd w:val="clear" w:fill="EBF4FF"/>
        </w:rPr>
        <w:fldChar w:fldCharType="end"/>
      </w:r>
      <w:r>
        <w:rPr>
          <w:rStyle w:val="62"/>
          <w:rFonts w:hint="eastAsia" w:ascii="微软雅黑" w:hAnsi="微软雅黑" w:eastAsia="微软雅黑" w:cs="微软雅黑"/>
          <w:i w:val="0"/>
          <w:iCs w:val="0"/>
          <w:caps w:val="0"/>
          <w:color w:val="auto"/>
          <w:spacing w:val="0"/>
          <w:sz w:val="21"/>
          <w:szCs w:val="21"/>
          <w:highlight w:val="none"/>
          <w:u w:val="none"/>
          <w:shd w:val="clear" w:fill="EBF4FF"/>
          <w:lang w:eastAsia="zh-CN"/>
        </w:rPr>
        <w:t>、</w:t>
      </w:r>
      <w:r>
        <w:rPr>
          <w:rStyle w:val="62"/>
          <w:rFonts w:hint="eastAsia" w:ascii="微软雅黑" w:hAnsi="微软雅黑" w:eastAsia="微软雅黑" w:cs="微软雅黑"/>
          <w:i w:val="0"/>
          <w:iCs w:val="0"/>
          <w:caps w:val="0"/>
          <w:color w:val="auto"/>
          <w:spacing w:val="0"/>
          <w:sz w:val="21"/>
          <w:szCs w:val="21"/>
          <w:highlight w:val="none"/>
          <w:u w:val="none"/>
          <w:shd w:val="clear" w:fill="EBF4FF"/>
        </w:rPr>
        <w:t>[2025]339号</w:t>
      </w:r>
      <w:r>
        <w:rPr>
          <w:rFonts w:hint="eastAsia" w:ascii="微软雅黑" w:hAnsi="微软雅黑" w:cs="微软雅黑"/>
          <w:color w:val="auto"/>
          <w:szCs w:val="21"/>
          <w:highlight w:val="none"/>
        </w:rPr>
        <w:t xml:space="preserve"> </w:t>
      </w:r>
      <w:r>
        <w:rPr>
          <w:rFonts w:hint="eastAsia" w:ascii="微软雅黑" w:hAnsi="微软雅黑" w:cs="Calibri"/>
          <w:color w:val="auto"/>
          <w:kern w:val="0"/>
          <w:szCs w:val="21"/>
          <w:highlight w:val="none"/>
        </w:rPr>
        <w:t xml:space="preserve"> </w:t>
      </w:r>
      <w:r>
        <w:rPr>
          <w:color w:val="auto"/>
          <w:highlight w:val="none"/>
        </w:rPr>
        <w:t xml:space="preserve"> </w:t>
      </w:r>
      <w:r>
        <w:rPr>
          <w:color w:val="auto"/>
          <w:highlight w:val="none"/>
        </w:rPr>
        <w:fldChar w:fldCharType="begin"/>
      </w:r>
      <w:r>
        <w:rPr>
          <w:color w:val="auto"/>
          <w:highlight w:val="none"/>
        </w:rPr>
        <w:instrText xml:space="preserve"> HYPERLINK "https://pay.zcygov.cn/purchaseplan_front/" \l "/plan/list/view?id=1000000000013025774&amp;_app_=zcy.procurement" \t "_blank" </w:instrText>
      </w:r>
      <w:r>
        <w:rPr>
          <w:color w:val="auto"/>
          <w:highlight w:val="none"/>
        </w:rPr>
        <w:fldChar w:fldCharType="separate"/>
      </w:r>
      <w:r>
        <w:rPr>
          <w:color w:val="auto"/>
          <w:highlight w:val="none"/>
        </w:rPr>
        <w:fldChar w:fldCharType="end"/>
      </w:r>
    </w:p>
    <w:p w14:paraId="2966F942">
      <w:pPr>
        <w:widowControl/>
        <w:spacing w:before="75" w:after="75" w:line="300" w:lineRule="atLeast"/>
        <w:ind w:firstLine="424" w:firstLineChars="202"/>
        <w:rPr>
          <w:rFonts w:hint="eastAsia" w:ascii="微软雅黑" w:hAnsi="微软雅黑" w:eastAsia="微软雅黑" w:cs="Calibri"/>
          <w:color w:val="auto"/>
          <w:kern w:val="0"/>
          <w:szCs w:val="21"/>
          <w:highlight w:val="none"/>
          <w:lang w:eastAsia="zh-CN"/>
        </w:rPr>
      </w:pPr>
      <w:r>
        <w:rPr>
          <w:rFonts w:hint="eastAsia" w:ascii="微软雅黑" w:hAnsi="微软雅黑" w:cs="Calibri"/>
          <w:color w:val="auto"/>
          <w:kern w:val="0"/>
          <w:szCs w:val="21"/>
          <w:highlight w:val="none"/>
        </w:rPr>
        <w:t>项目编号：</w:t>
      </w:r>
      <w:r>
        <w:rPr>
          <w:rFonts w:ascii="微软雅黑" w:hAnsi="微软雅黑" w:cs="Calibri"/>
          <w:color w:val="auto"/>
          <w:kern w:val="0"/>
          <w:szCs w:val="21"/>
          <w:highlight w:val="none"/>
        </w:rPr>
        <w:t> </w:t>
      </w:r>
      <w:r>
        <w:rPr>
          <w:rFonts w:hint="eastAsia" w:ascii="微软雅黑" w:hAnsi="微软雅黑" w:cs="Calibri"/>
          <w:color w:val="auto"/>
          <w:kern w:val="0"/>
          <w:szCs w:val="21"/>
          <w:highlight w:val="none"/>
          <w:lang w:eastAsia="zh-CN"/>
        </w:rPr>
        <w:t>千秋-JXQQGK（2025）第08号</w:t>
      </w:r>
    </w:p>
    <w:p w14:paraId="0B2F6FD6">
      <w:pPr>
        <w:widowControl/>
        <w:spacing w:before="75" w:after="75" w:line="300" w:lineRule="atLeast"/>
        <w:ind w:firstLine="424" w:firstLineChars="202"/>
        <w:rPr>
          <w:rFonts w:hint="eastAsia" w:ascii="微软雅黑" w:hAnsi="微软雅黑" w:eastAsia="微软雅黑" w:cs="Arial"/>
          <w:color w:val="auto"/>
          <w:kern w:val="0"/>
          <w:szCs w:val="21"/>
          <w:highlight w:val="none"/>
          <w:lang w:eastAsia="zh-CN"/>
        </w:rPr>
      </w:pPr>
      <w:r>
        <w:rPr>
          <w:rFonts w:hint="eastAsia" w:ascii="微软雅黑" w:hAnsi="微软雅黑" w:cs="Arial"/>
          <w:color w:val="auto"/>
          <w:kern w:val="0"/>
          <w:szCs w:val="21"/>
          <w:highlight w:val="none"/>
        </w:rPr>
        <w:t>项目名称：</w:t>
      </w:r>
      <w:r>
        <w:rPr>
          <w:rFonts w:hint="eastAsia" w:ascii="微软雅黑" w:hAnsi="微软雅黑" w:cs="Arial"/>
          <w:color w:val="auto"/>
          <w:szCs w:val="21"/>
          <w:highlight w:val="none"/>
          <w:lang w:eastAsia="zh-CN"/>
        </w:rPr>
        <w:t>嘉兴市秀洲区精神障碍社区康复服务项目</w:t>
      </w:r>
    </w:p>
    <w:p w14:paraId="004DC534">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采购方式 ：公开招标</w:t>
      </w:r>
    </w:p>
    <w:p w14:paraId="7DC8EAAE">
      <w:pPr>
        <w:widowControl/>
        <w:spacing w:before="75" w:after="75" w:line="300" w:lineRule="atLeast"/>
        <w:ind w:firstLine="424" w:firstLineChars="202"/>
        <w:rPr>
          <w:rFonts w:hint="default" w:ascii="微软雅黑" w:hAnsi="微软雅黑" w:eastAsia="微软雅黑" w:cs="Calibri"/>
          <w:color w:val="auto"/>
          <w:kern w:val="0"/>
          <w:szCs w:val="21"/>
          <w:highlight w:val="none"/>
          <w:lang w:val="en-US" w:eastAsia="zh-CN"/>
        </w:rPr>
      </w:pPr>
      <w:r>
        <w:rPr>
          <w:rFonts w:hint="eastAsia" w:ascii="微软雅黑" w:hAnsi="微软雅黑" w:cs="Calibri"/>
          <w:color w:val="auto"/>
          <w:kern w:val="0"/>
          <w:szCs w:val="21"/>
          <w:highlight w:val="none"/>
        </w:rPr>
        <w:t>预算金额（元）：</w:t>
      </w:r>
      <w:r>
        <w:rPr>
          <w:rFonts w:hint="eastAsia" w:ascii="微软雅黑" w:hAnsi="微软雅黑" w:cs="Calibri"/>
          <w:color w:val="auto"/>
          <w:kern w:val="0"/>
          <w:szCs w:val="21"/>
          <w:highlight w:val="none"/>
          <w:lang w:val="en-US" w:eastAsia="zh-CN"/>
        </w:rPr>
        <w:t>3850000.00</w:t>
      </w:r>
    </w:p>
    <w:p w14:paraId="4CCACA69">
      <w:pPr>
        <w:widowControl/>
        <w:spacing w:before="75" w:after="75" w:line="300" w:lineRule="atLeast"/>
        <w:ind w:firstLine="424" w:firstLineChars="202"/>
        <w:rPr>
          <w:rFonts w:hint="eastAsia" w:ascii="微软雅黑" w:hAnsi="微软雅黑" w:cs="Calibri"/>
          <w:color w:val="auto"/>
          <w:kern w:val="0"/>
          <w:szCs w:val="21"/>
          <w:highlight w:val="none"/>
        </w:rPr>
      </w:pPr>
      <w:r>
        <w:rPr>
          <w:rFonts w:hint="eastAsia" w:ascii="微软雅黑" w:hAnsi="微软雅黑" w:cs="Calibri"/>
          <w:color w:val="auto"/>
          <w:kern w:val="0"/>
          <w:szCs w:val="21"/>
          <w:highlight w:val="none"/>
        </w:rPr>
        <w:t>最高限价（元）：</w:t>
      </w:r>
      <w:r>
        <w:rPr>
          <w:rFonts w:hint="eastAsia" w:ascii="微软雅黑" w:hAnsi="微软雅黑" w:cs="Calibri"/>
          <w:color w:val="auto"/>
          <w:kern w:val="0"/>
          <w:szCs w:val="21"/>
          <w:highlight w:val="none"/>
          <w:lang w:val="en-US" w:eastAsia="zh-CN"/>
        </w:rPr>
        <w:t>3850000.00</w:t>
      </w:r>
    </w:p>
    <w:p w14:paraId="4397E562">
      <w:pPr>
        <w:widowControl/>
        <w:spacing w:before="75" w:after="75" w:line="300" w:lineRule="atLeast"/>
        <w:ind w:firstLine="424" w:firstLineChars="202"/>
        <w:rPr>
          <w:rFonts w:hint="eastAsia" w:ascii="微软雅黑" w:hAnsi="微软雅黑" w:cs="Arial"/>
          <w:color w:val="auto"/>
          <w:szCs w:val="21"/>
          <w:highlight w:val="none"/>
          <w:lang w:eastAsia="zh-CN"/>
        </w:rPr>
      </w:pPr>
      <w:r>
        <w:rPr>
          <w:rFonts w:hint="eastAsia" w:ascii="微软雅黑" w:hAnsi="微软雅黑" w:cs="Arial"/>
          <w:color w:val="auto"/>
          <w:szCs w:val="21"/>
          <w:highlight w:val="none"/>
          <w:lang w:eastAsia="zh-CN"/>
        </w:rPr>
        <w:t>采购需求：开展精神障碍社区康复服务，为秀洲区内有康复需求、病情稳定、生活自理的居家严重精神障碍患者提供康复服务，帮助精神障碍患者逐步摆脱疾病、回归和融入社会。</w:t>
      </w:r>
    </w:p>
    <w:p w14:paraId="24333369">
      <w:pPr>
        <w:widowControl/>
        <w:spacing w:before="75" w:after="75" w:line="300" w:lineRule="atLeast"/>
        <w:ind w:firstLine="424" w:firstLineChars="202"/>
        <w:rPr>
          <w:rFonts w:hint="eastAsia" w:ascii="微软雅黑" w:hAnsi="微软雅黑" w:cs="微软雅黑"/>
          <w:color w:val="auto"/>
          <w:szCs w:val="21"/>
          <w:highlight w:val="none"/>
        </w:rPr>
      </w:pPr>
      <w:r>
        <w:rPr>
          <w:rFonts w:hint="eastAsia" w:ascii="微软雅黑" w:hAnsi="微软雅黑"/>
          <w:color w:val="auto"/>
          <w:highlight w:val="none"/>
        </w:rPr>
        <w:t>合同履约期限</w:t>
      </w:r>
      <w:r>
        <w:rPr>
          <w:rFonts w:hint="eastAsia" w:ascii="微软雅黑" w:hAnsi="微软雅黑" w:cs="宋体"/>
          <w:color w:val="auto"/>
          <w:highlight w:val="none"/>
        </w:rPr>
        <w:t>：</w:t>
      </w:r>
      <w:r>
        <w:rPr>
          <w:rFonts w:hint="eastAsia" w:ascii="微软雅黑" w:hAnsi="微软雅黑" w:cs="宋体"/>
          <w:color w:val="auto"/>
          <w:highlight w:val="none"/>
          <w:lang w:val="en-US" w:eastAsia="zh-CN"/>
        </w:rPr>
        <w:t>详见第二章招标项目要求</w:t>
      </w:r>
      <w:r>
        <w:rPr>
          <w:rFonts w:hint="eastAsia" w:ascii="微软雅黑" w:hAnsi="微软雅黑" w:cs="微软雅黑"/>
          <w:color w:val="auto"/>
          <w:szCs w:val="21"/>
          <w:highlight w:val="none"/>
        </w:rPr>
        <w:t>。</w:t>
      </w:r>
    </w:p>
    <w:p w14:paraId="1F41364E">
      <w:pPr>
        <w:spacing w:line="540" w:lineRule="exact"/>
        <w:ind w:firstLine="424" w:firstLineChars="202"/>
        <w:rPr>
          <w:rFonts w:hint="eastAsia" w:ascii="微软雅黑" w:hAnsi="微软雅黑" w:cs="宋体"/>
          <w:color w:val="auto"/>
          <w:highlight w:val="none"/>
        </w:rPr>
      </w:pPr>
      <w:r>
        <w:rPr>
          <w:rFonts w:hint="eastAsia" w:ascii="微软雅黑" w:hAnsi="微软雅黑" w:cs="宋体"/>
          <w:color w:val="auto"/>
          <w:highlight w:val="none"/>
        </w:rPr>
        <w:t>本项目接受联合体投标：</w:t>
      </w:r>
      <w:r>
        <w:rPr>
          <w:rFonts w:hint="eastAsia" w:ascii="微软雅黑" w:hAnsi="微软雅黑" w:cs="宋体"/>
          <w:color w:val="auto"/>
          <w:highlight w:val="none"/>
        </w:rPr>
        <w:sym w:font="Wingdings" w:char="00A8"/>
      </w:r>
      <w:r>
        <w:rPr>
          <w:rFonts w:hint="eastAsia" w:ascii="微软雅黑" w:hAnsi="微软雅黑" w:cs="宋体"/>
          <w:color w:val="auto"/>
          <w:highlight w:val="none"/>
        </w:rPr>
        <w:t xml:space="preserve"> 是，</w:t>
      </w:r>
      <w:r>
        <w:rPr>
          <w:rFonts w:hint="eastAsia" w:ascii="微软雅黑" w:hAnsi="微软雅黑" w:cs="宋体"/>
          <w:color w:val="auto"/>
          <w:highlight w:val="none"/>
        </w:rPr>
        <w:sym w:font="Wingdings" w:char="00FE"/>
      </w:r>
      <w:r>
        <w:rPr>
          <w:rFonts w:hint="eastAsia" w:ascii="微软雅黑" w:hAnsi="微软雅黑" w:cs="宋体"/>
          <w:color w:val="auto"/>
          <w:highlight w:val="none"/>
        </w:rPr>
        <w:t>否。</w:t>
      </w:r>
    </w:p>
    <w:p w14:paraId="06BCD12F">
      <w:pPr>
        <w:widowControl/>
        <w:spacing w:before="75" w:after="75" w:line="360" w:lineRule="atLeast"/>
        <w:ind w:firstLine="0" w:firstLineChars="0"/>
        <w:outlineLvl w:val="1"/>
        <w:rPr>
          <w:rFonts w:hint="eastAsia" w:ascii="微软雅黑" w:hAnsi="微软雅黑" w:cs="Arial"/>
          <w:color w:val="auto"/>
          <w:kern w:val="0"/>
          <w:szCs w:val="21"/>
          <w:highlight w:val="none"/>
        </w:rPr>
      </w:pPr>
      <w:bookmarkStart w:id="10" w:name="_Toc32337"/>
      <w:r>
        <w:rPr>
          <w:rFonts w:hint="eastAsia" w:ascii="微软雅黑" w:hAnsi="微软雅黑" w:cs="Arial"/>
          <w:b/>
          <w:bCs/>
          <w:color w:val="auto"/>
          <w:kern w:val="0"/>
          <w:szCs w:val="21"/>
          <w:highlight w:val="none"/>
        </w:rPr>
        <w:t>二、申请人的资格要求：</w:t>
      </w:r>
      <w:bookmarkEnd w:id="10"/>
    </w:p>
    <w:p w14:paraId="32D5368D">
      <w:pPr>
        <w:ind w:firstLine="420"/>
        <w:rPr>
          <w:rFonts w:hint="eastAsia" w:ascii="微软雅黑" w:hAnsi="微软雅黑"/>
          <w:color w:val="auto"/>
          <w:szCs w:val="21"/>
          <w:highlight w:val="none"/>
        </w:rPr>
      </w:pPr>
      <w:r>
        <w:rPr>
          <w:rFonts w:hint="eastAsia" w:ascii="微软雅黑" w:hAnsi="微软雅黑"/>
          <w:color w:val="auto"/>
          <w:szCs w:val="21"/>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0250E3EE">
      <w:pPr>
        <w:ind w:firstLine="420"/>
        <w:rPr>
          <w:rFonts w:hint="eastAsia" w:ascii="微软雅黑" w:hAnsi="微软雅黑"/>
          <w:color w:val="auto"/>
          <w:szCs w:val="21"/>
          <w:highlight w:val="none"/>
        </w:rPr>
      </w:pPr>
      <w:r>
        <w:rPr>
          <w:rFonts w:hint="eastAsia" w:ascii="微软雅黑" w:hAnsi="微软雅黑"/>
          <w:color w:val="auto"/>
          <w:szCs w:val="21"/>
          <w:highlight w:val="none"/>
        </w:rPr>
        <w:t>2.落实政府采购支持中小企业政策需满足的资格要求：</w:t>
      </w:r>
    </w:p>
    <w:p w14:paraId="73C8576E">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2.1 </w:t>
      </w:r>
      <w:r>
        <w:rPr>
          <w:rFonts w:hint="eastAsia" w:ascii="微软雅黑" w:hAnsi="微软雅黑"/>
          <w:color w:val="auto"/>
          <w:szCs w:val="21"/>
          <w:highlight w:val="none"/>
        </w:rPr>
        <w:sym w:font="Wingdings" w:char="00FE"/>
      </w:r>
      <w:r>
        <w:rPr>
          <w:rFonts w:hint="eastAsia" w:ascii="微软雅黑" w:hAnsi="微软雅黑"/>
          <w:color w:val="auto"/>
          <w:szCs w:val="21"/>
          <w:highlight w:val="none"/>
        </w:rPr>
        <w:t>无需落实；</w:t>
      </w:r>
    </w:p>
    <w:p w14:paraId="63358D82">
      <w:pPr>
        <w:ind w:firstLine="420"/>
        <w:rPr>
          <w:rFonts w:hint="eastAsia" w:ascii="微软雅黑" w:hAnsi="微软雅黑" w:cs="Arial"/>
          <w:color w:val="auto"/>
          <w:kern w:val="0"/>
          <w:szCs w:val="21"/>
          <w:highlight w:val="none"/>
        </w:rPr>
      </w:pPr>
      <w:r>
        <w:rPr>
          <w:rFonts w:hint="eastAsia" w:ascii="微软雅黑" w:hAnsi="微软雅黑"/>
          <w:color w:val="auto"/>
          <w:szCs w:val="21"/>
          <w:highlight w:val="none"/>
        </w:rPr>
        <w:t>2.2</w:t>
      </w: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rPr>
        <w:t>需要落实：</w:t>
      </w:r>
    </w:p>
    <w:p w14:paraId="7EF59785">
      <w:pPr>
        <w:ind w:firstLine="630" w:firstLineChars="300"/>
        <w:rPr>
          <w:rFonts w:hint="eastAsia" w:ascii="微软雅黑" w:hAnsi="微软雅黑"/>
          <w:color w:val="auto"/>
          <w:szCs w:val="21"/>
          <w:highlight w:val="none"/>
        </w:rPr>
      </w:pPr>
      <w:r>
        <w:rPr>
          <w:rFonts w:hint="eastAsia" w:ascii="微软雅黑" w:hAnsi="微软雅黑"/>
          <w:color w:val="auto"/>
          <w:szCs w:val="21"/>
          <w:highlight w:val="none"/>
        </w:rPr>
        <w:t>2.2.1专门面向中小企业</w:t>
      </w:r>
    </w:p>
    <w:p w14:paraId="02059C86">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olor w:val="auto"/>
          <w:szCs w:val="21"/>
          <w:highlight w:val="none"/>
        </w:rPr>
        <w:t>货物全部由符合政策要求的中小企业制造，提供中小企业声明函；</w:t>
      </w:r>
    </w:p>
    <w:p w14:paraId="11D3908C">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olor w:val="auto"/>
          <w:szCs w:val="21"/>
          <w:highlight w:val="none"/>
        </w:rPr>
        <w:t>货物全部由符合政策要求的小微企业制造，提供中小企业声明函；</w:t>
      </w:r>
    </w:p>
    <w:p w14:paraId="2D113A35">
      <w:pPr>
        <w:ind w:firstLine="840" w:firstLineChars="40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olor w:val="auto"/>
          <w:szCs w:val="21"/>
          <w:highlight w:val="none"/>
        </w:rPr>
        <w:t>服务全部由符合政策要求的中小企业承接，提供中小企业声明函；</w:t>
      </w:r>
    </w:p>
    <w:p w14:paraId="7334A794">
      <w:pPr>
        <w:ind w:firstLine="420"/>
        <w:rPr>
          <w:rFonts w:hint="eastAsia" w:ascii="微软雅黑" w:hAnsi="微软雅黑"/>
          <w:color w:val="auto"/>
          <w:szCs w:val="21"/>
          <w:highlight w:val="none"/>
        </w:rPr>
      </w:pPr>
      <w:r>
        <w:rPr>
          <w:rFonts w:hint="eastAsia" w:ascii="微软雅黑" w:hAnsi="微软雅黑" w:cs="Arial"/>
          <w:color w:val="auto"/>
          <w:kern w:val="0"/>
          <w:szCs w:val="21"/>
          <w:highlight w:val="none"/>
        </w:rPr>
        <w:tab/>
      </w:r>
      <w:r>
        <w:rPr>
          <w:rFonts w:hint="eastAsia" w:ascii="微软雅黑" w:hAnsi="微软雅黑" w:cs="Arial"/>
          <w:color w:val="auto"/>
          <w:kern w:val="0"/>
          <w:szCs w:val="21"/>
          <w:highlight w:val="none"/>
        </w:rPr>
        <w:t xml:space="preserve">    </w:t>
      </w:r>
      <w:r>
        <w:rPr>
          <w:rFonts w:ascii="微软雅黑" w:hAnsi="微软雅黑" w:cs="Arial"/>
          <w:color w:val="auto"/>
          <w:kern w:val="0"/>
          <w:szCs w:val="21"/>
          <w:highlight w:val="none"/>
        </w:rPr>
        <w:sym w:font="Wingdings" w:char="00A8"/>
      </w:r>
      <w:r>
        <w:rPr>
          <w:rFonts w:hint="eastAsia" w:ascii="微软雅黑" w:hAnsi="微软雅黑"/>
          <w:color w:val="auto"/>
          <w:szCs w:val="21"/>
          <w:highlight w:val="none"/>
        </w:rPr>
        <w:t>服务全部由符合政策要求的小微企业承接，提供中小企业声明函；</w:t>
      </w:r>
    </w:p>
    <w:p w14:paraId="296A3A6D">
      <w:pPr>
        <w:ind w:firstLine="630" w:firstLineChars="300"/>
        <w:rPr>
          <w:rFonts w:hint="eastAsia" w:ascii="微软雅黑" w:hAnsi="微软雅黑"/>
          <w:color w:val="auto"/>
          <w:szCs w:val="21"/>
          <w:highlight w:val="none"/>
        </w:rPr>
      </w:pPr>
      <w:r>
        <w:rPr>
          <w:rFonts w:hint="eastAsia" w:ascii="微软雅黑" w:hAnsi="微软雅黑" w:cs="宋体"/>
          <w:color w:val="auto"/>
          <w:szCs w:val="21"/>
          <w:highlight w:val="none"/>
        </w:rPr>
        <w:t>2.2.2</w:t>
      </w:r>
      <w:r>
        <w:rPr>
          <w:rFonts w:ascii="微软雅黑" w:hAnsi="微软雅黑" w:cs="Arial"/>
          <w:color w:val="auto"/>
          <w:kern w:val="0"/>
          <w:szCs w:val="21"/>
          <w:highlight w:val="none"/>
        </w:rPr>
        <w:sym w:font="Wingdings" w:char="00A8"/>
      </w:r>
      <w:r>
        <w:rPr>
          <w:rFonts w:hint="eastAsia" w:ascii="微软雅黑" w:hAnsi="微软雅黑"/>
          <w:color w:val="auto"/>
          <w:szCs w:val="21"/>
          <w:highlight w:val="none"/>
        </w:rPr>
        <w:t>要求以联合体形式参加，提供联合协议和中小企业声明函，联合协议中中小企业合同金额应当达到%（不得低于40%），其中小微企业合同金额应当达到%（不得低于70%）;如果供应商本身提供所有标的均由中小企业制造、承建或承接，视同符合了资格条件，无需再与其他中小企业组成联合体参加政府采购活动，无需提供联合协议；</w:t>
      </w:r>
    </w:p>
    <w:p w14:paraId="5B608B23">
      <w:pPr>
        <w:ind w:firstLine="630" w:firstLineChars="300"/>
        <w:rPr>
          <w:rFonts w:hint="eastAsia" w:ascii="微软雅黑" w:hAnsi="微软雅黑"/>
          <w:color w:val="auto"/>
          <w:szCs w:val="21"/>
          <w:highlight w:val="none"/>
        </w:rPr>
      </w:pPr>
      <w:r>
        <w:rPr>
          <w:rFonts w:hint="eastAsia" w:ascii="微软雅黑" w:hAnsi="微软雅黑"/>
          <w:color w:val="auto"/>
          <w:szCs w:val="21"/>
          <w:highlight w:val="none"/>
        </w:rPr>
        <w:t>2.2.3</w:t>
      </w:r>
      <w:r>
        <w:rPr>
          <w:rFonts w:hint="eastAsia" w:ascii="微软雅黑" w:hAnsi="微软雅黑"/>
          <w:color w:val="auto"/>
          <w:szCs w:val="21"/>
          <w:highlight w:val="none"/>
        </w:rPr>
        <w:sym w:font="Wingdings" w:char="00A8"/>
      </w:r>
      <w:r>
        <w:rPr>
          <w:rFonts w:hint="eastAsia" w:ascii="微软雅黑" w:hAnsi="微软雅黑"/>
          <w:color w:val="auto"/>
          <w:szCs w:val="21"/>
          <w:highlight w:val="none"/>
        </w:rPr>
        <w:t>要求合同分包，提供分包意向协议和中小企业声明函，分包意向协议中中小企业合同金额应当达到% （不得低于40%），其中小微企业合同金额应当达到% （不得低于70%）;如果供应商本身提供所有标的均由中小企业制造、承建或承接，视同符合了资格条件，无需再向中小企业分包，无需提供分包意向协议；</w:t>
      </w:r>
    </w:p>
    <w:p w14:paraId="7ED1402A">
      <w:pPr>
        <w:widowControl/>
        <w:tabs>
          <w:tab w:val="left" w:pos="142"/>
        </w:tabs>
        <w:spacing w:before="75" w:after="75" w:line="300" w:lineRule="atLeast"/>
        <w:ind w:firstLine="424" w:firstLineChars="202"/>
        <w:rPr>
          <w:rFonts w:hint="eastAsia" w:ascii="微软雅黑" w:hAnsi="微软雅黑" w:cs="宋体"/>
          <w:color w:val="auto"/>
          <w:kern w:val="0"/>
          <w:szCs w:val="21"/>
          <w:highlight w:val="none"/>
          <w:u w:val="single"/>
          <w:lang w:val="en-US" w:eastAsia="zh-CN"/>
        </w:rPr>
      </w:pPr>
      <w:r>
        <w:rPr>
          <w:rFonts w:hint="eastAsia" w:ascii="微软雅黑" w:hAnsi="微软雅黑"/>
          <w:color w:val="auto"/>
          <w:szCs w:val="21"/>
          <w:highlight w:val="none"/>
        </w:rPr>
        <w:t>3.本项目的特定资格要求：</w:t>
      </w:r>
      <w:r>
        <w:rPr>
          <w:rFonts w:hint="eastAsia" w:ascii="微软雅黑" w:hAnsi="微软雅黑" w:cs="宋体"/>
          <w:color w:val="auto"/>
          <w:kern w:val="0"/>
          <w:szCs w:val="21"/>
          <w:highlight w:val="none"/>
          <w:u w:val="single"/>
          <w:lang w:val="en-US" w:eastAsia="zh-CN"/>
        </w:rPr>
        <w:t>无</w:t>
      </w:r>
      <w:r>
        <w:rPr>
          <w:rFonts w:hint="eastAsia" w:ascii="微软雅黑" w:hAnsi="微软雅黑" w:cs="宋体"/>
          <w:color w:val="auto"/>
          <w:kern w:val="0"/>
          <w:szCs w:val="21"/>
          <w:highlight w:val="none"/>
          <w:u w:val="single"/>
        </w:rPr>
        <w:t>。</w:t>
      </w:r>
    </w:p>
    <w:p w14:paraId="17A68B87">
      <w:pPr>
        <w:pStyle w:val="65"/>
        <w:ind w:firstLine="400"/>
        <w:rPr>
          <w:color w:val="auto"/>
          <w:highlight w:val="none"/>
        </w:rPr>
      </w:pPr>
    </w:p>
    <w:p w14:paraId="18E9E47D">
      <w:pPr>
        <w:ind w:firstLine="420"/>
        <w:rPr>
          <w:rFonts w:hint="eastAsia" w:ascii="微软雅黑" w:hAnsi="微软雅黑"/>
          <w:color w:val="auto"/>
          <w:szCs w:val="21"/>
          <w:highlight w:val="none"/>
        </w:rPr>
      </w:pPr>
      <w:r>
        <w:rPr>
          <w:rFonts w:hint="eastAsia" w:ascii="微软雅黑" w:hAnsi="微软雅黑"/>
          <w:color w:val="auto"/>
          <w:szCs w:val="21"/>
          <w:highlight w:val="none"/>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9366660">
      <w:pPr>
        <w:widowControl/>
        <w:spacing w:before="255" w:after="255" w:line="300" w:lineRule="atLeast"/>
        <w:ind w:firstLine="0" w:firstLineChars="0"/>
        <w:jc w:val="both"/>
        <w:outlineLvl w:val="1"/>
        <w:rPr>
          <w:rFonts w:hint="eastAsia" w:ascii="微软雅黑" w:hAnsi="微软雅黑" w:cs="Arial"/>
          <w:color w:val="auto"/>
          <w:kern w:val="0"/>
          <w:szCs w:val="21"/>
          <w:highlight w:val="none"/>
        </w:rPr>
      </w:pPr>
      <w:bookmarkStart w:id="11" w:name="_Toc14749"/>
      <w:r>
        <w:rPr>
          <w:rFonts w:hint="eastAsia" w:ascii="微软雅黑" w:hAnsi="微软雅黑" w:cs="Arial"/>
          <w:b/>
          <w:bCs/>
          <w:color w:val="auto"/>
          <w:kern w:val="0"/>
          <w:szCs w:val="21"/>
          <w:highlight w:val="none"/>
        </w:rPr>
        <w:t>三、获取招标文件</w:t>
      </w:r>
      <w:r>
        <w:rPr>
          <w:rFonts w:ascii="微软雅黑" w:hAnsi="微软雅黑" w:cs="Calibri"/>
          <w:color w:val="auto"/>
          <w:kern w:val="0"/>
          <w:szCs w:val="21"/>
          <w:highlight w:val="none"/>
        </w:rPr>
        <w:t> </w:t>
      </w:r>
      <w:bookmarkEnd w:id="11"/>
    </w:p>
    <w:p w14:paraId="6BFDBC65">
      <w:pPr>
        <w:spacing w:line="540" w:lineRule="exact"/>
        <w:ind w:firstLine="420"/>
        <w:rPr>
          <w:rFonts w:hint="eastAsia" w:ascii="微软雅黑" w:hAnsi="微软雅黑" w:cs="Arial"/>
          <w:color w:val="auto"/>
          <w:szCs w:val="21"/>
          <w:highlight w:val="none"/>
        </w:rPr>
      </w:pPr>
      <w:r>
        <w:rPr>
          <w:rFonts w:ascii="微软雅黑" w:hAnsi="微软雅黑" w:cs="Calibri"/>
          <w:color w:val="auto"/>
          <w:kern w:val="0"/>
          <w:szCs w:val="21"/>
          <w:highlight w:val="none"/>
        </w:rPr>
        <w:t> </w:t>
      </w:r>
      <w:r>
        <w:rPr>
          <w:rFonts w:hint="eastAsia" w:ascii="微软雅黑" w:hAnsi="微软雅黑"/>
          <w:color w:val="auto"/>
          <w:highlight w:val="none"/>
        </w:rPr>
        <w:t>时间：202</w:t>
      </w:r>
      <w:r>
        <w:rPr>
          <w:rFonts w:hint="eastAsia" w:ascii="微软雅黑" w:hAnsi="微软雅黑"/>
          <w:color w:val="auto"/>
          <w:highlight w:val="none"/>
          <w:lang w:val="en-US" w:eastAsia="zh-CN"/>
        </w:rPr>
        <w:t>5</w:t>
      </w:r>
      <w:r>
        <w:rPr>
          <w:rFonts w:hint="eastAsia" w:ascii="微软雅黑" w:hAnsi="微软雅黑"/>
          <w:color w:val="auto"/>
          <w:highlight w:val="none"/>
        </w:rPr>
        <w:t>年</w:t>
      </w:r>
      <w:r>
        <w:rPr>
          <w:rFonts w:hint="eastAsia" w:ascii="微软雅黑" w:hAnsi="微软雅黑"/>
          <w:color w:val="auto"/>
          <w:highlight w:val="none"/>
          <w:lang w:val="en-US" w:eastAsia="zh-CN"/>
        </w:rPr>
        <w:t>04</w:t>
      </w:r>
      <w:r>
        <w:rPr>
          <w:rFonts w:hint="eastAsia" w:ascii="微软雅黑" w:hAnsi="微软雅黑"/>
          <w:color w:val="auto"/>
          <w:highlight w:val="none"/>
        </w:rPr>
        <w:t>月</w:t>
      </w:r>
      <w:r>
        <w:rPr>
          <w:rFonts w:hint="eastAsia" w:ascii="微软雅黑" w:hAnsi="微软雅黑"/>
          <w:color w:val="auto"/>
          <w:highlight w:val="none"/>
          <w:lang w:val="en-US" w:eastAsia="zh-CN"/>
        </w:rPr>
        <w:t>01</w:t>
      </w:r>
      <w:r>
        <w:rPr>
          <w:rFonts w:hint="eastAsia" w:ascii="微软雅黑" w:hAnsi="微软雅黑"/>
          <w:color w:val="auto"/>
          <w:highlight w:val="none"/>
        </w:rPr>
        <w:t>日至</w:t>
      </w:r>
      <w:r>
        <w:rPr>
          <w:rFonts w:ascii="微软雅黑" w:hAnsi="微软雅黑" w:cs="Calibri"/>
          <w:color w:val="auto"/>
          <w:szCs w:val="21"/>
          <w:highlight w:val="none"/>
        </w:rPr>
        <w:t> </w:t>
      </w:r>
      <w:r>
        <w:rPr>
          <w:rFonts w:ascii="微软雅黑" w:hAnsi="微软雅黑" w:cs="Calibri"/>
          <w:color w:val="auto"/>
          <w:sz w:val="21"/>
          <w:szCs w:val="21"/>
          <w:highlight w:val="none"/>
        </w:rPr>
        <w:t> </w:t>
      </w:r>
      <w:r>
        <w:rPr>
          <w:rFonts w:hint="eastAsia" w:ascii="微软雅黑" w:hAnsi="微软雅黑" w:cs="Arial"/>
          <w:color w:val="auto"/>
          <w:sz w:val="21"/>
          <w:szCs w:val="21"/>
          <w:highlight w:val="none"/>
        </w:rPr>
        <w:t>202</w:t>
      </w:r>
      <w:r>
        <w:rPr>
          <w:rFonts w:hint="eastAsia" w:ascii="微软雅黑" w:hAnsi="微软雅黑" w:cs="Arial"/>
          <w:color w:val="auto"/>
          <w:sz w:val="21"/>
          <w:szCs w:val="21"/>
          <w:highlight w:val="none"/>
          <w:lang w:val="en-US" w:eastAsia="zh-CN"/>
        </w:rPr>
        <w:t>5</w:t>
      </w:r>
      <w:r>
        <w:rPr>
          <w:rFonts w:hint="eastAsia" w:ascii="微软雅黑" w:hAnsi="微软雅黑" w:cs="Arial"/>
          <w:color w:val="auto"/>
          <w:sz w:val="21"/>
          <w:szCs w:val="21"/>
          <w:highlight w:val="none"/>
        </w:rPr>
        <w:t>年</w:t>
      </w:r>
      <w:r>
        <w:rPr>
          <w:rFonts w:hint="eastAsia" w:ascii="微软雅黑" w:hAnsi="微软雅黑" w:cs="Arial"/>
          <w:color w:val="auto"/>
          <w:sz w:val="21"/>
          <w:szCs w:val="21"/>
          <w:highlight w:val="none"/>
          <w:lang w:val="en-US" w:eastAsia="zh-CN"/>
        </w:rPr>
        <w:t>04</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22</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Cs w:val="21"/>
          <w:highlight w:val="none"/>
        </w:rPr>
        <w:t xml:space="preserve">    </w:t>
      </w:r>
    </w:p>
    <w:p w14:paraId="2F10D090">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 xml:space="preserve">地点（网址）：政采云平台（https://www.zcygov.cn/） </w:t>
      </w:r>
    </w:p>
    <w:p w14:paraId="292A423C">
      <w:pPr>
        <w:spacing w:line="540" w:lineRule="exact"/>
        <w:ind w:firstLine="420"/>
        <w:rPr>
          <w:rFonts w:hint="eastAsia" w:ascii="微软雅黑" w:hAnsi="微软雅黑"/>
          <w:strike/>
          <w:color w:val="auto"/>
          <w:highlight w:val="none"/>
        </w:rPr>
      </w:pPr>
      <w:r>
        <w:rPr>
          <w:rFonts w:hint="eastAsia" w:ascii="微软雅黑" w:hAnsi="微软雅黑" w:cs="宋体"/>
          <w:color w:val="auto"/>
          <w:highlight w:val="none"/>
        </w:rPr>
        <w:t>方式：供应商登录政采云平台https://www.zcygov.cn/在线申请获取招标文件（进入“项目采购”应用，在获取招标文件菜单中选择项目，申请获取招标文件）。</w:t>
      </w:r>
    </w:p>
    <w:p w14:paraId="0EE79CDF">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售价：免费。</w:t>
      </w:r>
    </w:p>
    <w:p w14:paraId="09C59B55">
      <w:pPr>
        <w:widowControl/>
        <w:spacing w:before="75" w:after="75" w:line="300" w:lineRule="atLeast"/>
        <w:ind w:firstLine="0" w:firstLineChars="0"/>
        <w:outlineLvl w:val="1"/>
        <w:rPr>
          <w:rFonts w:hint="eastAsia" w:ascii="微软雅黑" w:hAnsi="微软雅黑" w:cs="Arial"/>
          <w:color w:val="auto"/>
          <w:kern w:val="0"/>
          <w:szCs w:val="21"/>
          <w:highlight w:val="none"/>
        </w:rPr>
      </w:pPr>
      <w:bookmarkStart w:id="12" w:name="_Toc22530"/>
      <w:r>
        <w:rPr>
          <w:rFonts w:hint="eastAsia" w:ascii="微软雅黑" w:hAnsi="微软雅黑" w:cs="Arial"/>
          <w:b/>
          <w:bCs/>
          <w:color w:val="auto"/>
          <w:kern w:val="0"/>
          <w:szCs w:val="21"/>
          <w:highlight w:val="none"/>
        </w:rPr>
        <w:t>四、提交投标文件截止时间、开标时间和地点</w:t>
      </w:r>
      <w:bookmarkEnd w:id="12"/>
    </w:p>
    <w:p w14:paraId="71091D93">
      <w:pPr>
        <w:spacing w:line="540" w:lineRule="exact"/>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lang w:eastAsia="zh-CN"/>
        </w:rPr>
        <w:t>时间：</w:t>
      </w:r>
      <w:r>
        <w:rPr>
          <w:rFonts w:ascii="微软雅黑" w:hAnsi="微软雅黑" w:cs="Calibri"/>
          <w:color w:val="auto"/>
          <w:sz w:val="21"/>
          <w:szCs w:val="21"/>
          <w:highlight w:val="none"/>
        </w:rPr>
        <w:t> </w:t>
      </w:r>
      <w:r>
        <w:rPr>
          <w:rFonts w:hint="eastAsia" w:ascii="微软雅黑" w:hAnsi="微软雅黑" w:cs="Arial"/>
          <w:color w:val="auto"/>
          <w:sz w:val="21"/>
          <w:szCs w:val="21"/>
          <w:highlight w:val="none"/>
        </w:rPr>
        <w:t>202</w:t>
      </w:r>
      <w:r>
        <w:rPr>
          <w:rFonts w:hint="eastAsia" w:ascii="微软雅黑" w:hAnsi="微软雅黑" w:cs="Arial"/>
          <w:color w:val="auto"/>
          <w:sz w:val="21"/>
          <w:szCs w:val="21"/>
          <w:highlight w:val="none"/>
          <w:lang w:val="en-US" w:eastAsia="zh-CN"/>
        </w:rPr>
        <w:t>5</w:t>
      </w:r>
      <w:r>
        <w:rPr>
          <w:rFonts w:hint="eastAsia" w:ascii="微软雅黑" w:hAnsi="微软雅黑" w:cs="Arial"/>
          <w:color w:val="auto"/>
          <w:sz w:val="21"/>
          <w:szCs w:val="21"/>
          <w:highlight w:val="none"/>
        </w:rPr>
        <w:t>年</w:t>
      </w:r>
      <w:r>
        <w:rPr>
          <w:rFonts w:hint="eastAsia" w:ascii="微软雅黑" w:hAnsi="微软雅黑" w:cs="Arial"/>
          <w:color w:val="auto"/>
          <w:sz w:val="21"/>
          <w:szCs w:val="21"/>
          <w:highlight w:val="none"/>
          <w:lang w:val="en-US" w:eastAsia="zh-CN"/>
        </w:rPr>
        <w:t>04</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22</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Cs w:val="21"/>
          <w:highlight w:val="none"/>
        </w:rPr>
        <w:t xml:space="preserve">  </w:t>
      </w:r>
    </w:p>
    <w:p w14:paraId="7AD7C445">
      <w:pPr>
        <w:spacing w:line="540" w:lineRule="exact"/>
        <w:ind w:firstLine="420"/>
        <w:rPr>
          <w:rFonts w:hint="eastAsia" w:ascii="微软雅黑" w:hAnsi="微软雅黑" w:cs="Arial"/>
          <w:color w:val="auto"/>
          <w:kern w:val="0"/>
          <w:szCs w:val="21"/>
          <w:highlight w:val="none"/>
        </w:rPr>
      </w:pPr>
      <w:r>
        <w:rPr>
          <w:rFonts w:hint="eastAsia" w:ascii="微软雅黑" w:hAnsi="微软雅黑"/>
          <w:color w:val="auto"/>
          <w:highlight w:val="none"/>
        </w:rPr>
        <w:t>地点（网址）：政采云平台（https://www.zcygov.cn/）</w:t>
      </w:r>
      <w:r>
        <w:rPr>
          <w:rFonts w:ascii="微软雅黑" w:hAnsi="微软雅黑" w:cs="Calibri"/>
          <w:color w:val="auto"/>
          <w:kern w:val="0"/>
          <w:szCs w:val="21"/>
          <w:highlight w:val="none"/>
        </w:rPr>
        <w:t>  </w:t>
      </w:r>
    </w:p>
    <w:p w14:paraId="156F63FC">
      <w:pPr>
        <w:widowControl/>
        <w:spacing w:before="255" w:after="255" w:line="300" w:lineRule="atLeast"/>
        <w:ind w:firstLine="0" w:firstLineChars="0"/>
        <w:jc w:val="both"/>
        <w:outlineLvl w:val="1"/>
        <w:rPr>
          <w:rFonts w:hint="eastAsia" w:ascii="微软雅黑" w:hAnsi="微软雅黑" w:cs="Arial"/>
          <w:color w:val="auto"/>
          <w:kern w:val="0"/>
          <w:szCs w:val="21"/>
          <w:highlight w:val="none"/>
        </w:rPr>
      </w:pPr>
      <w:bookmarkStart w:id="13" w:name="_Toc26663"/>
      <w:r>
        <w:rPr>
          <w:rFonts w:hint="eastAsia" w:ascii="微软雅黑" w:hAnsi="微软雅黑" w:cs="Arial"/>
          <w:b/>
          <w:bCs/>
          <w:color w:val="auto"/>
          <w:kern w:val="0"/>
          <w:szCs w:val="21"/>
          <w:highlight w:val="none"/>
        </w:rPr>
        <w:t>五、公告期限</w:t>
      </w:r>
      <w:r>
        <w:rPr>
          <w:rFonts w:ascii="微软雅黑" w:hAnsi="微软雅黑" w:cs="Calibri"/>
          <w:color w:val="auto"/>
          <w:kern w:val="0"/>
          <w:szCs w:val="21"/>
          <w:highlight w:val="none"/>
        </w:rPr>
        <w:t> </w:t>
      </w:r>
      <w:bookmarkEnd w:id="13"/>
    </w:p>
    <w:p w14:paraId="5D80342C">
      <w:pPr>
        <w:widowControl/>
        <w:spacing w:before="75" w:after="75" w:line="240" w:lineRule="auto"/>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自本公告发布之日起5个工作日。</w:t>
      </w:r>
    </w:p>
    <w:p w14:paraId="75612049">
      <w:pPr>
        <w:widowControl/>
        <w:spacing w:before="255" w:after="255" w:line="300" w:lineRule="atLeast"/>
        <w:ind w:firstLine="0" w:firstLineChars="0"/>
        <w:jc w:val="both"/>
        <w:outlineLvl w:val="1"/>
        <w:rPr>
          <w:rFonts w:hint="eastAsia" w:ascii="微软雅黑" w:hAnsi="微软雅黑" w:cs="Arial"/>
          <w:b/>
          <w:bCs/>
          <w:color w:val="auto"/>
          <w:kern w:val="0"/>
          <w:szCs w:val="21"/>
          <w:highlight w:val="none"/>
        </w:rPr>
      </w:pPr>
      <w:bookmarkStart w:id="14" w:name="_Toc8493"/>
      <w:r>
        <w:rPr>
          <w:rFonts w:hint="eastAsia" w:ascii="微软雅黑" w:hAnsi="微软雅黑" w:cs="Arial"/>
          <w:b/>
          <w:bCs/>
          <w:color w:val="auto"/>
          <w:kern w:val="0"/>
          <w:szCs w:val="21"/>
          <w:highlight w:val="none"/>
        </w:rPr>
        <w:t>六、其他补充事宜</w:t>
      </w:r>
      <w:bookmarkEnd w:id="14"/>
    </w:p>
    <w:p w14:paraId="065BD7AA">
      <w:pPr>
        <w:spacing w:line="540" w:lineRule="exact"/>
        <w:ind w:firstLine="420"/>
        <w:rPr>
          <w:rFonts w:hint="eastAsia" w:ascii="微软雅黑" w:hAnsi="微软雅黑"/>
          <w:color w:val="auto"/>
          <w:highlight w:val="none"/>
        </w:rPr>
      </w:pPr>
      <w:r>
        <w:rPr>
          <w:rFonts w:hint="eastAsia" w:ascii="微软雅黑" w:hAnsi="微软雅黑" w:cs="宋体"/>
          <w:color w:val="auto"/>
          <w:highlight w:val="none"/>
        </w:rPr>
        <w:t>1.</w:t>
      </w:r>
      <w:r>
        <w:rPr>
          <w:rFonts w:hint="eastAsia" w:ascii="微软雅黑" w:hAnsi="微软雅黑"/>
          <w:color w:val="auto"/>
          <w:highlight w:val="none"/>
        </w:rPr>
        <w:t>供应商认为招标文件、采购过程、中标或者成交结果使自己的权益受到损害的，可以在知道或者应知其权益受到损害之日起7个工作日内，</w:t>
      </w:r>
      <w:r>
        <w:rPr>
          <w:rFonts w:hint="eastAsia" w:ascii="微软雅黑" w:hAnsi="微软雅黑" w:cs="宋体"/>
          <w:color w:val="auto"/>
          <w:highlight w:val="none"/>
        </w:rPr>
        <w:t>以书面形式在政采云平台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DAF3F35">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2.其他事项：</w:t>
      </w:r>
    </w:p>
    <w:p w14:paraId="75DDD5C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（1）需要落实的政府采购政策：包括节约资源、保护环境、支持创新、促进中小企业发展等。</w:t>
      </w:r>
    </w:p>
    <w:p w14:paraId="735F6A2A">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（2）电子招投标的说明：</w:t>
      </w:r>
    </w:p>
    <w:p w14:paraId="61410A17">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①电子招投标：本项目以数据电文形式，依托“政府采购云平台（www.zcygov.cn）”进行招投标活动，不接受纸质投标文件；</w:t>
      </w:r>
    </w:p>
    <w:p w14:paraId="53F554D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ascii="微软雅黑" w:hAnsi="微软雅黑" w:cs="宋体"/>
          <w:b/>
          <w:bCs/>
          <w:color w:val="auto"/>
          <w:highlight w:val="none"/>
        </w:rPr>
        <w:t>中标供应商在签订合同前，如不完成注册，视为放弃</w:t>
      </w:r>
      <w:r>
        <w:rPr>
          <w:rFonts w:hint="eastAsia" w:ascii="微软雅黑" w:hAnsi="微软雅黑" w:cs="宋体"/>
          <w:color w:val="auto"/>
          <w:highlight w:val="none"/>
        </w:rPr>
        <w:t>；</w:t>
      </w:r>
    </w:p>
    <w:p w14:paraId="749E8C2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CA驱动和申领流程</w:t>
      </w:r>
    </w:p>
    <w:p w14:paraId="1840AE61">
      <w:pPr>
        <w:spacing w:before="120" w:beforeLines="50" w:after="120" w:afterLines="50" w:line="276" w:lineRule="auto"/>
        <w:ind w:firstLine="420"/>
        <w:rPr>
          <w:rStyle w:val="62"/>
          <w:rFonts w:hint="eastAsia" w:ascii="微软雅黑" w:hAnsi="微软雅黑"/>
          <w:color w:val="auto"/>
          <w:szCs w:val="22"/>
          <w:highlight w:val="none"/>
        </w:rPr>
      </w:pPr>
      <w:r>
        <w:rPr>
          <w:rStyle w:val="62"/>
          <w:rFonts w:hint="eastAsia" w:ascii="微软雅黑" w:hAnsi="微软雅黑"/>
          <w:color w:val="auto"/>
          <w:szCs w:val="22"/>
          <w:highlight w:val="none"/>
        </w:rPr>
        <w:t xml:space="preserve">https://zfcg.czt.zj.gov.cn/bidClientTemplate/2019-05-27/12945.html    </w:t>
      </w:r>
    </w:p>
    <w:p w14:paraId="0DCFB16E">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注：ＣＡ证书遗失补办、延期、解锁、质保等业务可以在联连客户端上进行操作；使用政采云投标客户端时，建议使用windows7以上且64位的操作系统。</w:t>
      </w:r>
    </w:p>
    <w:p w14:paraId="6B9DE774">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CA证书办理操作视频</w:t>
      </w:r>
    </w:p>
    <w:p w14:paraId="1D806698">
      <w:pPr>
        <w:spacing w:before="120" w:beforeLines="50" w:after="120" w:afterLines="50" w:line="276" w:lineRule="auto"/>
        <w:ind w:firstLine="420"/>
        <w:rPr>
          <w:rStyle w:val="62"/>
          <w:rFonts w:hint="eastAsia" w:ascii="微软雅黑" w:hAnsi="微软雅黑"/>
          <w:color w:val="auto"/>
          <w:szCs w:val="22"/>
          <w:highlight w:val="none"/>
        </w:rPr>
      </w:pPr>
      <w:r>
        <w:rPr>
          <w:rStyle w:val="62"/>
          <w:rFonts w:hint="eastAsia" w:ascii="微软雅黑" w:hAnsi="微软雅黑"/>
          <w:color w:val="auto"/>
          <w:szCs w:val="22"/>
          <w:highlight w:val="none"/>
        </w:rPr>
        <w:t>https://service.zcygov.cn/#/knowledges/UgcbC3EBiyELHE-opz1b/EWqqyXEByNnJ3A2CPyDI</w:t>
      </w:r>
    </w:p>
    <w:p w14:paraId="13CA38C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CA绑定登录操作视频</w:t>
      </w:r>
    </w:p>
    <w:p w14:paraId="1CCDC2EC">
      <w:pPr>
        <w:spacing w:before="120" w:beforeLines="50" w:after="120" w:afterLines="50" w:line="276" w:lineRule="auto"/>
        <w:ind w:firstLine="420"/>
        <w:rPr>
          <w:rFonts w:hint="eastAsia" w:ascii="微软雅黑" w:hAnsi="微软雅黑"/>
          <w:color w:val="auto"/>
          <w:highlight w:val="none"/>
        </w:rPr>
      </w:pPr>
      <w:r>
        <w:rPr>
          <w:rStyle w:val="62"/>
          <w:rFonts w:hint="eastAsia" w:ascii="微软雅黑" w:hAnsi="微软雅黑"/>
          <w:color w:val="auto"/>
          <w:szCs w:val="22"/>
          <w:highlight w:val="none"/>
        </w:rPr>
        <w:t>https://service.zcygov.cn/#/knowledges/UgcbC3EBiyELHE-opz1b/nAkmyXEBiyELHE-o-983</w:t>
      </w:r>
    </w:p>
    <w:p w14:paraId="6CB88B46">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③招标文件的获取：使用账号登录或者使用CA登录政采云平台；进入“项目采购”应用，在获取招标文件菜单中选择项目，获取招标文件；</w:t>
      </w:r>
    </w:p>
    <w:p w14:paraId="64ADEC05">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④投标文件的制作：在“政采云电子交易客户端”中完成“填写基本信息”、“导入投标文件”、“标书关联”、“标书检查”、“电子签名”、“生成电子标书”等操作；</w:t>
      </w:r>
    </w:p>
    <w:p w14:paraId="6F5A1001">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 xml:space="preserve">⑤采购人、采购机构将依托政采云平台完成本项目的电子交易活动，平台不接受未按上述方式获取招标文件的供应商进行投标活动； </w:t>
      </w:r>
    </w:p>
    <w:p w14:paraId="2381A1B2">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⑥对未按上述方式获取招标文件的供应商对该文件提出的质疑，采购人或采购代理机构将不予处理；</w:t>
      </w:r>
    </w:p>
    <w:p w14:paraId="24BA8323">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⑦不提供招标文件纸质版；</w:t>
      </w:r>
    </w:p>
    <w:p w14:paraId="744842C8">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⑧投标文件的传输递交：投标供应商在投标截止时间前将加密的投标文件上传至政府采购云平台，同时可在投标截止时间前将政采云平台上最后生成的具备电子签章的备份电子标文件</w:t>
      </w:r>
      <w:r>
        <w:rPr>
          <w:rFonts w:hint="eastAsia" w:ascii="微软雅黑" w:hAnsi="微软雅黑" w:cs="宋体"/>
          <w:b/>
          <w:bCs/>
          <w:color w:val="auto"/>
          <w:highlight w:val="none"/>
          <w:shd w:val="clear" w:color="FFFFFF" w:fill="D9D9D9"/>
          <w:lang w:eastAsia="zh-CN"/>
        </w:rPr>
        <w:t>（</w:t>
      </w:r>
      <w:r>
        <w:rPr>
          <w:rFonts w:hint="eastAsia" w:ascii="微软雅黑" w:hAnsi="微软雅黑" w:cs="宋体"/>
          <w:b/>
          <w:bCs/>
          <w:color w:val="auto"/>
          <w:highlight w:val="none"/>
          <w:shd w:val="clear" w:color="FFFFFF" w:fill="D9D9D9"/>
          <w:lang w:val="en-US" w:eastAsia="zh-CN"/>
        </w:rPr>
        <w:t>非强制要求）</w:t>
      </w:r>
      <w:r>
        <w:rPr>
          <w:rFonts w:hint="eastAsia" w:ascii="微软雅黑" w:hAnsi="微软雅黑" w:cs="宋体"/>
          <w:color w:val="auto"/>
          <w:highlight w:val="none"/>
        </w:rPr>
        <w:t>1份下载至U盘，直接提交或者以</w:t>
      </w:r>
      <w:r>
        <w:rPr>
          <w:rFonts w:hint="eastAsia" w:ascii="微软雅黑" w:hAnsi="微软雅黑" w:cs="宋体"/>
          <w:b/>
          <w:bCs/>
          <w:color w:val="auto"/>
          <w:highlight w:val="none"/>
          <w:u w:val="single"/>
        </w:rPr>
        <w:t>快递</w:t>
      </w:r>
      <w:r>
        <w:rPr>
          <w:rFonts w:hint="eastAsia" w:ascii="微软雅黑" w:hAnsi="微软雅黑" w:cs="宋体"/>
          <w:color w:val="auto"/>
          <w:highlight w:val="none"/>
        </w:rPr>
        <w:t>方式递交【地址：嘉兴市秀洲区新平路299号中禾广场</w:t>
      </w:r>
      <w:r>
        <w:rPr>
          <w:rFonts w:hint="eastAsia" w:ascii="微软雅黑" w:hAnsi="微软雅黑" w:cs="宋体"/>
          <w:color w:val="auto"/>
          <w:highlight w:val="none"/>
          <w:lang w:val="en-US" w:eastAsia="zh-CN"/>
        </w:rPr>
        <w:t>17A政府采购办公室</w:t>
      </w:r>
      <w:r>
        <w:rPr>
          <w:rFonts w:hint="eastAsia" w:ascii="微软雅黑" w:hAnsi="微软雅黑" w:cs="宋体"/>
          <w:color w:val="auto"/>
          <w:highlight w:val="none"/>
        </w:rPr>
        <w:t>；收件人：章莉莉；电话：13605735186；快递寄出同时，项目被授权代表须以邮件方式将快递单号、项目名称、公司名称、被授权代表姓名及联系方式等内容（邮件格式为：</w:t>
      </w:r>
      <w:r>
        <w:rPr>
          <w:rFonts w:hint="eastAsia"/>
          <w:color w:val="auto"/>
          <w:highlight w:val="none"/>
        </w:rPr>
        <w:fldChar w:fldCharType="begin"/>
      </w:r>
      <w:r>
        <w:rPr>
          <w:color w:val="auto"/>
          <w:highlight w:val="none"/>
        </w:rPr>
        <w:instrText xml:space="preserve"> HYPERLINK "mailto:项目编号+快递单号+公司名称+被授权代表姓名及联系方式）发代理机构联系人邮箱1450912653@qq.com)】" </w:instrText>
      </w:r>
      <w:r>
        <w:rPr>
          <w:rFonts w:hint="eastAsia"/>
          <w:color w:val="auto"/>
          <w:highlight w:val="none"/>
        </w:rPr>
        <w:fldChar w:fldCharType="separate"/>
      </w:r>
      <w:r>
        <w:rPr>
          <w:rStyle w:val="62"/>
          <w:rFonts w:hint="eastAsia" w:ascii="微软雅黑" w:hAnsi="微软雅黑" w:cs="宋体"/>
          <w:color w:val="auto"/>
          <w:highlight w:val="none"/>
        </w:rPr>
        <w:t>项目编号+快递单号+公司名称+被授权代表姓名及联系方式）发代理机构联系人邮箱1450912653@qq.com)】</w:t>
      </w:r>
      <w:r>
        <w:rPr>
          <w:rStyle w:val="62"/>
          <w:rFonts w:hint="eastAsia" w:ascii="微软雅黑" w:hAnsi="微软雅黑" w:cs="宋体"/>
          <w:color w:val="auto"/>
          <w:highlight w:val="none"/>
        </w:rPr>
        <w:fldChar w:fldCharType="end"/>
      </w:r>
      <w:r>
        <w:rPr>
          <w:rFonts w:hint="eastAsia" w:ascii="微软雅黑" w:hAnsi="微软雅黑" w:cs="宋体"/>
          <w:color w:val="auto"/>
          <w:highlight w:val="none"/>
        </w:rPr>
        <w:t>；</w:t>
      </w:r>
    </w:p>
    <w:p w14:paraId="7BDFD37F">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备份投标文件递交须满足：外包装封面上应注明投标供应商名称、投标供应商联系方式（授权代表手机）、投标文件名称（备份投标文件）、投标项目名称、项目编号、标项及“开标时启封”字样，并加盖投标供应商公章。</w:t>
      </w:r>
    </w:p>
    <w:p w14:paraId="6D130CD7">
      <w:pPr>
        <w:spacing w:line="540" w:lineRule="exact"/>
        <w:ind w:firstLine="420"/>
        <w:rPr>
          <w:rFonts w:hint="eastAsia" w:ascii="微软雅黑" w:hAnsi="微软雅黑" w:cs="宋体"/>
          <w:b/>
          <w:bCs/>
          <w:color w:val="auto"/>
          <w:highlight w:val="none"/>
        </w:rPr>
      </w:pPr>
      <w:r>
        <w:rPr>
          <w:rFonts w:hint="eastAsia" w:ascii="微软雅黑" w:hAnsi="微软雅黑" w:cs="宋体"/>
          <w:b/>
          <w:bCs/>
          <w:color w:val="auto"/>
          <w:highlight w:val="none"/>
        </w:rPr>
        <w:t>投标供应商递交的备份投标文件，出现下列情况之一的，将被拒收：</w:t>
      </w:r>
    </w:p>
    <w:p w14:paraId="4DC266FD">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未按规定密封或标记的；</w:t>
      </w:r>
    </w:p>
    <w:p w14:paraId="3BFFFB7F">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由于包装不妥，在送交途中严重破损或失散的；</w:t>
      </w:r>
    </w:p>
    <w:p w14:paraId="736799F3">
      <w:pPr>
        <w:spacing w:line="540" w:lineRule="exact"/>
        <w:ind w:firstLine="420"/>
        <w:rPr>
          <w:rFonts w:hint="eastAsia" w:ascii="微软雅黑" w:hAnsi="微软雅黑" w:cs="宋体"/>
          <w:color w:val="auto"/>
          <w:highlight w:val="none"/>
        </w:rPr>
      </w:pPr>
      <w:r>
        <w:rPr>
          <w:rFonts w:hint="eastAsia" w:ascii="微软雅黑" w:hAnsi="微软雅黑" w:cs="汉仪大黑简"/>
          <w:color w:val="auto"/>
          <w:highlight w:val="none"/>
        </w:rPr>
        <w:t>·</w:t>
      </w:r>
      <w:r>
        <w:rPr>
          <w:rFonts w:hint="eastAsia" w:ascii="微软雅黑" w:hAnsi="微软雅黑" w:cs="宋体"/>
          <w:color w:val="auto"/>
          <w:highlight w:val="none"/>
        </w:rPr>
        <w:t>超过投标截止时间送达的；</w:t>
      </w:r>
    </w:p>
    <w:p w14:paraId="7601E6E3">
      <w:pPr>
        <w:spacing w:line="540" w:lineRule="exact"/>
        <w:ind w:firstLine="420"/>
        <w:rPr>
          <w:rFonts w:hint="eastAsia" w:ascii="微软雅黑" w:hAnsi="微软雅黑" w:cs="宋体"/>
          <w:color w:val="auto"/>
          <w:highlight w:val="none"/>
        </w:rPr>
      </w:pPr>
      <w:r>
        <w:rPr>
          <w:rFonts w:hint="eastAsia" w:ascii="微软雅黑" w:hAnsi="微软雅黑"/>
          <w:color w:val="auto"/>
          <w:highlight w:val="none"/>
        </w:rPr>
        <w:t>·快递方式：快递费到付。</w:t>
      </w:r>
    </w:p>
    <w:p w14:paraId="543F94BD">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⑨投标文件的解密：投标供应商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供应商仅提交备份投标文件，没有在电子交易平台传输递交投标文件的，投标无效；</w:t>
      </w:r>
    </w:p>
    <w:p w14:paraId="57CE5769">
      <w:pPr>
        <w:spacing w:line="540" w:lineRule="exact"/>
        <w:ind w:firstLine="420"/>
        <w:rPr>
          <w:rFonts w:hint="eastAsia" w:ascii="微软雅黑" w:hAnsi="微软雅黑" w:cs="宋体"/>
          <w:color w:val="auto"/>
          <w:highlight w:val="none"/>
        </w:rPr>
      </w:pPr>
      <w:r>
        <w:rPr>
          <w:rFonts w:hint="eastAsia" w:ascii="微软雅黑" w:hAnsi="微软雅黑" w:cs="宋体"/>
          <w:color w:val="auto"/>
          <w:highlight w:val="none"/>
        </w:rPr>
        <w:t>⑩具体操作指南：详见政采云平台“服务中心-帮助文档-项目采购-操作流程-电子招投标-政府采购项目电子交易管理操作指南-供应商”（浙江省“项目采购电子交易系统/不见面开评标”学习专题：</w:t>
      </w:r>
      <w:r>
        <w:rPr>
          <w:rFonts w:hint="eastAsia"/>
          <w:color w:val="auto"/>
          <w:highlight w:val="none"/>
        </w:rPr>
        <w:fldChar w:fldCharType="begin"/>
      </w:r>
      <w:r>
        <w:rPr>
          <w:color w:val="auto"/>
          <w:highlight w:val="none"/>
        </w:rPr>
        <w:instrText xml:space="preserve"> HYPERLINK "https://edu.zcygov.cn/luban/e-biding" </w:instrText>
      </w:r>
      <w:r>
        <w:rPr>
          <w:rFonts w:hint="eastAsia"/>
          <w:color w:val="auto"/>
          <w:highlight w:val="none"/>
        </w:rPr>
        <w:fldChar w:fldCharType="separate"/>
      </w:r>
      <w:r>
        <w:rPr>
          <w:rFonts w:hint="eastAsia" w:ascii="微软雅黑" w:hAnsi="微软雅黑" w:cs="宋体"/>
          <w:color w:val="auto"/>
          <w:highlight w:val="none"/>
        </w:rPr>
        <w:t>https://edu.zcygov.cn/luban/e-biding</w:t>
      </w:r>
      <w:r>
        <w:rPr>
          <w:rFonts w:hint="eastAsia" w:ascii="微软雅黑" w:hAnsi="微软雅黑" w:cs="宋体"/>
          <w:color w:val="auto"/>
          <w:highlight w:val="none"/>
        </w:rPr>
        <w:fldChar w:fldCharType="end"/>
      </w:r>
      <w:r>
        <w:rPr>
          <w:rFonts w:hint="eastAsia" w:ascii="微软雅黑" w:hAnsi="微软雅黑" w:cs="宋体"/>
          <w:color w:val="auto"/>
          <w:highlight w:val="none"/>
        </w:rPr>
        <w:t>）。</w:t>
      </w:r>
    </w:p>
    <w:p w14:paraId="0F08627B">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3.惠企政策</w:t>
      </w:r>
    </w:p>
    <w:p w14:paraId="7B5B319D">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3.1本采购项目，中标供应商与采购人签订的政府采购合同适用于嘉兴市政府采购贷款政策（简称“政采贷”），具体内容可参阅政府采购贷款流程：</w:t>
      </w:r>
    </w:p>
    <w:p w14:paraId="6E12B391">
      <w:pPr>
        <w:spacing w:line="540" w:lineRule="exact"/>
        <w:ind w:firstLine="420"/>
        <w:rPr>
          <w:rFonts w:hint="eastAsia" w:ascii="微软雅黑" w:hAnsi="微软雅黑"/>
          <w:color w:val="auto"/>
          <w:highlight w:val="none"/>
        </w:rPr>
      </w:pPr>
      <w:r>
        <w:rPr>
          <w:rFonts w:hint="eastAsia" w:ascii="微软雅黑" w:hAnsi="微软雅黑"/>
          <w:color w:val="auto"/>
          <w:highlight w:val="none"/>
        </w:rPr>
        <w:t>http://jxszwsjb.jiaxing.gov.cn/zxfw/005001/005001004/20190315/76d484f7-8fac-497f-9359-4df81cc086da.html</w:t>
      </w:r>
    </w:p>
    <w:p w14:paraId="75A62752">
      <w:pPr>
        <w:spacing w:line="540" w:lineRule="exact"/>
        <w:ind w:firstLine="420"/>
        <w:rPr>
          <w:rFonts w:hint="eastAsia" w:ascii="微软雅黑" w:hAnsi="微软雅黑" w:cs="宋体"/>
          <w:color w:val="auto"/>
          <w:sz w:val="24"/>
          <w:highlight w:val="none"/>
        </w:rPr>
      </w:pPr>
      <w:r>
        <w:rPr>
          <w:rFonts w:hint="eastAsia" w:ascii="微软雅黑" w:hAnsi="微软雅黑"/>
          <w:color w:val="auto"/>
          <w:highlight w:val="none"/>
        </w:rPr>
        <w:t>3.2</w:t>
      </w:r>
      <w:r>
        <w:rPr>
          <w:rFonts w:hint="eastAsia" w:ascii="微软雅黑" w:hAnsi="微软雅黑" w:cs="宋体"/>
          <w:color w:val="auto"/>
          <w:highlight w:val="none"/>
        </w:rPr>
        <w:t>根据浙江省财政厅2022年3号文、8号文具体工作要求，鼓励政府采购供应商使用政采贷获得普惠融资，使用履约保险/保函、预付款保险/保函释放保证金或者提高增信。具体内容可登录政采云平台（https://www.zcygov.cn/），点击右侧咨询小采。</w:t>
      </w:r>
    </w:p>
    <w:p w14:paraId="3B338ED2">
      <w:pPr>
        <w:widowControl/>
        <w:spacing w:before="255" w:after="255" w:line="480" w:lineRule="atLeast"/>
        <w:ind w:firstLine="0" w:firstLineChars="0"/>
        <w:jc w:val="both"/>
        <w:outlineLvl w:val="1"/>
        <w:rPr>
          <w:rFonts w:hint="eastAsia" w:ascii="微软雅黑" w:hAnsi="微软雅黑" w:cs="Arial"/>
          <w:color w:val="auto"/>
          <w:kern w:val="0"/>
          <w:szCs w:val="21"/>
          <w:highlight w:val="none"/>
        </w:rPr>
      </w:pPr>
      <w:bookmarkStart w:id="15" w:name="_Toc30576"/>
      <w:r>
        <w:rPr>
          <w:rFonts w:hint="eastAsia" w:ascii="微软雅黑" w:hAnsi="微软雅黑" w:cs="Arial"/>
          <w:b/>
          <w:bCs/>
          <w:color w:val="auto"/>
          <w:kern w:val="0"/>
          <w:szCs w:val="21"/>
          <w:highlight w:val="none"/>
        </w:rPr>
        <w:t>七、对本次采购提出询问、质疑、投诉，请按以下方式联系</w:t>
      </w:r>
      <w:bookmarkEnd w:id="15"/>
    </w:p>
    <w:p w14:paraId="35E9F248">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1.采购人信息</w:t>
      </w:r>
    </w:p>
    <w:p w14:paraId="0C0CDED1">
      <w:pPr>
        <w:widowControl/>
        <w:spacing w:before="75" w:after="75" w:line="300" w:lineRule="atLeast"/>
        <w:ind w:firstLine="426" w:firstLineChars="0"/>
        <w:rPr>
          <w:rFonts w:hint="eastAsia" w:ascii="微软雅黑" w:hAnsi="微软雅黑" w:eastAsia="微软雅黑" w:cs="Arial"/>
          <w:color w:val="auto"/>
          <w:kern w:val="0"/>
          <w:szCs w:val="21"/>
          <w:highlight w:val="none"/>
          <w:lang w:eastAsia="zh-CN"/>
        </w:rPr>
      </w:pPr>
      <w:r>
        <w:rPr>
          <w:rFonts w:hint="eastAsia" w:ascii="微软雅黑" w:hAnsi="微软雅黑" w:cs="Arial"/>
          <w:color w:val="auto"/>
          <w:kern w:val="0"/>
          <w:szCs w:val="21"/>
          <w:highlight w:val="none"/>
        </w:rPr>
        <w:t>名</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称：</w:t>
      </w:r>
      <w:r>
        <w:rPr>
          <w:rFonts w:hint="eastAsia" w:ascii="微软雅黑" w:hAnsi="微软雅黑" w:cs="Arial"/>
          <w:color w:val="auto"/>
          <w:kern w:val="0"/>
          <w:szCs w:val="21"/>
          <w:highlight w:val="none"/>
          <w:lang w:eastAsia="zh-CN"/>
        </w:rPr>
        <w:t>嘉兴市秀洲区民政局</w:t>
      </w:r>
    </w:p>
    <w:p w14:paraId="7FFE32AD">
      <w:pPr>
        <w:widowControl/>
        <w:spacing w:before="75" w:after="75" w:line="300" w:lineRule="atLeast"/>
        <w:ind w:firstLine="426" w:firstLineChars="0"/>
        <w:rPr>
          <w:rFonts w:hint="eastAsia" w:ascii="微软雅黑" w:hAnsi="微软雅黑" w:cs="宋体"/>
          <w:color w:val="auto"/>
          <w:kern w:val="0"/>
          <w:szCs w:val="21"/>
          <w:highlight w:val="none"/>
        </w:rPr>
      </w:pPr>
      <w:r>
        <w:rPr>
          <w:rFonts w:hint="eastAsia" w:ascii="微软雅黑" w:hAnsi="微软雅黑" w:cs="微软雅黑"/>
          <w:color w:val="auto"/>
          <w:kern w:val="0"/>
          <w:szCs w:val="21"/>
          <w:highlight w:val="none"/>
        </w:rPr>
        <w:t xml:space="preserve">地    址： 嘉兴市秀洲区秀湖路725号  </w:t>
      </w:r>
    </w:p>
    <w:p w14:paraId="74E7741C">
      <w:pPr>
        <w:widowControl/>
        <w:spacing w:before="75" w:after="75" w:line="300" w:lineRule="atLeast"/>
        <w:ind w:firstLine="426" w:firstLineChars="0"/>
        <w:rPr>
          <w:rFonts w:hint="eastAsia" w:ascii="微软雅黑" w:hAnsi="微软雅黑" w:eastAsia="微软雅黑" w:cs="微软雅黑"/>
          <w:color w:val="auto"/>
          <w:kern w:val="0"/>
          <w:szCs w:val="21"/>
          <w:highlight w:val="none"/>
          <w:lang w:val="en-US" w:eastAsia="zh-CN"/>
        </w:rPr>
      </w:pPr>
      <w:r>
        <w:rPr>
          <w:rFonts w:hint="eastAsia" w:ascii="微软雅黑" w:hAnsi="微软雅黑" w:cs="微软雅黑"/>
          <w:color w:val="auto"/>
          <w:kern w:val="0"/>
          <w:szCs w:val="21"/>
          <w:highlight w:val="none"/>
        </w:rPr>
        <w:t>传    真：</w:t>
      </w:r>
      <w:r>
        <w:rPr>
          <w:rFonts w:hint="eastAsia" w:ascii="微软雅黑" w:hAnsi="微软雅黑" w:cs="微软雅黑"/>
          <w:color w:val="auto"/>
          <w:kern w:val="0"/>
          <w:szCs w:val="21"/>
          <w:highlight w:val="none"/>
          <w:lang w:val="en-US" w:eastAsia="zh-CN"/>
        </w:rPr>
        <w:t>/</w:t>
      </w:r>
    </w:p>
    <w:p w14:paraId="17FB09CF">
      <w:pPr>
        <w:widowControl/>
        <w:tabs>
          <w:tab w:val="left" w:pos="142"/>
        </w:tabs>
        <w:spacing w:before="75" w:after="75" w:line="300" w:lineRule="atLeas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 xml:space="preserve">项目联系人（询问）：唐女士 </w:t>
      </w:r>
      <w:r>
        <w:rPr>
          <w:rFonts w:hint="eastAsia" w:ascii="微软雅黑" w:hAnsi="微软雅黑" w:cs="Calibri"/>
          <w:color w:val="auto"/>
          <w:kern w:val="0"/>
          <w:szCs w:val="21"/>
          <w:highlight w:val="none"/>
        </w:rPr>
        <w:t xml:space="preserve"> </w:t>
      </w:r>
      <w:r>
        <w:rPr>
          <w:rFonts w:ascii="微软雅黑" w:hAnsi="微软雅黑" w:cs="Calibri"/>
          <w:color w:val="auto"/>
          <w:kern w:val="0"/>
          <w:szCs w:val="21"/>
          <w:highlight w:val="none"/>
        </w:rPr>
        <w:t> </w:t>
      </w:r>
    </w:p>
    <w:p w14:paraId="5736150F">
      <w:pPr>
        <w:widowControl/>
        <w:tabs>
          <w:tab w:val="left" w:pos="142"/>
        </w:tabs>
        <w:spacing w:before="75" w:after="75" w:line="300" w:lineRule="atLeast"/>
        <w:ind w:firstLine="426" w:firstLineChars="0"/>
        <w:rPr>
          <w:rFonts w:hint="eastAsia" w:ascii="微软雅黑" w:hAnsi="微软雅黑" w:cs="Calibri"/>
          <w:color w:val="auto"/>
          <w:kern w:val="0"/>
          <w:szCs w:val="21"/>
          <w:highlight w:val="none"/>
        </w:rPr>
      </w:pPr>
      <w:r>
        <w:rPr>
          <w:rFonts w:hint="eastAsia" w:ascii="微软雅黑" w:hAnsi="微软雅黑" w:cs="宋体"/>
          <w:color w:val="auto"/>
          <w:kern w:val="0"/>
          <w:szCs w:val="21"/>
          <w:highlight w:val="none"/>
        </w:rPr>
        <w:t xml:space="preserve">项目联系方式（询问）：0573-89976550 </w:t>
      </w:r>
      <w:r>
        <w:rPr>
          <w:rFonts w:ascii="微软雅黑" w:hAnsi="微软雅黑" w:cs="Calibri"/>
          <w:color w:val="auto"/>
          <w:kern w:val="0"/>
          <w:szCs w:val="21"/>
          <w:highlight w:val="none"/>
        </w:rPr>
        <w:t> </w:t>
      </w:r>
    </w:p>
    <w:p w14:paraId="3E139718">
      <w:pPr>
        <w:widowControl/>
        <w:tabs>
          <w:tab w:val="left" w:pos="142"/>
        </w:tabs>
        <w:spacing w:before="75" w:after="75" w:line="300" w:lineRule="atLeast"/>
        <w:ind w:firstLine="426" w:firstLineChars="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 xml:space="preserve">质疑联系人：陈女士  </w:t>
      </w:r>
    </w:p>
    <w:p w14:paraId="6BBBD686">
      <w:pPr>
        <w:widowControl/>
        <w:tabs>
          <w:tab w:val="left" w:pos="142"/>
        </w:tabs>
        <w:spacing w:before="75" w:after="75" w:line="300" w:lineRule="atLeast"/>
        <w:ind w:firstLine="426" w:firstLineChars="0"/>
        <w:rPr>
          <w:rFonts w:hint="eastAsia" w:ascii="微软雅黑" w:hAnsi="微软雅黑" w:cs="Calibri"/>
          <w:color w:val="auto"/>
          <w:kern w:val="0"/>
          <w:szCs w:val="21"/>
          <w:highlight w:val="none"/>
        </w:rPr>
      </w:pPr>
      <w:r>
        <w:rPr>
          <w:rFonts w:hint="eastAsia" w:ascii="微软雅黑" w:hAnsi="微软雅黑" w:cs="微软雅黑"/>
          <w:color w:val="auto"/>
          <w:szCs w:val="21"/>
          <w:highlight w:val="none"/>
        </w:rPr>
        <w:t>质疑联系方式：0573-</w:t>
      </w:r>
      <w:r>
        <w:rPr>
          <w:rFonts w:hint="eastAsia" w:ascii="微软雅黑" w:hAnsi="微软雅黑" w:cs="微软雅黑"/>
          <w:color w:val="auto"/>
          <w:szCs w:val="21"/>
          <w:highlight w:val="none"/>
          <w:lang w:val="en-US" w:eastAsia="zh-CN"/>
        </w:rPr>
        <w:t>82720040</w:t>
      </w:r>
      <w:r>
        <w:rPr>
          <w:rFonts w:hint="eastAsia" w:ascii="微软雅黑" w:hAnsi="微软雅黑" w:cs="微软雅黑"/>
          <w:color w:val="auto"/>
          <w:szCs w:val="21"/>
          <w:highlight w:val="none"/>
        </w:rPr>
        <w:t xml:space="preserve"> </w:t>
      </w:r>
      <w:r>
        <w:rPr>
          <w:rFonts w:ascii="微软雅黑" w:hAnsi="微软雅黑" w:cs="Calibri"/>
          <w:color w:val="auto"/>
          <w:kern w:val="0"/>
          <w:szCs w:val="21"/>
          <w:highlight w:val="none"/>
        </w:rPr>
        <w:t>  </w:t>
      </w:r>
    </w:p>
    <w:p w14:paraId="2EDF16BA">
      <w:pPr>
        <w:pStyle w:val="51"/>
        <w:ind w:firstLine="480"/>
        <w:rPr>
          <w:rFonts w:hint="eastAsia"/>
          <w:color w:val="auto"/>
          <w:highlight w:val="none"/>
        </w:rPr>
      </w:pPr>
    </w:p>
    <w:p w14:paraId="01CE9954">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2.采购代理机构信息</w:t>
      </w:r>
      <w:r>
        <w:rPr>
          <w:rFonts w:ascii="微软雅黑" w:hAnsi="微软雅黑" w:cs="Calibri"/>
          <w:color w:val="auto"/>
          <w:kern w:val="0"/>
          <w:szCs w:val="21"/>
          <w:highlight w:val="none"/>
        </w:rPr>
        <w:t>       </w:t>
      </w:r>
    </w:p>
    <w:p w14:paraId="515E2C7A">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名</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称：嘉兴市千秋工程咨询有限公司</w:t>
      </w:r>
      <w:r>
        <w:rPr>
          <w:rFonts w:ascii="微软雅黑" w:hAnsi="微软雅黑" w:cs="Calibri"/>
          <w:color w:val="auto"/>
          <w:kern w:val="0"/>
          <w:szCs w:val="21"/>
          <w:highlight w:val="none"/>
        </w:rPr>
        <w:t>        </w:t>
      </w:r>
    </w:p>
    <w:p w14:paraId="68897376">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地</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址：嘉兴市秀洲区新平路299号中禾广场23楼</w:t>
      </w:r>
      <w:r>
        <w:rPr>
          <w:rFonts w:ascii="微软雅黑" w:hAnsi="微软雅黑" w:cs="Calibri"/>
          <w:color w:val="auto"/>
          <w:kern w:val="0"/>
          <w:szCs w:val="21"/>
          <w:highlight w:val="none"/>
        </w:rPr>
        <w:t>        </w:t>
      </w:r>
    </w:p>
    <w:p w14:paraId="50822EA0">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传</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真：</w:t>
      </w:r>
      <w:r>
        <w:rPr>
          <w:rFonts w:hint="eastAsia" w:ascii="微软雅黑" w:hAnsi="微软雅黑" w:cs="Arial"/>
          <w:color w:val="auto"/>
          <w:kern w:val="0"/>
          <w:szCs w:val="21"/>
          <w:highlight w:val="none"/>
          <w:lang w:val="en-US" w:eastAsia="zh-CN"/>
        </w:rPr>
        <w:t>/</w:t>
      </w:r>
      <w:r>
        <w:rPr>
          <w:rFonts w:ascii="微软雅黑" w:hAnsi="微软雅黑" w:cs="Calibri"/>
          <w:color w:val="auto"/>
          <w:kern w:val="0"/>
          <w:szCs w:val="21"/>
          <w:highlight w:val="none"/>
        </w:rPr>
        <w:t>        </w:t>
      </w:r>
    </w:p>
    <w:p w14:paraId="451B400A">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项目联系人（询问）：</w:t>
      </w:r>
      <w:r>
        <w:rPr>
          <w:rFonts w:hint="eastAsia" w:ascii="微软雅黑" w:hAnsi="微软雅黑" w:cs="Arial"/>
          <w:color w:val="auto"/>
          <w:kern w:val="0"/>
          <w:szCs w:val="21"/>
          <w:highlight w:val="none"/>
          <w:lang w:val="en-US" w:eastAsia="zh-CN"/>
        </w:rPr>
        <w:t>章莉莉、李建良</w:t>
      </w:r>
      <w:r>
        <w:rPr>
          <w:rFonts w:ascii="微软雅黑" w:hAnsi="微软雅黑" w:cs="Calibri"/>
          <w:color w:val="auto"/>
          <w:kern w:val="0"/>
          <w:szCs w:val="21"/>
          <w:highlight w:val="none"/>
        </w:rPr>
        <w:t>         </w:t>
      </w:r>
    </w:p>
    <w:p w14:paraId="212AFBCD">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项目联系方式（询问）：</w:t>
      </w:r>
      <w:r>
        <w:rPr>
          <w:rFonts w:hint="eastAsia" w:ascii="微软雅黑" w:hAnsi="微软雅黑" w:cs="Arial"/>
          <w:color w:val="auto"/>
          <w:kern w:val="0"/>
          <w:szCs w:val="21"/>
          <w:highlight w:val="none"/>
          <w:lang w:val="en-US" w:eastAsia="zh-CN"/>
        </w:rPr>
        <w:t>0573-83705015、</w:t>
      </w:r>
      <w:r>
        <w:rPr>
          <w:rFonts w:hint="eastAsia" w:ascii="微软雅黑" w:hAnsi="微软雅黑" w:cs="Arial"/>
          <w:color w:val="auto"/>
          <w:kern w:val="0"/>
          <w:szCs w:val="21"/>
          <w:highlight w:val="none"/>
        </w:rPr>
        <w:t>1</w:t>
      </w:r>
      <w:r>
        <w:rPr>
          <w:rFonts w:ascii="微软雅黑" w:hAnsi="微软雅黑" w:cs="Arial"/>
          <w:color w:val="auto"/>
          <w:kern w:val="0"/>
          <w:szCs w:val="21"/>
          <w:highlight w:val="none"/>
        </w:rPr>
        <w:t>3605735186</w:t>
      </w:r>
    </w:p>
    <w:p w14:paraId="7EFB906A">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质疑联系人：项兴戟</w:t>
      </w:r>
      <w:r>
        <w:rPr>
          <w:rFonts w:hint="eastAsia" w:ascii="微软雅黑" w:hAnsi="微软雅黑" w:cs="Arial"/>
          <w:color w:val="auto"/>
          <w:kern w:val="0"/>
          <w:szCs w:val="21"/>
          <w:highlight w:val="none"/>
          <w:lang w:eastAsia="zh-CN"/>
        </w:rPr>
        <w:t>、</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lang w:val="en-US" w:eastAsia="zh-CN"/>
        </w:rPr>
        <w:t>林晨</w:t>
      </w:r>
      <w:r>
        <w:rPr>
          <w:rFonts w:ascii="微软雅黑" w:hAnsi="微软雅黑" w:cs="Calibri"/>
          <w:color w:val="auto"/>
          <w:kern w:val="0"/>
          <w:szCs w:val="21"/>
          <w:highlight w:val="none"/>
        </w:rPr>
        <w:t>       </w:t>
      </w:r>
    </w:p>
    <w:p w14:paraId="7A6614F6">
      <w:pPr>
        <w:widowControl/>
        <w:spacing w:before="75" w:after="75" w:line="300" w:lineRule="atLeast"/>
        <w:ind w:left="0" w:leftChars="0" w:firstLine="218" w:firstLineChars="104"/>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质疑联系方式：0573-8370501</w:t>
      </w:r>
      <w:r>
        <w:rPr>
          <w:rFonts w:hint="eastAsia" w:ascii="微软雅黑" w:hAnsi="微软雅黑" w:cs="Arial"/>
          <w:color w:val="auto"/>
          <w:kern w:val="0"/>
          <w:szCs w:val="21"/>
          <w:highlight w:val="none"/>
          <w:lang w:val="en-US" w:eastAsia="zh-CN"/>
        </w:rPr>
        <w:t>3</w:t>
      </w:r>
      <w:r>
        <w:rPr>
          <w:rFonts w:hint="eastAsia" w:ascii="微软雅黑" w:hAnsi="微软雅黑" w:cs="Arial"/>
          <w:color w:val="auto"/>
          <w:kern w:val="0"/>
          <w:szCs w:val="21"/>
          <w:highlight w:val="none"/>
          <w:lang w:eastAsia="zh-CN"/>
        </w:rPr>
        <w:t>、</w:t>
      </w:r>
      <w:r>
        <w:rPr>
          <w:rFonts w:hint="eastAsia" w:ascii="微软雅黑" w:hAnsi="微软雅黑" w:cs="Arial"/>
          <w:color w:val="auto"/>
          <w:kern w:val="0"/>
          <w:szCs w:val="21"/>
          <w:highlight w:val="none"/>
        </w:rPr>
        <w:t>13605738567</w:t>
      </w: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w:t>
      </w:r>
      <w:r>
        <w:rPr>
          <w:rFonts w:ascii="微软雅黑" w:hAnsi="微软雅黑" w:cs="Calibri"/>
          <w:color w:val="auto"/>
          <w:kern w:val="0"/>
          <w:szCs w:val="21"/>
          <w:highlight w:val="none"/>
        </w:rPr>
        <w:t>   </w:t>
      </w:r>
    </w:p>
    <w:p w14:paraId="780FD47B">
      <w:pPr>
        <w:widowControl/>
        <w:spacing w:before="75" w:after="75" w:line="300" w:lineRule="atLeast"/>
        <w:ind w:firstLine="0" w:firstLineChars="0"/>
        <w:rPr>
          <w:rFonts w:hint="eastAsia" w:ascii="微软雅黑" w:hAnsi="微软雅黑" w:cs="Calibri"/>
          <w:color w:val="auto"/>
          <w:kern w:val="0"/>
          <w:szCs w:val="21"/>
          <w:highlight w:val="none"/>
        </w:rPr>
      </w:pPr>
      <w:r>
        <w:rPr>
          <w:rFonts w:ascii="微软雅黑" w:hAnsi="微软雅黑" w:cs="Calibri"/>
          <w:color w:val="auto"/>
          <w:kern w:val="0"/>
          <w:szCs w:val="21"/>
          <w:highlight w:val="none"/>
        </w:rPr>
        <w:t>  </w:t>
      </w:r>
    </w:p>
    <w:p w14:paraId="4BC5B70C">
      <w:pPr>
        <w:widowControl/>
        <w:spacing w:before="75" w:after="75" w:line="300" w:lineRule="atLeast"/>
        <w:ind w:firstLine="0" w:firstLineChars="0"/>
        <w:rPr>
          <w:rFonts w:hint="eastAsia" w:ascii="微软雅黑" w:hAnsi="微软雅黑" w:cs="Arial"/>
          <w:color w:val="auto"/>
          <w:kern w:val="0"/>
          <w:szCs w:val="21"/>
          <w:highlight w:val="none"/>
        </w:rPr>
      </w:pPr>
      <w:r>
        <w:rPr>
          <w:rFonts w:ascii="微软雅黑" w:hAnsi="微软雅黑" w:cs="Calibri"/>
          <w:color w:val="auto"/>
          <w:kern w:val="0"/>
          <w:szCs w:val="21"/>
          <w:highlight w:val="none"/>
        </w:rPr>
        <w:t>  </w:t>
      </w:r>
      <w:r>
        <w:rPr>
          <w:rFonts w:hint="eastAsia" w:ascii="微软雅黑" w:hAnsi="微软雅黑" w:cs="Arial"/>
          <w:color w:val="auto"/>
          <w:kern w:val="0"/>
          <w:szCs w:val="21"/>
          <w:highlight w:val="none"/>
        </w:rPr>
        <w:t xml:space="preserve"> 3.同级政府采购监督管理部门</w:t>
      </w:r>
      <w:r>
        <w:rPr>
          <w:rFonts w:ascii="微软雅黑" w:hAnsi="微软雅黑" w:cs="Calibri"/>
          <w:color w:val="auto"/>
          <w:kern w:val="0"/>
          <w:szCs w:val="21"/>
          <w:highlight w:val="none"/>
        </w:rPr>
        <w:t>       </w:t>
      </w:r>
    </w:p>
    <w:p w14:paraId="41AAE604">
      <w:pPr>
        <w:spacing w:line="540" w:lineRule="exact"/>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政府采购行政监管及投诉受理部门：嘉兴市秀洲区财政局</w:t>
      </w:r>
    </w:p>
    <w:p w14:paraId="76EF2B80">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地    址：秀洲区洪兴路1765号</w:t>
      </w:r>
    </w:p>
    <w:p w14:paraId="4C128117">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传    真：/</w:t>
      </w:r>
    </w:p>
    <w:p w14:paraId="084CF9FB">
      <w:pPr>
        <w:spacing w:line="540" w:lineRule="exact"/>
        <w:ind w:firstLine="420"/>
        <w:rPr>
          <w:rFonts w:hint="eastAsia" w:ascii="微软雅黑" w:hAnsi="微软雅黑" w:cs="微软雅黑"/>
          <w:color w:val="auto"/>
          <w:kern w:val="0"/>
          <w:szCs w:val="21"/>
          <w:highlight w:val="none"/>
        </w:rPr>
      </w:pPr>
      <w:r>
        <w:rPr>
          <w:rFonts w:hint="eastAsia" w:ascii="微软雅黑" w:hAnsi="微软雅黑" w:cs="微软雅黑"/>
          <w:color w:val="auto"/>
          <w:kern w:val="0"/>
          <w:szCs w:val="21"/>
          <w:highlight w:val="none"/>
        </w:rPr>
        <w:t>联系人 ：宋女士</w:t>
      </w:r>
    </w:p>
    <w:p w14:paraId="0B1E8D90">
      <w:pPr>
        <w:spacing w:line="540" w:lineRule="exact"/>
        <w:ind w:firstLine="420"/>
        <w:rPr>
          <w:rFonts w:hint="eastAsia" w:ascii="微软雅黑" w:hAnsi="微软雅黑" w:cs="宋体"/>
          <w:color w:val="auto"/>
          <w:szCs w:val="21"/>
          <w:highlight w:val="none"/>
        </w:rPr>
      </w:pPr>
      <w:r>
        <w:rPr>
          <w:rFonts w:hint="eastAsia" w:ascii="微软雅黑" w:hAnsi="微软雅黑" w:cs="微软雅黑"/>
          <w:color w:val="auto"/>
          <w:kern w:val="0"/>
          <w:szCs w:val="21"/>
          <w:highlight w:val="none"/>
        </w:rPr>
        <w:t>监督投诉电话：0573-8272008</w:t>
      </w:r>
      <w:r>
        <w:rPr>
          <w:rFonts w:ascii="微软雅黑" w:hAnsi="微软雅黑" w:cs="微软雅黑"/>
          <w:color w:val="auto"/>
          <w:kern w:val="0"/>
          <w:szCs w:val="21"/>
          <w:highlight w:val="none"/>
        </w:rPr>
        <w:t>5</w:t>
      </w:r>
    </w:p>
    <w:p w14:paraId="06DCB507">
      <w:pPr>
        <w:ind w:firstLine="420"/>
        <w:rPr>
          <w:rFonts w:hint="eastAsia" w:ascii="微软雅黑" w:hAnsi="微软雅黑"/>
          <w:color w:val="auto"/>
          <w:szCs w:val="21"/>
          <w:highlight w:val="none"/>
        </w:rPr>
      </w:pPr>
      <w:r>
        <w:rPr>
          <w:rFonts w:hint="eastAsia" w:ascii="微软雅黑" w:hAnsi="微软雅黑"/>
          <w:color w:val="auto"/>
          <w:szCs w:val="21"/>
          <w:highlight w:val="none"/>
        </w:rPr>
        <w:t>若对项目采购电子交易系统操作有疑问，可登录政采云（</w:t>
      </w:r>
      <w:r>
        <w:rPr>
          <w:rFonts w:ascii="微软雅黑" w:hAnsi="微软雅黑"/>
          <w:color w:val="auto"/>
          <w:szCs w:val="21"/>
          <w:highlight w:val="none"/>
        </w:rPr>
        <w:t>https://www.zcygov.cn/），点击右侧咨询小采，获取采小蜜智能服务管家帮助，或拨打政</w:t>
      </w:r>
      <w:r>
        <w:rPr>
          <w:rFonts w:hint="eastAsia" w:ascii="微软雅黑" w:hAnsi="微软雅黑"/>
          <w:color w:val="auto"/>
          <w:szCs w:val="21"/>
          <w:highlight w:val="none"/>
        </w:rPr>
        <w:t>采云服务热线95763</w:t>
      </w:r>
      <w:r>
        <w:rPr>
          <w:rFonts w:ascii="微软雅黑" w:hAnsi="微软雅黑"/>
          <w:color w:val="auto"/>
          <w:szCs w:val="21"/>
          <w:highlight w:val="none"/>
        </w:rPr>
        <w:t>获取热线服务帮助。</w:t>
      </w:r>
    </w:p>
    <w:p w14:paraId="18C3AE95">
      <w:pPr>
        <w:ind w:firstLine="420"/>
        <w:rPr>
          <w:rFonts w:hint="eastAsia" w:ascii="微软雅黑" w:hAnsi="微软雅黑" w:cs="Arial"/>
          <w:color w:val="auto"/>
          <w:kern w:val="0"/>
          <w:szCs w:val="21"/>
          <w:highlight w:val="none"/>
        </w:rPr>
      </w:pPr>
      <w:r>
        <w:rPr>
          <w:rFonts w:ascii="微软雅黑" w:hAnsi="微软雅黑"/>
          <w:color w:val="auto"/>
          <w:szCs w:val="21"/>
          <w:highlight w:val="none"/>
        </w:rPr>
        <w:t>CA问题联系电话（人工）：</w:t>
      </w:r>
      <w:r>
        <w:rPr>
          <w:rFonts w:hint="eastAsia" w:ascii="微软雅黑" w:hAnsi="微软雅黑"/>
          <w:color w:val="auto"/>
          <w:szCs w:val="21"/>
          <w:highlight w:val="none"/>
        </w:rPr>
        <w:t>汇信</w:t>
      </w:r>
      <w:r>
        <w:rPr>
          <w:rFonts w:ascii="微软雅黑" w:hAnsi="微软雅黑"/>
          <w:color w:val="auto"/>
          <w:szCs w:val="21"/>
          <w:highlight w:val="none"/>
        </w:rPr>
        <w:t>CA 400-888-4636；天谷CA 400-087-8198。</w:t>
      </w:r>
      <w:r>
        <w:rPr>
          <w:rFonts w:ascii="微软雅黑" w:hAnsi="微软雅黑" w:cs="Calibri"/>
          <w:color w:val="auto"/>
          <w:kern w:val="0"/>
          <w:szCs w:val="21"/>
          <w:highlight w:val="none"/>
        </w:rPr>
        <w:t>     </w:t>
      </w:r>
    </w:p>
    <w:p w14:paraId="02DC401F">
      <w:pPr>
        <w:pStyle w:val="2"/>
        <w:rPr>
          <w:rStyle w:val="70"/>
          <w:b/>
          <w:bCs/>
          <w:color w:val="auto"/>
          <w:highlight w:val="none"/>
        </w:rPr>
        <w:sectPr>
          <w:type w:val="nextColumn"/>
          <w:pgSz w:w="11906" w:h="16838"/>
          <w:pgMar w:top="1474" w:right="1134" w:bottom="1134" w:left="1474" w:header="851" w:footer="851" w:gutter="0"/>
          <w:cols w:space="720" w:num="1"/>
          <w:docGrid w:linePitch="312" w:charSpace="0"/>
        </w:sectPr>
      </w:pPr>
      <w:bookmarkStart w:id="16" w:name="_Toc5875"/>
    </w:p>
    <w:p w14:paraId="3700E006">
      <w:pPr>
        <w:pStyle w:val="2"/>
        <w:numPr>
          <w:ilvl w:val="0"/>
          <w:numId w:val="3"/>
        </w:numPr>
        <w:rPr>
          <w:rStyle w:val="70"/>
          <w:b/>
          <w:bCs/>
          <w:color w:val="auto"/>
          <w:highlight w:val="none"/>
        </w:rPr>
      </w:pPr>
      <w:bookmarkStart w:id="17" w:name="_Toc30616"/>
      <w:r>
        <w:rPr>
          <w:rStyle w:val="70"/>
          <w:rFonts w:hint="eastAsia"/>
          <w:b/>
          <w:bCs/>
          <w:color w:val="auto"/>
          <w:highlight w:val="none"/>
          <w:lang w:val="en-US" w:eastAsia="zh-CN"/>
        </w:rPr>
        <w:t xml:space="preserve"> </w:t>
      </w:r>
      <w:r>
        <w:rPr>
          <w:rStyle w:val="70"/>
          <w:rFonts w:hint="eastAsia"/>
          <w:b/>
          <w:bCs/>
          <w:color w:val="auto"/>
          <w:highlight w:val="none"/>
        </w:rPr>
        <w:t>招标项目要求</w:t>
      </w:r>
      <w:bookmarkEnd w:id="8"/>
      <w:bookmarkEnd w:id="16"/>
      <w:bookmarkEnd w:id="17"/>
    </w:p>
    <w:p w14:paraId="066100DD">
      <w:pPr>
        <w:numPr>
          <w:ilvl w:val="0"/>
          <w:numId w:val="4"/>
        </w:numPr>
        <w:snapToGrid w:val="0"/>
        <w:spacing w:line="360" w:lineRule="auto"/>
        <w:ind w:left="0" w:leftChars="0" w:firstLine="420" w:firstLineChars="200"/>
        <w:outlineLvl w:val="1"/>
        <w:rPr>
          <w:rFonts w:hint="eastAsia" w:ascii="微软雅黑" w:hAnsi="微软雅黑" w:eastAsia="微软雅黑" w:cs="微软雅黑"/>
          <w:b/>
          <w:bCs/>
          <w:color w:val="auto"/>
          <w:sz w:val="21"/>
          <w:szCs w:val="21"/>
          <w:highlight w:val="none"/>
        </w:rPr>
      </w:pPr>
      <w:bookmarkStart w:id="18" w:name="_Toc435628187"/>
      <w:bookmarkStart w:id="19" w:name="_Toc33535343"/>
      <w:bookmarkStart w:id="20" w:name="_Toc505676226"/>
      <w:bookmarkStart w:id="21" w:name="_Toc454092169"/>
      <w:bookmarkStart w:id="22" w:name="_Toc505677926"/>
      <w:bookmarkStart w:id="23" w:name="_Toc25959"/>
      <w:bookmarkStart w:id="24" w:name="_Toc405469032"/>
      <w:bookmarkStart w:id="25" w:name="_Toc19683"/>
      <w:bookmarkStart w:id="26" w:name="_Toc493511542"/>
      <w:r>
        <w:rPr>
          <w:rFonts w:hint="eastAsia" w:ascii="微软雅黑" w:hAnsi="微软雅黑" w:cs="微软雅黑"/>
          <w:b/>
          <w:bCs/>
          <w:color w:val="auto"/>
          <w:sz w:val="21"/>
          <w:szCs w:val="21"/>
          <w:highlight w:val="none"/>
          <w:lang w:val="en-US" w:eastAsia="zh-CN"/>
        </w:rPr>
        <w:t>项目概况</w:t>
      </w:r>
    </w:p>
    <w:p w14:paraId="0B1245D6">
      <w:pPr>
        <w:numPr>
          <w:ilvl w:val="0"/>
          <w:numId w:val="0"/>
        </w:numPr>
        <w:snapToGrid w:val="0"/>
        <w:spacing w:line="360" w:lineRule="auto"/>
        <w:ind w:left="0" w:leftChars="0" w:firstLine="420" w:firstLineChars="200"/>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aps w:val="0"/>
          <w:color w:val="auto"/>
          <w:sz w:val="21"/>
          <w:szCs w:val="21"/>
          <w:highlight w:val="none"/>
        </w:rPr>
        <w:t>为全面贯彻落实党的二十届三中全会和习近平总书记关于残疾人福利工作的重要指示精神，深入推进精神障碍社区康复服务高质量发展，扎实做好我区精神障碍社区康复服务试点工作，根据《民政部办公厅、财政部办公厅关于实施2024年中央集中彩票公益金支持社会福利事业资金试点项目的通知》(民办函〔2024〕51号)有关要求，结合辖区实际</w:t>
      </w:r>
      <w:r>
        <w:rPr>
          <w:rFonts w:hint="eastAsia" w:ascii="微软雅黑" w:hAnsi="微软雅黑" w:eastAsia="微软雅黑" w:cs="微软雅黑"/>
          <w:b w:val="0"/>
          <w:bCs w:val="0"/>
          <w:caps w:val="0"/>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rPr>
        <w:t>由区民政局通过公开招标方式，委托业务范围包含社会工作、康复医疗服务或者残疾人、心智障碍患者康复服务的社会组织或企业，在全区开展精神障碍社区康复服务项目</w:t>
      </w:r>
      <w:r>
        <w:rPr>
          <w:rFonts w:hint="eastAsia" w:ascii="微软雅黑" w:hAnsi="微软雅黑" w:eastAsia="微软雅黑" w:cs="微软雅黑"/>
          <w:b w:val="0"/>
          <w:bCs w:val="0"/>
          <w:color w:val="auto"/>
          <w:sz w:val="21"/>
          <w:szCs w:val="21"/>
          <w:highlight w:val="none"/>
          <w:lang w:eastAsia="zh-CN"/>
        </w:rPr>
        <w:t>。</w:t>
      </w:r>
    </w:p>
    <w:p w14:paraId="3942683B">
      <w:pPr>
        <w:numPr>
          <w:ilvl w:val="0"/>
          <w:numId w:val="4"/>
        </w:numPr>
        <w:snapToGrid w:val="0"/>
        <w:spacing w:line="360" w:lineRule="auto"/>
        <w:ind w:left="0" w:leftChars="0" w:firstLine="420" w:firstLineChars="200"/>
        <w:outlineLvl w:val="1"/>
        <w:rPr>
          <w:rFonts w:hint="eastAsia" w:ascii="微软雅黑" w:hAnsi="微软雅黑" w:eastAsia="微软雅黑" w:cs="微软雅黑"/>
          <w:b/>
          <w:bCs/>
          <w:color w:val="auto"/>
          <w:sz w:val="21"/>
          <w:szCs w:val="21"/>
          <w:highlight w:val="none"/>
        </w:rPr>
      </w:pPr>
      <w:r>
        <w:rPr>
          <w:rFonts w:hint="eastAsia" w:ascii="微软雅黑" w:hAnsi="微软雅黑" w:cs="微软雅黑"/>
          <w:b/>
          <w:bCs/>
          <w:color w:val="auto"/>
          <w:sz w:val="21"/>
          <w:szCs w:val="21"/>
          <w:highlight w:val="none"/>
          <w:lang w:val="en-US" w:eastAsia="zh-CN"/>
        </w:rPr>
        <w:t>服务内容</w:t>
      </w:r>
    </w:p>
    <w:p w14:paraId="372B6CFC">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lang w:eastAsia="zh-CN"/>
        </w:rPr>
        <w:t>总体要求</w:t>
      </w:r>
    </w:p>
    <w:p w14:paraId="179D49B4">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辖区机构(站点)类型多样全面，设置日间活动中心(站)、职业康复中心(站)住宿机构、精神康复综合服务中心(站)  康复会所</w:t>
      </w:r>
      <w:r>
        <w:rPr>
          <w:rFonts w:hint="eastAsia" w:ascii="微软雅黑" w:hAnsi="微软雅黑" w:eastAsia="微软雅黑" w:cs="微软雅黑"/>
          <w:snapToGrid w:val="0"/>
          <w:color w:val="auto"/>
          <w:kern w:val="0"/>
          <w:sz w:val="21"/>
          <w:szCs w:val="21"/>
          <w:highlight w:val="none"/>
          <w:lang w:eastAsia="zh-CN"/>
        </w:rPr>
        <w:t>（不少于</w:t>
      </w:r>
      <w:r>
        <w:rPr>
          <w:rFonts w:hint="eastAsia" w:ascii="微软雅黑" w:hAnsi="微软雅黑" w:eastAsia="微软雅黑" w:cs="微软雅黑"/>
          <w:snapToGrid w:val="0"/>
          <w:color w:val="auto"/>
          <w:kern w:val="0"/>
          <w:sz w:val="21"/>
          <w:szCs w:val="21"/>
          <w:highlight w:val="none"/>
          <w:lang w:val="en-US" w:eastAsia="zh-CN"/>
        </w:rPr>
        <w:t>3种类型）</w:t>
      </w:r>
      <w:r>
        <w:rPr>
          <w:rFonts w:hint="eastAsia" w:ascii="微软雅黑" w:hAnsi="微软雅黑" w:eastAsia="微软雅黑" w:cs="微软雅黑"/>
          <w:snapToGrid w:val="0"/>
          <w:color w:val="auto"/>
          <w:kern w:val="0"/>
          <w:sz w:val="21"/>
          <w:szCs w:val="21"/>
          <w:highlight w:val="none"/>
          <w:lang w:eastAsia="zh-CN"/>
        </w:rPr>
        <w:t>；</w:t>
      </w:r>
    </w:p>
    <w:p w14:paraId="5F725BA8">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机构(站点)开展多种形式的精神障碍社区康复服务，包括服药训练、预防复发 训练、躯体管理训练、生活技能训练、社交技能训练、职业康复训练、心理治疗和 康复、同伴支持、日间照料等</w:t>
      </w:r>
      <w:r>
        <w:rPr>
          <w:rFonts w:hint="eastAsia" w:ascii="微软雅黑" w:hAnsi="微软雅黑" w:eastAsia="微软雅黑" w:cs="微软雅黑"/>
          <w:snapToGrid w:val="0"/>
          <w:color w:val="auto"/>
          <w:kern w:val="0"/>
          <w:sz w:val="21"/>
          <w:szCs w:val="21"/>
          <w:highlight w:val="none"/>
          <w:lang w:eastAsia="zh-CN"/>
        </w:rPr>
        <w:t>；</w:t>
      </w:r>
    </w:p>
    <w:p w14:paraId="1D178CFB">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精神障碍社区康复服务机构(站点)对参与社区康复的患者开展规范评估，评估内容包括精神症状、生活技能、社会适应 能力、转介需求等，每个患者应每半年接受一次评估</w:t>
      </w:r>
      <w:r>
        <w:rPr>
          <w:rFonts w:hint="eastAsia" w:ascii="微软雅黑" w:hAnsi="微软雅黑" w:eastAsia="微软雅黑" w:cs="微软雅黑"/>
          <w:snapToGrid w:val="0"/>
          <w:color w:val="auto"/>
          <w:kern w:val="0"/>
          <w:sz w:val="21"/>
          <w:szCs w:val="21"/>
          <w:highlight w:val="none"/>
          <w:lang w:eastAsia="zh-CN"/>
        </w:rPr>
        <w:t>；</w:t>
      </w:r>
    </w:p>
    <w:p w14:paraId="7B72D610">
      <w:pPr>
        <w:numPr>
          <w:ilvl w:val="0"/>
          <w:numId w:val="6"/>
        </w:numPr>
        <w:snapToGrid w:val="0"/>
        <w:spacing w:line="360" w:lineRule="auto"/>
        <w:ind w:left="0" w:leftChars="0" w:firstLine="420" w:firstLineChars="0"/>
        <w:rPr>
          <w:color w:val="auto"/>
          <w:sz w:val="24"/>
          <w:szCs w:val="24"/>
          <w:highlight w:val="none"/>
        </w:rPr>
      </w:pPr>
      <w:r>
        <w:rPr>
          <w:rFonts w:hint="eastAsia" w:ascii="微软雅黑" w:hAnsi="微软雅黑" w:eastAsia="微软雅黑" w:cs="微软雅黑"/>
          <w:snapToGrid w:val="0"/>
          <w:color w:val="auto"/>
          <w:kern w:val="0"/>
          <w:sz w:val="21"/>
          <w:szCs w:val="21"/>
          <w:highlight w:val="none"/>
        </w:rPr>
        <w:t>机构(站点)通过入户、社区活动、健康讲堂</w:t>
      </w:r>
      <w:r>
        <w:rPr>
          <w:rFonts w:hint="eastAsia" w:ascii="微软雅黑" w:hAnsi="微软雅黑" w:cs="微软雅黑"/>
          <w:snapToGrid w:val="0"/>
          <w:color w:val="auto"/>
          <w:kern w:val="0"/>
          <w:sz w:val="21"/>
          <w:szCs w:val="21"/>
          <w:highlight w:val="none"/>
          <w:lang w:eastAsia="zh-CN"/>
        </w:rPr>
        <w:t>的方式</w:t>
      </w:r>
      <w:r>
        <w:rPr>
          <w:rFonts w:hint="eastAsia" w:ascii="微软雅黑" w:hAnsi="微软雅黑" w:eastAsia="微软雅黑" w:cs="微软雅黑"/>
          <w:snapToGrid w:val="0"/>
          <w:color w:val="auto"/>
          <w:kern w:val="0"/>
          <w:sz w:val="21"/>
          <w:szCs w:val="21"/>
          <w:highlight w:val="none"/>
        </w:rPr>
        <w:t>对严重精神障碍患者及家属提供康复指导</w:t>
      </w:r>
      <w:r>
        <w:rPr>
          <w:rFonts w:hint="eastAsia" w:ascii="微软雅黑" w:hAnsi="微软雅黑" w:cs="微软雅黑"/>
          <w:snapToGrid w:val="0"/>
          <w:color w:val="auto"/>
          <w:kern w:val="0"/>
          <w:sz w:val="21"/>
          <w:szCs w:val="21"/>
          <w:highlight w:val="none"/>
          <w:lang w:eastAsia="zh-CN"/>
        </w:rPr>
        <w:t>；</w:t>
      </w:r>
    </w:p>
    <w:p w14:paraId="54B23F2A">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80%的拥有严重精神障碍患者的社区 (村)均有在精神障碍社区康复服务机构 (站点)接受康复服务的严重精神障碍患</w:t>
      </w:r>
      <w:r>
        <w:rPr>
          <w:rFonts w:hint="eastAsia" w:ascii="微软雅黑" w:hAnsi="微软雅黑" w:cs="微软雅黑"/>
          <w:snapToGrid w:val="0"/>
          <w:color w:val="auto"/>
          <w:kern w:val="0"/>
          <w:sz w:val="21"/>
          <w:szCs w:val="21"/>
          <w:highlight w:val="none"/>
          <w:lang w:eastAsia="zh-CN"/>
        </w:rPr>
        <w:t>者；</w:t>
      </w:r>
    </w:p>
    <w:p w14:paraId="1DCC2FB9">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截至2025年底，辖区患者参与精神障碍社区康复服务不少于1000人</w:t>
      </w:r>
      <w:r>
        <w:rPr>
          <w:rFonts w:hint="eastAsia" w:ascii="微软雅黑" w:hAnsi="微软雅黑" w:cs="微软雅黑"/>
          <w:snapToGrid w:val="0"/>
          <w:color w:val="auto"/>
          <w:kern w:val="0"/>
          <w:sz w:val="21"/>
          <w:szCs w:val="21"/>
          <w:highlight w:val="none"/>
          <w:lang w:eastAsia="zh-CN"/>
        </w:rPr>
        <w:t>；</w:t>
      </w:r>
    </w:p>
    <w:p w14:paraId="4BC8E446">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2025年度，常态化参与机构(站点)内精神障碍社区康复服务的患者占参与社区康复总患者数的比例不低于20%</w:t>
      </w:r>
      <w:r>
        <w:rPr>
          <w:rFonts w:hint="eastAsia" w:ascii="微软雅黑" w:hAnsi="微软雅黑" w:cs="微软雅黑"/>
          <w:snapToGrid w:val="0"/>
          <w:color w:val="auto"/>
          <w:kern w:val="0"/>
          <w:sz w:val="21"/>
          <w:szCs w:val="21"/>
          <w:highlight w:val="none"/>
          <w:lang w:eastAsia="zh-CN"/>
        </w:rPr>
        <w:t>；</w:t>
      </w:r>
    </w:p>
    <w:p w14:paraId="57627A23">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2025年度，至少为80%参与社区康复的患者提供居家康复指导</w:t>
      </w:r>
      <w:r>
        <w:rPr>
          <w:rFonts w:hint="eastAsia" w:ascii="微软雅黑" w:hAnsi="微软雅黑" w:cs="微软雅黑"/>
          <w:snapToGrid w:val="0"/>
          <w:color w:val="auto"/>
          <w:kern w:val="0"/>
          <w:sz w:val="21"/>
          <w:szCs w:val="21"/>
          <w:highlight w:val="none"/>
          <w:lang w:eastAsia="zh-CN"/>
        </w:rPr>
        <w:t>；</w:t>
      </w:r>
    </w:p>
    <w:p w14:paraId="1B0D00DA">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2025年度，至少为50%参与社区康复的患者家庭提供社会救助、社会福利政策和专业康复资源链接等家庭支持</w:t>
      </w:r>
      <w:r>
        <w:rPr>
          <w:rFonts w:hint="eastAsia" w:ascii="微软雅黑" w:hAnsi="微软雅黑" w:cs="微软雅黑"/>
          <w:snapToGrid w:val="0"/>
          <w:color w:val="auto"/>
          <w:kern w:val="0"/>
          <w:sz w:val="21"/>
          <w:szCs w:val="21"/>
          <w:highlight w:val="none"/>
          <w:lang w:eastAsia="zh-CN"/>
        </w:rPr>
        <w:t>；</w:t>
      </w:r>
    </w:p>
    <w:p w14:paraId="1385B00E">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highlight w:val="none"/>
        </w:rPr>
        <w:t>机构(站点)工作日均开展社区康复</w:t>
      </w:r>
      <w:r>
        <w:rPr>
          <w:color w:val="auto"/>
          <w:spacing w:val="3"/>
          <w:highlight w:val="none"/>
        </w:rPr>
        <w:t>服务，每天不少于6小时</w:t>
      </w:r>
      <w:r>
        <w:rPr>
          <w:rFonts w:hint="eastAsia"/>
          <w:color w:val="auto"/>
          <w:spacing w:val="3"/>
          <w:highlight w:val="none"/>
          <w:lang w:eastAsia="zh-CN"/>
        </w:rPr>
        <w:t>；</w:t>
      </w:r>
    </w:p>
    <w:p w14:paraId="320311FF">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color w:val="auto"/>
          <w:highlight w:val="none"/>
          <w:lang w:eastAsia="zh-CN"/>
        </w:rPr>
        <w:t>落实</w:t>
      </w:r>
      <w:r>
        <w:rPr>
          <w:color w:val="auto"/>
          <w:highlight w:val="none"/>
        </w:rPr>
        <w:t>精神卫生医疗机构与精神障碍社</w:t>
      </w:r>
      <w:r>
        <w:rPr>
          <w:color w:val="auto"/>
          <w:spacing w:val="8"/>
          <w:highlight w:val="none"/>
        </w:rPr>
        <w:t xml:space="preserve"> </w:t>
      </w:r>
      <w:r>
        <w:rPr>
          <w:color w:val="auto"/>
          <w:highlight w:val="none"/>
        </w:rPr>
        <w:t>区康复服务机构(站点)双向转介</w:t>
      </w:r>
      <w:r>
        <w:rPr>
          <w:rFonts w:hint="eastAsia"/>
          <w:color w:val="auto"/>
          <w:highlight w:val="none"/>
          <w:lang w:eastAsia="zh-CN"/>
        </w:rPr>
        <w:t>；</w:t>
      </w:r>
    </w:p>
    <w:p w14:paraId="19FCCDAD">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highlight w:val="none"/>
        </w:rPr>
        <w:t>掌握辖区各类就业服务机构信息，协调就业服务机构为严重精神障碍患者设</w:t>
      </w:r>
      <w:r>
        <w:rPr>
          <w:color w:val="auto"/>
          <w:spacing w:val="4"/>
          <w:highlight w:val="none"/>
        </w:rPr>
        <w:t>置辅助性就业岗位</w:t>
      </w:r>
      <w:r>
        <w:rPr>
          <w:rFonts w:hint="eastAsia"/>
          <w:color w:val="auto"/>
          <w:spacing w:val="4"/>
          <w:highlight w:val="none"/>
          <w:lang w:eastAsia="zh-CN"/>
        </w:rPr>
        <w:t>；</w:t>
      </w:r>
    </w:p>
    <w:p w14:paraId="444FE166">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color w:val="auto"/>
          <w:highlight w:val="none"/>
          <w:lang w:eastAsia="zh-CN"/>
        </w:rPr>
        <w:t>落实</w:t>
      </w:r>
      <w:r>
        <w:rPr>
          <w:color w:val="auto"/>
          <w:highlight w:val="none"/>
        </w:rPr>
        <w:t>精神障碍社区康复服务机构(站点)与就业服务机构转介，并实质性</w:t>
      </w:r>
      <w:r>
        <w:rPr>
          <w:color w:val="auto"/>
          <w:spacing w:val="17"/>
          <w:highlight w:val="none"/>
        </w:rPr>
        <w:t>开展工作</w:t>
      </w:r>
      <w:r>
        <w:rPr>
          <w:rFonts w:hint="eastAsia"/>
          <w:color w:val="auto"/>
          <w:spacing w:val="17"/>
          <w:highlight w:val="none"/>
          <w:lang w:eastAsia="zh-CN"/>
        </w:rPr>
        <w:t>；</w:t>
      </w:r>
    </w:p>
    <w:p w14:paraId="57F882EB">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highlight w:val="none"/>
        </w:rPr>
        <w:t>支持不低于40%的直接服务人员参加</w:t>
      </w:r>
      <w:r>
        <w:rPr>
          <w:rFonts w:hint="eastAsia"/>
          <w:color w:val="auto"/>
          <w:highlight w:val="none"/>
          <w:lang w:eastAsia="zh-CN"/>
        </w:rPr>
        <w:t>区</w:t>
      </w:r>
      <w:r>
        <w:rPr>
          <w:color w:val="auto"/>
          <w:spacing w:val="3"/>
          <w:highlight w:val="none"/>
        </w:rPr>
        <w:t>级及以上专业培训</w:t>
      </w:r>
      <w:r>
        <w:rPr>
          <w:rFonts w:hint="eastAsia"/>
          <w:color w:val="auto"/>
          <w:spacing w:val="3"/>
          <w:highlight w:val="none"/>
          <w:lang w:eastAsia="zh-CN"/>
        </w:rPr>
        <w:t>；</w:t>
      </w:r>
    </w:p>
    <w:p w14:paraId="7960E977">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直接服务人员每人每年接受精神障碍康复专业知识培训不低于20小时</w:t>
      </w:r>
      <w:r>
        <w:rPr>
          <w:rFonts w:hint="eastAsia" w:ascii="微软雅黑" w:hAnsi="微软雅黑" w:cs="微软雅黑"/>
          <w:snapToGrid w:val="0"/>
          <w:color w:val="auto"/>
          <w:kern w:val="0"/>
          <w:sz w:val="21"/>
          <w:szCs w:val="21"/>
          <w:highlight w:val="none"/>
          <w:lang w:eastAsia="zh-CN"/>
        </w:rPr>
        <w:t>；</w:t>
      </w:r>
    </w:p>
    <w:p w14:paraId="4C931090">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2025年度，新参与社区康复的康复对象占辖区在册严重精神障碍患者的10%以上</w:t>
      </w:r>
      <w:r>
        <w:rPr>
          <w:rFonts w:hint="eastAsia" w:ascii="微软雅黑" w:hAnsi="微软雅黑" w:cs="微软雅黑"/>
          <w:snapToGrid w:val="0"/>
          <w:color w:val="auto"/>
          <w:kern w:val="0"/>
          <w:sz w:val="21"/>
          <w:szCs w:val="21"/>
          <w:highlight w:val="none"/>
          <w:lang w:eastAsia="zh-CN"/>
        </w:rPr>
        <w:t>；</w:t>
      </w:r>
    </w:p>
    <w:p w14:paraId="042ED719">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2025年度，60%接受精神障碍社区康复服务患者的精神状况得到改善</w:t>
      </w:r>
      <w:r>
        <w:rPr>
          <w:rFonts w:hint="eastAsia" w:ascii="微软雅黑" w:hAnsi="微软雅黑" w:cs="微软雅黑"/>
          <w:snapToGrid w:val="0"/>
          <w:color w:val="auto"/>
          <w:kern w:val="0"/>
          <w:sz w:val="21"/>
          <w:szCs w:val="21"/>
          <w:highlight w:val="none"/>
          <w:lang w:eastAsia="zh-CN"/>
        </w:rPr>
        <w:t>；</w:t>
      </w:r>
    </w:p>
    <w:p w14:paraId="5BD3BD64">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spacing w:val="-1"/>
          <w:sz w:val="23"/>
          <w:szCs w:val="23"/>
          <w:highlight w:val="none"/>
        </w:rPr>
        <w:t>2025年度，60%接受精神障碍</w:t>
      </w:r>
      <w:r>
        <w:rPr>
          <w:color w:val="auto"/>
          <w:spacing w:val="-2"/>
          <w:sz w:val="23"/>
          <w:szCs w:val="23"/>
          <w:highlight w:val="none"/>
        </w:rPr>
        <w:t>社区康复</w:t>
      </w:r>
      <w:r>
        <w:rPr>
          <w:color w:val="auto"/>
          <w:spacing w:val="1"/>
          <w:sz w:val="23"/>
          <w:szCs w:val="23"/>
          <w:highlight w:val="none"/>
        </w:rPr>
        <w:t>服务患者的生活能力得到提升</w:t>
      </w:r>
      <w:r>
        <w:rPr>
          <w:rFonts w:hint="eastAsia"/>
          <w:color w:val="auto"/>
          <w:spacing w:val="1"/>
          <w:sz w:val="23"/>
          <w:szCs w:val="23"/>
          <w:highlight w:val="none"/>
          <w:lang w:eastAsia="zh-CN"/>
        </w:rPr>
        <w:t>；</w:t>
      </w:r>
    </w:p>
    <w:p w14:paraId="180D9628">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spacing w:val="-1"/>
          <w:sz w:val="23"/>
          <w:szCs w:val="23"/>
          <w:highlight w:val="none"/>
        </w:rPr>
        <w:t>2025年度，50%接受精神障碍</w:t>
      </w:r>
      <w:r>
        <w:rPr>
          <w:color w:val="auto"/>
          <w:spacing w:val="-2"/>
          <w:sz w:val="23"/>
          <w:szCs w:val="23"/>
          <w:highlight w:val="none"/>
        </w:rPr>
        <w:t>社区康复</w:t>
      </w:r>
      <w:r>
        <w:rPr>
          <w:color w:val="auto"/>
          <w:sz w:val="23"/>
          <w:szCs w:val="23"/>
          <w:highlight w:val="none"/>
        </w:rPr>
        <w:t xml:space="preserve"> </w:t>
      </w:r>
      <w:r>
        <w:rPr>
          <w:color w:val="auto"/>
          <w:spacing w:val="-2"/>
          <w:sz w:val="23"/>
          <w:szCs w:val="23"/>
          <w:highlight w:val="none"/>
        </w:rPr>
        <w:t>服务患者的社会适应能力得到提升</w:t>
      </w:r>
      <w:r>
        <w:rPr>
          <w:rFonts w:hint="eastAsia"/>
          <w:color w:val="auto"/>
          <w:spacing w:val="-2"/>
          <w:sz w:val="23"/>
          <w:szCs w:val="23"/>
          <w:highlight w:val="none"/>
          <w:lang w:eastAsia="zh-CN"/>
        </w:rPr>
        <w:t>；</w:t>
      </w:r>
    </w:p>
    <w:p w14:paraId="5BC788F6">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spacing w:val="-1"/>
          <w:sz w:val="23"/>
          <w:szCs w:val="23"/>
          <w:highlight w:val="none"/>
        </w:rPr>
        <w:t>2025年度，在机构(站点)内接受精</w:t>
      </w:r>
      <w:r>
        <w:rPr>
          <w:color w:val="auto"/>
          <w:sz w:val="23"/>
          <w:szCs w:val="23"/>
          <w:highlight w:val="none"/>
        </w:rPr>
        <w:t>神障碍社区康复服务患者的就业率(含辅</w:t>
      </w:r>
      <w:r>
        <w:rPr>
          <w:color w:val="auto"/>
          <w:spacing w:val="9"/>
          <w:sz w:val="23"/>
          <w:szCs w:val="23"/>
          <w:highlight w:val="none"/>
        </w:rPr>
        <w:t>助性就业)不低</w:t>
      </w:r>
      <w:r>
        <w:rPr>
          <w:rFonts w:hint="eastAsia"/>
          <w:color w:val="auto"/>
          <w:spacing w:val="9"/>
          <w:sz w:val="23"/>
          <w:szCs w:val="23"/>
          <w:highlight w:val="none"/>
          <w:lang w:eastAsia="zh-CN"/>
        </w:rPr>
        <w:t>于</w:t>
      </w:r>
      <w:r>
        <w:rPr>
          <w:color w:val="auto"/>
          <w:spacing w:val="9"/>
          <w:sz w:val="23"/>
          <w:szCs w:val="23"/>
          <w:highlight w:val="none"/>
        </w:rPr>
        <w:t>15</w:t>
      </w:r>
      <w:r>
        <w:rPr>
          <w:rFonts w:hint="eastAsia"/>
          <w:color w:val="auto"/>
          <w:spacing w:val="9"/>
          <w:sz w:val="23"/>
          <w:szCs w:val="23"/>
          <w:highlight w:val="none"/>
          <w:lang w:val="en-US" w:eastAsia="zh-CN"/>
        </w:rPr>
        <w:t>%；</w:t>
      </w:r>
    </w:p>
    <w:p w14:paraId="493BE6AC">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有精神障碍社区康复服务机构(站点)为抑郁症/孤独症患者提供康复服务</w:t>
      </w:r>
      <w:r>
        <w:rPr>
          <w:rFonts w:hint="eastAsia" w:ascii="微软雅黑" w:hAnsi="微软雅黑" w:cs="微软雅黑"/>
          <w:snapToGrid w:val="0"/>
          <w:color w:val="auto"/>
          <w:kern w:val="0"/>
          <w:sz w:val="21"/>
          <w:szCs w:val="21"/>
          <w:highlight w:val="none"/>
          <w:lang w:eastAsia="zh-CN"/>
        </w:rPr>
        <w:t>；</w:t>
      </w:r>
    </w:p>
    <w:p w14:paraId="078C9DED">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color w:val="auto"/>
          <w:sz w:val="23"/>
          <w:szCs w:val="23"/>
          <w:highlight w:val="none"/>
        </w:rPr>
        <w:t>形成农村地区可持续可借鉴的改革举</w:t>
      </w:r>
      <w:r>
        <w:rPr>
          <w:color w:val="auto"/>
          <w:spacing w:val="3"/>
          <w:sz w:val="23"/>
          <w:szCs w:val="23"/>
          <w:highlight w:val="none"/>
        </w:rPr>
        <w:t>措、发展模式</w:t>
      </w:r>
      <w:r>
        <w:rPr>
          <w:rFonts w:hint="eastAsia"/>
          <w:color w:val="auto"/>
          <w:spacing w:val="3"/>
          <w:sz w:val="23"/>
          <w:szCs w:val="23"/>
          <w:highlight w:val="none"/>
          <w:lang w:eastAsia="zh-CN"/>
        </w:rPr>
        <w:t>；</w:t>
      </w:r>
    </w:p>
    <w:p w14:paraId="0E7F3DA3">
      <w:pPr>
        <w:numPr>
          <w:ilvl w:val="0"/>
          <w:numId w:val="6"/>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2025年度，相关改革经验获得中央或省部级部门表彰、领导批示，或者中央或部门新闻媒体正面公开报道</w:t>
      </w:r>
      <w:r>
        <w:rPr>
          <w:rFonts w:hint="eastAsia" w:ascii="微软雅黑" w:hAnsi="微软雅黑" w:cs="微软雅黑"/>
          <w:snapToGrid w:val="0"/>
          <w:color w:val="auto"/>
          <w:kern w:val="0"/>
          <w:sz w:val="21"/>
          <w:szCs w:val="21"/>
          <w:highlight w:val="none"/>
          <w:lang w:eastAsia="zh-CN"/>
        </w:rPr>
        <w:t>。</w:t>
      </w:r>
    </w:p>
    <w:p w14:paraId="4C5AA610">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基线评估</w:t>
      </w:r>
    </w:p>
    <w:p w14:paraId="286F0F6C">
      <w:pPr>
        <w:numPr>
          <w:ilvl w:val="0"/>
          <w:numId w:val="7"/>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通过入户走访、心理评估</w:t>
      </w:r>
      <w:r>
        <w:rPr>
          <w:rFonts w:hint="eastAsia" w:ascii="微软雅黑" w:hAnsi="微软雅黑" w:eastAsia="微软雅黑" w:cs="微软雅黑"/>
          <w:snapToGrid w:val="0"/>
          <w:color w:val="auto"/>
          <w:kern w:val="0"/>
          <w:sz w:val="21"/>
          <w:szCs w:val="21"/>
          <w:highlight w:val="none"/>
          <w:lang w:eastAsia="zh-CN"/>
        </w:rPr>
        <w:t>（</w:t>
      </w:r>
      <w:r>
        <w:rPr>
          <w:rFonts w:hint="eastAsia" w:ascii="微软雅黑" w:hAnsi="微软雅黑" w:eastAsia="微软雅黑" w:cs="微软雅黑"/>
          <w:snapToGrid w:val="0"/>
          <w:color w:val="auto"/>
          <w:kern w:val="0"/>
          <w:sz w:val="21"/>
          <w:szCs w:val="21"/>
          <w:highlight w:val="none"/>
          <w:lang w:val="en-US" w:eastAsia="zh-CN"/>
        </w:rPr>
        <w:t>邀请精防医生进行评估，费用由中标单位承担）</w:t>
      </w:r>
      <w:r>
        <w:rPr>
          <w:rFonts w:hint="eastAsia" w:ascii="微软雅黑" w:hAnsi="微软雅黑" w:eastAsia="微软雅黑" w:cs="微软雅黑"/>
          <w:snapToGrid w:val="0"/>
          <w:color w:val="auto"/>
          <w:kern w:val="0"/>
          <w:sz w:val="21"/>
          <w:szCs w:val="21"/>
          <w:highlight w:val="none"/>
        </w:rPr>
        <w:t>、问卷调查等方式，开展辖区内严重精神障碍患者</w:t>
      </w:r>
      <w:r>
        <w:rPr>
          <w:rFonts w:hint="eastAsia" w:ascii="微软雅黑" w:hAnsi="微软雅黑" w:eastAsia="微软雅黑" w:cs="微软雅黑"/>
          <w:snapToGrid w:val="0"/>
          <w:color w:val="auto"/>
          <w:kern w:val="0"/>
          <w:sz w:val="21"/>
          <w:szCs w:val="21"/>
          <w:highlight w:val="none"/>
          <w:lang w:eastAsia="zh-CN"/>
        </w:rPr>
        <w:t>（</w:t>
      </w:r>
      <w:r>
        <w:rPr>
          <w:rFonts w:hint="eastAsia" w:ascii="微软雅黑" w:hAnsi="微软雅黑" w:eastAsia="微软雅黑" w:cs="微软雅黑"/>
          <w:snapToGrid w:val="0"/>
          <w:color w:val="auto"/>
          <w:kern w:val="0"/>
          <w:sz w:val="21"/>
          <w:szCs w:val="21"/>
          <w:highlight w:val="none"/>
          <w:lang w:val="en-US" w:eastAsia="zh-CN"/>
        </w:rPr>
        <w:t>扩面至自闭症</w:t>
      </w:r>
      <w:r>
        <w:rPr>
          <w:rFonts w:hint="eastAsia" w:ascii="微软雅黑" w:hAnsi="微软雅黑" w:cs="微软雅黑"/>
          <w:snapToGrid w:val="0"/>
          <w:color w:val="auto"/>
          <w:kern w:val="0"/>
          <w:sz w:val="21"/>
          <w:szCs w:val="21"/>
          <w:highlight w:val="none"/>
          <w:lang w:val="en-US" w:eastAsia="zh-CN"/>
        </w:rPr>
        <w:t>儿童</w:t>
      </w:r>
      <w:r>
        <w:rPr>
          <w:rFonts w:hint="eastAsia" w:ascii="微软雅黑" w:hAnsi="微软雅黑" w:eastAsia="微软雅黑" w:cs="微软雅黑"/>
          <w:snapToGrid w:val="0"/>
          <w:color w:val="auto"/>
          <w:kern w:val="0"/>
          <w:sz w:val="21"/>
          <w:szCs w:val="21"/>
          <w:highlight w:val="none"/>
          <w:lang w:val="en-US" w:eastAsia="zh-CN"/>
        </w:rPr>
        <w:t>、抑郁症</w:t>
      </w:r>
      <w:r>
        <w:rPr>
          <w:rFonts w:hint="eastAsia" w:ascii="微软雅黑" w:hAnsi="微软雅黑" w:cs="微软雅黑"/>
          <w:snapToGrid w:val="0"/>
          <w:color w:val="auto"/>
          <w:kern w:val="0"/>
          <w:sz w:val="21"/>
          <w:szCs w:val="21"/>
          <w:highlight w:val="none"/>
          <w:lang w:val="en-US" w:eastAsia="zh-CN"/>
        </w:rPr>
        <w:t>患者</w:t>
      </w:r>
      <w:r>
        <w:rPr>
          <w:rFonts w:hint="eastAsia" w:ascii="微软雅黑" w:hAnsi="微软雅黑" w:eastAsia="微软雅黑" w:cs="微软雅黑"/>
          <w:snapToGrid w:val="0"/>
          <w:color w:val="auto"/>
          <w:kern w:val="0"/>
          <w:sz w:val="21"/>
          <w:szCs w:val="21"/>
          <w:highlight w:val="none"/>
          <w:lang w:val="en-US" w:eastAsia="zh-CN"/>
        </w:rPr>
        <w:t>、老年痴呆症</w:t>
      </w:r>
      <w:r>
        <w:rPr>
          <w:rFonts w:hint="eastAsia" w:ascii="微软雅黑" w:hAnsi="微软雅黑" w:cs="微软雅黑"/>
          <w:snapToGrid w:val="0"/>
          <w:color w:val="auto"/>
          <w:kern w:val="0"/>
          <w:sz w:val="21"/>
          <w:szCs w:val="21"/>
          <w:highlight w:val="none"/>
          <w:lang w:val="en-US" w:eastAsia="zh-CN"/>
        </w:rPr>
        <w:t>患者</w:t>
      </w:r>
      <w:r>
        <w:rPr>
          <w:rFonts w:hint="eastAsia" w:ascii="微软雅黑" w:hAnsi="微软雅黑" w:eastAsia="微软雅黑" w:cs="微软雅黑"/>
          <w:snapToGrid w:val="0"/>
          <w:color w:val="auto"/>
          <w:kern w:val="0"/>
          <w:sz w:val="21"/>
          <w:szCs w:val="21"/>
          <w:highlight w:val="none"/>
          <w:lang w:val="en-US" w:eastAsia="zh-CN"/>
        </w:rPr>
        <w:t>）</w:t>
      </w:r>
      <w:r>
        <w:rPr>
          <w:rFonts w:hint="eastAsia" w:ascii="微软雅黑" w:hAnsi="微软雅黑" w:eastAsia="微软雅黑" w:cs="微软雅黑"/>
          <w:snapToGrid w:val="0"/>
          <w:color w:val="auto"/>
          <w:kern w:val="0"/>
          <w:sz w:val="21"/>
          <w:szCs w:val="21"/>
          <w:highlight w:val="none"/>
        </w:rPr>
        <w:t>基本情况的排摸，适宜性评估筛选1000名适合开展社区康复服务的服务对象，并建立“一人一档”管理台账。</w:t>
      </w:r>
    </w:p>
    <w:p w14:paraId="3E9529E6">
      <w:pPr>
        <w:numPr>
          <w:ilvl w:val="0"/>
          <w:numId w:val="7"/>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以季度为单位，对服务对象开展周期评估，更新康复计划，匹配动态需求。</w:t>
      </w:r>
    </w:p>
    <w:p w14:paraId="0ADD2DDB">
      <w:pPr>
        <w:numPr>
          <w:ilvl w:val="0"/>
          <w:numId w:val="7"/>
        </w:numPr>
        <w:snapToGrid w:val="0"/>
        <w:spacing w:line="360" w:lineRule="auto"/>
        <w:ind w:left="0" w:leftChars="0" w:firstLine="420" w:firstLineChars="0"/>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eastAsia="微软雅黑" w:cs="微软雅黑"/>
          <w:color w:val="auto"/>
          <w:kern w:val="2"/>
          <w:sz w:val="21"/>
          <w:szCs w:val="21"/>
          <w:highlight w:val="none"/>
          <w:lang w:val="en-US" w:eastAsia="zh-CN" w:bidi="ar-SA"/>
        </w:rPr>
        <w:t>基线评估要求</w:t>
      </w:r>
    </w:p>
    <w:p w14:paraId="1DACC496">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eastAsia="微软雅黑" w:cs="微软雅黑"/>
          <w:color w:val="auto"/>
          <w:sz w:val="21"/>
          <w:szCs w:val="21"/>
          <w:highlight w:val="none"/>
        </w:rPr>
      </w:pPr>
      <w:r>
        <w:rPr>
          <w:rFonts w:hint="eastAsia" w:ascii="微软雅黑" w:hAnsi="微软雅黑" w:cs="微软雅黑"/>
          <w:color w:val="auto"/>
          <w:sz w:val="21"/>
          <w:szCs w:val="21"/>
          <w:highlight w:val="none"/>
          <w:lang w:val="en-US" w:eastAsia="zh-CN"/>
        </w:rPr>
        <w:t>根据精神障碍社区康复服务工作规范要求，</w:t>
      </w:r>
      <w:r>
        <w:rPr>
          <w:rFonts w:hint="eastAsia" w:ascii="微软雅黑" w:hAnsi="微软雅黑" w:eastAsia="微软雅黑" w:cs="微软雅黑"/>
          <w:color w:val="auto"/>
          <w:sz w:val="21"/>
          <w:szCs w:val="21"/>
          <w:highlight w:val="none"/>
        </w:rPr>
        <w:t>对刚进入康复机构参加活动的患者，服务团队与其及监护人进行面谈，详细了解患者当前的精神和身体健康状况、家庭结构、居住环境、成长过程、兴趣爱好等情况，收集资料并填写</w:t>
      </w:r>
      <w:r>
        <w:rPr>
          <w:rFonts w:hint="eastAsia" w:ascii="微软雅黑" w:hAnsi="微软雅黑" w:eastAsia="微软雅黑" w:cs="微软雅黑"/>
          <w:b/>
          <w:bCs/>
          <w:color w:val="auto"/>
          <w:sz w:val="21"/>
          <w:szCs w:val="21"/>
          <w:highlight w:val="none"/>
        </w:rPr>
        <w:t>心理社交功能评估表（附</w:t>
      </w:r>
      <w:r>
        <w:rPr>
          <w:rFonts w:hint="eastAsia" w:ascii="微软雅黑" w:hAnsi="微软雅黑" w:eastAsia="微软雅黑" w:cs="微软雅黑"/>
          <w:b/>
          <w:bCs/>
          <w:color w:val="auto"/>
          <w:sz w:val="21"/>
          <w:szCs w:val="21"/>
          <w:highlight w:val="none"/>
          <w:lang w:val="en-US" w:eastAsia="zh-CN"/>
        </w:rPr>
        <w:t>件</w:t>
      </w:r>
      <w:r>
        <w:rPr>
          <w:rFonts w:hint="eastAsia" w:ascii="微软雅黑" w:hAnsi="微软雅黑" w:cs="微软雅黑"/>
          <w:b/>
          <w:bCs/>
          <w:color w:val="auto"/>
          <w:sz w:val="21"/>
          <w:szCs w:val="21"/>
          <w:highlight w:val="none"/>
          <w:lang w:val="en-US" w:eastAsia="zh-CN"/>
        </w:rPr>
        <w:t>一</w:t>
      </w:r>
      <w:r>
        <w:rPr>
          <w:rFonts w:hint="eastAsia" w:ascii="微软雅黑" w:hAnsi="微软雅黑" w:eastAsia="微软雅黑" w:cs="微软雅黑"/>
          <w:b/>
          <w:bCs/>
          <w:color w:val="auto"/>
          <w:sz w:val="21"/>
          <w:szCs w:val="21"/>
          <w:highlight w:val="none"/>
        </w:rPr>
        <w:t>）</w:t>
      </w:r>
      <w:r>
        <w:rPr>
          <w:rFonts w:hint="eastAsia" w:ascii="微软雅黑" w:hAnsi="微软雅黑" w:eastAsia="微软雅黑" w:cs="微软雅黑"/>
          <w:color w:val="auto"/>
          <w:sz w:val="21"/>
          <w:szCs w:val="21"/>
          <w:highlight w:val="none"/>
        </w:rPr>
        <w:t>、</w:t>
      </w:r>
      <w:r>
        <w:rPr>
          <w:rFonts w:hint="eastAsia" w:ascii="微软雅黑" w:hAnsi="微软雅黑" w:eastAsia="微软雅黑" w:cs="微软雅黑"/>
          <w:b/>
          <w:bCs/>
          <w:color w:val="auto"/>
          <w:sz w:val="21"/>
          <w:szCs w:val="21"/>
          <w:highlight w:val="none"/>
        </w:rPr>
        <w:t>精神状况综合评估表（附</w:t>
      </w:r>
      <w:r>
        <w:rPr>
          <w:rFonts w:hint="eastAsia" w:ascii="微软雅黑" w:hAnsi="微软雅黑" w:eastAsia="微软雅黑" w:cs="微软雅黑"/>
          <w:b/>
          <w:bCs/>
          <w:color w:val="auto"/>
          <w:sz w:val="21"/>
          <w:szCs w:val="21"/>
          <w:highlight w:val="none"/>
          <w:lang w:val="en-US" w:eastAsia="zh-CN"/>
        </w:rPr>
        <w:t>件</w:t>
      </w:r>
      <w:r>
        <w:rPr>
          <w:rFonts w:hint="eastAsia" w:ascii="微软雅黑" w:hAnsi="微软雅黑" w:cs="微软雅黑"/>
          <w:b/>
          <w:bCs/>
          <w:color w:val="auto"/>
          <w:sz w:val="21"/>
          <w:szCs w:val="21"/>
          <w:highlight w:val="none"/>
          <w:lang w:val="en-US" w:eastAsia="zh-CN"/>
        </w:rPr>
        <w:t>二</w:t>
      </w:r>
      <w:r>
        <w:rPr>
          <w:rFonts w:hint="eastAsia" w:ascii="微软雅黑" w:hAnsi="微软雅黑" w:eastAsia="微软雅黑" w:cs="微软雅黑"/>
          <w:b/>
          <w:bCs/>
          <w:color w:val="auto"/>
          <w:sz w:val="21"/>
          <w:szCs w:val="21"/>
          <w:highlight w:val="none"/>
        </w:rPr>
        <w:t>）</w:t>
      </w:r>
      <w:r>
        <w:rPr>
          <w:rFonts w:hint="eastAsia" w:ascii="微软雅黑" w:hAnsi="微软雅黑" w:eastAsia="微软雅黑" w:cs="微软雅黑"/>
          <w:color w:val="auto"/>
          <w:sz w:val="21"/>
          <w:szCs w:val="21"/>
          <w:highlight w:val="none"/>
        </w:rPr>
        <w:t>。</w:t>
      </w:r>
    </w:p>
    <w:p w14:paraId="306650B4">
      <w:pPr>
        <w:numPr>
          <w:ilvl w:val="0"/>
          <w:numId w:val="0"/>
        </w:numPr>
        <w:snapToGrid w:val="0"/>
        <w:spacing w:line="360" w:lineRule="auto"/>
        <w:ind w:left="420" w:leftChars="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color w:val="auto"/>
          <w:sz w:val="21"/>
          <w:szCs w:val="21"/>
          <w:highlight w:val="none"/>
        </w:rPr>
        <w:t>根据评估结果制订个性化康复计划，并开始提供针对性康复服务。</w:t>
      </w:r>
    </w:p>
    <w:p w14:paraId="6EB6A34D">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康复干预</w:t>
      </w:r>
    </w:p>
    <w:p w14:paraId="11CFF734">
      <w:pPr>
        <w:numPr>
          <w:ilvl w:val="0"/>
          <w:numId w:val="8"/>
        </w:numPr>
        <w:snapToGrid w:val="0"/>
        <w:spacing w:line="360" w:lineRule="auto"/>
        <w:ind w:left="0" w:leftChars="0" w:firstLine="420" w:firstLineChars="0"/>
        <w:outlineLvl w:val="3"/>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为不少于</w:t>
      </w:r>
      <w:r>
        <w:rPr>
          <w:rFonts w:hint="eastAsia" w:ascii="微软雅黑" w:hAnsi="微软雅黑" w:cs="微软雅黑"/>
          <w:snapToGrid w:val="0"/>
          <w:color w:val="auto"/>
          <w:kern w:val="0"/>
          <w:sz w:val="21"/>
          <w:szCs w:val="21"/>
          <w:highlight w:val="none"/>
          <w:lang w:val="en-US" w:eastAsia="zh-CN"/>
        </w:rPr>
        <w:t>1</w:t>
      </w:r>
      <w:r>
        <w:rPr>
          <w:rFonts w:hint="eastAsia" w:ascii="微软雅黑" w:hAnsi="微软雅黑" w:eastAsia="微软雅黑" w:cs="微软雅黑"/>
          <w:snapToGrid w:val="0"/>
          <w:color w:val="auto"/>
          <w:kern w:val="0"/>
          <w:sz w:val="21"/>
          <w:szCs w:val="21"/>
          <w:highlight w:val="none"/>
        </w:rPr>
        <w:t>000名服务对象</w:t>
      </w:r>
      <w:r>
        <w:rPr>
          <w:rFonts w:hint="eastAsia" w:ascii="微软雅黑" w:hAnsi="微软雅黑" w:cs="微软雅黑"/>
          <w:snapToGrid w:val="0"/>
          <w:color w:val="auto"/>
          <w:kern w:val="0"/>
          <w:sz w:val="21"/>
          <w:szCs w:val="21"/>
          <w:highlight w:val="none"/>
          <w:lang w:eastAsia="zh-CN"/>
        </w:rPr>
        <w:t>（服务对象覆盖严重精神障碍患者、抑郁症患者及自闭症儿童、老年认知障碍患者群体）</w:t>
      </w:r>
      <w:r>
        <w:rPr>
          <w:rFonts w:hint="eastAsia" w:ascii="微软雅黑" w:hAnsi="微软雅黑" w:eastAsia="微软雅黑" w:cs="微软雅黑"/>
          <w:snapToGrid w:val="0"/>
          <w:color w:val="auto"/>
          <w:kern w:val="0"/>
          <w:sz w:val="21"/>
          <w:szCs w:val="21"/>
          <w:highlight w:val="none"/>
        </w:rPr>
        <w:t>提供社区精神康复服务</w:t>
      </w:r>
      <w:r>
        <w:rPr>
          <w:rFonts w:hint="eastAsia" w:ascii="微软雅黑" w:hAnsi="微软雅黑" w:cs="微软雅黑"/>
          <w:snapToGrid w:val="0"/>
          <w:color w:val="auto"/>
          <w:kern w:val="0"/>
          <w:sz w:val="21"/>
          <w:szCs w:val="21"/>
          <w:highlight w:val="none"/>
          <w:lang w:eastAsia="zh-CN"/>
        </w:rPr>
        <w:t>，</w:t>
      </w:r>
      <w:r>
        <w:rPr>
          <w:rFonts w:hint="eastAsia" w:ascii="微软雅黑" w:hAnsi="微软雅黑" w:cs="微软雅黑"/>
          <w:snapToGrid w:val="0"/>
          <w:color w:val="auto"/>
          <w:kern w:val="0"/>
          <w:sz w:val="21"/>
          <w:szCs w:val="21"/>
          <w:highlight w:val="none"/>
          <w:lang w:val="en-US" w:eastAsia="zh-CN"/>
        </w:rPr>
        <w:t>1年周期接受综合性康复服务10000以上人次</w:t>
      </w:r>
      <w:r>
        <w:rPr>
          <w:rFonts w:hint="eastAsia" w:ascii="微软雅黑" w:hAnsi="微软雅黑" w:cs="微软雅黑"/>
          <w:snapToGrid w:val="0"/>
          <w:color w:val="auto"/>
          <w:kern w:val="0"/>
          <w:sz w:val="21"/>
          <w:szCs w:val="21"/>
          <w:highlight w:val="none"/>
          <w:lang w:val="en-US" w:eastAsia="zh-CN"/>
        </w:rPr>
        <w:t>，</w:t>
      </w:r>
      <w:r>
        <w:rPr>
          <w:rFonts w:hint="eastAsia" w:ascii="微软雅黑" w:hAnsi="微软雅黑" w:eastAsia="微软雅黑" w:cs="微软雅黑"/>
          <w:snapToGrid w:val="0"/>
          <w:color w:val="auto"/>
          <w:kern w:val="0"/>
          <w:sz w:val="21"/>
          <w:szCs w:val="21"/>
          <w:highlight w:val="none"/>
        </w:rPr>
        <w:t>如服药训练、预防复发训练、躯体管理训练、生活技能训练、社交能力训练、职业康复训练、心理</w:t>
      </w:r>
      <w:r>
        <w:rPr>
          <w:rFonts w:hint="eastAsia" w:ascii="微软雅黑" w:hAnsi="微软雅黑" w:eastAsia="微软雅黑" w:cs="微软雅黑"/>
          <w:color w:val="auto"/>
          <w:kern w:val="2"/>
          <w:sz w:val="21"/>
          <w:szCs w:val="21"/>
          <w:highlight w:val="none"/>
          <w:lang w:val="en-US" w:eastAsia="zh-CN" w:bidi="ar-SA"/>
        </w:rPr>
        <w:t>治疗和</w:t>
      </w:r>
      <w:r>
        <w:rPr>
          <w:rFonts w:hint="eastAsia" w:ascii="微软雅黑" w:hAnsi="微软雅黑" w:eastAsia="微软雅黑" w:cs="微软雅黑"/>
          <w:snapToGrid w:val="0"/>
          <w:color w:val="auto"/>
          <w:kern w:val="0"/>
          <w:sz w:val="21"/>
          <w:szCs w:val="21"/>
          <w:highlight w:val="none"/>
        </w:rPr>
        <w:t>康复、同伴支持</w:t>
      </w:r>
      <w:r>
        <w:rPr>
          <w:rFonts w:hint="eastAsia" w:ascii="微软雅黑" w:hAnsi="微软雅黑" w:eastAsia="微软雅黑" w:cs="微软雅黑"/>
          <w:snapToGrid w:val="0"/>
          <w:color w:val="auto"/>
          <w:kern w:val="0"/>
          <w:sz w:val="21"/>
          <w:szCs w:val="21"/>
          <w:highlight w:val="none"/>
        </w:rPr>
        <w:t>等服务，不少于1</w:t>
      </w:r>
      <w:r>
        <w:rPr>
          <w:rFonts w:hint="eastAsia" w:ascii="微软雅黑" w:hAnsi="微软雅黑" w:cs="微软雅黑"/>
          <w:snapToGrid w:val="0"/>
          <w:color w:val="auto"/>
          <w:kern w:val="0"/>
          <w:sz w:val="21"/>
          <w:szCs w:val="21"/>
          <w:highlight w:val="none"/>
          <w:lang w:val="en-US" w:eastAsia="zh-CN"/>
        </w:rPr>
        <w:t>2</w:t>
      </w:r>
      <w:r>
        <w:rPr>
          <w:rFonts w:hint="eastAsia" w:ascii="微软雅黑" w:hAnsi="微软雅黑" w:eastAsia="微软雅黑" w:cs="微软雅黑"/>
          <w:snapToGrid w:val="0"/>
          <w:color w:val="auto"/>
          <w:kern w:val="0"/>
          <w:sz w:val="21"/>
          <w:szCs w:val="21"/>
          <w:highlight w:val="none"/>
        </w:rPr>
        <w:t>次。其中常态化在站服务对象不少于</w:t>
      </w:r>
      <w:r>
        <w:rPr>
          <w:rFonts w:hint="eastAsia" w:ascii="微软雅黑" w:hAnsi="微软雅黑" w:cs="微软雅黑"/>
          <w:snapToGrid w:val="0"/>
          <w:color w:val="auto"/>
          <w:kern w:val="0"/>
          <w:sz w:val="21"/>
          <w:szCs w:val="21"/>
          <w:highlight w:val="none"/>
          <w:lang w:val="en-US" w:eastAsia="zh-CN"/>
        </w:rPr>
        <w:t>200</w:t>
      </w:r>
      <w:r>
        <w:rPr>
          <w:rFonts w:hint="eastAsia" w:ascii="微软雅黑" w:hAnsi="微软雅黑" w:eastAsia="微软雅黑" w:cs="微软雅黑"/>
          <w:snapToGrid w:val="0"/>
          <w:color w:val="auto"/>
          <w:kern w:val="0"/>
          <w:sz w:val="21"/>
          <w:szCs w:val="21"/>
          <w:highlight w:val="none"/>
        </w:rPr>
        <w:t>名</w:t>
      </w:r>
      <w:r>
        <w:rPr>
          <w:rFonts w:hint="eastAsia" w:ascii="微软雅黑" w:hAnsi="微软雅黑" w:eastAsia="微软雅黑" w:cs="微软雅黑"/>
          <w:snapToGrid w:val="0"/>
          <w:color w:val="auto"/>
          <w:kern w:val="0"/>
          <w:sz w:val="21"/>
          <w:szCs w:val="21"/>
          <w:highlight w:val="none"/>
        </w:rPr>
        <w:t>（按照康复计划定期在机构开展训练的对象），</w:t>
      </w:r>
      <w:r>
        <w:rPr>
          <w:rFonts w:hint="eastAsia" w:ascii="微软雅黑" w:hAnsi="微软雅黑" w:cs="微软雅黑"/>
          <w:snapToGrid w:val="0"/>
          <w:color w:val="auto"/>
          <w:kern w:val="0"/>
          <w:sz w:val="21"/>
          <w:szCs w:val="21"/>
          <w:highlight w:val="none"/>
          <w:lang w:eastAsia="zh-CN"/>
        </w:rPr>
        <w:t>服</w:t>
      </w:r>
      <w:r>
        <w:rPr>
          <w:rFonts w:hint="eastAsia" w:ascii="微软雅黑" w:hAnsi="微软雅黑" w:eastAsia="微软雅黑" w:cs="微软雅黑"/>
          <w:snapToGrid w:val="0"/>
          <w:color w:val="auto"/>
          <w:kern w:val="0"/>
          <w:sz w:val="21"/>
          <w:szCs w:val="21"/>
          <w:highlight w:val="none"/>
        </w:rPr>
        <w:t>务不少于</w:t>
      </w:r>
      <w:r>
        <w:rPr>
          <w:rFonts w:hint="eastAsia" w:ascii="微软雅黑" w:hAnsi="微软雅黑" w:cs="微软雅黑"/>
          <w:snapToGrid w:val="0"/>
          <w:color w:val="auto"/>
          <w:kern w:val="0"/>
          <w:sz w:val="21"/>
          <w:szCs w:val="21"/>
          <w:highlight w:val="none"/>
          <w:lang w:val="en-US" w:eastAsia="zh-CN"/>
        </w:rPr>
        <w:t>9</w:t>
      </w:r>
      <w:r>
        <w:rPr>
          <w:rFonts w:hint="eastAsia" w:ascii="微软雅黑" w:hAnsi="微软雅黑" w:eastAsia="微软雅黑" w:cs="微软雅黑"/>
          <w:snapToGrid w:val="0"/>
          <w:color w:val="auto"/>
          <w:kern w:val="0"/>
          <w:sz w:val="21"/>
          <w:szCs w:val="21"/>
          <w:highlight w:val="none"/>
        </w:rPr>
        <w:t>000人次（1次康复训练计1人次）。</w:t>
      </w:r>
    </w:p>
    <w:p w14:paraId="0BF3231B">
      <w:pPr>
        <w:numPr>
          <w:ilvl w:val="0"/>
          <w:numId w:val="8"/>
        </w:numPr>
        <w:snapToGrid w:val="0"/>
        <w:spacing w:line="360" w:lineRule="auto"/>
        <w:ind w:left="0" w:leftChars="0" w:firstLine="420" w:firstLineChars="0"/>
        <w:outlineLvl w:val="3"/>
        <w:rPr>
          <w:rFonts w:hint="eastAsia" w:ascii="微软雅黑" w:hAnsi="微软雅黑" w:eastAsia="微软雅黑" w:cs="微软雅黑"/>
          <w:snapToGrid w:val="0"/>
          <w:color w:val="auto"/>
          <w:kern w:val="0"/>
          <w:sz w:val="21"/>
          <w:szCs w:val="21"/>
          <w:highlight w:val="none"/>
          <w:lang w:val="en-US" w:eastAsia="zh-CN"/>
        </w:rPr>
      </w:pPr>
      <w:r>
        <w:rPr>
          <w:rFonts w:hint="eastAsia" w:ascii="微软雅黑" w:hAnsi="微软雅黑" w:cs="微软雅黑"/>
          <w:snapToGrid w:val="0"/>
          <w:color w:val="auto"/>
          <w:kern w:val="0"/>
          <w:sz w:val="21"/>
          <w:szCs w:val="21"/>
          <w:highlight w:val="none"/>
          <w:lang w:val="en-US" w:eastAsia="zh-CN"/>
        </w:rPr>
        <w:t>康复服务</w:t>
      </w:r>
      <w:r>
        <w:rPr>
          <w:rFonts w:hint="eastAsia" w:ascii="微软雅黑" w:hAnsi="微软雅黑" w:eastAsia="微软雅黑" w:cs="微软雅黑"/>
          <w:snapToGrid w:val="0"/>
          <w:color w:val="auto"/>
          <w:kern w:val="0"/>
          <w:sz w:val="21"/>
          <w:szCs w:val="21"/>
          <w:highlight w:val="none"/>
          <w:lang w:val="en-US" w:eastAsia="zh-CN"/>
        </w:rPr>
        <w:t>要求：</w:t>
      </w:r>
    </w:p>
    <w:p w14:paraId="3A6D4B13">
      <w:pPr>
        <w:numPr>
          <w:ilvl w:val="0"/>
          <w:numId w:val="0"/>
        </w:numPr>
        <w:snapToGrid w:val="0"/>
        <w:spacing w:line="360" w:lineRule="auto"/>
        <w:ind w:left="0" w:leftChars="0" w:firstLine="420" w:firstLineChars="0"/>
        <w:rPr>
          <w:rFonts w:hint="eastAsia" w:ascii="微软雅黑" w:hAnsi="微软雅黑" w:eastAsia="微软雅黑" w:cs="微软雅黑"/>
          <w:snapToGrid w:val="0"/>
          <w:color w:val="auto"/>
          <w:kern w:val="0"/>
          <w:sz w:val="21"/>
          <w:szCs w:val="21"/>
          <w:highlight w:val="none"/>
        </w:rPr>
      </w:pPr>
      <w:r>
        <w:rPr>
          <w:rFonts w:hint="eastAsia" w:ascii="微软雅黑" w:hAnsi="微软雅黑" w:cs="微软雅黑"/>
          <w:color w:val="auto"/>
          <w:sz w:val="21"/>
          <w:szCs w:val="21"/>
          <w:highlight w:val="none"/>
          <w:lang w:val="en-US" w:eastAsia="zh-CN"/>
        </w:rPr>
        <w:t>根据精神障碍社区康复服务工作规范要求开展活动：</w:t>
      </w:r>
      <w:r>
        <w:rPr>
          <w:rFonts w:hint="eastAsia" w:ascii="微软雅黑" w:hAnsi="微软雅黑" w:eastAsia="微软雅黑" w:cs="微软雅黑"/>
          <w:snapToGrid w:val="0"/>
          <w:color w:val="auto"/>
          <w:kern w:val="0"/>
          <w:sz w:val="21"/>
          <w:szCs w:val="21"/>
          <w:highlight w:val="none"/>
        </w:rPr>
        <w:t>服药训练、预防复发训练、躯体管理训练、生活技能训练、社交能力训练、职业康复训练、心理</w:t>
      </w:r>
      <w:r>
        <w:rPr>
          <w:rFonts w:hint="eastAsia" w:ascii="微软雅黑" w:hAnsi="微软雅黑" w:eastAsia="微软雅黑" w:cs="微软雅黑"/>
          <w:color w:val="auto"/>
          <w:kern w:val="2"/>
          <w:sz w:val="21"/>
          <w:szCs w:val="21"/>
          <w:highlight w:val="none"/>
          <w:lang w:val="en-US" w:eastAsia="zh-CN" w:bidi="ar-SA"/>
        </w:rPr>
        <w:t>治疗和</w:t>
      </w:r>
      <w:r>
        <w:rPr>
          <w:rFonts w:hint="eastAsia" w:ascii="微软雅黑" w:hAnsi="微软雅黑" w:eastAsia="微软雅黑" w:cs="微软雅黑"/>
          <w:snapToGrid w:val="0"/>
          <w:color w:val="auto"/>
          <w:kern w:val="0"/>
          <w:sz w:val="21"/>
          <w:szCs w:val="21"/>
          <w:highlight w:val="none"/>
        </w:rPr>
        <w:t>康复、同伴支持、日间照料。</w:t>
      </w:r>
    </w:p>
    <w:p w14:paraId="2E53A777">
      <w:pPr>
        <w:numPr>
          <w:ilvl w:val="1"/>
          <w:numId w:val="8"/>
        </w:numPr>
        <w:snapToGrid w:val="0"/>
        <w:spacing w:line="360" w:lineRule="auto"/>
        <w:ind w:left="0" w:leftChars="0" w:firstLine="420" w:firstLineChars="0"/>
        <w:outlineLvl w:val="4"/>
        <w:rPr>
          <w:rFonts w:hint="eastAsia" w:ascii="微软雅黑" w:hAnsi="微软雅黑" w:cs="微软雅黑"/>
          <w:b/>
          <w:bCs/>
          <w:snapToGrid w:val="0"/>
          <w:color w:val="auto"/>
          <w:kern w:val="0"/>
          <w:sz w:val="21"/>
          <w:szCs w:val="21"/>
          <w:highlight w:val="none"/>
          <w:lang w:val="en-US" w:eastAsia="zh-CN"/>
        </w:rPr>
      </w:pPr>
      <w:bookmarkStart w:id="27" w:name="_Toc12613130"/>
      <w:bookmarkStart w:id="28" w:name="_Toc15380"/>
      <w:bookmarkStart w:id="29" w:name="_Toc41642829"/>
      <w:r>
        <w:rPr>
          <w:rFonts w:hint="eastAsia" w:ascii="微软雅黑" w:hAnsi="微软雅黑" w:cs="微软雅黑"/>
          <w:b/>
          <w:bCs/>
          <w:snapToGrid w:val="0"/>
          <w:color w:val="auto"/>
          <w:kern w:val="0"/>
          <w:sz w:val="21"/>
          <w:szCs w:val="21"/>
          <w:highlight w:val="none"/>
          <w:lang w:val="en-US" w:eastAsia="zh-CN"/>
        </w:rPr>
        <w:t>服药训练</w:t>
      </w:r>
      <w:bookmarkEnd w:id="27"/>
      <w:bookmarkEnd w:id="28"/>
      <w:bookmarkEnd w:id="29"/>
    </w:p>
    <w:p w14:paraId="13D4618D">
      <w:pPr>
        <w:numPr>
          <w:ilvl w:val="2"/>
          <w:numId w:val="8"/>
        </w:numPr>
        <w:snapToGrid w:val="0"/>
        <w:spacing w:line="360" w:lineRule="auto"/>
        <w:ind w:left="0" w:leftChars="0" w:firstLine="420" w:firstLineChars="0"/>
        <w:rPr>
          <w:rFonts w:hint="eastAsia" w:ascii="微软雅黑" w:hAnsi="微软雅黑" w:cs="微软雅黑"/>
          <w:snapToGrid w:val="0"/>
          <w:color w:val="auto"/>
          <w:kern w:val="0"/>
          <w:sz w:val="21"/>
          <w:szCs w:val="21"/>
          <w:highlight w:val="none"/>
          <w:lang w:val="en-US" w:eastAsia="zh-CN"/>
        </w:rPr>
      </w:pPr>
      <w:bookmarkStart w:id="30" w:name="_Toc12613131"/>
      <w:bookmarkStart w:id="31" w:name="_Toc10028"/>
      <w:bookmarkStart w:id="32" w:name="_Toc41642830"/>
      <w:r>
        <w:rPr>
          <w:rFonts w:hint="eastAsia" w:ascii="微软雅黑" w:hAnsi="微软雅黑" w:cs="微软雅黑"/>
          <w:snapToGrid w:val="0"/>
          <w:color w:val="auto"/>
          <w:kern w:val="0"/>
          <w:sz w:val="21"/>
          <w:szCs w:val="21"/>
          <w:highlight w:val="none"/>
          <w:lang w:val="en-US" w:eastAsia="zh-CN"/>
        </w:rPr>
        <w:t>目的</w:t>
      </w:r>
      <w:bookmarkEnd w:id="30"/>
      <w:bookmarkEnd w:id="31"/>
      <w:bookmarkEnd w:id="32"/>
    </w:p>
    <w:p w14:paraId="46D2B30B">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教育患者正确认识疾病，帮助患者了解药物治疗相关知识，学会药物自我管理，养成遵医嘱独立服药习惯。</w:t>
      </w:r>
    </w:p>
    <w:p w14:paraId="35522684">
      <w:pPr>
        <w:numPr>
          <w:ilvl w:val="2"/>
          <w:numId w:val="8"/>
        </w:numPr>
        <w:snapToGrid w:val="0"/>
        <w:spacing w:line="360" w:lineRule="auto"/>
        <w:ind w:left="0" w:leftChars="0" w:firstLine="420" w:firstLineChars="0"/>
        <w:rPr>
          <w:rFonts w:hint="eastAsia" w:ascii="微软雅黑" w:hAnsi="微软雅黑" w:cs="微软雅黑"/>
          <w:color w:val="auto"/>
          <w:sz w:val="21"/>
          <w:szCs w:val="21"/>
          <w:highlight w:val="none"/>
          <w:lang w:val="en-US" w:eastAsia="zh-CN"/>
        </w:rPr>
      </w:pPr>
      <w:bookmarkStart w:id="33" w:name="_Toc12613132"/>
      <w:bookmarkStart w:id="34" w:name="_Toc21404"/>
      <w:bookmarkStart w:id="35" w:name="_Toc41642831"/>
      <w:r>
        <w:rPr>
          <w:rFonts w:hint="eastAsia" w:ascii="微软雅黑" w:hAnsi="微软雅黑" w:cs="微软雅黑"/>
          <w:color w:val="auto"/>
          <w:sz w:val="21"/>
          <w:szCs w:val="21"/>
          <w:highlight w:val="none"/>
          <w:lang w:val="en-US" w:eastAsia="zh-CN"/>
        </w:rPr>
        <w:t>训练内容</w:t>
      </w:r>
      <w:bookmarkEnd w:id="33"/>
      <w:bookmarkEnd w:id="34"/>
      <w:bookmarkEnd w:id="35"/>
    </w:p>
    <w:p w14:paraId="1C17ABFB">
      <w:pPr>
        <w:pStyle w:val="310"/>
        <w:pageBreakBefore w:val="0"/>
        <w:widowControl w:val="0"/>
        <w:numPr>
          <w:ilvl w:val="0"/>
          <w:numId w:val="9"/>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理论学习</w:t>
      </w:r>
    </w:p>
    <w:p w14:paraId="7AFD8269">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以小组或个别辅导的方式进行，通过授课、情景模拟、角色扮演等多种形式使患者了解药物治疗的重要性、全病程治疗的理念、常见药物不良反应及其应对、预防复发的技巧和向医师求助的方法。</w:t>
      </w:r>
    </w:p>
    <w:p w14:paraId="74A5234C">
      <w:pPr>
        <w:pStyle w:val="310"/>
        <w:pageBreakBefore w:val="0"/>
        <w:widowControl w:val="0"/>
        <w:numPr>
          <w:ilvl w:val="0"/>
          <w:numId w:val="9"/>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行为训练</w:t>
      </w:r>
    </w:p>
    <w:p w14:paraId="24840E10">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按照患者自主服药程度的不同，将训练分为五级：</w:t>
      </w:r>
    </w:p>
    <w:p w14:paraId="39B344E8">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第一级：药物由工作人员管理，工作人员摆好药物后让患者服药。每次服药时教授患者药物的名称、剂量、形状，使患者认识药物，知道每次服药剂量。</w:t>
      </w:r>
    </w:p>
    <w:p w14:paraId="72599B19">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第二级：药物由工作人员管理，工作人员摆好药物后，患者按指定的时间在工作人员面前服药，使患者养成按时服药的习惯。</w:t>
      </w:r>
    </w:p>
    <w:p w14:paraId="0E4EE083">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第三级：药物由工作人员管理，患者在工作人员帮助下自己摆药，并按指定的时间在工作人员面前服药，使患者学会药物的自我管理。</w:t>
      </w:r>
    </w:p>
    <w:p w14:paraId="6FF9C845">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第四级：药物存放在工作人员指定的个人药柜内，患者定时取药，无需在工作人员面前服药，使患者学会自主服药。</w:t>
      </w:r>
    </w:p>
    <w:p w14:paraId="5C1994B2">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第五级：药物由患者自行保管在所属储物柜内，自行定时服药，无需工作人员督促，使患者养成药物自我管理的习惯。</w:t>
      </w:r>
    </w:p>
    <w:p w14:paraId="0B0CACE6">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每级训练时间约为2周，达到目的后可进行下一级训练，如服药过程或精神状态出现问题，降回上一级重新训练。</w:t>
      </w:r>
    </w:p>
    <w:p w14:paraId="2AC37F94">
      <w:pPr>
        <w:numPr>
          <w:ilvl w:val="1"/>
          <w:numId w:val="8"/>
        </w:numPr>
        <w:snapToGrid w:val="0"/>
        <w:spacing w:line="360" w:lineRule="auto"/>
        <w:ind w:left="0" w:leftChars="0" w:firstLine="420" w:firstLineChars="0"/>
        <w:outlineLvl w:val="4"/>
        <w:rPr>
          <w:rFonts w:hint="eastAsia" w:ascii="微软雅黑" w:hAnsi="微软雅黑" w:cs="微软雅黑"/>
          <w:color w:val="auto"/>
          <w:sz w:val="21"/>
          <w:szCs w:val="21"/>
          <w:highlight w:val="none"/>
          <w:lang w:val="en-US" w:eastAsia="zh-CN"/>
        </w:rPr>
      </w:pPr>
      <w:bookmarkStart w:id="36" w:name="_Toc12613133"/>
      <w:bookmarkStart w:id="37" w:name="_Toc41642832"/>
      <w:bookmarkStart w:id="38" w:name="_Toc15890"/>
      <w:r>
        <w:rPr>
          <w:rFonts w:hint="eastAsia" w:ascii="微软雅黑" w:hAnsi="微软雅黑" w:cs="微软雅黑"/>
          <w:b/>
          <w:bCs/>
          <w:snapToGrid w:val="0"/>
          <w:color w:val="auto"/>
          <w:kern w:val="0"/>
          <w:sz w:val="21"/>
          <w:szCs w:val="21"/>
          <w:highlight w:val="none"/>
          <w:lang w:val="en-US" w:eastAsia="zh-CN"/>
        </w:rPr>
        <w:t>预防复发训练</w:t>
      </w:r>
      <w:bookmarkEnd w:id="36"/>
      <w:bookmarkEnd w:id="37"/>
      <w:bookmarkEnd w:id="38"/>
      <w:bookmarkStart w:id="39" w:name="_Toc12613134"/>
      <w:bookmarkStart w:id="40" w:name="_Toc17557"/>
      <w:bookmarkStart w:id="41" w:name="_Toc41642833"/>
    </w:p>
    <w:p w14:paraId="6B2EFAAB">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39"/>
      <w:bookmarkEnd w:id="40"/>
      <w:bookmarkEnd w:id="41"/>
    </w:p>
    <w:p w14:paraId="55213EFD">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帮助患者和家属掌握复发先兆表现及应对和寻求帮助的方法。</w:t>
      </w:r>
    </w:p>
    <w:p w14:paraId="0FEDAC96">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bookmarkStart w:id="42" w:name="_Toc12613135"/>
      <w:bookmarkStart w:id="43" w:name="_Toc24524"/>
      <w:bookmarkStart w:id="44" w:name="_Toc41642834"/>
      <w:r>
        <w:rPr>
          <w:rFonts w:hint="eastAsia" w:ascii="微软雅黑" w:hAnsi="微软雅黑" w:cs="微软雅黑"/>
          <w:color w:val="auto"/>
          <w:sz w:val="21"/>
          <w:szCs w:val="21"/>
          <w:highlight w:val="none"/>
          <w:lang w:val="en-US" w:eastAsia="zh-CN"/>
        </w:rPr>
        <w:t>训练内容</w:t>
      </w:r>
      <w:bookmarkEnd w:id="42"/>
      <w:bookmarkEnd w:id="43"/>
      <w:bookmarkEnd w:id="44"/>
    </w:p>
    <w:p w14:paraId="26FA92F8">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组织医护人员和社区精神卫生防治人员（简称精防人员）通过专题讲座、一对一指导等形式开展。包括学习认识精神疾病、常见精神症状、药物治疗的好处及常见副作用、复发的因素、复发的先兆表现、预防和应对复发的措施等。</w:t>
      </w:r>
    </w:p>
    <w:p w14:paraId="3D7408FD">
      <w:pPr>
        <w:numPr>
          <w:ilvl w:val="1"/>
          <w:numId w:val="8"/>
        </w:numPr>
        <w:snapToGrid w:val="0"/>
        <w:spacing w:line="360" w:lineRule="auto"/>
        <w:ind w:left="0" w:leftChars="0" w:firstLine="420" w:firstLineChars="0"/>
        <w:outlineLvl w:val="4"/>
        <w:rPr>
          <w:rFonts w:hint="eastAsia" w:ascii="微软雅黑" w:hAnsi="微软雅黑" w:cs="微软雅黑"/>
          <w:color w:val="auto"/>
          <w:sz w:val="21"/>
          <w:szCs w:val="21"/>
          <w:highlight w:val="none"/>
          <w:lang w:val="en-US" w:eastAsia="zh-CN"/>
        </w:rPr>
      </w:pPr>
      <w:bookmarkStart w:id="45" w:name="_Toc41642835"/>
      <w:bookmarkStart w:id="46" w:name="_Toc16535"/>
      <w:bookmarkStart w:id="47" w:name="_Toc12613136"/>
      <w:r>
        <w:rPr>
          <w:rFonts w:hint="eastAsia" w:ascii="微软雅黑" w:hAnsi="微软雅黑" w:cs="微软雅黑"/>
          <w:b/>
          <w:bCs/>
          <w:snapToGrid w:val="0"/>
          <w:color w:val="auto"/>
          <w:kern w:val="0"/>
          <w:sz w:val="21"/>
          <w:szCs w:val="21"/>
          <w:highlight w:val="none"/>
          <w:lang w:val="en-US" w:eastAsia="zh-CN"/>
        </w:rPr>
        <w:t>躯体管理训练</w:t>
      </w:r>
      <w:bookmarkEnd w:id="45"/>
      <w:bookmarkEnd w:id="46"/>
      <w:bookmarkStart w:id="48" w:name="_Toc2773"/>
      <w:bookmarkStart w:id="49" w:name="_Toc41642836"/>
    </w:p>
    <w:p w14:paraId="4B37971E">
      <w:pPr>
        <w:numPr>
          <w:ilvl w:val="2"/>
          <w:numId w:val="8"/>
        </w:numPr>
        <w:snapToGrid w:val="0"/>
        <w:spacing w:line="360" w:lineRule="auto"/>
        <w:ind w:left="0" w:leftChars="0" w:firstLine="420"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48"/>
      <w:bookmarkEnd w:id="49"/>
    </w:p>
    <w:p w14:paraId="6CF9FD32">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采取针对性措施，增强患者体质、缓解药物副作用，提高患者躯体健康水平。</w:t>
      </w:r>
    </w:p>
    <w:p w14:paraId="73E2D419">
      <w:pPr>
        <w:numPr>
          <w:ilvl w:val="2"/>
          <w:numId w:val="8"/>
        </w:numPr>
        <w:snapToGrid w:val="0"/>
        <w:spacing w:line="360" w:lineRule="auto"/>
        <w:ind w:left="0" w:leftChars="0" w:firstLine="420" w:firstLineChars="0"/>
        <w:rPr>
          <w:rFonts w:hint="eastAsia" w:ascii="微软雅黑" w:hAnsi="微软雅黑" w:cs="微软雅黑"/>
          <w:color w:val="auto"/>
          <w:sz w:val="21"/>
          <w:szCs w:val="21"/>
          <w:highlight w:val="none"/>
          <w:lang w:val="en-US" w:eastAsia="zh-CN"/>
        </w:rPr>
      </w:pPr>
      <w:bookmarkStart w:id="50" w:name="_Toc41642837"/>
      <w:bookmarkStart w:id="51" w:name="_Toc6765"/>
      <w:r>
        <w:rPr>
          <w:rFonts w:hint="eastAsia" w:ascii="微软雅黑" w:hAnsi="微软雅黑" w:cs="微软雅黑"/>
          <w:color w:val="auto"/>
          <w:sz w:val="21"/>
          <w:szCs w:val="21"/>
          <w:highlight w:val="none"/>
          <w:lang w:val="en-US" w:eastAsia="zh-CN"/>
        </w:rPr>
        <w:t>训练内容</w:t>
      </w:r>
      <w:bookmarkEnd w:id="50"/>
      <w:bookmarkEnd w:id="51"/>
    </w:p>
    <w:p w14:paraId="49B21B21">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可以组织患者进行慢跑、快走、打太极、跳绳、篮球、羽毛球、乒乓球等有氧运动，集体运动时鼓励协作，通过趣味性吸引患者积极参与。运动强度适宜，保证运动时间，培养患者养成自觉运动习惯。</w:t>
      </w:r>
    </w:p>
    <w:p w14:paraId="4611A61F">
      <w:pPr>
        <w:numPr>
          <w:ilvl w:val="1"/>
          <w:numId w:val="8"/>
        </w:numPr>
        <w:snapToGrid w:val="0"/>
        <w:spacing w:line="360" w:lineRule="auto"/>
        <w:ind w:left="0" w:leftChars="0" w:firstLine="420" w:firstLineChars="0"/>
        <w:outlineLvl w:val="4"/>
        <w:rPr>
          <w:rFonts w:hint="eastAsia" w:ascii="微软雅黑" w:hAnsi="微软雅黑" w:cs="微软雅黑"/>
          <w:color w:val="auto"/>
          <w:sz w:val="21"/>
          <w:szCs w:val="21"/>
          <w:highlight w:val="none"/>
          <w:lang w:val="en-US" w:eastAsia="zh-CN"/>
        </w:rPr>
      </w:pPr>
      <w:bookmarkStart w:id="52" w:name="_Toc41642838"/>
      <w:bookmarkStart w:id="53" w:name="_Toc17437"/>
      <w:r>
        <w:rPr>
          <w:rFonts w:hint="eastAsia" w:ascii="微软雅黑" w:hAnsi="微软雅黑" w:cs="微软雅黑"/>
          <w:b/>
          <w:bCs/>
          <w:snapToGrid w:val="0"/>
          <w:color w:val="auto"/>
          <w:kern w:val="0"/>
          <w:sz w:val="21"/>
          <w:szCs w:val="21"/>
          <w:highlight w:val="none"/>
          <w:lang w:val="en-US" w:eastAsia="zh-CN"/>
        </w:rPr>
        <w:t>生活技能训练</w:t>
      </w:r>
      <w:bookmarkEnd w:id="52"/>
      <w:bookmarkEnd w:id="53"/>
      <w:bookmarkStart w:id="54" w:name="_Toc41642839"/>
      <w:bookmarkStart w:id="55" w:name="_Toc4945"/>
    </w:p>
    <w:p w14:paraId="7522B6C2">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54"/>
      <w:bookmarkEnd w:id="55"/>
    </w:p>
    <w:p w14:paraId="4BB2CFB3">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使患者恢复原有的生活技能，适应家庭与社会环境，提高患者独立生活能力。</w:t>
      </w:r>
    </w:p>
    <w:p w14:paraId="360CFAFF">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bookmarkStart w:id="56" w:name="_Toc41642840"/>
      <w:bookmarkStart w:id="57" w:name="_Toc32733"/>
      <w:r>
        <w:rPr>
          <w:rFonts w:hint="eastAsia" w:ascii="微软雅黑" w:hAnsi="微软雅黑" w:cs="微软雅黑"/>
          <w:color w:val="auto"/>
          <w:sz w:val="21"/>
          <w:szCs w:val="21"/>
          <w:highlight w:val="none"/>
          <w:lang w:val="en-US" w:eastAsia="zh-CN"/>
        </w:rPr>
        <w:t>训练内容</w:t>
      </w:r>
      <w:bookmarkEnd w:id="56"/>
      <w:bookmarkEnd w:id="57"/>
    </w:p>
    <w:p w14:paraId="74CBE798">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采用场景模拟与日常实践相结合的方式进行，家属应当积极参与和督促患者实施。训练内容主要包括个人生活技能训练和家庭生活技能训练。个人生活技能训练内容为：洗脸、刷牙、漱口、饭前便后洗手、不随地吐痰等个人卫生训练，洗衣服、整理内务、做饭等简单的家务劳动训练，规律上床和起床时间等作息训练，见面打招呼等基本礼仪，求助能力，财务管理，互联网及智能手机使用，乘公车地铁等交通工具。家庭生活技能训练，主要围绕履行相应的家庭职责和义务来开展，如与家人一起吃饭、聊天、看电视，参与家庭事情的讨论，关心和支持家人等。</w:t>
      </w:r>
    </w:p>
    <w:p w14:paraId="57BE77EE">
      <w:pPr>
        <w:numPr>
          <w:ilvl w:val="1"/>
          <w:numId w:val="8"/>
        </w:numPr>
        <w:snapToGrid w:val="0"/>
        <w:spacing w:line="360" w:lineRule="auto"/>
        <w:ind w:left="0" w:leftChars="0" w:firstLine="420" w:firstLineChars="0"/>
        <w:outlineLvl w:val="4"/>
        <w:rPr>
          <w:rFonts w:hint="eastAsia" w:ascii="微软雅黑" w:hAnsi="微软雅黑" w:cs="微软雅黑"/>
          <w:color w:val="auto"/>
          <w:sz w:val="21"/>
          <w:szCs w:val="21"/>
          <w:highlight w:val="none"/>
          <w:lang w:val="en-US" w:eastAsia="zh-CN"/>
        </w:rPr>
      </w:pPr>
      <w:bookmarkStart w:id="58" w:name="_Toc41642841"/>
      <w:bookmarkStart w:id="59" w:name="_Toc12018"/>
      <w:r>
        <w:rPr>
          <w:rFonts w:hint="eastAsia" w:ascii="微软雅黑" w:hAnsi="微软雅黑" w:cs="微软雅黑"/>
          <w:b/>
          <w:bCs/>
          <w:snapToGrid w:val="0"/>
          <w:color w:val="auto"/>
          <w:kern w:val="0"/>
          <w:sz w:val="21"/>
          <w:szCs w:val="21"/>
          <w:highlight w:val="none"/>
          <w:lang w:val="en-US" w:eastAsia="zh-CN"/>
        </w:rPr>
        <w:t>社交技能训练</w:t>
      </w:r>
      <w:bookmarkEnd w:id="47"/>
      <w:bookmarkEnd w:id="58"/>
      <w:bookmarkEnd w:id="59"/>
      <w:bookmarkStart w:id="60" w:name="_Toc12613137"/>
      <w:bookmarkStart w:id="61" w:name="_Toc31220"/>
      <w:bookmarkStart w:id="62" w:name="_Toc41642842"/>
    </w:p>
    <w:p w14:paraId="3A6D04B8">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60"/>
      <w:bookmarkEnd w:id="61"/>
      <w:bookmarkEnd w:id="62"/>
    </w:p>
    <w:p w14:paraId="23FDA301">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提高患者主动与人交往及参加社会活动的能力。</w:t>
      </w:r>
    </w:p>
    <w:p w14:paraId="01617B69">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bookmarkStart w:id="63" w:name="_Toc41642843"/>
      <w:bookmarkStart w:id="64" w:name="_Toc12613138"/>
      <w:bookmarkStart w:id="65" w:name="_Toc11487"/>
      <w:r>
        <w:rPr>
          <w:rFonts w:hint="eastAsia" w:ascii="微软雅黑" w:hAnsi="微软雅黑" w:cs="微软雅黑"/>
          <w:color w:val="auto"/>
          <w:sz w:val="21"/>
          <w:szCs w:val="21"/>
          <w:highlight w:val="none"/>
          <w:lang w:val="en-US" w:eastAsia="zh-CN"/>
        </w:rPr>
        <w:t>训练内容</w:t>
      </w:r>
      <w:bookmarkEnd w:id="63"/>
      <w:bookmarkEnd w:id="64"/>
      <w:bookmarkEnd w:id="65"/>
    </w:p>
    <w:p w14:paraId="002C9092">
      <w:pPr>
        <w:pStyle w:val="310"/>
        <w:pageBreakBefore w:val="0"/>
        <w:widowControl w:val="0"/>
        <w:numPr>
          <w:ilvl w:val="0"/>
          <w:numId w:val="10"/>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理论学习</w:t>
      </w:r>
    </w:p>
    <w:p w14:paraId="4CBF0B9C">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社交训练课程旨在训练基本技能（如倾听、表达积极的感受、提要求、表达不愉快的感受）和会谈技能（如发起并维持谈话）、有主见的技能（如拒绝要求、抱怨）、处理矛盾的技能（如妥协和协商、不同意他人的观点而不争吵）、交友约会的技能（如邀请）、职业技能（如面试）和维护健康的技能（如如何看门诊）等6方面的常用技能。课程的具体持续时间可以根据实际情况而定。</w:t>
      </w:r>
    </w:p>
    <w:p w14:paraId="3F3EE887">
      <w:pPr>
        <w:pStyle w:val="310"/>
        <w:pageBreakBefore w:val="0"/>
        <w:widowControl w:val="0"/>
        <w:numPr>
          <w:ilvl w:val="0"/>
          <w:numId w:val="10"/>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模拟训练</w:t>
      </w:r>
    </w:p>
    <w:p w14:paraId="6AD195DC">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可通过角色扮演等方式进行，模拟社交活动、工作面试、与邻居同事产生矛盾等场景。工作人员介绍训练背景，可以先演示再让患者扮演，其他患者观察模拟过程中运用了哪些技能，工作人员注重引导和给予肯定的反馈。</w:t>
      </w:r>
    </w:p>
    <w:p w14:paraId="1E66CB55">
      <w:pPr>
        <w:numPr>
          <w:ilvl w:val="1"/>
          <w:numId w:val="8"/>
        </w:numPr>
        <w:snapToGrid w:val="0"/>
        <w:spacing w:line="360" w:lineRule="auto"/>
        <w:ind w:left="0" w:leftChars="0" w:firstLine="420" w:firstLineChars="0"/>
        <w:outlineLvl w:val="4"/>
        <w:rPr>
          <w:rFonts w:hint="eastAsia" w:ascii="微软雅黑" w:hAnsi="微软雅黑" w:cs="微软雅黑"/>
          <w:b/>
          <w:bCs/>
          <w:color w:val="auto"/>
          <w:sz w:val="21"/>
          <w:szCs w:val="21"/>
          <w:highlight w:val="none"/>
          <w:lang w:val="en-US" w:eastAsia="zh-CN"/>
        </w:rPr>
      </w:pPr>
      <w:bookmarkStart w:id="66" w:name="_Toc16954"/>
      <w:bookmarkStart w:id="67" w:name="_Toc41642844"/>
      <w:bookmarkStart w:id="68" w:name="_Toc12613145"/>
      <w:r>
        <w:rPr>
          <w:rFonts w:hint="eastAsia" w:ascii="微软雅黑" w:hAnsi="微软雅黑" w:cs="微软雅黑"/>
          <w:b/>
          <w:bCs/>
          <w:snapToGrid w:val="0"/>
          <w:color w:val="auto"/>
          <w:kern w:val="0"/>
          <w:sz w:val="21"/>
          <w:szCs w:val="21"/>
          <w:highlight w:val="none"/>
          <w:lang w:val="en-US" w:eastAsia="zh-CN"/>
        </w:rPr>
        <w:t>职业康复训练</w:t>
      </w:r>
      <w:bookmarkEnd w:id="66"/>
      <w:bookmarkEnd w:id="67"/>
      <w:bookmarkEnd w:id="68"/>
      <w:bookmarkStart w:id="69" w:name="_Toc12613146"/>
      <w:bookmarkStart w:id="70" w:name="_Toc31238"/>
      <w:bookmarkStart w:id="71" w:name="_Toc41642845"/>
    </w:p>
    <w:p w14:paraId="723805A5">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69"/>
      <w:bookmarkEnd w:id="70"/>
      <w:bookmarkEnd w:id="71"/>
    </w:p>
    <w:p w14:paraId="506A37A7">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提高患者学习和劳动能力，促使患者重返工作岗位或找到合适的职业，参加社会生产活动。</w:t>
      </w:r>
    </w:p>
    <w:p w14:paraId="40FBC21E">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bookmarkStart w:id="72" w:name="_Toc41642846"/>
      <w:bookmarkStart w:id="73" w:name="_Toc12613147"/>
      <w:bookmarkStart w:id="74" w:name="_Toc9331"/>
      <w:r>
        <w:rPr>
          <w:rFonts w:hint="eastAsia" w:ascii="微软雅黑" w:hAnsi="微软雅黑" w:cs="微软雅黑"/>
          <w:color w:val="auto"/>
          <w:sz w:val="21"/>
          <w:szCs w:val="21"/>
          <w:highlight w:val="none"/>
          <w:lang w:val="en-US" w:eastAsia="zh-CN"/>
        </w:rPr>
        <w:t>训练内容</w:t>
      </w:r>
      <w:bookmarkEnd w:id="72"/>
      <w:bookmarkEnd w:id="73"/>
      <w:bookmarkEnd w:id="74"/>
    </w:p>
    <w:p w14:paraId="59DF7DDA">
      <w:pPr>
        <w:pStyle w:val="310"/>
        <w:pageBreakBefore w:val="0"/>
        <w:widowControl w:val="0"/>
        <w:numPr>
          <w:ilvl w:val="0"/>
          <w:numId w:val="11"/>
        </w:numPr>
        <w:kinsoku/>
        <w:wordWrap/>
        <w:overflowPunct/>
        <w:topLinePunct w:val="0"/>
        <w:autoSpaceDE/>
        <w:autoSpaceDN/>
        <w:bidi w:val="0"/>
        <w:adjustRightInd/>
        <w:snapToGrid/>
        <w:spacing w:line="360" w:lineRule="auto"/>
        <w:ind w:left="0" w:leftChars="0" w:right="0" w:rightChars="0" w:firstLine="420"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工作基本技能训练</w:t>
      </w:r>
    </w:p>
    <w:p w14:paraId="5DAAEEAA">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可以由工作人员带领，以小组形式学习、训练。具体内容包括：准时上班；个人卫生及职业着装；正确利用工作休息时间；正确接受工作中的表扬与批评；听从具体的指令；完成工作的责任感；帮助同事及求助于同事的能力；遵守工作中的规则、纪律等。</w:t>
      </w:r>
    </w:p>
    <w:p w14:paraId="733D8256">
      <w:pPr>
        <w:pStyle w:val="310"/>
        <w:pageBreakBefore w:val="0"/>
        <w:widowControl w:val="0"/>
        <w:numPr>
          <w:ilvl w:val="0"/>
          <w:numId w:val="11"/>
        </w:numPr>
        <w:kinsoku/>
        <w:wordWrap/>
        <w:overflowPunct/>
        <w:topLinePunct w:val="0"/>
        <w:autoSpaceDE/>
        <w:autoSpaceDN/>
        <w:bidi w:val="0"/>
        <w:adjustRightInd/>
        <w:snapToGrid/>
        <w:spacing w:line="360" w:lineRule="auto"/>
        <w:ind w:left="0" w:leftChars="0" w:right="0" w:rightChars="0" w:firstLine="420"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职业康复训练</w:t>
      </w:r>
    </w:p>
    <w:p w14:paraId="0DEDD0D6">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第一步是庇护性就业，在庇护工厂、工疗车间等机构中从事低压力、非竞争性的工作，或在适宜的农疗地区开展果蔬种植、园林维护、家禽养殖等活动，从而学习工作和劳动技能。</w:t>
      </w:r>
    </w:p>
    <w:p w14:paraId="65D57C99">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第二步是过渡性就业，由社区或康复机构与企业签订协议，受训的患者可以轮流上岗，根据患者工作量支付报酬。</w:t>
      </w:r>
    </w:p>
    <w:p w14:paraId="370A0792">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第三步是辅助性就业，患者在康复机构的安排下以正常雇员的身份工作并获得相应薪水，但需要精神卫生专业或具备相应职业能力的服务人员进行评估、协调和支持。</w:t>
      </w:r>
    </w:p>
    <w:p w14:paraId="50FD849A">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第四步是独立就业，患者同正常人一样从事竞争性的工作岗位。</w:t>
      </w:r>
    </w:p>
    <w:p w14:paraId="3E4267A7">
      <w:pPr>
        <w:numPr>
          <w:ilvl w:val="1"/>
          <w:numId w:val="8"/>
        </w:numPr>
        <w:snapToGrid w:val="0"/>
        <w:spacing w:line="360" w:lineRule="auto"/>
        <w:ind w:left="0" w:leftChars="0" w:firstLine="420" w:firstLineChars="0"/>
        <w:outlineLvl w:val="4"/>
        <w:rPr>
          <w:rFonts w:hint="eastAsia" w:ascii="微软雅黑" w:hAnsi="微软雅黑" w:cs="微软雅黑"/>
          <w:b/>
          <w:bCs/>
          <w:color w:val="auto"/>
          <w:sz w:val="21"/>
          <w:szCs w:val="21"/>
          <w:highlight w:val="none"/>
          <w:lang w:val="en-US" w:eastAsia="zh-CN"/>
        </w:rPr>
      </w:pPr>
      <w:bookmarkStart w:id="75" w:name="_Toc41642847"/>
      <w:bookmarkStart w:id="76" w:name="_Toc12613148"/>
      <w:bookmarkStart w:id="77" w:name="_Toc17257"/>
      <w:r>
        <w:rPr>
          <w:rFonts w:hint="eastAsia" w:ascii="微软雅黑" w:hAnsi="微软雅黑" w:cs="微软雅黑"/>
          <w:b/>
          <w:bCs/>
          <w:snapToGrid w:val="0"/>
          <w:color w:val="auto"/>
          <w:kern w:val="0"/>
          <w:sz w:val="21"/>
          <w:szCs w:val="21"/>
          <w:highlight w:val="none"/>
          <w:lang w:val="en-US" w:eastAsia="zh-CN"/>
        </w:rPr>
        <w:t>心理治疗和康复</w:t>
      </w:r>
      <w:bookmarkEnd w:id="75"/>
      <w:bookmarkEnd w:id="76"/>
      <w:bookmarkEnd w:id="77"/>
      <w:bookmarkStart w:id="78" w:name="_Toc12613149"/>
      <w:bookmarkStart w:id="79" w:name="_Toc4291"/>
      <w:bookmarkStart w:id="80" w:name="_Toc41642848"/>
    </w:p>
    <w:bookmarkEnd w:id="78"/>
    <w:p w14:paraId="6AE0473E">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79"/>
      <w:bookmarkEnd w:id="80"/>
    </w:p>
    <w:p w14:paraId="363F9AD1">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与患者建立平等协作关系，予以感情上的支持，帮助患者消除来自自身或者外界的各种消极因素，使患者处于积极的情绪状态，修复精神功能，适应生活环境和社会环境，最终回归社会。实施心理治疗和康复措施应该贯穿于与病人接触的每一个环节，可以采用支持性心理治疗、认知治疗、行为治疗等方法。</w:t>
      </w:r>
    </w:p>
    <w:p w14:paraId="239924C1">
      <w:pPr>
        <w:numPr>
          <w:ilvl w:val="2"/>
          <w:numId w:val="8"/>
        </w:numPr>
        <w:snapToGrid w:val="0"/>
        <w:spacing w:line="360" w:lineRule="auto"/>
        <w:ind w:left="9" w:leftChars="0" w:firstLine="411" w:firstLineChars="0"/>
        <w:rPr>
          <w:rFonts w:hint="eastAsia" w:ascii="微软雅黑" w:hAnsi="微软雅黑" w:cs="微软雅黑"/>
          <w:color w:val="auto"/>
          <w:sz w:val="21"/>
          <w:szCs w:val="21"/>
          <w:highlight w:val="none"/>
          <w:lang w:val="en-US" w:eastAsia="zh-CN"/>
        </w:rPr>
      </w:pPr>
      <w:bookmarkStart w:id="81" w:name="_Toc23348"/>
      <w:bookmarkStart w:id="82" w:name="_Toc12613150"/>
      <w:bookmarkStart w:id="83" w:name="_Toc41642849"/>
      <w:r>
        <w:rPr>
          <w:rFonts w:hint="eastAsia" w:ascii="微软雅黑" w:hAnsi="微软雅黑" w:cs="微软雅黑"/>
          <w:color w:val="auto"/>
          <w:sz w:val="21"/>
          <w:szCs w:val="21"/>
          <w:highlight w:val="none"/>
          <w:lang w:val="en-US" w:eastAsia="zh-CN"/>
        </w:rPr>
        <w:t>训练内容</w:t>
      </w:r>
      <w:bookmarkEnd w:id="81"/>
      <w:bookmarkEnd w:id="82"/>
      <w:bookmarkEnd w:id="83"/>
    </w:p>
    <w:p w14:paraId="73E7E784">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心理治疗和康复程序的核心是要确定目标，通过了解与分析，从患者的大量心理需求中选择最主要的、最关键的需求作为要解决的问题，然后确定最佳干预手段。其程序如下：</w:t>
      </w:r>
    </w:p>
    <w:p w14:paraId="355EF4E0">
      <w:pPr>
        <w:pStyle w:val="310"/>
        <w:pageBreakBefore w:val="0"/>
        <w:widowControl w:val="0"/>
        <w:numPr>
          <w:ilvl w:val="0"/>
          <w:numId w:val="12"/>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评估</w:t>
      </w:r>
    </w:p>
    <w:p w14:paraId="1FC0B0EC">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一般通过观察、晤谈、测验、调查等手段，收集有关患者各种需求的信息，关注患者的某些需求得不到满足时的情绪变化。</w:t>
      </w:r>
    </w:p>
    <w:p w14:paraId="6D29D6E7">
      <w:pPr>
        <w:pStyle w:val="310"/>
        <w:pageBreakBefore w:val="0"/>
        <w:widowControl w:val="0"/>
        <w:numPr>
          <w:ilvl w:val="0"/>
          <w:numId w:val="12"/>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心理治疗和康复需求分析不同患者在不同时期有各种各样的不同需求，在深入的交往中对这些需求进行归纳分析，了解内在原因。</w:t>
      </w:r>
    </w:p>
    <w:p w14:paraId="2E1EA1BB">
      <w:pPr>
        <w:pStyle w:val="310"/>
        <w:pageBreakBefore w:val="0"/>
        <w:widowControl w:val="0"/>
        <w:numPr>
          <w:ilvl w:val="0"/>
          <w:numId w:val="12"/>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 xml:space="preserve">提出问题的解决方法 </w:t>
      </w:r>
    </w:p>
    <w:p w14:paraId="6589332C">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根据了解和分析的结果，以主次问题先后排序，明确心理治疗和康复目标，制定计划，设计如何解决问题的心理干预手段。</w:t>
      </w:r>
    </w:p>
    <w:p w14:paraId="30A14322">
      <w:pPr>
        <w:pStyle w:val="310"/>
        <w:pageBreakBefore w:val="0"/>
        <w:widowControl w:val="0"/>
        <w:numPr>
          <w:ilvl w:val="0"/>
          <w:numId w:val="12"/>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 xml:space="preserve">心理治疗和康复的实施 </w:t>
      </w:r>
    </w:p>
    <w:p w14:paraId="65EC0372">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贯彻执行计划中的各种方案和心理干预措施，记录治疗和康复过程，作为下阶段的依据。</w:t>
      </w:r>
    </w:p>
    <w:p w14:paraId="31652C3B">
      <w:pPr>
        <w:pStyle w:val="310"/>
        <w:pageBreakBefore w:val="0"/>
        <w:widowControl w:val="0"/>
        <w:numPr>
          <w:ilvl w:val="0"/>
          <w:numId w:val="12"/>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 xml:space="preserve">心理治疗和康复的效果评价  </w:t>
      </w:r>
    </w:p>
    <w:p w14:paraId="4FE5A2AF">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对照分析患者对心理治疗和康复的反映，评估心理治疗和康复的目标是否实现，如果没有实现，要分析原因。根据评价提出下阶段的新要求。</w:t>
      </w:r>
    </w:p>
    <w:p w14:paraId="09B032A3">
      <w:pPr>
        <w:numPr>
          <w:ilvl w:val="1"/>
          <w:numId w:val="8"/>
        </w:numPr>
        <w:snapToGrid w:val="0"/>
        <w:spacing w:line="360" w:lineRule="auto"/>
        <w:ind w:left="0" w:leftChars="0" w:firstLine="420" w:firstLineChars="0"/>
        <w:outlineLvl w:val="4"/>
        <w:rPr>
          <w:rFonts w:hint="eastAsia" w:ascii="微软雅黑" w:hAnsi="微软雅黑" w:cs="微软雅黑"/>
          <w:b/>
          <w:bCs/>
          <w:color w:val="auto"/>
          <w:sz w:val="21"/>
          <w:szCs w:val="21"/>
          <w:highlight w:val="none"/>
          <w:lang w:val="en-US" w:eastAsia="zh-CN"/>
        </w:rPr>
      </w:pPr>
      <w:bookmarkStart w:id="84" w:name="_Toc41642850"/>
      <w:bookmarkStart w:id="85" w:name="_Toc4305"/>
      <w:bookmarkStart w:id="86" w:name="_Toc12613154"/>
      <w:r>
        <w:rPr>
          <w:rFonts w:hint="eastAsia" w:ascii="微软雅黑" w:hAnsi="微软雅黑" w:cs="微软雅黑"/>
          <w:b/>
          <w:bCs/>
          <w:snapToGrid w:val="0"/>
          <w:color w:val="auto"/>
          <w:kern w:val="0"/>
          <w:sz w:val="21"/>
          <w:szCs w:val="21"/>
          <w:highlight w:val="none"/>
          <w:lang w:val="en-US" w:eastAsia="zh-CN"/>
        </w:rPr>
        <w:t>同伴支持</w:t>
      </w:r>
      <w:bookmarkEnd w:id="84"/>
      <w:bookmarkEnd w:id="85"/>
      <w:bookmarkEnd w:id="86"/>
      <w:bookmarkStart w:id="87" w:name="_Toc12613155"/>
      <w:bookmarkStart w:id="88" w:name="_Toc27614"/>
      <w:bookmarkStart w:id="89" w:name="_Toc41642851"/>
    </w:p>
    <w:bookmarkEnd w:id="87"/>
    <w:p w14:paraId="17C80BD4">
      <w:pPr>
        <w:numPr>
          <w:ilvl w:val="2"/>
          <w:numId w:val="8"/>
        </w:numPr>
        <w:snapToGrid w:val="0"/>
        <w:spacing w:line="360" w:lineRule="auto"/>
        <w:ind w:left="0" w:leftChars="0" w:firstLine="420" w:firstLineChars="0"/>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目的</w:t>
      </w:r>
      <w:bookmarkEnd w:id="88"/>
      <w:bookmarkEnd w:id="89"/>
    </w:p>
    <w:p w14:paraId="76717818">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eastAsia="微软雅黑" w:cs="微软雅黑"/>
          <w:color w:val="auto"/>
          <w:kern w:val="2"/>
          <w:sz w:val="21"/>
          <w:szCs w:val="21"/>
          <w:highlight w:val="none"/>
          <w:lang w:val="en-US" w:eastAsia="zh-CN" w:bidi="ar-SA"/>
        </w:rPr>
      </w:pPr>
      <w:r>
        <w:rPr>
          <w:rFonts w:hint="eastAsia" w:ascii="微软雅黑" w:hAnsi="微软雅黑" w:cs="微软雅黑"/>
          <w:color w:val="auto"/>
          <w:sz w:val="21"/>
          <w:szCs w:val="21"/>
          <w:highlight w:val="none"/>
          <w:lang w:val="en-US" w:eastAsia="zh-CN"/>
        </w:rPr>
        <w:t>通过组建由专业技术人员指导的互助自助小组，让患者共同进行情感交流、信息分享、支持反馈、</w:t>
      </w:r>
      <w:r>
        <w:rPr>
          <w:rFonts w:hint="eastAsia" w:ascii="微软雅黑" w:hAnsi="微软雅黑" w:eastAsia="微软雅黑" w:cs="微软雅黑"/>
          <w:color w:val="auto"/>
          <w:kern w:val="2"/>
          <w:sz w:val="21"/>
          <w:szCs w:val="21"/>
          <w:highlight w:val="none"/>
          <w:lang w:val="en-US" w:eastAsia="zh-CN" w:bidi="ar-SA"/>
        </w:rPr>
        <w:t>功能锻炼等，进而提高患者的康复信心、进一步稳定病情、改善社交技能、提高服药依从性。</w:t>
      </w:r>
    </w:p>
    <w:p w14:paraId="3B93864F">
      <w:pPr>
        <w:numPr>
          <w:ilvl w:val="2"/>
          <w:numId w:val="8"/>
        </w:numPr>
        <w:snapToGrid w:val="0"/>
        <w:spacing w:line="360" w:lineRule="auto"/>
        <w:ind w:left="0" w:leftChars="0" w:firstLine="420" w:firstLineChars="0"/>
        <w:rPr>
          <w:rFonts w:hint="eastAsia" w:ascii="微软雅黑" w:hAnsi="微软雅黑" w:cs="微软雅黑"/>
          <w:color w:val="auto"/>
          <w:sz w:val="21"/>
          <w:szCs w:val="21"/>
          <w:highlight w:val="none"/>
          <w:lang w:val="en-US" w:eastAsia="zh-CN"/>
        </w:rPr>
      </w:pPr>
      <w:bookmarkStart w:id="90" w:name="_Toc41642852"/>
      <w:bookmarkStart w:id="91" w:name="_Toc30461"/>
      <w:r>
        <w:rPr>
          <w:rFonts w:hint="eastAsia" w:ascii="微软雅黑" w:hAnsi="微软雅黑" w:cs="微软雅黑"/>
          <w:color w:val="auto"/>
          <w:sz w:val="21"/>
          <w:szCs w:val="21"/>
          <w:highlight w:val="none"/>
          <w:lang w:val="en-US" w:eastAsia="zh-CN"/>
        </w:rPr>
        <w:t>训练内容</w:t>
      </w:r>
      <w:bookmarkEnd w:id="90"/>
      <w:bookmarkEnd w:id="91"/>
    </w:p>
    <w:p w14:paraId="0A359A14">
      <w:pPr>
        <w:pStyle w:val="310"/>
        <w:pageBreakBefore w:val="0"/>
        <w:widowControl w:val="0"/>
        <w:numPr>
          <w:ilvl w:val="0"/>
          <w:numId w:val="13"/>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确定同伴支持者（康复较好的精神障碍患者）</w:t>
      </w:r>
    </w:p>
    <w:p w14:paraId="53079CE2">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同伴支持者可以自己推荐，也可由专业人员筛选推荐，之后由精神卫生专业人员评估确定。同伴支持者需要有较好的表达沟通能力，对疾病有一定的认识，有责任心、同情心等。</w:t>
      </w:r>
    </w:p>
    <w:p w14:paraId="4D9AED41">
      <w:pPr>
        <w:pStyle w:val="310"/>
        <w:pageBreakBefore w:val="0"/>
        <w:widowControl w:val="0"/>
        <w:numPr>
          <w:ilvl w:val="0"/>
          <w:numId w:val="13"/>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前期培训</w:t>
      </w:r>
    </w:p>
    <w:p w14:paraId="1242932A">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同伴支持者在提供服务前，需对其进行精神疾病知识、组织沟通能力和服务要求等方面的培训。</w:t>
      </w:r>
    </w:p>
    <w:p w14:paraId="1BDDA4FD">
      <w:pPr>
        <w:pStyle w:val="310"/>
        <w:pageBreakBefore w:val="0"/>
        <w:widowControl w:val="0"/>
        <w:numPr>
          <w:ilvl w:val="0"/>
          <w:numId w:val="13"/>
        </w:numPr>
        <w:kinsoku/>
        <w:wordWrap/>
        <w:overflowPunct/>
        <w:topLinePunct w:val="0"/>
        <w:autoSpaceDE/>
        <w:autoSpaceDN/>
        <w:bidi w:val="0"/>
        <w:adjustRightInd/>
        <w:snapToGrid/>
        <w:spacing w:line="360" w:lineRule="auto"/>
        <w:ind w:left="5" w:leftChars="0" w:right="0" w:rightChars="0" w:firstLine="415" w:firstLineChars="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提供服务</w:t>
      </w:r>
    </w:p>
    <w:p w14:paraId="37BB6F5F">
      <w:pPr>
        <w:pStyle w:val="310"/>
        <w:pageBreakBefore w:val="0"/>
        <w:widowControl w:val="0"/>
        <w:kinsoku/>
        <w:wordWrap/>
        <w:overflowPunct/>
        <w:topLinePunct w:val="0"/>
        <w:autoSpaceDE/>
        <w:autoSpaceDN/>
        <w:bidi w:val="0"/>
        <w:adjustRightInd/>
        <w:snapToGrid/>
        <w:spacing w:line="360" w:lineRule="auto"/>
        <w:ind w:left="0" w:leftChars="0" w:right="0" w:rightChars="0" w:firstLine="420" w:firstLineChars="200"/>
        <w:jc w:val="both"/>
        <w:textAlignment w:val="auto"/>
        <w:rPr>
          <w:rFonts w:hint="eastAsia" w:ascii="微软雅黑" w:hAnsi="微软雅黑" w:cs="微软雅黑"/>
          <w:color w:val="auto"/>
          <w:sz w:val="21"/>
          <w:szCs w:val="21"/>
          <w:highlight w:val="none"/>
          <w:lang w:val="en-US" w:eastAsia="zh-CN"/>
        </w:rPr>
      </w:pPr>
      <w:r>
        <w:rPr>
          <w:rFonts w:hint="eastAsia" w:ascii="微软雅黑" w:hAnsi="微软雅黑" w:cs="微软雅黑"/>
          <w:color w:val="auto"/>
          <w:sz w:val="21"/>
          <w:szCs w:val="21"/>
          <w:highlight w:val="none"/>
          <w:lang w:val="en-US" w:eastAsia="zh-CN"/>
        </w:rPr>
        <w:t>同伴支持者可自行组织活动，服务时限可长可短，服务地点可在社区、医院或其他适合开展训练的场所。服务内容通常包括情感支持、疾病健康教育和自我管理、社交和生活技能交流等。在提供服务过程中，需要有社区医生、社会工作者、心理咨询师、精神科医生和护士等专业人员进行定期督导和强化培训。</w:t>
      </w:r>
    </w:p>
    <w:p w14:paraId="26AE0EC4">
      <w:pPr>
        <w:numPr>
          <w:ilvl w:val="1"/>
          <w:numId w:val="8"/>
        </w:numPr>
        <w:snapToGrid w:val="0"/>
        <w:spacing w:line="360" w:lineRule="auto"/>
        <w:ind w:left="0" w:leftChars="0" w:firstLine="420" w:firstLineChars="0"/>
        <w:outlineLvl w:val="4"/>
        <w:rPr>
          <w:rFonts w:hint="eastAsia" w:ascii="微软雅黑" w:hAnsi="微软雅黑" w:cs="微软雅黑"/>
          <w:b/>
          <w:bCs/>
          <w:color w:val="auto"/>
          <w:sz w:val="21"/>
          <w:szCs w:val="21"/>
          <w:highlight w:val="none"/>
          <w:lang w:val="en-US" w:eastAsia="zh-CN"/>
        </w:rPr>
      </w:pPr>
      <w:r>
        <w:rPr>
          <w:rFonts w:hint="eastAsia" w:ascii="微软雅黑" w:hAnsi="微软雅黑" w:eastAsia="微软雅黑" w:cs="微软雅黑"/>
          <w:b/>
          <w:bCs/>
          <w:snapToGrid w:val="0"/>
          <w:color w:val="auto"/>
          <w:kern w:val="0"/>
          <w:sz w:val="21"/>
          <w:szCs w:val="21"/>
          <w:highlight w:val="none"/>
        </w:rPr>
        <w:t>日间照料</w:t>
      </w:r>
    </w:p>
    <w:p w14:paraId="2B520BE9">
      <w:pPr>
        <w:numPr>
          <w:ilvl w:val="2"/>
          <w:numId w:val="8"/>
        </w:numPr>
        <w:snapToGrid w:val="0"/>
        <w:spacing w:line="360" w:lineRule="auto"/>
        <w:ind w:left="9" w:leftChars="0" w:firstLine="411" w:firstLineChars="0"/>
        <w:rPr>
          <w:rFonts w:hint="eastAsia" w:ascii="微软雅黑" w:hAnsi="微软雅黑" w:eastAsia="微软雅黑" w:cs="微软雅黑"/>
          <w:b w:val="0"/>
          <w:bCs w:val="0"/>
          <w:snapToGrid w:val="0"/>
          <w:color w:val="auto"/>
          <w:kern w:val="0"/>
          <w:sz w:val="21"/>
          <w:szCs w:val="21"/>
          <w:highlight w:val="none"/>
        </w:rPr>
      </w:pPr>
      <w:r>
        <w:rPr>
          <w:rFonts w:hint="eastAsia" w:ascii="微软雅黑" w:hAnsi="微软雅黑" w:eastAsia="微软雅黑" w:cs="微软雅黑"/>
          <w:b w:val="0"/>
          <w:bCs w:val="0"/>
          <w:snapToGrid w:val="0"/>
          <w:color w:val="auto"/>
          <w:kern w:val="0"/>
          <w:sz w:val="21"/>
          <w:szCs w:val="21"/>
          <w:highlight w:val="none"/>
        </w:rPr>
        <w:t>康复服务</w:t>
      </w:r>
    </w:p>
    <w:p w14:paraId="10743AFA">
      <w:pPr>
        <w:pStyle w:val="4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75" w:lineRule="atLeast"/>
        <w:ind w:left="0" w:right="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i w:val="0"/>
          <w:iCs w:val="0"/>
          <w:caps w:val="0"/>
          <w:color w:val="auto"/>
          <w:spacing w:val="0"/>
          <w:sz w:val="21"/>
          <w:szCs w:val="21"/>
          <w:highlight w:val="none"/>
          <w:shd w:val="clear" w:fill="F7F8FA"/>
        </w:rPr>
        <w:t>日间照料中心提供专业的康复服务，包括物理疗法、职业疗法、言语疗法等，帮助</w:t>
      </w:r>
      <w:r>
        <w:rPr>
          <w:rFonts w:hint="eastAsia" w:ascii="微软雅黑" w:hAnsi="微软雅黑" w:eastAsia="微软雅黑" w:cs="微软雅黑"/>
          <w:snapToGrid w:val="0"/>
          <w:color w:val="auto"/>
          <w:kern w:val="0"/>
          <w:sz w:val="21"/>
          <w:szCs w:val="21"/>
          <w:highlight w:val="none"/>
        </w:rPr>
        <w:t>患者</w:t>
      </w:r>
      <w:r>
        <w:rPr>
          <w:rFonts w:hint="eastAsia" w:ascii="微软雅黑" w:hAnsi="微软雅黑" w:eastAsia="微软雅黑" w:cs="微软雅黑"/>
          <w:i w:val="0"/>
          <w:iCs w:val="0"/>
          <w:caps w:val="0"/>
          <w:color w:val="auto"/>
          <w:spacing w:val="0"/>
          <w:sz w:val="21"/>
          <w:szCs w:val="21"/>
          <w:highlight w:val="none"/>
          <w:shd w:val="clear" w:fill="F7F8FA"/>
        </w:rPr>
        <w:t>恢复或提高其身体功能、生活自理能力和社会适应能力。</w:t>
      </w:r>
    </w:p>
    <w:p w14:paraId="31FB6F81">
      <w:pPr>
        <w:numPr>
          <w:ilvl w:val="2"/>
          <w:numId w:val="8"/>
        </w:numPr>
        <w:snapToGrid w:val="0"/>
        <w:spacing w:line="360" w:lineRule="auto"/>
        <w:ind w:left="0" w:leftChars="0" w:firstLine="420" w:firstLineChars="0"/>
        <w:rPr>
          <w:rFonts w:hint="eastAsia" w:ascii="微软雅黑" w:hAnsi="微软雅黑" w:eastAsia="微软雅黑" w:cs="微软雅黑"/>
          <w:b w:val="0"/>
          <w:bCs w:val="0"/>
          <w:snapToGrid w:val="0"/>
          <w:color w:val="auto"/>
          <w:kern w:val="0"/>
          <w:sz w:val="21"/>
          <w:szCs w:val="21"/>
          <w:highlight w:val="none"/>
        </w:rPr>
      </w:pPr>
      <w:r>
        <w:rPr>
          <w:rFonts w:hint="eastAsia" w:ascii="微软雅黑" w:hAnsi="微软雅黑" w:eastAsia="微软雅黑" w:cs="微软雅黑"/>
          <w:b w:val="0"/>
          <w:bCs w:val="0"/>
          <w:snapToGrid w:val="0"/>
          <w:color w:val="auto"/>
          <w:kern w:val="0"/>
          <w:sz w:val="21"/>
          <w:szCs w:val="21"/>
          <w:highlight w:val="none"/>
        </w:rPr>
        <w:t>生活照料服务</w:t>
      </w:r>
    </w:p>
    <w:p w14:paraId="061CF5F8">
      <w:pPr>
        <w:pStyle w:val="4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75" w:lineRule="atLeast"/>
        <w:ind w:left="0" w:right="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i w:val="0"/>
          <w:iCs w:val="0"/>
          <w:caps w:val="0"/>
          <w:color w:val="auto"/>
          <w:spacing w:val="0"/>
          <w:sz w:val="21"/>
          <w:szCs w:val="21"/>
          <w:highlight w:val="none"/>
          <w:shd w:val="clear" w:fill="F7F8FA"/>
        </w:rPr>
        <w:t>提供日常生活照料服务，如饮食起居、个人卫生、行动辅助等。协助</w:t>
      </w:r>
      <w:r>
        <w:rPr>
          <w:rFonts w:hint="eastAsia" w:ascii="微软雅黑" w:hAnsi="微软雅黑" w:eastAsia="微软雅黑" w:cs="微软雅黑"/>
          <w:snapToGrid w:val="0"/>
          <w:color w:val="auto"/>
          <w:kern w:val="0"/>
          <w:sz w:val="21"/>
          <w:szCs w:val="21"/>
          <w:highlight w:val="none"/>
        </w:rPr>
        <w:t>患者</w:t>
      </w:r>
      <w:r>
        <w:rPr>
          <w:rFonts w:hint="eastAsia" w:ascii="微软雅黑" w:hAnsi="微软雅黑" w:eastAsia="微软雅黑" w:cs="微软雅黑"/>
          <w:i w:val="0"/>
          <w:iCs w:val="0"/>
          <w:caps w:val="0"/>
          <w:color w:val="auto"/>
          <w:spacing w:val="0"/>
          <w:sz w:val="21"/>
          <w:szCs w:val="21"/>
          <w:highlight w:val="none"/>
          <w:shd w:val="clear" w:fill="F7F8FA"/>
        </w:rPr>
        <w:t>进行日常生活活动，确保他们的基本生活需求得到满足。</w:t>
      </w:r>
    </w:p>
    <w:p w14:paraId="129D7F7C">
      <w:pPr>
        <w:numPr>
          <w:ilvl w:val="2"/>
          <w:numId w:val="8"/>
        </w:numPr>
        <w:snapToGrid w:val="0"/>
        <w:spacing w:line="360" w:lineRule="auto"/>
        <w:ind w:left="9" w:leftChars="0" w:firstLine="411" w:firstLineChars="0"/>
        <w:rPr>
          <w:rFonts w:hint="eastAsia" w:ascii="微软雅黑" w:hAnsi="微软雅黑" w:eastAsia="微软雅黑" w:cs="微软雅黑"/>
          <w:b w:val="0"/>
          <w:bCs w:val="0"/>
          <w:snapToGrid w:val="0"/>
          <w:color w:val="auto"/>
          <w:kern w:val="0"/>
          <w:sz w:val="21"/>
          <w:szCs w:val="21"/>
          <w:highlight w:val="none"/>
        </w:rPr>
      </w:pPr>
      <w:r>
        <w:rPr>
          <w:rFonts w:hint="eastAsia" w:ascii="微软雅黑" w:hAnsi="微软雅黑" w:eastAsia="微软雅黑" w:cs="微软雅黑"/>
          <w:b w:val="0"/>
          <w:bCs w:val="0"/>
          <w:snapToGrid w:val="0"/>
          <w:color w:val="auto"/>
          <w:kern w:val="0"/>
          <w:sz w:val="21"/>
          <w:szCs w:val="21"/>
          <w:highlight w:val="none"/>
        </w:rPr>
        <w:t>心理支持服务</w:t>
      </w:r>
    </w:p>
    <w:p w14:paraId="444E9E89">
      <w:pPr>
        <w:pStyle w:val="4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75" w:lineRule="atLeast"/>
        <w:ind w:left="0" w:right="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i w:val="0"/>
          <w:iCs w:val="0"/>
          <w:caps w:val="0"/>
          <w:color w:val="auto"/>
          <w:spacing w:val="0"/>
          <w:sz w:val="21"/>
          <w:szCs w:val="21"/>
          <w:highlight w:val="none"/>
          <w:shd w:val="clear" w:fill="F7F8FA"/>
        </w:rPr>
        <w:t>提供心理咨询服务，帮助</w:t>
      </w:r>
      <w:r>
        <w:rPr>
          <w:rFonts w:hint="eastAsia" w:ascii="微软雅黑" w:hAnsi="微软雅黑" w:eastAsia="微软雅黑" w:cs="微软雅黑"/>
          <w:snapToGrid w:val="0"/>
          <w:color w:val="auto"/>
          <w:kern w:val="0"/>
          <w:sz w:val="21"/>
          <w:szCs w:val="21"/>
          <w:highlight w:val="none"/>
        </w:rPr>
        <w:t>患者</w:t>
      </w:r>
      <w:r>
        <w:rPr>
          <w:rFonts w:hint="eastAsia" w:ascii="微软雅黑" w:hAnsi="微软雅黑" w:eastAsia="微软雅黑" w:cs="微软雅黑"/>
          <w:i w:val="0"/>
          <w:iCs w:val="0"/>
          <w:caps w:val="0"/>
          <w:color w:val="auto"/>
          <w:spacing w:val="0"/>
          <w:sz w:val="21"/>
          <w:szCs w:val="21"/>
          <w:highlight w:val="none"/>
          <w:shd w:val="clear" w:fill="F7F8FA"/>
        </w:rPr>
        <w:t>处理情绪问题、增强自信心、建立积极的生活态度。</w:t>
      </w:r>
    </w:p>
    <w:p w14:paraId="54CD5C6E">
      <w:pPr>
        <w:numPr>
          <w:ilvl w:val="2"/>
          <w:numId w:val="8"/>
        </w:numPr>
        <w:snapToGrid w:val="0"/>
        <w:spacing w:line="360" w:lineRule="auto"/>
        <w:ind w:left="9" w:leftChars="0" w:firstLine="411" w:firstLineChars="0"/>
        <w:rPr>
          <w:rFonts w:hint="eastAsia" w:ascii="微软雅黑" w:hAnsi="微软雅黑" w:eastAsia="微软雅黑" w:cs="微软雅黑"/>
          <w:b w:val="0"/>
          <w:bCs w:val="0"/>
          <w:snapToGrid w:val="0"/>
          <w:color w:val="auto"/>
          <w:kern w:val="0"/>
          <w:sz w:val="21"/>
          <w:szCs w:val="21"/>
          <w:highlight w:val="none"/>
        </w:rPr>
      </w:pPr>
      <w:r>
        <w:rPr>
          <w:rFonts w:hint="eastAsia" w:ascii="微软雅黑" w:hAnsi="微软雅黑" w:eastAsia="微软雅黑" w:cs="微软雅黑"/>
          <w:b w:val="0"/>
          <w:bCs w:val="0"/>
          <w:snapToGrid w:val="0"/>
          <w:color w:val="auto"/>
          <w:kern w:val="0"/>
          <w:sz w:val="21"/>
          <w:szCs w:val="21"/>
          <w:highlight w:val="none"/>
        </w:rPr>
        <w:t>社交及娱乐活动服务</w:t>
      </w:r>
    </w:p>
    <w:p w14:paraId="6781514A">
      <w:pPr>
        <w:pStyle w:val="4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75" w:lineRule="atLeast"/>
        <w:ind w:left="0" w:right="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i w:val="0"/>
          <w:iCs w:val="0"/>
          <w:caps w:val="0"/>
          <w:color w:val="auto"/>
          <w:spacing w:val="0"/>
          <w:sz w:val="21"/>
          <w:szCs w:val="21"/>
          <w:highlight w:val="none"/>
          <w:shd w:val="clear" w:fill="F7F8FA"/>
        </w:rPr>
        <w:t>照组织各种社交和娱乐活动，如团体游戏、手工制作、音乐欣赏等，以促进</w:t>
      </w:r>
      <w:r>
        <w:rPr>
          <w:rFonts w:hint="eastAsia" w:ascii="微软雅黑" w:hAnsi="微软雅黑" w:eastAsia="微软雅黑" w:cs="微软雅黑"/>
          <w:snapToGrid w:val="0"/>
          <w:color w:val="auto"/>
          <w:kern w:val="0"/>
          <w:sz w:val="21"/>
          <w:szCs w:val="21"/>
          <w:highlight w:val="none"/>
        </w:rPr>
        <w:t>患者</w:t>
      </w:r>
      <w:r>
        <w:rPr>
          <w:rFonts w:hint="eastAsia" w:ascii="微软雅黑" w:hAnsi="微软雅黑" w:eastAsia="微软雅黑" w:cs="微软雅黑"/>
          <w:i w:val="0"/>
          <w:iCs w:val="0"/>
          <w:caps w:val="0"/>
          <w:color w:val="auto"/>
          <w:spacing w:val="0"/>
          <w:sz w:val="21"/>
          <w:szCs w:val="21"/>
          <w:highlight w:val="none"/>
          <w:shd w:val="clear" w:fill="F7F8FA"/>
        </w:rPr>
        <w:t>之间的交流和互动，丰富他们的精神文化生活。</w:t>
      </w:r>
    </w:p>
    <w:p w14:paraId="56EFDBB8">
      <w:pPr>
        <w:numPr>
          <w:ilvl w:val="2"/>
          <w:numId w:val="8"/>
        </w:numPr>
        <w:snapToGrid w:val="0"/>
        <w:spacing w:line="360" w:lineRule="auto"/>
        <w:ind w:left="9" w:leftChars="0" w:firstLine="411" w:firstLineChars="0"/>
        <w:rPr>
          <w:rFonts w:hint="eastAsia" w:ascii="微软雅黑" w:hAnsi="微软雅黑" w:eastAsia="微软雅黑" w:cs="微软雅黑"/>
          <w:b w:val="0"/>
          <w:bCs w:val="0"/>
          <w:snapToGrid w:val="0"/>
          <w:color w:val="auto"/>
          <w:kern w:val="0"/>
          <w:sz w:val="21"/>
          <w:szCs w:val="21"/>
          <w:highlight w:val="none"/>
        </w:rPr>
      </w:pPr>
      <w:r>
        <w:rPr>
          <w:rFonts w:hint="eastAsia" w:ascii="微软雅黑" w:hAnsi="微软雅黑" w:eastAsia="微软雅黑" w:cs="微软雅黑"/>
          <w:b w:val="0"/>
          <w:bCs w:val="0"/>
          <w:snapToGrid w:val="0"/>
          <w:color w:val="auto"/>
          <w:kern w:val="0"/>
          <w:sz w:val="21"/>
          <w:szCs w:val="21"/>
          <w:highlight w:val="none"/>
        </w:rPr>
        <w:t>教育培训服务</w:t>
      </w:r>
    </w:p>
    <w:p w14:paraId="028DD225">
      <w:pPr>
        <w:pStyle w:val="47"/>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50" w:afterAutospacing="0" w:line="375" w:lineRule="atLeast"/>
        <w:ind w:left="0" w:right="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i w:val="0"/>
          <w:iCs w:val="0"/>
          <w:caps w:val="0"/>
          <w:color w:val="auto"/>
          <w:spacing w:val="0"/>
          <w:sz w:val="21"/>
          <w:szCs w:val="21"/>
          <w:highlight w:val="none"/>
          <w:shd w:val="clear" w:fill="F7F8FA"/>
        </w:rPr>
        <w:t>根据</w:t>
      </w:r>
      <w:r>
        <w:rPr>
          <w:rFonts w:hint="eastAsia" w:ascii="微软雅黑" w:hAnsi="微软雅黑" w:eastAsia="微软雅黑" w:cs="微软雅黑"/>
          <w:snapToGrid w:val="0"/>
          <w:color w:val="auto"/>
          <w:kern w:val="0"/>
          <w:sz w:val="21"/>
          <w:szCs w:val="21"/>
          <w:highlight w:val="none"/>
        </w:rPr>
        <w:t>患者</w:t>
      </w:r>
      <w:r>
        <w:rPr>
          <w:rFonts w:hint="eastAsia" w:ascii="微软雅黑" w:hAnsi="微软雅黑" w:eastAsia="微软雅黑" w:cs="微软雅黑"/>
          <w:i w:val="0"/>
          <w:iCs w:val="0"/>
          <w:caps w:val="0"/>
          <w:color w:val="auto"/>
          <w:spacing w:val="0"/>
          <w:sz w:val="21"/>
          <w:szCs w:val="21"/>
          <w:highlight w:val="none"/>
          <w:shd w:val="clear" w:fill="F7F8FA"/>
        </w:rPr>
        <w:t>的需求和兴趣，提供教育培训服务，包括文化知识学习、职业技能培训等，以提升他们的知识水平和就业能力。</w:t>
      </w:r>
    </w:p>
    <w:p w14:paraId="43FF3CF3">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个案介入</w:t>
      </w:r>
    </w:p>
    <w:p w14:paraId="4E3B8DF5">
      <w:pPr>
        <w:numPr>
          <w:ilvl w:val="0"/>
          <w:numId w:val="0"/>
        </w:numPr>
        <w:snapToGrid w:val="0"/>
        <w:spacing w:line="360" w:lineRule="auto"/>
        <w:ind w:left="0" w:leftChars="0" w:firstLine="420" w:firstLineChars="200"/>
        <w:rPr>
          <w:rFonts w:hint="eastAsia" w:ascii="微软雅黑" w:hAnsi="微软雅黑" w:eastAsia="微软雅黑" w:cs="微软雅黑"/>
          <w:snapToGrid w:val="0"/>
          <w:color w:val="auto"/>
          <w:kern w:val="0"/>
          <w:sz w:val="21"/>
          <w:szCs w:val="21"/>
          <w:highlight w:val="none"/>
        </w:rPr>
      </w:pPr>
      <w:r>
        <w:rPr>
          <w:rFonts w:hint="eastAsia" w:ascii="微软雅黑" w:hAnsi="微软雅黑" w:eastAsia="微软雅黑" w:cs="微软雅黑"/>
          <w:snapToGrid w:val="0"/>
          <w:color w:val="auto"/>
          <w:kern w:val="0"/>
          <w:sz w:val="21"/>
          <w:szCs w:val="21"/>
          <w:highlight w:val="none"/>
        </w:rPr>
        <w:t>采用“个案”的形式为符合条件且有服务意愿参与“个案服务”的2</w:t>
      </w:r>
      <w:r>
        <w:rPr>
          <w:rFonts w:hint="eastAsia" w:ascii="微软雅黑" w:hAnsi="微软雅黑" w:cs="微软雅黑"/>
          <w:snapToGrid w:val="0"/>
          <w:color w:val="auto"/>
          <w:kern w:val="0"/>
          <w:sz w:val="21"/>
          <w:szCs w:val="21"/>
          <w:highlight w:val="none"/>
          <w:lang w:val="en-US" w:eastAsia="zh-CN"/>
        </w:rPr>
        <w:t>60</w:t>
      </w:r>
      <w:r>
        <w:rPr>
          <w:rFonts w:hint="eastAsia" w:ascii="微软雅黑" w:hAnsi="微软雅黑" w:eastAsia="微软雅黑" w:cs="微软雅黑"/>
          <w:snapToGrid w:val="0"/>
          <w:color w:val="auto"/>
          <w:kern w:val="0"/>
          <w:sz w:val="21"/>
          <w:szCs w:val="21"/>
          <w:highlight w:val="none"/>
        </w:rPr>
        <w:t>名精神障碍患者提供专业个案服务，在优势视角、社会支持理论、萨提亚家庭治疗模式等多种理论指导下，完成接案-预估-计划-介入-评估-结案6大流程，个案专业服务不少于</w:t>
      </w:r>
      <w:r>
        <w:rPr>
          <w:rFonts w:hint="eastAsia" w:ascii="微软雅黑" w:hAnsi="微软雅黑" w:cs="微软雅黑"/>
          <w:snapToGrid w:val="0"/>
          <w:color w:val="auto"/>
          <w:kern w:val="0"/>
          <w:sz w:val="21"/>
          <w:szCs w:val="21"/>
          <w:highlight w:val="none"/>
          <w:lang w:val="en-US" w:eastAsia="zh-CN"/>
        </w:rPr>
        <w:t>12</w:t>
      </w:r>
      <w:r>
        <w:rPr>
          <w:rFonts w:hint="eastAsia" w:ascii="微软雅黑" w:hAnsi="微软雅黑" w:eastAsia="微软雅黑" w:cs="微软雅黑"/>
          <w:snapToGrid w:val="0"/>
          <w:color w:val="auto"/>
          <w:kern w:val="0"/>
          <w:sz w:val="21"/>
          <w:szCs w:val="21"/>
          <w:highlight w:val="none"/>
        </w:rPr>
        <w:t>次</w:t>
      </w:r>
      <w:r>
        <w:rPr>
          <w:rFonts w:hint="eastAsia" w:ascii="微软雅黑" w:hAnsi="微软雅黑" w:cs="微软雅黑"/>
          <w:snapToGrid w:val="0"/>
          <w:color w:val="auto"/>
          <w:kern w:val="0"/>
          <w:sz w:val="21"/>
          <w:szCs w:val="21"/>
          <w:highlight w:val="none"/>
          <w:lang w:val="en-US" w:eastAsia="zh-CN"/>
        </w:rPr>
        <w:t>/人</w:t>
      </w:r>
      <w:r>
        <w:rPr>
          <w:rFonts w:hint="eastAsia" w:ascii="微软雅黑" w:hAnsi="微软雅黑" w:eastAsia="微软雅黑" w:cs="微软雅黑"/>
          <w:snapToGrid w:val="0"/>
          <w:color w:val="auto"/>
          <w:kern w:val="0"/>
          <w:sz w:val="21"/>
          <w:szCs w:val="21"/>
          <w:highlight w:val="none"/>
        </w:rPr>
        <w:t>，满足服务对象个性需求。</w:t>
      </w:r>
    </w:p>
    <w:p w14:paraId="07050DCD">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家庭支持</w:t>
      </w:r>
    </w:p>
    <w:p w14:paraId="61244EC1">
      <w:pPr>
        <w:numPr>
          <w:ilvl w:val="0"/>
          <w:numId w:val="0"/>
        </w:numPr>
        <w:snapToGrid w:val="0"/>
        <w:spacing w:line="360" w:lineRule="auto"/>
        <w:ind w:left="0" w:leftChars="0" w:firstLine="420" w:firstLineChars="200"/>
        <w:rPr>
          <w:rFonts w:hint="eastAsia" w:ascii="微软雅黑" w:hAnsi="微软雅黑" w:eastAsia="微软雅黑" w:cs="微软雅黑"/>
          <w:snapToGrid w:val="0"/>
          <w:color w:val="auto"/>
          <w:kern w:val="0"/>
          <w:sz w:val="21"/>
          <w:szCs w:val="21"/>
          <w:highlight w:val="none"/>
          <w:lang w:eastAsia="zh-CN"/>
        </w:rPr>
      </w:pPr>
      <w:r>
        <w:rPr>
          <w:rFonts w:hint="eastAsia" w:ascii="微软雅黑" w:hAnsi="微软雅黑" w:eastAsia="微软雅黑" w:cs="微软雅黑"/>
          <w:snapToGrid w:val="0"/>
          <w:color w:val="auto"/>
          <w:kern w:val="0"/>
          <w:sz w:val="21"/>
          <w:szCs w:val="21"/>
          <w:highlight w:val="none"/>
        </w:rPr>
        <w:t>对康复对象家庭提供社会救助、社会福利政策和专业康复资源链接，帮助家庭科普专业康复知识，提供照料技能培训，建立患者家庭同伴支持网络。项目周期内完成</w:t>
      </w:r>
      <w:r>
        <w:rPr>
          <w:rFonts w:hint="eastAsia" w:ascii="微软雅黑" w:hAnsi="微软雅黑" w:cs="微软雅黑"/>
          <w:snapToGrid w:val="0"/>
          <w:color w:val="auto"/>
          <w:kern w:val="0"/>
          <w:sz w:val="21"/>
          <w:szCs w:val="21"/>
          <w:highlight w:val="none"/>
          <w:lang w:val="en-US" w:eastAsia="zh-CN"/>
        </w:rPr>
        <w:t>42</w:t>
      </w:r>
      <w:r>
        <w:rPr>
          <w:rFonts w:hint="eastAsia" w:ascii="微软雅黑" w:hAnsi="微软雅黑" w:eastAsia="微软雅黑" w:cs="微软雅黑"/>
          <w:snapToGrid w:val="0"/>
          <w:color w:val="auto"/>
          <w:kern w:val="0"/>
          <w:sz w:val="21"/>
          <w:szCs w:val="21"/>
          <w:highlight w:val="none"/>
        </w:rPr>
        <w:t>场</w:t>
      </w:r>
      <w:r>
        <w:rPr>
          <w:rFonts w:hint="eastAsia" w:ascii="微软雅黑" w:hAnsi="微软雅黑" w:eastAsia="微软雅黑" w:cs="微软雅黑"/>
          <w:snapToGrid w:val="0"/>
          <w:color w:val="auto"/>
          <w:kern w:val="0"/>
          <w:sz w:val="21"/>
          <w:szCs w:val="21"/>
          <w:highlight w:val="none"/>
          <w:lang w:eastAsia="zh-CN"/>
        </w:rPr>
        <w:t>。</w:t>
      </w:r>
    </w:p>
    <w:p w14:paraId="321EF810">
      <w:pPr>
        <w:pStyle w:val="4"/>
        <w:pageBreakBefore w:val="0"/>
        <w:widowControl w:val="0"/>
        <w:numPr>
          <w:ilvl w:val="0"/>
          <w:numId w:val="14"/>
        </w:numPr>
        <w:kinsoku/>
        <w:wordWrap/>
        <w:overflowPunct/>
        <w:topLinePunct w:val="0"/>
        <w:autoSpaceDE/>
        <w:autoSpaceDN/>
        <w:bidi w:val="0"/>
        <w:adjustRightInd/>
        <w:snapToGrid/>
        <w:spacing w:line="500" w:lineRule="exact"/>
        <w:ind w:left="0" w:leftChars="0" w:right="0" w:rightChars="0" w:firstLine="420" w:firstLineChars="0"/>
        <w:jc w:val="both"/>
        <w:textAlignment w:val="auto"/>
        <w:rPr>
          <w:rFonts w:hint="eastAsia"/>
          <w:b/>
          <w:bCs w:val="0"/>
          <w:color w:val="auto"/>
          <w:sz w:val="21"/>
          <w:szCs w:val="21"/>
          <w:highlight w:val="none"/>
        </w:rPr>
      </w:pPr>
      <w:r>
        <w:rPr>
          <w:rFonts w:hint="eastAsia"/>
          <w:b/>
          <w:bCs w:val="0"/>
          <w:color w:val="auto"/>
          <w:sz w:val="21"/>
          <w:szCs w:val="21"/>
          <w:highlight w:val="none"/>
        </w:rPr>
        <w:t>目的</w:t>
      </w:r>
    </w:p>
    <w:p w14:paraId="0931E181">
      <w:pPr>
        <w:pStyle w:val="310"/>
        <w:pageBreakBefore w:val="0"/>
        <w:widowControl w:val="0"/>
        <w:kinsoku/>
        <w:wordWrap/>
        <w:overflowPunct/>
        <w:topLinePunct w:val="0"/>
        <w:autoSpaceDE/>
        <w:autoSpaceDN/>
        <w:bidi w:val="0"/>
        <w:adjustRightInd/>
        <w:snapToGrid/>
        <w:spacing w:line="500" w:lineRule="exact"/>
        <w:ind w:left="0" w:leftChars="0" w:right="0" w:rightChars="0" w:firstLine="420" w:firstLineChars="0"/>
        <w:jc w:val="both"/>
        <w:textAlignment w:val="auto"/>
        <w:rPr>
          <w:rFonts w:hint="eastAsia"/>
          <w:color w:val="auto"/>
          <w:sz w:val="21"/>
          <w:szCs w:val="21"/>
          <w:highlight w:val="none"/>
        </w:rPr>
      </w:pPr>
      <w:r>
        <w:rPr>
          <w:rFonts w:hint="eastAsia"/>
          <w:color w:val="auto"/>
          <w:sz w:val="21"/>
          <w:szCs w:val="21"/>
          <w:highlight w:val="none"/>
        </w:rPr>
        <w:t>减轻患者家属的压力和负担，帮助家属学会照顾患者以及处理困难的方法技巧。</w:t>
      </w:r>
    </w:p>
    <w:p w14:paraId="41599776">
      <w:pPr>
        <w:pStyle w:val="4"/>
        <w:pageBreakBefore w:val="0"/>
        <w:widowControl w:val="0"/>
        <w:numPr>
          <w:ilvl w:val="0"/>
          <w:numId w:val="14"/>
        </w:numPr>
        <w:kinsoku/>
        <w:wordWrap/>
        <w:overflowPunct/>
        <w:topLinePunct w:val="0"/>
        <w:autoSpaceDE/>
        <w:autoSpaceDN/>
        <w:bidi w:val="0"/>
        <w:adjustRightInd/>
        <w:snapToGrid/>
        <w:spacing w:line="500" w:lineRule="exact"/>
        <w:ind w:left="0" w:leftChars="0" w:right="0" w:rightChars="0" w:firstLine="420" w:firstLineChars="0"/>
        <w:jc w:val="both"/>
        <w:textAlignment w:val="auto"/>
        <w:rPr>
          <w:rFonts w:hint="eastAsia"/>
          <w:b/>
          <w:bCs w:val="0"/>
          <w:color w:val="auto"/>
          <w:sz w:val="21"/>
          <w:szCs w:val="21"/>
          <w:highlight w:val="none"/>
        </w:rPr>
      </w:pPr>
      <w:r>
        <w:rPr>
          <w:rFonts w:hint="eastAsia"/>
          <w:b/>
          <w:bCs w:val="0"/>
          <w:color w:val="auto"/>
          <w:sz w:val="21"/>
          <w:szCs w:val="21"/>
          <w:highlight w:val="none"/>
        </w:rPr>
        <w:t>训练内容</w:t>
      </w:r>
    </w:p>
    <w:p w14:paraId="58C3D468">
      <w:pPr>
        <w:pStyle w:val="310"/>
        <w:pageBreakBefore w:val="0"/>
        <w:widowControl w:val="0"/>
        <w:kinsoku/>
        <w:wordWrap/>
        <w:overflowPunct/>
        <w:topLinePunct w:val="0"/>
        <w:autoSpaceDE/>
        <w:autoSpaceDN/>
        <w:bidi w:val="0"/>
        <w:adjustRightInd/>
        <w:snapToGrid/>
        <w:spacing w:line="500" w:lineRule="exact"/>
        <w:ind w:left="0" w:leftChars="0" w:right="0" w:rightChars="0" w:firstLine="420" w:firstLineChars="0"/>
        <w:jc w:val="both"/>
        <w:textAlignment w:val="auto"/>
        <w:rPr>
          <w:rFonts w:hint="eastAsia"/>
          <w:color w:val="auto"/>
          <w:sz w:val="21"/>
          <w:szCs w:val="21"/>
          <w:highlight w:val="none"/>
        </w:rPr>
      </w:pPr>
      <w:r>
        <w:rPr>
          <w:rFonts w:hint="eastAsia"/>
          <w:color w:val="auto"/>
          <w:sz w:val="21"/>
          <w:szCs w:val="21"/>
          <w:highlight w:val="none"/>
        </w:rPr>
        <w:t>通过健康讲座、交流互动、</w:t>
      </w:r>
      <w:r>
        <w:rPr>
          <w:color w:val="auto"/>
          <w:sz w:val="21"/>
          <w:szCs w:val="21"/>
          <w:highlight w:val="none"/>
        </w:rPr>
        <w:t>联谊会</w:t>
      </w:r>
      <w:r>
        <w:rPr>
          <w:rFonts w:hint="eastAsia"/>
          <w:color w:val="auto"/>
          <w:sz w:val="21"/>
          <w:szCs w:val="21"/>
          <w:highlight w:val="none"/>
        </w:rPr>
        <w:t>等方式开展，分享照顾患者的经验和技巧，提高家属对复发征兆、药物副作用、自杀伤人先兆等现象的观察能力和处理方法，同时，让家属学会掌握一些情绪自我调整、自我减压的方法。</w:t>
      </w:r>
    </w:p>
    <w:p w14:paraId="5BB9A8CC">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社区宣导</w:t>
      </w:r>
    </w:p>
    <w:p w14:paraId="2C048E65">
      <w:pPr>
        <w:numPr>
          <w:ilvl w:val="0"/>
          <w:numId w:val="0"/>
        </w:numPr>
        <w:snapToGrid w:val="0"/>
        <w:spacing w:line="360" w:lineRule="auto"/>
        <w:ind w:left="0" w:leftChars="0" w:firstLine="420" w:firstLineChars="200"/>
        <w:rPr>
          <w:rFonts w:hint="eastAsia" w:ascii="微软雅黑" w:hAnsi="微软雅黑" w:eastAsia="微软雅黑" w:cs="微软雅黑"/>
          <w:snapToGrid w:val="0"/>
          <w:color w:val="auto"/>
          <w:kern w:val="0"/>
          <w:sz w:val="21"/>
          <w:szCs w:val="21"/>
          <w:highlight w:val="none"/>
          <w:lang w:eastAsia="zh-CN"/>
        </w:rPr>
      </w:pPr>
      <w:r>
        <w:rPr>
          <w:rFonts w:hint="eastAsia" w:ascii="微软雅黑" w:hAnsi="微软雅黑" w:eastAsia="微软雅黑" w:cs="微软雅黑"/>
          <w:snapToGrid w:val="0"/>
          <w:color w:val="auto"/>
          <w:kern w:val="0"/>
          <w:sz w:val="21"/>
          <w:szCs w:val="21"/>
          <w:highlight w:val="none"/>
        </w:rPr>
        <w:t>整合社区资源，面向服务对象及其家庭成员、社区居民开展有针对性的精神障碍社区康复宣传，项目周期内完成不少于</w:t>
      </w:r>
      <w:r>
        <w:rPr>
          <w:rFonts w:hint="eastAsia" w:ascii="微软雅黑" w:hAnsi="微软雅黑" w:cs="微软雅黑"/>
          <w:snapToGrid w:val="0"/>
          <w:color w:val="auto"/>
          <w:kern w:val="0"/>
          <w:sz w:val="21"/>
          <w:szCs w:val="21"/>
          <w:highlight w:val="none"/>
          <w:lang w:val="en-US" w:eastAsia="zh-CN"/>
        </w:rPr>
        <w:t>28</w:t>
      </w:r>
      <w:r>
        <w:rPr>
          <w:rFonts w:hint="eastAsia" w:ascii="微软雅黑" w:hAnsi="微软雅黑" w:eastAsia="微软雅黑" w:cs="微软雅黑"/>
          <w:snapToGrid w:val="0"/>
          <w:color w:val="auto"/>
          <w:kern w:val="0"/>
          <w:sz w:val="21"/>
          <w:szCs w:val="21"/>
          <w:highlight w:val="none"/>
        </w:rPr>
        <w:t>场</w:t>
      </w:r>
      <w:r>
        <w:rPr>
          <w:rFonts w:hint="eastAsia" w:ascii="微软雅黑" w:hAnsi="微软雅黑" w:eastAsia="微软雅黑" w:cs="微软雅黑"/>
          <w:snapToGrid w:val="0"/>
          <w:color w:val="auto"/>
          <w:kern w:val="0"/>
          <w:sz w:val="21"/>
          <w:szCs w:val="21"/>
          <w:highlight w:val="none"/>
          <w:lang w:eastAsia="zh-CN"/>
        </w:rPr>
        <w:t>。</w:t>
      </w:r>
    </w:p>
    <w:p w14:paraId="129FC055">
      <w:pPr>
        <w:numPr>
          <w:ilvl w:val="0"/>
          <w:numId w:val="5"/>
        </w:numPr>
        <w:snapToGrid w:val="0"/>
        <w:spacing w:line="360" w:lineRule="auto"/>
        <w:ind w:left="0" w:leftChars="0" w:firstLine="420" w:firstLineChars="0"/>
        <w:outlineLvl w:val="2"/>
        <w:rPr>
          <w:rFonts w:hint="eastAsia" w:ascii="微软雅黑" w:hAnsi="微软雅黑" w:eastAsia="微软雅黑" w:cs="微软雅黑"/>
          <w:b/>
          <w:bCs/>
          <w:snapToGrid w:val="0"/>
          <w:color w:val="auto"/>
          <w:kern w:val="0"/>
          <w:sz w:val="21"/>
          <w:szCs w:val="21"/>
          <w:highlight w:val="none"/>
        </w:rPr>
      </w:pPr>
      <w:r>
        <w:rPr>
          <w:rFonts w:hint="eastAsia" w:ascii="微软雅黑" w:hAnsi="微软雅黑" w:eastAsia="微软雅黑" w:cs="微软雅黑"/>
          <w:b/>
          <w:bCs/>
          <w:snapToGrid w:val="0"/>
          <w:color w:val="auto"/>
          <w:kern w:val="0"/>
          <w:sz w:val="21"/>
          <w:szCs w:val="21"/>
          <w:highlight w:val="none"/>
        </w:rPr>
        <w:t>服务功能提升</w:t>
      </w:r>
    </w:p>
    <w:p w14:paraId="6D328AC8">
      <w:pPr>
        <w:numPr>
          <w:ilvl w:val="0"/>
          <w:numId w:val="0"/>
        </w:numPr>
        <w:snapToGrid w:val="0"/>
        <w:spacing w:line="360" w:lineRule="auto"/>
        <w:ind w:left="0" w:leftChars="0" w:firstLine="420" w:firstLineChars="200"/>
        <w:rPr>
          <w:rFonts w:hint="eastAsia" w:ascii="微软雅黑" w:hAnsi="微软雅黑" w:eastAsia="微软雅黑" w:cs="微软雅黑"/>
          <w:snapToGrid w:val="0"/>
          <w:color w:val="auto"/>
          <w:kern w:val="0"/>
          <w:sz w:val="21"/>
          <w:szCs w:val="21"/>
          <w:highlight w:val="none"/>
          <w:lang w:eastAsia="zh-CN"/>
        </w:rPr>
      </w:pPr>
      <w:r>
        <w:rPr>
          <w:rFonts w:hint="eastAsia" w:ascii="微软雅黑" w:hAnsi="微软雅黑" w:eastAsia="微软雅黑" w:cs="微软雅黑"/>
          <w:snapToGrid w:val="0"/>
          <w:color w:val="auto"/>
          <w:kern w:val="0"/>
          <w:sz w:val="21"/>
          <w:szCs w:val="21"/>
          <w:highlight w:val="none"/>
        </w:rPr>
        <w:t>以满足精神障碍患者康复需求为中心，对站点内康复空间进行优化布局，嵌入用于一对一咨询与治疗的个案工作室，用于体能训练与生活技能提升的康复活动室</w:t>
      </w:r>
      <w:r>
        <w:rPr>
          <w:rFonts w:hint="eastAsia" w:ascii="微软雅黑" w:hAnsi="微软雅黑" w:cs="微软雅黑"/>
          <w:snapToGrid w:val="0"/>
          <w:color w:val="auto"/>
          <w:kern w:val="0"/>
          <w:sz w:val="21"/>
          <w:szCs w:val="21"/>
          <w:highlight w:val="none"/>
          <w:lang w:eastAsia="zh-CN"/>
        </w:rPr>
        <w:t>。</w:t>
      </w:r>
      <w:r>
        <w:rPr>
          <w:rFonts w:hint="eastAsia" w:ascii="微软雅黑" w:hAnsi="微软雅黑" w:eastAsia="微软雅黑" w:cs="微软雅黑"/>
          <w:b/>
          <w:bCs/>
          <w:color w:val="auto"/>
          <w:sz w:val="21"/>
          <w:szCs w:val="21"/>
          <w:highlight w:val="none"/>
        </w:rPr>
        <w:t>按照《精神障碍社区康复服务工作规范》</w:t>
      </w:r>
      <w:r>
        <w:rPr>
          <w:rFonts w:hint="eastAsia" w:ascii="微软雅黑" w:hAnsi="微软雅黑" w:cs="微软雅黑"/>
          <w:b/>
          <w:bCs/>
          <w:color w:val="auto"/>
          <w:sz w:val="21"/>
          <w:szCs w:val="21"/>
          <w:highlight w:val="none"/>
          <w:lang w:eastAsia="zh-CN"/>
        </w:rPr>
        <w:t>（</w:t>
      </w:r>
      <w:r>
        <w:rPr>
          <w:rFonts w:hint="eastAsia" w:ascii="微软雅黑" w:hAnsi="微软雅黑" w:cs="微软雅黑"/>
          <w:b/>
          <w:bCs/>
          <w:color w:val="auto"/>
          <w:sz w:val="21"/>
          <w:szCs w:val="21"/>
          <w:highlight w:val="none"/>
          <w:lang w:val="en-US" w:eastAsia="zh-CN"/>
        </w:rPr>
        <w:t>附件三）</w:t>
      </w:r>
      <w:r>
        <w:rPr>
          <w:rFonts w:hint="eastAsia" w:ascii="微软雅黑" w:hAnsi="微软雅黑" w:eastAsia="微软雅黑" w:cs="微软雅黑"/>
          <w:b/>
          <w:bCs/>
          <w:color w:val="auto"/>
          <w:sz w:val="21"/>
          <w:szCs w:val="21"/>
          <w:highlight w:val="none"/>
        </w:rPr>
        <w:t>第三条</w:t>
      </w:r>
      <w:r>
        <w:rPr>
          <w:rFonts w:hint="eastAsia" w:ascii="微软雅黑" w:hAnsi="微软雅黑" w:cs="微软雅黑"/>
          <w:b/>
          <w:bCs/>
          <w:color w:val="auto"/>
          <w:sz w:val="21"/>
          <w:szCs w:val="21"/>
          <w:highlight w:val="none"/>
          <w:lang w:eastAsia="zh-CN"/>
        </w:rPr>
        <w:t>（</w:t>
      </w:r>
      <w:r>
        <w:rPr>
          <w:rFonts w:hint="eastAsia" w:ascii="微软雅黑" w:hAnsi="微软雅黑" w:cs="微软雅黑"/>
          <w:b/>
          <w:bCs/>
          <w:color w:val="auto"/>
          <w:sz w:val="21"/>
          <w:szCs w:val="21"/>
          <w:highlight w:val="none"/>
          <w:lang w:val="en-US" w:eastAsia="zh-CN"/>
        </w:rPr>
        <w:t>服务机构）</w:t>
      </w:r>
      <w:r>
        <w:rPr>
          <w:rFonts w:hint="eastAsia" w:ascii="微软雅黑" w:hAnsi="微软雅黑" w:eastAsia="微软雅黑" w:cs="微软雅黑"/>
          <w:b/>
          <w:bCs/>
          <w:color w:val="auto"/>
          <w:sz w:val="21"/>
          <w:szCs w:val="21"/>
          <w:highlight w:val="none"/>
        </w:rPr>
        <w:t>的要求，</w:t>
      </w:r>
      <w:r>
        <w:rPr>
          <w:rFonts w:hint="eastAsia" w:ascii="微软雅黑" w:hAnsi="微软雅黑" w:eastAsia="微软雅黑" w:cs="微软雅黑"/>
          <w:snapToGrid w:val="0"/>
          <w:color w:val="auto"/>
          <w:kern w:val="0"/>
          <w:sz w:val="21"/>
          <w:szCs w:val="21"/>
          <w:highlight w:val="none"/>
        </w:rPr>
        <w:t>配备图书期刊供患者阅读的阅读室，含沙盘、乐器等艺术疗法设施的艺术治疗室，支持集体康复活动的团体治疗室，开展职业技能培训的职业康复室，开展手工艺活动的作业治疗室以及鼓励户外与社交互动的户外活动区等，以更加复合、更加丰富的功能不断提升站点服务能级。打造洪合镇、新塍镇、王江泾镇（2个）、新城街道、高照街道</w:t>
      </w:r>
      <w:r>
        <w:rPr>
          <w:rFonts w:hint="eastAsia" w:ascii="微软雅黑" w:hAnsi="微软雅黑" w:eastAsia="微软雅黑" w:cs="微软雅黑"/>
          <w:b/>
          <w:bCs/>
          <w:snapToGrid w:val="0"/>
          <w:color w:val="auto"/>
          <w:kern w:val="0"/>
          <w:sz w:val="21"/>
          <w:szCs w:val="21"/>
          <w:highlight w:val="none"/>
        </w:rPr>
        <w:t>6个站点</w:t>
      </w:r>
      <w:r>
        <w:rPr>
          <w:rFonts w:hint="eastAsia" w:ascii="微软雅黑" w:hAnsi="微软雅黑" w:eastAsia="微软雅黑" w:cs="微软雅黑"/>
          <w:b/>
          <w:bCs/>
          <w:snapToGrid w:val="0"/>
          <w:color w:val="auto"/>
          <w:kern w:val="0"/>
          <w:sz w:val="21"/>
          <w:szCs w:val="21"/>
          <w:highlight w:val="none"/>
          <w:lang w:eastAsia="zh-CN"/>
        </w:rPr>
        <w:t>。</w:t>
      </w:r>
    </w:p>
    <w:p w14:paraId="59268057">
      <w:pPr>
        <w:numPr>
          <w:ilvl w:val="0"/>
          <w:numId w:val="4"/>
        </w:numPr>
        <w:snapToGrid w:val="0"/>
        <w:spacing w:line="360" w:lineRule="auto"/>
        <w:ind w:left="0" w:leftChars="0" w:firstLine="420" w:firstLineChars="200"/>
        <w:outlineLvl w:val="1"/>
        <w:rPr>
          <w:rFonts w:hint="eastAsia" w:ascii="微软雅黑" w:hAnsi="微软雅黑" w:cs="微软雅黑"/>
          <w:b/>
          <w:bCs/>
          <w:color w:val="auto"/>
          <w:sz w:val="21"/>
          <w:szCs w:val="21"/>
          <w:highlight w:val="none"/>
          <w:lang w:val="en-US" w:eastAsia="zh-CN"/>
        </w:rPr>
      </w:pPr>
      <w:r>
        <w:rPr>
          <w:rFonts w:hint="eastAsia" w:ascii="微软雅黑" w:hAnsi="微软雅黑" w:cs="微软雅黑"/>
          <w:b/>
          <w:bCs/>
          <w:color w:val="auto"/>
          <w:sz w:val="21"/>
          <w:szCs w:val="21"/>
          <w:highlight w:val="none"/>
          <w:lang w:val="en-US" w:eastAsia="zh-CN"/>
        </w:rPr>
        <w:t>项目团队人员要求</w:t>
      </w:r>
    </w:p>
    <w:p w14:paraId="72EB2B01">
      <w:pPr>
        <w:pStyle w:val="311"/>
        <w:numPr>
          <w:ilvl w:val="0"/>
          <w:numId w:val="15"/>
        </w:numPr>
        <w:spacing w:line="360" w:lineRule="auto"/>
        <w:ind w:left="5" w:leftChars="0" w:firstLine="415" w:firstLineChars="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eastAsia="zh-CN"/>
        </w:rPr>
        <w:t>▲</w:t>
      </w:r>
      <w:r>
        <w:rPr>
          <w:rFonts w:hint="eastAsia" w:ascii="微软雅黑" w:hAnsi="微软雅黑" w:eastAsia="微软雅黑" w:cs="微软雅黑"/>
          <w:color w:val="auto"/>
          <w:sz w:val="21"/>
          <w:szCs w:val="21"/>
          <w:highlight w:val="none"/>
        </w:rPr>
        <w:t>该项目须配备一支以社会工作者、精神科医师为核心，以护士、心理治疗师、心理咨询师、公共卫生医师、康复师为重要专业力量的综合服务团队。</w:t>
      </w:r>
      <w:r>
        <w:rPr>
          <w:rFonts w:hint="eastAsia" w:ascii="微软雅黑" w:hAnsi="微软雅黑" w:eastAsia="微软雅黑" w:cs="微软雅黑"/>
          <w:color w:val="auto"/>
          <w:sz w:val="21"/>
          <w:szCs w:val="21"/>
          <w:highlight w:val="none"/>
        </w:rPr>
        <w:t>其中</w:t>
      </w:r>
      <w:r>
        <w:rPr>
          <w:rFonts w:hint="eastAsia" w:ascii="微软雅黑" w:hAnsi="微软雅黑" w:eastAsia="微软雅黑" w:cs="微软雅黑"/>
          <w:color w:val="auto"/>
          <w:sz w:val="21"/>
          <w:szCs w:val="21"/>
          <w:highlight w:val="none"/>
          <w:lang w:eastAsia="zh-CN"/>
        </w:rPr>
        <w:t>不低于</w:t>
      </w:r>
      <w:r>
        <w:rPr>
          <w:rFonts w:hint="eastAsia" w:ascii="微软雅黑" w:hAnsi="微软雅黑" w:eastAsia="微软雅黑" w:cs="微软雅黑"/>
          <w:color w:val="auto"/>
          <w:sz w:val="21"/>
          <w:szCs w:val="21"/>
          <w:highlight w:val="none"/>
          <w:lang w:val="en-US" w:eastAsia="zh-CN"/>
        </w:rPr>
        <w:t>50%的工作人员须具有精神卫生、社会工作、心理健康相关专业背景的专职人员。</w:t>
      </w:r>
    </w:p>
    <w:p w14:paraId="42F8E93C">
      <w:pPr>
        <w:pStyle w:val="311"/>
        <w:numPr>
          <w:ilvl w:val="0"/>
          <w:numId w:val="15"/>
        </w:numPr>
        <w:spacing w:line="360" w:lineRule="auto"/>
        <w:ind w:left="5" w:leftChars="0" w:firstLine="415" w:firstLineChars="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lang w:eastAsia="zh-CN"/>
        </w:rPr>
        <w:t>▲每个</w:t>
      </w:r>
      <w:r>
        <w:rPr>
          <w:rFonts w:hint="eastAsia" w:ascii="微软雅黑" w:hAnsi="微软雅黑" w:eastAsia="微软雅黑" w:cs="微软雅黑"/>
          <w:color w:val="auto"/>
          <w:sz w:val="21"/>
          <w:szCs w:val="21"/>
          <w:highlight w:val="none"/>
        </w:rPr>
        <w:t>服务站至少配</w:t>
      </w:r>
      <w:r>
        <w:rPr>
          <w:rFonts w:hint="eastAsia" w:ascii="微软雅黑" w:hAnsi="微软雅黑" w:eastAsia="微软雅黑" w:cs="微软雅黑"/>
          <w:color w:val="auto"/>
          <w:sz w:val="21"/>
          <w:szCs w:val="21"/>
          <w:highlight w:val="none"/>
          <w:lang w:eastAsia="zh-CN"/>
        </w:rPr>
        <w:t>备专职管理人员不少于</w:t>
      </w:r>
      <w:r>
        <w:rPr>
          <w:rFonts w:hint="eastAsia" w:ascii="微软雅黑" w:hAnsi="微软雅黑" w:eastAsia="微软雅黑" w:cs="微软雅黑"/>
          <w:color w:val="auto"/>
          <w:sz w:val="21"/>
          <w:szCs w:val="21"/>
          <w:highlight w:val="none"/>
          <w:lang w:val="en-US" w:eastAsia="zh-CN"/>
        </w:rPr>
        <w:t>1名，配置专职持证社会工作师不少于</w:t>
      </w:r>
      <w:r>
        <w:rPr>
          <w:rFonts w:hint="eastAsia" w:ascii="微软雅黑" w:hAnsi="微软雅黑" w:eastAsia="微软雅黑" w:cs="微软雅黑"/>
          <w:color w:val="auto"/>
          <w:sz w:val="21"/>
          <w:szCs w:val="21"/>
          <w:highlight w:val="none"/>
        </w:rPr>
        <w:t>2名</w:t>
      </w:r>
      <w:r>
        <w:rPr>
          <w:rFonts w:hint="eastAsia" w:ascii="微软雅黑" w:hAnsi="微软雅黑" w:eastAsia="微软雅黑" w:cs="微软雅黑"/>
          <w:color w:val="auto"/>
          <w:sz w:val="21"/>
          <w:szCs w:val="21"/>
          <w:highlight w:val="none"/>
          <w:lang w:eastAsia="zh-CN"/>
        </w:rPr>
        <w:t>，年龄要求不超过</w:t>
      </w:r>
      <w:r>
        <w:rPr>
          <w:rFonts w:hint="eastAsia" w:ascii="微软雅黑" w:hAnsi="微软雅黑" w:eastAsia="微软雅黑" w:cs="微软雅黑"/>
          <w:color w:val="auto"/>
          <w:sz w:val="21"/>
          <w:szCs w:val="21"/>
          <w:highlight w:val="none"/>
          <w:lang w:val="en-US" w:eastAsia="zh-CN"/>
        </w:rPr>
        <w:t>50周岁，其中专职持证工作师须具有社工证。</w:t>
      </w:r>
    </w:p>
    <w:p w14:paraId="56CECD68">
      <w:pPr>
        <w:pStyle w:val="311"/>
        <w:numPr>
          <w:ilvl w:val="0"/>
          <w:numId w:val="15"/>
        </w:numPr>
        <w:spacing w:line="360" w:lineRule="auto"/>
        <w:ind w:left="5" w:leftChars="0" w:firstLine="415" w:firstLineChars="0"/>
        <w:jc w:val="both"/>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其他专业人员</w:t>
      </w:r>
      <w:r>
        <w:rPr>
          <w:rFonts w:hint="eastAsia" w:ascii="微软雅黑" w:hAnsi="微软雅黑" w:eastAsia="微软雅黑" w:cs="微软雅黑"/>
          <w:color w:val="auto"/>
          <w:sz w:val="21"/>
          <w:szCs w:val="21"/>
          <w:highlight w:val="none"/>
          <w:lang w:eastAsia="zh-CN"/>
        </w:rPr>
        <w:t>（可兼职）</w:t>
      </w:r>
      <w:r>
        <w:rPr>
          <w:rFonts w:hint="eastAsia" w:ascii="微软雅黑" w:hAnsi="微软雅黑" w:eastAsia="微软雅黑" w:cs="微软雅黑"/>
          <w:color w:val="auto"/>
          <w:sz w:val="21"/>
          <w:szCs w:val="21"/>
          <w:highlight w:val="none"/>
        </w:rPr>
        <w:t>。该项目须配备不少于1名精神科医师，不少于1名护士，不少于1名心理治疗师或心理咨询师，不少于1名公共卫生医师，不少于1名康复师，不少于1名专业督导。</w:t>
      </w:r>
    </w:p>
    <w:p w14:paraId="7D4C5D4B">
      <w:pPr>
        <w:numPr>
          <w:ilvl w:val="0"/>
          <w:numId w:val="4"/>
        </w:numPr>
        <w:snapToGrid w:val="0"/>
        <w:spacing w:line="360" w:lineRule="auto"/>
        <w:ind w:left="0" w:leftChars="0" w:firstLine="420" w:firstLineChars="200"/>
        <w:outlineLvl w:val="1"/>
        <w:rPr>
          <w:rFonts w:hint="eastAsia" w:ascii="微软雅黑" w:hAnsi="微软雅黑" w:cs="微软雅黑"/>
          <w:b/>
          <w:bCs/>
          <w:color w:val="auto"/>
          <w:sz w:val="21"/>
          <w:szCs w:val="21"/>
          <w:highlight w:val="none"/>
          <w:lang w:val="en-US" w:eastAsia="zh-CN"/>
        </w:rPr>
      </w:pPr>
      <w:r>
        <w:rPr>
          <w:rFonts w:hint="eastAsia" w:ascii="微软雅黑" w:hAnsi="微软雅黑" w:cs="微软雅黑"/>
          <w:b/>
          <w:bCs/>
          <w:color w:val="auto"/>
          <w:sz w:val="21"/>
          <w:szCs w:val="21"/>
          <w:highlight w:val="none"/>
          <w:lang w:val="en-US" w:eastAsia="zh-CN"/>
        </w:rPr>
        <w:t>合同履行期限</w:t>
      </w:r>
    </w:p>
    <w:p w14:paraId="75A40074">
      <w:pPr>
        <w:pStyle w:val="308"/>
        <w:spacing w:line="360" w:lineRule="auto"/>
        <w:ind w:left="0" w:leftChars="0"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olor w:val="auto"/>
          <w:sz w:val="21"/>
          <w:szCs w:val="21"/>
          <w:highlight w:val="none"/>
        </w:rPr>
        <w:t>合同签订之日起一年。</w:t>
      </w:r>
    </w:p>
    <w:p w14:paraId="0D0B278E">
      <w:pPr>
        <w:numPr>
          <w:ilvl w:val="0"/>
          <w:numId w:val="4"/>
        </w:numPr>
        <w:snapToGrid w:val="0"/>
        <w:spacing w:line="360" w:lineRule="auto"/>
        <w:ind w:left="0" w:leftChars="0" w:firstLine="420" w:firstLineChars="200"/>
        <w:outlineLvl w:val="1"/>
        <w:rPr>
          <w:rFonts w:hint="eastAsia" w:ascii="微软雅黑" w:hAnsi="微软雅黑" w:eastAsia="微软雅黑" w:cs="微软雅黑"/>
          <w:b/>
          <w:bCs/>
          <w:color w:val="auto"/>
          <w:sz w:val="21"/>
          <w:szCs w:val="21"/>
          <w:highlight w:val="none"/>
        </w:rPr>
      </w:pPr>
      <w:r>
        <w:rPr>
          <w:rFonts w:hint="eastAsia" w:ascii="微软雅黑" w:hAnsi="微软雅黑" w:cs="微软雅黑"/>
          <w:b/>
          <w:bCs/>
          <w:color w:val="auto"/>
          <w:sz w:val="21"/>
          <w:szCs w:val="21"/>
          <w:highlight w:val="none"/>
          <w:lang w:eastAsia="zh-CN"/>
        </w:rPr>
        <w:t>验收与考核</w:t>
      </w:r>
    </w:p>
    <w:p w14:paraId="2D37272B">
      <w:pPr>
        <w:widowControl w:val="0"/>
        <w:numPr>
          <w:ilvl w:val="0"/>
          <w:numId w:val="0"/>
        </w:numPr>
        <w:snapToGrid w:val="0"/>
        <w:spacing w:line="360" w:lineRule="auto"/>
        <w:ind w:firstLine="420"/>
        <w:outlineLvl w:val="1"/>
        <w:rPr>
          <w:rFonts w:hint="eastAsia" w:ascii="微软雅黑" w:hAnsi="微软雅黑" w:cs="微软雅黑"/>
          <w:b/>
          <w:bCs/>
          <w:color w:val="auto"/>
          <w:sz w:val="21"/>
          <w:szCs w:val="21"/>
          <w:highlight w:val="none"/>
          <w:lang w:val="en-US" w:eastAsia="zh-CN"/>
        </w:rPr>
      </w:pPr>
      <w:r>
        <w:rPr>
          <w:rFonts w:hint="eastAsia" w:ascii="微软雅黑" w:hAnsi="微软雅黑" w:cs="微软雅黑"/>
          <w:b/>
          <w:bCs/>
          <w:color w:val="auto"/>
          <w:sz w:val="21"/>
          <w:szCs w:val="21"/>
          <w:highlight w:val="none"/>
          <w:lang w:val="en-US" w:eastAsia="zh-CN"/>
        </w:rPr>
        <w:t>招标人委托第三方对项目实施情况</w:t>
      </w:r>
      <w:r>
        <w:rPr>
          <w:rFonts w:hint="eastAsia" w:ascii="微软雅黑" w:hAnsi="微软雅黑" w:cs="微软雅黑"/>
          <w:b/>
          <w:bCs w:val="0"/>
          <w:color w:val="auto"/>
          <w:sz w:val="21"/>
          <w:szCs w:val="21"/>
          <w:highlight w:val="none"/>
          <w:lang w:val="en-US" w:eastAsia="zh-CN"/>
        </w:rPr>
        <w:t>参照《精神障碍社区康复服务试点项目评估指标体系（试行，稿）意见的函》｛民办便函【2025】182号｝对项目实施进行评估考核</w:t>
      </w:r>
      <w:r>
        <w:rPr>
          <w:rFonts w:hint="eastAsia" w:ascii="微软雅黑" w:hAnsi="微软雅黑" w:cs="微软雅黑"/>
          <w:b/>
          <w:bCs/>
          <w:color w:val="auto"/>
          <w:sz w:val="21"/>
          <w:szCs w:val="21"/>
          <w:highlight w:val="none"/>
          <w:lang w:val="en-US" w:eastAsia="zh-CN"/>
        </w:rPr>
        <w:t>，评估分为日常监测、季度提升以及中期及末期评估。采购单位根据评估结果支付项目费用。</w:t>
      </w:r>
    </w:p>
    <w:p w14:paraId="302496A3">
      <w:pPr>
        <w:widowControl w:val="0"/>
        <w:numPr>
          <w:ilvl w:val="0"/>
          <w:numId w:val="0"/>
        </w:numPr>
        <w:snapToGrid w:val="0"/>
        <w:spacing w:line="360" w:lineRule="auto"/>
        <w:ind w:firstLine="420"/>
        <w:outlineLvl w:val="1"/>
        <w:rPr>
          <w:rFonts w:hint="default" w:ascii="微软雅黑" w:hAnsi="微软雅黑" w:cs="微软雅黑"/>
          <w:b/>
          <w:bCs/>
          <w:color w:val="auto"/>
          <w:sz w:val="21"/>
          <w:szCs w:val="21"/>
          <w:highlight w:val="none"/>
          <w:lang w:val="en-US" w:eastAsia="zh-CN"/>
        </w:rPr>
      </w:pPr>
      <w:r>
        <w:rPr>
          <w:rFonts w:hint="eastAsia" w:ascii="微软雅黑" w:hAnsi="微软雅黑" w:cs="微软雅黑"/>
          <w:b/>
          <w:bCs/>
          <w:color w:val="auto"/>
          <w:sz w:val="21"/>
          <w:szCs w:val="21"/>
          <w:highlight w:val="none"/>
          <w:lang w:val="en-US" w:eastAsia="zh-CN"/>
        </w:rPr>
        <w:t>项目合同金额的15%作为考核费用，考核费用按12个月分摊，按考核结果，招标人支付项目合同款项。</w:t>
      </w:r>
    </w:p>
    <w:p w14:paraId="2FB245DF">
      <w:pPr>
        <w:numPr>
          <w:ilvl w:val="0"/>
          <w:numId w:val="4"/>
        </w:numPr>
        <w:snapToGrid w:val="0"/>
        <w:spacing w:line="360" w:lineRule="auto"/>
        <w:ind w:left="0" w:leftChars="0" w:firstLine="420" w:firstLineChars="200"/>
        <w:outlineLvl w:val="1"/>
        <w:rPr>
          <w:rFonts w:hint="eastAsia" w:ascii="微软雅黑" w:hAnsi="微软雅黑" w:eastAsia="微软雅黑" w:cs="微软雅黑"/>
          <w:b/>
          <w:bCs/>
          <w:color w:val="auto"/>
          <w:sz w:val="21"/>
          <w:szCs w:val="21"/>
          <w:highlight w:val="none"/>
        </w:rPr>
      </w:pPr>
      <w:r>
        <w:rPr>
          <w:rFonts w:hint="eastAsia" w:ascii="微软雅黑" w:hAnsi="微软雅黑" w:eastAsia="微软雅黑" w:cs="微软雅黑"/>
          <w:b/>
          <w:bCs/>
          <w:color w:val="auto"/>
          <w:sz w:val="21"/>
          <w:szCs w:val="21"/>
          <w:highlight w:val="none"/>
        </w:rPr>
        <w:t>付款方式</w:t>
      </w:r>
    </w:p>
    <w:p w14:paraId="54640171">
      <w:pPr>
        <w:pStyle w:val="4"/>
        <w:keepNext w:val="0"/>
        <w:keepLines w:val="0"/>
        <w:numPr>
          <w:ilvl w:val="0"/>
          <w:numId w:val="16"/>
        </w:numPr>
        <w:snapToGrid w:val="0"/>
        <w:spacing w:line="360" w:lineRule="auto"/>
        <w:ind w:left="0" w:leftChars="0" w:firstLine="420" w:firstLineChars="200"/>
        <w:rPr>
          <w:rFonts w:hint="eastAsia" w:ascii="微软雅黑" w:hAnsi="微软雅黑" w:eastAsia="微软雅黑" w:cs="微软雅黑"/>
          <w:b/>
          <w:bCs w:val="0"/>
          <w:color w:val="auto"/>
          <w:sz w:val="21"/>
          <w:szCs w:val="21"/>
          <w:highlight w:val="none"/>
        </w:rPr>
      </w:pPr>
      <w:r>
        <w:rPr>
          <w:rFonts w:hint="eastAsia" w:ascii="微软雅黑" w:hAnsi="微软雅黑" w:eastAsia="微软雅黑" w:cs="微软雅黑"/>
          <w:b/>
          <w:bCs w:val="0"/>
          <w:color w:val="auto"/>
          <w:sz w:val="21"/>
          <w:szCs w:val="21"/>
          <w:highlight w:val="none"/>
        </w:rPr>
        <w:t>预付款政策告知</w:t>
      </w:r>
    </w:p>
    <w:p w14:paraId="5AAB1B14">
      <w:pPr>
        <w:spacing w:line="360" w:lineRule="auto"/>
        <w:ind w:left="0" w:leftChars="0" w:firstLine="420" w:firstLineChars="200"/>
        <w:rPr>
          <w:rFonts w:hint="eastAsia" w:ascii="微软雅黑" w:hAnsi="微软雅黑" w:eastAsia="微软雅黑" w:cs="微软雅黑"/>
          <w:color w:val="auto"/>
          <w:sz w:val="21"/>
          <w:szCs w:val="21"/>
          <w:highlight w:val="none"/>
        </w:rPr>
      </w:pPr>
      <w:r>
        <w:rPr>
          <w:rFonts w:hint="eastAsia" w:ascii="微软雅黑" w:hAnsi="微软雅黑" w:eastAsia="微软雅黑" w:cs="微软雅黑"/>
          <w:color w:val="auto"/>
          <w:sz w:val="21"/>
          <w:szCs w:val="21"/>
          <w:highlight w:val="none"/>
        </w:rPr>
        <w:t>根据《浙江省财政厅关于进一步发挥政府采购政策功能全力推动经济稳进提质的通知》[浙财采监〔2022〕3号]规定：进一步提高政府采购预付款比例。采购单位应当在政府采购合同中约定预付款，对中小企业合同预付款比例原则上不低于合同金额的40%，不高于合同金额的70%；项目分年安排预算的，每年预付款比例不低于项目年底计划支付资金额的40%，不高于年度计划支付资金额的70%；采购项目实施以人工投入为主的，可适当降低预付款比例，但不得低于20%。对供应商为大型企业的项目或者以人工投入为主且实行按月定期结算支付款项的项目，预付款比例可低于上述比例或者不约定预付款。在签订合同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w:t>
      </w:r>
    </w:p>
    <w:p w14:paraId="42D7D5AC">
      <w:pPr>
        <w:pStyle w:val="4"/>
        <w:keepNext w:val="0"/>
        <w:keepLines w:val="0"/>
        <w:numPr>
          <w:ilvl w:val="0"/>
          <w:numId w:val="16"/>
        </w:numPr>
        <w:snapToGrid w:val="0"/>
        <w:spacing w:line="360" w:lineRule="auto"/>
        <w:ind w:left="0" w:leftChars="0" w:firstLine="420" w:firstLineChars="200"/>
        <w:rPr>
          <w:rFonts w:hint="eastAsia" w:ascii="微软雅黑" w:hAnsi="微软雅黑" w:eastAsia="微软雅黑" w:cs="微软雅黑"/>
          <w:b/>
          <w:bCs w:val="0"/>
          <w:color w:val="auto"/>
          <w:sz w:val="21"/>
          <w:szCs w:val="21"/>
          <w:highlight w:val="none"/>
          <w:lang w:eastAsia="zh-CN"/>
        </w:rPr>
      </w:pPr>
      <w:r>
        <w:rPr>
          <w:rFonts w:hint="eastAsia" w:ascii="微软雅黑" w:hAnsi="微软雅黑" w:cs="微软雅黑"/>
          <w:b/>
          <w:bCs w:val="0"/>
          <w:color w:val="auto"/>
          <w:sz w:val="21"/>
          <w:szCs w:val="21"/>
          <w:highlight w:val="none"/>
          <w:lang w:eastAsia="zh-CN"/>
        </w:rPr>
        <w:t>项目进度款</w:t>
      </w:r>
    </w:p>
    <w:p w14:paraId="763DF993">
      <w:pPr>
        <w:numPr>
          <w:ilvl w:val="0"/>
          <w:numId w:val="17"/>
        </w:numPr>
        <w:rPr>
          <w:rFonts w:hint="eastAsia" w:ascii="微软雅黑" w:hAnsi="微软雅黑" w:cs="微软雅黑"/>
          <w:b/>
          <w:bCs w:val="0"/>
          <w:color w:val="auto"/>
          <w:sz w:val="21"/>
          <w:szCs w:val="21"/>
          <w:highlight w:val="none"/>
          <w:lang w:val="en-US" w:eastAsia="zh-CN"/>
        </w:rPr>
      </w:pPr>
      <w:r>
        <w:rPr>
          <w:rFonts w:hint="eastAsia" w:ascii="微软雅黑" w:hAnsi="微软雅黑" w:cs="微软雅黑"/>
          <w:b/>
          <w:bCs w:val="0"/>
          <w:color w:val="auto"/>
          <w:sz w:val="21"/>
          <w:szCs w:val="21"/>
          <w:highlight w:val="none"/>
          <w:lang w:val="en-US" w:eastAsia="zh-CN"/>
        </w:rPr>
        <w:t>项目按合同金额扣除</w:t>
      </w:r>
      <w:r>
        <w:rPr>
          <w:rFonts w:hint="eastAsia" w:ascii="微软雅黑" w:hAnsi="微软雅黑" w:cs="微软雅黑"/>
          <w:b/>
          <w:bCs w:val="0"/>
          <w:color w:val="auto"/>
          <w:sz w:val="21"/>
          <w:szCs w:val="21"/>
          <w:highlight w:val="none"/>
          <w:lang w:val="en-US" w:eastAsia="zh-CN"/>
        </w:rPr>
        <w:t>15%</w:t>
      </w:r>
      <w:r>
        <w:rPr>
          <w:rFonts w:hint="eastAsia" w:ascii="微软雅黑" w:hAnsi="微软雅黑" w:cs="微软雅黑"/>
          <w:b/>
          <w:bCs w:val="0"/>
          <w:color w:val="auto"/>
          <w:sz w:val="21"/>
          <w:szCs w:val="21"/>
          <w:highlight w:val="none"/>
          <w:lang w:val="en-US" w:eastAsia="zh-CN"/>
        </w:rPr>
        <w:t>后，按月均分支付，中标供应商提供正规发票，采购单位在下月月中前支付上月费用。</w:t>
      </w:r>
    </w:p>
    <w:p w14:paraId="64B809C5">
      <w:pPr>
        <w:numPr>
          <w:ilvl w:val="0"/>
          <w:numId w:val="17"/>
        </w:numPr>
        <w:rPr>
          <w:rFonts w:hint="eastAsia" w:ascii="微软雅黑" w:hAnsi="微软雅黑" w:cs="微软雅黑"/>
          <w:b/>
          <w:bCs w:val="0"/>
          <w:color w:val="auto"/>
          <w:sz w:val="21"/>
          <w:szCs w:val="21"/>
          <w:highlight w:val="none"/>
          <w:lang w:val="en-US" w:eastAsia="zh-CN"/>
        </w:rPr>
      </w:pPr>
      <w:r>
        <w:rPr>
          <w:rFonts w:hint="eastAsia" w:ascii="微软雅黑" w:hAnsi="微软雅黑" w:cs="微软雅黑"/>
          <w:b/>
          <w:bCs w:val="0"/>
          <w:color w:val="auto"/>
          <w:sz w:val="21"/>
          <w:szCs w:val="21"/>
          <w:highlight w:val="none"/>
          <w:lang w:val="en-US" w:eastAsia="zh-CN"/>
        </w:rPr>
        <w:t>月度评估考核：招标人委托第三方参照《精神障碍社区康复服务试点项目评估指标体系（试行，稿）意见的函》｛民办便函【2025】182号｝对项目实施进行评估考核，月度考核分数90分及以上为优秀，全额支付当月考核费用；80分（含）以上至89分（含）为良好，支付当月考核费用的90%；60 分（含）以上至 79分（含）为合格，支付当月考核费用的60%；59分（含）以下为不合格，不支付当月考核费用。</w:t>
      </w:r>
    </w:p>
    <w:p w14:paraId="17874A84">
      <w:pPr>
        <w:numPr>
          <w:ilvl w:val="0"/>
          <w:numId w:val="17"/>
        </w:numPr>
        <w:rPr>
          <w:rFonts w:hint="eastAsia" w:ascii="微软雅黑" w:hAnsi="微软雅黑" w:cs="微软雅黑"/>
          <w:b/>
          <w:bCs w:val="0"/>
          <w:color w:val="auto"/>
          <w:sz w:val="21"/>
          <w:szCs w:val="21"/>
          <w:highlight w:val="none"/>
          <w:lang w:val="en-US" w:eastAsia="zh-CN"/>
        </w:rPr>
      </w:pPr>
      <w:r>
        <w:rPr>
          <w:rFonts w:hint="eastAsia" w:ascii="微软雅黑" w:hAnsi="微软雅黑" w:cs="微软雅黑"/>
          <w:b/>
          <w:bCs w:val="0"/>
          <w:color w:val="auto"/>
          <w:sz w:val="21"/>
          <w:szCs w:val="21"/>
          <w:highlight w:val="none"/>
          <w:lang w:val="en-US" w:eastAsia="zh-CN"/>
        </w:rPr>
        <w:t>季度评估考核：汇总当季度每月评估考核的平均分为当季评估考核得分，季度考核分数90分及以上为优秀，全额返还月度评估考核中被扣除的费用；80分（含）以上至89分（含）为良好，返还月度评估考核中被扣除的费用的80%；60 分（含）以上至 79分（含）为合格，返还月度评估考核中被扣除的费用的50%，59分（含）以下为不合格，不再返还月度评估考核中被扣除的费用。</w:t>
      </w:r>
    </w:p>
    <w:bookmarkEnd w:id="18"/>
    <w:bookmarkEnd w:id="19"/>
    <w:bookmarkEnd w:id="20"/>
    <w:bookmarkEnd w:id="21"/>
    <w:bookmarkEnd w:id="22"/>
    <w:bookmarkEnd w:id="23"/>
    <w:bookmarkEnd w:id="24"/>
    <w:p w14:paraId="4ADAA39E">
      <w:pPr>
        <w:numPr>
          <w:ilvl w:val="0"/>
          <w:numId w:val="4"/>
        </w:numPr>
        <w:snapToGrid w:val="0"/>
        <w:spacing w:line="360" w:lineRule="auto"/>
        <w:ind w:left="0" w:leftChars="0" w:firstLine="420" w:firstLineChars="200"/>
        <w:outlineLvl w:val="1"/>
        <w:rPr>
          <w:rFonts w:hint="eastAsia" w:ascii="微软雅黑" w:hAnsi="微软雅黑" w:eastAsia="微软雅黑" w:cs="微软雅黑"/>
          <w:b/>
          <w:bCs/>
          <w:color w:val="auto"/>
          <w:sz w:val="21"/>
          <w:szCs w:val="21"/>
          <w:highlight w:val="none"/>
        </w:rPr>
      </w:pPr>
      <w:bookmarkStart w:id="92" w:name="_Toc32265"/>
      <w:r>
        <w:rPr>
          <w:rFonts w:hint="eastAsia" w:ascii="微软雅黑" w:hAnsi="微软雅黑" w:eastAsia="微软雅黑" w:cs="微软雅黑"/>
          <w:b/>
          <w:bCs/>
          <w:color w:val="auto"/>
          <w:sz w:val="21"/>
          <w:szCs w:val="21"/>
          <w:highlight w:val="none"/>
          <w:lang w:val="en-US" w:eastAsia="zh-CN"/>
        </w:rPr>
        <w:t>其他要求</w:t>
      </w:r>
    </w:p>
    <w:p w14:paraId="524BC229">
      <w:pPr>
        <w:pageBreakBefore w:val="0"/>
        <w:numPr>
          <w:ilvl w:val="0"/>
          <w:numId w:val="18"/>
        </w:numPr>
        <w:kinsoku/>
        <w:wordWrap/>
        <w:overflowPunct/>
        <w:topLinePunct w:val="0"/>
        <w:autoSpaceDE/>
        <w:autoSpaceDN/>
        <w:bidi w:val="0"/>
        <w:adjustRightInd/>
        <w:spacing w:line="360" w:lineRule="auto"/>
        <w:ind w:left="5" w:leftChars="0" w:firstLine="415" w:firstLineChars="0"/>
        <w:textAlignment w:val="auto"/>
        <w:rPr>
          <w:rFonts w:hint="eastAsia" w:eastAsia="微软雅黑"/>
          <w:color w:val="auto"/>
          <w:highlight w:val="none"/>
          <w:lang w:eastAsia="zh-CN"/>
        </w:rPr>
      </w:pPr>
      <w:r>
        <w:rPr>
          <w:rFonts w:hint="eastAsia"/>
          <w:color w:val="auto"/>
          <w:highlight w:val="none"/>
        </w:rPr>
        <w:t>投标供应商需在投标文件中提供方案总体的方案（包括本项目的</w:t>
      </w:r>
      <w:r>
        <w:rPr>
          <w:rFonts w:hint="eastAsia"/>
          <w:color w:val="auto"/>
          <w:highlight w:val="none"/>
          <w:lang w:val="en-US" w:eastAsia="zh-CN"/>
        </w:rPr>
        <w:t>项目理解</w:t>
      </w:r>
      <w:r>
        <w:rPr>
          <w:rFonts w:hint="eastAsia"/>
          <w:color w:val="auto"/>
          <w:highlight w:val="none"/>
        </w:rPr>
        <w:t>、</w:t>
      </w:r>
      <w:r>
        <w:rPr>
          <w:rFonts w:hint="eastAsia"/>
          <w:color w:val="auto"/>
          <w:highlight w:val="none"/>
          <w:lang w:val="en-US" w:eastAsia="zh-CN"/>
        </w:rPr>
        <w:t>服务方案</w:t>
      </w:r>
      <w:r>
        <w:rPr>
          <w:rFonts w:hint="eastAsia"/>
          <w:color w:val="auto"/>
          <w:highlight w:val="none"/>
        </w:rPr>
        <w:t>、</w:t>
      </w:r>
      <w:r>
        <w:rPr>
          <w:rFonts w:hint="eastAsia" w:ascii="微软雅黑" w:hAnsi="微软雅黑" w:eastAsia="微软雅黑" w:cs="微软雅黑"/>
          <w:b w:val="0"/>
          <w:bCs w:val="0"/>
          <w:color w:val="auto"/>
          <w:sz w:val="21"/>
          <w:szCs w:val="21"/>
          <w:highlight w:val="none"/>
        </w:rPr>
        <w:t>服务宣传方案</w:t>
      </w:r>
      <w:r>
        <w:rPr>
          <w:rFonts w:hint="eastAsia"/>
          <w:color w:val="auto"/>
          <w:highlight w:val="none"/>
        </w:rPr>
        <w:t>、</w:t>
      </w:r>
      <w:r>
        <w:rPr>
          <w:rFonts w:hint="eastAsia" w:ascii="微软雅黑" w:hAnsi="微软雅黑" w:eastAsia="微软雅黑" w:cs="微软雅黑"/>
          <w:b w:val="0"/>
          <w:bCs w:val="0"/>
          <w:color w:val="auto"/>
          <w:sz w:val="21"/>
          <w:szCs w:val="21"/>
          <w:highlight w:val="none"/>
        </w:rPr>
        <w:t>服务团队考核管理方案</w:t>
      </w:r>
      <w:r>
        <w:rPr>
          <w:rFonts w:hint="eastAsia"/>
          <w:color w:val="auto"/>
          <w:highlight w:val="none"/>
        </w:rPr>
        <w:t>、</w:t>
      </w:r>
      <w:r>
        <w:rPr>
          <w:rFonts w:hint="eastAsia" w:ascii="微软雅黑" w:hAnsi="微软雅黑" w:eastAsia="微软雅黑" w:cs="微软雅黑"/>
          <w:b w:val="0"/>
          <w:bCs w:val="0"/>
          <w:color w:val="auto"/>
          <w:sz w:val="21"/>
          <w:szCs w:val="21"/>
          <w:highlight w:val="none"/>
        </w:rPr>
        <w:t>服务特色方案</w:t>
      </w:r>
      <w:r>
        <w:rPr>
          <w:rFonts w:hint="eastAsia"/>
          <w:color w:val="auto"/>
          <w:highlight w:val="none"/>
        </w:rPr>
        <w:t>、</w:t>
      </w:r>
      <w:r>
        <w:rPr>
          <w:rFonts w:hint="eastAsia" w:ascii="微软雅黑" w:hAnsi="微软雅黑" w:eastAsia="微软雅黑" w:cs="微软雅黑"/>
          <w:b w:val="0"/>
          <w:bCs w:val="0"/>
          <w:color w:val="auto"/>
          <w:sz w:val="21"/>
          <w:szCs w:val="21"/>
          <w:highlight w:val="none"/>
        </w:rPr>
        <w:t>人员培训方案</w:t>
      </w:r>
      <w:r>
        <w:rPr>
          <w:rFonts w:hint="eastAsia"/>
          <w:color w:val="auto"/>
          <w:highlight w:val="none"/>
        </w:rPr>
        <w:t>、</w:t>
      </w:r>
      <w:r>
        <w:rPr>
          <w:rFonts w:hint="eastAsia" w:ascii="微软雅黑" w:hAnsi="微软雅黑" w:eastAsia="微软雅黑" w:cs="微软雅黑"/>
          <w:b w:val="0"/>
          <w:bCs w:val="0"/>
          <w:color w:val="auto"/>
          <w:sz w:val="21"/>
          <w:szCs w:val="21"/>
          <w:highlight w:val="none"/>
        </w:rPr>
        <w:t>安全应急预案措施</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lang w:val="en-US" w:eastAsia="zh-CN"/>
        </w:rPr>
        <w:t>响应时间等</w:t>
      </w:r>
      <w:r>
        <w:rPr>
          <w:rFonts w:hint="eastAsia" w:ascii="微软雅黑" w:hAnsi="微软雅黑" w:eastAsia="微软雅黑" w:cs="微软雅黑"/>
          <w:b w:val="0"/>
          <w:bCs w:val="0"/>
          <w:color w:val="auto"/>
          <w:sz w:val="21"/>
          <w:szCs w:val="21"/>
          <w:highlight w:val="none"/>
          <w:lang w:eastAsia="zh-CN"/>
        </w:rPr>
        <w:t>）</w:t>
      </w:r>
      <w:r>
        <w:rPr>
          <w:rFonts w:hint="eastAsia" w:eastAsia="微软雅黑"/>
          <w:color w:val="auto"/>
          <w:highlight w:val="none"/>
          <w:lang w:eastAsia="zh-CN"/>
        </w:rPr>
        <w:t>；</w:t>
      </w:r>
    </w:p>
    <w:p w14:paraId="7C372E24">
      <w:pPr>
        <w:pageBreakBefore w:val="0"/>
        <w:numPr>
          <w:ilvl w:val="0"/>
          <w:numId w:val="18"/>
        </w:numPr>
        <w:kinsoku/>
        <w:wordWrap/>
        <w:overflowPunct/>
        <w:topLinePunct w:val="0"/>
        <w:autoSpaceDE/>
        <w:autoSpaceDN/>
        <w:bidi w:val="0"/>
        <w:adjustRightInd/>
        <w:spacing w:line="360" w:lineRule="auto"/>
        <w:ind w:left="5" w:leftChars="0" w:firstLine="415" w:firstLineChars="0"/>
        <w:textAlignment w:val="auto"/>
        <w:rPr>
          <w:rFonts w:hint="eastAsia" w:eastAsiaTheme="minorEastAsia"/>
          <w:color w:val="auto"/>
          <w:highlight w:val="none"/>
          <w:lang w:eastAsia="zh-CN"/>
        </w:rPr>
      </w:pPr>
      <w:r>
        <w:rPr>
          <w:rFonts w:hint="eastAsia"/>
          <w:color w:val="auto"/>
          <w:highlight w:val="none"/>
          <w:lang w:eastAsia="zh-CN"/>
        </w:rPr>
        <w:t>投标</w:t>
      </w:r>
      <w:r>
        <w:rPr>
          <w:rFonts w:hint="eastAsia"/>
          <w:color w:val="auto"/>
          <w:highlight w:val="none"/>
        </w:rPr>
        <w:t>供应商</w:t>
      </w:r>
      <w:r>
        <w:rPr>
          <w:rFonts w:hint="eastAsia"/>
          <w:color w:val="auto"/>
          <w:highlight w:val="none"/>
          <w:lang w:eastAsia="zh-CN"/>
        </w:rPr>
        <w:t>提供与项目相关的</w:t>
      </w:r>
      <w:r>
        <w:rPr>
          <w:rFonts w:hint="eastAsia"/>
          <w:color w:val="auto"/>
          <w:highlight w:val="none"/>
        </w:rPr>
        <w:t>项目团队</w:t>
      </w:r>
      <w:r>
        <w:rPr>
          <w:rFonts w:hint="eastAsia"/>
          <w:color w:val="auto"/>
          <w:highlight w:val="none"/>
          <w:lang w:eastAsia="zh-CN"/>
        </w:rPr>
        <w:t>人员的</w:t>
      </w:r>
      <w:r>
        <w:rPr>
          <w:rFonts w:hint="eastAsia"/>
          <w:color w:val="auto"/>
          <w:highlight w:val="none"/>
        </w:rPr>
        <w:t>配备</w:t>
      </w:r>
      <w:r>
        <w:rPr>
          <w:rFonts w:hint="eastAsia"/>
          <w:color w:val="auto"/>
          <w:highlight w:val="none"/>
          <w:lang w:eastAsia="zh-CN"/>
        </w:rPr>
        <w:t>；</w:t>
      </w:r>
    </w:p>
    <w:p w14:paraId="3EAF8331">
      <w:pPr>
        <w:pageBreakBefore w:val="0"/>
        <w:numPr>
          <w:ilvl w:val="0"/>
          <w:numId w:val="18"/>
        </w:numPr>
        <w:kinsoku/>
        <w:wordWrap/>
        <w:overflowPunct/>
        <w:topLinePunct w:val="0"/>
        <w:autoSpaceDE/>
        <w:autoSpaceDN/>
        <w:bidi w:val="0"/>
        <w:adjustRightInd/>
        <w:spacing w:line="360" w:lineRule="auto"/>
        <w:ind w:left="5" w:leftChars="0" w:firstLine="415" w:firstLineChars="0"/>
        <w:textAlignment w:val="auto"/>
        <w:rPr>
          <w:rFonts w:hint="eastAsia"/>
          <w:color w:val="auto"/>
          <w:highlight w:val="none"/>
          <w:lang w:eastAsia="zh-CN"/>
        </w:rPr>
      </w:pPr>
      <w:r>
        <w:rPr>
          <w:rFonts w:hint="eastAsia"/>
          <w:color w:val="auto"/>
          <w:highlight w:val="none"/>
          <w:lang w:eastAsia="zh-CN"/>
        </w:rPr>
        <w:t>投标供应商提供</w:t>
      </w:r>
      <w:r>
        <w:rPr>
          <w:rFonts w:hint="eastAsia" w:ascii="微软雅黑" w:hAnsi="微软雅黑" w:eastAsia="微软雅黑" w:cs="微软雅黑"/>
          <w:color w:val="auto"/>
          <w:highlight w:val="none"/>
        </w:rPr>
        <w:t>精神障碍康复训练基地</w:t>
      </w:r>
      <w:r>
        <w:rPr>
          <w:rFonts w:hint="eastAsia"/>
          <w:color w:val="auto"/>
          <w:highlight w:val="none"/>
          <w:lang w:val="en-US" w:eastAsia="zh-CN"/>
        </w:rPr>
        <w:t>服务于本项目；</w:t>
      </w:r>
    </w:p>
    <w:p w14:paraId="1766A079">
      <w:pPr>
        <w:pageBreakBefore w:val="0"/>
        <w:numPr>
          <w:ilvl w:val="0"/>
          <w:numId w:val="18"/>
        </w:numPr>
        <w:kinsoku/>
        <w:wordWrap/>
        <w:overflowPunct/>
        <w:topLinePunct w:val="0"/>
        <w:autoSpaceDE/>
        <w:autoSpaceDN/>
        <w:bidi w:val="0"/>
        <w:adjustRightInd/>
        <w:spacing w:line="360" w:lineRule="auto"/>
        <w:ind w:left="5" w:leftChars="0" w:firstLine="415" w:firstLineChars="0"/>
        <w:textAlignment w:val="auto"/>
        <w:rPr>
          <w:rFonts w:hint="eastAsia"/>
          <w:color w:val="auto"/>
          <w:highlight w:val="none"/>
          <w:lang w:eastAsia="zh-CN"/>
        </w:rPr>
      </w:pPr>
      <w:r>
        <w:rPr>
          <w:rFonts w:hint="eastAsia" w:ascii="微软雅黑" w:hAnsi="微软雅黑" w:cs="微软雅黑"/>
          <w:b w:val="0"/>
          <w:bCs w:val="0"/>
          <w:color w:val="auto"/>
          <w:sz w:val="21"/>
          <w:szCs w:val="21"/>
          <w:highlight w:val="none"/>
          <w:lang w:eastAsia="zh-CN"/>
        </w:rPr>
        <w:t>投标供应商需实地勘察</w:t>
      </w:r>
      <w:r>
        <w:rPr>
          <w:rFonts w:hint="eastAsia" w:ascii="微软雅黑" w:hAnsi="微软雅黑" w:eastAsia="微软雅黑" w:cs="微软雅黑"/>
          <w:b w:val="0"/>
          <w:bCs w:val="0"/>
          <w:color w:val="auto"/>
          <w:sz w:val="21"/>
          <w:szCs w:val="21"/>
          <w:highlight w:val="none"/>
        </w:rPr>
        <w:t>全区</w:t>
      </w:r>
      <w:r>
        <w:rPr>
          <w:rFonts w:hint="eastAsia" w:ascii="微软雅黑" w:hAnsi="微软雅黑" w:cs="微软雅黑"/>
          <w:b w:val="0"/>
          <w:bCs w:val="0"/>
          <w:color w:val="auto"/>
          <w:sz w:val="21"/>
          <w:szCs w:val="21"/>
          <w:highlight w:val="none"/>
          <w:lang w:eastAsia="zh-CN"/>
        </w:rPr>
        <w:t>关于本项目的</w:t>
      </w:r>
      <w:r>
        <w:rPr>
          <w:rFonts w:hint="eastAsia" w:ascii="微软雅黑" w:hAnsi="微软雅黑" w:eastAsia="微软雅黑" w:cs="微软雅黑"/>
          <w:snapToGrid w:val="0"/>
          <w:color w:val="auto"/>
          <w:kern w:val="0"/>
          <w:sz w:val="21"/>
          <w:szCs w:val="21"/>
          <w:highlight w:val="none"/>
        </w:rPr>
        <w:t>机构(站点)</w:t>
      </w:r>
      <w:r>
        <w:rPr>
          <w:rFonts w:hint="eastAsia" w:ascii="微软雅黑" w:hAnsi="微软雅黑" w:cs="微软雅黑"/>
          <w:snapToGrid w:val="0"/>
          <w:color w:val="auto"/>
          <w:kern w:val="0"/>
          <w:sz w:val="21"/>
          <w:szCs w:val="21"/>
          <w:highlight w:val="none"/>
          <w:lang w:eastAsia="zh-CN"/>
        </w:rPr>
        <w:t>，对站点的建设提供详细设计方案（不仅限于平面图、效果图）。</w:t>
      </w:r>
    </w:p>
    <w:p w14:paraId="6BA65C11">
      <w:pPr>
        <w:pageBreakBefore w:val="0"/>
        <w:widowControl w:val="0"/>
        <w:numPr>
          <w:ilvl w:val="0"/>
          <w:numId w:val="0"/>
        </w:numPr>
        <w:kinsoku/>
        <w:wordWrap/>
        <w:overflowPunct/>
        <w:topLinePunct w:val="0"/>
        <w:autoSpaceDE/>
        <w:autoSpaceDN/>
        <w:bidi w:val="0"/>
        <w:adjustRightInd/>
        <w:spacing w:line="360" w:lineRule="auto"/>
        <w:textAlignment w:val="auto"/>
        <w:rPr>
          <w:rFonts w:hint="eastAsia"/>
          <w:color w:val="auto"/>
          <w:highlight w:val="none"/>
          <w:lang w:eastAsia="zh-CN"/>
        </w:rPr>
      </w:pPr>
    </w:p>
    <w:p w14:paraId="5358C21C">
      <w:pPr>
        <w:pageBreakBefore w:val="0"/>
        <w:widowControl w:val="0"/>
        <w:numPr>
          <w:ilvl w:val="0"/>
          <w:numId w:val="0"/>
        </w:numPr>
        <w:kinsoku/>
        <w:wordWrap/>
        <w:overflowPunct/>
        <w:topLinePunct w:val="0"/>
        <w:autoSpaceDE/>
        <w:autoSpaceDN/>
        <w:bidi w:val="0"/>
        <w:adjustRightInd/>
        <w:spacing w:line="360" w:lineRule="auto"/>
        <w:textAlignment w:val="auto"/>
        <w:rPr>
          <w:rFonts w:hint="eastAsia"/>
          <w:color w:val="auto"/>
          <w:highlight w:val="none"/>
          <w:lang w:eastAsia="zh-CN"/>
        </w:rPr>
        <w:sectPr>
          <w:footerReference r:id="rId15" w:type="default"/>
          <w:pgSz w:w="11906" w:h="16838"/>
          <w:pgMar w:top="1474" w:right="1134" w:bottom="1134" w:left="1474" w:header="851" w:footer="851" w:gutter="0"/>
          <w:cols w:space="720" w:num="1"/>
          <w:docGrid w:linePitch="312" w:charSpace="0"/>
        </w:sectPr>
      </w:pPr>
    </w:p>
    <w:p w14:paraId="55930AA4">
      <w:pPr>
        <w:pStyle w:val="2"/>
        <w:numPr>
          <w:ilvl w:val="0"/>
          <w:numId w:val="3"/>
        </w:numPr>
        <w:rPr>
          <w:rStyle w:val="70"/>
          <w:b/>
          <w:bCs/>
          <w:color w:val="auto"/>
          <w:highlight w:val="none"/>
        </w:rPr>
      </w:pPr>
      <w:r>
        <w:rPr>
          <w:rStyle w:val="70"/>
          <w:rFonts w:hint="eastAsia"/>
          <w:b/>
          <w:bCs/>
          <w:color w:val="auto"/>
          <w:highlight w:val="none"/>
          <w:lang w:val="en-US" w:eastAsia="zh-CN"/>
        </w:rPr>
        <w:t xml:space="preserve"> </w:t>
      </w:r>
      <w:r>
        <w:rPr>
          <w:rStyle w:val="70"/>
          <w:rFonts w:hint="eastAsia"/>
          <w:b/>
          <w:bCs/>
          <w:color w:val="auto"/>
          <w:highlight w:val="none"/>
        </w:rPr>
        <w:t>投标人须知</w:t>
      </w:r>
      <w:bookmarkEnd w:id="9"/>
      <w:bookmarkEnd w:id="25"/>
      <w:bookmarkEnd w:id="26"/>
      <w:bookmarkEnd w:id="92"/>
    </w:p>
    <w:p w14:paraId="5245C183">
      <w:pPr>
        <w:pStyle w:val="3"/>
        <w:ind w:firstLine="420"/>
        <w:jc w:val="center"/>
        <w:rPr>
          <w:rFonts w:hint="eastAsia"/>
          <w:color w:val="auto"/>
          <w:highlight w:val="none"/>
        </w:rPr>
      </w:pPr>
      <w:bookmarkStart w:id="93" w:name="_Toc15642"/>
      <w:bookmarkStart w:id="94" w:name="_Toc177870535"/>
      <w:bookmarkStart w:id="95" w:name="_Toc493511543"/>
      <w:r>
        <w:rPr>
          <w:rFonts w:hint="eastAsia"/>
          <w:color w:val="auto"/>
          <w:highlight w:val="none"/>
        </w:rPr>
        <w:t>电子交易注意事项</w:t>
      </w:r>
      <w:bookmarkEnd w:id="93"/>
    </w:p>
    <w:p w14:paraId="09716A9F">
      <w:pPr>
        <w:ind w:firstLine="210" w:firstLineChars="10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政府采购项目电子交易活动适用《浙江省政府采购项目电子交易管理暂行办法》，现将相关注意事项告知如下：</w:t>
      </w:r>
    </w:p>
    <w:p w14:paraId="55886279">
      <w:pPr>
        <w:ind w:firstLine="210" w:firstLineChars="100"/>
        <w:rPr>
          <w:rFonts w:hint="eastAsia" w:ascii="微软雅黑" w:hAnsi="微软雅黑"/>
          <w:color w:val="auto"/>
          <w:szCs w:val="21"/>
          <w:highlight w:val="none"/>
        </w:rPr>
      </w:pPr>
      <w:r>
        <w:rPr>
          <w:rFonts w:hint="eastAsia" w:ascii="微软雅黑" w:hAnsi="微软雅黑"/>
          <w:color w:val="auto"/>
          <w:szCs w:val="21"/>
          <w:highlight w:val="none"/>
        </w:rPr>
        <w:t>　1.代理机构按照招标文件规定的时间通过电子交易平台组织开标、开启投标文件，所有供应商均应当准时在线参加，直至评审结束。</w:t>
      </w:r>
    </w:p>
    <w:p w14:paraId="04812D94">
      <w:pPr>
        <w:pStyle w:val="47"/>
        <w:spacing w:beforeAutospacing="0" w:after="120" w:afterAutospacing="0"/>
        <w:ind w:firstLine="210" w:firstLineChars="10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　2. 投标文件未按时解密，供应商如提供备份投标文件的，以符合要求的备份投标文件作为依据，否则视为投标文件撤回。投标文件已按时解密的，备份投标文件自动失效。</w:t>
      </w:r>
    </w:p>
    <w:p w14:paraId="270F132D">
      <w:pPr>
        <w:pStyle w:val="47"/>
        <w:spacing w:beforeAutospacing="0" w:after="120" w:afterAutospacing="0"/>
        <w:ind w:firstLine="210" w:firstLineChars="10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　3. 采购过程中出现以下情形，导致电子交易平台无法正常运行，或者无法保证电子交易的公平、公正和安全时，代理机构可中止电子交易活动：</w:t>
      </w:r>
    </w:p>
    <w:p w14:paraId="6704951F">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（一）电子交易平台发生故障而无法登录访问的。</w:t>
      </w:r>
    </w:p>
    <w:p w14:paraId="6C4EDB63">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（二）电子交易平台应用或数据库出现错误，不能进行正常操作的。</w:t>
      </w:r>
    </w:p>
    <w:p w14:paraId="1636D246">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（三）电子交易平台发现严重安全漏洞，有潜在泄密危险的。</w:t>
      </w:r>
    </w:p>
    <w:p w14:paraId="1FA13D2A">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（四）病毒发作导致不能进行正常操作的。 </w:t>
      </w:r>
    </w:p>
    <w:p w14:paraId="6137C027">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（五）其他无法保证电子交易的公平、公正和安全的情况。</w:t>
      </w:r>
    </w:p>
    <w:p w14:paraId="494CB3D5">
      <w:pPr>
        <w:pStyle w:val="47"/>
        <w:spacing w:beforeAutospacing="0" w:after="120" w:afterAutospacing="0"/>
        <w:ind w:firstLine="420"/>
        <w:rPr>
          <w:rFonts w:hint="eastAsia" w:ascii="微软雅黑" w:hAnsi="微软雅黑"/>
          <w:color w:val="auto"/>
          <w:kern w:val="2"/>
          <w:sz w:val="21"/>
          <w:szCs w:val="21"/>
          <w:highlight w:val="none"/>
        </w:rPr>
      </w:pPr>
      <w:r>
        <w:rPr>
          <w:rFonts w:hint="eastAsia" w:ascii="微软雅黑" w:hAnsi="微软雅黑"/>
          <w:color w:val="auto"/>
          <w:kern w:val="2"/>
          <w:sz w:val="21"/>
          <w:szCs w:val="21"/>
          <w:highlight w:val="none"/>
        </w:rPr>
        <w:t>出现前款规定情形，不影响采购公平、公正性的，代理机构可以待上述情形消除后继续组织电子交易活动，也可以决定某些环节以纸质形式进行；影响或可能影响采购公平、公正性的，应当重新采购。</w:t>
      </w:r>
    </w:p>
    <w:p w14:paraId="0A4F013B">
      <w:pPr>
        <w:pStyle w:val="47"/>
        <w:numPr>
          <w:ilvl w:val="0"/>
          <w:numId w:val="19"/>
        </w:numPr>
        <w:spacing w:beforeAutospacing="0" w:after="120" w:afterAutospacing="0" w:line="560" w:lineRule="exact"/>
        <w:ind w:firstLineChars="0"/>
        <w:rPr>
          <w:rFonts w:hint="eastAsia" w:ascii="微软雅黑" w:hAnsi="微软雅黑"/>
          <w:color w:val="auto"/>
          <w:sz w:val="21"/>
          <w:szCs w:val="21"/>
          <w:highlight w:val="none"/>
        </w:rPr>
      </w:pPr>
      <w:r>
        <w:rPr>
          <w:rFonts w:hint="eastAsia" w:ascii="微软雅黑" w:hAnsi="微软雅黑"/>
          <w:color w:val="auto"/>
          <w:sz w:val="21"/>
          <w:szCs w:val="21"/>
          <w:highlight w:val="none"/>
          <w:shd w:val="clear" w:color="auto" w:fill="FFFFFF"/>
        </w:rPr>
        <w:t>评审中需要供应商对投标文件作出澄清、说明或者补正的，评审小组和供应商应当通过电子交易平台交换数据电文。供应商需在半小时内提交澄清说明或补正，供应商已经明确表示澄清说明或补正完毕的除外。</w:t>
      </w:r>
    </w:p>
    <w:p w14:paraId="25F46239">
      <w:pPr>
        <w:ind w:left="238" w:firstLine="420"/>
        <w:jc w:val="center"/>
        <w:rPr>
          <w:rFonts w:hint="eastAsia" w:ascii="微软雅黑" w:hAnsi="微软雅黑"/>
          <w:b/>
          <w:color w:val="auto"/>
          <w:szCs w:val="21"/>
          <w:highlight w:val="none"/>
        </w:rPr>
        <w:sectPr>
          <w:pgSz w:w="11906" w:h="16838"/>
          <w:pgMar w:top="1474" w:right="1134" w:bottom="1134" w:left="1474" w:header="851" w:footer="851" w:gutter="0"/>
          <w:cols w:space="720" w:num="1"/>
          <w:docGrid w:linePitch="312" w:charSpace="0"/>
        </w:sectPr>
      </w:pPr>
    </w:p>
    <w:p w14:paraId="07AD9BAD">
      <w:pPr>
        <w:ind w:left="238" w:firstLine="420"/>
        <w:jc w:val="center"/>
        <w:outlineLvl w:val="1"/>
        <w:rPr>
          <w:rFonts w:hint="eastAsia" w:ascii="微软雅黑" w:hAnsi="微软雅黑"/>
          <w:b/>
          <w:color w:val="auto"/>
          <w:szCs w:val="21"/>
          <w:highlight w:val="none"/>
        </w:rPr>
      </w:pPr>
      <w:bookmarkStart w:id="96" w:name="_Toc9927"/>
      <w:r>
        <w:rPr>
          <w:rFonts w:hint="eastAsia" w:ascii="微软雅黑" w:hAnsi="微软雅黑"/>
          <w:b/>
          <w:color w:val="auto"/>
          <w:szCs w:val="21"/>
          <w:highlight w:val="none"/>
        </w:rPr>
        <w:t>前附表</w:t>
      </w:r>
      <w:bookmarkEnd w:id="94"/>
      <w:bookmarkEnd w:id="95"/>
      <w:bookmarkEnd w:id="96"/>
    </w:p>
    <w:tbl>
      <w:tblPr>
        <w:tblStyle w:val="5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2238"/>
        <w:gridCol w:w="5700"/>
      </w:tblGrid>
      <w:tr w14:paraId="220708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A63E62E">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序号</w:t>
            </w:r>
          </w:p>
        </w:tc>
        <w:tc>
          <w:tcPr>
            <w:tcW w:w="2238" w:type="dxa"/>
            <w:tcBorders>
              <w:top w:val="single" w:color="000000" w:sz="8" w:space="0"/>
              <w:left w:val="single" w:color="auto" w:sz="4" w:space="0"/>
              <w:bottom w:val="single" w:color="000000" w:sz="8" w:space="0"/>
              <w:right w:val="single" w:color="000000" w:sz="8" w:space="0"/>
            </w:tcBorders>
            <w:vAlign w:val="center"/>
          </w:tcPr>
          <w:p w14:paraId="507C607C">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事项</w:t>
            </w:r>
          </w:p>
        </w:tc>
        <w:tc>
          <w:tcPr>
            <w:tcW w:w="5700" w:type="dxa"/>
            <w:tcBorders>
              <w:top w:val="single" w:color="000000" w:sz="8" w:space="0"/>
              <w:left w:val="single" w:color="000000" w:sz="2" w:space="0"/>
              <w:bottom w:val="single" w:color="000000" w:sz="8" w:space="0"/>
              <w:right w:val="single" w:color="000000" w:sz="8" w:space="0"/>
            </w:tcBorders>
            <w:vAlign w:val="center"/>
          </w:tcPr>
          <w:p w14:paraId="55D3AD64">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本项目的特别规定</w:t>
            </w:r>
          </w:p>
        </w:tc>
      </w:tr>
      <w:tr w14:paraId="299C1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F1A23DA">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1</w:t>
            </w:r>
          </w:p>
        </w:tc>
        <w:tc>
          <w:tcPr>
            <w:tcW w:w="2238" w:type="dxa"/>
            <w:tcBorders>
              <w:top w:val="single" w:color="000000" w:sz="8" w:space="0"/>
              <w:left w:val="single" w:color="auto" w:sz="4" w:space="0"/>
              <w:bottom w:val="single" w:color="000000" w:sz="8" w:space="0"/>
              <w:right w:val="single" w:color="000000" w:sz="8" w:space="0"/>
            </w:tcBorders>
            <w:vAlign w:val="center"/>
          </w:tcPr>
          <w:p w14:paraId="4EBB4DA9">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项目名称</w:t>
            </w:r>
          </w:p>
        </w:tc>
        <w:tc>
          <w:tcPr>
            <w:tcW w:w="5700" w:type="dxa"/>
            <w:tcBorders>
              <w:top w:val="single" w:color="000000" w:sz="8" w:space="0"/>
              <w:left w:val="single" w:color="000000" w:sz="2" w:space="0"/>
              <w:bottom w:val="single" w:color="000000" w:sz="8" w:space="0"/>
              <w:right w:val="single" w:color="000000" w:sz="8" w:space="0"/>
            </w:tcBorders>
            <w:vAlign w:val="center"/>
          </w:tcPr>
          <w:p w14:paraId="5F82CF74">
            <w:pPr>
              <w:snapToGrid w:val="0"/>
              <w:spacing w:line="240" w:lineRule="auto"/>
              <w:ind w:firstLine="0" w:firstLineChars="0"/>
              <w:jc w:val="center"/>
              <w:rPr>
                <w:rFonts w:hint="eastAsia" w:ascii="微软雅黑" w:hAnsi="微软雅黑" w:eastAsia="微软雅黑" w:cs="仿宋_GB2312"/>
                <w:b/>
                <w:color w:val="auto"/>
                <w:szCs w:val="21"/>
                <w:highlight w:val="none"/>
                <w:lang w:eastAsia="zh-CN"/>
              </w:rPr>
            </w:pPr>
            <w:r>
              <w:rPr>
                <w:rFonts w:hint="eastAsia"/>
                <w:color w:val="auto"/>
                <w:highlight w:val="none"/>
                <w:lang w:eastAsia="zh-CN"/>
              </w:rPr>
              <w:t>嘉兴市秀洲区精神障碍社区康复服务项目</w:t>
            </w:r>
          </w:p>
        </w:tc>
      </w:tr>
      <w:tr w14:paraId="6762F2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538F214">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2</w:t>
            </w:r>
          </w:p>
        </w:tc>
        <w:tc>
          <w:tcPr>
            <w:tcW w:w="2238" w:type="dxa"/>
            <w:tcBorders>
              <w:top w:val="single" w:color="000000" w:sz="8" w:space="0"/>
              <w:left w:val="single" w:color="auto" w:sz="4" w:space="0"/>
              <w:bottom w:val="single" w:color="000000" w:sz="8" w:space="0"/>
              <w:right w:val="single" w:color="000000" w:sz="8" w:space="0"/>
            </w:tcBorders>
            <w:vAlign w:val="center"/>
          </w:tcPr>
          <w:p w14:paraId="010ADDBA">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采购内容</w:t>
            </w:r>
          </w:p>
        </w:tc>
        <w:tc>
          <w:tcPr>
            <w:tcW w:w="5700" w:type="dxa"/>
            <w:tcBorders>
              <w:top w:val="single" w:color="000000" w:sz="8" w:space="0"/>
              <w:left w:val="single" w:color="000000" w:sz="2" w:space="0"/>
              <w:bottom w:val="single" w:color="000000" w:sz="8" w:space="0"/>
              <w:right w:val="single" w:color="000000" w:sz="8" w:space="0"/>
            </w:tcBorders>
            <w:vAlign w:val="center"/>
          </w:tcPr>
          <w:p w14:paraId="4C83BD30">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详见第二章</w:t>
            </w:r>
          </w:p>
        </w:tc>
      </w:tr>
      <w:tr w14:paraId="43840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1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41F9435">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3</w:t>
            </w:r>
          </w:p>
        </w:tc>
        <w:tc>
          <w:tcPr>
            <w:tcW w:w="2238" w:type="dxa"/>
            <w:tcBorders>
              <w:top w:val="single" w:color="000000" w:sz="8" w:space="0"/>
              <w:left w:val="single" w:color="auto" w:sz="4" w:space="0"/>
              <w:bottom w:val="single" w:color="000000" w:sz="8" w:space="0"/>
              <w:right w:val="single" w:color="000000" w:sz="8" w:space="0"/>
            </w:tcBorders>
            <w:vAlign w:val="center"/>
          </w:tcPr>
          <w:p w14:paraId="344BCFB5">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报价要求</w:t>
            </w:r>
          </w:p>
        </w:tc>
        <w:tc>
          <w:tcPr>
            <w:tcW w:w="5700" w:type="dxa"/>
            <w:tcBorders>
              <w:top w:val="single" w:color="000000" w:sz="8" w:space="0"/>
              <w:left w:val="single" w:color="000000" w:sz="2" w:space="0"/>
              <w:bottom w:val="single" w:color="000000" w:sz="8" w:space="0"/>
              <w:right w:val="single" w:color="000000" w:sz="8" w:space="0"/>
            </w:tcBorders>
            <w:vAlign w:val="center"/>
          </w:tcPr>
          <w:p w14:paraId="1C18FBD7">
            <w:pPr>
              <w:spacing w:line="240" w:lineRule="auto"/>
              <w:ind w:firstLine="0" w:firstLineChars="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有关本项目实施所需的所有费用（含税费）均计入报价。开标一览表（报价表）是报价的唯一载体。投标文件中价格全部采用人民币报价。招标文件未列明，而投标供应商认为必需的费用也需列入报价。</w:t>
            </w:r>
          </w:p>
          <w:p w14:paraId="1C6D0B93">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b/>
                <w:color w:val="auto"/>
                <w:kern w:val="0"/>
                <w:szCs w:val="21"/>
                <w:highlight w:val="none"/>
                <w:lang w:val="zh-CN"/>
              </w:rPr>
              <w:t>提醒：验收时检测费、</w:t>
            </w:r>
            <w:r>
              <w:rPr>
                <w:rFonts w:hint="eastAsia" w:ascii="微软雅黑" w:hAnsi="微软雅黑" w:cs="仿宋_GB2312"/>
                <w:b/>
                <w:color w:val="auto"/>
                <w:kern w:val="0"/>
                <w:szCs w:val="21"/>
                <w:highlight w:val="none"/>
              </w:rPr>
              <w:t>专家费等验收所产生的合理费</w:t>
            </w:r>
            <w:r>
              <w:rPr>
                <w:rFonts w:hint="eastAsia" w:ascii="微软雅黑" w:hAnsi="微软雅黑" w:cs="仿宋_GB2312"/>
                <w:b/>
                <w:color w:val="auto"/>
                <w:kern w:val="0"/>
                <w:szCs w:val="21"/>
                <w:highlight w:val="none"/>
                <w:lang w:val="zh-CN"/>
              </w:rPr>
              <w:t>用由采购人承担，不包含在投标总价中，</w:t>
            </w:r>
            <w:r>
              <w:rPr>
                <w:rFonts w:hint="eastAsia" w:ascii="微软雅黑" w:hAnsi="微软雅黑" w:cs="仿宋_GB2312"/>
                <w:b/>
                <w:color w:val="auto"/>
                <w:kern w:val="0"/>
                <w:szCs w:val="21"/>
                <w:highlight w:val="none"/>
              </w:rPr>
              <w:t>若由中标方原因造成的验收不合格所产生的费用，由中标方承担</w:t>
            </w:r>
            <w:r>
              <w:rPr>
                <w:rFonts w:hint="eastAsia" w:ascii="微软雅黑" w:hAnsi="微软雅黑" w:cs="仿宋_GB2312"/>
                <w:b/>
                <w:color w:val="auto"/>
                <w:kern w:val="0"/>
                <w:szCs w:val="21"/>
                <w:highlight w:val="none"/>
                <w:lang w:val="zh-CN"/>
              </w:rPr>
              <w:t>。</w:t>
            </w:r>
          </w:p>
        </w:tc>
      </w:tr>
      <w:tr w14:paraId="789ABA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1"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8793C17">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4</w:t>
            </w:r>
          </w:p>
        </w:tc>
        <w:tc>
          <w:tcPr>
            <w:tcW w:w="2238" w:type="dxa"/>
            <w:tcBorders>
              <w:top w:val="single" w:color="000000" w:sz="8" w:space="0"/>
              <w:left w:val="single" w:color="auto" w:sz="4" w:space="0"/>
              <w:bottom w:val="single" w:color="000000" w:sz="8" w:space="0"/>
              <w:right w:val="single" w:color="000000" w:sz="8" w:space="0"/>
            </w:tcBorders>
            <w:vAlign w:val="center"/>
          </w:tcPr>
          <w:p w14:paraId="10EE2156">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分包</w:t>
            </w:r>
          </w:p>
        </w:tc>
        <w:tc>
          <w:tcPr>
            <w:tcW w:w="5700" w:type="dxa"/>
            <w:tcBorders>
              <w:top w:val="single" w:color="000000" w:sz="8" w:space="0"/>
              <w:left w:val="single" w:color="000000" w:sz="2" w:space="0"/>
              <w:bottom w:val="single" w:color="000000" w:sz="8" w:space="0"/>
              <w:right w:val="single" w:color="000000" w:sz="8" w:space="0"/>
            </w:tcBorders>
            <w:vAlign w:val="center"/>
          </w:tcPr>
          <w:p w14:paraId="76E5011E">
            <w:pPr>
              <w:spacing w:line="240" w:lineRule="auto"/>
              <w:ind w:firstLine="0" w:firstLineChars="0"/>
              <w:rPr>
                <w:rFonts w:hint="eastAsia" w:ascii="微软雅黑" w:hAnsi="微软雅黑" w:cs="仿宋_GB2312"/>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A同意将非主体、非关键性的工作分包。</w:t>
            </w: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B不同意分包。</w:t>
            </w:r>
          </w:p>
        </w:tc>
      </w:tr>
      <w:tr w14:paraId="38A2D9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9ED4A41">
            <w:pPr>
              <w:snapToGrid w:val="0"/>
              <w:spacing w:line="240" w:lineRule="auto"/>
              <w:ind w:firstLine="0" w:firstLineChars="0"/>
              <w:jc w:val="center"/>
              <w:rPr>
                <w:rFonts w:hint="eastAsia" w:ascii="微软雅黑" w:hAnsi="微软雅黑" w:cs="仿宋_GB2312"/>
                <w:color w:val="auto"/>
                <w:szCs w:val="21"/>
                <w:highlight w:val="none"/>
              </w:rPr>
            </w:pPr>
          </w:p>
          <w:p w14:paraId="32FCB11A">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5</w:t>
            </w:r>
          </w:p>
        </w:tc>
        <w:tc>
          <w:tcPr>
            <w:tcW w:w="2238" w:type="dxa"/>
            <w:tcBorders>
              <w:top w:val="single" w:color="000000" w:sz="8" w:space="0"/>
              <w:left w:val="single" w:color="auto" w:sz="4" w:space="0"/>
              <w:bottom w:val="single" w:color="000000" w:sz="8" w:space="0"/>
              <w:right w:val="single" w:color="000000" w:sz="8" w:space="0"/>
            </w:tcBorders>
            <w:vAlign w:val="center"/>
          </w:tcPr>
          <w:p w14:paraId="11F2C6DD">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开标前答疑会或现场踏勘</w:t>
            </w:r>
          </w:p>
        </w:tc>
        <w:tc>
          <w:tcPr>
            <w:tcW w:w="5700" w:type="dxa"/>
            <w:tcBorders>
              <w:top w:val="single" w:color="000000" w:sz="8" w:space="0"/>
              <w:left w:val="single" w:color="000000" w:sz="2" w:space="0"/>
              <w:bottom w:val="single" w:color="000000" w:sz="8" w:space="0"/>
              <w:right w:val="single" w:color="000000" w:sz="8" w:space="0"/>
            </w:tcBorders>
            <w:vAlign w:val="center"/>
          </w:tcPr>
          <w:p w14:paraId="3CA2F68C">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A不组织。</w:t>
            </w:r>
            <w:r>
              <w:rPr>
                <w:rFonts w:hint="eastAsia" w:ascii="微软雅黑" w:hAnsi="微软雅黑"/>
                <w:color w:val="auto"/>
                <w:szCs w:val="21"/>
                <w:highlight w:val="none"/>
                <w:lang w:val="zh-CN"/>
              </w:rPr>
              <w:t>本项目须进行</w:t>
            </w:r>
            <w:r>
              <w:rPr>
                <w:rFonts w:hint="eastAsia" w:ascii="微软雅黑" w:hAnsi="微软雅黑"/>
                <w:color w:val="auto"/>
                <w:szCs w:val="21"/>
                <w:highlight w:val="none"/>
              </w:rPr>
              <w:t>自行</w:t>
            </w:r>
            <w:r>
              <w:rPr>
                <w:rFonts w:hint="eastAsia" w:ascii="微软雅黑" w:hAnsi="微软雅黑"/>
                <w:color w:val="auto"/>
                <w:szCs w:val="21"/>
                <w:highlight w:val="none"/>
                <w:lang w:val="zh-CN"/>
              </w:rPr>
              <w:t>踏勘（招标文件中不能详细表述的不可预见费用、招标需求等，投标供应商需通过现场踏勘后考虑在最终报价内，否则后果由中标供应商自负），</w:t>
            </w:r>
            <w:r>
              <w:rPr>
                <w:rFonts w:hint="eastAsia" w:ascii="微软雅黑" w:hAnsi="微软雅黑" w:cs="宋体"/>
                <w:color w:val="auto"/>
                <w:szCs w:val="21"/>
                <w:highlight w:val="none"/>
                <w:lang w:val="zh-CN"/>
              </w:rPr>
              <w:t>联系人</w:t>
            </w:r>
            <w:r>
              <w:rPr>
                <w:rFonts w:hint="eastAsia" w:ascii="微软雅黑" w:hAnsi="微软雅黑" w:cs="宋体"/>
                <w:color w:val="auto"/>
                <w:szCs w:val="21"/>
                <w:highlight w:val="none"/>
              </w:rPr>
              <w:t>及</w:t>
            </w:r>
            <w:r>
              <w:rPr>
                <w:rFonts w:hint="eastAsia" w:ascii="微软雅黑" w:hAnsi="微软雅黑" w:cs="宋体"/>
                <w:color w:val="auto"/>
                <w:szCs w:val="21"/>
                <w:highlight w:val="none"/>
                <w:lang w:val="zh-CN"/>
              </w:rPr>
              <w:t>联系方式</w:t>
            </w:r>
            <w:r>
              <w:rPr>
                <w:rFonts w:hint="eastAsia" w:ascii="微软雅黑" w:hAnsi="微软雅黑" w:cs="宋体"/>
                <w:color w:val="auto"/>
                <w:szCs w:val="21"/>
                <w:highlight w:val="none"/>
              </w:rPr>
              <w:t>同招标公告内采购方联系人。</w:t>
            </w:r>
          </w:p>
          <w:p w14:paraId="1904CFCB">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B组织，时间：</w:t>
            </w:r>
            <w:r>
              <w:rPr>
                <w:rFonts w:ascii="微软雅黑" w:hAnsi="微软雅黑"/>
                <w:color w:val="auto"/>
                <w:szCs w:val="21"/>
                <w:highlight w:val="none"/>
              </w:rPr>
              <w:t>,</w:t>
            </w:r>
            <w:r>
              <w:rPr>
                <w:rFonts w:hint="eastAsia" w:ascii="微软雅黑" w:hAnsi="微软雅黑" w:cs="宋体"/>
                <w:color w:val="auto"/>
                <w:szCs w:val="21"/>
                <w:highlight w:val="none"/>
                <w:lang w:val="zh-CN"/>
              </w:rPr>
              <w:t>地点：</w:t>
            </w:r>
            <w:r>
              <w:rPr>
                <w:rFonts w:hint="eastAsia" w:ascii="微软雅黑" w:hAnsi="微软雅黑" w:cs="宋体"/>
                <w:color w:val="auto"/>
                <w:szCs w:val="21"/>
                <w:highlight w:val="none"/>
                <w:u w:val="single"/>
              </w:rPr>
              <w:t>嘉兴市**区**路**号**室</w:t>
            </w:r>
            <w:r>
              <w:rPr>
                <w:rFonts w:hint="eastAsia" w:ascii="微软雅黑" w:hAnsi="微软雅黑" w:cs="宋体"/>
                <w:color w:val="auto"/>
                <w:szCs w:val="21"/>
                <w:highlight w:val="none"/>
                <w:lang w:val="zh-CN"/>
              </w:rPr>
              <w:t>，联系人：</w:t>
            </w:r>
            <w:r>
              <w:rPr>
                <w:rFonts w:hint="eastAsia" w:ascii="微软雅黑" w:hAnsi="微软雅黑"/>
                <w:color w:val="auto"/>
                <w:szCs w:val="21"/>
                <w:highlight w:val="none"/>
              </w:rPr>
              <w:t>，</w:t>
            </w:r>
            <w:r>
              <w:rPr>
                <w:rFonts w:hint="eastAsia" w:ascii="微软雅黑" w:hAnsi="微软雅黑" w:cs="宋体"/>
                <w:color w:val="auto"/>
                <w:szCs w:val="21"/>
                <w:highlight w:val="none"/>
                <w:lang w:val="zh-CN"/>
              </w:rPr>
              <w:t>联系方式：</w:t>
            </w:r>
            <w:r>
              <w:rPr>
                <w:rFonts w:hint="eastAsia" w:ascii="微软雅黑" w:hAnsi="微软雅黑"/>
                <w:color w:val="auto"/>
                <w:szCs w:val="21"/>
                <w:highlight w:val="none"/>
              </w:rPr>
              <w:t>。</w:t>
            </w:r>
          </w:p>
        </w:tc>
      </w:tr>
      <w:tr w14:paraId="030B99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EEF5EEB">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6</w:t>
            </w:r>
          </w:p>
        </w:tc>
        <w:tc>
          <w:tcPr>
            <w:tcW w:w="2238" w:type="dxa"/>
            <w:tcBorders>
              <w:top w:val="single" w:color="000000" w:sz="8" w:space="0"/>
              <w:left w:val="single" w:color="auto" w:sz="4" w:space="0"/>
              <w:bottom w:val="single" w:color="000000" w:sz="8" w:space="0"/>
              <w:right w:val="single" w:color="000000" w:sz="8" w:space="0"/>
            </w:tcBorders>
            <w:vAlign w:val="center"/>
          </w:tcPr>
          <w:p w14:paraId="7C376967">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投标</w:t>
            </w:r>
            <w:r>
              <w:rPr>
                <w:rFonts w:hint="eastAsia" w:ascii="微软雅黑" w:hAnsi="微软雅黑" w:cs="仿宋_GB2312"/>
                <w:b/>
                <w:color w:val="auto"/>
                <w:szCs w:val="21"/>
                <w:highlight w:val="none"/>
                <w:lang w:val="zh-CN"/>
              </w:rPr>
              <w:t>文件组成</w:t>
            </w:r>
          </w:p>
        </w:tc>
        <w:tc>
          <w:tcPr>
            <w:tcW w:w="5700" w:type="dxa"/>
            <w:tcBorders>
              <w:top w:val="single" w:color="000000" w:sz="8" w:space="0"/>
              <w:left w:val="single" w:color="000000" w:sz="2" w:space="0"/>
              <w:bottom w:val="single" w:color="000000" w:sz="8" w:space="0"/>
              <w:right w:val="single" w:color="000000" w:sz="8" w:space="0"/>
            </w:tcBorders>
            <w:vAlign w:val="center"/>
          </w:tcPr>
          <w:p w14:paraId="2C5B05BF">
            <w:pPr>
              <w:snapToGrid w:val="0"/>
              <w:spacing w:line="240" w:lineRule="auto"/>
              <w:ind w:firstLine="0" w:firstLineChars="0"/>
              <w:rPr>
                <w:rFonts w:hint="eastAsia" w:ascii="微软雅黑" w:hAnsi="微软雅黑"/>
                <w:color w:val="auto"/>
                <w:szCs w:val="21"/>
                <w:highlight w:val="none"/>
                <w:lang w:val="zh-CN"/>
              </w:rPr>
            </w:pPr>
            <w:r>
              <w:rPr>
                <w:rFonts w:hint="eastAsia" w:ascii="微软雅黑" w:hAnsi="微软雅黑"/>
                <w:color w:val="auto"/>
                <w:szCs w:val="21"/>
                <w:highlight w:val="none"/>
                <w:lang w:val="zh-CN"/>
              </w:rPr>
              <w:t>电子</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文件和备份</w:t>
            </w:r>
            <w:r>
              <w:rPr>
                <w:rFonts w:hint="eastAsia" w:ascii="微软雅黑" w:hAnsi="微软雅黑"/>
                <w:color w:val="auto"/>
                <w:szCs w:val="21"/>
                <w:highlight w:val="none"/>
              </w:rPr>
              <w:t>投标</w:t>
            </w:r>
            <w:r>
              <w:rPr>
                <w:rFonts w:hint="eastAsia" w:ascii="微软雅黑" w:hAnsi="微软雅黑"/>
                <w:color w:val="auto"/>
                <w:szCs w:val="21"/>
                <w:highlight w:val="none"/>
                <w:lang w:val="zh-CN"/>
              </w:rPr>
              <w:t>文件均由</w:t>
            </w:r>
            <w:r>
              <w:rPr>
                <w:rFonts w:hint="eastAsia" w:ascii="微软雅黑" w:hAnsi="微软雅黑"/>
                <w:color w:val="auto"/>
                <w:szCs w:val="21"/>
                <w:highlight w:val="none"/>
              </w:rPr>
              <w:t>资格</w:t>
            </w:r>
            <w:r>
              <w:rPr>
                <w:rFonts w:hint="eastAsia" w:ascii="微软雅黑" w:hAnsi="微软雅黑"/>
                <w:color w:val="auto"/>
                <w:szCs w:val="21"/>
                <w:highlight w:val="none"/>
                <w:lang w:val="zh-CN"/>
              </w:rPr>
              <w:t>文件、</w:t>
            </w:r>
            <w:r>
              <w:rPr>
                <w:rFonts w:hint="eastAsia" w:ascii="微软雅黑" w:hAnsi="微软雅黑"/>
                <w:color w:val="auto"/>
                <w:szCs w:val="21"/>
                <w:highlight w:val="none"/>
              </w:rPr>
              <w:t>商务</w:t>
            </w:r>
            <w:r>
              <w:rPr>
                <w:rFonts w:hint="eastAsia" w:ascii="微软雅黑" w:hAnsi="微软雅黑"/>
                <w:color w:val="auto"/>
                <w:szCs w:val="21"/>
                <w:highlight w:val="none"/>
                <w:lang w:val="zh-CN"/>
              </w:rPr>
              <w:t>技术文件及投标报价文件</w:t>
            </w:r>
            <w:r>
              <w:rPr>
                <w:rFonts w:hint="eastAsia" w:ascii="微软雅黑" w:hAnsi="微软雅黑"/>
                <w:color w:val="auto"/>
                <w:szCs w:val="21"/>
                <w:highlight w:val="none"/>
              </w:rPr>
              <w:t>三</w:t>
            </w:r>
            <w:r>
              <w:rPr>
                <w:rFonts w:hint="eastAsia" w:ascii="微软雅黑" w:hAnsi="微软雅黑"/>
                <w:color w:val="auto"/>
                <w:szCs w:val="21"/>
                <w:highlight w:val="none"/>
                <w:lang w:val="zh-CN"/>
              </w:rPr>
              <w:t>部分组成。</w:t>
            </w:r>
          </w:p>
        </w:tc>
      </w:tr>
      <w:tr w14:paraId="44EF6A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6B0DC6AD">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7</w:t>
            </w:r>
          </w:p>
        </w:tc>
        <w:tc>
          <w:tcPr>
            <w:tcW w:w="2238" w:type="dxa"/>
            <w:tcBorders>
              <w:top w:val="single" w:color="000000" w:sz="8" w:space="0"/>
              <w:left w:val="single" w:color="auto" w:sz="4" w:space="0"/>
              <w:bottom w:val="single" w:color="000000" w:sz="8" w:space="0"/>
              <w:right w:val="single" w:color="000000" w:sz="8" w:space="0"/>
            </w:tcBorders>
            <w:vAlign w:val="center"/>
          </w:tcPr>
          <w:p w14:paraId="02C6DF3D">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lang w:val="zh-CN"/>
              </w:rPr>
              <w:t>开标时间及地点</w:t>
            </w:r>
          </w:p>
        </w:tc>
        <w:tc>
          <w:tcPr>
            <w:tcW w:w="5700" w:type="dxa"/>
            <w:tcBorders>
              <w:top w:val="single" w:color="000000" w:sz="8" w:space="0"/>
              <w:left w:val="single" w:color="000000" w:sz="2" w:space="0"/>
              <w:bottom w:val="single" w:color="000000" w:sz="8" w:space="0"/>
              <w:right w:val="single" w:color="000000" w:sz="8" w:space="0"/>
            </w:tcBorders>
            <w:vAlign w:val="center"/>
          </w:tcPr>
          <w:p w14:paraId="2C597C96">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时间：</w:t>
            </w:r>
            <w:r>
              <w:rPr>
                <w:rFonts w:ascii="微软雅黑" w:hAnsi="微软雅黑" w:cs="Calibri"/>
                <w:color w:val="auto"/>
                <w:szCs w:val="21"/>
                <w:highlight w:val="none"/>
              </w:rPr>
              <w:t> </w:t>
            </w:r>
            <w:r>
              <w:rPr>
                <w:rFonts w:ascii="微软雅黑" w:hAnsi="微软雅黑" w:cs="Calibri"/>
                <w:color w:val="auto"/>
                <w:sz w:val="21"/>
                <w:szCs w:val="21"/>
                <w:highlight w:val="none"/>
              </w:rPr>
              <w:t> </w:t>
            </w:r>
            <w:r>
              <w:rPr>
                <w:rFonts w:hint="eastAsia" w:ascii="微软雅黑" w:hAnsi="微软雅黑" w:cs="Arial"/>
                <w:color w:val="auto"/>
                <w:sz w:val="21"/>
                <w:szCs w:val="21"/>
                <w:highlight w:val="none"/>
              </w:rPr>
              <w:t>202</w:t>
            </w:r>
            <w:r>
              <w:rPr>
                <w:rFonts w:hint="eastAsia" w:ascii="微软雅黑" w:hAnsi="微软雅黑" w:cs="Arial"/>
                <w:color w:val="auto"/>
                <w:sz w:val="21"/>
                <w:szCs w:val="21"/>
                <w:highlight w:val="none"/>
                <w:lang w:val="en-US" w:eastAsia="zh-CN"/>
              </w:rPr>
              <w:t>5</w:t>
            </w:r>
            <w:r>
              <w:rPr>
                <w:rFonts w:hint="eastAsia" w:ascii="微软雅黑" w:hAnsi="微软雅黑" w:cs="Arial"/>
                <w:color w:val="auto"/>
                <w:sz w:val="21"/>
                <w:szCs w:val="21"/>
                <w:highlight w:val="none"/>
              </w:rPr>
              <w:t>年</w:t>
            </w:r>
            <w:r>
              <w:rPr>
                <w:rFonts w:hint="eastAsia" w:ascii="微软雅黑" w:hAnsi="微软雅黑" w:cs="Arial"/>
                <w:color w:val="auto"/>
                <w:sz w:val="21"/>
                <w:szCs w:val="21"/>
                <w:highlight w:val="none"/>
                <w:lang w:val="en-US" w:eastAsia="zh-CN"/>
              </w:rPr>
              <w:t>04</w:t>
            </w:r>
            <w:r>
              <w:rPr>
                <w:rFonts w:hint="eastAsia" w:ascii="微软雅黑" w:hAnsi="微软雅黑" w:cs="Arial"/>
                <w:color w:val="auto"/>
                <w:sz w:val="21"/>
                <w:szCs w:val="21"/>
                <w:highlight w:val="none"/>
              </w:rPr>
              <w:t>月</w:t>
            </w:r>
            <w:r>
              <w:rPr>
                <w:rFonts w:hint="eastAsia" w:ascii="微软雅黑" w:hAnsi="微软雅黑" w:cs="Arial"/>
                <w:color w:val="auto"/>
                <w:sz w:val="21"/>
                <w:szCs w:val="21"/>
                <w:highlight w:val="none"/>
                <w:lang w:val="en-US" w:eastAsia="zh-CN"/>
              </w:rPr>
              <w:t>22</w:t>
            </w:r>
            <w:r>
              <w:rPr>
                <w:rFonts w:hint="eastAsia" w:ascii="微软雅黑" w:hAnsi="微软雅黑" w:cs="Arial"/>
                <w:color w:val="auto"/>
                <w:sz w:val="21"/>
                <w:szCs w:val="21"/>
                <w:highlight w:val="none"/>
              </w:rPr>
              <w:t>日</w:t>
            </w:r>
            <w:r>
              <w:rPr>
                <w:rFonts w:hint="eastAsia" w:ascii="微软雅黑" w:hAnsi="微软雅黑" w:cs="Arial"/>
                <w:color w:val="auto"/>
                <w:sz w:val="21"/>
                <w:szCs w:val="21"/>
                <w:highlight w:val="none"/>
                <w:lang w:val="en-US" w:eastAsia="zh-CN"/>
              </w:rPr>
              <w:t>09</w:t>
            </w:r>
            <w:r>
              <w:rPr>
                <w:rFonts w:hint="eastAsia" w:ascii="微软雅黑" w:hAnsi="微软雅黑" w:cs="Arial"/>
                <w:color w:val="auto"/>
                <w:sz w:val="21"/>
                <w:szCs w:val="21"/>
                <w:highlight w:val="none"/>
                <w:lang w:eastAsia="zh-CN"/>
              </w:rPr>
              <w:t>：</w:t>
            </w:r>
            <w:r>
              <w:rPr>
                <w:rFonts w:hint="eastAsia" w:ascii="微软雅黑" w:hAnsi="微软雅黑" w:cs="Arial"/>
                <w:color w:val="auto"/>
                <w:sz w:val="21"/>
                <w:szCs w:val="21"/>
                <w:highlight w:val="none"/>
                <w:lang w:val="en-US" w:eastAsia="zh-CN"/>
              </w:rPr>
              <w:t>30</w:t>
            </w:r>
            <w:r>
              <w:rPr>
                <w:rFonts w:hint="eastAsia" w:ascii="微软雅黑" w:hAnsi="微软雅黑" w:cs="Arial"/>
                <w:color w:val="auto"/>
                <w:szCs w:val="21"/>
                <w:highlight w:val="none"/>
              </w:rPr>
              <w:t xml:space="preserve">  </w:t>
            </w:r>
          </w:p>
          <w:p w14:paraId="4BFEBD15">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地点：政采云平台</w:t>
            </w:r>
          </w:p>
          <w:p w14:paraId="70837728">
            <w:pPr>
              <w:snapToGrid w:val="0"/>
              <w:spacing w:line="240" w:lineRule="auto"/>
              <w:ind w:firstLine="0" w:firstLineChars="0"/>
              <w:rPr>
                <w:rFonts w:hint="eastAsia" w:ascii="微软雅黑" w:hAnsi="微软雅黑"/>
                <w:color w:val="auto"/>
                <w:szCs w:val="21"/>
                <w:highlight w:val="none"/>
                <w:lang w:val="zh-CN"/>
              </w:rPr>
            </w:pPr>
            <w:r>
              <w:rPr>
                <w:rFonts w:hint="eastAsia" w:ascii="微软雅黑" w:hAnsi="微软雅黑"/>
                <w:b/>
                <w:bCs/>
                <w:color w:val="auto"/>
                <w:szCs w:val="21"/>
                <w:highlight w:val="none"/>
                <w:u w:val="single"/>
                <w:lang w:val="zh-CN"/>
              </w:rPr>
              <w:t>供应商无需到开标现场，但须准时在线参加，直至评审结束。</w:t>
            </w:r>
          </w:p>
        </w:tc>
      </w:tr>
      <w:tr w14:paraId="399B3D1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0D12AE7">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8</w:t>
            </w:r>
          </w:p>
        </w:tc>
        <w:tc>
          <w:tcPr>
            <w:tcW w:w="2238" w:type="dxa"/>
            <w:tcBorders>
              <w:top w:val="single" w:color="000000" w:sz="8" w:space="0"/>
              <w:left w:val="single" w:color="000000" w:sz="2" w:space="0"/>
              <w:bottom w:val="single" w:color="000000" w:sz="8" w:space="0"/>
              <w:right w:val="single" w:color="000000" w:sz="8" w:space="0"/>
            </w:tcBorders>
            <w:vAlign w:val="center"/>
          </w:tcPr>
          <w:p w14:paraId="722977BD">
            <w:pPr>
              <w:snapToGrid w:val="0"/>
              <w:spacing w:line="240" w:lineRule="auto"/>
              <w:ind w:firstLine="0" w:firstLineChars="0"/>
              <w:jc w:val="center"/>
              <w:rPr>
                <w:rFonts w:hint="eastAsia" w:ascii="微软雅黑" w:hAnsi="微软雅黑" w:cs="仿宋_GB2312"/>
                <w:bCs/>
                <w:color w:val="auto"/>
                <w:szCs w:val="21"/>
                <w:highlight w:val="none"/>
              </w:rPr>
            </w:pPr>
            <w:r>
              <w:rPr>
                <w:rFonts w:hint="eastAsia" w:ascii="微软雅黑" w:hAnsi="微软雅黑" w:cs="仿宋_GB2312"/>
                <w:b/>
                <w:color w:val="auto"/>
                <w:szCs w:val="21"/>
                <w:highlight w:val="none"/>
              </w:rPr>
              <w:t>方案讲解演示</w:t>
            </w:r>
          </w:p>
        </w:tc>
        <w:tc>
          <w:tcPr>
            <w:tcW w:w="5700" w:type="dxa"/>
            <w:tcBorders>
              <w:top w:val="single" w:color="000000" w:sz="8" w:space="0"/>
              <w:left w:val="single" w:color="000000" w:sz="2" w:space="0"/>
              <w:bottom w:val="single" w:color="000000" w:sz="8" w:space="0"/>
              <w:right w:val="single" w:color="000000" w:sz="8" w:space="0"/>
            </w:tcBorders>
            <w:vAlign w:val="center"/>
          </w:tcPr>
          <w:p w14:paraId="478FD3BF">
            <w:pPr>
              <w:snapToGrid w:val="0"/>
              <w:spacing w:line="240" w:lineRule="auto"/>
              <w:ind w:firstLine="0" w:firstLineChars="0"/>
              <w:rPr>
                <w:rFonts w:hint="eastAsia" w:ascii="微软雅黑" w:hAnsi="微软雅黑"/>
                <w:color w:val="auto"/>
                <w:kern w:val="0"/>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A不组织。</w:t>
            </w:r>
          </w:p>
          <w:p w14:paraId="5AB52701">
            <w:pPr>
              <w:spacing w:line="240" w:lineRule="auto"/>
              <w:ind w:firstLine="0" w:firstLineChars="0"/>
              <w:rPr>
                <w:rFonts w:hint="eastAsia" w:ascii="微软雅黑" w:hAnsi="微软雅黑" w:cs="宋体"/>
                <w:color w:val="auto"/>
                <w:szCs w:val="21"/>
                <w:highlight w:val="none"/>
                <w:lang w:val="zh-CN"/>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B组织。</w:t>
            </w:r>
          </w:p>
          <w:p w14:paraId="2784063B">
            <w:pPr>
              <w:spacing w:line="240" w:lineRule="auto"/>
              <w:ind w:firstLine="0" w:firstLineChars="0"/>
              <w:rPr>
                <w:rFonts w:hint="eastAsia" w:ascii="微软雅黑" w:hAnsi="微软雅黑"/>
                <w:color w:val="auto"/>
                <w:kern w:val="0"/>
                <w:szCs w:val="21"/>
                <w:highlight w:val="none"/>
                <w:lang w:val="zh-CN"/>
              </w:rPr>
            </w:pPr>
            <w:r>
              <w:rPr>
                <w:rFonts w:hint="eastAsia" w:ascii="微软雅黑" w:hAnsi="微软雅黑" w:cs="微软雅黑"/>
                <w:color w:val="auto"/>
                <w:kern w:val="0"/>
                <w:szCs w:val="21"/>
                <w:highlight w:val="none"/>
              </w:rPr>
              <w:t>方式采用视频方式，</w:t>
            </w:r>
            <w:r>
              <w:rPr>
                <w:rFonts w:hint="eastAsia" w:ascii="微软雅黑" w:hAnsi="微软雅黑" w:cs="微软雅黑"/>
                <w:color w:val="auto"/>
                <w:szCs w:val="21"/>
                <w:highlight w:val="none"/>
              </w:rPr>
              <w:t>要求录制演示视频（mp4格式，</w:t>
            </w:r>
            <w:r>
              <w:rPr>
                <w:rFonts w:hint="eastAsia" w:ascii="微软雅黑" w:hAnsi="微软雅黑" w:cs="微软雅黑"/>
                <w:b/>
                <w:bCs/>
                <w:color w:val="auto"/>
                <w:szCs w:val="21"/>
                <w:highlight w:val="none"/>
              </w:rPr>
              <w:t>并配语音讲解</w:t>
            </w:r>
            <w:r>
              <w:rPr>
                <w:rFonts w:hint="eastAsia" w:ascii="微软雅黑" w:hAnsi="微软雅黑" w:cs="微软雅黑"/>
                <w:color w:val="auto"/>
                <w:szCs w:val="21"/>
                <w:highlight w:val="none"/>
              </w:rPr>
              <w:t>；时间控制在20分钟以内），演示视频电子文件用U盘拷贝），</w:t>
            </w:r>
            <w:r>
              <w:rPr>
                <w:rFonts w:hint="eastAsia" w:ascii="微软雅黑" w:hAnsi="微软雅黑" w:cs="微软雅黑"/>
                <w:b/>
                <w:bCs/>
                <w:color w:val="auto"/>
                <w:szCs w:val="21"/>
                <w:highlight w:val="none"/>
              </w:rPr>
              <w:t>密封包装并标注项目名称及投标单位全称</w:t>
            </w:r>
            <w:r>
              <w:rPr>
                <w:rFonts w:hint="eastAsia" w:ascii="微软雅黑" w:hAnsi="微软雅黑" w:cs="微软雅黑"/>
                <w:color w:val="auto"/>
                <w:szCs w:val="21"/>
                <w:highlight w:val="none"/>
              </w:rPr>
              <w:t>。在（</w:t>
            </w:r>
            <w:r>
              <w:rPr>
                <w:rFonts w:hint="eastAsia" w:ascii="微软雅黑" w:hAnsi="微软雅黑" w:cs="微软雅黑"/>
                <w:color w:val="auto"/>
                <w:szCs w:val="21"/>
                <w:highlight w:val="none"/>
                <w:u w:val="single"/>
              </w:rPr>
              <w:t>投标截止时间前</w:t>
            </w:r>
            <w:r>
              <w:rPr>
                <w:rFonts w:hint="eastAsia" w:ascii="微软雅黑" w:hAnsi="微软雅黑" w:cs="微软雅黑"/>
                <w:color w:val="auto"/>
                <w:szCs w:val="21"/>
                <w:highlight w:val="none"/>
              </w:rPr>
              <w:t>）送至或寄至代理公司（嘉兴市秀洲区新平路299号中禾广场</w:t>
            </w:r>
            <w:r>
              <w:rPr>
                <w:rFonts w:hint="eastAsia" w:ascii="微软雅黑" w:hAnsi="微软雅黑" w:cs="微软雅黑"/>
                <w:color w:val="auto"/>
                <w:szCs w:val="21"/>
                <w:highlight w:val="none"/>
                <w:lang w:val="en-US" w:eastAsia="zh-CN"/>
              </w:rPr>
              <w:t>17A楼政府采购办公室</w:t>
            </w:r>
            <w:r>
              <w:rPr>
                <w:rFonts w:hint="eastAsia" w:ascii="微软雅黑" w:hAnsi="微软雅黑" w:cs="微软雅黑"/>
                <w:color w:val="auto"/>
                <w:szCs w:val="21"/>
                <w:highlight w:val="none"/>
              </w:rPr>
              <w:t xml:space="preserve"> 章莉莉13605735186）</w:t>
            </w:r>
          </w:p>
        </w:tc>
      </w:tr>
      <w:tr w14:paraId="2E5F93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7D25350">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9</w:t>
            </w:r>
          </w:p>
        </w:tc>
        <w:tc>
          <w:tcPr>
            <w:tcW w:w="2238" w:type="dxa"/>
            <w:tcBorders>
              <w:top w:val="single" w:color="000000" w:sz="8" w:space="0"/>
              <w:left w:val="single" w:color="000000" w:sz="2" w:space="0"/>
              <w:bottom w:val="single" w:color="000000" w:sz="8" w:space="0"/>
              <w:right w:val="single" w:color="000000" w:sz="8" w:space="0"/>
            </w:tcBorders>
            <w:vAlign w:val="center"/>
          </w:tcPr>
          <w:p w14:paraId="654E764F">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是否允许采购进口产品</w:t>
            </w:r>
          </w:p>
        </w:tc>
        <w:tc>
          <w:tcPr>
            <w:tcW w:w="5700" w:type="dxa"/>
            <w:tcBorders>
              <w:top w:val="single" w:color="000000" w:sz="8" w:space="0"/>
              <w:left w:val="single" w:color="000000" w:sz="2" w:space="0"/>
              <w:bottom w:val="single" w:color="000000" w:sz="8" w:space="0"/>
              <w:right w:val="single" w:color="000000" w:sz="8" w:space="0"/>
            </w:tcBorders>
            <w:vAlign w:val="center"/>
          </w:tcPr>
          <w:p w14:paraId="163516D1">
            <w:pPr>
              <w:spacing w:line="240" w:lineRule="auto"/>
              <w:ind w:firstLine="0" w:firstLineChars="0"/>
              <w:rPr>
                <w:rFonts w:hint="eastAsia" w:ascii="微软雅黑" w:hAnsi="微软雅黑" w:cs="Arial"/>
                <w:color w:val="auto"/>
                <w:kern w:val="0"/>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本项目不允许采购进口产品。</w:t>
            </w:r>
          </w:p>
          <w:p w14:paraId="427211DD">
            <w:pPr>
              <w:spacing w:line="240" w:lineRule="auto"/>
              <w:ind w:firstLine="0" w:firstLineChars="0"/>
              <w:rPr>
                <w:rFonts w:hint="eastAsia" w:ascii="微软雅黑" w:hAnsi="微软雅黑"/>
                <w:color w:val="auto"/>
                <w:szCs w:val="21"/>
                <w:highlight w:val="none"/>
              </w:rPr>
            </w:pPr>
            <w:r>
              <w:rPr>
                <w:rFonts w:ascii="Segoe UI Symbol" w:hAnsi="Segoe UI Symbol" w:cs="Segoe UI Symbol"/>
                <w:color w:val="auto"/>
                <w:kern w:val="0"/>
                <w:szCs w:val="21"/>
                <w:highlight w:val="none"/>
              </w:rPr>
              <w:t>☐</w:t>
            </w:r>
            <w:r>
              <w:rPr>
                <w:rFonts w:hint="eastAsia" w:ascii="微软雅黑" w:hAnsi="微软雅黑" w:cs="宋体"/>
                <w:color w:val="auto"/>
                <w:szCs w:val="21"/>
                <w:highlight w:val="none"/>
                <w:lang w:val="zh-CN"/>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0C773C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BA0938C">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10</w:t>
            </w:r>
          </w:p>
        </w:tc>
        <w:tc>
          <w:tcPr>
            <w:tcW w:w="2238" w:type="dxa"/>
            <w:tcBorders>
              <w:top w:val="single" w:color="000000" w:sz="8" w:space="0"/>
              <w:left w:val="single" w:color="000000" w:sz="2" w:space="0"/>
              <w:bottom w:val="single" w:color="000000" w:sz="8" w:space="0"/>
              <w:right w:val="single" w:color="000000" w:sz="8" w:space="0"/>
            </w:tcBorders>
            <w:vAlign w:val="center"/>
          </w:tcPr>
          <w:p w14:paraId="7BFF8D2C">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项目属性与核心产品</w:t>
            </w:r>
          </w:p>
        </w:tc>
        <w:tc>
          <w:tcPr>
            <w:tcW w:w="5700" w:type="dxa"/>
            <w:tcBorders>
              <w:top w:val="single" w:color="000000" w:sz="8" w:space="0"/>
              <w:left w:val="single" w:color="000000" w:sz="2" w:space="0"/>
              <w:bottom w:val="single" w:color="000000" w:sz="8" w:space="0"/>
              <w:right w:val="single" w:color="000000" w:sz="8" w:space="0"/>
            </w:tcBorders>
            <w:vAlign w:val="center"/>
          </w:tcPr>
          <w:p w14:paraId="285148CF">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A8"/>
            </w:r>
            <w:r>
              <w:rPr>
                <w:rFonts w:hint="eastAsia" w:ascii="微软雅黑" w:hAnsi="微软雅黑" w:cs="宋体"/>
                <w:color w:val="auto"/>
                <w:szCs w:val="21"/>
                <w:highlight w:val="none"/>
                <w:lang w:val="zh-CN"/>
              </w:rPr>
              <w:t>A货物类，核心产品为：</w:t>
            </w:r>
            <w:r>
              <w:rPr>
                <w:rFonts w:hint="eastAsia" w:ascii="微软雅黑" w:hAnsi="微软雅黑" w:cs="宋体"/>
                <w:color w:val="auto"/>
                <w:szCs w:val="21"/>
                <w:highlight w:val="none"/>
                <w:u w:val="single"/>
                <w:lang w:val="en-US" w:eastAsia="zh-CN"/>
              </w:rPr>
              <w:t xml:space="preserve">       </w:t>
            </w:r>
            <w:r>
              <w:rPr>
                <w:rFonts w:hint="eastAsia" w:ascii="微软雅黑" w:hAnsi="微软雅黑"/>
                <w:color w:val="auto"/>
                <w:szCs w:val="21"/>
                <w:highlight w:val="none"/>
              </w:rPr>
              <w:t>。</w:t>
            </w:r>
          </w:p>
          <w:p w14:paraId="4197A5C1">
            <w:pPr>
              <w:spacing w:line="240" w:lineRule="auto"/>
              <w:ind w:firstLine="0" w:firstLineChars="0"/>
              <w:rPr>
                <w:rFonts w:hint="eastAsia" w:ascii="微软雅黑" w:hAnsi="微软雅黑"/>
                <w:color w:val="auto"/>
                <w:szCs w:val="21"/>
                <w:highlight w:val="none"/>
              </w:rPr>
            </w:pPr>
            <w:r>
              <w:rPr>
                <w:rFonts w:ascii="微软雅黑" w:hAnsi="微软雅黑" w:cs="Arial"/>
                <w:color w:val="auto"/>
                <w:kern w:val="0"/>
                <w:szCs w:val="21"/>
                <w:highlight w:val="none"/>
              </w:rPr>
              <w:sym w:font="Wingdings" w:char="00FE"/>
            </w:r>
            <w:r>
              <w:rPr>
                <w:rFonts w:hint="eastAsia" w:ascii="微软雅黑" w:hAnsi="微软雅黑" w:cs="宋体"/>
                <w:color w:val="auto"/>
                <w:szCs w:val="21"/>
                <w:highlight w:val="none"/>
                <w:lang w:val="zh-CN"/>
              </w:rPr>
              <w:t>B服务类。</w:t>
            </w:r>
          </w:p>
        </w:tc>
      </w:tr>
      <w:tr w14:paraId="21DB6A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3CA3B73">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11</w:t>
            </w:r>
          </w:p>
        </w:tc>
        <w:tc>
          <w:tcPr>
            <w:tcW w:w="2238" w:type="dxa"/>
            <w:tcBorders>
              <w:top w:val="single" w:color="000000" w:sz="8" w:space="0"/>
              <w:left w:val="single" w:color="000000" w:sz="2" w:space="0"/>
              <w:bottom w:val="single" w:color="000000" w:sz="8" w:space="0"/>
              <w:right w:val="single" w:color="000000" w:sz="8" w:space="0"/>
            </w:tcBorders>
            <w:vAlign w:val="center"/>
          </w:tcPr>
          <w:p w14:paraId="497C9517">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采购标的对应的中小企业划分标准所属行业</w:t>
            </w:r>
          </w:p>
        </w:tc>
        <w:tc>
          <w:tcPr>
            <w:tcW w:w="5700" w:type="dxa"/>
            <w:tcBorders>
              <w:top w:val="single" w:color="000000" w:sz="8" w:space="0"/>
              <w:left w:val="single" w:color="000000" w:sz="2" w:space="0"/>
              <w:bottom w:val="single" w:color="000000" w:sz="8" w:space="0"/>
              <w:right w:val="single" w:color="000000" w:sz="8" w:space="0"/>
            </w:tcBorders>
            <w:vAlign w:val="center"/>
          </w:tcPr>
          <w:p w14:paraId="16926C4F">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cs="宋体"/>
                <w:color w:val="auto"/>
                <w:szCs w:val="21"/>
                <w:highlight w:val="none"/>
                <w:lang w:val="zh-CN"/>
              </w:rPr>
              <w:t>标的：</w:t>
            </w:r>
            <w:r>
              <w:rPr>
                <w:rFonts w:hint="eastAsia"/>
                <w:color w:val="auto"/>
                <w:highlight w:val="none"/>
              </w:rPr>
              <w:t xml:space="preserve"> </w:t>
            </w:r>
            <w:r>
              <w:rPr>
                <w:rFonts w:hint="eastAsia"/>
                <w:color w:val="auto"/>
                <w:highlight w:val="none"/>
                <w:u w:val="single"/>
                <w:lang w:eastAsia="zh-CN"/>
              </w:rPr>
              <w:t>社区康复服务</w:t>
            </w:r>
            <w:r>
              <w:rPr>
                <w:rFonts w:hint="eastAsia" w:ascii="微软雅黑" w:hAnsi="微软雅黑" w:cs="Arial"/>
                <w:color w:val="auto"/>
                <w:kern w:val="0"/>
                <w:szCs w:val="21"/>
                <w:highlight w:val="none"/>
              </w:rPr>
              <w:t>，</w:t>
            </w:r>
            <w:r>
              <w:rPr>
                <w:rFonts w:hint="eastAsia" w:ascii="微软雅黑" w:hAnsi="微软雅黑" w:cs="宋体"/>
                <w:color w:val="auto"/>
                <w:szCs w:val="21"/>
                <w:highlight w:val="none"/>
                <w:lang w:val="zh-CN"/>
              </w:rPr>
              <w:t>属于</w:t>
            </w:r>
            <w:r>
              <w:rPr>
                <w:rFonts w:hint="eastAsia" w:ascii="微软雅黑" w:hAnsi="微软雅黑" w:cs="Arial"/>
                <w:color w:val="auto"/>
                <w:kern w:val="0"/>
                <w:szCs w:val="21"/>
                <w:highlight w:val="none"/>
                <w:u w:val="single"/>
              </w:rPr>
              <w:t xml:space="preserve"> 其他未列明 </w:t>
            </w:r>
            <w:r>
              <w:rPr>
                <w:rFonts w:hint="eastAsia" w:ascii="微软雅黑" w:hAnsi="微软雅黑" w:cs="宋体"/>
                <w:color w:val="auto"/>
                <w:szCs w:val="21"/>
                <w:highlight w:val="none"/>
                <w:lang w:val="zh-CN"/>
              </w:rPr>
              <w:t>行业；</w:t>
            </w:r>
          </w:p>
        </w:tc>
      </w:tr>
      <w:tr w14:paraId="1553AE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5BFA7E6B">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12</w:t>
            </w:r>
          </w:p>
        </w:tc>
        <w:tc>
          <w:tcPr>
            <w:tcW w:w="2238" w:type="dxa"/>
            <w:tcBorders>
              <w:top w:val="single" w:color="000000" w:sz="8" w:space="0"/>
              <w:left w:val="single" w:color="000000" w:sz="2" w:space="0"/>
              <w:bottom w:val="single" w:color="000000" w:sz="8" w:space="0"/>
              <w:right w:val="single" w:color="000000" w:sz="8" w:space="0"/>
            </w:tcBorders>
            <w:vAlign w:val="center"/>
          </w:tcPr>
          <w:p w14:paraId="5F2EABD5">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节能产品、环境标志产品</w:t>
            </w:r>
          </w:p>
        </w:tc>
        <w:tc>
          <w:tcPr>
            <w:tcW w:w="5700" w:type="dxa"/>
            <w:tcBorders>
              <w:top w:val="single" w:color="000000" w:sz="8" w:space="0"/>
              <w:left w:val="single" w:color="000000" w:sz="2" w:space="0"/>
              <w:bottom w:val="single" w:color="000000" w:sz="8" w:space="0"/>
              <w:right w:val="single" w:color="000000" w:sz="8" w:space="0"/>
            </w:tcBorders>
            <w:vAlign w:val="center"/>
          </w:tcPr>
          <w:p w14:paraId="1F931692">
            <w:pPr>
              <w:snapToGrid w:val="0"/>
              <w:spacing w:line="240" w:lineRule="auto"/>
              <w:ind w:firstLine="0" w:firstLineChars="0"/>
              <w:rPr>
                <w:rFonts w:hint="eastAsia" w:ascii="微软雅黑" w:hAnsi="微软雅黑"/>
                <w:color w:val="auto"/>
                <w:szCs w:val="21"/>
                <w:highlight w:val="none"/>
              </w:rPr>
            </w:pPr>
            <w:r>
              <w:rPr>
                <w:rFonts w:hint="eastAsia" w:ascii="微软雅黑" w:hAnsi="微软雅黑"/>
                <w:snapToGrid w:val="0"/>
                <w:color w:val="auto"/>
                <w:kern w:val="0"/>
                <w:szCs w:val="21"/>
                <w:highlight w:val="none"/>
              </w:rPr>
              <w:t>按《节能产品政府采购品目清单》财库〔2019〕19号执行；政府采购节能产品、环境标志产品实施品目清单管理：投标产品符合财库〔2019〕9号《关于调整优化节能产品、环境标志产品政府采购执行机制的通知》条件。</w:t>
            </w:r>
          </w:p>
        </w:tc>
      </w:tr>
      <w:tr w14:paraId="775B7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39" w:hRule="atLeast"/>
          <w:tblHeader/>
        </w:trPr>
        <w:tc>
          <w:tcPr>
            <w:tcW w:w="629" w:type="dxa"/>
            <w:tcBorders>
              <w:left w:val="single" w:color="000000" w:sz="8" w:space="0"/>
              <w:right w:val="single" w:color="000000" w:sz="2" w:space="0"/>
            </w:tcBorders>
            <w:vAlign w:val="center"/>
          </w:tcPr>
          <w:p w14:paraId="3AB2070F">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13</w:t>
            </w:r>
          </w:p>
        </w:tc>
        <w:tc>
          <w:tcPr>
            <w:tcW w:w="2238" w:type="dxa"/>
            <w:tcBorders>
              <w:left w:val="single" w:color="000000" w:sz="2" w:space="0"/>
              <w:right w:val="single" w:color="000000" w:sz="8" w:space="0"/>
            </w:tcBorders>
            <w:vAlign w:val="center"/>
          </w:tcPr>
          <w:p w14:paraId="65F48EB1">
            <w:pPr>
              <w:snapToGrid w:val="0"/>
              <w:spacing w:line="240" w:lineRule="auto"/>
              <w:ind w:firstLine="0" w:firstLineChars="0"/>
              <w:jc w:val="center"/>
              <w:rPr>
                <w:rFonts w:hint="eastAsia" w:ascii="微软雅黑" w:hAnsi="微软雅黑"/>
                <w:color w:val="auto"/>
                <w:szCs w:val="21"/>
                <w:highlight w:val="none"/>
              </w:rPr>
            </w:pPr>
            <w:r>
              <w:rPr>
                <w:rFonts w:hint="eastAsia" w:ascii="微软雅黑" w:hAnsi="微软雅黑" w:cs="仿宋_GB2312"/>
                <w:b/>
                <w:color w:val="auto"/>
                <w:szCs w:val="21"/>
                <w:highlight w:val="none"/>
              </w:rPr>
              <w:t>评标结果公告及中标通知书</w:t>
            </w:r>
          </w:p>
        </w:tc>
        <w:tc>
          <w:tcPr>
            <w:tcW w:w="5700" w:type="dxa"/>
            <w:tcBorders>
              <w:top w:val="single" w:color="000000" w:sz="8" w:space="0"/>
              <w:left w:val="single" w:color="000000" w:sz="2" w:space="0"/>
              <w:bottom w:val="single" w:color="000000" w:sz="8" w:space="0"/>
              <w:right w:val="single" w:color="000000" w:sz="8" w:space="0"/>
            </w:tcBorders>
            <w:vAlign w:val="center"/>
          </w:tcPr>
          <w:p w14:paraId="57E08AA6">
            <w:pPr>
              <w:autoSpaceDE w:val="0"/>
              <w:autoSpaceDN w:val="0"/>
              <w:snapToGrid w:val="0"/>
              <w:spacing w:line="240" w:lineRule="auto"/>
              <w:ind w:firstLine="0" w:firstLineChars="0"/>
              <w:textAlignment w:val="bottom"/>
              <w:rPr>
                <w:rFonts w:hint="eastAsia" w:ascii="微软雅黑" w:hAnsi="微软雅黑"/>
                <w:color w:val="auto"/>
                <w:szCs w:val="21"/>
                <w:highlight w:val="none"/>
              </w:rPr>
            </w:pPr>
            <w:r>
              <w:rPr>
                <w:rFonts w:hint="eastAsia" w:ascii="微软雅黑" w:hAnsi="微软雅黑"/>
                <w:color w:val="auto"/>
                <w:szCs w:val="21"/>
                <w:highlight w:val="none"/>
              </w:rPr>
              <w:t>评标结束后2个工作日内，评标结果公告于浙江政府采购网(http://www.zjzfcg.gov.cn/new/)</w:t>
            </w:r>
          </w:p>
          <w:p w14:paraId="20D04A2D">
            <w:pPr>
              <w:autoSpaceDE w:val="0"/>
              <w:autoSpaceDN w:val="0"/>
              <w:snapToGrid w:val="0"/>
              <w:spacing w:line="240" w:lineRule="auto"/>
              <w:ind w:firstLine="0" w:firstLineChars="0"/>
              <w:textAlignment w:val="bottom"/>
              <w:rPr>
                <w:rFonts w:hint="eastAsia" w:ascii="微软雅黑" w:hAnsi="微软雅黑"/>
                <w:snapToGrid w:val="0"/>
                <w:color w:val="auto"/>
                <w:kern w:val="28"/>
                <w:szCs w:val="21"/>
                <w:highlight w:val="none"/>
              </w:rPr>
            </w:pPr>
            <w:r>
              <w:rPr>
                <w:rFonts w:hint="eastAsia" w:ascii="微软雅黑" w:hAnsi="微软雅黑"/>
                <w:color w:val="auto"/>
                <w:kern w:val="0"/>
                <w:szCs w:val="21"/>
                <w:highlight w:val="none"/>
              </w:rPr>
              <w:t>中标公告期限为1个工作日</w:t>
            </w:r>
            <w:r>
              <w:rPr>
                <w:rFonts w:hint="eastAsia" w:ascii="微软雅黑" w:hAnsi="微软雅黑" w:cs="宋体"/>
                <w:b/>
                <w:bCs/>
                <w:color w:val="auto"/>
                <w:szCs w:val="21"/>
                <w:highlight w:val="none"/>
              </w:rPr>
              <w:t>（中标供应商为小微企业的，其中小企业声明函将随中标结果同时公告）</w:t>
            </w:r>
            <w:r>
              <w:rPr>
                <w:rFonts w:hint="eastAsia" w:ascii="微软雅黑" w:hAnsi="微软雅黑"/>
                <w:color w:val="auto"/>
                <w:kern w:val="0"/>
                <w:szCs w:val="21"/>
                <w:highlight w:val="none"/>
              </w:rPr>
              <w:t>。在公告中标结果的同时，代理机构在政采云系统向中标供应商发出中标通知书。</w:t>
            </w:r>
          </w:p>
        </w:tc>
      </w:tr>
      <w:tr w14:paraId="7E52DA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DD15269">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14</w:t>
            </w:r>
          </w:p>
        </w:tc>
        <w:tc>
          <w:tcPr>
            <w:tcW w:w="2238" w:type="dxa"/>
            <w:tcBorders>
              <w:top w:val="single" w:color="000000" w:sz="8" w:space="0"/>
              <w:left w:val="single" w:color="000000" w:sz="2" w:space="0"/>
              <w:bottom w:val="single" w:color="000000" w:sz="8" w:space="0"/>
              <w:right w:val="single" w:color="000000" w:sz="8" w:space="0"/>
            </w:tcBorders>
            <w:vAlign w:val="center"/>
          </w:tcPr>
          <w:p w14:paraId="41985431">
            <w:pPr>
              <w:autoSpaceDE w:val="0"/>
              <w:autoSpaceDN w:val="0"/>
              <w:snapToGrid w:val="0"/>
              <w:spacing w:line="240" w:lineRule="auto"/>
              <w:ind w:firstLine="0" w:firstLineChars="0"/>
              <w:jc w:val="center"/>
              <w:textAlignment w:val="bottom"/>
              <w:rPr>
                <w:rFonts w:hint="eastAsia" w:ascii="微软雅黑" w:hAnsi="微软雅黑"/>
                <w:color w:val="auto"/>
                <w:kern w:val="0"/>
                <w:szCs w:val="21"/>
                <w:highlight w:val="none"/>
              </w:rPr>
            </w:pPr>
            <w:r>
              <w:rPr>
                <w:rFonts w:hint="eastAsia" w:ascii="微软雅黑" w:hAnsi="微软雅黑" w:cs="仿宋_GB2312"/>
                <w:b/>
                <w:color w:val="auto"/>
                <w:szCs w:val="21"/>
                <w:highlight w:val="none"/>
              </w:rPr>
              <w:t>履约保证金</w:t>
            </w:r>
          </w:p>
        </w:tc>
        <w:tc>
          <w:tcPr>
            <w:tcW w:w="5700" w:type="dxa"/>
            <w:tcBorders>
              <w:top w:val="single" w:color="000000" w:sz="8" w:space="0"/>
              <w:left w:val="single" w:color="000000" w:sz="2" w:space="0"/>
              <w:bottom w:val="single" w:color="000000" w:sz="8" w:space="0"/>
              <w:right w:val="single" w:color="000000" w:sz="8" w:space="0"/>
            </w:tcBorders>
            <w:vAlign w:val="center"/>
          </w:tcPr>
          <w:p w14:paraId="2C85E37B">
            <w:pPr>
              <w:spacing w:line="240" w:lineRule="auto"/>
              <w:ind w:firstLine="0" w:firstLineChars="0"/>
              <w:rPr>
                <w:rFonts w:hint="eastAsia" w:ascii="微软雅黑" w:hAnsi="微软雅黑"/>
                <w:color w:val="auto"/>
                <w:kern w:val="0"/>
                <w:szCs w:val="21"/>
                <w:highlight w:val="none"/>
              </w:rPr>
            </w:pPr>
            <w:r>
              <w:rPr>
                <w:rFonts w:hint="eastAsia" w:ascii="微软雅黑" w:hAnsi="微软雅黑" w:cs="宋体"/>
                <w:color w:val="auto"/>
                <w:szCs w:val="21"/>
                <w:highlight w:val="none"/>
                <w:lang w:val="zh-CN"/>
              </w:rPr>
              <w:t>无</w:t>
            </w:r>
            <w:r>
              <w:rPr>
                <w:rFonts w:hint="eastAsia" w:ascii="微软雅黑" w:hAnsi="微软雅黑"/>
                <w:color w:val="auto"/>
                <w:szCs w:val="21"/>
                <w:highlight w:val="none"/>
              </w:rPr>
              <w:t>。</w:t>
            </w:r>
          </w:p>
        </w:tc>
      </w:tr>
      <w:tr w14:paraId="5D94A6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0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622D60B">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15</w:t>
            </w:r>
          </w:p>
        </w:tc>
        <w:tc>
          <w:tcPr>
            <w:tcW w:w="2238" w:type="dxa"/>
            <w:tcBorders>
              <w:top w:val="single" w:color="000000" w:sz="8" w:space="0"/>
              <w:left w:val="single" w:color="000000" w:sz="2" w:space="0"/>
              <w:bottom w:val="single" w:color="000000" w:sz="8" w:space="0"/>
              <w:right w:val="single" w:color="000000" w:sz="8" w:space="0"/>
            </w:tcBorders>
            <w:vAlign w:val="center"/>
          </w:tcPr>
          <w:p w14:paraId="1DF11D41">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签订合同时间</w:t>
            </w:r>
          </w:p>
        </w:tc>
        <w:tc>
          <w:tcPr>
            <w:tcW w:w="5700" w:type="dxa"/>
            <w:tcBorders>
              <w:top w:val="single" w:color="000000" w:sz="8" w:space="0"/>
              <w:left w:val="single" w:color="000000" w:sz="2" w:space="0"/>
              <w:bottom w:val="single" w:color="000000" w:sz="8" w:space="0"/>
              <w:right w:val="single" w:color="000000" w:sz="8" w:space="0"/>
            </w:tcBorders>
            <w:vAlign w:val="center"/>
          </w:tcPr>
          <w:p w14:paraId="74761A7A">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color w:val="auto"/>
                <w:szCs w:val="21"/>
                <w:highlight w:val="none"/>
              </w:rPr>
              <w:t>中标通知书发出后30日内。</w:t>
            </w:r>
            <w:r>
              <w:rPr>
                <w:rFonts w:hint="eastAsia" w:ascii="微软雅黑" w:hAnsi="微软雅黑"/>
                <w:color w:val="auto"/>
                <w:kern w:val="0"/>
                <w:szCs w:val="21"/>
                <w:highlight w:val="none"/>
              </w:rPr>
              <w:t>建议采购人在对采购结果质疑期（自采购结果公告之日起七个工作日）后与中标供应商签订政府采购合同。</w:t>
            </w:r>
          </w:p>
        </w:tc>
      </w:tr>
      <w:tr w14:paraId="0E12B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05A15A9">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16</w:t>
            </w:r>
          </w:p>
        </w:tc>
        <w:tc>
          <w:tcPr>
            <w:tcW w:w="2238" w:type="dxa"/>
            <w:tcBorders>
              <w:top w:val="single" w:color="000000" w:sz="8" w:space="0"/>
              <w:left w:val="single" w:color="000000" w:sz="2" w:space="0"/>
              <w:bottom w:val="single" w:color="000000" w:sz="8" w:space="0"/>
              <w:right w:val="single" w:color="000000" w:sz="8" w:space="0"/>
            </w:tcBorders>
            <w:vAlign w:val="center"/>
          </w:tcPr>
          <w:p w14:paraId="4A059C46">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合同公告</w:t>
            </w:r>
          </w:p>
        </w:tc>
        <w:tc>
          <w:tcPr>
            <w:tcW w:w="5700" w:type="dxa"/>
            <w:tcBorders>
              <w:top w:val="single" w:color="000000" w:sz="8" w:space="0"/>
              <w:left w:val="single" w:color="000000" w:sz="2" w:space="0"/>
              <w:bottom w:val="single" w:color="000000" w:sz="8" w:space="0"/>
              <w:right w:val="single" w:color="000000" w:sz="8" w:space="0"/>
            </w:tcBorders>
            <w:vAlign w:val="center"/>
          </w:tcPr>
          <w:p w14:paraId="0E78DD14">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color w:val="auto"/>
                <w:szCs w:val="21"/>
                <w:highlight w:val="none"/>
              </w:rPr>
              <w:t>本项目政府采购合同将于签订之日起2个工作日内发布于浙江政府采购网，但政府采购合同中涉及国家秘密、商业秘密的内容除外。</w:t>
            </w:r>
          </w:p>
        </w:tc>
      </w:tr>
      <w:tr w14:paraId="1F3DF9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267526">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17</w:t>
            </w:r>
          </w:p>
        </w:tc>
        <w:tc>
          <w:tcPr>
            <w:tcW w:w="2238" w:type="dxa"/>
            <w:tcBorders>
              <w:top w:val="single" w:color="000000" w:sz="8" w:space="0"/>
              <w:left w:val="single" w:color="000000" w:sz="2" w:space="0"/>
              <w:bottom w:val="single" w:color="000000" w:sz="8" w:space="0"/>
              <w:right w:val="single" w:color="000000" w:sz="8" w:space="0"/>
            </w:tcBorders>
            <w:vAlign w:val="center"/>
          </w:tcPr>
          <w:p w14:paraId="05FF0903">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本项目预算金额</w:t>
            </w:r>
          </w:p>
        </w:tc>
        <w:tc>
          <w:tcPr>
            <w:tcW w:w="5700" w:type="dxa"/>
            <w:tcBorders>
              <w:top w:val="single" w:color="000000" w:sz="8" w:space="0"/>
              <w:left w:val="single" w:color="000000" w:sz="2" w:space="0"/>
              <w:bottom w:val="single" w:color="000000" w:sz="8" w:space="0"/>
              <w:right w:val="single" w:color="000000" w:sz="8" w:space="0"/>
            </w:tcBorders>
            <w:vAlign w:val="center"/>
          </w:tcPr>
          <w:p w14:paraId="735F2F47">
            <w:pPr>
              <w:widowControl/>
              <w:spacing w:before="75" w:after="75" w:line="300" w:lineRule="atLeast"/>
              <w:ind w:firstLine="0" w:firstLineChars="0"/>
              <w:rPr>
                <w:rFonts w:hint="eastAsia" w:ascii="微软雅黑" w:hAnsi="微软雅黑"/>
                <w:strike/>
                <w:color w:val="auto"/>
                <w:kern w:val="28"/>
                <w:szCs w:val="21"/>
                <w:highlight w:val="none"/>
              </w:rPr>
            </w:pPr>
            <w:r>
              <w:rPr>
                <w:rFonts w:hint="eastAsia" w:ascii="微软雅黑" w:hAnsi="微软雅黑" w:cs="Calibri"/>
                <w:color w:val="auto"/>
                <w:kern w:val="0"/>
                <w:szCs w:val="21"/>
                <w:highlight w:val="none"/>
              </w:rPr>
              <w:t>预算价：</w:t>
            </w:r>
            <w:r>
              <w:rPr>
                <w:rFonts w:hint="eastAsia" w:ascii="微软雅黑" w:hAnsi="微软雅黑" w:cs="Calibri"/>
                <w:b/>
                <w:bCs/>
                <w:color w:val="auto"/>
                <w:kern w:val="0"/>
                <w:szCs w:val="21"/>
                <w:highlight w:val="none"/>
                <w:u w:val="single"/>
                <w:lang w:val="en-US" w:eastAsia="zh-CN"/>
              </w:rPr>
              <w:t>3850000.00</w:t>
            </w:r>
            <w:r>
              <w:rPr>
                <w:rFonts w:hint="eastAsia" w:ascii="微软雅黑" w:hAnsi="微软雅黑" w:cs="Calibri"/>
                <w:b/>
                <w:bCs/>
                <w:color w:val="auto"/>
                <w:kern w:val="0"/>
                <w:szCs w:val="21"/>
                <w:highlight w:val="none"/>
                <w:u w:val="single"/>
              </w:rPr>
              <w:t>元</w:t>
            </w:r>
            <w:r>
              <w:rPr>
                <w:rFonts w:hint="eastAsia" w:ascii="微软雅黑" w:hAnsi="微软雅黑"/>
                <w:color w:val="auto"/>
                <w:kern w:val="0"/>
                <w:szCs w:val="21"/>
                <w:highlight w:val="none"/>
              </w:rPr>
              <w:t>；</w:t>
            </w:r>
            <w:r>
              <w:rPr>
                <w:rFonts w:hint="eastAsia" w:ascii="微软雅黑" w:hAnsi="微软雅黑"/>
                <w:color w:val="auto"/>
                <w:szCs w:val="21"/>
                <w:highlight w:val="none"/>
              </w:rPr>
              <w:t>最高限价为预算价，超预算价的投标文件无效。</w:t>
            </w:r>
          </w:p>
        </w:tc>
      </w:tr>
      <w:tr w14:paraId="4EF4B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5043987">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18</w:t>
            </w:r>
          </w:p>
        </w:tc>
        <w:tc>
          <w:tcPr>
            <w:tcW w:w="2238" w:type="dxa"/>
            <w:tcBorders>
              <w:top w:val="single" w:color="000000" w:sz="8" w:space="0"/>
              <w:left w:val="single" w:color="000000" w:sz="2" w:space="0"/>
              <w:bottom w:val="single" w:color="000000" w:sz="8" w:space="0"/>
              <w:right w:val="single" w:color="000000" w:sz="8" w:space="0"/>
            </w:tcBorders>
            <w:vAlign w:val="center"/>
          </w:tcPr>
          <w:p w14:paraId="098AC16E">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投标文件有效期</w:t>
            </w:r>
          </w:p>
        </w:tc>
        <w:tc>
          <w:tcPr>
            <w:tcW w:w="5700" w:type="dxa"/>
            <w:tcBorders>
              <w:top w:val="single" w:color="000000" w:sz="8" w:space="0"/>
              <w:left w:val="single" w:color="000000" w:sz="2" w:space="0"/>
              <w:bottom w:val="single" w:color="000000" w:sz="8" w:space="0"/>
              <w:right w:val="single" w:color="000000" w:sz="8" w:space="0"/>
            </w:tcBorders>
            <w:vAlign w:val="center"/>
          </w:tcPr>
          <w:p w14:paraId="56E71595">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color w:val="auto"/>
                <w:szCs w:val="21"/>
                <w:highlight w:val="none"/>
                <w:u w:val="single"/>
              </w:rPr>
              <w:t>90</w:t>
            </w:r>
            <w:r>
              <w:rPr>
                <w:rFonts w:hint="eastAsia" w:ascii="微软雅黑" w:hAnsi="微软雅黑"/>
                <w:color w:val="auto"/>
                <w:szCs w:val="21"/>
                <w:highlight w:val="none"/>
              </w:rPr>
              <w:t>天</w:t>
            </w:r>
          </w:p>
        </w:tc>
      </w:tr>
      <w:tr w14:paraId="286009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00"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B048D9E">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19</w:t>
            </w:r>
          </w:p>
        </w:tc>
        <w:tc>
          <w:tcPr>
            <w:tcW w:w="2238" w:type="dxa"/>
            <w:tcBorders>
              <w:top w:val="single" w:color="000000" w:sz="8" w:space="0"/>
              <w:left w:val="single" w:color="000000" w:sz="2" w:space="0"/>
              <w:bottom w:val="single" w:color="000000" w:sz="8" w:space="0"/>
              <w:right w:val="single" w:color="000000" w:sz="8" w:space="0"/>
            </w:tcBorders>
            <w:vAlign w:val="center"/>
          </w:tcPr>
          <w:p w14:paraId="26ECE0D8">
            <w:pPr>
              <w:snapToGrid w:val="0"/>
              <w:spacing w:line="240" w:lineRule="auto"/>
              <w:ind w:firstLine="0" w:firstLineChars="0"/>
              <w:jc w:val="center"/>
              <w:rPr>
                <w:rFonts w:hint="eastAsia" w:ascii="微软雅黑" w:hAnsi="微软雅黑" w:cs="仿宋_GB2312"/>
                <w:b/>
                <w:color w:val="auto"/>
                <w:szCs w:val="21"/>
                <w:highlight w:val="none"/>
              </w:rPr>
            </w:pPr>
            <w:r>
              <w:rPr>
                <w:rFonts w:hint="eastAsia" w:ascii="微软雅黑" w:hAnsi="微软雅黑" w:cs="仿宋_GB2312"/>
                <w:b/>
                <w:color w:val="auto"/>
                <w:szCs w:val="21"/>
                <w:highlight w:val="none"/>
              </w:rPr>
              <w:t>中小企业预留份额情况</w:t>
            </w:r>
          </w:p>
        </w:tc>
        <w:tc>
          <w:tcPr>
            <w:tcW w:w="5700" w:type="dxa"/>
            <w:tcBorders>
              <w:top w:val="single" w:color="000000" w:sz="8" w:space="0"/>
              <w:left w:val="single" w:color="000000" w:sz="2" w:space="0"/>
              <w:bottom w:val="single" w:color="000000" w:sz="8" w:space="0"/>
              <w:right w:val="single" w:color="000000" w:sz="8" w:space="0"/>
            </w:tcBorders>
            <w:vAlign w:val="center"/>
          </w:tcPr>
          <w:p w14:paraId="4B2FD1D1">
            <w:pPr>
              <w:spacing w:line="240" w:lineRule="auto"/>
              <w:ind w:firstLine="0" w:firstLineChars="0"/>
              <w:rPr>
                <w:rFonts w:hint="eastAsia" w:ascii="微软雅黑" w:hAnsi="微软雅黑" w:cs="Arial"/>
                <w:color w:val="auto"/>
                <w:kern w:val="0"/>
                <w:szCs w:val="21"/>
                <w:highlight w:val="none"/>
              </w:rPr>
            </w:pPr>
            <w:r>
              <w:rPr>
                <w:rFonts w:hint="eastAsia" w:ascii="宋体" w:hAnsi="宋体"/>
                <w:color w:val="auto"/>
                <w:highlight w:val="none"/>
              </w:rPr>
              <w:t>根据《政府采购促进中小企业发展管理办法》财库〔2020〕46号文件的规定，本项目不属于预留份额专门面向中小企业采购的项目。</w:t>
            </w:r>
          </w:p>
        </w:tc>
      </w:tr>
      <w:tr w14:paraId="1CA9E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1589FAB">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20</w:t>
            </w:r>
          </w:p>
        </w:tc>
        <w:tc>
          <w:tcPr>
            <w:tcW w:w="2238" w:type="dxa"/>
            <w:tcBorders>
              <w:top w:val="single" w:color="000000" w:sz="8" w:space="0"/>
              <w:left w:val="single" w:color="000000" w:sz="2" w:space="0"/>
              <w:bottom w:val="single" w:color="000000" w:sz="8" w:space="0"/>
              <w:right w:val="single" w:color="000000" w:sz="8" w:space="0"/>
            </w:tcBorders>
            <w:vAlign w:val="center"/>
          </w:tcPr>
          <w:p w14:paraId="587D872A">
            <w:pPr>
              <w:tabs>
                <w:tab w:val="center" w:pos="954"/>
                <w:tab w:val="right" w:pos="1787"/>
              </w:tabs>
              <w:snapToGrid w:val="0"/>
              <w:spacing w:line="240" w:lineRule="auto"/>
              <w:ind w:firstLine="0" w:firstLineChars="0"/>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ab/>
            </w:r>
            <w:r>
              <w:rPr>
                <w:rFonts w:hint="eastAsia" w:ascii="微软雅黑" w:hAnsi="微软雅黑" w:cs="仿宋_GB2312"/>
                <w:b/>
                <w:color w:val="auto"/>
                <w:szCs w:val="21"/>
                <w:highlight w:val="none"/>
              </w:rPr>
              <w:t>政策优惠</w:t>
            </w:r>
            <w:r>
              <w:rPr>
                <w:rFonts w:hint="eastAsia" w:ascii="微软雅黑" w:hAnsi="微软雅黑" w:cs="仿宋_GB2312"/>
                <w:b/>
                <w:color w:val="auto"/>
                <w:szCs w:val="21"/>
                <w:highlight w:val="none"/>
              </w:rPr>
              <w:tab/>
            </w:r>
          </w:p>
        </w:tc>
        <w:tc>
          <w:tcPr>
            <w:tcW w:w="5700" w:type="dxa"/>
            <w:tcBorders>
              <w:top w:val="single" w:color="000000" w:sz="8" w:space="0"/>
              <w:left w:val="single" w:color="000000" w:sz="2" w:space="0"/>
              <w:bottom w:val="single" w:color="000000" w:sz="8" w:space="0"/>
              <w:right w:val="single" w:color="000000" w:sz="8" w:space="0"/>
            </w:tcBorders>
            <w:vAlign w:val="center"/>
          </w:tcPr>
          <w:p w14:paraId="51AC973A">
            <w:pPr>
              <w:autoSpaceDE w:val="0"/>
              <w:autoSpaceDN w:val="0"/>
              <w:snapToGrid w:val="0"/>
              <w:spacing w:line="240" w:lineRule="auto"/>
              <w:ind w:firstLine="0" w:firstLineChars="0"/>
              <w:textAlignment w:val="bottom"/>
              <w:rPr>
                <w:rFonts w:hint="eastAsia" w:ascii="微软雅黑" w:hAnsi="微软雅黑" w:cs="宋体"/>
                <w:snapToGrid w:val="0"/>
                <w:color w:val="auto"/>
                <w:kern w:val="0"/>
                <w:szCs w:val="21"/>
                <w:highlight w:val="none"/>
              </w:rPr>
            </w:pPr>
            <w:r>
              <w:rPr>
                <w:rFonts w:hint="eastAsia" w:ascii="微软雅黑" w:hAnsi="微软雅黑"/>
                <w:color w:val="auto"/>
                <w:szCs w:val="21"/>
                <w:highlight w:val="none"/>
              </w:rPr>
              <w:t>1.根据财库〔2020〕46号、财库〔2022〕19号等相关规定，在评审时对于未预留份额专门面向中小企业的政府采购货物或服务项目，以及预留份额政府采购货物或服务项目中的非预留部分标项，对小型和微型企业的</w:t>
            </w:r>
            <w:r>
              <w:rPr>
                <w:rFonts w:ascii="微软雅黑" w:hAnsi="微软雅黑"/>
                <w:color w:val="auto"/>
                <w:szCs w:val="21"/>
                <w:highlight w:val="none"/>
              </w:rPr>
              <w:t>投标报价给予20%的扣除</w:t>
            </w:r>
            <w:r>
              <w:rPr>
                <w:rFonts w:hint="eastAsia" w:ascii="微软雅黑" w:hAnsi="微软雅黑"/>
                <w:color w:val="auto"/>
                <w:szCs w:val="21"/>
                <w:highlight w:val="none"/>
              </w:rPr>
              <w:t>，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40%以上的，对联合体或者大中型企业的报价给予</w:t>
            </w:r>
            <w:r>
              <w:rPr>
                <w:rFonts w:ascii="微软雅黑" w:hAnsi="微软雅黑"/>
                <w:color w:val="auto"/>
                <w:szCs w:val="21"/>
                <w:highlight w:val="none"/>
              </w:rPr>
              <w:t>6</w:t>
            </w:r>
            <w:r>
              <w:rPr>
                <w:rFonts w:hint="eastAsia" w:ascii="微软雅黑" w:hAnsi="微软雅黑"/>
                <w:color w:val="auto"/>
                <w:szCs w:val="21"/>
                <w:highlight w:val="none"/>
              </w:rPr>
              <w:t>%的扣除，用扣除后的价格参加评审。组成联合体或者接受分包的小微企业与联合体内其他企业、分包企业之间存在直接控股、管理关系的，不享受价格扣除优惠政策。属于小微企业的，投标文件必须提供《中小企业声明函》（模板见第六章）。</w:t>
            </w:r>
          </w:p>
          <w:p w14:paraId="48215E68">
            <w:pPr>
              <w:tabs>
                <w:tab w:val="left" w:pos="3870"/>
                <w:tab w:val="left" w:pos="4085"/>
              </w:tabs>
              <w:snapToGrid w:val="0"/>
              <w:spacing w:line="240" w:lineRule="auto"/>
              <w:ind w:firstLine="0" w:firstLineChars="0"/>
              <w:rPr>
                <w:rFonts w:hint="eastAsia" w:ascii="微软雅黑" w:hAnsi="微软雅黑"/>
                <w:snapToGrid w:val="0"/>
                <w:color w:val="auto"/>
                <w:kern w:val="0"/>
                <w:szCs w:val="21"/>
                <w:highlight w:val="none"/>
              </w:rPr>
            </w:pPr>
            <w:r>
              <w:rPr>
                <w:rFonts w:hint="eastAsia" w:ascii="微软雅黑" w:hAnsi="微软雅黑"/>
                <w:snapToGrid w:val="0"/>
                <w:color w:val="auto"/>
                <w:kern w:val="0"/>
                <w:szCs w:val="21"/>
                <w:highlight w:val="none"/>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486649AF">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snapToGrid w:val="0"/>
                <w:color w:val="auto"/>
                <w:kern w:val="0"/>
                <w:szCs w:val="21"/>
                <w:highlight w:val="none"/>
              </w:rPr>
              <w:t>3.监狱企业同视为小型、微型企业，享受中小企业政策扶持。</w:t>
            </w:r>
          </w:p>
        </w:tc>
      </w:tr>
      <w:tr w14:paraId="613566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6418CE0A">
            <w:pPr>
              <w:snapToGrid w:val="0"/>
              <w:spacing w:line="240" w:lineRule="auto"/>
              <w:ind w:firstLine="0" w:firstLineChars="0"/>
              <w:jc w:val="center"/>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21</w:t>
            </w:r>
          </w:p>
        </w:tc>
        <w:tc>
          <w:tcPr>
            <w:tcW w:w="2238" w:type="dxa"/>
            <w:tcBorders>
              <w:top w:val="single" w:color="000000" w:sz="8" w:space="0"/>
              <w:left w:val="single" w:color="000000" w:sz="2" w:space="0"/>
              <w:bottom w:val="single" w:color="000000" w:sz="8" w:space="0"/>
              <w:right w:val="single" w:color="000000" w:sz="8" w:space="0"/>
            </w:tcBorders>
            <w:vAlign w:val="center"/>
          </w:tcPr>
          <w:p w14:paraId="615C855D">
            <w:pPr>
              <w:snapToGrid w:val="0"/>
              <w:spacing w:line="240" w:lineRule="auto"/>
              <w:ind w:firstLine="0" w:firstLineChars="0"/>
              <w:jc w:val="center"/>
              <w:rPr>
                <w:rFonts w:hint="eastAsia" w:ascii="微软雅黑" w:hAnsi="微软雅黑" w:cs="仿宋_GB2312"/>
                <w:b/>
                <w:strike/>
                <w:color w:val="auto"/>
                <w:szCs w:val="21"/>
                <w:highlight w:val="none"/>
              </w:rPr>
            </w:pPr>
            <w:r>
              <w:rPr>
                <w:rFonts w:hint="eastAsia" w:ascii="微软雅黑" w:hAnsi="微软雅黑" w:cs="仿宋_GB2312"/>
                <w:b/>
                <w:color w:val="auto"/>
                <w:szCs w:val="21"/>
                <w:highlight w:val="none"/>
              </w:rPr>
              <w:t>特别说明</w:t>
            </w:r>
          </w:p>
        </w:tc>
        <w:tc>
          <w:tcPr>
            <w:tcW w:w="5700" w:type="dxa"/>
            <w:tcBorders>
              <w:top w:val="single" w:color="000000" w:sz="8" w:space="0"/>
              <w:left w:val="single" w:color="000000" w:sz="2" w:space="0"/>
              <w:bottom w:val="single" w:color="000000" w:sz="8" w:space="0"/>
              <w:right w:val="single" w:color="000000" w:sz="8" w:space="0"/>
            </w:tcBorders>
            <w:vAlign w:val="center"/>
          </w:tcPr>
          <w:p w14:paraId="0B506561">
            <w:pPr>
              <w:autoSpaceDE w:val="0"/>
              <w:autoSpaceDN w:val="0"/>
              <w:snapToGrid w:val="0"/>
              <w:spacing w:line="240" w:lineRule="auto"/>
              <w:ind w:firstLine="0" w:firstLineChars="0"/>
              <w:textAlignment w:val="bottom"/>
              <w:rPr>
                <w:rFonts w:hint="eastAsia" w:ascii="微软雅黑" w:hAnsi="微软雅黑"/>
                <w:strike/>
                <w:color w:val="auto"/>
                <w:kern w:val="28"/>
                <w:szCs w:val="21"/>
                <w:highlight w:val="none"/>
              </w:rPr>
            </w:pPr>
            <w:r>
              <w:rPr>
                <w:rFonts w:hint="eastAsia" w:ascii="微软雅黑" w:hAnsi="微软雅黑"/>
                <w:snapToGrid w:val="0"/>
                <w:color w:val="auto"/>
                <w:kern w:val="0"/>
                <w:szCs w:val="21"/>
                <w:highlight w:val="none"/>
              </w:rPr>
              <w:t>本招标文件的解释权属于采购人</w:t>
            </w:r>
          </w:p>
        </w:tc>
      </w:tr>
    </w:tbl>
    <w:p w14:paraId="4FC3030A">
      <w:pPr>
        <w:pStyle w:val="3"/>
        <w:spacing w:line="500" w:lineRule="exact"/>
        <w:ind w:firstLine="420"/>
        <w:rPr>
          <w:rFonts w:hint="eastAsia" w:ascii="微软雅黑" w:hAnsi="微软雅黑"/>
          <w:color w:val="auto"/>
          <w:szCs w:val="21"/>
          <w:highlight w:val="none"/>
        </w:rPr>
      </w:pPr>
      <w:bookmarkStart w:id="97" w:name="_Toc3218"/>
      <w:bookmarkStart w:id="98" w:name="_Toc493511580"/>
      <w:bookmarkStart w:id="99" w:name="_Toc177870536"/>
      <w:r>
        <w:rPr>
          <w:rFonts w:hint="eastAsia" w:ascii="微软雅黑" w:hAnsi="微软雅黑"/>
          <w:color w:val="auto"/>
          <w:szCs w:val="21"/>
          <w:highlight w:val="none"/>
        </w:rPr>
        <w:t>一、总  则</w:t>
      </w:r>
      <w:bookmarkEnd w:id="97"/>
      <w:bookmarkEnd w:id="98"/>
      <w:bookmarkEnd w:id="99"/>
    </w:p>
    <w:p w14:paraId="42ED34F8">
      <w:pPr>
        <w:snapToGrid w:val="0"/>
        <w:ind w:firstLine="412" w:firstLineChars="196"/>
        <w:outlineLvl w:val="2"/>
        <w:rPr>
          <w:rFonts w:hint="eastAsia" w:ascii="微软雅黑" w:hAnsi="微软雅黑"/>
          <w:b/>
          <w:color w:val="auto"/>
          <w:szCs w:val="21"/>
          <w:highlight w:val="none"/>
        </w:rPr>
      </w:pPr>
      <w:bookmarkStart w:id="100" w:name="_Toc169015114"/>
      <w:bookmarkStart w:id="101" w:name="_Toc164943190"/>
      <w:bookmarkStart w:id="102" w:name="_Toc397670948"/>
      <w:bookmarkStart w:id="103" w:name="_Toc397670919"/>
      <w:bookmarkStart w:id="104" w:name="_Toc493511613"/>
      <w:bookmarkStart w:id="105" w:name="_Toc177870544"/>
      <w:r>
        <w:rPr>
          <w:rFonts w:hint="eastAsia" w:ascii="微软雅黑" w:hAnsi="微软雅黑"/>
          <w:b/>
          <w:color w:val="auto"/>
          <w:szCs w:val="21"/>
          <w:highlight w:val="none"/>
        </w:rPr>
        <w:t>（一）适用范围</w:t>
      </w:r>
      <w:bookmarkEnd w:id="100"/>
      <w:bookmarkEnd w:id="101"/>
    </w:p>
    <w:p w14:paraId="194C5071">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本招标文件适用于该项目的招标、投标、评标、定标、验收、合同履约、付款等行为（法律、法规另有规定的，从其规定）。</w:t>
      </w:r>
    </w:p>
    <w:p w14:paraId="04451183">
      <w:pPr>
        <w:snapToGrid w:val="0"/>
        <w:ind w:firstLine="309" w:firstLineChars="147"/>
        <w:outlineLvl w:val="2"/>
        <w:rPr>
          <w:rFonts w:hint="eastAsia" w:ascii="微软雅黑" w:hAnsi="微软雅黑"/>
          <w:b/>
          <w:color w:val="auto"/>
          <w:szCs w:val="21"/>
          <w:highlight w:val="none"/>
        </w:rPr>
      </w:pPr>
      <w:bookmarkStart w:id="106" w:name="_Toc164943191"/>
      <w:bookmarkStart w:id="107" w:name="_Toc169015115"/>
      <w:r>
        <w:rPr>
          <w:rFonts w:hint="eastAsia" w:ascii="微软雅黑" w:hAnsi="微软雅黑"/>
          <w:b/>
          <w:color w:val="auto"/>
          <w:szCs w:val="21"/>
          <w:highlight w:val="none"/>
        </w:rPr>
        <w:t>（二）定义</w:t>
      </w:r>
      <w:bookmarkEnd w:id="106"/>
      <w:bookmarkEnd w:id="107"/>
    </w:p>
    <w:p w14:paraId="0F79ADAA">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w:t>
      </w:r>
      <w:r>
        <w:rPr>
          <w:rFonts w:hint="eastAsia" w:ascii="微软雅黑" w:hAnsi="微软雅黑" w:cs="宋体"/>
          <w:color w:val="auto"/>
          <w:szCs w:val="21"/>
          <w:highlight w:val="none"/>
        </w:rPr>
        <w:t>“采购人”系指招标公告中载明的本项目的采购人。</w:t>
      </w:r>
    </w:p>
    <w:p w14:paraId="0BEFEEC3">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2.“采购代理机构”系指招标公告中载明的本项目的采购代理机构</w:t>
      </w:r>
    </w:p>
    <w:p w14:paraId="03A7DB1C">
      <w:pPr>
        <w:snapToGrid w:val="0"/>
        <w:ind w:firstLine="420"/>
        <w:rPr>
          <w:rFonts w:hint="eastAsia" w:ascii="微软雅黑" w:hAnsi="微软雅黑" w:cs="宋体"/>
          <w:color w:val="auto"/>
          <w:szCs w:val="21"/>
          <w:highlight w:val="none"/>
        </w:rPr>
      </w:pPr>
      <w:r>
        <w:rPr>
          <w:rFonts w:hint="eastAsia" w:ascii="微软雅黑" w:hAnsi="微软雅黑"/>
          <w:color w:val="auto"/>
          <w:szCs w:val="21"/>
          <w:highlight w:val="none"/>
        </w:rPr>
        <w:t>3.“供应商”</w:t>
      </w:r>
      <w:r>
        <w:rPr>
          <w:rFonts w:hint="eastAsia" w:ascii="微软雅黑" w:hAnsi="微软雅黑" w:cs="宋体"/>
          <w:color w:val="auto"/>
          <w:szCs w:val="21"/>
          <w:highlight w:val="none"/>
        </w:rPr>
        <w:t>系指是指响应招标、参加投标竞争的法人、其他组织或者自然人。</w:t>
      </w:r>
    </w:p>
    <w:p w14:paraId="249FE177">
      <w:pPr>
        <w:snapToGrid w:val="0"/>
        <w:ind w:firstLine="420"/>
        <w:rPr>
          <w:rFonts w:hint="eastAsia" w:ascii="微软雅黑" w:hAnsi="微软雅黑"/>
          <w:color w:val="auto"/>
          <w:szCs w:val="21"/>
          <w:highlight w:val="none"/>
        </w:rPr>
      </w:pPr>
      <w:r>
        <w:rPr>
          <w:rFonts w:hint="eastAsia" w:ascii="微软雅黑" w:hAnsi="微软雅黑" w:cs="宋体"/>
          <w:color w:val="auto"/>
          <w:szCs w:val="21"/>
          <w:highlight w:val="none"/>
        </w:rPr>
        <w:t>4.“</w:t>
      </w:r>
      <w:r>
        <w:rPr>
          <w:rFonts w:hint="eastAsia" w:ascii="微软雅黑" w:hAnsi="微软雅黑" w:cs="宋体"/>
          <w:color w:val="auto"/>
          <w:szCs w:val="21"/>
          <w:highlight w:val="none"/>
          <w:lang w:val="en-US" w:eastAsia="zh-CN"/>
        </w:rPr>
        <w:t>法定代表</w:t>
      </w:r>
      <w:r>
        <w:rPr>
          <w:rFonts w:hint="eastAsia" w:ascii="微软雅黑" w:hAnsi="微软雅黑" w:cs="宋体"/>
          <w:color w:val="auto"/>
          <w:szCs w:val="21"/>
          <w:highlight w:val="none"/>
        </w:rPr>
        <w:t>人”系指法人企业的法定负责人，或其他组织为法律、行政法规规定代表单位行使职权的主要负责人，或自然人本人。</w:t>
      </w:r>
    </w:p>
    <w:p w14:paraId="01E4358E">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5.“产品”系指供方按招标文件规定，须向采购人提供的一切设备、保险、税金、备品备件、工具、手册及其他有关技术资料和材料。</w:t>
      </w:r>
    </w:p>
    <w:p w14:paraId="60A5616E">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6.“服务”系指招标文件规定投标供应商须承担的安装、调试、技术协助、校准、培训、技术指导以及其他类似的义务。</w:t>
      </w:r>
    </w:p>
    <w:p w14:paraId="40C38F4E">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7.“项目”系指投标供应商按招标文件规定向采购人提供的产品和服务。</w:t>
      </w:r>
    </w:p>
    <w:p w14:paraId="4045BD07">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8.“书面形式”包括信函、传真、电报等。</w:t>
      </w:r>
    </w:p>
    <w:p w14:paraId="0F0714C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9.“电子签名”系指数据电文中以电子形式所含、所附用于识别签名人身份并表明签名人认可其中内容的数据；“公章”系指单位法定名称章。</w:t>
      </w:r>
    </w:p>
    <w:p w14:paraId="5D510481">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10.“电子交易平台”是指本项目政府采购活动所依托的政府采购云平台。（https://www.zcygov.cn/）。</w:t>
      </w:r>
    </w:p>
    <w:p w14:paraId="436FA663">
      <w:pPr>
        <w:snapToGrid w:val="0"/>
        <w:ind w:left="210" w:leftChars="100" w:firstLine="210" w:firstLineChars="100"/>
        <w:rPr>
          <w:rFonts w:hint="eastAsia" w:ascii="微软雅黑" w:hAnsi="微软雅黑" w:cs="宋体"/>
          <w:color w:val="auto"/>
          <w:szCs w:val="21"/>
          <w:highlight w:val="none"/>
        </w:rPr>
      </w:pPr>
      <w:r>
        <w:rPr>
          <w:rFonts w:hint="eastAsia" w:ascii="微软雅黑" w:hAnsi="微软雅黑"/>
          <w:color w:val="auto"/>
          <w:szCs w:val="21"/>
          <w:highlight w:val="none"/>
        </w:rPr>
        <w:t>11.“▲”系指实质性要求条款，不满足实行性要求条款的投标文件无效。“★”系指产品采购项目中核心产品。“</w:t>
      </w:r>
      <w:r>
        <w:rPr>
          <w:rFonts w:ascii="微软雅黑" w:hAnsi="微软雅黑" w:cs="Arial"/>
          <w:color w:val="auto"/>
          <w:kern w:val="0"/>
          <w:szCs w:val="21"/>
          <w:highlight w:val="none"/>
        </w:rPr>
        <w:t></w:t>
      </w:r>
      <w:r>
        <w:rPr>
          <w:rFonts w:hint="eastAsia" w:ascii="微软雅黑" w:hAnsi="微软雅黑"/>
          <w:color w:val="auto"/>
          <w:szCs w:val="21"/>
          <w:highlight w:val="none"/>
        </w:rPr>
        <w:t>”</w:t>
      </w:r>
      <w:r>
        <w:rPr>
          <w:rFonts w:hint="eastAsia" w:ascii="微软雅黑" w:hAnsi="微软雅黑" w:cs="宋体"/>
          <w:color w:val="auto"/>
          <w:szCs w:val="21"/>
          <w:highlight w:val="none"/>
        </w:rPr>
        <w:t>系指适用本项目的要求，“</w:t>
      </w:r>
      <w:r>
        <w:rPr>
          <w:rFonts w:hint="eastAsia" w:ascii="微软雅黑" w:hAnsi="微软雅黑" w:cs="宋体"/>
          <w:color w:val="auto"/>
          <w:szCs w:val="21"/>
          <w:highlight w:val="none"/>
        </w:rPr>
        <w:sym w:font="Wingdings" w:char="00A8"/>
      </w:r>
      <w:r>
        <w:rPr>
          <w:rFonts w:hint="eastAsia" w:ascii="微软雅黑" w:hAnsi="微软雅黑" w:cs="宋体"/>
          <w:color w:val="auto"/>
          <w:szCs w:val="21"/>
          <w:highlight w:val="none"/>
        </w:rPr>
        <w:t>” 系指不适用本项目的要求。</w:t>
      </w:r>
    </w:p>
    <w:bookmarkEnd w:id="102"/>
    <w:bookmarkEnd w:id="103"/>
    <w:p w14:paraId="217790F8">
      <w:pPr>
        <w:snapToGrid w:val="0"/>
        <w:ind w:firstLine="412" w:firstLineChars="196"/>
        <w:outlineLvl w:val="2"/>
        <w:rPr>
          <w:rFonts w:hint="eastAsia" w:ascii="微软雅黑" w:hAnsi="微软雅黑"/>
          <w:b/>
          <w:color w:val="auto"/>
          <w:szCs w:val="21"/>
          <w:highlight w:val="none"/>
        </w:rPr>
      </w:pPr>
      <w:bookmarkStart w:id="108" w:name="_Toc169015116"/>
      <w:bookmarkStart w:id="109" w:name="_Toc164943192"/>
      <w:bookmarkStart w:id="110" w:name="_Toc397670949"/>
      <w:bookmarkStart w:id="111" w:name="_Toc397670920"/>
      <w:r>
        <w:rPr>
          <w:rFonts w:hint="eastAsia" w:ascii="微软雅黑" w:hAnsi="微软雅黑"/>
          <w:b/>
          <w:color w:val="auto"/>
          <w:szCs w:val="21"/>
          <w:highlight w:val="none"/>
        </w:rPr>
        <w:t>（三）采购方式</w:t>
      </w:r>
      <w:bookmarkEnd w:id="108"/>
      <w:bookmarkEnd w:id="109"/>
    </w:p>
    <w:p w14:paraId="7143DCCF">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本次招标采用公开采购方式进行。</w:t>
      </w:r>
    </w:p>
    <w:bookmarkEnd w:id="110"/>
    <w:bookmarkEnd w:id="111"/>
    <w:p w14:paraId="6014747F">
      <w:pPr>
        <w:snapToGrid w:val="0"/>
        <w:spacing w:before="120" w:beforeLines="50"/>
        <w:ind w:firstLine="412" w:firstLineChars="196"/>
        <w:outlineLvl w:val="2"/>
        <w:rPr>
          <w:rFonts w:hint="eastAsia" w:ascii="微软雅黑" w:hAnsi="微软雅黑"/>
          <w:b/>
          <w:color w:val="auto"/>
          <w:szCs w:val="21"/>
          <w:highlight w:val="none"/>
        </w:rPr>
      </w:pPr>
      <w:bookmarkStart w:id="112" w:name="_Toc397670950"/>
      <w:bookmarkStart w:id="113" w:name="_Toc397670921"/>
      <w:bookmarkStart w:id="114" w:name="_Toc164943193"/>
      <w:bookmarkStart w:id="115" w:name="_Toc169015117"/>
      <w:r>
        <w:rPr>
          <w:rFonts w:hint="eastAsia" w:ascii="微软雅黑" w:hAnsi="微软雅黑"/>
          <w:b/>
          <w:color w:val="auto"/>
          <w:szCs w:val="21"/>
          <w:highlight w:val="none"/>
        </w:rPr>
        <w:t>（四）投标费用</w:t>
      </w:r>
      <w:bookmarkEnd w:id="112"/>
      <w:bookmarkEnd w:id="113"/>
      <w:bookmarkEnd w:id="114"/>
      <w:bookmarkEnd w:id="115"/>
    </w:p>
    <w:p w14:paraId="343F8891">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不论投标结果如何，投标供应商均应自行承担所有与投标有关的全部费用（招标文件有相反规定除外）。</w:t>
      </w:r>
    </w:p>
    <w:p w14:paraId="27BDC759">
      <w:pPr>
        <w:snapToGrid w:val="0"/>
        <w:spacing w:before="120" w:beforeLines="50"/>
        <w:ind w:firstLine="412" w:firstLineChars="196"/>
        <w:outlineLvl w:val="2"/>
        <w:rPr>
          <w:rFonts w:hint="eastAsia" w:ascii="微软雅黑" w:hAnsi="微软雅黑" w:cs="宋体"/>
          <w:b/>
          <w:color w:val="auto"/>
          <w:szCs w:val="21"/>
          <w:highlight w:val="none"/>
        </w:rPr>
      </w:pPr>
      <w:bookmarkStart w:id="116" w:name="_Toc169015118"/>
      <w:bookmarkStart w:id="117" w:name="_Toc164943194"/>
      <w:r>
        <w:rPr>
          <w:rFonts w:hint="eastAsia" w:ascii="微软雅黑" w:hAnsi="微软雅黑" w:cs="宋体"/>
          <w:b/>
          <w:color w:val="auto"/>
          <w:szCs w:val="21"/>
          <w:highlight w:val="none"/>
        </w:rPr>
        <w:t>（五）相关政府采购政策</w:t>
      </w:r>
      <w:bookmarkEnd w:id="116"/>
      <w:bookmarkEnd w:id="117"/>
    </w:p>
    <w:p w14:paraId="2B7536C8">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192A2252">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2.支持绿色发展</w:t>
      </w:r>
    </w:p>
    <w:p w14:paraId="1D08D480">
      <w:pPr>
        <w:snapToGrid w:val="0"/>
        <w:ind w:firstLine="420"/>
        <w:rPr>
          <w:rFonts w:hint="eastAsia" w:ascii="微软雅黑" w:hAnsi="微软雅黑"/>
          <w:b/>
          <w:color w:val="auto"/>
          <w:szCs w:val="21"/>
          <w:highlight w:val="none"/>
        </w:rPr>
      </w:pPr>
      <w:r>
        <w:rPr>
          <w:rFonts w:hint="eastAsia" w:ascii="微软雅黑" w:hAnsi="微软雅黑" w:cs="宋体"/>
          <w:color w:val="auto"/>
          <w:szCs w:val="21"/>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供应商须按招标文件要求提供相关产品认证证书。</w:t>
      </w:r>
      <w:r>
        <w:rPr>
          <w:rFonts w:ascii="微软雅黑" w:hAnsi="微软雅黑"/>
          <w:color w:val="auto"/>
          <w:szCs w:val="21"/>
          <w:highlight w:val="none"/>
        </w:rPr>
        <w:t>▲</w:t>
      </w:r>
      <w:r>
        <w:rPr>
          <w:rFonts w:hint="eastAsia" w:ascii="微软雅黑" w:hAnsi="微软雅黑"/>
          <w:b/>
          <w:color w:val="auto"/>
          <w:szCs w:val="21"/>
          <w:highlight w:val="none"/>
        </w:rPr>
        <w:t>采购人拟采购的产品属于政府强制采购的节能产品品目清单范围的，投标供应商未按招标文件要求提供国家确定的认证机构出具的、处于有效期之内的节能产品认证证书的，投标无效。</w:t>
      </w:r>
    </w:p>
    <w:p w14:paraId="19E0BA05">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 修缮、装修类项目采购建材的，采购人应将绿色建筑和绿色建材性能、指标等作为实质性条件纳入招标文件和合同。</w:t>
      </w:r>
    </w:p>
    <w:p w14:paraId="5096EB92">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2FCF28E">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3.支持中小企业发展</w:t>
      </w:r>
    </w:p>
    <w:p w14:paraId="6BE88282">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62CA027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符合中小企业划分标准的个体工商户，在政府采购活动中视同中小企业。</w:t>
      </w:r>
    </w:p>
    <w:p w14:paraId="7BDD578A">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3.2在政府采购活动中，投标供应商提供的货物、工程或者服务符合下列情形的，享受中小企业扶持政策：</w:t>
      </w:r>
    </w:p>
    <w:p w14:paraId="389B5040">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3.2.1在货物采购项目中，货物由中小企业制造，即货物由中小企业生产且使用该中小企业商号或者注册商标；</w:t>
      </w:r>
    </w:p>
    <w:p w14:paraId="5092BC19">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3.2.2在工程采购项目中，工程由中小企业承建，即工程施工单位为中小企业；</w:t>
      </w:r>
    </w:p>
    <w:p w14:paraId="39109FF8">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3.2.3在服务采购项目中，服务由中小企业承接，即提供服务的人员为中小企业依照《中华人民共和国劳动合同法》订立劳动合同的从业人员。</w:t>
      </w:r>
    </w:p>
    <w:p w14:paraId="28CC63B8">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在货物采购项目中，投标供应商提供的货物既有中小企业制造货物，也有大型企业制造货物的，不享受中小企业扶持政策。</w:t>
      </w:r>
    </w:p>
    <w:p w14:paraId="429CCAA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以联合体形式参加政府采购活动，联合体各方均为中小企业的，联合体视同中小企业。其中，联合体各方均为小微企业的，联合体视同小微企业。</w:t>
      </w:r>
    </w:p>
    <w:p w14:paraId="61ED23DE">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3.3符合《关于促进残疾人就业政府采购政策的通知》（财库〔2017〕141号）规定的条件并提供《残疾人福利性单位声明函》（附件1）的残疾人福利性单位视同小型、微型企业；</w:t>
      </w:r>
    </w:p>
    <w:p w14:paraId="3477C0CF">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3.4符合《关于政府采购支持监狱企业发展有关问题的通知》（财库[2014]68号）规定的监狱企业并提供由省级以上监狱管理局、戒毒管理局（含新疆生产建设兵团）出具的属于监狱企业证明文件的，视同为小型、微型企业。</w:t>
      </w:r>
    </w:p>
    <w:p w14:paraId="5F51D756">
      <w:pPr>
        <w:snapToGrid w:val="0"/>
        <w:ind w:firstLine="420"/>
        <w:rPr>
          <w:rFonts w:hint="eastAsia" w:ascii="微软雅黑" w:hAnsi="微软雅黑"/>
          <w:b/>
          <w:bCs/>
          <w:color w:val="auto"/>
          <w:szCs w:val="21"/>
          <w:highlight w:val="none"/>
        </w:rPr>
      </w:pPr>
      <w:r>
        <w:rPr>
          <w:rFonts w:hint="eastAsia" w:ascii="微软雅黑" w:hAnsi="微软雅黑" w:cs="宋体"/>
          <w:color w:val="auto"/>
          <w:szCs w:val="21"/>
          <w:highlight w:val="none"/>
        </w:rPr>
        <w:t>3.5可享受中小企业扶持政策的投标供应商应按照招标文件格式要求提供《中小企业声明函》，投标供应商提供的《中小企业声明函》与实际情况不符的，不享受中小企业扶持政策。</w:t>
      </w:r>
      <w:r>
        <w:rPr>
          <w:rFonts w:hint="eastAsia" w:ascii="微软雅黑" w:hAnsi="微软雅黑"/>
          <w:b/>
          <w:bCs/>
          <w:color w:val="auto"/>
          <w:szCs w:val="21"/>
          <w:highlight w:val="none"/>
        </w:rPr>
        <w:t>声明内容不实的，属于提供虚假材料谋取中标、成交的，依法承担法律责任。</w:t>
      </w:r>
    </w:p>
    <w:p w14:paraId="1A169CC4">
      <w:pPr>
        <w:snapToGrid w:val="0"/>
        <w:ind w:firstLine="420"/>
        <w:rPr>
          <w:rFonts w:hint="eastAsia" w:ascii="微软雅黑" w:hAnsi="微软雅黑"/>
          <w:b/>
          <w:strike/>
          <w:color w:val="auto"/>
          <w:szCs w:val="21"/>
          <w:highlight w:val="none"/>
        </w:rPr>
      </w:pPr>
      <w:r>
        <w:rPr>
          <w:rFonts w:hint="eastAsia" w:ascii="微软雅黑" w:hAnsi="微软雅黑" w:cs="宋体"/>
          <w:color w:val="auto"/>
          <w:szCs w:val="21"/>
          <w:highlight w:val="none"/>
        </w:rPr>
        <w:t>3.6中小企业享受扶持政策获得政府采购合同的，小微企业不得将合同分包给大中型企业，中型企业不得将合同分包给大型企业。</w:t>
      </w:r>
    </w:p>
    <w:p w14:paraId="4EEC70D7">
      <w:pPr>
        <w:snapToGrid w:val="0"/>
        <w:ind w:firstLine="412" w:firstLineChars="196"/>
        <w:outlineLvl w:val="2"/>
        <w:rPr>
          <w:rFonts w:hint="eastAsia" w:ascii="微软雅黑" w:hAnsi="微软雅黑"/>
          <w:b/>
          <w:color w:val="auto"/>
          <w:szCs w:val="21"/>
          <w:highlight w:val="none"/>
        </w:rPr>
      </w:pPr>
      <w:bookmarkStart w:id="118" w:name="_Toc169015119"/>
      <w:bookmarkStart w:id="119" w:name="_Toc164943195"/>
      <w:r>
        <w:rPr>
          <w:rFonts w:hint="eastAsia" w:ascii="微软雅黑" w:hAnsi="微软雅黑"/>
          <w:b/>
          <w:color w:val="auto"/>
          <w:szCs w:val="21"/>
          <w:highlight w:val="none"/>
        </w:rPr>
        <w:t>（六）特别说明：</w:t>
      </w:r>
      <w:bookmarkEnd w:id="118"/>
      <w:bookmarkEnd w:id="119"/>
    </w:p>
    <w:p w14:paraId="29937615">
      <w:pPr>
        <w:pStyle w:val="27"/>
        <w:snapToGrid w:val="0"/>
        <w:ind w:left="2" w:leftChars="1"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采用最低评标价法的采购项目，提供相同品牌产品的不同投标供应商参加同一合同项下投标的，以其中通过资格审查、符合性审查且报价最低的参加评标；报价相同的，由采购人或者采购人委托评标委员会按照招标文件规定的方式确定一个参加评标的投标供应商，招标文件未规定的采取随机抽取方式确定，其他投标无效。</w:t>
      </w:r>
    </w:p>
    <w:p w14:paraId="650EBEB4">
      <w:pPr>
        <w:pStyle w:val="27"/>
        <w:snapToGrid w:val="0"/>
        <w:ind w:left="2" w:leftChars="1"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使用综合评分法的采购项目，提供相同品牌产品且通过资格审查、符合性审查的不同投标供应商参加同一合同项下投标的，按一家投标供应商计算，评审后得分最高的同品牌投标供应商获得中标供应商推荐资格；评审得分相同的，由采购人或者采购人委托评标委员会按照招标文件规定的方式确定一个投标供应商获得中标供应商推荐资格，招标文件未规定的采取随机抽取方式确定，其他同品牌投标供应商不作为中标候选人。</w:t>
      </w:r>
    </w:p>
    <w:p w14:paraId="26A9BAEC">
      <w:pPr>
        <w:pStyle w:val="27"/>
        <w:snapToGrid w:val="0"/>
        <w:ind w:left="2" w:leftChars="1" w:firstLine="420"/>
        <w:rPr>
          <w:rFonts w:hint="eastAsia" w:ascii="微软雅黑" w:hAnsi="微软雅黑"/>
          <w:color w:val="auto"/>
          <w:szCs w:val="21"/>
          <w:highlight w:val="none"/>
        </w:rPr>
      </w:pPr>
      <w:r>
        <w:rPr>
          <w:rFonts w:hint="eastAsia" w:ascii="微软雅黑" w:hAnsi="微软雅黑" w:cs="宋体"/>
          <w:color w:val="auto"/>
          <w:szCs w:val="21"/>
          <w:highlight w:val="none"/>
        </w:rPr>
        <w:t>非单一产品采购项目，采购人应当根据采购项目技术构成、产品价格比重等合理确定核心产品，并在招标文件中载明。多家投标供应商提供的核心产品品牌相同的，按前两款规定处理。</w:t>
      </w:r>
    </w:p>
    <w:p w14:paraId="6CFDDEC3">
      <w:pPr>
        <w:pStyle w:val="27"/>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2.投标供应商投标所使用的资格、信誉、荣誉、业绩与企业认证必须为本法人所拥有。投标供应商投标所使用的采购项目实施人员必须为本法人员工（或必须为本法人或控股投标供应商正式员工）。</w:t>
      </w:r>
    </w:p>
    <w:p w14:paraId="0BFC8900">
      <w:pPr>
        <w:pStyle w:val="27"/>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3.投标供应商应仔细阅读招标文件的所有内容，按照招标文件的要求提交投标文件，并对所提供的全部资料的真实性承担法律责任。</w:t>
      </w:r>
    </w:p>
    <w:p w14:paraId="75042EDC">
      <w:pPr>
        <w:pStyle w:val="27"/>
        <w:snapToGrid w:val="0"/>
        <w:spacing w:before="120" w:after="120"/>
        <w:ind w:left="2" w:leftChars="1" w:firstLine="420"/>
        <w:rPr>
          <w:rFonts w:hint="eastAsia" w:ascii="微软雅黑" w:hAnsi="微软雅黑"/>
          <w:color w:val="auto"/>
          <w:szCs w:val="21"/>
          <w:highlight w:val="none"/>
        </w:rPr>
      </w:pPr>
      <w:r>
        <w:rPr>
          <w:rFonts w:hint="eastAsia" w:ascii="微软雅黑" w:hAnsi="微软雅黑"/>
          <w:color w:val="auto"/>
          <w:szCs w:val="21"/>
          <w:highlight w:val="none"/>
        </w:rPr>
        <w:t>4.投标供应商在投标活动中提供任何虚假材料，其投标无效，并报监管部门查处；中标后发现的，中标供应商须依照《中华人民共和国消费者权益保护法》第49条之规定双倍赔偿采购人，且民事赔偿并不免除违法投标供应商的行政与刑事责任。</w:t>
      </w:r>
    </w:p>
    <w:p w14:paraId="78A399F4">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（七）质疑和投诉</w:t>
      </w:r>
    </w:p>
    <w:p w14:paraId="32D96D70">
      <w:pPr>
        <w:ind w:firstLine="420"/>
        <w:rPr>
          <w:rFonts w:hint="eastAsia" w:ascii="微软雅黑" w:hAnsi="微软雅黑"/>
          <w:color w:val="auto"/>
          <w:szCs w:val="21"/>
          <w:highlight w:val="none"/>
        </w:rPr>
      </w:pPr>
      <w:r>
        <w:rPr>
          <w:rFonts w:hint="eastAsia" w:ascii="微软雅黑" w:hAnsi="微软雅黑"/>
          <w:color w:val="auto"/>
          <w:szCs w:val="21"/>
          <w:highlight w:val="none"/>
        </w:rPr>
        <w:t>1.质疑和投诉应当满足《政府采购质疑和投诉办法》（中华人民共和国财政部令第94号）要求。</w:t>
      </w:r>
    </w:p>
    <w:p w14:paraId="2AA8EB07">
      <w:pPr>
        <w:ind w:firstLine="420"/>
        <w:rPr>
          <w:rFonts w:hint="eastAsia" w:ascii="微软雅黑" w:hAnsi="微软雅黑"/>
          <w:color w:val="auto"/>
          <w:szCs w:val="21"/>
          <w:highlight w:val="none"/>
        </w:rPr>
      </w:pPr>
      <w:r>
        <w:rPr>
          <w:rFonts w:hint="eastAsia" w:ascii="微软雅黑" w:hAnsi="微软雅黑"/>
          <w:color w:val="auto"/>
          <w:szCs w:val="21"/>
          <w:highlight w:val="none"/>
        </w:rPr>
        <w:t>2.招标文件质疑：供应商可在获取招标文件之日或者招标文件公告期限届满之日（公告期限届满后获取招标文件的，以公告期限届满之日为准）起7个工作日内发起；采购过程质疑：投标（响应）供应商可在投标（响应）截止时间后，采购结果公告发布时间起7个工作日内发起；采购结果质疑：投标（响应）供应商可在采购结果公告期限届满之日起7个工作日内发起。</w:t>
      </w:r>
    </w:p>
    <w:p w14:paraId="2EAFF309">
      <w:pPr>
        <w:ind w:firstLine="420"/>
        <w:rPr>
          <w:rFonts w:hint="eastAsia" w:ascii="微软雅黑" w:hAnsi="微软雅黑"/>
          <w:color w:val="auto"/>
          <w:szCs w:val="21"/>
          <w:highlight w:val="none"/>
        </w:rPr>
      </w:pPr>
      <w:r>
        <w:rPr>
          <w:rFonts w:hint="eastAsia" w:ascii="微软雅黑" w:hAnsi="微软雅黑"/>
          <w:color w:val="auto"/>
          <w:szCs w:val="21"/>
          <w:highlight w:val="none"/>
        </w:rPr>
        <w:t>3.供应商须在法定质疑期内一次性提出针对同一采购程序环节的质疑。</w:t>
      </w:r>
    </w:p>
    <w:p w14:paraId="3B7C3474">
      <w:pPr>
        <w:ind w:firstLine="420"/>
        <w:rPr>
          <w:rFonts w:hint="eastAsia" w:ascii="微软雅黑" w:hAnsi="微软雅黑"/>
          <w:color w:val="auto"/>
          <w:szCs w:val="21"/>
          <w:highlight w:val="none"/>
        </w:rPr>
      </w:pPr>
      <w:r>
        <w:rPr>
          <w:rFonts w:hint="eastAsia" w:ascii="微软雅黑" w:hAnsi="微软雅黑"/>
          <w:color w:val="auto"/>
          <w:szCs w:val="21"/>
          <w:highlight w:val="none"/>
        </w:rPr>
        <w:t>4.供应商须按上述规定，在政采云系统里提出质疑。询问路径为：政采云-项目采购-询问质疑投诉-询问列表；质疑路径为：政采云-项目采购-询问质疑投诉-质疑列表。质疑供应商对在线质疑答复不满意的，可在线提起投诉，投诉路径为：浙江政府服务网-政府采购投诉处理-在线办理。</w:t>
      </w:r>
    </w:p>
    <w:p w14:paraId="551308FE">
      <w:pPr>
        <w:pStyle w:val="3"/>
        <w:spacing w:line="500" w:lineRule="exact"/>
        <w:ind w:firstLine="420"/>
        <w:rPr>
          <w:rFonts w:hint="eastAsia" w:ascii="微软雅黑" w:hAnsi="微软雅黑"/>
          <w:color w:val="auto"/>
          <w:szCs w:val="21"/>
          <w:highlight w:val="none"/>
        </w:rPr>
      </w:pPr>
      <w:bookmarkStart w:id="120" w:name="_Toc27754"/>
      <w:r>
        <w:rPr>
          <w:rFonts w:hint="eastAsia" w:ascii="微软雅黑" w:hAnsi="微软雅黑"/>
          <w:color w:val="auto"/>
          <w:szCs w:val="21"/>
          <w:highlight w:val="none"/>
        </w:rPr>
        <w:t>二 、招标文件</w:t>
      </w:r>
      <w:bookmarkEnd w:id="104"/>
      <w:bookmarkEnd w:id="105"/>
      <w:bookmarkEnd w:id="120"/>
    </w:p>
    <w:p w14:paraId="6A92A77A">
      <w:pPr>
        <w:snapToGrid w:val="0"/>
        <w:ind w:firstLine="412" w:firstLineChars="196"/>
        <w:rPr>
          <w:rFonts w:hint="eastAsia" w:ascii="微软雅黑" w:hAnsi="微软雅黑"/>
          <w:b/>
          <w:color w:val="auto"/>
          <w:szCs w:val="21"/>
          <w:highlight w:val="none"/>
        </w:rPr>
      </w:pPr>
      <w:bookmarkStart w:id="121" w:name="_Toc177870545"/>
      <w:bookmarkStart w:id="122" w:name="_Toc493511630"/>
      <w:r>
        <w:rPr>
          <w:rFonts w:hint="eastAsia" w:ascii="微软雅黑" w:hAnsi="微软雅黑"/>
          <w:b/>
          <w:color w:val="auto"/>
          <w:szCs w:val="21"/>
          <w:highlight w:val="none"/>
        </w:rPr>
        <w:t>（一）招标文件的构成。本招标文件由以下部分组成：</w:t>
      </w:r>
    </w:p>
    <w:p w14:paraId="25D86A8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1.招标公告</w:t>
      </w:r>
    </w:p>
    <w:p w14:paraId="08EBE84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2.招标需求</w:t>
      </w:r>
    </w:p>
    <w:p w14:paraId="6941BA1C">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3.投标供应商须知</w:t>
      </w:r>
    </w:p>
    <w:p w14:paraId="1DDB439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4.评标办法及标准</w:t>
      </w:r>
    </w:p>
    <w:p w14:paraId="6A220273">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5.合同主要条款</w:t>
      </w:r>
    </w:p>
    <w:p w14:paraId="2A34A5BC">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6.投标文件格式</w:t>
      </w:r>
    </w:p>
    <w:p w14:paraId="5B4D39F5">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7.本项目招标文件的澄清、答复、修改、补充的内容</w:t>
      </w:r>
    </w:p>
    <w:p w14:paraId="04616A65">
      <w:pPr>
        <w:snapToGrid w:val="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（二）投标供应商的风险</w:t>
      </w:r>
    </w:p>
    <w:p w14:paraId="3E700251">
      <w:pPr>
        <w:pStyle w:val="42"/>
        <w:ind w:firstLine="424" w:firstLineChars="202"/>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投标供应商没有按照招标文件要求提供全部资料，或者投标供应商没有对招标文件在各方面做出实质性响应是投标供应商的风险，并可能导致其投标为无效标。</w:t>
      </w:r>
    </w:p>
    <w:p w14:paraId="6B16A1B7">
      <w:pPr>
        <w:pStyle w:val="293"/>
        <w:snapToGrid w:val="0"/>
        <w:spacing w:before="0"/>
        <w:ind w:left="480" w:firstLine="0" w:firstLineChars="0"/>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（三）招标文件的澄清与修改</w:t>
      </w:r>
    </w:p>
    <w:p w14:paraId="3033E8CD">
      <w:pPr>
        <w:pStyle w:val="293"/>
        <w:snapToGrid w:val="0"/>
        <w:spacing w:before="0"/>
        <w:ind w:left="480" w:firstLine="0" w:firstLineChars="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kern w:val="0"/>
          <w:sz w:val="21"/>
          <w:szCs w:val="21"/>
          <w:highlight w:val="none"/>
        </w:rPr>
        <w:t>1.</w:t>
      </w:r>
      <w:r>
        <w:rPr>
          <w:rFonts w:hint="eastAsia" w:ascii="微软雅黑" w:hAnsi="微软雅黑" w:eastAsia="微软雅黑"/>
          <w:color w:val="auto"/>
          <w:sz w:val="21"/>
          <w:szCs w:val="21"/>
          <w:highlight w:val="none"/>
        </w:rPr>
        <w:t>投标供应商应认真阅读本招标文件，发现其中有误或有不合理要求的，可</w:t>
      </w:r>
    </w:p>
    <w:p w14:paraId="127B9E9D">
      <w:pPr>
        <w:pStyle w:val="293"/>
        <w:snapToGrid w:val="0"/>
        <w:spacing w:before="0"/>
        <w:ind w:firstLine="0" w:firstLineChars="0"/>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要求招标采购人澄清。招标采购人对已发出的招标文件进行必要澄清或者修改的，应当在招标文件要求提交投标文件截止十五日前，在财政部门指定的政府采购信息发布媒体上发布更正公告，并以书面形式通知所有招标文件获取人。</w:t>
      </w:r>
    </w:p>
    <w:p w14:paraId="61E39DA6">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2.招标文件澄清或者修改的内容为招标文件的组成部分。当招标文件与澄清或者修改就同一内容的表述不一致时，以最后发出的书面文件为准。</w:t>
      </w:r>
    </w:p>
    <w:p w14:paraId="0EB0667C">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3.对招标文件的澄清、答复、修改或补充都应该通过代理机构以法定形式发布，采购人非通过本机构，不得擅自澄清、答复、修改或补充招标文件。</w:t>
      </w:r>
    </w:p>
    <w:p w14:paraId="467C8160">
      <w:pPr>
        <w:pStyle w:val="3"/>
        <w:spacing w:line="500" w:lineRule="exact"/>
        <w:ind w:firstLine="420"/>
        <w:rPr>
          <w:rFonts w:hint="eastAsia" w:ascii="微软雅黑" w:hAnsi="微软雅黑"/>
          <w:color w:val="auto"/>
          <w:szCs w:val="21"/>
          <w:highlight w:val="none"/>
        </w:rPr>
      </w:pPr>
      <w:bookmarkStart w:id="123" w:name="_Toc27689"/>
      <w:r>
        <w:rPr>
          <w:rFonts w:hint="eastAsia" w:ascii="微软雅黑" w:hAnsi="微软雅黑"/>
          <w:color w:val="auto"/>
          <w:szCs w:val="21"/>
          <w:highlight w:val="none"/>
        </w:rPr>
        <w:t>三、 投标文件的编制</w:t>
      </w:r>
      <w:bookmarkEnd w:id="121"/>
      <w:bookmarkEnd w:id="122"/>
      <w:bookmarkEnd w:id="123"/>
    </w:p>
    <w:p w14:paraId="4183125B">
      <w:pPr>
        <w:ind w:firstLine="420"/>
        <w:rPr>
          <w:rFonts w:hint="eastAsia" w:ascii="微软雅黑" w:hAnsi="微软雅黑"/>
          <w:b/>
          <w:bCs/>
          <w:color w:val="auto"/>
          <w:szCs w:val="21"/>
          <w:highlight w:val="none"/>
        </w:rPr>
      </w:pPr>
      <w:bookmarkStart w:id="124" w:name="_Toc21392"/>
      <w:bookmarkStart w:id="125" w:name="_Toc14074"/>
      <w:bookmarkStart w:id="126" w:name="_Toc406402988"/>
      <w:bookmarkStart w:id="127" w:name="_Toc532218225"/>
      <w:bookmarkStart w:id="128" w:name="_Toc406402944"/>
      <w:bookmarkStart w:id="129" w:name="_Toc33535369"/>
      <w:bookmarkStart w:id="130" w:name="_Toc493511751"/>
      <w:r>
        <w:rPr>
          <w:rFonts w:hint="eastAsia" w:ascii="微软雅黑" w:hAnsi="微软雅黑"/>
          <w:b/>
          <w:bCs/>
          <w:color w:val="auto"/>
          <w:szCs w:val="21"/>
          <w:highlight w:val="none"/>
        </w:rPr>
        <w:t>本项目所涉投标文件格式请详见第六章，未给出的格式请自拟。商务、资信及其他及技术文件中不得出现报价，否则投标文件将被视为无效。</w:t>
      </w:r>
    </w:p>
    <w:p w14:paraId="4887DF84">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注：电子投标文件按政采云平台供应商电子招投标操作指南及本招标文件规定的格式和顺序编制电子投标文件并进行关联。建议根据招标文件合格供应商的资格要求、投标文件的编制及评分标准等内容一一关联。</w:t>
      </w:r>
    </w:p>
    <w:p w14:paraId="51E136C8">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路径：浙江省“项目采购电子交易系统/不见面开评标”学习专题-操作指南-供应商</w:t>
      </w:r>
    </w:p>
    <w:p w14:paraId="6E14CCD9">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网址：</w:t>
      </w:r>
      <w:r>
        <w:rPr>
          <w:color w:val="auto"/>
          <w:highlight w:val="none"/>
        </w:rPr>
        <w:fldChar w:fldCharType="begin"/>
      </w:r>
      <w:r>
        <w:rPr>
          <w:color w:val="auto"/>
          <w:highlight w:val="none"/>
        </w:rPr>
        <w:instrText xml:space="preserve"> HYPERLINK "https://help.zcygov.cn/web/site_2/2018/12-28/2573.html%EF%BC%89%E5%8F%8A%E6%9C%AC%E6%8B%9B%E6%A0%87%E6%96%87%E4%BB%B6%E8%A7%84%E5%AE%9A%E7%9A%84%E6%A0%BC%E5%BC%8F%E5%92%8C%E9%A1%BA%E5%BA%8F%E7%BC%96%E5%88%B6%E7%94%B5%E5%AD%90%E6%8A%95%E6%A0%87%E6%96%87%E4%BB%B6%E5%B9%B6%E8%BF%9B%E8%A1%8C%E5%85%B3%E8%81%94%E5%AE%9A" \t "_blank" </w:instrText>
      </w:r>
      <w:r>
        <w:rPr>
          <w:color w:val="auto"/>
          <w:highlight w:val="none"/>
        </w:rPr>
        <w:fldChar w:fldCharType="separate"/>
      </w:r>
      <w:r>
        <w:rPr>
          <w:rFonts w:hint="eastAsia" w:ascii="微软雅黑" w:hAnsi="微软雅黑"/>
          <w:b/>
          <w:bCs/>
          <w:color w:val="auto"/>
          <w:szCs w:val="21"/>
          <w:highlight w:val="none"/>
        </w:rPr>
        <w:t>https://edu.zcygov.cn/luban/e-biding</w:t>
      </w:r>
      <w:r>
        <w:rPr>
          <w:rFonts w:hint="eastAsia" w:ascii="微软雅黑" w:hAnsi="微软雅黑"/>
          <w:b/>
          <w:bCs/>
          <w:color w:val="auto"/>
          <w:szCs w:val="21"/>
          <w:highlight w:val="none"/>
        </w:rPr>
        <w:fldChar w:fldCharType="end"/>
      </w:r>
    </w:p>
    <w:p w14:paraId="090E8672">
      <w:pPr>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总体要求：</w:t>
      </w:r>
    </w:p>
    <w:p w14:paraId="2BA93C1D">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1.供应商应仔细阅读招标文件的所有内容，按本文件的要求提供投标文件，并保证所提供的全部资料的真实性，以使其投标文件对招标文件作出实质性响应，否则，投标文件可能视为无效投标文件。 </w:t>
      </w:r>
    </w:p>
    <w:p w14:paraId="28DEB830">
      <w:pPr>
        <w:ind w:firstLine="420"/>
        <w:rPr>
          <w:rFonts w:hint="eastAsia" w:ascii="微软雅黑" w:hAnsi="微软雅黑"/>
          <w:color w:val="auto"/>
          <w:szCs w:val="21"/>
          <w:highlight w:val="none"/>
        </w:rPr>
      </w:pPr>
      <w:r>
        <w:rPr>
          <w:rFonts w:hint="eastAsia" w:ascii="微软雅黑" w:hAnsi="微软雅黑"/>
          <w:color w:val="auto"/>
          <w:szCs w:val="21"/>
          <w:highlight w:val="none"/>
        </w:rPr>
        <w:t>2.投标文件及供应商与采购有关的来往通知，函件和文件均应使用中文。</w:t>
      </w:r>
    </w:p>
    <w:p w14:paraId="4418492B">
      <w:pPr>
        <w:ind w:firstLine="420"/>
        <w:rPr>
          <w:rFonts w:hint="eastAsia" w:ascii="微软雅黑" w:hAnsi="微软雅黑"/>
          <w:b/>
          <w:color w:val="auto"/>
          <w:szCs w:val="21"/>
          <w:highlight w:val="none"/>
          <w:u w:val="single"/>
        </w:rPr>
      </w:pPr>
      <w:r>
        <w:rPr>
          <w:rFonts w:hint="eastAsia" w:ascii="微软雅黑" w:hAnsi="微软雅黑"/>
          <w:color w:val="auto"/>
          <w:szCs w:val="21"/>
          <w:highlight w:val="none"/>
        </w:rPr>
        <w:t>3.供应商应按本文件中提供的文件格式、内容和要求制作投标文件</w:t>
      </w:r>
      <w:r>
        <w:rPr>
          <w:rFonts w:hint="eastAsia" w:ascii="微软雅黑" w:hAnsi="微软雅黑"/>
          <w:b/>
          <w:color w:val="auto"/>
          <w:szCs w:val="21"/>
          <w:highlight w:val="none"/>
        </w:rPr>
        <w:t>。</w:t>
      </w:r>
    </w:p>
    <w:p w14:paraId="422C3B34">
      <w:pPr>
        <w:pStyle w:val="4"/>
        <w:ind w:firstLine="420"/>
        <w:rPr>
          <w:rFonts w:hint="eastAsia" w:ascii="微软雅黑" w:hAnsi="微软雅黑"/>
          <w:color w:val="auto"/>
          <w:szCs w:val="21"/>
          <w:highlight w:val="none"/>
        </w:rPr>
      </w:pPr>
      <w:bookmarkStart w:id="131" w:name="_Toc164943198"/>
      <w:bookmarkStart w:id="132" w:name="_Toc169015122"/>
      <w:r>
        <w:rPr>
          <w:rFonts w:hint="eastAsia" w:ascii="微软雅黑" w:hAnsi="微软雅黑"/>
          <w:color w:val="auto"/>
          <w:szCs w:val="21"/>
          <w:highlight w:val="none"/>
        </w:rPr>
        <w:t>（一）投标文件的组成</w:t>
      </w:r>
      <w:bookmarkEnd w:id="124"/>
      <w:bookmarkEnd w:id="125"/>
      <w:bookmarkEnd w:id="131"/>
      <w:bookmarkEnd w:id="132"/>
    </w:p>
    <w:p w14:paraId="25A8F58B">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电子投标文件和备份投标文件均由</w:t>
      </w:r>
      <w:r>
        <w:rPr>
          <w:rFonts w:hint="eastAsia" w:ascii="微软雅黑" w:hAnsi="微软雅黑" w:cs="宋体"/>
          <w:color w:val="auto"/>
          <w:szCs w:val="21"/>
          <w:highlight w:val="none"/>
          <w:lang w:val="zh-CN"/>
        </w:rPr>
        <w:t>资格文件、商务技术文件、报价</w:t>
      </w:r>
      <w:r>
        <w:rPr>
          <w:rFonts w:hint="eastAsia" w:ascii="微软雅黑" w:hAnsi="微软雅黑"/>
          <w:color w:val="auto"/>
          <w:szCs w:val="21"/>
          <w:highlight w:val="none"/>
        </w:rPr>
        <w:t>文件三部分组成。投标文件中所须加盖公章部分均采用CA签章。</w:t>
      </w:r>
    </w:p>
    <w:bookmarkEnd w:id="126"/>
    <w:bookmarkEnd w:id="127"/>
    <w:bookmarkEnd w:id="128"/>
    <w:p w14:paraId="78D2DC63">
      <w:pPr>
        <w:snapToGrid w:val="0"/>
        <w:ind w:firstLine="412" w:firstLineChars="196"/>
        <w:outlineLvl w:val="2"/>
        <w:rPr>
          <w:rFonts w:hint="eastAsia" w:ascii="微软雅黑" w:hAnsi="微软雅黑"/>
          <w:b/>
          <w:color w:val="auto"/>
          <w:szCs w:val="21"/>
          <w:highlight w:val="none"/>
        </w:rPr>
      </w:pPr>
      <w:bookmarkStart w:id="133" w:name="_Toc169015123"/>
      <w:bookmarkStart w:id="134" w:name="_Toc164943199"/>
      <w:r>
        <w:rPr>
          <w:rFonts w:hint="eastAsia" w:ascii="微软雅黑" w:hAnsi="微软雅黑"/>
          <w:b/>
          <w:color w:val="auto"/>
          <w:szCs w:val="21"/>
          <w:highlight w:val="none"/>
        </w:rPr>
        <w:t>（二）</w:t>
      </w:r>
      <w:r>
        <w:rPr>
          <w:rFonts w:hint="eastAsia" w:ascii="微软雅黑" w:hAnsi="微软雅黑" w:cs="宋体"/>
          <w:b/>
          <w:bCs/>
          <w:color w:val="auto"/>
          <w:szCs w:val="21"/>
          <w:highlight w:val="none"/>
        </w:rPr>
        <w:t>投标文件的编制</w:t>
      </w:r>
      <w:bookmarkEnd w:id="133"/>
      <w:bookmarkEnd w:id="134"/>
    </w:p>
    <w:p w14:paraId="34AB1FCA">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lang w:val="zh-CN"/>
        </w:rPr>
        <w:t>1</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投标文件分为资格文件、商务技术文件、报价文件三部分。各投标供应商在编制投标文件时请按照招标文件规定的格式进行，混乱的编排导致投标文件被误读或评标委员会查找不到有效文件是投标供应商的风险。</w:t>
      </w:r>
    </w:p>
    <w:p w14:paraId="4C91AE4C">
      <w:pPr>
        <w:snapToGrid w:val="0"/>
        <w:ind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2</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投标供应商进行电子投标应安装客户端软件—“政采云电子交易客户端”，并按照招标文件和电子交易平台的要求编制并加密投标文件。投标供应商未按规定加密的投标文件，电子交易平台将拒收并提示。</w:t>
      </w:r>
    </w:p>
    <w:p w14:paraId="528D5277">
      <w:pPr>
        <w:snapToGrid w:val="0"/>
        <w:ind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lang w:val="zh-CN"/>
        </w:rPr>
        <w:t>3</w:t>
      </w:r>
      <w:r>
        <w:rPr>
          <w:rFonts w:hint="eastAsia" w:ascii="微软雅黑" w:hAnsi="微软雅黑" w:cs="宋体"/>
          <w:color w:val="auto"/>
          <w:szCs w:val="21"/>
          <w:highlight w:val="none"/>
        </w:rPr>
        <w:t>.</w:t>
      </w:r>
      <w:r>
        <w:rPr>
          <w:rFonts w:hint="eastAsia" w:ascii="微软雅黑" w:hAnsi="微软雅黑" w:cs="宋体"/>
          <w:color w:val="auto"/>
          <w:szCs w:val="21"/>
          <w:highlight w:val="none"/>
          <w:lang w:val="zh-CN"/>
        </w:rPr>
        <w:t>使用“政采云电子交易客户端”需要提前申领CA数字证书，申领流程请自行前往“浙江政府采购网-下载专区-电子交易客户端-CA驱动和申领流程”进行查阅。</w:t>
      </w:r>
    </w:p>
    <w:p w14:paraId="64E8902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4.投标文件按照招标文件要求进行签署、盖章。</w:t>
      </w:r>
    </w:p>
    <w:p w14:paraId="3D66490B">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5.为确保网上操作合法、有效和安全，投标供应商应当在投标截止时间前完成在“政府采购云平台”的身份认证，确保在电子投标过程中能够对相关数据电文进行加密和使用电子签名。</w:t>
      </w:r>
    </w:p>
    <w:p w14:paraId="7ED4B73C">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6.招标文件对投标文件签署、盖章的要求适用于电子签名。</w:t>
      </w:r>
    </w:p>
    <w:p w14:paraId="1A0583FF">
      <w:pPr>
        <w:snapToGrid w:val="0"/>
        <w:ind w:firstLine="412" w:firstLineChars="196"/>
        <w:outlineLvl w:val="2"/>
        <w:rPr>
          <w:rFonts w:hint="eastAsia" w:ascii="微软雅黑" w:hAnsi="微软雅黑"/>
          <w:b/>
          <w:color w:val="auto"/>
          <w:szCs w:val="21"/>
          <w:highlight w:val="none"/>
        </w:rPr>
      </w:pPr>
      <w:bookmarkStart w:id="135" w:name="_Toc406402946"/>
      <w:bookmarkStart w:id="136" w:name="_Toc532218227"/>
      <w:bookmarkStart w:id="137" w:name="_Toc402963117"/>
      <w:bookmarkStart w:id="138" w:name="_Toc385854146"/>
      <w:bookmarkStart w:id="139" w:name="_Toc169015124"/>
      <w:bookmarkStart w:id="140" w:name="_Toc406402990"/>
      <w:bookmarkStart w:id="141" w:name="_Toc164943200"/>
      <w:bookmarkStart w:id="142" w:name="_Toc385854100"/>
      <w:bookmarkStart w:id="143" w:name="_Toc402963084"/>
      <w:r>
        <w:rPr>
          <w:rFonts w:hint="eastAsia" w:ascii="微软雅黑" w:hAnsi="微软雅黑"/>
          <w:b/>
          <w:color w:val="auto"/>
          <w:szCs w:val="21"/>
          <w:highlight w:val="none"/>
        </w:rPr>
        <w:t>（三）投标文件的语言及计量</w:t>
      </w:r>
      <w:bookmarkEnd w:id="135"/>
      <w:bookmarkEnd w:id="136"/>
      <w:bookmarkEnd w:id="137"/>
      <w:bookmarkEnd w:id="138"/>
      <w:bookmarkEnd w:id="139"/>
      <w:bookmarkEnd w:id="140"/>
      <w:bookmarkEnd w:id="141"/>
      <w:bookmarkEnd w:id="142"/>
      <w:bookmarkEnd w:id="143"/>
    </w:p>
    <w:p w14:paraId="7FECE9F0">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1.投标文件以及投标方与采购人就有关投标事宜的所有来往函电，均应以中文汉语书写。除签名、盖章、专用名称等特殊情形外，以中文汉语以外的文字表述的投标文件视同未提供。</w:t>
      </w:r>
    </w:p>
    <w:p w14:paraId="2F2A6C68">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2.投标计量单位，招标文件已有明确规定的，使用招标文件规定的计量单位；招标文件没有规定的，应采用中华人民共和国法定计量单位（货币单位：人民币元），否则视同未响应。</w:t>
      </w:r>
    </w:p>
    <w:p w14:paraId="1F6543F4">
      <w:pPr>
        <w:pStyle w:val="293"/>
        <w:spacing w:before="0"/>
        <w:ind w:firstLine="420"/>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（四）投标文件的提交、补充、修改、撤回</w:t>
      </w:r>
    </w:p>
    <w:p w14:paraId="071C45FD">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4B75CA1">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2.电子交易平台收到投标文件，将妥善保存并即时向供应商发出确认回执通知。在投标截止时间前，除供应商补充、修改或者撤回投标文件外，任何单位和个人不得解密或提取投标文件。</w:t>
      </w:r>
    </w:p>
    <w:p w14:paraId="7207AE40">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3.采购人、采购机构可以视情况延长投标文件提交的截止时间。在上述情况下，采购机构与投标供应商以前在投标截止期方面的全部权利、责任和义务，将适用于延长至新的投标截止期。</w:t>
      </w:r>
    </w:p>
    <w:p w14:paraId="3AC409DA">
      <w:pPr>
        <w:snapToGrid w:val="0"/>
        <w:ind w:firstLine="412" w:firstLineChars="196"/>
        <w:outlineLvl w:val="2"/>
        <w:rPr>
          <w:rFonts w:hint="eastAsia" w:ascii="微软雅黑" w:hAnsi="微软雅黑"/>
          <w:b/>
          <w:color w:val="auto"/>
          <w:szCs w:val="21"/>
          <w:highlight w:val="none"/>
        </w:rPr>
      </w:pPr>
      <w:bookmarkStart w:id="144" w:name="_Toc402963085"/>
      <w:bookmarkStart w:id="145" w:name="_Toc406402947"/>
      <w:bookmarkStart w:id="146" w:name="_Toc385854101"/>
      <w:bookmarkStart w:id="147" w:name="_Toc385854147"/>
      <w:bookmarkStart w:id="148" w:name="_Toc532218228"/>
      <w:bookmarkStart w:id="149" w:name="_Toc402963118"/>
      <w:bookmarkStart w:id="150" w:name="_Toc164943201"/>
      <w:bookmarkStart w:id="151" w:name="_Toc169015125"/>
      <w:bookmarkStart w:id="152" w:name="_Toc406402991"/>
      <w:r>
        <w:rPr>
          <w:rFonts w:hint="eastAsia" w:ascii="微软雅黑" w:hAnsi="微软雅黑"/>
          <w:b/>
          <w:color w:val="auto"/>
          <w:szCs w:val="21"/>
          <w:highlight w:val="none"/>
        </w:rPr>
        <w:t>（五）投标报价</w:t>
      </w:r>
      <w:bookmarkEnd w:id="144"/>
      <w:bookmarkEnd w:id="145"/>
      <w:bookmarkEnd w:id="146"/>
      <w:bookmarkEnd w:id="147"/>
      <w:bookmarkEnd w:id="148"/>
      <w:bookmarkEnd w:id="149"/>
      <w:bookmarkEnd w:id="150"/>
      <w:bookmarkEnd w:id="151"/>
      <w:bookmarkEnd w:id="152"/>
    </w:p>
    <w:p w14:paraId="2D792AB6">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1.投标报价应按招标文件中相关附表格式填写。</w:t>
      </w:r>
    </w:p>
    <w:p w14:paraId="41DE42B8">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2.投标报价是履行合同的最终价格，有关本项目实施所涉及的一切费用均计入报价;</w:t>
      </w:r>
    </w:p>
    <w:p w14:paraId="2F6005A9">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3.投标文件只允许有一个报价，有选择的报价将不予接受。</w:t>
      </w:r>
    </w:p>
    <w:p w14:paraId="54037686">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4.采购人将以合同形式有偿取得货物或服务,不接受投标人给予的赠品、回扣或者与采购无关的其他商品、服务。</w:t>
      </w:r>
    </w:p>
    <w:p w14:paraId="316BB437">
      <w:pPr>
        <w:tabs>
          <w:tab w:val="left" w:pos="525"/>
        </w:tabs>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5.投标文件只允许有一个报价，有选择的或有条件的报价将不予接受。</w:t>
      </w:r>
    </w:p>
    <w:p w14:paraId="2EBD4DC1">
      <w:pPr>
        <w:snapToGrid w:val="0"/>
        <w:ind w:firstLine="412" w:firstLineChars="196"/>
        <w:outlineLvl w:val="2"/>
        <w:rPr>
          <w:rFonts w:hint="eastAsia" w:ascii="微软雅黑" w:hAnsi="微软雅黑"/>
          <w:b/>
          <w:color w:val="auto"/>
          <w:szCs w:val="21"/>
          <w:highlight w:val="none"/>
        </w:rPr>
      </w:pPr>
      <w:bookmarkStart w:id="153" w:name="_Toc164943202"/>
      <w:bookmarkStart w:id="154" w:name="_Toc169015126"/>
      <w:r>
        <w:rPr>
          <w:rFonts w:hint="eastAsia" w:ascii="微软雅黑" w:hAnsi="微软雅黑"/>
          <w:b/>
          <w:color w:val="auto"/>
          <w:szCs w:val="21"/>
          <w:highlight w:val="none"/>
        </w:rPr>
        <w:t>（六）投标文件的有效期</w:t>
      </w:r>
      <w:bookmarkEnd w:id="153"/>
      <w:bookmarkEnd w:id="154"/>
    </w:p>
    <w:p w14:paraId="3DF4F157">
      <w:pPr>
        <w:pStyle w:val="11"/>
        <w:numPr>
          <w:ilvl w:val="0"/>
          <w:numId w:val="0"/>
        </w:numPr>
        <w:tabs>
          <w:tab w:val="left" w:pos="360"/>
        </w:tabs>
        <w:snapToGrid w:val="0"/>
        <w:spacing w:after="120"/>
        <w:ind w:left="420" w:leftChars="200"/>
        <w:rPr>
          <w:rFonts w:hint="eastAsia" w:ascii="微软雅黑" w:hAnsi="微软雅黑"/>
          <w:color w:val="auto"/>
          <w:sz w:val="21"/>
          <w:szCs w:val="21"/>
          <w:highlight w:val="none"/>
        </w:rPr>
      </w:pPr>
      <w:r>
        <w:rPr>
          <w:rFonts w:hint="eastAsia" w:ascii="微软雅黑" w:hAnsi="微软雅黑"/>
          <w:color w:val="auto"/>
          <w:sz w:val="21"/>
          <w:szCs w:val="21"/>
          <w:highlight w:val="none"/>
        </w:rPr>
        <w:t>1.自投标截止日起</w:t>
      </w:r>
      <w:r>
        <w:rPr>
          <w:rFonts w:hint="eastAsia" w:ascii="微软雅黑" w:hAnsi="微软雅黑"/>
          <w:color w:val="auto"/>
          <w:sz w:val="21"/>
          <w:szCs w:val="21"/>
          <w:highlight w:val="none"/>
          <w:u w:val="single"/>
        </w:rPr>
        <w:t>90</w:t>
      </w:r>
      <w:r>
        <w:rPr>
          <w:rFonts w:hint="eastAsia" w:ascii="微软雅黑" w:hAnsi="微软雅黑"/>
          <w:color w:val="auto"/>
          <w:sz w:val="21"/>
          <w:szCs w:val="21"/>
          <w:highlight w:val="none"/>
        </w:rPr>
        <w:t>天投标文件应保持有效。有效期不足的投标文件将被拒绝。</w:t>
      </w:r>
    </w:p>
    <w:p w14:paraId="605CD8BD">
      <w:pPr>
        <w:pStyle w:val="11"/>
        <w:numPr>
          <w:ilvl w:val="0"/>
          <w:numId w:val="0"/>
        </w:numPr>
        <w:tabs>
          <w:tab w:val="left" w:pos="360"/>
        </w:tabs>
        <w:snapToGrid w:val="0"/>
        <w:spacing w:after="120"/>
        <w:ind w:firstLine="420" w:firstLineChars="200"/>
        <w:rPr>
          <w:rFonts w:hint="eastAsia" w:ascii="微软雅黑" w:hAnsi="微软雅黑"/>
          <w:color w:val="auto"/>
          <w:sz w:val="21"/>
          <w:szCs w:val="21"/>
          <w:highlight w:val="none"/>
        </w:rPr>
      </w:pPr>
      <w:r>
        <w:rPr>
          <w:rFonts w:hint="eastAsia" w:ascii="微软雅黑" w:hAnsi="微软雅黑"/>
          <w:color w:val="auto"/>
          <w:sz w:val="21"/>
          <w:szCs w:val="21"/>
          <w:highlight w:val="none"/>
        </w:rPr>
        <w:t>2.在特殊情况下，采购人可与投标供应商协商延长投标书的有效期，这种要求和答复均以书面形式进行。</w:t>
      </w:r>
    </w:p>
    <w:p w14:paraId="5B5BAA64">
      <w:pPr>
        <w:pStyle w:val="11"/>
        <w:numPr>
          <w:ilvl w:val="0"/>
          <w:numId w:val="0"/>
        </w:numPr>
        <w:tabs>
          <w:tab w:val="left" w:pos="360"/>
        </w:tabs>
        <w:snapToGrid w:val="0"/>
        <w:spacing w:after="120"/>
        <w:ind w:firstLine="420" w:firstLineChars="200"/>
        <w:rPr>
          <w:rFonts w:hint="eastAsia" w:ascii="微软雅黑" w:hAnsi="微软雅黑"/>
          <w:color w:val="auto"/>
          <w:sz w:val="21"/>
          <w:szCs w:val="21"/>
          <w:highlight w:val="none"/>
        </w:rPr>
      </w:pPr>
      <w:bookmarkStart w:id="155" w:name="_Toc402963087"/>
      <w:bookmarkStart w:id="156" w:name="_Toc532218229"/>
      <w:bookmarkStart w:id="157" w:name="_Toc406402993"/>
      <w:bookmarkStart w:id="158" w:name="_Toc402963120"/>
      <w:bookmarkStart w:id="159" w:name="_Toc406402949"/>
      <w:bookmarkStart w:id="160" w:name="_Toc385854103"/>
      <w:bookmarkStart w:id="161" w:name="_Toc385854149"/>
      <w:r>
        <w:rPr>
          <w:rFonts w:hint="eastAsia" w:ascii="微软雅黑" w:hAnsi="微软雅黑"/>
          <w:color w:val="auto"/>
          <w:sz w:val="21"/>
          <w:szCs w:val="21"/>
          <w:highlight w:val="none"/>
        </w:rPr>
        <w:t>3.中标供应商的投标文件自开标之日起至合同履行完毕止均应保持有效。</w:t>
      </w:r>
      <w:bookmarkEnd w:id="155"/>
      <w:bookmarkEnd w:id="156"/>
      <w:bookmarkEnd w:id="157"/>
      <w:bookmarkEnd w:id="158"/>
      <w:bookmarkEnd w:id="159"/>
      <w:bookmarkEnd w:id="160"/>
      <w:bookmarkEnd w:id="161"/>
    </w:p>
    <w:p w14:paraId="71618F3F">
      <w:pPr>
        <w:pStyle w:val="293"/>
        <w:spacing w:before="0"/>
        <w:ind w:firstLine="42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sz w:val="21"/>
          <w:szCs w:val="21"/>
          <w:highlight w:val="none"/>
        </w:rPr>
        <w:t>4.在原定投标有效期满之前，如果出现特殊情况，采购机构可以以书面形式通知投标供应商延长投标有效期。投标供应商同意延长的，不得要求或被允许修改其投标文件，投标供应商拒绝延长的，其投标无效。</w:t>
      </w:r>
    </w:p>
    <w:p w14:paraId="17C45A8B">
      <w:pPr>
        <w:snapToGrid w:val="0"/>
        <w:ind w:firstLine="420"/>
        <w:outlineLvl w:val="2"/>
        <w:rPr>
          <w:rFonts w:hint="eastAsia" w:ascii="微软雅黑" w:hAnsi="微软雅黑"/>
          <w:b/>
          <w:color w:val="auto"/>
          <w:szCs w:val="21"/>
          <w:highlight w:val="none"/>
        </w:rPr>
      </w:pPr>
      <w:bookmarkStart w:id="162" w:name="_Toc169015127"/>
      <w:bookmarkStart w:id="163" w:name="_Toc164943203"/>
      <w:r>
        <w:rPr>
          <w:rFonts w:hint="eastAsia" w:ascii="微软雅黑" w:hAnsi="微软雅黑"/>
          <w:b/>
          <w:color w:val="auto"/>
          <w:szCs w:val="21"/>
          <w:highlight w:val="none"/>
        </w:rPr>
        <w:t>（七）投标无效的情形</w:t>
      </w:r>
      <w:bookmarkEnd w:id="162"/>
      <w:bookmarkEnd w:id="163"/>
    </w:p>
    <w:p w14:paraId="518479AB">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1.电子投标文件解密失败的，且未在规定时间内提交有效备份投标文件的。电子投标文件解密失败，虽然在规定时间内提交了备份投标文件，但是备份投标文件无法导入或者无法读取或者不符合本招标文件和电子交易平台要求的。</w:t>
      </w:r>
    </w:p>
    <w:p w14:paraId="2D18A485">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2.仅提交备份投标文件，没有在电子交易平台传输递交投标文件的。</w:t>
      </w:r>
    </w:p>
    <w:p w14:paraId="68352C00">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3.没有通过资格审查的，投标文件将被视为无效。</w:t>
      </w:r>
    </w:p>
    <w:p w14:paraId="10ED6186">
      <w:pPr>
        <w:snapToGrid w:val="0"/>
        <w:spacing w:line="480" w:lineRule="exact"/>
        <w:ind w:firstLine="420"/>
        <w:rPr>
          <w:rFonts w:hint="eastAsia" w:ascii="微软雅黑" w:hAnsi="微软雅黑" w:cs="宋体"/>
          <w:b/>
          <w:color w:val="auto"/>
          <w:szCs w:val="21"/>
          <w:highlight w:val="none"/>
        </w:rPr>
      </w:pPr>
      <w:r>
        <w:rPr>
          <w:rFonts w:hint="eastAsia" w:ascii="微软雅黑" w:hAnsi="微软雅黑" w:cs="宋体"/>
          <w:b/>
          <w:color w:val="auto"/>
          <w:szCs w:val="21"/>
          <w:highlight w:val="none"/>
        </w:rPr>
        <w:t>4.在符合性审查和商务评审时，如发现下列情形之一的，投标文件将被视为无效：</w:t>
      </w:r>
    </w:p>
    <w:p w14:paraId="06CBA9BE">
      <w:pPr>
        <w:snapToGrid w:val="0"/>
        <w:spacing w:line="480" w:lineRule="exact"/>
        <w:ind w:firstLine="411" w:firstLineChars="196"/>
        <w:rPr>
          <w:rFonts w:hint="eastAsia" w:ascii="微软雅黑" w:hAnsi="微软雅黑"/>
          <w:color w:val="auto"/>
          <w:szCs w:val="21"/>
          <w:highlight w:val="none"/>
        </w:rPr>
      </w:pPr>
      <w:r>
        <w:rPr>
          <w:rFonts w:hint="eastAsia" w:ascii="微软雅黑" w:hAnsi="微软雅黑"/>
          <w:bCs/>
          <w:color w:val="auto"/>
          <w:szCs w:val="21"/>
          <w:highlight w:val="none"/>
        </w:rPr>
        <w:t>4.1</w:t>
      </w:r>
      <w:r>
        <w:rPr>
          <w:rFonts w:hint="eastAsia" w:ascii="微软雅黑" w:hAnsi="微软雅黑"/>
          <w:color w:val="auto"/>
          <w:szCs w:val="21"/>
          <w:highlight w:val="none"/>
        </w:rPr>
        <w:t>电子投标文件未按规定要求提供电子签章的。</w:t>
      </w:r>
    </w:p>
    <w:p w14:paraId="36828995">
      <w:pPr>
        <w:snapToGrid w:val="0"/>
        <w:spacing w:line="480" w:lineRule="exact"/>
        <w:ind w:firstLine="420"/>
        <w:rPr>
          <w:rFonts w:hint="eastAsia" w:ascii="微软雅黑" w:hAnsi="微软雅黑"/>
          <w:bCs/>
          <w:color w:val="auto"/>
          <w:szCs w:val="21"/>
          <w:highlight w:val="none"/>
        </w:rPr>
      </w:pPr>
      <w:r>
        <w:rPr>
          <w:rFonts w:hint="eastAsia" w:ascii="微软雅黑" w:hAnsi="微软雅黑"/>
          <w:color w:val="auto"/>
          <w:szCs w:val="21"/>
          <w:highlight w:val="none"/>
        </w:rPr>
        <w:t>4.2</w:t>
      </w:r>
      <w:r>
        <w:rPr>
          <w:rFonts w:hint="eastAsia" w:ascii="微软雅黑" w:hAnsi="微软雅黑"/>
          <w:bCs/>
          <w:color w:val="auto"/>
          <w:szCs w:val="21"/>
          <w:highlight w:val="none"/>
        </w:rPr>
        <w:t>在资信商务技术文件中出现报价的。</w:t>
      </w:r>
    </w:p>
    <w:p w14:paraId="68524416">
      <w:pPr>
        <w:snapToGrid w:val="0"/>
        <w:spacing w:line="48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4.3未按要求对资格文件进行承诺，或虚假承诺的。</w:t>
      </w:r>
    </w:p>
    <w:p w14:paraId="1930A4DA">
      <w:pPr>
        <w:snapToGrid w:val="0"/>
        <w:spacing w:line="480" w:lineRule="exact"/>
        <w:ind w:firstLine="411" w:firstLineChars="196"/>
        <w:rPr>
          <w:rFonts w:hint="eastAsia" w:ascii="微软雅黑" w:hAnsi="微软雅黑"/>
          <w:bCs/>
          <w:color w:val="auto"/>
          <w:kern w:val="0"/>
          <w:szCs w:val="21"/>
          <w:highlight w:val="none"/>
        </w:rPr>
      </w:pPr>
      <w:r>
        <w:rPr>
          <w:rFonts w:hint="eastAsia" w:ascii="微软雅黑" w:hAnsi="微软雅黑"/>
          <w:color w:val="auto"/>
          <w:szCs w:val="21"/>
          <w:highlight w:val="none"/>
        </w:rPr>
        <w:t>4.4未</w:t>
      </w:r>
      <w:r>
        <w:rPr>
          <w:rFonts w:hint="eastAsia" w:ascii="微软雅黑" w:hAnsi="微软雅黑"/>
          <w:bCs/>
          <w:color w:val="auto"/>
          <w:kern w:val="0"/>
          <w:szCs w:val="21"/>
          <w:highlight w:val="none"/>
        </w:rPr>
        <w:t>提供法定代表人授权委托书、投标函或者填写项目不齐全的。</w:t>
      </w:r>
    </w:p>
    <w:p w14:paraId="72E46091">
      <w:pPr>
        <w:pStyle w:val="13"/>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4.5投标文件格式不规范、项目不齐全或者内容虚假的。</w:t>
      </w:r>
    </w:p>
    <w:p w14:paraId="782B347F">
      <w:pPr>
        <w:pStyle w:val="13"/>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4.6投标文件的实质性内容未使用中文表述、意思表述不明确、前后矛盾或者使用计量单位不符合招标文件要求的（经评标委员会认定并允许其当场更正的笔误除外）。</w:t>
      </w:r>
    </w:p>
    <w:p w14:paraId="7F7C55FA">
      <w:pPr>
        <w:pStyle w:val="13"/>
        <w:snapToGrid w:val="0"/>
        <w:spacing w:after="120" w:line="480" w:lineRule="exact"/>
        <w:ind w:firstLine="395" w:firstLineChars="196"/>
        <w:rPr>
          <w:rFonts w:hint="eastAsia" w:ascii="微软雅黑" w:hAnsi="微软雅黑"/>
          <w:snapToGrid w:val="0"/>
          <w:color w:val="auto"/>
          <w:sz w:val="21"/>
          <w:szCs w:val="21"/>
          <w:highlight w:val="none"/>
        </w:rPr>
      </w:pPr>
      <w:r>
        <w:rPr>
          <w:rFonts w:hint="eastAsia" w:ascii="微软雅黑" w:hAnsi="微软雅黑"/>
          <w:color w:val="auto"/>
          <w:sz w:val="21"/>
          <w:szCs w:val="21"/>
          <w:highlight w:val="none"/>
        </w:rPr>
        <w:t>4.7</w:t>
      </w:r>
      <w:r>
        <w:rPr>
          <w:rFonts w:hint="eastAsia" w:ascii="微软雅黑" w:hAnsi="微软雅黑"/>
          <w:snapToGrid w:val="0"/>
          <w:color w:val="auto"/>
          <w:sz w:val="21"/>
          <w:szCs w:val="21"/>
          <w:highlight w:val="none"/>
        </w:rPr>
        <w:t>投标有效期、服务承诺等商务条款不能满足招标文件要求的。</w:t>
      </w:r>
    </w:p>
    <w:p w14:paraId="0072D4CF">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4.8未实质性响应招标文件要求或者投标文件有采购人不能接受的附加条件的。</w:t>
      </w:r>
    </w:p>
    <w:p w14:paraId="547AC025">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4.9不符合本招标文件中的实质性要求条款。</w:t>
      </w:r>
    </w:p>
    <w:p w14:paraId="64D93525">
      <w:pPr>
        <w:pStyle w:val="13"/>
        <w:snapToGrid w:val="0"/>
        <w:spacing w:after="120" w:line="360" w:lineRule="auto"/>
        <w:ind w:firstLine="396" w:firstLineChars="196"/>
        <w:rPr>
          <w:rFonts w:hint="eastAsia" w:ascii="微软雅黑" w:hAnsi="微软雅黑"/>
          <w:b/>
          <w:bCs/>
          <w:color w:val="auto"/>
          <w:sz w:val="21"/>
          <w:szCs w:val="21"/>
          <w:highlight w:val="none"/>
        </w:rPr>
      </w:pPr>
      <w:r>
        <w:rPr>
          <w:rFonts w:hint="eastAsia" w:ascii="微软雅黑" w:hAnsi="微软雅黑"/>
          <w:b/>
          <w:bCs/>
          <w:color w:val="auto"/>
          <w:sz w:val="21"/>
          <w:szCs w:val="21"/>
          <w:highlight w:val="none"/>
        </w:rPr>
        <w:t>5.在技术评审时，如发现下列情形之一的，投标文件将被视为无效：</w:t>
      </w:r>
    </w:p>
    <w:p w14:paraId="14D4D439">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5.1未提供或未如实提供投标货物的技术参数，或者投标文件标明的响应或偏离与事实不符或虚假投标的。</w:t>
      </w:r>
    </w:p>
    <w:p w14:paraId="05F4CA33">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5.2</w:t>
      </w:r>
      <w:r>
        <w:rPr>
          <w:rFonts w:hint="eastAsia" w:ascii="微软雅黑" w:hAnsi="微软雅黑"/>
          <w:snapToGrid w:val="0"/>
          <w:color w:val="auto"/>
          <w:sz w:val="21"/>
          <w:szCs w:val="21"/>
          <w:highlight w:val="none"/>
        </w:rPr>
        <w:t>明显不符合招标文件要求的规格型号、质量标准，或者与</w:t>
      </w:r>
      <w:r>
        <w:rPr>
          <w:rFonts w:hint="eastAsia" w:ascii="微软雅黑" w:hAnsi="微软雅黑"/>
          <w:color w:val="auto"/>
          <w:sz w:val="21"/>
          <w:szCs w:val="21"/>
          <w:highlight w:val="none"/>
        </w:rPr>
        <w:t>招标文件中标“▲”的技术指标、主要功能项目发生实质性偏离的。</w:t>
      </w:r>
    </w:p>
    <w:p w14:paraId="3A2E54A8">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snapToGrid w:val="0"/>
          <w:color w:val="auto"/>
          <w:sz w:val="21"/>
          <w:szCs w:val="21"/>
          <w:highlight w:val="none"/>
        </w:rPr>
        <w:t>5.3</w:t>
      </w:r>
      <w:r>
        <w:rPr>
          <w:rFonts w:hint="eastAsia" w:ascii="微软雅黑" w:hAnsi="微软雅黑"/>
          <w:color w:val="auto"/>
          <w:sz w:val="21"/>
          <w:szCs w:val="21"/>
          <w:highlight w:val="none"/>
        </w:rPr>
        <w:t>投标技术方案不明确，存在一个或一个以上备选（替代）投标方案的。</w:t>
      </w:r>
    </w:p>
    <w:p w14:paraId="0F81C732">
      <w:pPr>
        <w:pStyle w:val="13"/>
        <w:snapToGrid w:val="0"/>
        <w:spacing w:after="120" w:line="480" w:lineRule="exact"/>
        <w:ind w:firstLine="396" w:firstLineChars="196"/>
        <w:rPr>
          <w:rFonts w:hint="eastAsia" w:ascii="微软雅黑" w:hAnsi="微软雅黑"/>
          <w:b/>
          <w:bCs/>
          <w:color w:val="auto"/>
          <w:sz w:val="21"/>
          <w:szCs w:val="21"/>
          <w:highlight w:val="none"/>
        </w:rPr>
      </w:pPr>
      <w:r>
        <w:rPr>
          <w:rFonts w:hint="eastAsia" w:ascii="微软雅黑" w:hAnsi="微软雅黑"/>
          <w:b/>
          <w:bCs/>
          <w:color w:val="auto"/>
          <w:sz w:val="21"/>
          <w:szCs w:val="21"/>
          <w:highlight w:val="none"/>
        </w:rPr>
        <w:t>6.在报价评审时，如发现下列情形之一的，投标文件将被视为无效：</w:t>
      </w:r>
    </w:p>
    <w:p w14:paraId="6C29314F">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6.1未按要求提供《开标一览表》。</w:t>
      </w:r>
    </w:p>
    <w:p w14:paraId="35F5E057">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6.2未采用人民币报价或者未按照招标文件标明的币种报价的。</w:t>
      </w:r>
    </w:p>
    <w:p w14:paraId="30F4B95E">
      <w:pPr>
        <w:pStyle w:val="13"/>
        <w:snapToGrid w:val="0"/>
        <w:spacing w:after="120"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6.3报价超出最高限价的。</w:t>
      </w:r>
    </w:p>
    <w:p w14:paraId="333EFF86">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 xml:space="preserve">6.4投标报价具有选择性，或者开标价格与投标文件承诺的优惠（折扣）价格不一致的。   </w:t>
      </w:r>
    </w:p>
    <w:p w14:paraId="0DC10674">
      <w:pPr>
        <w:ind w:firstLine="404"/>
        <w:rPr>
          <w:rFonts w:hint="eastAsia"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6.5报价明显低于其他通过符合性审查投标供应商的报价，有可能影响产品质量或者不能诚信履约的，未能按要求提供书面说明或者提交相关证明材料，不能证明其报价合理性的; </w:t>
      </w:r>
    </w:p>
    <w:p w14:paraId="4BF8BE20">
      <w:pPr>
        <w:tabs>
          <w:tab w:val="left" w:pos="6510"/>
        </w:tabs>
        <w:ind w:firstLine="404"/>
        <w:rPr>
          <w:rFonts w:hint="eastAsia" w:ascii="微软雅黑" w:hAnsi="微软雅黑"/>
          <w:color w:val="auto"/>
          <w:spacing w:val="-4"/>
          <w:kern w:val="0"/>
          <w:szCs w:val="21"/>
          <w:highlight w:val="none"/>
        </w:rPr>
      </w:pPr>
      <w:r>
        <w:rPr>
          <w:rFonts w:hint="eastAsia" w:ascii="微软雅黑" w:hAnsi="微软雅黑"/>
          <w:color w:val="auto"/>
          <w:spacing w:val="-4"/>
          <w:kern w:val="0"/>
          <w:szCs w:val="21"/>
          <w:highlight w:val="none"/>
        </w:rPr>
        <w:t xml:space="preserve">6.6报价一经涂改，应在涂改处加盖单位公章或者由法定代表人或被授权人签字（或盖章），否则其投标作无效标处理；   </w:t>
      </w:r>
    </w:p>
    <w:p w14:paraId="1C9BE436">
      <w:pPr>
        <w:numPr>
          <w:ilvl w:val="0"/>
          <w:numId w:val="20"/>
        </w:numPr>
        <w:ind w:firstLine="420"/>
        <w:rPr>
          <w:rFonts w:ascii="微软雅黑" w:hAnsi="微软雅黑" w:cs="Arial"/>
          <w:color w:val="auto"/>
          <w:kern w:val="0"/>
          <w:szCs w:val="21"/>
          <w:highlight w:val="none"/>
        </w:rPr>
      </w:pPr>
      <w:r>
        <w:rPr>
          <w:rFonts w:hint="eastAsia" w:ascii="微软雅黑" w:hAnsi="微软雅黑" w:cs="宋体"/>
          <w:b/>
          <w:bCs/>
          <w:color w:val="auto"/>
          <w:szCs w:val="21"/>
          <w:highlight w:val="none"/>
        </w:rPr>
        <w:t>投标供应商有恶意串通、妨碍其他投标供应商的竞争行为、损害采购人或者其他投标供应商的合法权益情形的，投标文</w:t>
      </w:r>
      <w:r>
        <w:rPr>
          <w:rFonts w:hint="eastAsia" w:ascii="微软雅黑" w:hAnsi="微软雅黑"/>
          <w:b/>
          <w:bCs/>
          <w:color w:val="auto"/>
          <w:szCs w:val="21"/>
          <w:highlight w:val="none"/>
        </w:rPr>
        <w:t>件将被视为无效</w:t>
      </w:r>
      <w:r>
        <w:rPr>
          <w:rFonts w:ascii="微软雅黑" w:hAnsi="微软雅黑" w:cs="Arial"/>
          <w:color w:val="auto"/>
          <w:kern w:val="0"/>
          <w:szCs w:val="21"/>
          <w:highlight w:val="none"/>
        </w:rPr>
        <w:t>；</w:t>
      </w:r>
    </w:p>
    <w:p w14:paraId="36A162C0">
      <w:pPr>
        <w:numPr>
          <w:ilvl w:val="0"/>
          <w:numId w:val="0"/>
        </w:numPr>
        <w:ind w:left="0" w:leftChars="0" w:firstLine="420" w:firstLineChars="200"/>
        <w:rPr>
          <w:rFonts w:hint="eastAsia" w:ascii="微软雅黑" w:hAnsi="微软雅黑" w:cs="Arial"/>
          <w:color w:val="auto"/>
          <w:kern w:val="0"/>
          <w:szCs w:val="21"/>
          <w:highlight w:val="none"/>
          <w:shd w:val="clear" w:color="FFFFFF" w:fill="D9D9D9"/>
        </w:rPr>
      </w:pPr>
      <w:r>
        <w:rPr>
          <w:rFonts w:hint="eastAsia" w:ascii="微软雅黑" w:hAnsi="微软雅黑" w:cs="Arial"/>
          <w:color w:val="auto"/>
          <w:kern w:val="0"/>
          <w:szCs w:val="21"/>
          <w:highlight w:val="none"/>
          <w:shd w:val="clear" w:color="FFFFFF" w:fill="D9D9D9"/>
        </w:rPr>
        <w:t>除政府采购法律法规规章规定的属于恶意串通、视为串通投标情形外，在不影响公平竞争的前提下，采购人在采购文件中可以明确规定参与同一个采购包（标段）的供应商存在下列情形之一的，其投标（响应）文件无效：(1）不同供应商的电子投标（响应）文件上传计算机的网卡 MAC 地址、 CPU 序列号和硬盘序列号等硬件信息相同的；(2）上传的电子投标（响应）文件若出现使用本项目其他投标（响应）供应商的数字证书加息密的，或者加盖本项目其他投标（响应）供应商的电子印章的；(3）不同供应商的投标（响应）文件的内容存在三处（含）以上错误一致，且无法合理解释的；(4）不同供应商联系人为同一人或不同联系人的联系电话一致，且无法合理解释的。</w:t>
      </w:r>
    </w:p>
    <w:p w14:paraId="517E3D68">
      <w:pPr>
        <w:numPr>
          <w:ilvl w:val="0"/>
          <w:numId w:val="0"/>
        </w:numPr>
        <w:ind w:left="0" w:leftChars="0" w:firstLine="420" w:firstLineChars="200"/>
        <w:rPr>
          <w:rFonts w:hint="eastAsia" w:ascii="微软雅黑" w:hAnsi="微软雅黑" w:cs="Arial"/>
          <w:color w:val="auto"/>
          <w:kern w:val="0"/>
          <w:szCs w:val="21"/>
          <w:highlight w:val="none"/>
          <w:shd w:val="clear" w:color="FFFFFF" w:fill="D9D9D9"/>
        </w:rPr>
      </w:pPr>
      <w:r>
        <w:rPr>
          <w:rFonts w:hint="eastAsia" w:ascii="微软雅黑" w:hAnsi="微软雅黑" w:cs="Arial"/>
          <w:color w:val="auto"/>
          <w:kern w:val="0"/>
          <w:szCs w:val="21"/>
          <w:highlight w:val="none"/>
          <w:shd w:val="clear" w:color="FFFFFF" w:fill="D9D9D9"/>
        </w:rPr>
        <w:t>在资格审查过程中，如发现本系统供应商有采购文件约定的上述情形，采购人、采购代理机构应当根据采购文件认定其投标（响应）无效，并书面报告本级财政部门；在评审过程中，发现供应商有采购文件约定的上述情形的，评审小组应当根据采购文件认定其投标（响应）无效，评审报告应详细记录相关情况，评审结束后由采购代理机构或采购人书面报告本级财政部门。</w:t>
      </w:r>
    </w:p>
    <w:p w14:paraId="66097D9A">
      <w:pPr>
        <w:pStyle w:val="13"/>
        <w:snapToGrid w:val="0"/>
        <w:spacing w:after="120" w:line="480" w:lineRule="exact"/>
        <w:ind w:firstLine="396" w:firstLineChars="196"/>
        <w:rPr>
          <w:rFonts w:hint="eastAsia" w:ascii="微软雅黑" w:hAnsi="微软雅黑"/>
          <w:color w:val="auto"/>
          <w:sz w:val="21"/>
          <w:szCs w:val="21"/>
          <w:highlight w:val="none"/>
        </w:rPr>
      </w:pPr>
      <w:r>
        <w:rPr>
          <w:rFonts w:hint="eastAsia" w:ascii="微软雅黑" w:hAnsi="微软雅黑"/>
          <w:b/>
          <w:bCs/>
          <w:color w:val="auto"/>
          <w:sz w:val="21"/>
          <w:szCs w:val="21"/>
          <w:highlight w:val="none"/>
        </w:rPr>
        <w:t>8.法律、法规、规章（适用本市的）及省级以上规范性文件（适用本市的）规定的其他无效情形。</w:t>
      </w:r>
    </w:p>
    <w:p w14:paraId="4A69CB28">
      <w:pPr>
        <w:pStyle w:val="13"/>
        <w:snapToGrid w:val="0"/>
        <w:spacing w:after="120" w:line="480" w:lineRule="exact"/>
        <w:ind w:firstLine="404"/>
        <w:rPr>
          <w:rFonts w:hint="eastAsia" w:ascii="微软雅黑" w:hAnsi="微软雅黑"/>
          <w:b/>
          <w:color w:val="auto"/>
          <w:sz w:val="21"/>
          <w:szCs w:val="21"/>
          <w:highlight w:val="none"/>
        </w:rPr>
      </w:pPr>
      <w:r>
        <w:rPr>
          <w:rFonts w:hint="eastAsia" w:ascii="微软雅黑" w:hAnsi="微软雅黑"/>
          <w:b/>
          <w:color w:val="auto"/>
          <w:sz w:val="21"/>
          <w:szCs w:val="21"/>
          <w:highlight w:val="none"/>
        </w:rPr>
        <w:t>9.被拒绝的投标文件为无效。</w:t>
      </w:r>
    </w:p>
    <w:p w14:paraId="49012963">
      <w:pPr>
        <w:pStyle w:val="13"/>
        <w:snapToGrid w:val="0"/>
        <w:spacing w:after="120" w:line="480" w:lineRule="exact"/>
        <w:ind w:firstLine="202" w:firstLineChars="100"/>
        <w:rPr>
          <w:rFonts w:hint="eastAsia" w:ascii="微软雅黑" w:hAnsi="微软雅黑"/>
          <w:b/>
          <w:color w:val="auto"/>
          <w:sz w:val="21"/>
          <w:szCs w:val="21"/>
          <w:highlight w:val="none"/>
        </w:rPr>
      </w:pPr>
      <w:r>
        <w:rPr>
          <w:rFonts w:hint="eastAsia" w:ascii="微软雅黑" w:hAnsi="微软雅黑"/>
          <w:b/>
          <w:color w:val="auto"/>
          <w:sz w:val="21"/>
          <w:szCs w:val="21"/>
          <w:highlight w:val="none"/>
        </w:rPr>
        <w:t>（八）废标的情形</w:t>
      </w:r>
    </w:p>
    <w:p w14:paraId="2A279192">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根据《中华人民共和国政府采购法》第三十六条之规定，在采购中，出现下列情形之一的，应予废标：</w:t>
      </w:r>
    </w:p>
    <w:p w14:paraId="39D15DB7">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1.符合专业条件的供应商或者对招标文件作实质响应的供应商不足3家的；</w:t>
      </w:r>
    </w:p>
    <w:p w14:paraId="3CFD45A5">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2.出现影响采购公正的违法、违规行为的；</w:t>
      </w:r>
    </w:p>
    <w:p w14:paraId="7C0CA60B">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3.投标供应商的报价均超过了采购预算，采购人不能支付的；</w:t>
      </w:r>
    </w:p>
    <w:p w14:paraId="2E2C1533">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4.因重大变故，采购任务取消的。</w:t>
      </w:r>
    </w:p>
    <w:p w14:paraId="25A1BDEE">
      <w:pPr>
        <w:pStyle w:val="13"/>
        <w:snapToGrid w:val="0"/>
        <w:spacing w:after="120" w:line="480" w:lineRule="exact"/>
        <w:ind w:firstLine="404"/>
        <w:rPr>
          <w:rFonts w:hint="eastAsia" w:ascii="微软雅黑" w:hAnsi="微软雅黑"/>
          <w:color w:val="auto"/>
          <w:sz w:val="21"/>
          <w:szCs w:val="21"/>
          <w:highlight w:val="none"/>
        </w:rPr>
      </w:pPr>
      <w:r>
        <w:rPr>
          <w:rFonts w:hint="eastAsia" w:ascii="微软雅黑" w:hAnsi="微软雅黑"/>
          <w:color w:val="auto"/>
          <w:sz w:val="21"/>
          <w:szCs w:val="21"/>
          <w:highlight w:val="none"/>
        </w:rPr>
        <w:t>废标后，采购机构应当将废标理由通知所有投标供应商。</w:t>
      </w:r>
    </w:p>
    <w:p w14:paraId="49192937">
      <w:pPr>
        <w:pStyle w:val="3"/>
        <w:spacing w:line="500" w:lineRule="exact"/>
        <w:ind w:firstLine="420"/>
        <w:rPr>
          <w:rFonts w:hint="eastAsia" w:ascii="微软雅黑" w:hAnsi="微软雅黑"/>
          <w:color w:val="auto"/>
          <w:szCs w:val="21"/>
          <w:highlight w:val="none"/>
        </w:rPr>
      </w:pPr>
      <w:bookmarkStart w:id="164" w:name="_Toc22083"/>
      <w:r>
        <w:rPr>
          <w:rFonts w:hint="eastAsia" w:ascii="微软雅黑" w:hAnsi="微软雅黑"/>
          <w:color w:val="auto"/>
          <w:szCs w:val="21"/>
          <w:highlight w:val="none"/>
        </w:rPr>
        <w:t>四、开标</w:t>
      </w:r>
      <w:bookmarkEnd w:id="129"/>
      <w:bookmarkEnd w:id="164"/>
    </w:p>
    <w:p w14:paraId="0E9296B2">
      <w:pPr>
        <w:pStyle w:val="13"/>
        <w:snapToGrid w:val="0"/>
        <w:spacing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1.本项目实行电子开评标，供应商无需到开标现场，但须准时在线参加，直至评审结束。投标供应商不足3家的，不得开标。</w:t>
      </w:r>
    </w:p>
    <w:p w14:paraId="1B5158FA">
      <w:pPr>
        <w:pStyle w:val="13"/>
        <w:snapToGrid w:val="0"/>
        <w:spacing w:line="480" w:lineRule="exact"/>
        <w:ind w:firstLine="395" w:firstLineChars="196"/>
        <w:rPr>
          <w:rFonts w:hint="eastAsia" w:ascii="微软雅黑" w:hAnsi="微软雅黑"/>
          <w:color w:val="auto"/>
          <w:sz w:val="21"/>
          <w:szCs w:val="21"/>
          <w:highlight w:val="none"/>
        </w:rPr>
      </w:pPr>
      <w:r>
        <w:rPr>
          <w:rFonts w:hint="eastAsia" w:ascii="微软雅黑" w:hAnsi="微软雅黑"/>
          <w:color w:val="auto"/>
          <w:sz w:val="21"/>
          <w:szCs w:val="21"/>
          <w:highlight w:val="none"/>
        </w:rPr>
        <w:t>2.投标截止时间后的半小时内，由各供应商自行对电子投标文件进行解密请各供应商务必在规定时间内完成电子投标文件的解密工作；开启报价环节，供应商须在15分钟内在系统里CA签字确认。</w:t>
      </w:r>
    </w:p>
    <w:p w14:paraId="32B83535">
      <w:pPr>
        <w:pStyle w:val="13"/>
        <w:snapToGrid w:val="0"/>
        <w:spacing w:line="480" w:lineRule="exact"/>
        <w:ind w:firstLine="395" w:firstLineChars="196"/>
        <w:rPr>
          <w:rFonts w:hint="eastAsia" w:ascii="微软雅黑" w:hAnsi="微软雅黑" w:cs="宋体"/>
          <w:color w:val="auto"/>
          <w:kern w:val="0"/>
          <w:sz w:val="21"/>
          <w:szCs w:val="21"/>
          <w:highlight w:val="none"/>
          <w:shd w:val="pct10" w:color="auto" w:fill="FFFFFF"/>
        </w:rPr>
      </w:pPr>
      <w:r>
        <w:rPr>
          <w:rFonts w:hint="eastAsia" w:ascii="微软雅黑" w:hAnsi="微软雅黑"/>
          <w:color w:val="auto"/>
          <w:sz w:val="21"/>
          <w:szCs w:val="21"/>
          <w:highlight w:val="none"/>
        </w:rPr>
        <w:t>3.投标文件未按时解密，投标供应商提供了备份投标文件的，以备份投标文件作为依据，否则视为投标文件撤回。投标文件已按时解密的，备份投标文件自动失效。</w:t>
      </w:r>
    </w:p>
    <w:p w14:paraId="1DB29F10">
      <w:pPr>
        <w:pStyle w:val="3"/>
        <w:spacing w:line="500" w:lineRule="exact"/>
        <w:ind w:firstLine="420"/>
        <w:rPr>
          <w:rFonts w:hint="eastAsia" w:ascii="微软雅黑" w:hAnsi="微软雅黑"/>
          <w:color w:val="auto"/>
          <w:szCs w:val="21"/>
          <w:highlight w:val="none"/>
        </w:rPr>
      </w:pPr>
      <w:bookmarkStart w:id="165" w:name="_Toc33535370"/>
      <w:bookmarkStart w:id="166" w:name="_Toc18014"/>
      <w:r>
        <w:rPr>
          <w:rFonts w:hint="eastAsia" w:ascii="微软雅黑" w:hAnsi="微软雅黑"/>
          <w:color w:val="auto"/>
          <w:szCs w:val="21"/>
          <w:highlight w:val="none"/>
        </w:rPr>
        <w:t>五、评标</w:t>
      </w:r>
      <w:bookmarkEnd w:id="165"/>
      <w:bookmarkEnd w:id="166"/>
    </w:p>
    <w:p w14:paraId="321A34C6">
      <w:pPr>
        <w:pStyle w:val="27"/>
        <w:snapToGrid w:val="0"/>
        <w:spacing w:before="120" w:after="120"/>
        <w:ind w:left="689" w:leftChars="228" w:hanging="210" w:hangingChars="100"/>
        <w:rPr>
          <w:rFonts w:hint="eastAsia" w:ascii="微软雅黑" w:hAnsi="微软雅黑"/>
          <w:b/>
          <w:color w:val="auto"/>
          <w:szCs w:val="21"/>
          <w:highlight w:val="none"/>
        </w:rPr>
      </w:pPr>
      <w:bookmarkStart w:id="167" w:name="_Toc33535371"/>
      <w:r>
        <w:rPr>
          <w:rFonts w:hint="eastAsia" w:ascii="微软雅黑" w:hAnsi="微软雅黑"/>
          <w:b/>
          <w:color w:val="auto"/>
          <w:szCs w:val="21"/>
          <w:highlight w:val="none"/>
        </w:rPr>
        <w:t>（一）组建评标委员会</w:t>
      </w:r>
    </w:p>
    <w:p w14:paraId="7F8103F7">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评标委员会由采购人代表和评审专家组成，政府采购评审专家</w:t>
      </w:r>
      <w:r>
        <w:rPr>
          <w:rFonts w:hint="eastAsia" w:ascii="微软雅黑" w:hAnsi="微软雅黑"/>
          <w:color w:val="auto"/>
          <w:szCs w:val="21"/>
          <w:highlight w:val="none"/>
          <w:u w:val="single"/>
        </w:rPr>
        <w:t xml:space="preserve"> 4 </w:t>
      </w:r>
      <w:r>
        <w:rPr>
          <w:rFonts w:hint="eastAsia" w:ascii="微软雅黑" w:hAnsi="微软雅黑"/>
          <w:color w:val="auto"/>
          <w:szCs w:val="21"/>
          <w:highlight w:val="none"/>
        </w:rPr>
        <w:t>人和采购人代表</w:t>
      </w:r>
      <w:r>
        <w:rPr>
          <w:rFonts w:hint="eastAsia" w:ascii="微软雅黑" w:hAnsi="微软雅黑"/>
          <w:color w:val="auto"/>
          <w:szCs w:val="21"/>
          <w:highlight w:val="none"/>
          <w:u w:val="single"/>
        </w:rPr>
        <w:t xml:space="preserve"> 1  </w:t>
      </w:r>
      <w:r>
        <w:rPr>
          <w:rFonts w:hint="eastAsia" w:ascii="微软雅黑" w:hAnsi="微软雅黑"/>
          <w:color w:val="auto"/>
          <w:szCs w:val="21"/>
          <w:highlight w:val="none"/>
        </w:rPr>
        <w:t>人，共</w:t>
      </w:r>
      <w:r>
        <w:rPr>
          <w:rFonts w:hint="eastAsia" w:ascii="微软雅黑" w:hAnsi="微软雅黑"/>
          <w:color w:val="auto"/>
          <w:szCs w:val="21"/>
          <w:highlight w:val="none"/>
          <w:u w:val="single"/>
        </w:rPr>
        <w:t xml:space="preserve"> 5 </w:t>
      </w:r>
      <w:r>
        <w:rPr>
          <w:rFonts w:hint="eastAsia" w:ascii="微软雅黑" w:hAnsi="微软雅黑"/>
          <w:color w:val="auto"/>
          <w:szCs w:val="21"/>
          <w:highlight w:val="none"/>
        </w:rPr>
        <w:t>人组成。</w:t>
      </w:r>
    </w:p>
    <w:p w14:paraId="7AB715A9">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评标委员会负责具体评标事务，并独立履行下列职责：</w:t>
      </w:r>
    </w:p>
    <w:p w14:paraId="55C58319">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1.审查、评价投标文件是否符合招标文件的商务、技术等实质性要求。</w:t>
      </w:r>
    </w:p>
    <w:p w14:paraId="73608C38">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2.要求投标供应商对投标文件有关事项做出澄清或者说明。</w:t>
      </w:r>
    </w:p>
    <w:p w14:paraId="232791E4">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3.对投标文件进行比较和评价。</w:t>
      </w:r>
    </w:p>
    <w:p w14:paraId="53537E8A">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4.确定中标供应商名单，以及根据采购人委托直接确定中标供应商。</w:t>
      </w:r>
    </w:p>
    <w:p w14:paraId="7F295FC5">
      <w:pPr>
        <w:widowControl/>
        <w:shd w:val="clear" w:color="auto" w:fill="FFFFFF"/>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5.向采购人、代理机构或者有关部门报告评标中发现的违法行为。</w:t>
      </w:r>
    </w:p>
    <w:p w14:paraId="09009981">
      <w:pPr>
        <w:widowControl/>
        <w:shd w:val="clear" w:color="auto" w:fill="FFFFFF"/>
        <w:ind w:firstLine="420"/>
        <w:rPr>
          <w:rFonts w:hint="eastAsia" w:ascii="微软雅黑" w:hAnsi="微软雅黑"/>
          <w:b/>
          <w:color w:val="auto"/>
          <w:kern w:val="0"/>
          <w:szCs w:val="21"/>
          <w:highlight w:val="none"/>
        </w:rPr>
      </w:pPr>
      <w:r>
        <w:rPr>
          <w:rFonts w:hint="eastAsia" w:ascii="微软雅黑" w:hAnsi="微软雅黑"/>
          <w:b/>
          <w:color w:val="auto"/>
          <w:kern w:val="0"/>
          <w:szCs w:val="21"/>
          <w:highlight w:val="none"/>
        </w:rPr>
        <w:t>除除采购人代表及所派纪检监察人员、评标现场组织人员外，采购人的其他工作人员以及与评标工作无关的人员不得进入评标现场。</w:t>
      </w:r>
    </w:p>
    <w:p w14:paraId="460CA61E">
      <w:pPr>
        <w:pStyle w:val="27"/>
        <w:snapToGrid w:val="0"/>
        <w:spacing w:before="120" w:after="120"/>
        <w:ind w:left="689" w:leftChars="228" w:hanging="210" w:hangingChars="100"/>
        <w:rPr>
          <w:rFonts w:hint="eastAsia" w:ascii="微软雅黑" w:hAnsi="微软雅黑"/>
          <w:b/>
          <w:color w:val="auto"/>
          <w:szCs w:val="21"/>
          <w:highlight w:val="none"/>
        </w:rPr>
      </w:pPr>
      <w:r>
        <w:rPr>
          <w:rFonts w:hint="eastAsia" w:ascii="微软雅黑" w:hAnsi="微软雅黑"/>
          <w:b/>
          <w:color w:val="auto"/>
          <w:szCs w:val="21"/>
          <w:highlight w:val="none"/>
        </w:rPr>
        <w:t>（二）评标的方式</w:t>
      </w:r>
    </w:p>
    <w:p w14:paraId="533BDFC8">
      <w:pPr>
        <w:pStyle w:val="27"/>
        <w:snapToGrid w:val="0"/>
        <w:spacing w:before="120" w:after="120"/>
        <w:ind w:left="689" w:leftChars="228" w:hanging="210" w:hangingChars="100"/>
        <w:rPr>
          <w:rFonts w:hint="eastAsia" w:ascii="微软雅黑" w:hAnsi="微软雅黑"/>
          <w:color w:val="auto"/>
          <w:szCs w:val="21"/>
          <w:highlight w:val="none"/>
        </w:rPr>
      </w:pPr>
      <w:r>
        <w:rPr>
          <w:rFonts w:hint="eastAsia" w:ascii="微软雅黑" w:hAnsi="微软雅黑"/>
          <w:color w:val="auto"/>
          <w:szCs w:val="21"/>
          <w:highlight w:val="none"/>
        </w:rPr>
        <w:t>本项目采用不公开方式评标，评标的依据为招标文件和投标文件。</w:t>
      </w:r>
    </w:p>
    <w:p w14:paraId="7356110E">
      <w:pPr>
        <w:pStyle w:val="27"/>
        <w:snapToGrid w:val="0"/>
        <w:spacing w:before="120" w:after="120"/>
        <w:ind w:left="689" w:leftChars="228" w:hanging="210" w:hangingChars="100"/>
        <w:rPr>
          <w:rFonts w:hint="eastAsia" w:ascii="微软雅黑" w:hAnsi="微软雅黑"/>
          <w:b/>
          <w:bCs/>
          <w:color w:val="auto"/>
          <w:szCs w:val="21"/>
          <w:highlight w:val="none"/>
        </w:rPr>
      </w:pPr>
      <w:r>
        <w:rPr>
          <w:rFonts w:hint="eastAsia" w:ascii="微软雅黑" w:hAnsi="微软雅黑"/>
          <w:b/>
          <w:color w:val="auto"/>
          <w:szCs w:val="21"/>
          <w:highlight w:val="none"/>
        </w:rPr>
        <w:t>（三）</w:t>
      </w:r>
      <w:r>
        <w:rPr>
          <w:rFonts w:hint="eastAsia" w:ascii="微软雅黑" w:hAnsi="微软雅黑"/>
          <w:b/>
          <w:bCs/>
          <w:color w:val="auto"/>
          <w:szCs w:val="21"/>
          <w:highlight w:val="none"/>
        </w:rPr>
        <w:t>评标程序</w:t>
      </w:r>
    </w:p>
    <w:p w14:paraId="66E1F652">
      <w:pPr>
        <w:pStyle w:val="27"/>
        <w:snapToGrid w:val="0"/>
        <w:spacing w:before="120" w:after="120"/>
        <w:ind w:firstLine="420"/>
        <w:rPr>
          <w:rFonts w:hint="eastAsia" w:ascii="微软雅黑" w:hAnsi="微软雅黑"/>
          <w:bCs/>
          <w:color w:val="auto"/>
          <w:szCs w:val="21"/>
          <w:highlight w:val="none"/>
        </w:rPr>
      </w:pPr>
      <w:r>
        <w:rPr>
          <w:rFonts w:hint="eastAsia" w:ascii="微软雅黑" w:hAnsi="微软雅黑"/>
          <w:bCs/>
          <w:color w:val="auto"/>
          <w:szCs w:val="21"/>
          <w:highlight w:val="none"/>
        </w:rPr>
        <w:t>采购人可以在评标前说明项目背景和采购需求，说明内容不得含有歧视性、倾向性意见，不得超出招标文件所述范围。说明应当提交书面材料，并随招标文件一并存档。</w:t>
      </w:r>
    </w:p>
    <w:p w14:paraId="1B6EE845">
      <w:pPr>
        <w:snapToGrid w:val="0"/>
        <w:ind w:firstLine="412" w:firstLineChars="196"/>
        <w:rPr>
          <w:rFonts w:hint="eastAsia" w:ascii="微软雅黑" w:hAnsi="微软雅黑"/>
          <w:b/>
          <w:bCs/>
          <w:color w:val="auto"/>
          <w:szCs w:val="21"/>
          <w:highlight w:val="none"/>
        </w:rPr>
      </w:pPr>
      <w:r>
        <w:rPr>
          <w:rFonts w:hint="eastAsia" w:ascii="微软雅黑" w:hAnsi="微软雅黑"/>
          <w:b/>
          <w:bCs/>
          <w:color w:val="auto"/>
          <w:szCs w:val="21"/>
          <w:highlight w:val="none"/>
        </w:rPr>
        <w:t>1.形式审查</w:t>
      </w:r>
    </w:p>
    <w:p w14:paraId="59D31808">
      <w:pPr>
        <w:snapToGrid w:val="0"/>
        <w:ind w:firstLine="420"/>
        <w:rPr>
          <w:rFonts w:hint="eastAsia" w:ascii="微软雅黑" w:hAnsi="微软雅黑" w:cs="宋体"/>
          <w:bCs/>
          <w:color w:val="auto"/>
          <w:szCs w:val="21"/>
          <w:highlight w:val="none"/>
        </w:rPr>
      </w:pPr>
      <w:r>
        <w:rPr>
          <w:rFonts w:hint="eastAsia" w:ascii="微软雅黑" w:hAnsi="微软雅黑"/>
          <w:bCs/>
          <w:color w:val="auto"/>
          <w:szCs w:val="21"/>
          <w:highlight w:val="none"/>
        </w:rPr>
        <w:t>1.1形式审查包括资格审查（除符合性审查以外的关于投标供应商资格条件等内容）和符合性审查，即对投标供应商的资格和投标文件的完整性、合法性等</w:t>
      </w:r>
      <w:r>
        <w:rPr>
          <w:rFonts w:hint="eastAsia" w:ascii="微软雅黑" w:hAnsi="微软雅黑" w:cs="宋体"/>
          <w:bCs/>
          <w:color w:val="auto"/>
          <w:szCs w:val="21"/>
          <w:highlight w:val="none"/>
        </w:rPr>
        <w:t>进行审查。投标文件形式审查未通过的投标供应商，其投标文件将不再评审。合格投标供应商不足3家的，不再评标。</w:t>
      </w:r>
    </w:p>
    <w:p w14:paraId="5C185FA8">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1.2信用信息查询</w:t>
      </w:r>
    </w:p>
    <w:p w14:paraId="045F0DD2">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1.2.1信用信息查询渠道及截止时间：采购人将通过“信用中国”网站(www.creditchina.gov.cn)、中国政府采购网(www.ccgp.gov.cn)渠道查询投标供应商投标截止时间当天的信用记录。</w:t>
      </w:r>
    </w:p>
    <w:p w14:paraId="45CEA2E8">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1.2.2信用信息查询记录和证据留存的具体方式：现场查询的投标供应商的信用记录、查询结果经确认后将与招标文件一起存档。</w:t>
      </w:r>
    </w:p>
    <w:p w14:paraId="7955E3E7">
      <w:pPr>
        <w:snapToGrid w:val="0"/>
        <w:ind w:firstLine="420"/>
        <w:rPr>
          <w:rFonts w:hint="eastAsia" w:ascii="微软雅黑" w:hAnsi="微软雅黑" w:cs="宋体"/>
          <w:bCs/>
          <w:color w:val="auto"/>
          <w:szCs w:val="21"/>
          <w:highlight w:val="none"/>
        </w:rPr>
      </w:pPr>
      <w:r>
        <w:rPr>
          <w:rFonts w:hint="eastAsia" w:ascii="微软雅黑" w:hAnsi="微软雅黑" w:cs="宋体"/>
          <w:bCs/>
          <w:color w:val="auto"/>
          <w:szCs w:val="21"/>
          <w:highlight w:val="none"/>
        </w:rPr>
        <w:t>1.2.3信用信息的使用规则：经查询列入失信被执行人名单、重大税收违法案件当事人名单、政府采购严重违法失信行为记录名单的投标供应商将被拒绝参与政府采购活动。</w:t>
      </w:r>
    </w:p>
    <w:p w14:paraId="616FB44C">
      <w:pPr>
        <w:snapToGrid w:val="0"/>
        <w:ind w:firstLine="420"/>
        <w:rPr>
          <w:rFonts w:hint="eastAsia" w:ascii="微软雅黑" w:hAnsi="微软雅黑"/>
          <w:color w:val="auto"/>
          <w:szCs w:val="21"/>
          <w:highlight w:val="none"/>
        </w:rPr>
      </w:pPr>
      <w:r>
        <w:rPr>
          <w:rFonts w:hint="eastAsia" w:ascii="微软雅黑" w:hAnsi="微软雅黑" w:cs="宋体"/>
          <w:bCs/>
          <w:color w:val="auto"/>
          <w:szCs w:val="21"/>
          <w:highlight w:val="none"/>
        </w:rPr>
        <w:t>1.2.4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AE702E6">
      <w:pPr>
        <w:snapToGrid w:val="0"/>
        <w:ind w:firstLine="412" w:firstLineChars="196"/>
        <w:rPr>
          <w:rFonts w:hint="eastAsia" w:ascii="微软雅黑" w:hAnsi="微软雅黑"/>
          <w:b/>
          <w:bCs/>
          <w:color w:val="auto"/>
          <w:szCs w:val="21"/>
          <w:highlight w:val="none"/>
        </w:rPr>
      </w:pPr>
      <w:r>
        <w:rPr>
          <w:rFonts w:hint="eastAsia" w:ascii="微软雅黑" w:hAnsi="微软雅黑"/>
          <w:b/>
          <w:bCs/>
          <w:color w:val="auto"/>
          <w:szCs w:val="21"/>
          <w:highlight w:val="none"/>
        </w:rPr>
        <w:t>2.实质审查</w:t>
      </w:r>
    </w:p>
    <w:p w14:paraId="5B03258D">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2.1评标委员会审查投标文件的实质性内容是否符合招标文件的实质性要求。</w:t>
      </w:r>
    </w:p>
    <w:p w14:paraId="431275C1">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2.2评标委员会将根据投标供应商的投标文件进行审查、核对，如有疑问，将对投标供应商进行询标，投标供应商要向评标委员会澄清有关问题，并最终以书面形式进行答复。</w:t>
      </w:r>
    </w:p>
    <w:p w14:paraId="139E12E6">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询标时，投标供应商代表未到场或者拒绝澄清或者澄清的内容改变了投标文件的实质性内容的，评标委员会有权对该投标文件做出不利于投标供应商的评判。</w:t>
      </w:r>
    </w:p>
    <w:p w14:paraId="56D9BFA5">
      <w:pPr>
        <w:snapToGrid w:val="0"/>
        <w:ind w:firstLine="420"/>
        <w:rPr>
          <w:rFonts w:hint="eastAsia" w:ascii="微软雅黑" w:hAnsi="微软雅黑"/>
          <w:strike/>
          <w:color w:val="auto"/>
          <w:szCs w:val="21"/>
          <w:highlight w:val="none"/>
        </w:rPr>
      </w:pPr>
      <w:r>
        <w:rPr>
          <w:rFonts w:hint="eastAsia" w:ascii="微软雅黑" w:hAnsi="微软雅黑" w:cs="Arial"/>
          <w:color w:val="auto"/>
          <w:kern w:val="0"/>
          <w:szCs w:val="21"/>
          <w:highlight w:val="none"/>
        </w:rPr>
        <w:t>2.3</w:t>
      </w:r>
      <w:r>
        <w:rPr>
          <w:rFonts w:hint="eastAsia" w:ascii="微软雅黑" w:hAnsi="微软雅黑"/>
          <w:color w:val="auto"/>
          <w:szCs w:val="21"/>
          <w:highlight w:val="none"/>
        </w:rPr>
        <w:t>评标委员会各成员应当独立对每个投标供应商的商务和技术文件进行评价，并汇总商务技术得分情况。</w:t>
      </w:r>
    </w:p>
    <w:p w14:paraId="2BE38947">
      <w:pPr>
        <w:pStyle w:val="3"/>
        <w:ind w:firstLine="420"/>
        <w:rPr>
          <w:rFonts w:hint="eastAsia" w:ascii="微软雅黑" w:hAnsi="微软雅黑" w:cs="宋体"/>
          <w:bCs/>
          <w:color w:val="auto"/>
          <w:kern w:val="2"/>
          <w:szCs w:val="21"/>
          <w:highlight w:val="none"/>
        </w:rPr>
      </w:pPr>
      <w:bookmarkStart w:id="168" w:name="_Toc164943206"/>
      <w:bookmarkStart w:id="169" w:name="_Toc169015130"/>
      <w:bookmarkStart w:id="170" w:name="_Toc27524"/>
      <w:r>
        <w:rPr>
          <w:rFonts w:hint="eastAsia" w:ascii="微软雅黑" w:hAnsi="微软雅黑" w:cs="宋体"/>
          <w:bCs/>
          <w:color w:val="auto"/>
          <w:kern w:val="2"/>
          <w:szCs w:val="21"/>
          <w:highlight w:val="none"/>
        </w:rPr>
        <w:t>3.报价审查</w:t>
      </w:r>
      <w:bookmarkEnd w:id="168"/>
      <w:bookmarkEnd w:id="169"/>
      <w:bookmarkEnd w:id="170"/>
    </w:p>
    <w:p w14:paraId="4B5152B5">
      <w:pPr>
        <w:pStyle w:val="27"/>
        <w:snapToGrid w:val="0"/>
        <w:spacing w:before="120" w:after="120"/>
        <w:ind w:left="689" w:leftChars="228" w:hanging="210" w:hangingChars="100"/>
        <w:rPr>
          <w:rFonts w:hint="eastAsia" w:ascii="微软雅黑" w:hAnsi="微软雅黑"/>
          <w:color w:val="auto"/>
          <w:szCs w:val="21"/>
          <w:highlight w:val="none"/>
        </w:rPr>
      </w:pPr>
      <w:r>
        <w:rPr>
          <w:rFonts w:hint="eastAsia" w:ascii="微软雅黑" w:hAnsi="微软雅黑"/>
          <w:color w:val="auto"/>
          <w:szCs w:val="21"/>
          <w:highlight w:val="none"/>
        </w:rPr>
        <w:t>(1)投标文件报价如果出现计算或表达上的错误，修正错误的原则如下：</w:t>
      </w:r>
    </w:p>
    <w:p w14:paraId="7C97F094">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1.1报价</w:t>
      </w:r>
      <w:r>
        <w:rPr>
          <w:rFonts w:hint="eastAsia" w:ascii="微软雅黑" w:hAnsi="微软雅黑"/>
          <w:color w:val="auto"/>
          <w:kern w:val="0"/>
          <w:szCs w:val="21"/>
          <w:highlight w:val="none"/>
        </w:rPr>
        <w:t>以开标一览表为准。</w:t>
      </w:r>
    </w:p>
    <w:p w14:paraId="0000B540">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1.2投标文件的大写金额和小写金额不一致的，以大写金额为准。</w:t>
      </w:r>
    </w:p>
    <w:p w14:paraId="569B57C0">
      <w:pPr>
        <w:pStyle w:val="293"/>
        <w:spacing w:before="0"/>
        <w:ind w:firstLine="420"/>
        <w:rPr>
          <w:rFonts w:hint="eastAsia" w:ascii="微软雅黑" w:hAnsi="微软雅黑" w:eastAsia="微软雅黑"/>
          <w:color w:val="auto"/>
          <w:sz w:val="21"/>
          <w:szCs w:val="21"/>
          <w:highlight w:val="none"/>
        </w:rPr>
      </w:pPr>
      <w:r>
        <w:rPr>
          <w:rFonts w:hint="eastAsia" w:ascii="微软雅黑" w:hAnsi="微软雅黑" w:eastAsia="微软雅黑" w:cs="Times New Roman"/>
          <w:color w:val="auto"/>
          <w:kern w:val="0"/>
          <w:sz w:val="21"/>
          <w:szCs w:val="21"/>
          <w:highlight w:val="none"/>
        </w:rPr>
        <w:t>1.3总</w:t>
      </w:r>
      <w:r>
        <w:rPr>
          <w:rFonts w:hint="eastAsia" w:ascii="微软雅黑" w:hAnsi="微软雅黑" w:eastAsia="微软雅黑"/>
          <w:color w:val="auto"/>
          <w:sz w:val="21"/>
          <w:szCs w:val="21"/>
          <w:highlight w:val="none"/>
        </w:rPr>
        <w:t>价金额与按单价汇总金额不一致的，以单价金额计算结果为准。</w:t>
      </w:r>
    </w:p>
    <w:p w14:paraId="5DFB8703">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s="仿宋"/>
          <w:color w:val="auto"/>
          <w:kern w:val="0"/>
          <w:szCs w:val="21"/>
          <w:highlight w:val="none"/>
        </w:rPr>
        <w:t>1.4</w:t>
      </w:r>
      <w:r>
        <w:rPr>
          <w:rFonts w:hint="eastAsia" w:ascii="微软雅黑" w:hAnsi="微软雅黑"/>
          <w:color w:val="auto"/>
          <w:szCs w:val="21"/>
          <w:highlight w:val="none"/>
        </w:rPr>
        <w:t>对不同文字文本投标文件的解释发生异议的，以中文文本为准。</w:t>
      </w:r>
    </w:p>
    <w:p w14:paraId="6010AFF6">
      <w:pPr>
        <w:pStyle w:val="27"/>
        <w:snapToGrid w:val="0"/>
        <w:spacing w:before="120" w:after="120"/>
        <w:ind w:firstLine="420"/>
        <w:rPr>
          <w:rFonts w:hint="eastAsia" w:ascii="微软雅黑" w:hAnsi="微软雅黑"/>
          <w:b/>
          <w:bCs/>
          <w:color w:val="auto"/>
          <w:szCs w:val="21"/>
          <w:highlight w:val="none"/>
        </w:rPr>
      </w:pPr>
      <w:r>
        <w:rPr>
          <w:rFonts w:hint="eastAsia" w:ascii="微软雅黑" w:hAnsi="微软雅黑"/>
          <w:b/>
          <w:bCs/>
          <w:color w:val="auto"/>
          <w:szCs w:val="21"/>
          <w:highlight w:val="none"/>
        </w:rPr>
        <w:t>按上述修正错误的原则及方法调整或修正投标文件的投标报价，投标供应商同意并签字确认后，调整后的投标报价对投标供应商具有约束作用。如果投标供应商不接受修正后的报价，则其投标将作为无效投标处理。</w:t>
      </w:r>
    </w:p>
    <w:p w14:paraId="165DA2F2">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(2)评标委员会根据合格供应商报价得出得分汇总。</w:t>
      </w:r>
    </w:p>
    <w:p w14:paraId="7C5CC8E3">
      <w:pPr>
        <w:pStyle w:val="3"/>
        <w:ind w:firstLine="420"/>
        <w:rPr>
          <w:rFonts w:hint="eastAsia" w:ascii="微软雅黑" w:hAnsi="微软雅黑" w:cs="宋体"/>
          <w:bCs/>
          <w:color w:val="auto"/>
          <w:kern w:val="2"/>
          <w:szCs w:val="21"/>
          <w:highlight w:val="none"/>
        </w:rPr>
      </w:pPr>
      <w:bookmarkStart w:id="171" w:name="_Toc169015131"/>
      <w:bookmarkStart w:id="172" w:name="_Toc22943"/>
      <w:bookmarkStart w:id="173" w:name="_Toc164943207"/>
      <w:r>
        <w:rPr>
          <w:rFonts w:hint="eastAsia" w:ascii="微软雅黑" w:hAnsi="微软雅黑" w:cs="宋体"/>
          <w:bCs/>
          <w:color w:val="auto"/>
          <w:kern w:val="2"/>
          <w:szCs w:val="21"/>
          <w:highlight w:val="none"/>
        </w:rPr>
        <w:t>4.比较和推荐</w:t>
      </w:r>
      <w:bookmarkEnd w:id="171"/>
      <w:bookmarkEnd w:id="172"/>
      <w:bookmarkEnd w:id="173"/>
    </w:p>
    <w:p w14:paraId="3471A222">
      <w:pPr>
        <w:snapToGrid w:val="0"/>
        <w:ind w:firstLine="420"/>
        <w:rPr>
          <w:rFonts w:hint="eastAsia" w:ascii="微软雅黑" w:hAnsi="微软雅黑" w:cs="Arial"/>
          <w:color w:val="auto"/>
          <w:kern w:val="0"/>
          <w:szCs w:val="21"/>
          <w:highlight w:val="none"/>
        </w:rPr>
      </w:pPr>
      <w:r>
        <w:rPr>
          <w:rFonts w:hint="eastAsia" w:ascii="微软雅黑" w:hAnsi="微软雅黑"/>
          <w:color w:val="auto"/>
          <w:szCs w:val="21"/>
          <w:highlight w:val="none"/>
        </w:rPr>
        <w:t>评标委员会按评标原则推荐中标供应商同时起草评标报告。</w:t>
      </w:r>
    </w:p>
    <w:p w14:paraId="4537FD1B">
      <w:pPr>
        <w:snapToGrid w:val="0"/>
        <w:ind w:firstLine="420"/>
        <w:rPr>
          <w:rFonts w:hint="eastAsia" w:ascii="微软雅黑" w:hAnsi="微软雅黑"/>
          <w:b/>
          <w:color w:val="auto"/>
          <w:szCs w:val="21"/>
          <w:highlight w:val="none"/>
        </w:rPr>
      </w:pPr>
      <w:r>
        <w:rPr>
          <w:rFonts w:hint="eastAsia" w:ascii="微软雅黑" w:hAnsi="微软雅黑"/>
          <w:b/>
          <w:color w:val="auto"/>
          <w:szCs w:val="21"/>
          <w:highlight w:val="none"/>
        </w:rPr>
        <w:t>（四）澄清问题的形式</w:t>
      </w:r>
    </w:p>
    <w:p w14:paraId="5235A303">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对投标文件中含义不明确、同类问题表述不一致或者有明显文字和计算错误的内容，评标委员会可要求供应商作出必要的澄清、说明或者纠正。</w:t>
      </w:r>
    </w:p>
    <w:p w14:paraId="7962B174">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1.评标委员会可以在“政采云”平台在线询标或其他有效形式要求供应商对同一份投标文件含义不明确或同类问题表述不一致的内容（招标文件其他地方有规定处理方法的除外）作必要的澄清或说明。供应商应采用在线回复或其他有效形式在询标规定时间内进行澄清或说明，但不得超出投标文件的范围或改变投标文件的实质性内容。凡属于评标委员会在评标中发现的计算错误并进行核实的修改不在此列。</w:t>
      </w:r>
    </w:p>
    <w:p w14:paraId="19A5A8B2">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2.如果供应商代表拒绝或未按评标委员会要求在“政采云”平台作出在线回复且无其他有效回复方式的，评标委员会可以对其作出无效标处理。</w:t>
      </w:r>
    </w:p>
    <w:p w14:paraId="74453DDE">
      <w:pPr>
        <w:pStyle w:val="27"/>
        <w:tabs>
          <w:tab w:val="left" w:pos="630"/>
        </w:tabs>
        <w:snapToGrid w:val="0"/>
        <w:spacing w:before="120" w:after="12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（五）评标原则和评标办法</w:t>
      </w:r>
    </w:p>
    <w:p w14:paraId="0C157E00">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供应商接触。</w:t>
      </w:r>
    </w:p>
    <w:p w14:paraId="17D18ECA">
      <w:pPr>
        <w:pStyle w:val="27"/>
        <w:snapToGrid w:val="0"/>
        <w:spacing w:before="120" w:after="120"/>
        <w:ind w:firstLine="420"/>
        <w:rPr>
          <w:rFonts w:hint="eastAsia" w:ascii="微软雅黑" w:hAnsi="微软雅黑"/>
          <w:color w:val="auto"/>
          <w:szCs w:val="21"/>
          <w:highlight w:val="none"/>
        </w:rPr>
      </w:pPr>
      <w:r>
        <w:rPr>
          <w:rFonts w:hint="eastAsia" w:ascii="微软雅黑" w:hAnsi="微软雅黑"/>
          <w:color w:val="auto"/>
          <w:szCs w:val="21"/>
          <w:highlight w:val="none"/>
        </w:rPr>
        <w:t>2.评标办法。本项目评标办法是 综合评分法，具体评标内容及评分标准等详见《第四章：评标办法及评分标准》。</w:t>
      </w:r>
    </w:p>
    <w:p w14:paraId="275CE549">
      <w:pPr>
        <w:pStyle w:val="27"/>
        <w:snapToGrid w:val="0"/>
        <w:spacing w:before="120" w:after="120"/>
        <w:ind w:firstLine="412" w:firstLineChars="196"/>
        <w:rPr>
          <w:rFonts w:hint="eastAsia" w:ascii="微软雅黑" w:hAnsi="微软雅黑"/>
          <w:b/>
          <w:color w:val="auto"/>
          <w:szCs w:val="21"/>
          <w:highlight w:val="none"/>
        </w:rPr>
      </w:pPr>
      <w:r>
        <w:rPr>
          <w:rFonts w:hint="eastAsia" w:ascii="微软雅黑" w:hAnsi="微软雅黑"/>
          <w:b/>
          <w:color w:val="auto"/>
          <w:szCs w:val="21"/>
          <w:highlight w:val="none"/>
        </w:rPr>
        <w:t>（六）评标过程的监控</w:t>
      </w:r>
    </w:p>
    <w:p w14:paraId="358D4559">
      <w:pPr>
        <w:pStyle w:val="3"/>
        <w:spacing w:line="500" w:lineRule="exact"/>
        <w:ind w:firstLine="420"/>
        <w:rPr>
          <w:rFonts w:hint="eastAsia" w:ascii="微软雅黑" w:hAnsi="微软雅黑"/>
          <w:color w:val="auto"/>
          <w:szCs w:val="21"/>
          <w:highlight w:val="none"/>
        </w:rPr>
      </w:pPr>
      <w:bookmarkStart w:id="174" w:name="_Toc164943208"/>
      <w:bookmarkStart w:id="175" w:name="_Toc169015132"/>
      <w:bookmarkStart w:id="176" w:name="_Toc31962"/>
      <w:r>
        <w:rPr>
          <w:rFonts w:hint="eastAsia" w:ascii="微软雅黑" w:hAnsi="微软雅黑"/>
          <w:color w:val="auto"/>
          <w:szCs w:val="21"/>
          <w:highlight w:val="none"/>
        </w:rPr>
        <w:t>本项目评标过程实行全程录音、录像监控。投标供应商在评标过程中所进行的试图影响评标结果的不公正活动，可能导致其投标被拒绝</w:t>
      </w:r>
      <w:bookmarkEnd w:id="174"/>
      <w:bookmarkEnd w:id="175"/>
      <w:bookmarkEnd w:id="176"/>
    </w:p>
    <w:p w14:paraId="4564DA24">
      <w:pPr>
        <w:pStyle w:val="3"/>
        <w:spacing w:line="500" w:lineRule="exact"/>
        <w:ind w:firstLine="420"/>
        <w:rPr>
          <w:rFonts w:hint="eastAsia" w:ascii="微软雅黑" w:hAnsi="微软雅黑"/>
          <w:color w:val="auto"/>
          <w:szCs w:val="21"/>
          <w:highlight w:val="none"/>
        </w:rPr>
      </w:pPr>
      <w:bookmarkStart w:id="177" w:name="_Toc30708"/>
      <w:r>
        <w:rPr>
          <w:rFonts w:hint="eastAsia" w:ascii="微软雅黑" w:hAnsi="微软雅黑"/>
          <w:color w:val="auto"/>
          <w:szCs w:val="21"/>
          <w:highlight w:val="none"/>
        </w:rPr>
        <w:t>六、定标</w:t>
      </w:r>
      <w:bookmarkEnd w:id="167"/>
      <w:bookmarkEnd w:id="177"/>
    </w:p>
    <w:p w14:paraId="5FA93D65">
      <w:pPr>
        <w:pStyle w:val="27"/>
        <w:snapToGrid w:val="0"/>
        <w:spacing w:before="120" w:after="120"/>
        <w:ind w:firstLine="412" w:firstLineChars="196"/>
        <w:rPr>
          <w:rFonts w:hint="eastAsia" w:hAnsi="宋体"/>
          <w:b/>
          <w:bCs/>
          <w:color w:val="auto"/>
          <w:highlight w:val="none"/>
        </w:rPr>
      </w:pPr>
      <w:bookmarkStart w:id="178" w:name="_Toc33535372"/>
      <w:r>
        <w:rPr>
          <w:rFonts w:hint="eastAsia" w:hAnsi="宋体"/>
          <w:b/>
          <w:bCs/>
          <w:color w:val="auto"/>
          <w:highlight w:val="none"/>
        </w:rPr>
        <w:t>确定中标供应商：本项目由采购人确定中标供应商。</w:t>
      </w:r>
    </w:p>
    <w:p w14:paraId="0B220BD9">
      <w:pPr>
        <w:snapToGrid w:val="0"/>
        <w:ind w:firstLine="420"/>
        <w:rPr>
          <w:rFonts w:hint="eastAsia" w:ascii="宋体" w:hAnsi="宋体"/>
          <w:color w:val="auto"/>
          <w:highlight w:val="none"/>
        </w:rPr>
      </w:pPr>
      <w:r>
        <w:rPr>
          <w:rFonts w:hint="eastAsia" w:ascii="宋体" w:hAnsi="宋体"/>
          <w:color w:val="auto"/>
          <w:highlight w:val="none"/>
        </w:rPr>
        <w:t>1.代理机构在评标结束后2个工作日内将评标报告交采购人确认，同时在发布招标公告的网站上对评标结果进行公告。</w:t>
      </w:r>
    </w:p>
    <w:p w14:paraId="41C6CDA5">
      <w:pPr>
        <w:snapToGrid w:val="0"/>
        <w:ind w:firstLine="420"/>
        <w:rPr>
          <w:rFonts w:hint="eastAsia" w:ascii="宋体" w:hAnsi="宋体"/>
          <w:color w:val="auto"/>
          <w:highlight w:val="none"/>
        </w:rPr>
      </w:pPr>
      <w:r>
        <w:rPr>
          <w:rFonts w:hint="eastAsia" w:ascii="宋体" w:hAnsi="宋体"/>
          <w:color w:val="auto"/>
          <w:highlight w:val="none"/>
        </w:rPr>
        <w:t>2.投标供应商对评标结果无异议的，采购人应在收到评标报告后5个工作日内对评标结果进行确认。如有投标供应商对评标结果提出质疑的，采购人可在质疑处理完毕后确定中标供应商。</w:t>
      </w:r>
    </w:p>
    <w:p w14:paraId="6050C812">
      <w:pPr>
        <w:snapToGrid w:val="0"/>
        <w:ind w:firstLine="420"/>
        <w:rPr>
          <w:rFonts w:hint="eastAsia" w:ascii="宋体" w:hAnsi="宋体"/>
          <w:color w:val="auto"/>
          <w:highlight w:val="none"/>
        </w:rPr>
      </w:pPr>
      <w:r>
        <w:rPr>
          <w:rFonts w:hint="eastAsia" w:ascii="宋体" w:hAnsi="宋体"/>
          <w:color w:val="auto"/>
          <w:highlight w:val="none"/>
        </w:rPr>
        <w:t>3.在公告中标结果的同时，代理机构在政采云系统向中标供应商发出中标通知书。</w:t>
      </w:r>
    </w:p>
    <w:p w14:paraId="0B5E2191">
      <w:pPr>
        <w:pStyle w:val="3"/>
        <w:spacing w:line="500" w:lineRule="exact"/>
        <w:ind w:firstLine="420"/>
        <w:rPr>
          <w:rFonts w:hint="eastAsia" w:ascii="微软雅黑" w:hAnsi="微软雅黑"/>
          <w:color w:val="auto"/>
          <w:szCs w:val="21"/>
          <w:highlight w:val="none"/>
        </w:rPr>
      </w:pPr>
      <w:bookmarkStart w:id="179" w:name="_Toc4086"/>
      <w:r>
        <w:rPr>
          <w:rFonts w:hint="eastAsia" w:ascii="微软雅黑" w:hAnsi="微软雅黑"/>
          <w:color w:val="auto"/>
          <w:szCs w:val="21"/>
          <w:highlight w:val="none"/>
        </w:rPr>
        <w:t>七、合同授予</w:t>
      </w:r>
      <w:bookmarkEnd w:id="178"/>
      <w:bookmarkEnd w:id="179"/>
    </w:p>
    <w:p w14:paraId="42909E8E">
      <w:pPr>
        <w:snapToGrid w:val="0"/>
        <w:ind w:firstLine="420"/>
        <w:rPr>
          <w:rFonts w:hint="eastAsia" w:ascii="微软雅黑" w:hAnsi="微软雅黑"/>
          <w:color w:val="auto"/>
          <w:highlight w:val="none"/>
        </w:rPr>
      </w:pPr>
      <w:r>
        <w:rPr>
          <w:rFonts w:hint="eastAsia" w:ascii="微软雅黑" w:hAnsi="微软雅黑"/>
          <w:color w:val="auto"/>
          <w:highlight w:val="none"/>
        </w:rPr>
        <w:t>1.采购人与中标供应商应当在《中标通知书》发出之日起30日内签订政府采购合同。</w:t>
      </w:r>
    </w:p>
    <w:p w14:paraId="554067C3">
      <w:pPr>
        <w:snapToGrid w:val="0"/>
        <w:ind w:firstLine="420"/>
        <w:rPr>
          <w:rFonts w:hint="eastAsia" w:ascii="微软雅黑" w:hAnsi="微软雅黑"/>
          <w:color w:val="auto"/>
          <w:highlight w:val="none"/>
        </w:rPr>
      </w:pPr>
      <w:r>
        <w:rPr>
          <w:rFonts w:hint="eastAsia" w:ascii="微软雅黑" w:hAnsi="微软雅黑"/>
          <w:color w:val="auto"/>
          <w:highlight w:val="none"/>
        </w:rPr>
        <w:t>２.中标供应商拖延、拒签合同的，将被取消中标资格，并报监督管理部门依法处理。</w:t>
      </w:r>
    </w:p>
    <w:p w14:paraId="51B3367F">
      <w:pPr>
        <w:snapToGrid w:val="0"/>
        <w:ind w:firstLine="420"/>
        <w:rPr>
          <w:rFonts w:hint="eastAsia" w:ascii="微软雅黑" w:hAnsi="微软雅黑"/>
          <w:color w:val="auto"/>
          <w:highlight w:val="none"/>
        </w:rPr>
      </w:pPr>
      <w:r>
        <w:rPr>
          <w:rFonts w:hint="eastAsia" w:ascii="微软雅黑" w:hAnsi="微软雅黑"/>
          <w:color w:val="auto"/>
          <w:highlight w:val="none"/>
        </w:rPr>
        <w:t>3.采购人须在本项目政府采购合同签订之日起2个工作日内将合同发布于浙江政府采购网，但政府采购合同中涉及国家秘密、商业秘密的内容除外。</w:t>
      </w:r>
    </w:p>
    <w:p w14:paraId="1A0D87C0">
      <w:pPr>
        <w:pStyle w:val="3"/>
        <w:spacing w:line="500" w:lineRule="exact"/>
        <w:ind w:firstLine="420"/>
        <w:rPr>
          <w:rFonts w:hint="eastAsia" w:ascii="微软雅黑" w:hAnsi="微软雅黑"/>
          <w:color w:val="auto"/>
          <w:szCs w:val="21"/>
          <w:highlight w:val="none"/>
        </w:rPr>
      </w:pPr>
      <w:bookmarkStart w:id="180" w:name="_Toc17646"/>
      <w:r>
        <w:rPr>
          <w:rFonts w:hint="eastAsia" w:ascii="微软雅黑" w:hAnsi="微软雅黑"/>
          <w:color w:val="auto"/>
          <w:szCs w:val="21"/>
          <w:highlight w:val="none"/>
        </w:rPr>
        <w:t>八、验收</w:t>
      </w:r>
      <w:bookmarkEnd w:id="180"/>
    </w:p>
    <w:p w14:paraId="3BEA7922">
      <w:pPr>
        <w:snapToGrid w:val="0"/>
        <w:ind w:firstLine="420"/>
        <w:rPr>
          <w:rFonts w:hint="eastAsia" w:ascii="微软雅黑" w:hAnsi="微软雅黑" w:cs="宋体"/>
          <w:color w:val="auto"/>
          <w:highlight w:val="none"/>
        </w:rPr>
      </w:pPr>
      <w:r>
        <w:rPr>
          <w:rFonts w:hint="eastAsia" w:ascii="微软雅黑" w:hAnsi="微软雅黑" w:cs="宋体"/>
          <w:color w:val="auto"/>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6292225E">
      <w:pPr>
        <w:snapToGrid w:val="0"/>
        <w:ind w:firstLine="420"/>
        <w:rPr>
          <w:rFonts w:hint="eastAsia" w:ascii="微软雅黑" w:hAnsi="微软雅黑" w:cs="宋体"/>
          <w:color w:val="auto"/>
          <w:highlight w:val="none"/>
        </w:rPr>
      </w:pPr>
      <w:r>
        <w:rPr>
          <w:rFonts w:hint="eastAsia" w:ascii="微软雅黑" w:hAnsi="微软雅黑" w:cs="宋体"/>
          <w:color w:val="auto"/>
          <w:highlight w:val="none"/>
        </w:rPr>
        <w:t>2.采购人可以邀请参加本项目的其他投标供应商或者第三方机构参与验收。参与验收的投标供应商或者第三方机构的意见作为验收书的参考资料一并存档。</w:t>
      </w:r>
    </w:p>
    <w:p w14:paraId="2669F432">
      <w:pPr>
        <w:snapToGrid w:val="0"/>
        <w:ind w:firstLine="420"/>
        <w:rPr>
          <w:rFonts w:hint="eastAsia" w:ascii="微软雅黑" w:hAnsi="微软雅黑" w:cs="宋体"/>
          <w:color w:val="auto"/>
          <w:highlight w:val="none"/>
        </w:rPr>
      </w:pPr>
      <w:r>
        <w:rPr>
          <w:rFonts w:hint="eastAsia" w:ascii="微软雅黑" w:hAnsi="微软雅黑" w:cs="宋体"/>
          <w:color w:val="auto"/>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C87BA4F">
      <w:pPr>
        <w:snapToGrid w:val="0"/>
        <w:ind w:firstLine="420"/>
        <w:rPr>
          <w:color w:val="auto"/>
          <w:highlight w:val="none"/>
        </w:rPr>
      </w:pPr>
      <w:r>
        <w:rPr>
          <w:rFonts w:hint="eastAsia" w:ascii="微软雅黑" w:hAnsi="微软雅黑" w:cs="宋体"/>
          <w:color w:val="auto"/>
          <w:highlight w:val="none"/>
        </w:rPr>
        <w:t>4.验收合格的项目，采购人将根据采购合同的约定及时向供应商支付采购资金、退还履约保证金（若有）。验收不合格的项目，采购人将依法及时处理。采购合同的履行、违约责任和解决争议的方式等适用《中华人民共和国民法典》。供应商在履约过程中有政府采购法律法规规定的违法违规情形的，采购人应当及时报告本级财政部</w:t>
      </w:r>
      <w:bookmarkStart w:id="181" w:name="_Hlt68403820"/>
      <w:bookmarkEnd w:id="181"/>
      <w:bookmarkStart w:id="182" w:name="_Hlt75236290"/>
      <w:bookmarkEnd w:id="182"/>
      <w:bookmarkStart w:id="183" w:name="_Hlt74714665"/>
      <w:bookmarkEnd w:id="183"/>
      <w:bookmarkStart w:id="184" w:name="_Hlt74729768"/>
      <w:bookmarkEnd w:id="184"/>
      <w:bookmarkStart w:id="185" w:name="_Hlt74707468"/>
      <w:bookmarkEnd w:id="185"/>
      <w:bookmarkStart w:id="186" w:name="_Hlt68072998"/>
      <w:bookmarkEnd w:id="186"/>
      <w:bookmarkStart w:id="187" w:name="_Hlt68057669"/>
      <w:bookmarkEnd w:id="187"/>
      <w:bookmarkStart w:id="188" w:name="_Hlt74730295"/>
      <w:bookmarkEnd w:id="188"/>
      <w:bookmarkStart w:id="189" w:name="_Hlt68072990"/>
      <w:bookmarkEnd w:id="189"/>
      <w:bookmarkStart w:id="190" w:name="_Hlt75236011"/>
      <w:bookmarkEnd w:id="190"/>
      <w:bookmarkStart w:id="191" w:name="_Hlt75236101"/>
      <w:bookmarkEnd w:id="191"/>
      <w:bookmarkStart w:id="192" w:name="_Hlt68073093"/>
      <w:bookmarkEnd w:id="192"/>
      <w:r>
        <w:rPr>
          <w:rFonts w:hint="eastAsia" w:ascii="微软雅黑" w:hAnsi="微软雅黑" w:cs="宋体"/>
          <w:color w:val="auto"/>
          <w:highlight w:val="none"/>
        </w:rPr>
        <w:t>部门。</w:t>
      </w:r>
    </w:p>
    <w:p w14:paraId="3B0EB7EE">
      <w:pPr>
        <w:pStyle w:val="3"/>
        <w:spacing w:line="500" w:lineRule="exact"/>
        <w:ind w:firstLine="420"/>
        <w:rPr>
          <w:rFonts w:hint="eastAsia" w:ascii="微软雅黑" w:hAnsi="微软雅黑"/>
          <w:color w:val="auto"/>
          <w:szCs w:val="21"/>
          <w:highlight w:val="none"/>
        </w:rPr>
      </w:pPr>
      <w:bookmarkStart w:id="193" w:name="_Toc9282"/>
      <w:r>
        <w:rPr>
          <w:rFonts w:hint="eastAsia" w:ascii="微软雅黑" w:hAnsi="微软雅黑"/>
          <w:color w:val="auto"/>
          <w:szCs w:val="21"/>
          <w:highlight w:val="none"/>
        </w:rPr>
        <w:t>九、招标代理费</w:t>
      </w:r>
      <w:bookmarkEnd w:id="130"/>
      <w:bookmarkEnd w:id="193"/>
    </w:p>
    <w:p w14:paraId="0D40E494">
      <w:pPr>
        <w:spacing w:line="500" w:lineRule="exact"/>
        <w:ind w:firstLine="420"/>
        <w:rPr>
          <w:rFonts w:hint="eastAsia" w:ascii="微软雅黑" w:hAnsi="微软雅黑"/>
          <w:color w:val="auto"/>
          <w:szCs w:val="21"/>
          <w:highlight w:val="none"/>
        </w:rPr>
      </w:pPr>
      <w:bookmarkStart w:id="194" w:name="_Toc493511752"/>
      <w:r>
        <w:rPr>
          <w:rFonts w:hint="eastAsia" w:ascii="微软雅黑" w:hAnsi="微软雅黑"/>
          <w:color w:val="auto"/>
          <w:szCs w:val="21"/>
          <w:highlight w:val="none"/>
        </w:rPr>
        <w:t>1、根据“国家发展和改革委员会办公厅《关于招标代理服务收费有关问题的通知》（发改办价格【2003】857号、财库【2018】2号第十五条）”规定，招标代理机构向中标人收取招标代理服务费。</w:t>
      </w:r>
    </w:p>
    <w:p w14:paraId="4E749DCF">
      <w:pPr>
        <w:spacing w:line="500" w:lineRule="exact"/>
        <w:ind w:firstLine="420"/>
        <w:rPr>
          <w:rFonts w:hint="eastAsia" w:ascii="微软雅黑" w:hAnsi="微软雅黑"/>
          <w:color w:val="auto"/>
          <w:szCs w:val="21"/>
          <w:highlight w:val="none"/>
        </w:rPr>
      </w:pPr>
      <w:r>
        <w:rPr>
          <w:rFonts w:hint="eastAsia" w:ascii="微软雅黑" w:hAnsi="微软雅黑"/>
          <w:color w:val="auto"/>
          <w:szCs w:val="21"/>
          <w:highlight w:val="none"/>
        </w:rPr>
        <w:t>2、中标人应在收取《中标通知书》时向采购代理机构交纳招标代理服务费，服务费的收费标准按浙价服〔2003〕77号文规定计算</w:t>
      </w:r>
      <w:bookmarkEnd w:id="194"/>
    </w:p>
    <w:tbl>
      <w:tblPr>
        <w:tblStyle w:val="54"/>
        <w:tblW w:w="6480"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2160"/>
        <w:gridCol w:w="2160"/>
        <w:gridCol w:w="2160"/>
      </w:tblGrid>
      <w:tr w14:paraId="2F44BF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384" w:hRule="atLeast"/>
          <w:jc w:val="center"/>
        </w:trPr>
        <w:tc>
          <w:tcPr>
            <w:tcW w:w="2160" w:type="dxa"/>
            <w:tcBorders>
              <w:top w:val="double" w:color="auto" w:sz="4" w:space="0"/>
              <w:left w:val="double" w:color="auto" w:sz="4" w:space="0"/>
              <w:bottom w:val="single" w:color="auto" w:sz="6" w:space="0"/>
              <w:right w:val="single" w:color="auto" w:sz="6" w:space="0"/>
            </w:tcBorders>
            <w:shd w:val="clear" w:color="auto" w:fill="D9D9D9"/>
            <w:vAlign w:val="center"/>
          </w:tcPr>
          <w:p w14:paraId="23360EDE">
            <w:pPr>
              <w:spacing w:line="240" w:lineRule="auto"/>
              <w:ind w:firstLine="0" w:firstLineChars="0"/>
              <w:rPr>
                <w:rFonts w:hint="eastAsia" w:ascii="微软雅黑" w:hAnsi="微软雅黑"/>
                <w:color w:val="auto"/>
                <w:szCs w:val="21"/>
                <w:highlight w:val="none"/>
              </w:rPr>
            </w:pPr>
            <w:bookmarkStart w:id="195" w:name="_Toc493511753"/>
            <w:r>
              <w:rPr>
                <w:rFonts w:hint="eastAsia" w:ascii="微软雅黑" w:hAnsi="微软雅黑"/>
                <w:color w:val="auto"/>
                <w:szCs w:val="21"/>
                <w:highlight w:val="none"/>
              </w:rPr>
              <w:t>中标金额（万元）</w:t>
            </w:r>
            <w:bookmarkEnd w:id="195"/>
          </w:p>
        </w:tc>
        <w:tc>
          <w:tcPr>
            <w:tcW w:w="2160" w:type="dxa"/>
            <w:tcBorders>
              <w:top w:val="double" w:color="auto" w:sz="4" w:space="0"/>
              <w:left w:val="single" w:color="auto" w:sz="6" w:space="0"/>
              <w:bottom w:val="single" w:color="auto" w:sz="6" w:space="0"/>
              <w:right w:val="single" w:color="auto" w:sz="6" w:space="0"/>
            </w:tcBorders>
            <w:shd w:val="clear" w:color="auto" w:fill="D9D9D9"/>
            <w:vAlign w:val="center"/>
          </w:tcPr>
          <w:p w14:paraId="300B4B8E">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货物招标收费费率</w:t>
            </w:r>
          </w:p>
        </w:tc>
        <w:tc>
          <w:tcPr>
            <w:tcW w:w="2160" w:type="dxa"/>
            <w:tcBorders>
              <w:top w:val="double" w:color="auto" w:sz="4" w:space="0"/>
              <w:left w:val="single" w:color="auto" w:sz="6" w:space="0"/>
              <w:bottom w:val="single" w:color="auto" w:sz="6" w:space="0"/>
              <w:right w:val="double" w:color="auto" w:sz="4" w:space="0"/>
            </w:tcBorders>
            <w:shd w:val="clear" w:color="auto" w:fill="D9D9D9"/>
          </w:tcPr>
          <w:p w14:paraId="0C21E3E6">
            <w:pPr>
              <w:spacing w:line="240" w:lineRule="auto"/>
              <w:ind w:firstLine="0" w:firstLineChars="0"/>
              <w:rPr>
                <w:rFonts w:hint="eastAsia" w:ascii="微软雅黑" w:hAnsi="微软雅黑"/>
                <w:color w:val="auto"/>
                <w:szCs w:val="21"/>
                <w:highlight w:val="none"/>
              </w:rPr>
            </w:pPr>
            <w:bookmarkStart w:id="196" w:name="_Toc493511754"/>
            <w:r>
              <w:rPr>
                <w:rFonts w:hint="eastAsia" w:ascii="微软雅黑" w:hAnsi="微软雅黑"/>
                <w:color w:val="auto"/>
                <w:szCs w:val="21"/>
                <w:highlight w:val="none"/>
              </w:rPr>
              <w:t>服务类招标收费费率</w:t>
            </w:r>
            <w:bookmarkEnd w:id="196"/>
          </w:p>
        </w:tc>
      </w:tr>
      <w:tr w14:paraId="05AF14C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1F52AC37">
            <w:pPr>
              <w:spacing w:line="240" w:lineRule="auto"/>
              <w:ind w:firstLine="0" w:firstLineChars="0"/>
              <w:rPr>
                <w:rFonts w:hint="eastAsia" w:ascii="微软雅黑" w:hAnsi="微软雅黑"/>
                <w:color w:val="auto"/>
                <w:szCs w:val="21"/>
                <w:highlight w:val="none"/>
              </w:rPr>
            </w:pPr>
            <w:bookmarkStart w:id="197" w:name="_Toc493511755"/>
            <w:r>
              <w:rPr>
                <w:rFonts w:hint="eastAsia" w:ascii="微软雅黑" w:hAnsi="微软雅黑"/>
                <w:color w:val="auto"/>
                <w:szCs w:val="21"/>
                <w:highlight w:val="none"/>
              </w:rPr>
              <w:t>100以下</w:t>
            </w:r>
            <w:bookmarkEnd w:id="197"/>
          </w:p>
        </w:tc>
        <w:tc>
          <w:tcPr>
            <w:tcW w:w="2160" w:type="dxa"/>
            <w:tcBorders>
              <w:top w:val="single" w:color="auto" w:sz="6" w:space="0"/>
              <w:left w:val="single" w:color="auto" w:sz="6" w:space="0"/>
              <w:bottom w:val="single" w:color="auto" w:sz="6" w:space="0"/>
              <w:right w:val="single" w:color="auto" w:sz="6" w:space="0"/>
            </w:tcBorders>
          </w:tcPr>
          <w:p w14:paraId="70482725">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1.5%</w:t>
            </w:r>
          </w:p>
        </w:tc>
        <w:tc>
          <w:tcPr>
            <w:tcW w:w="2160" w:type="dxa"/>
            <w:tcBorders>
              <w:top w:val="single" w:color="auto" w:sz="6" w:space="0"/>
              <w:left w:val="single" w:color="auto" w:sz="6" w:space="0"/>
              <w:bottom w:val="single" w:color="auto" w:sz="6" w:space="0"/>
              <w:right w:val="double" w:color="auto" w:sz="4" w:space="0"/>
            </w:tcBorders>
            <w:vAlign w:val="center"/>
          </w:tcPr>
          <w:p w14:paraId="5F3F186A">
            <w:pPr>
              <w:spacing w:line="240" w:lineRule="auto"/>
              <w:ind w:firstLine="0" w:firstLineChars="0"/>
              <w:rPr>
                <w:rFonts w:hint="eastAsia" w:ascii="微软雅黑" w:hAnsi="微软雅黑"/>
                <w:color w:val="auto"/>
                <w:szCs w:val="21"/>
                <w:highlight w:val="none"/>
              </w:rPr>
            </w:pPr>
            <w:bookmarkStart w:id="198" w:name="_Toc493511756"/>
            <w:r>
              <w:rPr>
                <w:rFonts w:hint="eastAsia" w:ascii="微软雅黑" w:hAnsi="微软雅黑"/>
                <w:color w:val="auto"/>
                <w:szCs w:val="21"/>
                <w:highlight w:val="none"/>
              </w:rPr>
              <w:t>1.5％</w:t>
            </w:r>
            <w:bookmarkEnd w:id="198"/>
          </w:p>
        </w:tc>
      </w:tr>
      <w:tr w14:paraId="5AA21D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7AC4E0C1">
            <w:pPr>
              <w:spacing w:line="240" w:lineRule="auto"/>
              <w:ind w:firstLine="0" w:firstLineChars="0"/>
              <w:rPr>
                <w:rFonts w:hint="eastAsia" w:ascii="微软雅黑" w:hAnsi="微软雅黑"/>
                <w:color w:val="auto"/>
                <w:szCs w:val="21"/>
                <w:highlight w:val="none"/>
              </w:rPr>
            </w:pPr>
            <w:bookmarkStart w:id="199" w:name="_Toc493511757"/>
            <w:r>
              <w:rPr>
                <w:rFonts w:hint="eastAsia" w:ascii="微软雅黑" w:hAnsi="微软雅黑"/>
                <w:color w:val="auto"/>
                <w:szCs w:val="21"/>
                <w:highlight w:val="none"/>
              </w:rPr>
              <w:t>100-500</w:t>
            </w:r>
            <w:bookmarkEnd w:id="199"/>
          </w:p>
        </w:tc>
        <w:tc>
          <w:tcPr>
            <w:tcW w:w="2160" w:type="dxa"/>
            <w:tcBorders>
              <w:top w:val="single" w:color="auto" w:sz="6" w:space="0"/>
              <w:left w:val="single" w:color="auto" w:sz="6" w:space="0"/>
              <w:bottom w:val="single" w:color="auto" w:sz="6" w:space="0"/>
              <w:right w:val="single" w:color="auto" w:sz="6" w:space="0"/>
            </w:tcBorders>
          </w:tcPr>
          <w:p w14:paraId="37D87797">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1.1%</w:t>
            </w:r>
          </w:p>
        </w:tc>
        <w:tc>
          <w:tcPr>
            <w:tcW w:w="2160" w:type="dxa"/>
            <w:tcBorders>
              <w:top w:val="single" w:color="auto" w:sz="6" w:space="0"/>
              <w:left w:val="single" w:color="auto" w:sz="6" w:space="0"/>
              <w:bottom w:val="single" w:color="auto" w:sz="6" w:space="0"/>
              <w:right w:val="double" w:color="auto" w:sz="4" w:space="0"/>
            </w:tcBorders>
            <w:vAlign w:val="center"/>
          </w:tcPr>
          <w:p w14:paraId="323A1567">
            <w:pPr>
              <w:spacing w:line="240" w:lineRule="auto"/>
              <w:ind w:firstLine="0" w:firstLineChars="0"/>
              <w:rPr>
                <w:rFonts w:hint="eastAsia" w:ascii="微软雅黑" w:hAnsi="微软雅黑"/>
                <w:color w:val="auto"/>
                <w:szCs w:val="21"/>
                <w:highlight w:val="none"/>
              </w:rPr>
            </w:pPr>
            <w:bookmarkStart w:id="200" w:name="_Toc493511758"/>
            <w:r>
              <w:rPr>
                <w:rFonts w:hint="eastAsia" w:ascii="微软雅黑" w:hAnsi="微软雅黑"/>
                <w:color w:val="auto"/>
                <w:szCs w:val="21"/>
                <w:highlight w:val="none"/>
              </w:rPr>
              <w:t>0.8％</w:t>
            </w:r>
            <w:bookmarkEnd w:id="200"/>
          </w:p>
        </w:tc>
      </w:tr>
      <w:tr w14:paraId="03BFAF1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jc w:val="center"/>
        </w:trPr>
        <w:tc>
          <w:tcPr>
            <w:tcW w:w="2160" w:type="dxa"/>
            <w:tcBorders>
              <w:top w:val="single" w:color="auto" w:sz="6" w:space="0"/>
              <w:left w:val="double" w:color="auto" w:sz="4" w:space="0"/>
              <w:bottom w:val="single" w:color="auto" w:sz="6" w:space="0"/>
              <w:right w:val="single" w:color="auto" w:sz="6" w:space="0"/>
            </w:tcBorders>
          </w:tcPr>
          <w:p w14:paraId="4CEA70C4">
            <w:pPr>
              <w:spacing w:line="240" w:lineRule="auto"/>
              <w:ind w:firstLine="0" w:firstLineChars="0"/>
              <w:rPr>
                <w:rFonts w:hint="eastAsia" w:ascii="微软雅黑" w:hAnsi="微软雅黑"/>
                <w:color w:val="auto"/>
                <w:szCs w:val="21"/>
                <w:highlight w:val="none"/>
              </w:rPr>
            </w:pPr>
            <w:bookmarkStart w:id="201" w:name="_Toc493511759"/>
            <w:r>
              <w:rPr>
                <w:rFonts w:hint="eastAsia" w:ascii="微软雅黑" w:hAnsi="微软雅黑"/>
                <w:color w:val="auto"/>
                <w:szCs w:val="21"/>
                <w:highlight w:val="none"/>
              </w:rPr>
              <w:t>500-1000</w:t>
            </w:r>
            <w:bookmarkEnd w:id="201"/>
          </w:p>
        </w:tc>
        <w:tc>
          <w:tcPr>
            <w:tcW w:w="2160" w:type="dxa"/>
            <w:tcBorders>
              <w:top w:val="single" w:color="auto" w:sz="6" w:space="0"/>
              <w:left w:val="single" w:color="auto" w:sz="6" w:space="0"/>
              <w:bottom w:val="single" w:color="auto" w:sz="6" w:space="0"/>
              <w:right w:val="single" w:color="auto" w:sz="6" w:space="0"/>
            </w:tcBorders>
          </w:tcPr>
          <w:p w14:paraId="08001859">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0.8%</w:t>
            </w:r>
          </w:p>
        </w:tc>
        <w:tc>
          <w:tcPr>
            <w:tcW w:w="2160" w:type="dxa"/>
            <w:tcBorders>
              <w:top w:val="single" w:color="auto" w:sz="6" w:space="0"/>
              <w:left w:val="single" w:color="auto" w:sz="6" w:space="0"/>
              <w:bottom w:val="single" w:color="auto" w:sz="6" w:space="0"/>
              <w:right w:val="double" w:color="auto" w:sz="4" w:space="0"/>
            </w:tcBorders>
            <w:vAlign w:val="center"/>
          </w:tcPr>
          <w:p w14:paraId="72089AE9">
            <w:pPr>
              <w:spacing w:line="240" w:lineRule="auto"/>
              <w:ind w:firstLine="0" w:firstLineChars="0"/>
              <w:rPr>
                <w:rFonts w:hint="eastAsia" w:ascii="微软雅黑" w:hAnsi="微软雅黑"/>
                <w:color w:val="auto"/>
                <w:szCs w:val="21"/>
                <w:highlight w:val="none"/>
              </w:rPr>
            </w:pPr>
            <w:bookmarkStart w:id="202" w:name="_Toc493511760"/>
            <w:r>
              <w:rPr>
                <w:rFonts w:hint="eastAsia" w:ascii="微软雅黑" w:hAnsi="微软雅黑"/>
                <w:color w:val="auto"/>
                <w:szCs w:val="21"/>
                <w:highlight w:val="none"/>
              </w:rPr>
              <w:t>0.45％</w:t>
            </w:r>
            <w:bookmarkEnd w:id="202"/>
          </w:p>
        </w:tc>
      </w:tr>
    </w:tbl>
    <w:p w14:paraId="51C134B0">
      <w:pPr>
        <w:spacing w:line="500" w:lineRule="exact"/>
        <w:ind w:firstLine="420"/>
        <w:rPr>
          <w:rFonts w:hint="eastAsia" w:ascii="微软雅黑" w:hAnsi="微软雅黑"/>
          <w:color w:val="auto"/>
          <w:szCs w:val="21"/>
          <w:highlight w:val="none"/>
        </w:rPr>
      </w:pPr>
      <w:bookmarkStart w:id="203" w:name="_Toc493511761"/>
      <w:r>
        <w:rPr>
          <w:rFonts w:hint="eastAsia" w:ascii="微软雅黑" w:hAnsi="微软雅黑"/>
          <w:color w:val="auto"/>
          <w:szCs w:val="21"/>
          <w:highlight w:val="none"/>
        </w:rPr>
        <w:t>例如：某项目服务类招标代理业务中标金额为900万元，计算中标服务费收费额如下：</w:t>
      </w:r>
      <w:bookmarkEnd w:id="203"/>
    </w:p>
    <w:p w14:paraId="1E837D2D">
      <w:pPr>
        <w:spacing w:line="500" w:lineRule="exact"/>
        <w:ind w:firstLine="420"/>
        <w:rPr>
          <w:rFonts w:hint="eastAsia" w:ascii="微软雅黑" w:hAnsi="微软雅黑"/>
          <w:color w:val="auto"/>
          <w:szCs w:val="21"/>
          <w:highlight w:val="none"/>
        </w:rPr>
      </w:pPr>
      <w:bookmarkStart w:id="204" w:name="_Toc493511762"/>
      <w:r>
        <w:rPr>
          <w:rFonts w:hint="eastAsia" w:ascii="微软雅黑" w:hAnsi="微软雅黑"/>
          <w:color w:val="auto"/>
          <w:szCs w:val="21"/>
          <w:highlight w:val="none"/>
        </w:rPr>
        <w:t>100万元 × 1.5% = 1.5万元</w:t>
      </w:r>
      <w:bookmarkEnd w:id="204"/>
    </w:p>
    <w:p w14:paraId="4623414A">
      <w:pPr>
        <w:spacing w:line="500" w:lineRule="exact"/>
        <w:ind w:firstLine="420"/>
        <w:rPr>
          <w:rFonts w:hint="eastAsia" w:ascii="微软雅黑" w:hAnsi="微软雅黑"/>
          <w:color w:val="auto"/>
          <w:szCs w:val="21"/>
          <w:highlight w:val="none"/>
        </w:rPr>
      </w:pPr>
      <w:bookmarkStart w:id="205" w:name="_Toc493511763"/>
      <w:r>
        <w:rPr>
          <w:rFonts w:hint="eastAsia" w:ascii="微软雅黑" w:hAnsi="微软雅黑"/>
          <w:color w:val="auto"/>
          <w:szCs w:val="21"/>
          <w:highlight w:val="none"/>
        </w:rPr>
        <w:t>（500-100）万元 × 0.8% = 3.2万元</w:t>
      </w:r>
      <w:bookmarkEnd w:id="205"/>
    </w:p>
    <w:p w14:paraId="1684471E">
      <w:pPr>
        <w:spacing w:line="500" w:lineRule="exact"/>
        <w:ind w:firstLine="420"/>
        <w:rPr>
          <w:rFonts w:hint="eastAsia" w:ascii="微软雅黑" w:hAnsi="微软雅黑"/>
          <w:color w:val="auto"/>
          <w:szCs w:val="21"/>
          <w:highlight w:val="none"/>
        </w:rPr>
      </w:pPr>
      <w:bookmarkStart w:id="206" w:name="_Toc493511764"/>
      <w:r>
        <w:rPr>
          <w:rFonts w:hint="eastAsia" w:ascii="微软雅黑" w:hAnsi="微软雅黑"/>
          <w:color w:val="auto"/>
          <w:szCs w:val="21"/>
          <w:highlight w:val="none"/>
        </w:rPr>
        <w:t>（900-500）万元×0.45% = 1.8万元</w:t>
      </w:r>
      <w:bookmarkEnd w:id="206"/>
    </w:p>
    <w:p w14:paraId="0894D2AF">
      <w:pPr>
        <w:spacing w:line="500" w:lineRule="exact"/>
        <w:ind w:firstLine="420"/>
        <w:rPr>
          <w:rFonts w:hint="eastAsia" w:ascii="微软雅黑" w:hAnsi="微软雅黑"/>
          <w:color w:val="auto"/>
          <w:szCs w:val="21"/>
          <w:highlight w:val="none"/>
        </w:rPr>
      </w:pPr>
      <w:bookmarkStart w:id="207" w:name="_Toc493511765"/>
      <w:r>
        <w:rPr>
          <w:rFonts w:hint="eastAsia" w:ascii="微软雅黑" w:hAnsi="微软雅黑"/>
          <w:color w:val="auto"/>
          <w:szCs w:val="21"/>
          <w:highlight w:val="none"/>
        </w:rPr>
        <w:t>计收费 = 1.5万元 + 3.2万元+1.8万元 = 6.5万元</w:t>
      </w:r>
      <w:bookmarkEnd w:id="207"/>
    </w:p>
    <w:p w14:paraId="5DA06499">
      <w:pPr>
        <w:spacing w:line="500" w:lineRule="exact"/>
        <w:ind w:firstLine="420"/>
        <w:rPr>
          <w:rFonts w:hint="eastAsia" w:ascii="微软雅黑" w:hAnsi="微软雅黑"/>
          <w:color w:val="auto"/>
          <w:szCs w:val="21"/>
          <w:highlight w:val="none"/>
        </w:rPr>
      </w:pPr>
      <w:bookmarkStart w:id="208" w:name="_Toc493511766"/>
      <w:r>
        <w:rPr>
          <w:rFonts w:ascii="微软雅黑" w:hAnsi="微软雅黑"/>
          <w:color w:val="auto"/>
          <w:szCs w:val="21"/>
          <w:highlight w:val="none"/>
        </w:rPr>
        <w:t>3、</w:t>
      </w:r>
      <w:bookmarkEnd w:id="208"/>
      <w:r>
        <w:rPr>
          <w:rFonts w:hint="eastAsia" w:ascii="微软雅黑" w:hAnsi="微软雅黑" w:eastAsia="微软雅黑" w:cs="微软雅黑"/>
          <w:color w:val="auto"/>
          <w:szCs w:val="21"/>
          <w:highlight w:val="none"/>
        </w:rPr>
        <w:t>本项目以服务类招标收费标准的</w:t>
      </w:r>
      <w:r>
        <w:rPr>
          <w:rFonts w:hint="eastAsia" w:ascii="微软雅黑" w:hAnsi="微软雅黑" w:cs="微软雅黑"/>
          <w:color w:val="auto"/>
          <w:szCs w:val="21"/>
          <w:highlight w:val="none"/>
          <w:lang w:val="en-US" w:eastAsia="zh-CN"/>
        </w:rPr>
        <w:t>45.</w:t>
      </w:r>
      <w:r>
        <w:rPr>
          <w:rFonts w:hint="eastAsia" w:ascii="微软雅黑" w:hAnsi="微软雅黑" w:eastAsia="微软雅黑" w:cs="微软雅黑"/>
          <w:color w:val="auto"/>
          <w:szCs w:val="21"/>
          <w:highlight w:val="none"/>
        </w:rPr>
        <w:t>00%收取招标代理服务费服务费，</w:t>
      </w:r>
      <w:r>
        <w:rPr>
          <w:rFonts w:hint="eastAsia" w:ascii="微软雅黑" w:hAnsi="微软雅黑" w:eastAsia="微软雅黑" w:cs="微软雅黑"/>
          <w:bCs/>
          <w:color w:val="auto"/>
          <w:szCs w:val="21"/>
          <w:highlight w:val="none"/>
          <w:lang w:val="zh-CN"/>
        </w:rPr>
        <w:t>对于招标代理服务费不足</w:t>
      </w:r>
      <w:r>
        <w:rPr>
          <w:rFonts w:hint="eastAsia" w:ascii="微软雅黑" w:hAnsi="微软雅黑" w:cs="微软雅黑"/>
          <w:bCs/>
          <w:color w:val="auto"/>
          <w:szCs w:val="21"/>
          <w:highlight w:val="none"/>
          <w:lang w:val="en-US" w:eastAsia="zh-CN"/>
        </w:rPr>
        <w:t>50</w:t>
      </w:r>
      <w:r>
        <w:rPr>
          <w:rFonts w:hint="eastAsia" w:ascii="微软雅黑" w:hAnsi="微软雅黑" w:eastAsia="微软雅黑" w:cs="微软雅黑"/>
          <w:bCs/>
          <w:color w:val="auto"/>
          <w:szCs w:val="21"/>
          <w:highlight w:val="none"/>
          <w:lang w:val="zh-CN"/>
        </w:rPr>
        <w:t>00元的，按</w:t>
      </w:r>
      <w:r>
        <w:rPr>
          <w:rFonts w:hint="eastAsia" w:ascii="微软雅黑" w:hAnsi="微软雅黑" w:cs="微软雅黑"/>
          <w:bCs/>
          <w:color w:val="auto"/>
          <w:szCs w:val="21"/>
          <w:highlight w:val="none"/>
          <w:lang w:val="en-US" w:eastAsia="zh-CN"/>
        </w:rPr>
        <w:t>50</w:t>
      </w:r>
      <w:r>
        <w:rPr>
          <w:rFonts w:hint="eastAsia" w:ascii="微软雅黑" w:hAnsi="微软雅黑" w:eastAsia="微软雅黑" w:cs="微软雅黑"/>
          <w:bCs/>
          <w:color w:val="auto"/>
          <w:szCs w:val="21"/>
          <w:highlight w:val="none"/>
          <w:lang w:val="zh-CN"/>
        </w:rPr>
        <w:t>00元计收</w:t>
      </w:r>
      <w:r>
        <w:rPr>
          <w:rFonts w:hint="eastAsia" w:ascii="微软雅黑" w:hAnsi="微软雅黑"/>
          <w:color w:val="auto"/>
          <w:szCs w:val="21"/>
          <w:highlight w:val="none"/>
        </w:rPr>
        <w:t>。</w:t>
      </w:r>
    </w:p>
    <w:p w14:paraId="255EB901">
      <w:pPr>
        <w:spacing w:line="500" w:lineRule="exact"/>
        <w:ind w:firstLine="420"/>
        <w:rPr>
          <w:rFonts w:hint="eastAsia" w:ascii="微软雅黑" w:hAnsi="微软雅黑"/>
          <w:color w:val="auto"/>
          <w:szCs w:val="21"/>
          <w:highlight w:val="none"/>
        </w:rPr>
      </w:pPr>
      <w:bookmarkStart w:id="209" w:name="_Toc493511767"/>
      <w:r>
        <w:rPr>
          <w:rFonts w:hint="eastAsia" w:ascii="微软雅黑" w:hAnsi="微软雅黑"/>
          <w:color w:val="auto"/>
          <w:szCs w:val="21"/>
          <w:highlight w:val="none"/>
        </w:rPr>
        <w:t>4、服务费的货币为人民币。</w:t>
      </w:r>
      <w:bookmarkEnd w:id="209"/>
    </w:p>
    <w:p w14:paraId="033DF3C9">
      <w:pPr>
        <w:spacing w:line="500" w:lineRule="exact"/>
        <w:ind w:firstLine="420"/>
        <w:rPr>
          <w:rFonts w:hint="eastAsia" w:ascii="微软雅黑" w:hAnsi="微软雅黑"/>
          <w:color w:val="auto"/>
          <w:szCs w:val="21"/>
          <w:highlight w:val="none"/>
        </w:rPr>
      </w:pPr>
      <w:bookmarkStart w:id="210" w:name="_Toc493511768"/>
      <w:r>
        <w:rPr>
          <w:rFonts w:hint="eastAsia" w:ascii="微软雅黑" w:hAnsi="微软雅黑"/>
          <w:color w:val="auto"/>
          <w:szCs w:val="21"/>
          <w:highlight w:val="none"/>
        </w:rPr>
        <w:t>5、服务费支付方式：一次性以银行划账、电汇、汇票或支票的形式支付。</w:t>
      </w:r>
      <w:bookmarkEnd w:id="210"/>
    </w:p>
    <w:p w14:paraId="2834DA0E">
      <w:pPr>
        <w:spacing w:line="500" w:lineRule="exact"/>
        <w:ind w:firstLine="420"/>
        <w:rPr>
          <w:rFonts w:hint="eastAsia" w:ascii="微软雅黑" w:hAnsi="微软雅黑"/>
          <w:color w:val="auto"/>
          <w:szCs w:val="21"/>
          <w:highlight w:val="none"/>
        </w:rPr>
      </w:pPr>
      <w:bookmarkStart w:id="211" w:name="_Toc493511769"/>
      <w:r>
        <w:rPr>
          <w:rFonts w:hint="eastAsia" w:ascii="微软雅黑" w:hAnsi="微软雅黑"/>
          <w:color w:val="auto"/>
          <w:szCs w:val="21"/>
          <w:highlight w:val="none"/>
        </w:rPr>
        <w:t>6、服务费以银行划账方式按下列要求提交：</w:t>
      </w:r>
      <w:bookmarkEnd w:id="211"/>
    </w:p>
    <w:p w14:paraId="21DDEDC6">
      <w:pPr>
        <w:spacing w:line="500" w:lineRule="exact"/>
        <w:ind w:firstLine="420"/>
        <w:rPr>
          <w:rFonts w:hint="eastAsia" w:ascii="微软雅黑" w:hAnsi="微软雅黑"/>
          <w:color w:val="auto"/>
          <w:szCs w:val="21"/>
          <w:highlight w:val="none"/>
        </w:rPr>
      </w:pPr>
      <w:bookmarkStart w:id="212" w:name="_Toc493511770"/>
      <w:r>
        <w:rPr>
          <w:rFonts w:hint="eastAsia" w:ascii="微软雅黑" w:hAnsi="微软雅黑"/>
          <w:color w:val="auto"/>
          <w:szCs w:val="21"/>
          <w:highlight w:val="none"/>
        </w:rPr>
        <w:t>收款人：嘉兴市千秋工程咨询有限公司</w:t>
      </w:r>
      <w:bookmarkEnd w:id="212"/>
    </w:p>
    <w:p w14:paraId="40286F81">
      <w:pPr>
        <w:spacing w:line="500" w:lineRule="exact"/>
        <w:ind w:firstLine="420"/>
        <w:rPr>
          <w:rFonts w:hint="eastAsia" w:ascii="微软雅黑" w:hAnsi="微软雅黑"/>
          <w:color w:val="auto"/>
          <w:szCs w:val="21"/>
          <w:highlight w:val="none"/>
        </w:rPr>
      </w:pPr>
      <w:bookmarkStart w:id="213" w:name="_Toc493511771"/>
      <w:r>
        <w:rPr>
          <w:rFonts w:hint="eastAsia" w:ascii="微软雅黑" w:hAnsi="微软雅黑"/>
          <w:color w:val="auto"/>
          <w:szCs w:val="21"/>
          <w:highlight w:val="none"/>
        </w:rPr>
        <w:t>户名：嘉兴市千秋工程咨询有限公司</w:t>
      </w:r>
      <w:bookmarkEnd w:id="213"/>
    </w:p>
    <w:p w14:paraId="5ACDD497">
      <w:pPr>
        <w:spacing w:line="500" w:lineRule="exact"/>
        <w:ind w:firstLine="420"/>
        <w:rPr>
          <w:rFonts w:hint="eastAsia" w:ascii="微软雅黑" w:hAnsi="微软雅黑"/>
          <w:color w:val="auto"/>
          <w:szCs w:val="21"/>
          <w:highlight w:val="none"/>
        </w:rPr>
      </w:pPr>
      <w:bookmarkStart w:id="214" w:name="_Toc493511772"/>
      <w:r>
        <w:rPr>
          <w:rFonts w:hint="eastAsia" w:ascii="微软雅黑" w:hAnsi="微软雅黑"/>
          <w:color w:val="auto"/>
          <w:szCs w:val="21"/>
          <w:highlight w:val="none"/>
        </w:rPr>
        <w:t>开户银行：交通银行嘉兴分行</w:t>
      </w:r>
      <w:bookmarkEnd w:id="214"/>
    </w:p>
    <w:p w14:paraId="3E69A709">
      <w:pPr>
        <w:spacing w:line="500" w:lineRule="exact"/>
        <w:ind w:firstLine="420"/>
        <w:rPr>
          <w:rFonts w:hint="eastAsia" w:ascii="微软雅黑" w:hAnsi="微软雅黑"/>
          <w:color w:val="auto"/>
          <w:szCs w:val="21"/>
          <w:highlight w:val="none"/>
        </w:rPr>
      </w:pPr>
      <w:bookmarkStart w:id="215" w:name="_Toc493511773"/>
      <w:r>
        <w:rPr>
          <w:rFonts w:hint="eastAsia" w:ascii="微软雅黑" w:hAnsi="微软雅黑"/>
          <w:color w:val="auto"/>
          <w:szCs w:val="21"/>
          <w:highlight w:val="none"/>
        </w:rPr>
        <w:t>账号：334601000018170160050</w:t>
      </w:r>
      <w:bookmarkEnd w:id="215"/>
    </w:p>
    <w:p w14:paraId="31721AAB">
      <w:pPr>
        <w:pStyle w:val="104"/>
        <w:numPr>
          <w:ilvl w:val="0"/>
          <w:numId w:val="21"/>
        </w:numPr>
        <w:spacing w:line="500" w:lineRule="exact"/>
        <w:ind w:firstLineChars="0"/>
        <w:rPr>
          <w:rFonts w:hint="eastAsia" w:ascii="微软雅黑" w:hAnsi="微软雅黑"/>
          <w:color w:val="auto"/>
          <w:szCs w:val="21"/>
          <w:highlight w:val="none"/>
        </w:rPr>
      </w:pPr>
      <w:bookmarkStart w:id="216" w:name="_Toc493511775"/>
      <w:r>
        <w:rPr>
          <w:rFonts w:hint="eastAsia" w:ascii="微软雅黑" w:hAnsi="微软雅黑"/>
          <w:color w:val="auto"/>
          <w:szCs w:val="21"/>
          <w:highlight w:val="none"/>
        </w:rPr>
        <w:t>服务费不在投标报价中单列。</w:t>
      </w:r>
      <w:bookmarkEnd w:id="216"/>
    </w:p>
    <w:p w14:paraId="1E409492">
      <w:pPr>
        <w:pStyle w:val="49"/>
        <w:spacing w:before="0" w:after="0"/>
        <w:ind w:firstLine="640"/>
        <w:outlineLvl w:val="9"/>
        <w:rPr>
          <w:rFonts w:hint="eastAsia" w:ascii="微软雅黑" w:hAnsi="微软雅黑"/>
          <w:color w:val="auto"/>
          <w:highlight w:val="none"/>
        </w:rPr>
        <w:sectPr>
          <w:footerReference r:id="rId17" w:type="first"/>
          <w:footerReference r:id="rId16" w:type="default"/>
          <w:type w:val="nextColumn"/>
          <w:pgSz w:w="11906" w:h="16838"/>
          <w:pgMar w:top="1474" w:right="1134" w:bottom="1134" w:left="1474" w:header="851" w:footer="851" w:gutter="0"/>
          <w:cols w:space="720" w:num="1"/>
          <w:docGrid w:linePitch="312" w:charSpace="0"/>
        </w:sectPr>
      </w:pPr>
      <w:bookmarkStart w:id="217" w:name="_Toc25435"/>
      <w:bookmarkStart w:id="218" w:name="_Toc493511776"/>
      <w:bookmarkStart w:id="219" w:name="_Toc177870559"/>
      <w:bookmarkStart w:id="220" w:name="_Toc170792807"/>
      <w:bookmarkStart w:id="221" w:name="_Toc416422800"/>
      <w:bookmarkStart w:id="222" w:name="_Toc493511826"/>
      <w:bookmarkStart w:id="223" w:name="_Toc417992896"/>
      <w:bookmarkStart w:id="224" w:name="_Toc170792802"/>
    </w:p>
    <w:p w14:paraId="52F003E8">
      <w:pPr>
        <w:pStyle w:val="2"/>
        <w:numPr>
          <w:ilvl w:val="0"/>
          <w:numId w:val="3"/>
        </w:numPr>
        <w:rPr>
          <w:rStyle w:val="70"/>
          <w:b/>
          <w:bCs/>
          <w:color w:val="auto"/>
          <w:highlight w:val="none"/>
        </w:rPr>
      </w:pPr>
      <w:bookmarkStart w:id="225" w:name="_Toc27645"/>
      <w:r>
        <w:rPr>
          <w:rStyle w:val="70"/>
          <w:rFonts w:hint="eastAsia"/>
          <w:b/>
          <w:bCs/>
          <w:color w:val="auto"/>
          <w:highlight w:val="none"/>
        </w:rPr>
        <w:t>评标办法及评分标准</w:t>
      </w:r>
      <w:bookmarkEnd w:id="217"/>
      <w:bookmarkEnd w:id="218"/>
      <w:bookmarkEnd w:id="225"/>
    </w:p>
    <w:p w14:paraId="759124E1">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为公正、公平、科学地选择中标供应商，根据《中华人民共和国政府采购法》等有关法律法规的规定，并结合本项目的实际，制定本办法。</w:t>
      </w:r>
    </w:p>
    <w:p w14:paraId="1C35EA03">
      <w:pPr>
        <w:spacing w:line="600" w:lineRule="exact"/>
        <w:ind w:firstLine="420"/>
        <w:rPr>
          <w:rFonts w:hint="eastAsia" w:ascii="微软雅黑" w:hAnsi="微软雅黑"/>
          <w:color w:val="auto"/>
          <w:szCs w:val="21"/>
          <w:highlight w:val="none"/>
        </w:rPr>
      </w:pPr>
      <w:r>
        <w:rPr>
          <w:rFonts w:hint="eastAsia" w:ascii="宋体" w:hAnsi="宋体"/>
          <w:color w:val="auto"/>
          <w:highlight w:val="none"/>
        </w:rPr>
        <w:t>本办法适用于本项目的评标</w:t>
      </w:r>
      <w:r>
        <w:rPr>
          <w:rFonts w:hint="eastAsia" w:ascii="微软雅黑" w:hAnsi="微软雅黑"/>
          <w:color w:val="auto"/>
          <w:szCs w:val="21"/>
          <w:highlight w:val="none"/>
        </w:rPr>
        <w:t>。</w:t>
      </w:r>
    </w:p>
    <w:bookmarkEnd w:id="219"/>
    <w:bookmarkEnd w:id="220"/>
    <w:p w14:paraId="4180A7D6">
      <w:pPr>
        <w:pStyle w:val="3"/>
        <w:ind w:firstLine="420"/>
        <w:rPr>
          <w:rFonts w:hint="eastAsia" w:ascii="微软雅黑" w:hAnsi="微软雅黑"/>
          <w:b w:val="0"/>
          <w:color w:val="auto"/>
          <w:szCs w:val="21"/>
          <w:highlight w:val="none"/>
        </w:rPr>
      </w:pPr>
      <w:bookmarkStart w:id="226" w:name="_Toc597"/>
      <w:r>
        <w:rPr>
          <w:rFonts w:hint="eastAsia" w:ascii="微软雅黑" w:hAnsi="微软雅黑"/>
          <w:color w:val="auto"/>
          <w:szCs w:val="21"/>
          <w:highlight w:val="none"/>
        </w:rPr>
        <w:t>一、总则</w:t>
      </w:r>
      <w:bookmarkEnd w:id="226"/>
    </w:p>
    <w:p w14:paraId="7408AD53">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本次评标采用综合评分法，总分为100分。合格供应商的评标得分为各项目汇总得分，中标候选资格按评标得分由高到低顺序排列，得分相同的，按投标报价由低到高顺序排列；得分且投标报价相同的，按商务技术得分由高到低顺序排列，仍不能分出前后的，以投标解密先后顺序确定中标候选供应商。采购人应从评审报告确定的中标候选供应商名单中按顺序确定中标供应商，中标供应商拒绝与采购人签订合同的，确定下一候选供应商为中标供应商，也可以重新开展政府采购活动。评分过程中采用四舍五入法，并保留小数2位。</w:t>
      </w:r>
    </w:p>
    <w:p w14:paraId="4BBF112C">
      <w:pPr>
        <w:spacing w:before="120" w:beforeLines="50" w:after="120" w:afterLines="50"/>
        <w:ind w:firstLine="420"/>
        <w:rPr>
          <w:rFonts w:hint="eastAsia" w:ascii="宋体" w:hAnsi="宋体"/>
          <w:color w:val="auto"/>
          <w:highlight w:val="none"/>
        </w:rPr>
      </w:pPr>
      <w:r>
        <w:rPr>
          <w:rFonts w:hint="eastAsia" w:ascii="宋体" w:hAnsi="宋体"/>
          <w:color w:val="auto"/>
          <w:highlight w:val="none"/>
        </w:rPr>
        <w:t>供应商评标综合得分=价格分+技术分+资信及其他分</w:t>
      </w:r>
    </w:p>
    <w:p w14:paraId="0C7FEDF1">
      <w:pPr>
        <w:pStyle w:val="3"/>
        <w:ind w:firstLine="420"/>
        <w:rPr>
          <w:rFonts w:hint="eastAsia" w:ascii="微软雅黑" w:hAnsi="微软雅黑"/>
          <w:b w:val="0"/>
          <w:color w:val="auto"/>
          <w:szCs w:val="21"/>
          <w:highlight w:val="none"/>
        </w:rPr>
      </w:pPr>
      <w:bookmarkStart w:id="227" w:name="_Toc23206"/>
      <w:r>
        <w:rPr>
          <w:rFonts w:hint="eastAsia" w:ascii="微软雅黑" w:hAnsi="微软雅黑"/>
          <w:color w:val="auto"/>
          <w:szCs w:val="21"/>
          <w:highlight w:val="none"/>
        </w:rPr>
        <w:t>二、评标内容及标准</w:t>
      </w:r>
      <w:bookmarkEnd w:id="227"/>
    </w:p>
    <w:p w14:paraId="794390DE">
      <w:pPr>
        <w:pStyle w:val="13"/>
        <w:spacing w:before="120" w:beforeLines="50" w:after="120" w:afterLines="50" w:line="360" w:lineRule="auto"/>
        <w:ind w:firstLine="404"/>
        <w:outlineLvl w:val="1"/>
        <w:rPr>
          <w:rFonts w:hint="eastAsia" w:ascii="微软雅黑" w:hAnsi="微软雅黑"/>
          <w:b/>
          <w:bCs/>
          <w:color w:val="auto"/>
          <w:sz w:val="21"/>
          <w:szCs w:val="21"/>
          <w:highlight w:val="none"/>
        </w:rPr>
      </w:pPr>
      <w:r>
        <w:rPr>
          <w:rFonts w:hint="eastAsia" w:ascii="微软雅黑" w:hAnsi="微软雅黑"/>
          <w:b/>
          <w:color w:val="auto"/>
          <w:sz w:val="21"/>
          <w:szCs w:val="21"/>
          <w:highlight w:val="none"/>
        </w:rPr>
        <w:t>（一）</w:t>
      </w:r>
      <w:r>
        <w:rPr>
          <w:rFonts w:hint="eastAsia" w:ascii="微软雅黑" w:hAnsi="微软雅黑"/>
          <w:b/>
          <w:bCs/>
          <w:color w:val="auto"/>
          <w:sz w:val="21"/>
          <w:szCs w:val="21"/>
          <w:highlight w:val="none"/>
        </w:rPr>
        <w:t>价格分（</w:t>
      </w:r>
      <w:r>
        <w:rPr>
          <w:rFonts w:hint="eastAsia" w:ascii="微软雅黑" w:hAnsi="微软雅黑"/>
          <w:b/>
          <w:bCs/>
          <w:color w:val="auto"/>
          <w:sz w:val="21"/>
          <w:szCs w:val="21"/>
          <w:highlight w:val="none"/>
          <w:lang w:val="en-US" w:eastAsia="zh-CN"/>
        </w:rPr>
        <w:t>10</w:t>
      </w:r>
      <w:r>
        <w:rPr>
          <w:rFonts w:hint="eastAsia" w:ascii="微软雅黑" w:hAnsi="微软雅黑"/>
          <w:b/>
          <w:bCs/>
          <w:color w:val="auto"/>
          <w:sz w:val="21"/>
          <w:szCs w:val="21"/>
          <w:highlight w:val="none"/>
        </w:rPr>
        <w:t>分）</w:t>
      </w:r>
    </w:p>
    <w:p w14:paraId="349B3043">
      <w:pPr>
        <w:pStyle w:val="13"/>
        <w:numPr>
          <w:ilvl w:val="0"/>
          <w:numId w:val="22"/>
        </w:numPr>
        <w:spacing w:before="120" w:beforeLines="50" w:after="120" w:afterLines="50" w:line="360" w:lineRule="auto"/>
        <w:ind w:left="0" w:firstLine="404"/>
        <w:rPr>
          <w:rFonts w:hint="eastAsia" w:ascii="微软雅黑" w:hAnsi="微软雅黑"/>
          <w:bCs/>
          <w:color w:val="auto"/>
          <w:sz w:val="21"/>
          <w:szCs w:val="21"/>
          <w:highlight w:val="none"/>
        </w:rPr>
      </w:pPr>
      <w:r>
        <w:rPr>
          <w:rFonts w:hint="eastAsia" w:ascii="微软雅黑" w:hAnsi="微软雅黑"/>
          <w:bCs/>
          <w:color w:val="auto"/>
          <w:sz w:val="21"/>
          <w:szCs w:val="21"/>
          <w:highlight w:val="none"/>
        </w:rPr>
        <w:t>价格分采用低价优先法计算，即满足招标文件要求且投标价格最低的投标报价为评标基准价，其他供应商的价格分按照下列公式计算：</w:t>
      </w:r>
    </w:p>
    <w:p w14:paraId="4D014314">
      <w:pPr>
        <w:spacing w:before="120" w:beforeLines="50" w:after="120" w:afterLines="50"/>
        <w:ind w:firstLine="420"/>
        <w:rPr>
          <w:rFonts w:hint="eastAsia" w:ascii="微软雅黑" w:hAnsi="微软雅黑"/>
          <w:color w:val="auto"/>
          <w:kern w:val="0"/>
          <w:szCs w:val="21"/>
          <w:highlight w:val="none"/>
        </w:rPr>
      </w:pPr>
      <w:r>
        <w:rPr>
          <w:rFonts w:hint="eastAsia" w:ascii="微软雅黑" w:hAnsi="微软雅黑"/>
          <w:color w:val="auto"/>
          <w:szCs w:val="21"/>
          <w:highlight w:val="none"/>
        </w:rPr>
        <w:t>价格分=（评标基准价/投标报价）×</w:t>
      </w:r>
      <w:r>
        <w:rPr>
          <w:rFonts w:hint="eastAsia" w:ascii="微软雅黑" w:hAnsi="微软雅黑"/>
          <w:color w:val="auto"/>
          <w:szCs w:val="21"/>
          <w:highlight w:val="none"/>
          <w:lang w:val="en-US" w:eastAsia="zh-CN"/>
        </w:rPr>
        <w:t>10</w:t>
      </w:r>
      <w:r>
        <w:rPr>
          <w:rFonts w:hint="eastAsia" w:ascii="微软雅黑" w:hAnsi="微软雅黑"/>
          <w:color w:val="auto"/>
          <w:szCs w:val="21"/>
          <w:highlight w:val="none"/>
        </w:rPr>
        <w:t>%×100</w:t>
      </w:r>
      <w:r>
        <w:rPr>
          <w:rFonts w:hint="eastAsia" w:ascii="微软雅黑" w:hAnsi="微软雅黑"/>
          <w:color w:val="auto"/>
          <w:kern w:val="0"/>
          <w:szCs w:val="21"/>
          <w:highlight w:val="none"/>
        </w:rPr>
        <w:t>。</w:t>
      </w:r>
    </w:p>
    <w:p w14:paraId="77C1C6A2">
      <w:pPr>
        <w:pStyle w:val="13"/>
        <w:numPr>
          <w:ilvl w:val="0"/>
          <w:numId w:val="22"/>
        </w:numPr>
        <w:spacing w:before="120" w:beforeLines="50" w:after="120" w:afterLines="50" w:line="360" w:lineRule="auto"/>
        <w:ind w:left="0" w:firstLine="404"/>
        <w:rPr>
          <w:rFonts w:hint="eastAsia" w:ascii="微软雅黑" w:hAnsi="微软雅黑"/>
          <w:bCs/>
          <w:color w:val="auto"/>
          <w:sz w:val="21"/>
          <w:szCs w:val="21"/>
          <w:highlight w:val="none"/>
        </w:rPr>
      </w:pPr>
      <w:r>
        <w:rPr>
          <w:rFonts w:hint="eastAsia" w:ascii="微软雅黑" w:hAnsi="微软雅黑"/>
          <w:bCs/>
          <w:color w:val="auto"/>
          <w:sz w:val="21"/>
          <w:szCs w:val="21"/>
          <w:highlight w:val="none"/>
        </w:rPr>
        <w:t>供应商的投标报价超过采购人设定的最高限价，将作为无效标。评标委员会认为供应商的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7D6C3388">
      <w:pPr>
        <w:pStyle w:val="34"/>
        <w:ind w:firstLine="0" w:firstLineChars="0"/>
        <w:rPr>
          <w:color w:val="auto"/>
          <w:highlight w:val="none"/>
        </w:rPr>
      </w:pPr>
    </w:p>
    <w:p w14:paraId="0F7B04CA">
      <w:pPr>
        <w:pStyle w:val="34"/>
        <w:ind w:firstLine="0" w:firstLineChars="0"/>
        <w:rPr>
          <w:color w:val="auto"/>
          <w:highlight w:val="none"/>
        </w:rPr>
      </w:pPr>
    </w:p>
    <w:p w14:paraId="4B1BEEFA">
      <w:pPr>
        <w:pStyle w:val="34"/>
        <w:ind w:firstLine="0" w:firstLineChars="0"/>
        <w:rPr>
          <w:color w:val="auto"/>
          <w:highlight w:val="none"/>
        </w:rPr>
      </w:pPr>
    </w:p>
    <w:p w14:paraId="2B946D5F">
      <w:pPr>
        <w:pStyle w:val="34"/>
        <w:ind w:firstLine="0" w:firstLineChars="0"/>
        <w:rPr>
          <w:color w:val="auto"/>
          <w:highlight w:val="none"/>
        </w:rPr>
      </w:pPr>
    </w:p>
    <w:p w14:paraId="2FF87FB2">
      <w:pPr>
        <w:numPr>
          <w:ilvl w:val="0"/>
          <w:numId w:val="23"/>
        </w:numPr>
        <w:tabs>
          <w:tab w:val="left" w:pos="3870"/>
          <w:tab w:val="left" w:pos="4085"/>
        </w:tabs>
        <w:snapToGrid w:val="0"/>
        <w:ind w:firstLine="420"/>
        <w:outlineLvl w:val="1"/>
        <w:rPr>
          <w:color w:val="auto"/>
          <w:highlight w:val="none"/>
        </w:rPr>
      </w:pPr>
      <w:bookmarkStart w:id="228" w:name="_Toc5085"/>
      <w:r>
        <w:rPr>
          <w:rFonts w:hint="eastAsia" w:ascii="微软雅黑" w:hAnsi="微软雅黑" w:cs="微软雅黑"/>
          <w:b/>
          <w:color w:val="auto"/>
          <w:szCs w:val="21"/>
          <w:highlight w:val="none"/>
        </w:rPr>
        <w:t>技术分</w:t>
      </w:r>
      <w:r>
        <w:rPr>
          <w:rFonts w:hint="eastAsia" w:ascii="微软雅黑" w:hAnsi="微软雅黑" w:cs="微软雅黑"/>
          <w:b/>
          <w:bCs/>
          <w:color w:val="auto"/>
          <w:szCs w:val="21"/>
          <w:highlight w:val="none"/>
        </w:rPr>
        <w:t>：</w:t>
      </w:r>
      <w:bookmarkEnd w:id="228"/>
    </w:p>
    <w:tbl>
      <w:tblPr>
        <w:tblStyle w:val="54"/>
        <w:tblW w:w="9679" w:type="dxa"/>
        <w:tblInd w:w="-2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5"/>
        <w:gridCol w:w="709"/>
        <w:gridCol w:w="6972"/>
        <w:gridCol w:w="765"/>
        <w:gridCol w:w="658"/>
      </w:tblGrid>
      <w:tr w14:paraId="21C8C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49B8A113">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序号</w:t>
            </w:r>
          </w:p>
        </w:tc>
        <w:tc>
          <w:tcPr>
            <w:tcW w:w="7681" w:type="dxa"/>
            <w:gridSpan w:val="2"/>
            <w:tcBorders>
              <w:top w:val="single" w:color="auto" w:sz="4" w:space="0"/>
              <w:left w:val="single" w:color="auto" w:sz="4" w:space="0"/>
              <w:bottom w:val="single" w:color="auto" w:sz="4" w:space="0"/>
              <w:right w:val="single" w:color="auto" w:sz="4" w:space="0"/>
            </w:tcBorders>
            <w:noWrap/>
            <w:vAlign w:val="center"/>
          </w:tcPr>
          <w:p w14:paraId="4B082DDE">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评分标准</w:t>
            </w:r>
          </w:p>
        </w:tc>
        <w:tc>
          <w:tcPr>
            <w:tcW w:w="765" w:type="dxa"/>
            <w:tcBorders>
              <w:top w:val="single" w:color="auto" w:sz="4" w:space="0"/>
              <w:left w:val="single" w:color="auto" w:sz="4" w:space="0"/>
              <w:bottom w:val="single" w:color="auto" w:sz="4" w:space="0"/>
              <w:right w:val="single" w:color="auto" w:sz="4" w:space="0"/>
            </w:tcBorders>
            <w:noWrap/>
            <w:vAlign w:val="center"/>
          </w:tcPr>
          <w:p w14:paraId="13D480EE">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最高得分</w:t>
            </w:r>
          </w:p>
        </w:tc>
        <w:tc>
          <w:tcPr>
            <w:tcW w:w="658" w:type="dxa"/>
            <w:tcBorders>
              <w:top w:val="single" w:color="auto" w:sz="4" w:space="0"/>
              <w:left w:val="single" w:color="auto" w:sz="4" w:space="0"/>
              <w:bottom w:val="single" w:color="auto" w:sz="4" w:space="0"/>
              <w:right w:val="single" w:color="auto" w:sz="4" w:space="0"/>
            </w:tcBorders>
            <w:vAlign w:val="center"/>
          </w:tcPr>
          <w:p w14:paraId="5A62F7C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评分设置</w:t>
            </w:r>
          </w:p>
        </w:tc>
      </w:tr>
      <w:tr w14:paraId="56A97C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2E43B297">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1</w:t>
            </w:r>
          </w:p>
        </w:tc>
        <w:tc>
          <w:tcPr>
            <w:tcW w:w="7681" w:type="dxa"/>
            <w:gridSpan w:val="2"/>
            <w:tcBorders>
              <w:top w:val="single" w:color="auto" w:sz="4" w:space="0"/>
              <w:left w:val="single" w:color="auto" w:sz="4" w:space="0"/>
              <w:bottom w:val="single" w:color="auto" w:sz="4" w:space="0"/>
              <w:right w:val="single" w:color="auto" w:sz="4" w:space="0"/>
            </w:tcBorders>
            <w:noWrap/>
            <w:vAlign w:val="center"/>
          </w:tcPr>
          <w:p w14:paraId="7627273D">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lang w:val="en-US" w:eastAsia="zh-CN"/>
              </w:rPr>
              <w:t>项目理解</w:t>
            </w:r>
          </w:p>
          <w:p w14:paraId="57194DF0">
            <w:pPr>
              <w:pStyle w:val="19"/>
              <w:pageBreakBefore w:val="0"/>
              <w:kinsoku/>
              <w:wordWrap/>
              <w:overflowPunct/>
              <w:topLinePunct w:val="0"/>
              <w:autoSpaceDE/>
              <w:autoSpaceDN/>
              <w:bidi w:val="0"/>
              <w:adjustRightInd/>
              <w:spacing w:after="0"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对</w:t>
            </w:r>
            <w:r>
              <w:rPr>
                <w:rFonts w:hint="eastAsia" w:ascii="微软雅黑" w:hAnsi="微软雅黑" w:eastAsia="微软雅黑" w:cs="微软雅黑"/>
                <w:b w:val="0"/>
                <w:bCs w:val="0"/>
                <w:color w:val="auto"/>
                <w:sz w:val="21"/>
                <w:szCs w:val="21"/>
                <w:highlight w:val="none"/>
                <w:lang w:eastAsia="zh-CN"/>
              </w:rPr>
              <w:t>对</w:t>
            </w:r>
            <w:r>
              <w:rPr>
                <w:rFonts w:hint="eastAsia" w:ascii="微软雅黑" w:hAnsi="微软雅黑" w:eastAsia="微软雅黑" w:cs="微软雅黑"/>
                <w:b w:val="0"/>
                <w:bCs w:val="0"/>
                <w:color w:val="auto"/>
                <w:sz w:val="21"/>
                <w:szCs w:val="21"/>
                <w:highlight w:val="none"/>
              </w:rPr>
              <w:t>项目背景、项目内容的理解</w:t>
            </w:r>
            <w:r>
              <w:rPr>
                <w:rFonts w:hint="eastAsia" w:ascii="微软雅黑" w:hAnsi="微软雅黑" w:eastAsia="微软雅黑" w:cs="微软雅黑"/>
                <w:b w:val="0"/>
                <w:bCs w:val="0"/>
                <w:color w:val="auto"/>
                <w:sz w:val="21"/>
                <w:szCs w:val="21"/>
                <w:highlight w:val="none"/>
              </w:rPr>
              <w:t>等方面进行分析</w:t>
            </w:r>
            <w:r>
              <w:rPr>
                <w:rFonts w:hint="eastAsia" w:ascii="微软雅黑" w:hAnsi="微软雅黑" w:eastAsia="微软雅黑" w:cs="微软雅黑"/>
                <w:b w:val="0"/>
                <w:bCs w:val="0"/>
                <w:color w:val="auto"/>
                <w:kern w:val="0"/>
                <w:sz w:val="21"/>
                <w:szCs w:val="21"/>
                <w:highlight w:val="none"/>
              </w:rPr>
              <w:t>，根据投标人方案是否与采购需求符合性或匹配度进行打分</w:t>
            </w:r>
            <w:r>
              <w:rPr>
                <w:rFonts w:hint="eastAsia" w:ascii="微软雅黑" w:hAnsi="微软雅黑" w:eastAsia="微软雅黑" w:cs="微软雅黑"/>
                <w:b w:val="0"/>
                <w:bCs w:val="0"/>
                <w:color w:val="auto"/>
                <w:sz w:val="21"/>
                <w:szCs w:val="21"/>
                <w:highlight w:val="none"/>
              </w:rPr>
              <w:t>（满分</w:t>
            </w:r>
            <w:r>
              <w:rPr>
                <w:rFonts w:hint="eastAsia" w:ascii="微软雅黑" w:hAnsi="微软雅黑" w:cs="微软雅黑"/>
                <w:b w:val="0"/>
                <w:bCs w:val="0"/>
                <w:color w:val="auto"/>
                <w:sz w:val="21"/>
                <w:szCs w:val="21"/>
                <w:highlight w:val="none"/>
                <w:lang w:val="en-US" w:eastAsia="zh-CN"/>
              </w:rPr>
              <w:t>5</w:t>
            </w:r>
            <w:r>
              <w:rPr>
                <w:rFonts w:hint="eastAsia" w:ascii="微软雅黑" w:hAnsi="微软雅黑" w:eastAsia="微软雅黑" w:cs="微软雅黑"/>
                <w:b w:val="0"/>
                <w:bCs w:val="0"/>
                <w:color w:val="auto"/>
                <w:sz w:val="21"/>
                <w:szCs w:val="21"/>
                <w:highlight w:val="none"/>
              </w:rPr>
              <w:t>分，评分范围</w:t>
            </w:r>
            <w:r>
              <w:rPr>
                <w:rFonts w:hint="eastAsia" w:ascii="微软雅黑" w:hAnsi="微软雅黑" w:cs="微软雅黑"/>
                <w:b w:val="0"/>
                <w:bCs w:val="0"/>
                <w:color w:val="auto"/>
                <w:sz w:val="21"/>
                <w:szCs w:val="21"/>
                <w:highlight w:val="none"/>
                <w:lang w:val="en-US" w:eastAsia="zh-CN"/>
              </w:rPr>
              <w:t>5/</w:t>
            </w:r>
            <w:r>
              <w:rPr>
                <w:rFonts w:hint="eastAsia" w:ascii="微软雅黑" w:hAnsi="微软雅黑" w:eastAsia="微软雅黑" w:cs="微软雅黑"/>
                <w:b w:val="0"/>
                <w:bCs w:val="0"/>
                <w:color w:val="auto"/>
                <w:sz w:val="21"/>
                <w:szCs w:val="21"/>
                <w:highlight w:val="none"/>
              </w:rPr>
              <w:t>4</w:t>
            </w:r>
            <w:r>
              <w:rPr>
                <w:rFonts w:hint="eastAsia" w:ascii="微软雅黑" w:hAnsi="微软雅黑" w:eastAsia="微软雅黑" w:cs="微软雅黑"/>
                <w:b w:val="0"/>
                <w:bCs w:val="0"/>
                <w:color w:val="auto"/>
                <w:sz w:val="21"/>
                <w:szCs w:val="21"/>
                <w:highlight w:val="none"/>
                <w:lang w:val="en-US" w:eastAsia="zh-CN"/>
              </w:rPr>
              <w:t>/</w:t>
            </w:r>
            <w:r>
              <w:rPr>
                <w:rFonts w:hint="eastAsia" w:ascii="微软雅黑" w:hAnsi="微软雅黑" w:eastAsia="微软雅黑" w:cs="微软雅黑"/>
                <w:b w:val="0"/>
                <w:bCs w:val="0"/>
                <w:color w:val="auto"/>
                <w:sz w:val="21"/>
                <w:szCs w:val="21"/>
                <w:highlight w:val="none"/>
              </w:rPr>
              <w:t>3</w:t>
            </w:r>
            <w:r>
              <w:rPr>
                <w:rFonts w:hint="eastAsia" w:ascii="微软雅黑" w:hAnsi="微软雅黑" w:eastAsia="微软雅黑" w:cs="微软雅黑"/>
                <w:b w:val="0"/>
                <w:bCs w:val="0"/>
                <w:color w:val="auto"/>
                <w:sz w:val="21"/>
                <w:szCs w:val="21"/>
                <w:highlight w:val="none"/>
                <w:lang w:val="en-US" w:eastAsia="zh-CN"/>
              </w:rPr>
              <w:t>/</w:t>
            </w:r>
            <w:r>
              <w:rPr>
                <w:rFonts w:hint="eastAsia" w:ascii="微软雅黑" w:hAnsi="微软雅黑" w:eastAsia="微软雅黑" w:cs="微软雅黑"/>
                <w:b w:val="0"/>
                <w:bCs w:val="0"/>
                <w:color w:val="auto"/>
                <w:sz w:val="21"/>
                <w:szCs w:val="21"/>
                <w:highlight w:val="none"/>
              </w:rPr>
              <w:t>2</w:t>
            </w:r>
            <w:r>
              <w:rPr>
                <w:rFonts w:hint="eastAsia" w:ascii="微软雅黑" w:hAnsi="微软雅黑" w:eastAsia="微软雅黑" w:cs="微软雅黑"/>
                <w:b w:val="0"/>
                <w:bCs w:val="0"/>
                <w:color w:val="auto"/>
                <w:sz w:val="21"/>
                <w:szCs w:val="21"/>
                <w:highlight w:val="none"/>
                <w:lang w:val="en-US" w:eastAsia="zh-CN"/>
              </w:rPr>
              <w:t>/</w:t>
            </w:r>
            <w:r>
              <w:rPr>
                <w:rFonts w:hint="eastAsia" w:ascii="微软雅黑" w:hAnsi="微软雅黑" w:eastAsia="微软雅黑" w:cs="微软雅黑"/>
                <w:b w:val="0"/>
                <w:bCs w:val="0"/>
                <w:color w:val="auto"/>
                <w:sz w:val="21"/>
                <w:szCs w:val="21"/>
                <w:highlight w:val="none"/>
              </w:rPr>
              <w:t>1</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0"/>
                <w:sz w:val="21"/>
                <w:szCs w:val="21"/>
                <w:highlight w:val="none"/>
              </w:rPr>
              <w:t>不提供方案不得分。</w:t>
            </w:r>
          </w:p>
        </w:tc>
        <w:tc>
          <w:tcPr>
            <w:tcW w:w="765" w:type="dxa"/>
            <w:tcBorders>
              <w:top w:val="single" w:color="auto" w:sz="4" w:space="0"/>
              <w:left w:val="single" w:color="auto" w:sz="4" w:space="0"/>
              <w:bottom w:val="single" w:color="auto" w:sz="4" w:space="0"/>
              <w:right w:val="single" w:color="auto" w:sz="4" w:space="0"/>
            </w:tcBorders>
            <w:noWrap/>
            <w:vAlign w:val="center"/>
          </w:tcPr>
          <w:p w14:paraId="00CFD6EB">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4074A9F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7C261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3F1C9414">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2</w:t>
            </w:r>
          </w:p>
        </w:tc>
        <w:tc>
          <w:tcPr>
            <w:tcW w:w="709" w:type="dxa"/>
            <w:vMerge w:val="restart"/>
            <w:tcBorders>
              <w:top w:val="single" w:color="auto" w:sz="4" w:space="0"/>
              <w:left w:val="single" w:color="auto" w:sz="4" w:space="0"/>
              <w:right w:val="single" w:color="auto" w:sz="4" w:space="0"/>
            </w:tcBorders>
            <w:noWrap/>
            <w:vAlign w:val="center"/>
          </w:tcPr>
          <w:p w14:paraId="5AA35EAA">
            <w:pPr>
              <w:pStyle w:val="2"/>
              <w:pageBreakBefore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lang w:val="en-US" w:eastAsia="zh-CN"/>
              </w:rPr>
              <w:t>服务方案评审</w:t>
            </w:r>
          </w:p>
        </w:tc>
        <w:tc>
          <w:tcPr>
            <w:tcW w:w="6972" w:type="dxa"/>
            <w:tcBorders>
              <w:top w:val="single" w:color="auto" w:sz="4" w:space="0"/>
              <w:left w:val="single" w:color="auto" w:sz="4" w:space="0"/>
              <w:bottom w:val="single" w:color="auto" w:sz="4" w:space="0"/>
              <w:right w:val="single" w:color="auto" w:sz="4" w:space="0"/>
            </w:tcBorders>
            <w:noWrap/>
          </w:tcPr>
          <w:p w14:paraId="3EE1EB90">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kern w:val="2"/>
                <w:sz w:val="21"/>
                <w:szCs w:val="21"/>
                <w:highlight w:val="none"/>
                <w:lang w:val="en-US" w:eastAsia="zh-CN"/>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rPr>
              <w:t>基线评估</w:t>
            </w:r>
            <w:r>
              <w:rPr>
                <w:rFonts w:hint="eastAsia" w:ascii="微软雅黑" w:hAnsi="微软雅黑" w:eastAsia="微软雅黑" w:cs="微软雅黑"/>
                <w:b w:val="0"/>
                <w:bCs w:val="0"/>
                <w:snapToGrid w:val="0"/>
                <w:color w:val="auto"/>
                <w:kern w:val="0"/>
                <w:sz w:val="21"/>
                <w:szCs w:val="21"/>
                <w:highlight w:val="none"/>
                <w:lang w:val="en-US" w:eastAsia="zh-CN"/>
              </w:rPr>
              <w:t>服务方案</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48737C85">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117CCF37">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773C2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5D295B7F">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3</w:t>
            </w:r>
          </w:p>
        </w:tc>
        <w:tc>
          <w:tcPr>
            <w:tcW w:w="709" w:type="dxa"/>
            <w:vMerge w:val="continue"/>
            <w:tcBorders>
              <w:left w:val="single" w:color="auto" w:sz="4" w:space="0"/>
              <w:right w:val="single" w:color="auto" w:sz="4" w:space="0"/>
            </w:tcBorders>
            <w:noWrap/>
          </w:tcPr>
          <w:p w14:paraId="4424F4DF">
            <w:pPr>
              <w:pStyle w:val="65"/>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6972" w:type="dxa"/>
            <w:tcBorders>
              <w:top w:val="single" w:color="auto" w:sz="4" w:space="0"/>
              <w:left w:val="single" w:color="auto" w:sz="4" w:space="0"/>
              <w:bottom w:val="single" w:color="auto" w:sz="4" w:space="0"/>
              <w:right w:val="single" w:color="auto" w:sz="4" w:space="0"/>
            </w:tcBorders>
            <w:shd w:val="clear" w:color="auto" w:fill="auto"/>
            <w:noWrap/>
            <w:vAlign w:val="top"/>
          </w:tcPr>
          <w:p w14:paraId="1CFC54A7">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kern w:val="2"/>
                <w:sz w:val="21"/>
                <w:szCs w:val="21"/>
                <w:highlight w:val="none"/>
                <w:lang w:eastAsia="zh-CN"/>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lang w:val="en-US" w:eastAsia="zh-CN"/>
              </w:rPr>
              <w:t>康复干预方案</w:t>
            </w:r>
            <w:r>
              <w:rPr>
                <w:rFonts w:hint="eastAsia" w:ascii="微软雅黑" w:hAnsi="微软雅黑" w:eastAsia="微软雅黑" w:cs="微软雅黑"/>
                <w:b w:val="0"/>
                <w:bCs w:val="0"/>
                <w:color w:val="auto"/>
                <w:kern w:val="2"/>
                <w:sz w:val="21"/>
                <w:szCs w:val="21"/>
                <w:highlight w:val="none"/>
              </w:rPr>
              <w:t>，是否与采购需求符合性或匹配度进行打分</w:t>
            </w:r>
            <w:r>
              <w:rPr>
                <w:rFonts w:hint="eastAsia" w:ascii="微软雅黑" w:hAnsi="微软雅黑" w:eastAsia="微软雅黑" w:cs="微软雅黑"/>
                <w:b w:val="0"/>
                <w:bCs w:val="0"/>
                <w:color w:val="auto"/>
                <w:kern w:val="2"/>
                <w:sz w:val="21"/>
                <w:szCs w:val="21"/>
                <w:highlight w:val="none"/>
                <w:lang w:eastAsia="zh-CN"/>
              </w:rPr>
              <w:t>：</w:t>
            </w:r>
          </w:p>
          <w:p w14:paraId="6D85127D">
            <w:pPr>
              <w:numPr>
                <w:ilvl w:val="0"/>
                <w:numId w:val="0"/>
              </w:numPr>
              <w:snapToGrid w:val="0"/>
              <w:spacing w:line="240" w:lineRule="auto"/>
              <w:rPr>
                <w:rFonts w:hint="eastAsia"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b w:val="0"/>
                <w:bCs w:val="0"/>
                <w:snapToGrid w:val="0"/>
                <w:color w:val="auto"/>
                <w:kern w:val="0"/>
                <w:sz w:val="21"/>
                <w:szCs w:val="21"/>
                <w:highlight w:val="none"/>
                <w:lang w:val="en-US" w:eastAsia="zh-CN"/>
              </w:rPr>
              <w:t>①服药训练；②预防复发训练；③躯体管理训练；④生活技能训练；⑤社交技能训练；⑥职业康复训练；⑦心理治疗和康复；⑧同伴支持；</w:t>
            </w:r>
            <w:r>
              <w:rPr>
                <w:rFonts w:hint="eastAsia" w:ascii="微软雅黑" w:hAnsi="微软雅黑" w:eastAsia="微软雅黑" w:cs="微软雅黑"/>
                <w:b w:val="0"/>
                <w:bCs w:val="0"/>
                <w:color w:val="auto"/>
                <w:sz w:val="21"/>
                <w:szCs w:val="21"/>
                <w:highlight w:val="none"/>
              </w:rPr>
              <w:t>每小项得分（</w:t>
            </w:r>
            <w:r>
              <w:rPr>
                <w:rFonts w:hint="eastAsia" w:ascii="微软雅黑" w:hAnsi="微软雅黑" w:eastAsia="微软雅黑" w:cs="微软雅黑"/>
                <w:b w:val="0"/>
                <w:bCs w:val="0"/>
                <w:color w:val="auto"/>
                <w:sz w:val="21"/>
                <w:szCs w:val="21"/>
                <w:highlight w:val="none"/>
                <w:lang w:val="en-US" w:eastAsia="zh-CN"/>
              </w:rPr>
              <w:t>2/1.5/1/0.5</w:t>
            </w:r>
            <w:r>
              <w:rPr>
                <w:rFonts w:hint="eastAsia" w:ascii="微软雅黑" w:hAnsi="微软雅黑" w:eastAsia="微软雅黑" w:cs="微软雅黑"/>
                <w:b w:val="0"/>
                <w:bCs w:val="0"/>
                <w:color w:val="auto"/>
                <w:sz w:val="21"/>
                <w:szCs w:val="21"/>
                <w:highlight w:val="none"/>
              </w:rPr>
              <w:t>）</w:t>
            </w:r>
            <w:r>
              <w:rPr>
                <w:rFonts w:hint="eastAsia" w:ascii="微软雅黑" w:hAnsi="微软雅黑" w:eastAsia="微软雅黑" w:cs="微软雅黑"/>
                <w:b w:val="0"/>
                <w:bCs w:val="0"/>
                <w:color w:val="auto"/>
                <w:sz w:val="21"/>
                <w:szCs w:val="21"/>
                <w:highlight w:val="none"/>
              </w:rPr>
              <w:t>不提供方案不得分。</w:t>
            </w:r>
            <w:r>
              <w:rPr>
                <w:rFonts w:hint="eastAsia" w:ascii="微软雅黑" w:hAnsi="微软雅黑" w:eastAsia="微软雅黑" w:cs="微软雅黑"/>
                <w:b w:val="0"/>
                <w:bCs w:val="0"/>
                <w:color w:val="auto"/>
                <w:sz w:val="21"/>
                <w:szCs w:val="21"/>
                <w:highlight w:val="none"/>
                <w:lang w:val="en-US" w:eastAsia="zh-CN"/>
              </w:rPr>
              <w:t>本项最高1</w:t>
            </w:r>
            <w:r>
              <w:rPr>
                <w:rFonts w:hint="eastAsia" w:ascii="微软雅黑" w:hAnsi="微软雅黑" w:cs="微软雅黑"/>
                <w:b w:val="0"/>
                <w:bCs w:val="0"/>
                <w:color w:val="auto"/>
                <w:sz w:val="21"/>
                <w:szCs w:val="21"/>
                <w:highlight w:val="none"/>
                <w:lang w:val="en-US" w:eastAsia="zh-CN"/>
              </w:rPr>
              <w:t>6</w:t>
            </w:r>
            <w:r>
              <w:rPr>
                <w:rFonts w:hint="eastAsia" w:ascii="微软雅黑" w:hAnsi="微软雅黑" w:eastAsia="微软雅黑" w:cs="微软雅黑"/>
                <w:b w:val="0"/>
                <w:bCs w:val="0"/>
                <w:color w:val="auto"/>
                <w:sz w:val="21"/>
                <w:szCs w:val="21"/>
                <w:highlight w:val="none"/>
                <w:lang w:val="en-US" w:eastAsia="zh-CN"/>
              </w:rPr>
              <w:t>分。</w:t>
            </w:r>
          </w:p>
        </w:tc>
        <w:tc>
          <w:tcPr>
            <w:tcW w:w="765" w:type="dxa"/>
            <w:tcBorders>
              <w:top w:val="single" w:color="auto" w:sz="4" w:space="0"/>
              <w:left w:val="single" w:color="auto" w:sz="4" w:space="0"/>
              <w:bottom w:val="single" w:color="auto" w:sz="4" w:space="0"/>
              <w:right w:val="single" w:color="auto" w:sz="4" w:space="0"/>
            </w:tcBorders>
            <w:noWrap/>
            <w:vAlign w:val="center"/>
          </w:tcPr>
          <w:p w14:paraId="58D2E81A">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1</w:t>
            </w:r>
            <w:r>
              <w:rPr>
                <w:rFonts w:hint="eastAsia" w:ascii="微软雅黑" w:hAnsi="微软雅黑" w:cs="微软雅黑"/>
                <w:b w:val="0"/>
                <w:bCs w:val="0"/>
                <w:color w:val="auto"/>
                <w:kern w:val="0"/>
                <w:sz w:val="21"/>
                <w:szCs w:val="21"/>
                <w:highlight w:val="none"/>
                <w:lang w:val="en-US" w:eastAsia="zh-CN"/>
              </w:rPr>
              <w:t>6</w:t>
            </w:r>
          </w:p>
        </w:tc>
        <w:tc>
          <w:tcPr>
            <w:tcW w:w="658" w:type="dxa"/>
            <w:tcBorders>
              <w:top w:val="single" w:color="auto" w:sz="4" w:space="0"/>
              <w:left w:val="single" w:color="auto" w:sz="4" w:space="0"/>
              <w:bottom w:val="single" w:color="auto" w:sz="4" w:space="0"/>
              <w:right w:val="single" w:color="auto" w:sz="4" w:space="0"/>
            </w:tcBorders>
            <w:vAlign w:val="center"/>
          </w:tcPr>
          <w:p w14:paraId="2E1F062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3291D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5AE8F5D4">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4</w:t>
            </w:r>
          </w:p>
        </w:tc>
        <w:tc>
          <w:tcPr>
            <w:tcW w:w="709" w:type="dxa"/>
            <w:vMerge w:val="continue"/>
            <w:tcBorders>
              <w:left w:val="single" w:color="auto" w:sz="4" w:space="0"/>
              <w:right w:val="single" w:color="auto" w:sz="4" w:space="0"/>
            </w:tcBorders>
            <w:noWrap/>
          </w:tcPr>
          <w:p w14:paraId="45D0C180">
            <w:pPr>
              <w:pStyle w:val="19"/>
              <w:pageBreakBefore w:val="0"/>
              <w:kinsoku/>
              <w:wordWrap/>
              <w:overflowPunct/>
              <w:topLinePunct w:val="0"/>
              <w:autoSpaceDE/>
              <w:autoSpaceDN/>
              <w:bidi w:val="0"/>
              <w:adjustRightInd/>
              <w:spacing w:after="0"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6972" w:type="dxa"/>
            <w:tcBorders>
              <w:top w:val="single" w:color="auto" w:sz="4" w:space="0"/>
              <w:left w:val="single" w:color="auto" w:sz="4" w:space="0"/>
              <w:bottom w:val="single" w:color="auto" w:sz="4" w:space="0"/>
              <w:right w:val="single" w:color="auto" w:sz="4" w:space="0"/>
            </w:tcBorders>
            <w:noWrap/>
            <w:vAlign w:val="top"/>
          </w:tcPr>
          <w:p w14:paraId="74109FEA">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rPr>
              <w:t>个案介入</w:t>
            </w:r>
            <w:r>
              <w:rPr>
                <w:rFonts w:hint="eastAsia" w:ascii="微软雅黑" w:hAnsi="微软雅黑" w:eastAsia="微软雅黑" w:cs="微软雅黑"/>
                <w:b w:val="0"/>
                <w:bCs w:val="0"/>
                <w:snapToGrid w:val="0"/>
                <w:color w:val="auto"/>
                <w:kern w:val="0"/>
                <w:sz w:val="21"/>
                <w:szCs w:val="21"/>
                <w:highlight w:val="none"/>
                <w:lang w:val="en-US" w:eastAsia="zh-CN"/>
              </w:rPr>
              <w:t>方案</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749C37C5">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28146C77">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71437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2070002F">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5</w:t>
            </w:r>
          </w:p>
        </w:tc>
        <w:tc>
          <w:tcPr>
            <w:tcW w:w="709" w:type="dxa"/>
            <w:vMerge w:val="continue"/>
            <w:tcBorders>
              <w:left w:val="single" w:color="auto" w:sz="4" w:space="0"/>
              <w:right w:val="single" w:color="auto" w:sz="4" w:space="0"/>
            </w:tcBorders>
            <w:noWrap/>
          </w:tcPr>
          <w:p w14:paraId="07BCB589">
            <w:pPr>
              <w:pStyle w:val="19"/>
              <w:pageBreakBefore w:val="0"/>
              <w:kinsoku/>
              <w:wordWrap/>
              <w:overflowPunct/>
              <w:topLinePunct w:val="0"/>
              <w:autoSpaceDE/>
              <w:autoSpaceDN/>
              <w:bidi w:val="0"/>
              <w:adjustRightInd/>
              <w:spacing w:after="0"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6972" w:type="dxa"/>
            <w:tcBorders>
              <w:top w:val="single" w:color="auto" w:sz="4" w:space="0"/>
              <w:left w:val="single" w:color="auto" w:sz="4" w:space="0"/>
              <w:bottom w:val="single" w:color="auto" w:sz="4" w:space="0"/>
              <w:right w:val="single" w:color="auto" w:sz="4" w:space="0"/>
            </w:tcBorders>
            <w:noWrap/>
            <w:vAlign w:val="top"/>
          </w:tcPr>
          <w:p w14:paraId="7E26886D">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rPr>
              <w:t>家庭支持</w:t>
            </w:r>
            <w:r>
              <w:rPr>
                <w:rFonts w:hint="eastAsia" w:ascii="微软雅黑" w:hAnsi="微软雅黑" w:eastAsia="微软雅黑" w:cs="微软雅黑"/>
                <w:b w:val="0"/>
                <w:bCs w:val="0"/>
                <w:snapToGrid w:val="0"/>
                <w:color w:val="auto"/>
                <w:kern w:val="0"/>
                <w:sz w:val="21"/>
                <w:szCs w:val="21"/>
                <w:highlight w:val="none"/>
                <w:lang w:val="en-US" w:eastAsia="zh-CN"/>
              </w:rPr>
              <w:t>方案</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6D8D03BC">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55D541A0">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016D5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1D2CDD40">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6</w:t>
            </w:r>
          </w:p>
        </w:tc>
        <w:tc>
          <w:tcPr>
            <w:tcW w:w="709" w:type="dxa"/>
            <w:vMerge w:val="continue"/>
            <w:tcBorders>
              <w:left w:val="single" w:color="auto" w:sz="4" w:space="0"/>
              <w:right w:val="single" w:color="auto" w:sz="4" w:space="0"/>
            </w:tcBorders>
            <w:noWrap/>
          </w:tcPr>
          <w:p w14:paraId="5D30905A">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6972" w:type="dxa"/>
            <w:tcBorders>
              <w:top w:val="single" w:color="auto" w:sz="4" w:space="0"/>
              <w:left w:val="single" w:color="auto" w:sz="4" w:space="0"/>
              <w:bottom w:val="single" w:color="auto" w:sz="4" w:space="0"/>
              <w:right w:val="single" w:color="auto" w:sz="4" w:space="0"/>
            </w:tcBorders>
            <w:noWrap/>
            <w:vAlign w:val="top"/>
          </w:tcPr>
          <w:p w14:paraId="63020CB5">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rPr>
              <w:t>社区宣导</w:t>
            </w:r>
            <w:r>
              <w:rPr>
                <w:rFonts w:hint="eastAsia" w:ascii="微软雅黑" w:hAnsi="微软雅黑" w:eastAsia="微软雅黑" w:cs="微软雅黑"/>
                <w:b w:val="0"/>
                <w:bCs w:val="0"/>
                <w:snapToGrid w:val="0"/>
                <w:color w:val="auto"/>
                <w:kern w:val="0"/>
                <w:sz w:val="21"/>
                <w:szCs w:val="21"/>
                <w:highlight w:val="none"/>
                <w:lang w:val="en-US" w:eastAsia="zh-CN"/>
              </w:rPr>
              <w:t>方案</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2B1EBE10">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kern w:val="0"/>
                <w:sz w:val="21"/>
                <w:szCs w:val="21"/>
                <w:highlight w:val="none"/>
                <w:lang w:val="en-US"/>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556E3ED5">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kern w:val="0"/>
                <w:sz w:val="21"/>
                <w:szCs w:val="21"/>
                <w:highlight w:val="none"/>
                <w:lang w:val="en-US"/>
              </w:rPr>
            </w:pPr>
            <w:r>
              <w:rPr>
                <w:rFonts w:hint="eastAsia" w:ascii="微软雅黑" w:hAnsi="微软雅黑" w:eastAsia="微软雅黑" w:cs="微软雅黑"/>
                <w:b w:val="0"/>
                <w:bCs w:val="0"/>
                <w:color w:val="auto"/>
                <w:kern w:val="0"/>
                <w:sz w:val="21"/>
                <w:szCs w:val="21"/>
                <w:highlight w:val="none"/>
              </w:rPr>
              <w:t>主观</w:t>
            </w:r>
          </w:p>
        </w:tc>
      </w:tr>
      <w:tr w14:paraId="00461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2316EB1B">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7</w:t>
            </w:r>
          </w:p>
        </w:tc>
        <w:tc>
          <w:tcPr>
            <w:tcW w:w="709" w:type="dxa"/>
            <w:vMerge w:val="continue"/>
            <w:tcBorders>
              <w:left w:val="single" w:color="auto" w:sz="4" w:space="0"/>
              <w:bottom w:val="single" w:color="auto" w:sz="4" w:space="0"/>
              <w:right w:val="single" w:color="auto" w:sz="4" w:space="0"/>
            </w:tcBorders>
            <w:noWrap/>
          </w:tcPr>
          <w:p w14:paraId="41463EE1">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6972" w:type="dxa"/>
            <w:tcBorders>
              <w:top w:val="single" w:color="auto" w:sz="4" w:space="0"/>
              <w:left w:val="single" w:color="auto" w:sz="4" w:space="0"/>
              <w:bottom w:val="single" w:color="auto" w:sz="4" w:space="0"/>
              <w:right w:val="single" w:color="auto" w:sz="4" w:space="0"/>
            </w:tcBorders>
            <w:noWrap/>
            <w:vAlign w:val="top"/>
          </w:tcPr>
          <w:p w14:paraId="0DDC237F">
            <w:pPr>
              <w:pStyle w:val="2"/>
              <w:pageBreakBefore w:val="0"/>
              <w:kinsoku/>
              <w:wordWrap/>
              <w:overflowPunct/>
              <w:topLinePunct w:val="0"/>
              <w:autoSpaceDE/>
              <w:autoSpaceDN/>
              <w:bidi w:val="0"/>
              <w:adjustRightInd/>
              <w:spacing w:line="240" w:lineRule="auto"/>
              <w:ind w:firstLine="0" w:firstLineChars="0"/>
              <w:jc w:val="left"/>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kern w:val="2"/>
                <w:sz w:val="21"/>
                <w:szCs w:val="21"/>
                <w:highlight w:val="none"/>
                <w:lang w:val="en-US" w:eastAsia="zh-CN"/>
              </w:rPr>
              <w:t>根据投标单位</w:t>
            </w:r>
            <w:r>
              <w:rPr>
                <w:rFonts w:hint="eastAsia" w:ascii="微软雅黑" w:hAnsi="微软雅黑" w:eastAsia="微软雅黑" w:cs="微软雅黑"/>
                <w:b w:val="0"/>
                <w:bCs w:val="0"/>
                <w:color w:val="auto"/>
                <w:kern w:val="2"/>
                <w:sz w:val="21"/>
                <w:szCs w:val="21"/>
                <w:highlight w:val="none"/>
              </w:rPr>
              <w:t>对</w:t>
            </w:r>
            <w:r>
              <w:rPr>
                <w:rFonts w:hint="eastAsia" w:ascii="微软雅黑" w:hAnsi="微软雅黑" w:eastAsia="微软雅黑" w:cs="微软雅黑"/>
                <w:b w:val="0"/>
                <w:bCs w:val="0"/>
                <w:snapToGrid w:val="0"/>
                <w:color w:val="auto"/>
                <w:kern w:val="0"/>
                <w:sz w:val="21"/>
                <w:szCs w:val="21"/>
                <w:highlight w:val="none"/>
              </w:rPr>
              <w:t>服务功能提升</w:t>
            </w:r>
            <w:r>
              <w:rPr>
                <w:rFonts w:hint="eastAsia" w:ascii="微软雅黑" w:hAnsi="微软雅黑" w:eastAsia="微软雅黑" w:cs="微软雅黑"/>
                <w:b w:val="0"/>
                <w:bCs w:val="0"/>
                <w:snapToGrid w:val="0"/>
                <w:color w:val="auto"/>
                <w:kern w:val="0"/>
                <w:sz w:val="21"/>
                <w:szCs w:val="21"/>
                <w:highlight w:val="none"/>
                <w:lang w:val="en-US" w:eastAsia="zh-CN"/>
              </w:rPr>
              <w:t>方案</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3EE71B70">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431463D1">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3786E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004C96FD">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sz w:val="21"/>
                <w:szCs w:val="21"/>
                <w:highlight w:val="none"/>
                <w:lang w:val="en-US" w:eastAsia="zh-CN"/>
              </w:rPr>
            </w:pPr>
            <w:r>
              <w:rPr>
                <w:rFonts w:hint="eastAsia" w:ascii="微软雅黑" w:hAnsi="微软雅黑" w:cs="微软雅黑"/>
                <w:b w:val="0"/>
                <w:bCs w:val="0"/>
                <w:color w:val="auto"/>
                <w:sz w:val="21"/>
                <w:szCs w:val="21"/>
                <w:highlight w:val="none"/>
                <w:lang w:val="en-US" w:eastAsia="zh-CN"/>
              </w:rPr>
              <w:t>8</w:t>
            </w:r>
          </w:p>
        </w:tc>
        <w:tc>
          <w:tcPr>
            <w:tcW w:w="7681" w:type="dxa"/>
            <w:gridSpan w:val="2"/>
            <w:tcBorders>
              <w:top w:val="single" w:color="auto" w:sz="4" w:space="0"/>
              <w:left w:val="single" w:color="auto" w:sz="4" w:space="0"/>
              <w:bottom w:val="single" w:color="auto" w:sz="4" w:space="0"/>
              <w:right w:val="single" w:color="auto" w:sz="4" w:space="0"/>
            </w:tcBorders>
            <w:noWrap/>
          </w:tcPr>
          <w:p w14:paraId="284E6D84">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cs="微软雅黑"/>
                <w:b w:val="0"/>
                <w:bCs w:val="0"/>
                <w:color w:val="auto"/>
                <w:kern w:val="2"/>
                <w:sz w:val="21"/>
                <w:szCs w:val="21"/>
                <w:highlight w:val="none"/>
                <w:lang w:eastAsia="zh-CN"/>
              </w:rPr>
            </w:pPr>
            <w:r>
              <w:rPr>
                <w:rFonts w:hint="eastAsia" w:ascii="微软雅黑" w:hAnsi="微软雅黑" w:cs="微软雅黑"/>
                <w:b w:val="0"/>
                <w:bCs w:val="0"/>
                <w:color w:val="auto"/>
                <w:sz w:val="21"/>
                <w:szCs w:val="21"/>
                <w:highlight w:val="none"/>
                <w:lang w:eastAsia="zh-CN"/>
              </w:rPr>
              <w:t>投标人需实地勘察</w:t>
            </w:r>
            <w:r>
              <w:rPr>
                <w:rFonts w:hint="eastAsia" w:ascii="微软雅黑" w:hAnsi="微软雅黑" w:eastAsia="微软雅黑" w:cs="微软雅黑"/>
                <w:b w:val="0"/>
                <w:bCs w:val="0"/>
                <w:color w:val="auto"/>
                <w:sz w:val="21"/>
                <w:szCs w:val="21"/>
                <w:highlight w:val="none"/>
              </w:rPr>
              <w:t>全区</w:t>
            </w:r>
            <w:r>
              <w:rPr>
                <w:rFonts w:hint="eastAsia" w:ascii="微软雅黑" w:hAnsi="微软雅黑" w:cs="微软雅黑"/>
                <w:b w:val="0"/>
                <w:bCs w:val="0"/>
                <w:color w:val="auto"/>
                <w:sz w:val="21"/>
                <w:szCs w:val="21"/>
                <w:highlight w:val="none"/>
                <w:lang w:eastAsia="zh-CN"/>
              </w:rPr>
              <w:t>关于本项目的</w:t>
            </w:r>
            <w:r>
              <w:rPr>
                <w:rFonts w:hint="eastAsia" w:ascii="微软雅黑" w:hAnsi="微软雅黑" w:eastAsia="微软雅黑" w:cs="微软雅黑"/>
                <w:snapToGrid w:val="0"/>
                <w:color w:val="auto"/>
                <w:kern w:val="0"/>
                <w:sz w:val="21"/>
                <w:szCs w:val="21"/>
                <w:highlight w:val="none"/>
              </w:rPr>
              <w:t>机构(站点)</w:t>
            </w:r>
            <w:r>
              <w:rPr>
                <w:rFonts w:hint="eastAsia" w:ascii="微软雅黑" w:hAnsi="微软雅黑" w:cs="微软雅黑"/>
                <w:snapToGrid w:val="0"/>
                <w:color w:val="auto"/>
                <w:kern w:val="0"/>
                <w:sz w:val="21"/>
                <w:szCs w:val="21"/>
                <w:highlight w:val="none"/>
                <w:lang w:eastAsia="zh-CN"/>
              </w:rPr>
              <w:t>，对站点的建设提供详细设计方案，根据设计方案的平面图、效果图</w:t>
            </w:r>
            <w:r>
              <w:rPr>
                <w:rFonts w:hint="eastAsia" w:ascii="微软雅黑" w:hAnsi="微软雅黑" w:eastAsia="微软雅黑" w:cs="微软雅黑"/>
                <w:b w:val="0"/>
                <w:bCs w:val="0"/>
                <w:color w:val="auto"/>
                <w:kern w:val="2"/>
                <w:sz w:val="21"/>
                <w:szCs w:val="21"/>
                <w:highlight w:val="none"/>
              </w:rPr>
              <w:t>是否与采购需求符合性或匹配度进行打分</w:t>
            </w:r>
            <w:r>
              <w:rPr>
                <w:rFonts w:hint="eastAsia" w:ascii="微软雅黑" w:hAnsi="微软雅黑" w:cs="微软雅黑"/>
                <w:b w:val="0"/>
                <w:bCs w:val="0"/>
                <w:color w:val="auto"/>
                <w:kern w:val="2"/>
                <w:sz w:val="21"/>
                <w:szCs w:val="21"/>
                <w:highlight w:val="none"/>
                <w:lang w:eastAsia="zh-CN"/>
              </w:rPr>
              <w:t>；平面图打分范围（</w:t>
            </w:r>
            <w:r>
              <w:rPr>
                <w:rFonts w:hint="eastAsia" w:ascii="微软雅黑" w:hAnsi="微软雅黑" w:eastAsia="微软雅黑" w:cs="微软雅黑"/>
                <w:b w:val="0"/>
                <w:bCs w:val="0"/>
                <w:color w:val="auto"/>
                <w:kern w:val="2"/>
                <w:sz w:val="21"/>
                <w:szCs w:val="21"/>
                <w:highlight w:val="none"/>
              </w:rPr>
              <w:t>满分</w:t>
            </w:r>
            <w:r>
              <w:rPr>
                <w:rFonts w:hint="eastAsia" w:ascii="微软雅黑" w:hAnsi="微软雅黑" w:cs="微软雅黑"/>
                <w:b w:val="0"/>
                <w:bCs w:val="0"/>
                <w:color w:val="auto"/>
                <w:kern w:val="2"/>
                <w:sz w:val="21"/>
                <w:szCs w:val="21"/>
                <w:highlight w:val="none"/>
                <w:lang w:val="en-US" w:eastAsia="zh-CN"/>
              </w:rPr>
              <w:t>3</w:t>
            </w:r>
            <w:r>
              <w:rPr>
                <w:rFonts w:hint="eastAsia" w:ascii="微软雅黑" w:hAnsi="微软雅黑" w:eastAsia="微软雅黑" w:cs="微软雅黑"/>
                <w:b w:val="0"/>
                <w:bCs w:val="0"/>
                <w:color w:val="auto"/>
                <w:kern w:val="2"/>
                <w:sz w:val="21"/>
                <w:szCs w:val="21"/>
                <w:highlight w:val="none"/>
              </w:rPr>
              <w:t>分，评分范围3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1，不提供方案不得分</w:t>
            </w:r>
            <w:r>
              <w:rPr>
                <w:rFonts w:hint="eastAsia" w:ascii="微软雅黑" w:hAnsi="微软雅黑" w:cs="微软雅黑"/>
                <w:b w:val="0"/>
                <w:bCs w:val="0"/>
                <w:color w:val="auto"/>
                <w:kern w:val="2"/>
                <w:sz w:val="21"/>
                <w:szCs w:val="21"/>
                <w:highlight w:val="none"/>
                <w:lang w:eastAsia="zh-CN"/>
              </w:rPr>
              <w:t>）；</w:t>
            </w:r>
          </w:p>
          <w:p w14:paraId="5D892FDA">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cs="微软雅黑"/>
                <w:b w:val="0"/>
                <w:bCs w:val="0"/>
                <w:color w:val="auto"/>
                <w:kern w:val="2"/>
                <w:sz w:val="21"/>
                <w:szCs w:val="21"/>
                <w:highlight w:val="none"/>
                <w:lang w:val="en-US" w:eastAsia="zh-CN"/>
              </w:rPr>
            </w:pPr>
            <w:r>
              <w:rPr>
                <w:rFonts w:hint="eastAsia" w:ascii="微软雅黑" w:hAnsi="微软雅黑" w:cs="微软雅黑"/>
                <w:b w:val="0"/>
                <w:bCs w:val="0"/>
                <w:color w:val="auto"/>
                <w:kern w:val="2"/>
                <w:sz w:val="21"/>
                <w:szCs w:val="21"/>
                <w:highlight w:val="none"/>
                <w:lang w:val="en-US" w:eastAsia="zh-CN"/>
              </w:rPr>
              <w:t>效果图打分范围</w:t>
            </w:r>
            <w:r>
              <w:rPr>
                <w:rFonts w:hint="eastAsia" w:ascii="微软雅黑" w:hAnsi="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满分</w:t>
            </w:r>
            <w:r>
              <w:rPr>
                <w:rFonts w:hint="eastAsia" w:ascii="微软雅黑" w:hAnsi="微软雅黑" w:cs="微软雅黑"/>
                <w:b w:val="0"/>
                <w:bCs w:val="0"/>
                <w:color w:val="auto"/>
                <w:kern w:val="2"/>
                <w:sz w:val="21"/>
                <w:szCs w:val="21"/>
                <w:highlight w:val="none"/>
                <w:lang w:val="en-US" w:eastAsia="zh-CN"/>
              </w:rPr>
              <w:t>3</w:t>
            </w:r>
            <w:r>
              <w:rPr>
                <w:rFonts w:hint="eastAsia" w:ascii="微软雅黑" w:hAnsi="微软雅黑" w:eastAsia="微软雅黑" w:cs="微软雅黑"/>
                <w:b w:val="0"/>
                <w:bCs w:val="0"/>
                <w:color w:val="auto"/>
                <w:kern w:val="2"/>
                <w:sz w:val="21"/>
                <w:szCs w:val="21"/>
                <w:highlight w:val="none"/>
              </w:rPr>
              <w:t>分，评分范围3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0B87995A">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cs="微软雅黑"/>
                <w:b w:val="0"/>
                <w:bCs w:val="0"/>
                <w:color w:val="auto"/>
                <w:kern w:val="0"/>
                <w:sz w:val="21"/>
                <w:szCs w:val="21"/>
                <w:highlight w:val="none"/>
                <w:lang w:val="en-US" w:eastAsia="zh-CN"/>
              </w:rPr>
            </w:pPr>
            <w:r>
              <w:rPr>
                <w:rFonts w:hint="eastAsia" w:ascii="微软雅黑" w:hAnsi="微软雅黑" w:cs="微软雅黑"/>
                <w:b w:val="0"/>
                <w:bCs w:val="0"/>
                <w:color w:val="auto"/>
                <w:kern w:val="0"/>
                <w:sz w:val="21"/>
                <w:szCs w:val="21"/>
                <w:highlight w:val="none"/>
                <w:lang w:val="en-US" w:eastAsia="zh-CN"/>
              </w:rPr>
              <w:t>6</w:t>
            </w:r>
          </w:p>
        </w:tc>
        <w:tc>
          <w:tcPr>
            <w:tcW w:w="658" w:type="dxa"/>
            <w:tcBorders>
              <w:top w:val="single" w:color="auto" w:sz="4" w:space="0"/>
              <w:left w:val="single" w:color="auto" w:sz="4" w:space="0"/>
              <w:bottom w:val="single" w:color="auto" w:sz="4" w:space="0"/>
              <w:right w:val="single" w:color="auto" w:sz="4" w:space="0"/>
            </w:tcBorders>
            <w:vAlign w:val="center"/>
          </w:tcPr>
          <w:p w14:paraId="6941F2C4">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eastAsia="zh-CN"/>
              </w:rPr>
              <w:t>主观</w:t>
            </w:r>
          </w:p>
        </w:tc>
      </w:tr>
      <w:tr w14:paraId="23268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44C174D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cs="微软雅黑"/>
                <w:b w:val="0"/>
                <w:bCs w:val="0"/>
                <w:color w:val="auto"/>
                <w:sz w:val="21"/>
                <w:szCs w:val="21"/>
                <w:highlight w:val="none"/>
                <w:lang w:val="en-US" w:eastAsia="zh-CN"/>
              </w:rPr>
              <w:t>9</w:t>
            </w:r>
          </w:p>
        </w:tc>
        <w:tc>
          <w:tcPr>
            <w:tcW w:w="7681" w:type="dxa"/>
            <w:gridSpan w:val="2"/>
            <w:tcBorders>
              <w:top w:val="single" w:color="auto" w:sz="4" w:space="0"/>
              <w:left w:val="single" w:color="auto" w:sz="4" w:space="0"/>
              <w:bottom w:val="single" w:color="auto" w:sz="4" w:space="0"/>
              <w:right w:val="single" w:color="auto" w:sz="4" w:space="0"/>
            </w:tcBorders>
            <w:noWrap/>
          </w:tcPr>
          <w:p w14:paraId="4CAC8BF6">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服务宣传方案</w:t>
            </w:r>
          </w:p>
          <w:p w14:paraId="1282421F">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根据各投标人提供的康复服务宣传方案（宣传内容包含项目服务内容、社区康复服务政策、精神障碍患者政策法规等方面）</w:t>
            </w:r>
            <w:r>
              <w:rPr>
                <w:rFonts w:hint="eastAsia" w:ascii="微软雅黑" w:hAnsi="微软雅黑" w:eastAsia="微软雅黑" w:cs="微软雅黑"/>
                <w:b w:val="0"/>
                <w:bCs w:val="0"/>
                <w:color w:val="auto"/>
                <w:sz w:val="21"/>
                <w:szCs w:val="21"/>
                <w:highlight w:val="none"/>
                <w:lang w:val="en-US" w:eastAsia="zh-CN"/>
              </w:rPr>
              <w:t>是否</w:t>
            </w:r>
            <w:r>
              <w:rPr>
                <w:rFonts w:hint="eastAsia" w:ascii="微软雅黑" w:hAnsi="微软雅黑" w:eastAsia="微软雅黑" w:cs="微软雅黑"/>
                <w:b w:val="0"/>
                <w:bCs w:val="0"/>
                <w:color w:val="auto"/>
                <w:sz w:val="21"/>
                <w:szCs w:val="21"/>
                <w:highlight w:val="none"/>
              </w:rPr>
              <w:t>有利于项目整体运作</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2A2F6C5D">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785D021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5ED38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1777A6B7">
            <w:pPr>
              <w:pageBreakBefore w:val="0"/>
              <w:widowControl/>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sz w:val="21"/>
                <w:szCs w:val="21"/>
                <w:highlight w:val="none"/>
                <w:lang w:val="en-US" w:eastAsia="zh-CN"/>
              </w:rPr>
            </w:pPr>
            <w:r>
              <w:rPr>
                <w:rFonts w:hint="eastAsia" w:ascii="微软雅黑" w:hAnsi="微软雅黑" w:cs="微软雅黑"/>
                <w:b w:val="0"/>
                <w:bCs w:val="0"/>
                <w:color w:val="auto"/>
                <w:sz w:val="21"/>
                <w:szCs w:val="21"/>
                <w:highlight w:val="none"/>
                <w:lang w:val="en-US" w:eastAsia="zh-CN"/>
              </w:rPr>
              <w:t>10</w:t>
            </w:r>
          </w:p>
        </w:tc>
        <w:tc>
          <w:tcPr>
            <w:tcW w:w="7681" w:type="dxa"/>
            <w:gridSpan w:val="2"/>
            <w:tcBorders>
              <w:top w:val="single" w:color="auto" w:sz="4" w:space="0"/>
              <w:left w:val="single" w:color="auto" w:sz="4" w:space="0"/>
              <w:bottom w:val="single" w:color="auto" w:sz="4" w:space="0"/>
              <w:right w:val="single" w:color="auto" w:sz="4" w:space="0"/>
            </w:tcBorders>
            <w:noWrap/>
          </w:tcPr>
          <w:p w14:paraId="5030AA59">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服务团队考核管理方案</w:t>
            </w:r>
          </w:p>
          <w:p w14:paraId="0C4825E0">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根据各投标人提供的服务团队考核管理方案，包括考核标准明确、执行措施清晰、奖罚淘汰机制</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46E1B1BB">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5B6C24FB">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5B813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75D28114">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1</w:t>
            </w:r>
            <w:r>
              <w:rPr>
                <w:rFonts w:hint="eastAsia" w:ascii="微软雅黑" w:hAnsi="微软雅黑" w:cs="微软雅黑"/>
                <w:b w:val="0"/>
                <w:bCs w:val="0"/>
                <w:color w:val="auto"/>
                <w:sz w:val="21"/>
                <w:szCs w:val="21"/>
                <w:highlight w:val="none"/>
                <w:lang w:val="en-US" w:eastAsia="zh-CN"/>
              </w:rPr>
              <w:t>1</w:t>
            </w:r>
          </w:p>
        </w:tc>
        <w:tc>
          <w:tcPr>
            <w:tcW w:w="7681" w:type="dxa"/>
            <w:gridSpan w:val="2"/>
            <w:tcBorders>
              <w:top w:val="single" w:color="auto" w:sz="4" w:space="0"/>
              <w:left w:val="single" w:color="auto" w:sz="4" w:space="0"/>
              <w:bottom w:val="single" w:color="auto" w:sz="4" w:space="0"/>
              <w:right w:val="single" w:color="auto" w:sz="4" w:space="0"/>
            </w:tcBorders>
            <w:noWrap/>
          </w:tcPr>
          <w:p w14:paraId="27AEC970">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服务特色方案</w:t>
            </w:r>
          </w:p>
          <w:p w14:paraId="77729A30">
            <w:pPr>
              <w:pStyle w:val="19"/>
              <w:pageBreakBefore w:val="0"/>
              <w:kinsoku/>
              <w:wordWrap/>
              <w:overflowPunct/>
              <w:topLinePunct w:val="0"/>
              <w:autoSpaceDE/>
              <w:autoSpaceDN/>
              <w:bidi w:val="0"/>
              <w:adjustRightInd/>
              <w:spacing w:after="0"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根据各投标人提供的服务特色方案，方案按项目实际情况结合闽东地区本地资源合理制定适合的特色方案</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02920EBD">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384C2055">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3BFA2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0"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06E0BC3D">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1</w:t>
            </w:r>
            <w:r>
              <w:rPr>
                <w:rFonts w:hint="eastAsia" w:ascii="微软雅黑" w:hAnsi="微软雅黑" w:cs="微软雅黑"/>
                <w:b w:val="0"/>
                <w:bCs w:val="0"/>
                <w:color w:val="auto"/>
                <w:sz w:val="21"/>
                <w:szCs w:val="21"/>
                <w:highlight w:val="none"/>
                <w:lang w:val="en-US" w:eastAsia="zh-CN"/>
              </w:rPr>
              <w:t>2</w:t>
            </w:r>
          </w:p>
        </w:tc>
        <w:tc>
          <w:tcPr>
            <w:tcW w:w="7681" w:type="dxa"/>
            <w:gridSpan w:val="2"/>
            <w:tcBorders>
              <w:top w:val="single" w:color="auto" w:sz="4" w:space="0"/>
              <w:left w:val="single" w:color="auto" w:sz="4" w:space="0"/>
              <w:bottom w:val="single" w:color="auto" w:sz="4" w:space="0"/>
              <w:right w:val="single" w:color="auto" w:sz="4" w:space="0"/>
            </w:tcBorders>
            <w:noWrap/>
          </w:tcPr>
          <w:p w14:paraId="2B43A3D4">
            <w:pPr>
              <w:pageBreakBefore w:val="0"/>
              <w:widowControl/>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人员培训方案</w:t>
            </w:r>
          </w:p>
          <w:p w14:paraId="4549755F">
            <w:pPr>
              <w:pageBreakBefore w:val="0"/>
              <w:widowControl/>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根据各投标人提供的人员培训方案(包括岗前培训、定期培训等)</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5/</w:t>
            </w:r>
            <w:r>
              <w:rPr>
                <w:rFonts w:hint="eastAsia" w:ascii="微软雅黑" w:hAnsi="微软雅黑" w:eastAsia="微软雅黑" w:cs="微软雅黑"/>
                <w:b w:val="0"/>
                <w:bCs w:val="0"/>
                <w:color w:val="auto"/>
                <w:kern w:val="2"/>
                <w:sz w:val="21"/>
                <w:szCs w:val="21"/>
                <w:highlight w:val="none"/>
              </w:rPr>
              <w:t>4</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2E288691">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63BF4656">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6846D1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079E52F1">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eastAsia="微软雅黑" w:cs="微软雅黑"/>
                <w:b w:val="0"/>
                <w:bCs w:val="0"/>
                <w:color w:val="auto"/>
                <w:kern w:val="0"/>
                <w:sz w:val="21"/>
                <w:szCs w:val="21"/>
                <w:highlight w:val="none"/>
              </w:rPr>
              <w:t>1</w:t>
            </w:r>
            <w:r>
              <w:rPr>
                <w:rFonts w:hint="eastAsia" w:ascii="微软雅黑" w:hAnsi="微软雅黑" w:cs="微软雅黑"/>
                <w:b w:val="0"/>
                <w:bCs w:val="0"/>
                <w:color w:val="auto"/>
                <w:kern w:val="0"/>
                <w:sz w:val="21"/>
                <w:szCs w:val="21"/>
                <w:highlight w:val="none"/>
                <w:lang w:val="en-US" w:eastAsia="zh-CN"/>
              </w:rPr>
              <w:t>3</w:t>
            </w:r>
          </w:p>
        </w:tc>
        <w:tc>
          <w:tcPr>
            <w:tcW w:w="7681" w:type="dxa"/>
            <w:gridSpan w:val="2"/>
            <w:tcBorders>
              <w:top w:val="single" w:color="auto" w:sz="4" w:space="0"/>
              <w:left w:val="single" w:color="auto" w:sz="4" w:space="0"/>
              <w:bottom w:val="single" w:color="auto" w:sz="4" w:space="0"/>
              <w:right w:val="single" w:color="auto" w:sz="4" w:space="0"/>
            </w:tcBorders>
            <w:noWrap/>
          </w:tcPr>
          <w:p w14:paraId="67C08CD9">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安全应急预案措施</w:t>
            </w:r>
          </w:p>
          <w:p w14:paraId="47C7A048">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根据投标人提供的安全保障及应急预案措施（如室外安全、水电安全、食宿安全、自然灾害应急等）</w:t>
            </w:r>
            <w:r>
              <w:rPr>
                <w:rFonts w:hint="eastAsia" w:ascii="微软雅黑" w:hAnsi="微软雅黑" w:eastAsia="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是否与采购需求符合性或匹配度进行打分（满分</w:t>
            </w:r>
            <w:r>
              <w:rPr>
                <w:rFonts w:hint="eastAsia" w:ascii="微软雅黑" w:hAnsi="微软雅黑" w:cs="微软雅黑"/>
                <w:b w:val="0"/>
                <w:bCs w:val="0"/>
                <w:color w:val="auto"/>
                <w:kern w:val="2"/>
                <w:sz w:val="21"/>
                <w:szCs w:val="21"/>
                <w:highlight w:val="none"/>
                <w:lang w:val="en-US" w:eastAsia="zh-CN"/>
              </w:rPr>
              <w:t>3</w:t>
            </w:r>
            <w:r>
              <w:rPr>
                <w:rFonts w:hint="eastAsia" w:ascii="微软雅黑" w:hAnsi="微软雅黑" w:eastAsia="微软雅黑" w:cs="微软雅黑"/>
                <w:b w:val="0"/>
                <w:bCs w:val="0"/>
                <w:color w:val="auto"/>
                <w:kern w:val="2"/>
                <w:sz w:val="21"/>
                <w:szCs w:val="21"/>
                <w:highlight w:val="none"/>
              </w:rPr>
              <w:t>分，评分范围</w:t>
            </w:r>
            <w:r>
              <w:rPr>
                <w:rFonts w:hint="eastAsia" w:ascii="微软雅黑" w:hAnsi="微软雅黑" w:cs="微软雅黑"/>
                <w:b w:val="0"/>
                <w:bCs w:val="0"/>
                <w:color w:val="auto"/>
                <w:kern w:val="2"/>
                <w:sz w:val="21"/>
                <w:szCs w:val="21"/>
                <w:highlight w:val="none"/>
                <w:lang w:val="en-US" w:eastAsia="zh-CN"/>
              </w:rPr>
              <w:t xml:space="preserve"> </w:t>
            </w:r>
            <w:r>
              <w:rPr>
                <w:rFonts w:hint="eastAsia" w:ascii="微软雅黑" w:hAnsi="微软雅黑" w:eastAsia="微软雅黑" w:cs="微软雅黑"/>
                <w:b w:val="0"/>
                <w:bCs w:val="0"/>
                <w:color w:val="auto"/>
                <w:kern w:val="2"/>
                <w:sz w:val="21"/>
                <w:szCs w:val="21"/>
                <w:highlight w:val="none"/>
              </w:rPr>
              <w:t>3</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2</w:t>
            </w:r>
            <w:r>
              <w:rPr>
                <w:rFonts w:hint="eastAsia" w:ascii="微软雅黑" w:hAnsi="微软雅黑" w:eastAsia="微软雅黑" w:cs="微软雅黑"/>
                <w:b w:val="0"/>
                <w:bCs w:val="0"/>
                <w:color w:val="auto"/>
                <w:kern w:val="2"/>
                <w:sz w:val="21"/>
                <w:szCs w:val="21"/>
                <w:highlight w:val="none"/>
                <w:lang w:val="en-US" w:eastAsia="zh-CN"/>
              </w:rPr>
              <w:t>/</w:t>
            </w:r>
            <w:r>
              <w:rPr>
                <w:rFonts w:hint="eastAsia" w:ascii="微软雅黑" w:hAnsi="微软雅黑" w:eastAsia="微软雅黑" w:cs="微软雅黑"/>
                <w:b w:val="0"/>
                <w:bCs w:val="0"/>
                <w:color w:val="auto"/>
                <w:kern w:val="2"/>
                <w:sz w:val="21"/>
                <w:szCs w:val="21"/>
                <w:highlight w:val="none"/>
              </w:rPr>
              <w:t>1</w:t>
            </w:r>
            <w:r>
              <w:rPr>
                <w:rFonts w:hint="eastAsia" w:ascii="微软雅黑" w:hAnsi="微软雅黑" w:eastAsia="微软雅黑" w:cs="微软雅黑"/>
                <w:b w:val="0"/>
                <w:bCs w:val="0"/>
                <w:color w:val="auto"/>
                <w:kern w:val="2"/>
                <w:sz w:val="21"/>
                <w:szCs w:val="21"/>
                <w:highlight w:val="none"/>
                <w:lang w:eastAsia="zh-CN"/>
              </w:rPr>
              <w:t>）</w:t>
            </w:r>
            <w:r>
              <w:rPr>
                <w:rFonts w:hint="eastAsia" w:ascii="微软雅黑" w:hAnsi="微软雅黑" w:eastAsia="微软雅黑" w:cs="微软雅黑"/>
                <w:b w:val="0"/>
                <w:bCs w:val="0"/>
                <w:color w:val="auto"/>
                <w:kern w:val="2"/>
                <w:sz w:val="21"/>
                <w:szCs w:val="21"/>
                <w:highlight w:val="none"/>
              </w:rPr>
              <w:t>，不提供方案不得分</w:t>
            </w:r>
            <w:r>
              <w:rPr>
                <w:rFonts w:hint="eastAsia" w:ascii="微软雅黑" w:hAnsi="微软雅黑" w:cs="微软雅黑"/>
                <w:b w:val="0"/>
                <w:bCs w:val="0"/>
                <w:color w:val="auto"/>
                <w:kern w:val="2"/>
                <w:sz w:val="21"/>
                <w:szCs w:val="21"/>
                <w:highlight w:val="none"/>
                <w:lang w:eastAsia="zh-CN"/>
              </w:rPr>
              <w:t>。</w:t>
            </w:r>
          </w:p>
        </w:tc>
        <w:tc>
          <w:tcPr>
            <w:tcW w:w="765" w:type="dxa"/>
            <w:tcBorders>
              <w:top w:val="single" w:color="auto" w:sz="4" w:space="0"/>
              <w:left w:val="single" w:color="auto" w:sz="4" w:space="0"/>
              <w:bottom w:val="single" w:color="auto" w:sz="4" w:space="0"/>
              <w:right w:val="single" w:color="auto" w:sz="4" w:space="0"/>
            </w:tcBorders>
            <w:noWrap/>
            <w:vAlign w:val="center"/>
          </w:tcPr>
          <w:p w14:paraId="505CCD70">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eastAsia="zh-CN"/>
              </w:rPr>
            </w:pPr>
            <w:r>
              <w:rPr>
                <w:rFonts w:hint="eastAsia" w:ascii="微软雅黑" w:hAnsi="微软雅黑" w:cs="微软雅黑"/>
                <w:b w:val="0"/>
                <w:bCs w:val="0"/>
                <w:color w:val="auto"/>
                <w:kern w:val="0"/>
                <w:sz w:val="21"/>
                <w:szCs w:val="21"/>
                <w:highlight w:val="none"/>
                <w:lang w:val="en-US" w:eastAsia="zh-CN"/>
              </w:rPr>
              <w:t>3</w:t>
            </w:r>
          </w:p>
        </w:tc>
        <w:tc>
          <w:tcPr>
            <w:tcW w:w="658" w:type="dxa"/>
            <w:tcBorders>
              <w:top w:val="single" w:color="auto" w:sz="4" w:space="0"/>
              <w:left w:val="single" w:color="auto" w:sz="4" w:space="0"/>
              <w:bottom w:val="single" w:color="auto" w:sz="4" w:space="0"/>
              <w:right w:val="single" w:color="auto" w:sz="4" w:space="0"/>
            </w:tcBorders>
            <w:vAlign w:val="center"/>
          </w:tcPr>
          <w:p w14:paraId="13420F04">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r>
              <w:rPr>
                <w:rFonts w:hint="eastAsia" w:ascii="微软雅黑" w:hAnsi="微软雅黑" w:eastAsia="微软雅黑" w:cs="微软雅黑"/>
                <w:b w:val="0"/>
                <w:bCs w:val="0"/>
                <w:color w:val="auto"/>
                <w:kern w:val="0"/>
                <w:sz w:val="21"/>
                <w:szCs w:val="21"/>
                <w:highlight w:val="none"/>
              </w:rPr>
              <w:t>主观</w:t>
            </w:r>
          </w:p>
        </w:tc>
      </w:tr>
      <w:tr w14:paraId="3299B6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4BC11241">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1</w:t>
            </w:r>
            <w:r>
              <w:rPr>
                <w:rFonts w:hint="eastAsia" w:ascii="微软雅黑" w:hAnsi="微软雅黑" w:cs="微软雅黑"/>
                <w:b w:val="0"/>
                <w:bCs w:val="0"/>
                <w:color w:val="auto"/>
                <w:kern w:val="0"/>
                <w:sz w:val="21"/>
                <w:szCs w:val="21"/>
                <w:highlight w:val="none"/>
                <w:lang w:val="en-US" w:eastAsia="zh-CN"/>
              </w:rPr>
              <w:t>4</w:t>
            </w:r>
          </w:p>
        </w:tc>
        <w:tc>
          <w:tcPr>
            <w:tcW w:w="7681" w:type="dxa"/>
            <w:gridSpan w:val="2"/>
            <w:tcBorders>
              <w:top w:val="single" w:color="auto" w:sz="4" w:space="0"/>
              <w:left w:val="single" w:color="auto" w:sz="4" w:space="0"/>
              <w:bottom w:val="single" w:color="auto" w:sz="4" w:space="0"/>
              <w:right w:val="single" w:color="auto" w:sz="4" w:space="0"/>
            </w:tcBorders>
            <w:noWrap/>
          </w:tcPr>
          <w:p w14:paraId="24F490A5">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项目负责人</w:t>
            </w:r>
          </w:p>
          <w:p w14:paraId="326AC5FF">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根据各投标人为本项目拟投入项目负责人：拥有社工专业本科学历且持有社会工作师资格的得3分；拥有社工专业本科学历且持有助理社会工作师资格的得2分；拥有社工专业本科学历的得1分；须提供人员有效相关证书复印件及投标截止时间前</w:t>
            </w:r>
            <w:r>
              <w:rPr>
                <w:rFonts w:hint="eastAsia" w:ascii="微软雅黑" w:hAnsi="微软雅黑" w:eastAsia="微软雅黑" w:cs="微软雅黑"/>
                <w:b w:val="0"/>
                <w:bCs w:val="0"/>
                <w:color w:val="auto"/>
                <w:sz w:val="21"/>
                <w:szCs w:val="21"/>
                <w:highlight w:val="none"/>
                <w:lang w:val="en-US" w:eastAsia="zh-CN"/>
              </w:rPr>
              <w:t>3</w:t>
            </w:r>
            <w:r>
              <w:rPr>
                <w:rFonts w:hint="eastAsia" w:ascii="微软雅黑" w:hAnsi="微软雅黑" w:eastAsia="微软雅黑" w:cs="微软雅黑"/>
                <w:b w:val="0"/>
                <w:bCs w:val="0"/>
                <w:color w:val="auto"/>
                <w:sz w:val="21"/>
                <w:szCs w:val="21"/>
                <w:highlight w:val="none"/>
              </w:rPr>
              <w:t>个月内（不含投标当月）任意一个月投标人为其缴纳的社保证明材料，未提供或提供不齐全的不得分。（注：以上人员与其他项人员不重复得分）</w:t>
            </w:r>
          </w:p>
        </w:tc>
        <w:tc>
          <w:tcPr>
            <w:tcW w:w="765" w:type="dxa"/>
            <w:tcBorders>
              <w:top w:val="single" w:color="auto" w:sz="4" w:space="0"/>
              <w:left w:val="single" w:color="auto" w:sz="4" w:space="0"/>
              <w:bottom w:val="single" w:color="auto" w:sz="4" w:space="0"/>
              <w:right w:val="single" w:color="auto" w:sz="4" w:space="0"/>
            </w:tcBorders>
            <w:noWrap/>
            <w:vAlign w:val="center"/>
          </w:tcPr>
          <w:p w14:paraId="4B41BE1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3</w:t>
            </w:r>
          </w:p>
        </w:tc>
        <w:tc>
          <w:tcPr>
            <w:tcW w:w="658" w:type="dxa"/>
            <w:tcBorders>
              <w:top w:val="single" w:color="auto" w:sz="4" w:space="0"/>
              <w:left w:val="single" w:color="auto" w:sz="4" w:space="0"/>
              <w:bottom w:val="single" w:color="auto" w:sz="4" w:space="0"/>
              <w:right w:val="single" w:color="auto" w:sz="4" w:space="0"/>
            </w:tcBorders>
            <w:vAlign w:val="center"/>
          </w:tcPr>
          <w:p w14:paraId="2D5F7983">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客观</w:t>
            </w:r>
          </w:p>
        </w:tc>
      </w:tr>
      <w:tr w14:paraId="101DD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3"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4BE544F2">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1</w:t>
            </w:r>
            <w:r>
              <w:rPr>
                <w:rFonts w:hint="eastAsia" w:ascii="微软雅黑" w:hAnsi="微软雅黑" w:cs="微软雅黑"/>
                <w:b w:val="0"/>
                <w:bCs w:val="0"/>
                <w:color w:val="auto"/>
                <w:kern w:val="0"/>
                <w:sz w:val="21"/>
                <w:szCs w:val="21"/>
                <w:highlight w:val="none"/>
                <w:lang w:val="en-US" w:eastAsia="zh-CN"/>
              </w:rPr>
              <w:t>5</w:t>
            </w:r>
          </w:p>
        </w:tc>
        <w:tc>
          <w:tcPr>
            <w:tcW w:w="7681" w:type="dxa"/>
            <w:gridSpan w:val="2"/>
            <w:tcBorders>
              <w:top w:val="single" w:color="auto" w:sz="4" w:space="0"/>
              <w:left w:val="single" w:color="auto" w:sz="4" w:space="0"/>
              <w:bottom w:val="single" w:color="auto" w:sz="4" w:space="0"/>
              <w:right w:val="single" w:color="auto" w:sz="4" w:space="0"/>
            </w:tcBorders>
            <w:noWrap/>
          </w:tcPr>
          <w:p w14:paraId="19BE219C">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val="en-US" w:eastAsia="zh-CN"/>
              </w:rPr>
            </w:pPr>
            <w:r>
              <w:rPr>
                <w:rFonts w:hint="eastAsia" w:ascii="微软雅黑" w:hAnsi="微软雅黑" w:eastAsia="微软雅黑" w:cs="微软雅黑"/>
                <w:b w:val="0"/>
                <w:bCs w:val="0"/>
                <w:color w:val="auto"/>
                <w:sz w:val="21"/>
                <w:szCs w:val="21"/>
                <w:highlight w:val="none"/>
              </w:rPr>
              <w:t>人员配</w:t>
            </w:r>
            <w:r>
              <w:rPr>
                <w:rFonts w:hint="eastAsia" w:ascii="微软雅黑" w:hAnsi="微软雅黑" w:eastAsia="微软雅黑" w:cs="微软雅黑"/>
                <w:b w:val="0"/>
                <w:bCs w:val="0"/>
                <w:color w:val="auto"/>
                <w:sz w:val="21"/>
                <w:szCs w:val="21"/>
                <w:highlight w:val="none"/>
                <w:lang w:val="en-US" w:eastAsia="zh-CN"/>
              </w:rPr>
              <w:t>备</w:t>
            </w:r>
            <w:r>
              <w:rPr>
                <w:rFonts w:hint="eastAsia" w:ascii="微软雅黑" w:hAnsi="微软雅黑" w:cs="微软雅黑"/>
                <w:b w:val="0"/>
                <w:bCs w:val="0"/>
                <w:color w:val="auto"/>
                <w:sz w:val="21"/>
                <w:szCs w:val="21"/>
                <w:highlight w:val="none"/>
                <w:lang w:val="en-US" w:eastAsia="zh-CN"/>
              </w:rPr>
              <w:t>：</w:t>
            </w:r>
          </w:p>
          <w:p w14:paraId="17A4EA5E">
            <w:pPr>
              <w:pageBreakBefore w:val="0"/>
              <w:numPr>
                <w:ilvl w:val="0"/>
                <w:numId w:val="24"/>
              </w:numPr>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r>
              <w:rPr>
                <w:rFonts w:hint="eastAsia" w:ascii="微软雅黑" w:hAnsi="微软雅黑" w:eastAsia="微软雅黑" w:cs="微软雅黑"/>
                <w:b w:val="0"/>
                <w:bCs w:val="0"/>
                <w:color w:val="auto"/>
                <w:sz w:val="21"/>
                <w:szCs w:val="21"/>
                <w:highlight w:val="none"/>
              </w:rPr>
              <w:t>根据各投标人</w:t>
            </w:r>
            <w:r>
              <w:rPr>
                <w:rFonts w:hint="eastAsia" w:ascii="微软雅黑" w:hAnsi="微软雅黑" w:cs="微软雅黑"/>
                <w:b w:val="0"/>
                <w:bCs w:val="0"/>
                <w:color w:val="auto"/>
                <w:sz w:val="21"/>
                <w:szCs w:val="21"/>
                <w:highlight w:val="none"/>
                <w:lang w:eastAsia="zh-CN"/>
              </w:rPr>
              <w:t>承诺</w:t>
            </w:r>
            <w:r>
              <w:rPr>
                <w:rFonts w:hint="eastAsia" w:ascii="微软雅黑" w:hAnsi="微软雅黑" w:eastAsia="微软雅黑" w:cs="微软雅黑"/>
                <w:b w:val="0"/>
                <w:bCs w:val="0"/>
                <w:color w:val="auto"/>
                <w:sz w:val="21"/>
                <w:szCs w:val="21"/>
                <w:highlight w:val="none"/>
              </w:rPr>
              <w:t>投入本项目的专业社工情况由评标委员会进行评分：</w:t>
            </w:r>
          </w:p>
          <w:p w14:paraId="13020BE7">
            <w:pPr>
              <w:pageBreakBefore w:val="0"/>
              <w:numPr>
                <w:ilvl w:val="0"/>
                <w:numId w:val="0"/>
              </w:numPr>
              <w:kinsoku/>
              <w:wordWrap/>
              <w:overflowPunct/>
              <w:topLinePunct w:val="0"/>
              <w:autoSpaceDE/>
              <w:autoSpaceDN/>
              <w:bidi w:val="0"/>
              <w:adjustRightInd/>
              <w:spacing w:line="240" w:lineRule="auto"/>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rPr>
              <w:t>投入本项目的社会工作者中</w:t>
            </w:r>
            <w:r>
              <w:rPr>
                <w:rFonts w:hint="eastAsia" w:ascii="微软雅黑" w:hAnsi="微软雅黑" w:eastAsia="微软雅黑" w:cs="微软雅黑"/>
                <w:b w:val="0"/>
                <w:bCs w:val="0"/>
                <w:color w:val="auto"/>
                <w:sz w:val="21"/>
                <w:szCs w:val="21"/>
                <w:highlight w:val="none"/>
              </w:rPr>
              <w:t>具有3名助理社会工作师及以上职业资格证书的且为本机构全职社工的得</w:t>
            </w:r>
            <w:r>
              <w:rPr>
                <w:rFonts w:hint="eastAsia" w:ascii="微软雅黑" w:hAnsi="微软雅黑" w:cs="微软雅黑"/>
                <w:b w:val="0"/>
                <w:bCs w:val="0"/>
                <w:color w:val="auto"/>
                <w:sz w:val="21"/>
                <w:szCs w:val="21"/>
                <w:highlight w:val="none"/>
                <w:lang w:val="en-US" w:eastAsia="zh-CN"/>
              </w:rPr>
              <w:t>2</w:t>
            </w:r>
            <w:r>
              <w:rPr>
                <w:rFonts w:hint="eastAsia" w:ascii="微软雅黑" w:hAnsi="微软雅黑" w:eastAsia="微软雅黑" w:cs="微软雅黑"/>
                <w:b w:val="0"/>
                <w:bCs w:val="0"/>
                <w:color w:val="auto"/>
                <w:sz w:val="21"/>
                <w:szCs w:val="21"/>
                <w:highlight w:val="none"/>
              </w:rPr>
              <w:t>分</w:t>
            </w:r>
            <w:r>
              <w:rPr>
                <w:rFonts w:hint="eastAsia" w:ascii="微软雅黑" w:hAnsi="微软雅黑" w:eastAsia="微软雅黑" w:cs="微软雅黑"/>
                <w:b w:val="0"/>
                <w:bCs w:val="0"/>
                <w:color w:val="auto"/>
                <w:sz w:val="21"/>
                <w:szCs w:val="21"/>
                <w:highlight w:val="none"/>
              </w:rPr>
              <w:t>；</w:t>
            </w:r>
            <w:r>
              <w:rPr>
                <w:rFonts w:hint="eastAsia" w:ascii="微软雅黑" w:hAnsi="微软雅黑" w:cs="微软雅黑"/>
                <w:b w:val="0"/>
                <w:bCs w:val="0"/>
                <w:color w:val="auto"/>
                <w:sz w:val="21"/>
                <w:szCs w:val="21"/>
                <w:highlight w:val="none"/>
                <w:lang w:eastAsia="zh-CN"/>
              </w:rPr>
              <w:t>【须提供承诺书（格式自拟），并保证在项目实施过程中，该人员不得更换，确需更换的，需更换同档次或优于的项目实施人员实施本项目，并需报采购单位同意】</w:t>
            </w:r>
          </w:p>
          <w:p w14:paraId="124BB7D6">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lang w:val="en-US" w:eastAsia="zh-CN"/>
              </w:rPr>
              <w:t>2.</w:t>
            </w:r>
            <w:r>
              <w:rPr>
                <w:rFonts w:hint="eastAsia" w:ascii="微软雅黑" w:hAnsi="微软雅黑" w:eastAsia="微软雅黑" w:cs="微软雅黑"/>
                <w:b w:val="0"/>
                <w:bCs w:val="0"/>
                <w:color w:val="auto"/>
                <w:sz w:val="21"/>
                <w:szCs w:val="21"/>
                <w:highlight w:val="none"/>
              </w:rPr>
              <w:t>根据各投标人</w:t>
            </w:r>
            <w:r>
              <w:rPr>
                <w:rFonts w:hint="eastAsia" w:ascii="微软雅黑" w:hAnsi="微软雅黑" w:cs="微软雅黑"/>
                <w:b w:val="0"/>
                <w:bCs w:val="0"/>
                <w:color w:val="auto"/>
                <w:sz w:val="21"/>
                <w:szCs w:val="21"/>
                <w:highlight w:val="none"/>
                <w:lang w:eastAsia="zh-CN"/>
              </w:rPr>
              <w:t>承诺</w:t>
            </w:r>
            <w:r>
              <w:rPr>
                <w:rFonts w:hint="eastAsia" w:ascii="微软雅黑" w:hAnsi="微软雅黑" w:eastAsia="微软雅黑" w:cs="微软雅黑"/>
                <w:b w:val="0"/>
                <w:bCs w:val="0"/>
                <w:color w:val="auto"/>
                <w:sz w:val="21"/>
                <w:szCs w:val="21"/>
                <w:highlight w:val="none"/>
              </w:rPr>
              <w:t>投入本项目的</w:t>
            </w:r>
            <w:r>
              <w:rPr>
                <w:rFonts w:hint="eastAsia" w:ascii="微软雅黑" w:hAnsi="微软雅黑" w:eastAsia="微软雅黑" w:cs="微软雅黑"/>
                <w:b w:val="0"/>
                <w:bCs w:val="0"/>
                <w:color w:val="auto"/>
                <w:sz w:val="21"/>
                <w:szCs w:val="21"/>
                <w:highlight w:val="none"/>
              </w:rPr>
              <w:t>精神科医生</w:t>
            </w:r>
            <w:r>
              <w:rPr>
                <w:rFonts w:hint="eastAsia" w:ascii="微软雅黑" w:hAnsi="微软雅黑" w:eastAsia="微软雅黑" w:cs="微软雅黑"/>
                <w:b w:val="0"/>
                <w:bCs w:val="0"/>
                <w:color w:val="auto"/>
                <w:sz w:val="21"/>
                <w:szCs w:val="21"/>
                <w:highlight w:val="none"/>
              </w:rPr>
              <w:t>情况由评标委员会进行评分：具有</w:t>
            </w:r>
            <w:r>
              <w:rPr>
                <w:rFonts w:hint="eastAsia" w:ascii="微软雅黑" w:hAnsi="微软雅黑" w:eastAsia="微软雅黑" w:cs="微软雅黑"/>
                <w:b w:val="0"/>
                <w:bCs w:val="0"/>
                <w:color w:val="auto"/>
                <w:sz w:val="21"/>
                <w:szCs w:val="21"/>
                <w:highlight w:val="none"/>
              </w:rPr>
              <w:t>具有中级职称（主治医师）</w:t>
            </w:r>
            <w:r>
              <w:rPr>
                <w:rFonts w:hint="eastAsia" w:ascii="微软雅黑" w:hAnsi="微软雅黑" w:cs="微软雅黑"/>
                <w:b w:val="0"/>
                <w:bCs w:val="0"/>
                <w:color w:val="auto"/>
                <w:sz w:val="21"/>
                <w:szCs w:val="21"/>
                <w:highlight w:val="none"/>
                <w:lang w:eastAsia="zh-CN"/>
              </w:rPr>
              <w:t>及以上</w:t>
            </w:r>
            <w:r>
              <w:rPr>
                <w:rFonts w:hint="eastAsia" w:ascii="微软雅黑" w:hAnsi="微软雅黑" w:eastAsia="微软雅黑" w:cs="微软雅黑"/>
                <w:b w:val="0"/>
                <w:bCs w:val="0"/>
                <w:color w:val="auto"/>
                <w:sz w:val="21"/>
                <w:szCs w:val="21"/>
                <w:highlight w:val="none"/>
              </w:rPr>
              <w:t>的得</w:t>
            </w:r>
            <w:r>
              <w:rPr>
                <w:rFonts w:hint="eastAsia" w:ascii="微软雅黑" w:hAnsi="微软雅黑" w:cs="微软雅黑"/>
                <w:b w:val="0"/>
                <w:bCs w:val="0"/>
                <w:color w:val="auto"/>
                <w:sz w:val="21"/>
                <w:szCs w:val="21"/>
                <w:highlight w:val="none"/>
                <w:lang w:val="en-US" w:eastAsia="zh-CN"/>
              </w:rPr>
              <w:t>1</w:t>
            </w:r>
            <w:r>
              <w:rPr>
                <w:rFonts w:hint="eastAsia" w:ascii="微软雅黑" w:hAnsi="微软雅黑" w:eastAsia="微软雅黑" w:cs="微软雅黑"/>
                <w:b w:val="0"/>
                <w:bCs w:val="0"/>
                <w:color w:val="auto"/>
                <w:sz w:val="21"/>
                <w:szCs w:val="21"/>
                <w:highlight w:val="none"/>
              </w:rPr>
              <w:t>分</w:t>
            </w:r>
            <w:r>
              <w:rPr>
                <w:rFonts w:hint="eastAsia" w:ascii="微软雅黑" w:hAnsi="微软雅黑" w:eastAsia="微软雅黑" w:cs="微软雅黑"/>
                <w:b w:val="0"/>
                <w:bCs w:val="0"/>
                <w:color w:val="auto"/>
                <w:sz w:val="21"/>
                <w:szCs w:val="21"/>
                <w:highlight w:val="none"/>
              </w:rPr>
              <w:t>；</w:t>
            </w:r>
            <w:r>
              <w:rPr>
                <w:rFonts w:hint="eastAsia" w:ascii="微软雅黑" w:hAnsi="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rPr>
              <w:t>须提供人员有效相关证书复印件及有效</w:t>
            </w:r>
            <w:r>
              <w:rPr>
                <w:rFonts w:hint="eastAsia" w:ascii="微软雅黑" w:hAnsi="微软雅黑" w:cs="微软雅黑"/>
                <w:b w:val="0"/>
                <w:bCs w:val="0"/>
                <w:color w:val="auto"/>
                <w:sz w:val="21"/>
                <w:szCs w:val="21"/>
                <w:highlight w:val="none"/>
                <w:lang w:eastAsia="zh-CN"/>
              </w:rPr>
              <w:t>意向</w:t>
            </w:r>
            <w:r>
              <w:rPr>
                <w:rFonts w:hint="eastAsia" w:ascii="微软雅黑" w:hAnsi="微软雅黑" w:eastAsia="微软雅黑" w:cs="微软雅黑"/>
                <w:b w:val="0"/>
                <w:bCs w:val="0"/>
                <w:color w:val="auto"/>
                <w:sz w:val="21"/>
                <w:szCs w:val="21"/>
                <w:highlight w:val="none"/>
              </w:rPr>
              <w:t>聘用合同为佐证材料，未提供或提供不齐全的不得分。</w:t>
            </w:r>
            <w:r>
              <w:rPr>
                <w:rFonts w:hint="eastAsia" w:ascii="微软雅黑" w:hAnsi="微软雅黑" w:cs="微软雅黑"/>
                <w:b w:val="0"/>
                <w:bCs w:val="0"/>
                <w:color w:val="auto"/>
                <w:sz w:val="21"/>
                <w:szCs w:val="21"/>
                <w:highlight w:val="none"/>
                <w:lang w:eastAsia="zh-CN"/>
              </w:rPr>
              <w:t>同时须提供承诺书（格式自拟），并保证在项目实施过程中，该人员不得更换，确需更换的，需更换同档次或优于的项目实施人员实施本项目，并需报采购单位同意】</w:t>
            </w:r>
            <w:r>
              <w:rPr>
                <w:rFonts w:hint="eastAsia" w:ascii="微软雅黑" w:hAnsi="微软雅黑" w:eastAsia="微软雅黑" w:cs="微软雅黑"/>
                <w:b w:val="0"/>
                <w:bCs w:val="0"/>
                <w:color w:val="auto"/>
                <w:sz w:val="21"/>
                <w:szCs w:val="21"/>
                <w:highlight w:val="none"/>
              </w:rPr>
              <w:t>（注：以上人员与其他项人员不重复得分）</w:t>
            </w:r>
          </w:p>
          <w:p w14:paraId="274FBCB3">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eastAsia="zh-CN"/>
              </w:rPr>
            </w:pPr>
            <w:r>
              <w:rPr>
                <w:rFonts w:hint="eastAsia" w:ascii="微软雅黑" w:hAnsi="微软雅黑" w:eastAsia="微软雅黑" w:cs="微软雅黑"/>
                <w:b w:val="0"/>
                <w:bCs w:val="0"/>
                <w:color w:val="auto"/>
                <w:sz w:val="21"/>
                <w:szCs w:val="21"/>
                <w:highlight w:val="none"/>
                <w:lang w:val="en-US" w:eastAsia="zh-CN"/>
              </w:rPr>
              <w:t>3.</w:t>
            </w:r>
            <w:r>
              <w:rPr>
                <w:rFonts w:hint="eastAsia" w:ascii="微软雅黑" w:hAnsi="微软雅黑" w:eastAsia="微软雅黑" w:cs="微软雅黑"/>
                <w:b w:val="0"/>
                <w:bCs w:val="0"/>
                <w:color w:val="auto"/>
                <w:sz w:val="21"/>
                <w:szCs w:val="21"/>
                <w:highlight w:val="none"/>
              </w:rPr>
              <w:t>根据各投标人</w:t>
            </w:r>
            <w:r>
              <w:rPr>
                <w:rFonts w:hint="eastAsia" w:ascii="微软雅黑" w:hAnsi="微软雅黑" w:cs="微软雅黑"/>
                <w:b w:val="0"/>
                <w:bCs w:val="0"/>
                <w:color w:val="auto"/>
                <w:sz w:val="21"/>
                <w:szCs w:val="21"/>
                <w:highlight w:val="none"/>
                <w:lang w:eastAsia="zh-CN"/>
              </w:rPr>
              <w:t>承诺</w:t>
            </w:r>
            <w:r>
              <w:rPr>
                <w:rFonts w:hint="eastAsia" w:ascii="微软雅黑" w:hAnsi="微软雅黑" w:eastAsia="微软雅黑" w:cs="微软雅黑"/>
                <w:b w:val="0"/>
                <w:bCs w:val="0"/>
                <w:color w:val="auto"/>
                <w:sz w:val="21"/>
                <w:szCs w:val="21"/>
                <w:highlight w:val="none"/>
              </w:rPr>
              <w:t>投入本项目的护师情况由评标委员会进行评分：</w:t>
            </w:r>
            <w:r>
              <w:rPr>
                <w:rFonts w:hint="eastAsia" w:ascii="微软雅黑" w:hAnsi="微软雅黑" w:eastAsia="微软雅黑" w:cs="微软雅黑"/>
                <w:b w:val="0"/>
                <w:bCs w:val="0"/>
                <w:color w:val="auto"/>
                <w:sz w:val="21"/>
                <w:szCs w:val="21"/>
                <w:highlight w:val="none"/>
              </w:rPr>
              <w:t>具有主管护师或副主任护师</w:t>
            </w:r>
            <w:r>
              <w:rPr>
                <w:rFonts w:hint="eastAsia" w:ascii="微软雅黑" w:hAnsi="微软雅黑" w:cs="微软雅黑"/>
                <w:b w:val="0"/>
                <w:bCs w:val="0"/>
                <w:color w:val="auto"/>
                <w:sz w:val="21"/>
                <w:szCs w:val="21"/>
                <w:highlight w:val="none"/>
                <w:lang w:eastAsia="zh-CN"/>
              </w:rPr>
              <w:t>及以上</w:t>
            </w:r>
            <w:r>
              <w:rPr>
                <w:rFonts w:hint="eastAsia" w:ascii="微软雅黑" w:hAnsi="微软雅黑" w:eastAsia="微软雅黑" w:cs="微软雅黑"/>
                <w:b w:val="0"/>
                <w:bCs w:val="0"/>
                <w:color w:val="auto"/>
                <w:sz w:val="21"/>
                <w:szCs w:val="21"/>
                <w:highlight w:val="none"/>
              </w:rPr>
              <w:t>的得2分,具有初级护师的得1分.其他不得分。</w:t>
            </w:r>
            <w:r>
              <w:rPr>
                <w:rFonts w:hint="eastAsia" w:ascii="微软雅黑" w:hAnsi="微软雅黑" w:cs="微软雅黑"/>
                <w:b w:val="0"/>
                <w:bCs w:val="0"/>
                <w:color w:val="auto"/>
                <w:sz w:val="21"/>
                <w:szCs w:val="21"/>
                <w:highlight w:val="none"/>
                <w:lang w:eastAsia="zh-CN"/>
              </w:rPr>
              <w:t>【</w:t>
            </w:r>
            <w:r>
              <w:rPr>
                <w:rFonts w:hint="eastAsia" w:ascii="微软雅黑" w:hAnsi="微软雅黑" w:eastAsia="微软雅黑" w:cs="微软雅黑"/>
                <w:b w:val="0"/>
                <w:bCs w:val="0"/>
                <w:color w:val="auto"/>
                <w:sz w:val="21"/>
                <w:szCs w:val="21"/>
                <w:highlight w:val="none"/>
              </w:rPr>
              <w:t>须提供人员有效相关证书复印件及有效</w:t>
            </w:r>
            <w:r>
              <w:rPr>
                <w:rFonts w:hint="eastAsia" w:ascii="微软雅黑" w:hAnsi="微软雅黑" w:cs="微软雅黑"/>
                <w:b w:val="0"/>
                <w:bCs w:val="0"/>
                <w:color w:val="auto"/>
                <w:sz w:val="21"/>
                <w:szCs w:val="21"/>
                <w:highlight w:val="none"/>
                <w:lang w:eastAsia="zh-CN"/>
              </w:rPr>
              <w:t>意向</w:t>
            </w:r>
            <w:r>
              <w:rPr>
                <w:rFonts w:hint="eastAsia" w:ascii="微软雅黑" w:hAnsi="微软雅黑" w:eastAsia="微软雅黑" w:cs="微软雅黑"/>
                <w:b w:val="0"/>
                <w:bCs w:val="0"/>
                <w:color w:val="auto"/>
                <w:sz w:val="21"/>
                <w:szCs w:val="21"/>
                <w:highlight w:val="none"/>
              </w:rPr>
              <w:t>聘用合同为佐证材料，未提供或提供不齐全的不得分。</w:t>
            </w:r>
            <w:r>
              <w:rPr>
                <w:rFonts w:hint="eastAsia" w:ascii="微软雅黑" w:hAnsi="微软雅黑" w:cs="微软雅黑"/>
                <w:b w:val="0"/>
                <w:bCs w:val="0"/>
                <w:color w:val="auto"/>
                <w:sz w:val="21"/>
                <w:szCs w:val="21"/>
                <w:highlight w:val="none"/>
                <w:lang w:eastAsia="zh-CN"/>
              </w:rPr>
              <w:t>同时须提供承诺书（格式自拟），并保证在项目实施过程中，该人员不得更换，确需更换的，需更换同档次或优于的项目实施人员实施本项目，并需报采购单位同意】</w:t>
            </w:r>
            <w:r>
              <w:rPr>
                <w:rFonts w:hint="eastAsia" w:ascii="微软雅黑" w:hAnsi="微软雅黑" w:eastAsia="微软雅黑" w:cs="微软雅黑"/>
                <w:b w:val="0"/>
                <w:bCs w:val="0"/>
                <w:color w:val="auto"/>
                <w:sz w:val="21"/>
                <w:szCs w:val="21"/>
                <w:highlight w:val="none"/>
              </w:rPr>
              <w:t>（注：以上人员与其他项人员不重复得分）</w:t>
            </w:r>
          </w:p>
          <w:p w14:paraId="142F0EE5">
            <w:pPr>
              <w:pageBreakBefore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b w:val="0"/>
                <w:bCs w:val="0"/>
                <w:color w:val="auto"/>
                <w:sz w:val="21"/>
                <w:szCs w:val="21"/>
                <w:highlight w:val="none"/>
                <w:lang w:eastAsia="zh-CN"/>
              </w:rPr>
            </w:pPr>
          </w:p>
        </w:tc>
        <w:tc>
          <w:tcPr>
            <w:tcW w:w="765" w:type="dxa"/>
            <w:tcBorders>
              <w:top w:val="single" w:color="auto" w:sz="4" w:space="0"/>
              <w:left w:val="single" w:color="auto" w:sz="4" w:space="0"/>
              <w:bottom w:val="single" w:color="auto" w:sz="4" w:space="0"/>
              <w:right w:val="single" w:color="auto" w:sz="4" w:space="0"/>
            </w:tcBorders>
            <w:noWrap/>
            <w:vAlign w:val="center"/>
          </w:tcPr>
          <w:p w14:paraId="157E1A89">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cs="微软雅黑"/>
                <w:b w:val="0"/>
                <w:bCs w:val="0"/>
                <w:color w:val="auto"/>
                <w:kern w:val="0"/>
                <w:sz w:val="21"/>
                <w:szCs w:val="21"/>
                <w:highlight w:val="none"/>
                <w:lang w:val="en-US" w:eastAsia="zh-CN"/>
              </w:rPr>
              <w:t>5</w:t>
            </w:r>
          </w:p>
        </w:tc>
        <w:tc>
          <w:tcPr>
            <w:tcW w:w="658" w:type="dxa"/>
            <w:tcBorders>
              <w:top w:val="single" w:color="auto" w:sz="4" w:space="0"/>
              <w:left w:val="single" w:color="auto" w:sz="4" w:space="0"/>
              <w:bottom w:val="single" w:color="auto" w:sz="4" w:space="0"/>
              <w:right w:val="single" w:color="auto" w:sz="4" w:space="0"/>
            </w:tcBorders>
            <w:vAlign w:val="center"/>
          </w:tcPr>
          <w:p w14:paraId="2209D9F3">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lang w:val="en-US" w:eastAsia="zh-CN"/>
              </w:rPr>
            </w:pPr>
            <w:r>
              <w:rPr>
                <w:rFonts w:hint="eastAsia" w:ascii="微软雅黑" w:hAnsi="微软雅黑" w:eastAsia="微软雅黑" w:cs="微软雅黑"/>
                <w:b w:val="0"/>
                <w:bCs w:val="0"/>
                <w:color w:val="auto"/>
                <w:kern w:val="0"/>
                <w:sz w:val="21"/>
                <w:szCs w:val="21"/>
                <w:highlight w:val="none"/>
                <w:lang w:val="en-US" w:eastAsia="zh-CN"/>
              </w:rPr>
              <w:t>客观</w:t>
            </w:r>
          </w:p>
        </w:tc>
      </w:tr>
      <w:tr w14:paraId="488578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rPr>
        <w:tc>
          <w:tcPr>
            <w:tcW w:w="575" w:type="dxa"/>
            <w:tcBorders>
              <w:top w:val="single" w:color="auto" w:sz="4" w:space="0"/>
              <w:left w:val="single" w:color="auto" w:sz="4" w:space="0"/>
              <w:bottom w:val="single" w:color="auto" w:sz="4" w:space="0"/>
              <w:right w:val="single" w:color="auto" w:sz="4" w:space="0"/>
            </w:tcBorders>
            <w:noWrap/>
            <w:vAlign w:val="center"/>
          </w:tcPr>
          <w:p w14:paraId="7789158B">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p>
        </w:tc>
        <w:tc>
          <w:tcPr>
            <w:tcW w:w="7681" w:type="dxa"/>
            <w:gridSpan w:val="2"/>
            <w:tcBorders>
              <w:top w:val="single" w:color="auto" w:sz="4" w:space="0"/>
              <w:left w:val="single" w:color="auto" w:sz="4" w:space="0"/>
              <w:bottom w:val="single" w:color="auto" w:sz="4" w:space="0"/>
              <w:right w:val="single" w:color="auto" w:sz="4" w:space="0"/>
            </w:tcBorders>
            <w:noWrap/>
          </w:tcPr>
          <w:p w14:paraId="3975EB60">
            <w:pPr>
              <w:pageBreakBefore w:val="0"/>
              <w:kinsoku/>
              <w:wordWrap/>
              <w:overflowPunct/>
              <w:topLinePunct w:val="0"/>
              <w:autoSpaceDE/>
              <w:autoSpaceDN/>
              <w:bidi w:val="0"/>
              <w:adjustRightInd/>
              <w:snapToGrid w:val="0"/>
              <w:spacing w:line="240" w:lineRule="auto"/>
              <w:ind w:firstLine="0" w:firstLineChars="0"/>
              <w:textAlignment w:val="auto"/>
              <w:rPr>
                <w:rFonts w:hint="eastAsia" w:ascii="微软雅黑" w:hAnsi="微软雅黑" w:eastAsia="微软雅黑" w:cs="微软雅黑"/>
                <w:b w:val="0"/>
                <w:bCs w:val="0"/>
                <w:color w:val="auto"/>
                <w:sz w:val="21"/>
                <w:szCs w:val="21"/>
                <w:highlight w:val="none"/>
              </w:rPr>
            </w:pPr>
          </w:p>
        </w:tc>
        <w:tc>
          <w:tcPr>
            <w:tcW w:w="765" w:type="dxa"/>
            <w:tcBorders>
              <w:top w:val="single" w:color="auto" w:sz="4" w:space="0"/>
              <w:left w:val="single" w:color="auto" w:sz="4" w:space="0"/>
              <w:bottom w:val="single" w:color="auto" w:sz="4" w:space="0"/>
              <w:right w:val="single" w:color="auto" w:sz="4" w:space="0"/>
            </w:tcBorders>
            <w:noWrap/>
            <w:vAlign w:val="center"/>
          </w:tcPr>
          <w:p w14:paraId="7BD39A5D">
            <w:pPr>
              <w:pageBreakBefore w:val="0"/>
              <w:widowControl/>
              <w:tabs>
                <w:tab w:val="left" w:pos="417"/>
              </w:tabs>
              <w:kinsoku/>
              <w:wordWrap/>
              <w:overflowPunct/>
              <w:topLinePunct w:val="0"/>
              <w:autoSpaceDE/>
              <w:autoSpaceDN/>
              <w:bidi w:val="0"/>
              <w:adjustRightInd/>
              <w:spacing w:line="240" w:lineRule="auto"/>
              <w:ind w:firstLine="0" w:firstLineChars="0"/>
              <w:jc w:val="center"/>
              <w:textAlignment w:val="auto"/>
              <w:rPr>
                <w:rFonts w:hint="default" w:ascii="微软雅黑" w:hAnsi="微软雅黑" w:eastAsia="微软雅黑" w:cs="微软雅黑"/>
                <w:b w:val="0"/>
                <w:bCs w:val="0"/>
                <w:color w:val="auto"/>
                <w:kern w:val="0"/>
                <w:sz w:val="21"/>
                <w:szCs w:val="21"/>
                <w:highlight w:val="none"/>
                <w:lang w:val="en-US" w:eastAsia="zh-CN"/>
              </w:rPr>
            </w:pPr>
            <w:r>
              <w:rPr>
                <w:rFonts w:hint="eastAsia" w:ascii="微软雅黑" w:hAnsi="微软雅黑" w:cs="微软雅黑"/>
                <w:b w:val="0"/>
                <w:bCs w:val="0"/>
                <w:color w:val="auto"/>
                <w:kern w:val="0"/>
                <w:sz w:val="21"/>
                <w:szCs w:val="21"/>
                <w:highlight w:val="none"/>
                <w:lang w:val="en-US" w:eastAsia="zh-CN"/>
              </w:rPr>
              <w:t>83</w:t>
            </w:r>
          </w:p>
        </w:tc>
        <w:tc>
          <w:tcPr>
            <w:tcW w:w="658" w:type="dxa"/>
            <w:tcBorders>
              <w:top w:val="single" w:color="auto" w:sz="4" w:space="0"/>
              <w:left w:val="single" w:color="auto" w:sz="4" w:space="0"/>
              <w:bottom w:val="single" w:color="auto" w:sz="4" w:space="0"/>
              <w:right w:val="single" w:color="auto" w:sz="4" w:space="0"/>
            </w:tcBorders>
            <w:vAlign w:val="center"/>
          </w:tcPr>
          <w:p w14:paraId="7FD5CF7A">
            <w:pPr>
              <w:pageBreakBefore w:val="0"/>
              <w:widowControl/>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b w:val="0"/>
                <w:bCs w:val="0"/>
                <w:color w:val="auto"/>
                <w:kern w:val="0"/>
                <w:sz w:val="21"/>
                <w:szCs w:val="21"/>
                <w:highlight w:val="none"/>
              </w:rPr>
            </w:pPr>
          </w:p>
        </w:tc>
      </w:tr>
    </w:tbl>
    <w:p w14:paraId="24BECF95">
      <w:pPr>
        <w:tabs>
          <w:tab w:val="left" w:pos="3870"/>
          <w:tab w:val="left" w:pos="4085"/>
        </w:tabs>
        <w:snapToGrid w:val="0"/>
        <w:spacing w:line="500" w:lineRule="exact"/>
        <w:ind w:firstLine="420"/>
        <w:outlineLvl w:val="1"/>
        <w:rPr>
          <w:rFonts w:hint="eastAsia" w:ascii="微软雅黑" w:hAnsi="微软雅黑" w:cs="微软雅黑"/>
          <w:b/>
          <w:bCs/>
          <w:color w:val="auto"/>
          <w:szCs w:val="21"/>
          <w:highlight w:val="none"/>
        </w:rPr>
      </w:pPr>
      <w:r>
        <w:rPr>
          <w:rFonts w:hint="eastAsia" w:ascii="微软雅黑" w:hAnsi="微软雅黑" w:cs="微软雅黑"/>
          <w:b/>
          <w:bCs/>
          <w:color w:val="auto"/>
          <w:szCs w:val="21"/>
          <w:highlight w:val="none"/>
        </w:rPr>
        <w:t>（三）资信及其他分</w:t>
      </w:r>
    </w:p>
    <w:tbl>
      <w:tblPr>
        <w:tblStyle w:val="54"/>
        <w:tblpPr w:leftFromText="180" w:rightFromText="180" w:vertAnchor="text" w:horzAnchor="page" w:tblpX="1210" w:tblpY="440"/>
        <w:tblOverlap w:val="never"/>
        <w:tblW w:w="956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9"/>
        <w:gridCol w:w="7448"/>
        <w:gridCol w:w="704"/>
        <w:gridCol w:w="704"/>
      </w:tblGrid>
      <w:tr w14:paraId="4B4340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noWrap/>
            <w:vAlign w:val="center"/>
          </w:tcPr>
          <w:p w14:paraId="53A3DCCC">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序号</w:t>
            </w:r>
          </w:p>
        </w:tc>
        <w:tc>
          <w:tcPr>
            <w:tcW w:w="7448" w:type="dxa"/>
            <w:tcBorders>
              <w:top w:val="single" w:color="auto" w:sz="4" w:space="0"/>
              <w:left w:val="single" w:color="auto" w:sz="4" w:space="0"/>
              <w:bottom w:val="single" w:color="auto" w:sz="4" w:space="0"/>
              <w:right w:val="single" w:color="auto" w:sz="4" w:space="0"/>
            </w:tcBorders>
            <w:noWrap/>
          </w:tcPr>
          <w:p w14:paraId="192AB7D1">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评分标准</w:t>
            </w:r>
          </w:p>
        </w:tc>
        <w:tc>
          <w:tcPr>
            <w:tcW w:w="704" w:type="dxa"/>
            <w:tcBorders>
              <w:top w:val="single" w:color="auto" w:sz="4" w:space="0"/>
              <w:left w:val="single" w:color="auto" w:sz="4" w:space="0"/>
              <w:bottom w:val="single" w:color="auto" w:sz="4" w:space="0"/>
              <w:right w:val="single" w:color="auto" w:sz="4" w:space="0"/>
            </w:tcBorders>
            <w:noWrap/>
            <w:vAlign w:val="center"/>
          </w:tcPr>
          <w:p w14:paraId="449AC7C3">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最高得分</w:t>
            </w:r>
          </w:p>
        </w:tc>
        <w:tc>
          <w:tcPr>
            <w:tcW w:w="704" w:type="dxa"/>
            <w:tcBorders>
              <w:top w:val="single" w:color="auto" w:sz="4" w:space="0"/>
              <w:left w:val="single" w:color="auto" w:sz="4" w:space="0"/>
              <w:bottom w:val="single" w:color="auto" w:sz="4" w:space="0"/>
              <w:right w:val="single" w:color="auto" w:sz="4" w:space="0"/>
            </w:tcBorders>
            <w:vAlign w:val="center"/>
          </w:tcPr>
          <w:p w14:paraId="2311DB33">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评分设置</w:t>
            </w:r>
          </w:p>
        </w:tc>
      </w:tr>
      <w:tr w14:paraId="5749E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noWrap/>
            <w:vAlign w:val="center"/>
          </w:tcPr>
          <w:p w14:paraId="2E86BACE">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cs="微软雅黑"/>
                <w:color w:val="auto"/>
                <w:szCs w:val="21"/>
                <w:highlight w:val="none"/>
                <w:lang w:val="en-US" w:eastAsia="zh-CN"/>
              </w:rPr>
              <w:t>6</w:t>
            </w:r>
          </w:p>
        </w:tc>
        <w:tc>
          <w:tcPr>
            <w:tcW w:w="7448" w:type="dxa"/>
            <w:tcBorders>
              <w:top w:val="single" w:color="auto" w:sz="4" w:space="0"/>
              <w:left w:val="single" w:color="auto" w:sz="4" w:space="0"/>
              <w:bottom w:val="single" w:color="auto" w:sz="4" w:space="0"/>
              <w:right w:val="single" w:color="auto" w:sz="4" w:space="0"/>
            </w:tcBorders>
            <w:noWrap/>
          </w:tcPr>
          <w:p w14:paraId="49B65075">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t>根据投标人承诺中标后接到采购单位应急服务响应到位时间情况进行评分：能在30分钟内 (含)到达采购人处的得3分，在30分钟以上1小时内 (含)到达采购人处的得2分，在1小时以上到达采购人处的得1分，其他的不得分。注：须提供承诺函（格式自拟），未提供或不符合的不得分。</w:t>
            </w:r>
          </w:p>
        </w:tc>
        <w:tc>
          <w:tcPr>
            <w:tcW w:w="704" w:type="dxa"/>
            <w:tcBorders>
              <w:top w:val="single" w:color="auto" w:sz="4" w:space="0"/>
              <w:left w:val="single" w:color="auto" w:sz="4" w:space="0"/>
              <w:bottom w:val="single" w:color="auto" w:sz="4" w:space="0"/>
              <w:right w:val="single" w:color="auto" w:sz="4" w:space="0"/>
            </w:tcBorders>
            <w:noWrap/>
            <w:vAlign w:val="center"/>
          </w:tcPr>
          <w:p w14:paraId="6CA2D00E">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val="en-US" w:eastAsia="zh-CN"/>
              </w:rPr>
              <w:t>3</w:t>
            </w:r>
          </w:p>
        </w:tc>
        <w:tc>
          <w:tcPr>
            <w:tcW w:w="704" w:type="dxa"/>
            <w:tcBorders>
              <w:top w:val="single" w:color="auto" w:sz="4" w:space="0"/>
              <w:left w:val="single" w:color="auto" w:sz="4" w:space="0"/>
              <w:bottom w:val="single" w:color="auto" w:sz="4" w:space="0"/>
              <w:right w:val="single" w:color="auto" w:sz="4" w:space="0"/>
            </w:tcBorders>
            <w:vAlign w:val="center"/>
          </w:tcPr>
          <w:p w14:paraId="34E04B41">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客观</w:t>
            </w:r>
          </w:p>
        </w:tc>
      </w:tr>
      <w:tr w14:paraId="000DCE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noWrap/>
            <w:vAlign w:val="center"/>
          </w:tcPr>
          <w:p w14:paraId="30FEFBFD">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cs="微软雅黑"/>
                <w:color w:val="auto"/>
                <w:szCs w:val="21"/>
                <w:highlight w:val="none"/>
                <w:lang w:val="en-US" w:eastAsia="zh-CN"/>
              </w:rPr>
              <w:t>7</w:t>
            </w:r>
          </w:p>
        </w:tc>
        <w:tc>
          <w:tcPr>
            <w:tcW w:w="7448" w:type="dxa"/>
            <w:tcBorders>
              <w:top w:val="single" w:color="auto" w:sz="4" w:space="0"/>
              <w:left w:val="single" w:color="auto" w:sz="4" w:space="0"/>
              <w:bottom w:val="single" w:color="auto" w:sz="4" w:space="0"/>
              <w:right w:val="single" w:color="auto" w:sz="4" w:space="0"/>
            </w:tcBorders>
            <w:noWrap/>
          </w:tcPr>
          <w:p w14:paraId="64D1011A">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根据各投标人提供的材料情况由评标委员会进行评分：</w:t>
            </w:r>
          </w:p>
          <w:p w14:paraId="47F83D57">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①具有自身建立的精神障碍康复训练基地的得2分；</w:t>
            </w:r>
          </w:p>
          <w:p w14:paraId="2FA7E377">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②具有与机构或单位签订精神障碍康复医疗合作协议且在合作有效期内的，每提供1份得1分。满分2分。</w:t>
            </w:r>
          </w:p>
          <w:p w14:paraId="4410CD9A">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szCs w:val="21"/>
                <w:highlight w:val="none"/>
                <w:lang w:eastAsia="zh-CN"/>
              </w:rPr>
            </w:pPr>
            <w:r>
              <w:rPr>
                <w:rFonts w:hint="eastAsia" w:ascii="微软雅黑" w:hAnsi="微软雅黑" w:cs="微软雅黑"/>
                <w:color w:val="auto"/>
                <w:highlight w:val="none"/>
                <w:lang w:eastAsia="zh-CN"/>
              </w:rPr>
              <w:t>（</w:t>
            </w:r>
            <w:r>
              <w:rPr>
                <w:rFonts w:hint="eastAsia" w:ascii="微软雅黑" w:hAnsi="微软雅黑" w:eastAsia="微软雅黑" w:cs="微软雅黑"/>
                <w:color w:val="auto"/>
                <w:highlight w:val="none"/>
              </w:rPr>
              <w:t>须提供自身建有精神障碍康复训练基地的相关证明材料复印件或与他方签订合作协议的复印件</w:t>
            </w:r>
            <w:r>
              <w:rPr>
                <w:rFonts w:hint="eastAsia" w:ascii="微软雅黑" w:hAnsi="微软雅黑" w:cs="微软雅黑"/>
                <w:color w:val="auto"/>
                <w:highlight w:val="none"/>
                <w:lang w:eastAsia="zh-CN"/>
              </w:rPr>
              <w:t>做在投标文件中），</w:t>
            </w:r>
            <w:r>
              <w:rPr>
                <w:rFonts w:hint="eastAsia" w:ascii="微软雅黑" w:hAnsi="微软雅黑" w:eastAsia="微软雅黑" w:cs="微软雅黑"/>
                <w:color w:val="auto"/>
                <w:highlight w:val="none"/>
              </w:rPr>
              <w:t>未提供或提供材料不全的不得分。</w:t>
            </w:r>
          </w:p>
        </w:tc>
        <w:tc>
          <w:tcPr>
            <w:tcW w:w="704" w:type="dxa"/>
            <w:tcBorders>
              <w:top w:val="single" w:color="auto" w:sz="4" w:space="0"/>
              <w:left w:val="single" w:color="auto" w:sz="4" w:space="0"/>
              <w:bottom w:val="single" w:color="auto" w:sz="4" w:space="0"/>
              <w:right w:val="single" w:color="auto" w:sz="4" w:space="0"/>
            </w:tcBorders>
            <w:noWrap/>
            <w:vAlign w:val="center"/>
          </w:tcPr>
          <w:p w14:paraId="18221C1A">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val="en-US" w:eastAsia="zh-CN"/>
              </w:rPr>
              <w:t>2</w:t>
            </w:r>
          </w:p>
        </w:tc>
        <w:tc>
          <w:tcPr>
            <w:tcW w:w="704" w:type="dxa"/>
            <w:tcBorders>
              <w:top w:val="single" w:color="auto" w:sz="4" w:space="0"/>
              <w:left w:val="single" w:color="auto" w:sz="4" w:space="0"/>
              <w:bottom w:val="single" w:color="auto" w:sz="4" w:space="0"/>
              <w:right w:val="single" w:color="auto" w:sz="4" w:space="0"/>
            </w:tcBorders>
            <w:vAlign w:val="center"/>
          </w:tcPr>
          <w:p w14:paraId="6FC8A410">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客观</w:t>
            </w:r>
          </w:p>
        </w:tc>
      </w:tr>
      <w:tr w14:paraId="30BEB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noWrap/>
            <w:vAlign w:val="center"/>
          </w:tcPr>
          <w:p w14:paraId="3D572534">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cs="微软雅黑"/>
                <w:color w:val="auto"/>
                <w:szCs w:val="21"/>
                <w:highlight w:val="none"/>
                <w:lang w:val="en-US" w:eastAsia="zh-CN"/>
              </w:rPr>
              <w:t>8</w:t>
            </w:r>
          </w:p>
        </w:tc>
        <w:tc>
          <w:tcPr>
            <w:tcW w:w="7448" w:type="dxa"/>
            <w:tcBorders>
              <w:top w:val="single" w:color="auto" w:sz="4" w:space="0"/>
              <w:left w:val="single" w:color="auto" w:sz="4" w:space="0"/>
              <w:bottom w:val="single" w:color="auto" w:sz="4" w:space="0"/>
              <w:right w:val="single" w:color="auto" w:sz="4" w:space="0"/>
            </w:tcBorders>
            <w:noWrap/>
          </w:tcPr>
          <w:p w14:paraId="29F858E9">
            <w:pPr>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highlight w:val="none"/>
              </w:rPr>
              <w:t>投标人提供自2022年01月01日起至本项目投标截止时间前完成的社会服务项目，业主出具的服务满意评价函进行评分：每提供一份服务满意评价表（评价表内容需体现服务总体评价为满意或高于满意）的得</w:t>
            </w:r>
            <w:r>
              <w:rPr>
                <w:rFonts w:hint="eastAsia" w:ascii="微软雅黑" w:hAnsi="微软雅黑" w:eastAsia="微软雅黑" w:cs="微软雅黑"/>
                <w:color w:val="auto"/>
                <w:highlight w:val="none"/>
                <w:lang w:val="en-US" w:eastAsia="zh-CN"/>
              </w:rPr>
              <w:t>0.5</w:t>
            </w:r>
            <w:r>
              <w:rPr>
                <w:rFonts w:hint="eastAsia" w:ascii="微软雅黑" w:hAnsi="微软雅黑" w:eastAsia="微软雅黑" w:cs="微软雅黑"/>
                <w:color w:val="auto"/>
                <w:highlight w:val="none"/>
              </w:rPr>
              <w:t>分，满分1分。</w:t>
            </w:r>
            <w:r>
              <w:rPr>
                <w:rFonts w:hint="eastAsia" w:ascii="微软雅黑" w:hAnsi="微软雅黑" w:cs="微软雅黑"/>
                <w:color w:val="auto"/>
                <w:highlight w:val="none"/>
                <w:lang w:eastAsia="zh-CN"/>
              </w:rPr>
              <w:t>（</w:t>
            </w:r>
            <w:r>
              <w:rPr>
                <w:rFonts w:hint="eastAsia" w:ascii="微软雅黑" w:hAnsi="微软雅黑" w:eastAsia="微软雅黑" w:cs="微软雅黑"/>
                <w:color w:val="auto"/>
                <w:highlight w:val="none"/>
              </w:rPr>
              <w:t>须提供业主单位盖章的服务满意评价函</w:t>
            </w:r>
            <w:r>
              <w:rPr>
                <w:rFonts w:hint="eastAsia" w:ascii="微软雅黑" w:hAnsi="微软雅黑" w:cs="微软雅黑"/>
                <w:color w:val="auto"/>
                <w:highlight w:val="none"/>
                <w:lang w:eastAsia="zh-CN"/>
              </w:rPr>
              <w:t>复印件做在投标文件中）</w:t>
            </w:r>
            <w:r>
              <w:rPr>
                <w:rFonts w:hint="eastAsia" w:ascii="微软雅黑" w:hAnsi="微软雅黑" w:eastAsia="微软雅黑" w:cs="微软雅黑"/>
                <w:color w:val="auto"/>
                <w:highlight w:val="none"/>
              </w:rPr>
              <w:t>，未提供或提供不齐全的不得分。</w:t>
            </w:r>
          </w:p>
        </w:tc>
        <w:tc>
          <w:tcPr>
            <w:tcW w:w="704" w:type="dxa"/>
            <w:tcBorders>
              <w:top w:val="single" w:color="auto" w:sz="4" w:space="0"/>
              <w:left w:val="single" w:color="auto" w:sz="4" w:space="0"/>
              <w:bottom w:val="single" w:color="auto" w:sz="4" w:space="0"/>
              <w:right w:val="single" w:color="auto" w:sz="4" w:space="0"/>
            </w:tcBorders>
            <w:noWrap/>
            <w:vAlign w:val="center"/>
          </w:tcPr>
          <w:p w14:paraId="56F0EAC3">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val="en-US" w:eastAsia="zh-CN"/>
              </w:rPr>
              <w:t>1</w:t>
            </w:r>
          </w:p>
        </w:tc>
        <w:tc>
          <w:tcPr>
            <w:tcW w:w="704" w:type="dxa"/>
            <w:tcBorders>
              <w:top w:val="single" w:color="auto" w:sz="4" w:space="0"/>
              <w:left w:val="single" w:color="auto" w:sz="4" w:space="0"/>
              <w:bottom w:val="single" w:color="auto" w:sz="4" w:space="0"/>
              <w:right w:val="single" w:color="auto" w:sz="4" w:space="0"/>
            </w:tcBorders>
            <w:vAlign w:val="center"/>
          </w:tcPr>
          <w:p w14:paraId="4090E89D">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客观</w:t>
            </w:r>
          </w:p>
        </w:tc>
      </w:tr>
      <w:tr w14:paraId="0D13B0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9" w:type="dxa"/>
            <w:tcBorders>
              <w:top w:val="single" w:color="auto" w:sz="4" w:space="0"/>
              <w:left w:val="single" w:color="auto" w:sz="4" w:space="0"/>
              <w:bottom w:val="single" w:color="auto" w:sz="4" w:space="0"/>
              <w:right w:val="single" w:color="auto" w:sz="4" w:space="0"/>
            </w:tcBorders>
            <w:noWrap/>
            <w:vAlign w:val="center"/>
          </w:tcPr>
          <w:p w14:paraId="31BD9137">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rPr>
              <w:t>1</w:t>
            </w:r>
            <w:r>
              <w:rPr>
                <w:rFonts w:hint="eastAsia" w:ascii="微软雅黑" w:hAnsi="微软雅黑" w:cs="微软雅黑"/>
                <w:color w:val="auto"/>
                <w:szCs w:val="21"/>
                <w:highlight w:val="none"/>
                <w:lang w:val="en-US" w:eastAsia="zh-CN"/>
              </w:rPr>
              <w:t>9</w:t>
            </w:r>
          </w:p>
        </w:tc>
        <w:tc>
          <w:tcPr>
            <w:tcW w:w="7448" w:type="dxa"/>
            <w:tcBorders>
              <w:top w:val="single" w:color="auto" w:sz="4" w:space="0"/>
              <w:left w:val="single" w:color="auto" w:sz="4" w:space="0"/>
              <w:bottom w:val="single" w:color="auto" w:sz="4" w:space="0"/>
              <w:right w:val="single" w:color="auto" w:sz="4" w:space="0"/>
            </w:tcBorders>
            <w:noWrap/>
          </w:tcPr>
          <w:p w14:paraId="2F15BEF4">
            <w:pPr>
              <w:pStyle w:val="19"/>
              <w:keepNext w:val="0"/>
              <w:keepLines w:val="0"/>
              <w:pageBreakBefore w:val="0"/>
              <w:widowControl w:val="0"/>
              <w:kinsoku/>
              <w:wordWrap/>
              <w:overflowPunct/>
              <w:topLinePunct w:val="0"/>
              <w:autoSpaceDE/>
              <w:autoSpaceDN/>
              <w:bidi w:val="0"/>
              <w:adjustRightInd/>
              <w:spacing w:line="240" w:lineRule="auto"/>
              <w:ind w:firstLine="0" w:firstLineChars="0"/>
              <w:textAlignment w:val="auto"/>
              <w:rPr>
                <w:rFonts w:hint="eastAsia" w:ascii="微软雅黑" w:hAnsi="微软雅黑" w:eastAsia="微软雅黑" w:cs="微软雅黑"/>
                <w:color w:val="auto"/>
                <w:szCs w:val="21"/>
                <w:highlight w:val="none"/>
                <w:lang w:eastAsia="zh-CN"/>
              </w:rPr>
            </w:pPr>
            <w:bookmarkStart w:id="373" w:name="_GoBack"/>
            <w:r>
              <w:rPr>
                <w:rFonts w:hint="eastAsia" w:ascii="微软雅黑" w:hAnsi="微软雅黑" w:eastAsia="微软雅黑" w:cs="微软雅黑"/>
                <w:color w:val="auto"/>
                <w:highlight w:val="none"/>
              </w:rPr>
              <w:t>投标人提供自2022年01月01日起（以项目合同协议为准），投标人提供1项已完成或正在履约的类似业绩的</w:t>
            </w:r>
            <w:r>
              <w:rPr>
                <w:rFonts w:hint="eastAsia" w:ascii="微软雅黑" w:hAnsi="微软雅黑" w:eastAsia="微软雅黑" w:cs="微软雅黑"/>
                <w:color w:val="auto"/>
                <w:highlight w:val="none"/>
                <w:lang w:eastAsia="zh-CN"/>
              </w:rPr>
              <w:t>，</w:t>
            </w:r>
            <w:r>
              <w:rPr>
                <w:rFonts w:hint="eastAsia" w:ascii="微软雅黑" w:hAnsi="微软雅黑" w:eastAsia="微软雅黑" w:cs="微软雅黑"/>
                <w:color w:val="auto"/>
                <w:highlight w:val="none"/>
                <w:lang w:val="en-US" w:eastAsia="zh-CN"/>
              </w:rPr>
              <w:t>每一个</w:t>
            </w:r>
            <w:r>
              <w:rPr>
                <w:rFonts w:hint="eastAsia" w:ascii="微软雅黑" w:hAnsi="微软雅黑" w:eastAsia="微软雅黑" w:cs="微软雅黑"/>
                <w:color w:val="auto"/>
                <w:highlight w:val="none"/>
              </w:rPr>
              <w:t>得</w:t>
            </w:r>
            <w:r>
              <w:rPr>
                <w:rFonts w:hint="eastAsia" w:ascii="微软雅黑" w:hAnsi="微软雅黑" w:eastAsia="微软雅黑" w:cs="微软雅黑"/>
                <w:color w:val="auto"/>
                <w:highlight w:val="none"/>
                <w:lang w:val="en-US" w:eastAsia="zh-CN"/>
              </w:rPr>
              <w:t>0.5</w:t>
            </w:r>
            <w:r>
              <w:rPr>
                <w:rFonts w:hint="eastAsia" w:ascii="微软雅黑" w:hAnsi="微软雅黑" w:eastAsia="微软雅黑" w:cs="微软雅黑"/>
                <w:color w:val="auto"/>
                <w:highlight w:val="none"/>
              </w:rPr>
              <w:t>分，满分1分。</w:t>
            </w:r>
            <w:r>
              <w:rPr>
                <w:rFonts w:hint="eastAsia" w:ascii="微软雅黑" w:hAnsi="微软雅黑" w:cs="微软雅黑"/>
                <w:color w:val="auto"/>
                <w:highlight w:val="none"/>
                <w:lang w:eastAsia="zh-CN"/>
              </w:rPr>
              <w:t>（</w:t>
            </w:r>
            <w:r>
              <w:rPr>
                <w:rFonts w:hint="eastAsia" w:ascii="微软雅黑" w:hAnsi="微软雅黑" w:eastAsia="微软雅黑" w:cs="微软雅黑"/>
                <w:color w:val="auto"/>
                <w:highlight w:val="none"/>
              </w:rPr>
              <w:t>须提供相关合同复印件</w:t>
            </w:r>
            <w:r>
              <w:rPr>
                <w:rFonts w:hint="eastAsia" w:ascii="微软雅黑" w:hAnsi="微软雅黑" w:cs="微软雅黑"/>
                <w:color w:val="auto"/>
                <w:highlight w:val="none"/>
                <w:lang w:eastAsia="zh-CN"/>
              </w:rPr>
              <w:t>做在投标文件中）</w:t>
            </w:r>
            <w:r>
              <w:rPr>
                <w:rFonts w:hint="eastAsia" w:ascii="微软雅黑" w:hAnsi="微软雅黑" w:eastAsia="微软雅黑" w:cs="微软雅黑"/>
                <w:color w:val="auto"/>
                <w:highlight w:val="none"/>
              </w:rPr>
              <w:t>，未提供不得分。</w:t>
            </w:r>
            <w:bookmarkEnd w:id="373"/>
          </w:p>
        </w:tc>
        <w:tc>
          <w:tcPr>
            <w:tcW w:w="704" w:type="dxa"/>
            <w:tcBorders>
              <w:top w:val="single" w:color="auto" w:sz="4" w:space="0"/>
              <w:left w:val="single" w:color="auto" w:sz="4" w:space="0"/>
              <w:bottom w:val="single" w:color="auto" w:sz="4" w:space="0"/>
              <w:right w:val="single" w:color="auto" w:sz="4" w:space="0"/>
            </w:tcBorders>
            <w:noWrap/>
            <w:vAlign w:val="center"/>
          </w:tcPr>
          <w:p w14:paraId="5D646121">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val="en-US" w:eastAsia="zh-CN"/>
              </w:rPr>
            </w:pPr>
            <w:r>
              <w:rPr>
                <w:rFonts w:hint="eastAsia" w:ascii="微软雅黑" w:hAnsi="微软雅黑" w:eastAsia="微软雅黑" w:cs="微软雅黑"/>
                <w:color w:val="auto"/>
                <w:szCs w:val="21"/>
                <w:highlight w:val="none"/>
                <w:lang w:val="en-US" w:eastAsia="zh-CN"/>
              </w:rPr>
              <w:t>1</w:t>
            </w:r>
          </w:p>
        </w:tc>
        <w:tc>
          <w:tcPr>
            <w:tcW w:w="704" w:type="dxa"/>
            <w:tcBorders>
              <w:top w:val="single" w:color="auto" w:sz="4" w:space="0"/>
              <w:left w:val="single" w:color="auto" w:sz="4" w:space="0"/>
              <w:bottom w:val="single" w:color="auto" w:sz="4" w:space="0"/>
              <w:right w:val="single" w:color="auto" w:sz="4" w:space="0"/>
            </w:tcBorders>
            <w:vAlign w:val="center"/>
          </w:tcPr>
          <w:p w14:paraId="1B41C723">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客观</w:t>
            </w:r>
          </w:p>
        </w:tc>
      </w:tr>
      <w:tr w14:paraId="38A4A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 w:hRule="atLeast"/>
        </w:trPr>
        <w:tc>
          <w:tcPr>
            <w:tcW w:w="709" w:type="dxa"/>
            <w:tcBorders>
              <w:top w:val="single" w:color="auto" w:sz="4" w:space="0"/>
              <w:left w:val="single" w:color="auto" w:sz="4" w:space="0"/>
              <w:bottom w:val="single" w:color="auto" w:sz="4" w:space="0"/>
              <w:right w:val="single" w:color="auto" w:sz="4" w:space="0"/>
            </w:tcBorders>
            <w:noWrap/>
            <w:vAlign w:val="center"/>
          </w:tcPr>
          <w:p w14:paraId="5F9C18CF">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r>
              <w:rPr>
                <w:rFonts w:hint="eastAsia" w:ascii="微软雅黑" w:hAnsi="微软雅黑" w:eastAsia="微软雅黑" w:cs="微软雅黑"/>
                <w:color w:val="auto"/>
                <w:szCs w:val="21"/>
                <w:highlight w:val="none"/>
              </w:rPr>
              <w:t>小计</w:t>
            </w:r>
          </w:p>
        </w:tc>
        <w:tc>
          <w:tcPr>
            <w:tcW w:w="7448" w:type="dxa"/>
            <w:tcBorders>
              <w:top w:val="single" w:color="auto" w:sz="4" w:space="0"/>
              <w:left w:val="single" w:color="auto" w:sz="4" w:space="0"/>
              <w:bottom w:val="single" w:color="auto" w:sz="4" w:space="0"/>
              <w:right w:val="single" w:color="auto" w:sz="4" w:space="0"/>
            </w:tcBorders>
            <w:noWrap/>
            <w:vAlign w:val="center"/>
          </w:tcPr>
          <w:p w14:paraId="76450B3B">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p>
        </w:tc>
        <w:tc>
          <w:tcPr>
            <w:tcW w:w="704" w:type="dxa"/>
            <w:tcBorders>
              <w:top w:val="single" w:color="auto" w:sz="4" w:space="0"/>
              <w:left w:val="single" w:color="auto" w:sz="4" w:space="0"/>
              <w:bottom w:val="single" w:color="auto" w:sz="4" w:space="0"/>
              <w:right w:val="single" w:color="auto" w:sz="4" w:space="0"/>
            </w:tcBorders>
            <w:noWrap/>
            <w:vAlign w:val="center"/>
          </w:tcPr>
          <w:p w14:paraId="5195FB40">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lang w:eastAsia="zh-CN"/>
              </w:rPr>
            </w:pPr>
            <w:r>
              <w:rPr>
                <w:rFonts w:hint="eastAsia" w:ascii="微软雅黑" w:hAnsi="微软雅黑" w:eastAsia="微软雅黑" w:cs="微软雅黑"/>
                <w:color w:val="auto"/>
                <w:szCs w:val="21"/>
                <w:highlight w:val="none"/>
                <w:lang w:eastAsia="zh-CN"/>
              </w:rPr>
              <w:fldChar w:fldCharType="begin"/>
            </w:r>
            <w:r>
              <w:rPr>
                <w:rFonts w:hint="eastAsia" w:ascii="微软雅黑" w:hAnsi="微软雅黑" w:eastAsia="微软雅黑" w:cs="微软雅黑"/>
                <w:color w:val="auto"/>
                <w:szCs w:val="21"/>
                <w:highlight w:val="none"/>
                <w:lang w:eastAsia="zh-CN"/>
              </w:rPr>
              <w:instrText xml:space="preserve"> = sum(C2:C5) \* MERGEFORMAT </w:instrText>
            </w:r>
            <w:r>
              <w:rPr>
                <w:rFonts w:hint="eastAsia" w:ascii="微软雅黑" w:hAnsi="微软雅黑" w:eastAsia="微软雅黑" w:cs="微软雅黑"/>
                <w:color w:val="auto"/>
                <w:szCs w:val="21"/>
                <w:highlight w:val="none"/>
                <w:lang w:eastAsia="zh-CN"/>
              </w:rPr>
              <w:fldChar w:fldCharType="separate"/>
            </w:r>
            <w:r>
              <w:rPr>
                <w:rFonts w:hint="eastAsia" w:ascii="微软雅黑" w:hAnsi="微软雅黑" w:eastAsia="微软雅黑" w:cs="微软雅黑"/>
                <w:color w:val="auto"/>
                <w:szCs w:val="21"/>
                <w:highlight w:val="none"/>
                <w:lang w:eastAsia="zh-CN"/>
              </w:rPr>
              <w:t>7</w:t>
            </w:r>
            <w:r>
              <w:rPr>
                <w:rFonts w:hint="eastAsia" w:ascii="微软雅黑" w:hAnsi="微软雅黑" w:eastAsia="微软雅黑" w:cs="微软雅黑"/>
                <w:color w:val="auto"/>
                <w:szCs w:val="21"/>
                <w:highlight w:val="none"/>
                <w:lang w:eastAsia="zh-CN"/>
              </w:rPr>
              <w:fldChar w:fldCharType="end"/>
            </w:r>
          </w:p>
        </w:tc>
        <w:tc>
          <w:tcPr>
            <w:tcW w:w="704" w:type="dxa"/>
            <w:tcBorders>
              <w:top w:val="single" w:color="auto" w:sz="4" w:space="0"/>
              <w:left w:val="single" w:color="auto" w:sz="4" w:space="0"/>
              <w:bottom w:val="single" w:color="auto" w:sz="4" w:space="0"/>
              <w:right w:val="single" w:color="auto" w:sz="4" w:space="0"/>
            </w:tcBorders>
            <w:vAlign w:val="center"/>
          </w:tcPr>
          <w:p w14:paraId="5048A138">
            <w:pPr>
              <w:keepNext w:val="0"/>
              <w:keepLines w:val="0"/>
              <w:pageBreakBefore w:val="0"/>
              <w:widowControl w:val="0"/>
              <w:kinsoku/>
              <w:wordWrap/>
              <w:overflowPunct/>
              <w:topLinePunct w:val="0"/>
              <w:autoSpaceDE/>
              <w:autoSpaceDN/>
              <w:bidi w:val="0"/>
              <w:adjustRightInd/>
              <w:spacing w:line="240" w:lineRule="auto"/>
              <w:ind w:firstLine="0" w:firstLineChars="0"/>
              <w:jc w:val="center"/>
              <w:textAlignment w:val="auto"/>
              <w:rPr>
                <w:rFonts w:hint="eastAsia" w:ascii="微软雅黑" w:hAnsi="微软雅黑" w:eastAsia="微软雅黑" w:cs="微软雅黑"/>
                <w:color w:val="auto"/>
                <w:szCs w:val="21"/>
                <w:highlight w:val="none"/>
              </w:rPr>
            </w:pPr>
          </w:p>
        </w:tc>
      </w:tr>
    </w:tbl>
    <w:p w14:paraId="0CCD2ABF">
      <w:pPr>
        <w:widowControl w:val="0"/>
        <w:numPr>
          <w:ilvl w:val="0"/>
          <w:numId w:val="0"/>
        </w:numPr>
        <w:tabs>
          <w:tab w:val="left" w:pos="3870"/>
          <w:tab w:val="left" w:pos="4085"/>
        </w:tabs>
        <w:snapToGrid w:val="0"/>
        <w:spacing w:line="360" w:lineRule="auto"/>
        <w:outlineLvl w:val="1"/>
        <w:rPr>
          <w:rFonts w:hint="eastAsia" w:ascii="微软雅黑" w:hAnsi="微软雅黑" w:cs="微软雅黑"/>
          <w:b/>
          <w:bCs/>
          <w:color w:val="auto"/>
          <w:szCs w:val="21"/>
          <w:highlight w:val="none"/>
        </w:rPr>
      </w:pPr>
    </w:p>
    <w:bookmarkEnd w:id="221"/>
    <w:bookmarkEnd w:id="222"/>
    <w:bookmarkEnd w:id="223"/>
    <w:bookmarkEnd w:id="224"/>
    <w:p w14:paraId="4388AD1F">
      <w:pPr>
        <w:pStyle w:val="2"/>
        <w:numPr>
          <w:ilvl w:val="0"/>
          <w:numId w:val="3"/>
        </w:numPr>
        <w:rPr>
          <w:rStyle w:val="70"/>
          <w:b/>
          <w:bCs/>
          <w:color w:val="auto"/>
          <w:highlight w:val="none"/>
        </w:rPr>
        <w:sectPr>
          <w:footerReference r:id="rId18" w:type="default"/>
          <w:pgSz w:w="11906" w:h="16838"/>
          <w:pgMar w:top="1474" w:right="1134" w:bottom="1134" w:left="1474" w:header="851" w:footer="851" w:gutter="0"/>
          <w:cols w:space="720" w:num="1"/>
          <w:docGrid w:linePitch="312" w:charSpace="0"/>
        </w:sectPr>
      </w:pPr>
      <w:bookmarkStart w:id="229" w:name="_Toc164943217"/>
      <w:bookmarkStart w:id="230" w:name="_Toc28705"/>
      <w:bookmarkStart w:id="231" w:name="_Toc493511828"/>
      <w:bookmarkStart w:id="232" w:name="_Toc25864"/>
    </w:p>
    <w:p w14:paraId="4384CCF8">
      <w:pPr>
        <w:pStyle w:val="2"/>
        <w:numPr>
          <w:ilvl w:val="0"/>
          <w:numId w:val="3"/>
        </w:numPr>
        <w:rPr>
          <w:rStyle w:val="70"/>
          <w:b/>
          <w:bCs/>
          <w:color w:val="auto"/>
          <w:highlight w:val="none"/>
        </w:rPr>
      </w:pPr>
      <w:r>
        <w:rPr>
          <w:rStyle w:val="70"/>
          <w:rFonts w:hint="eastAsia"/>
          <w:b/>
          <w:bCs/>
          <w:color w:val="auto"/>
          <w:highlight w:val="none"/>
        </w:rPr>
        <w:t xml:space="preserve"> 采购合同（指引）</w:t>
      </w:r>
      <w:bookmarkEnd w:id="229"/>
      <w:bookmarkEnd w:id="230"/>
    </w:p>
    <w:p w14:paraId="740620B2">
      <w:pPr>
        <w:pStyle w:val="3"/>
        <w:ind w:firstLine="420"/>
        <w:jc w:val="center"/>
        <w:rPr>
          <w:rFonts w:hint="eastAsia"/>
          <w:color w:val="auto"/>
          <w:szCs w:val="21"/>
          <w:highlight w:val="none"/>
        </w:rPr>
      </w:pPr>
      <w:bookmarkStart w:id="233" w:name="_Toc164943218"/>
      <w:bookmarkStart w:id="234" w:name="_Toc12695"/>
      <w:r>
        <w:rPr>
          <w:rFonts w:hint="eastAsia"/>
          <w:color w:val="auto"/>
          <w:szCs w:val="21"/>
          <w:highlight w:val="none"/>
        </w:rPr>
        <w:t>通用</w:t>
      </w:r>
      <w:r>
        <w:rPr>
          <w:color w:val="auto"/>
          <w:szCs w:val="21"/>
          <w:highlight w:val="none"/>
        </w:rPr>
        <w:t>条款部分</w:t>
      </w:r>
      <w:bookmarkEnd w:id="233"/>
      <w:bookmarkEnd w:id="234"/>
    </w:p>
    <w:p w14:paraId="19302FDA">
      <w:pPr>
        <w:pStyle w:val="65"/>
        <w:ind w:firstLine="0" w:firstLineChars="0"/>
        <w:rPr>
          <w:rFonts w:hint="eastAsia" w:ascii="微软雅黑" w:hAnsi="微软雅黑" w:eastAsia="微软雅黑"/>
          <w:color w:val="auto"/>
          <w:sz w:val="21"/>
          <w:szCs w:val="21"/>
          <w:highlight w:val="none"/>
        </w:rPr>
      </w:pPr>
    </w:p>
    <w:p w14:paraId="5F40310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bookmarkStart w:id="235" w:name="_Hlk111018671"/>
      <w:r>
        <w:rPr>
          <w:rFonts w:hint="eastAsia" w:ascii="微软雅黑" w:hAnsi="微软雅黑" w:cs="Arial"/>
          <w:color w:val="auto"/>
          <w:szCs w:val="21"/>
          <w:highlight w:val="none"/>
        </w:rPr>
        <w:t>合同编号：</w:t>
      </w:r>
      <w:r>
        <w:rPr>
          <w:rFonts w:ascii="微软雅黑" w:hAnsi="微软雅黑" w:cs="Arial"/>
          <w:color w:val="auto"/>
          <w:szCs w:val="21"/>
          <w:highlight w:val="none"/>
        </w:rPr>
        <w:t xml:space="preserve"> </w:t>
      </w:r>
    </w:p>
    <w:p w14:paraId="49028252">
      <w:pPr>
        <w:tabs>
          <w:tab w:val="left" w:pos="8306"/>
        </w:tabs>
        <w:ind w:right="84"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项目名称：</w:t>
      </w:r>
    </w:p>
    <w:p w14:paraId="56E710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项目编号：</w:t>
      </w:r>
    </w:p>
    <w:p w14:paraId="2959EDBB">
      <w:pPr>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 xml:space="preserve">政府采购计划（预算）确认书号： </w:t>
      </w:r>
    </w:p>
    <w:p w14:paraId="395DB1D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 xml:space="preserve">采购人（以下称甲方）： </w:t>
      </w:r>
    </w:p>
    <w:p w14:paraId="71647E5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供应商（以下称乙方）：</w:t>
      </w:r>
    </w:p>
    <w:p w14:paraId="412B66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采购代理机构：（如有，须填写）</w:t>
      </w:r>
    </w:p>
    <w:p w14:paraId="5CE751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采购方式：嘉兴市千秋工程咨询有限公司</w:t>
      </w:r>
    </w:p>
    <w:p w14:paraId="025F878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60" w:lineRule="exact"/>
        <w:ind w:firstLine="420"/>
        <w:rPr>
          <w:rFonts w:hint="eastAsia" w:ascii="宋体" w:hAnsi="宋体"/>
          <w:color w:val="auto"/>
          <w:kern w:val="0"/>
          <w:highlight w:val="none"/>
        </w:rPr>
      </w:pPr>
      <w:r>
        <w:rPr>
          <w:rFonts w:hint="eastAsia" w:ascii="宋体" w:hAnsi="宋体"/>
          <w:color w:val="auto"/>
          <w:kern w:val="0"/>
          <w:highlight w:val="none"/>
        </w:rPr>
        <w:t>根据《中华人民共和国政府采购法》、《民法典》等法律法规的规定，甲乙双方</w:t>
      </w:r>
      <w:r>
        <w:rPr>
          <w:rFonts w:hint="eastAsia" w:ascii="宋体" w:hAnsi="宋体"/>
          <w:color w:val="auto"/>
          <w:kern w:val="0"/>
          <w:highlight w:val="none"/>
          <w:u w:val="single"/>
        </w:rPr>
        <w:t xml:space="preserve">按照      </w:t>
      </w:r>
      <w:r>
        <w:rPr>
          <w:rFonts w:hint="eastAsia" w:ascii="宋体" w:hAnsi="宋体"/>
          <w:color w:val="auto"/>
          <w:highlight w:val="none"/>
          <w:u w:val="single"/>
        </w:rPr>
        <w:t>项目（项目编号 ：           ）</w:t>
      </w:r>
      <w:r>
        <w:rPr>
          <w:rFonts w:hint="eastAsia" w:ascii="宋体" w:hAnsi="宋体"/>
          <w:color w:val="auto"/>
          <w:kern w:val="0"/>
          <w:highlight w:val="none"/>
        </w:rPr>
        <w:t>采购结果签订本合同。</w:t>
      </w:r>
    </w:p>
    <w:p w14:paraId="1B50FDB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cs="Arial"/>
          <w:b/>
          <w:color w:val="auto"/>
          <w:szCs w:val="21"/>
          <w:highlight w:val="none"/>
        </w:rPr>
      </w:pPr>
      <w:bookmarkStart w:id="236" w:name="_Toc26950"/>
      <w:r>
        <w:rPr>
          <w:rFonts w:hint="eastAsia" w:ascii="微软雅黑" w:hAnsi="微软雅黑" w:cs="Arial"/>
          <w:b/>
          <w:color w:val="auto"/>
          <w:szCs w:val="21"/>
          <w:highlight w:val="none"/>
        </w:rPr>
        <w:t>一、 合同组成</w:t>
      </w:r>
      <w:bookmarkEnd w:id="236"/>
    </w:p>
    <w:p w14:paraId="20F7FAF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本次采购活动的相关文件为本合同的组成部分，与本合同具有同等法律效力,这些文件包括但不限于：</w:t>
      </w:r>
    </w:p>
    <w:p w14:paraId="16B38181">
      <w:pPr>
        <w:ind w:firstLine="420"/>
        <w:rPr>
          <w:rFonts w:hint="eastAsia" w:ascii="微软雅黑" w:hAnsi="微软雅黑" w:cs="Arial"/>
          <w:color w:val="auto"/>
          <w:szCs w:val="21"/>
          <w:highlight w:val="none"/>
        </w:rPr>
      </w:pPr>
      <w:r>
        <w:rPr>
          <w:rFonts w:ascii="微软雅黑" w:hAnsi="微软雅黑" w:cs="Arial"/>
          <w:color w:val="auto"/>
          <w:szCs w:val="21"/>
          <w:highlight w:val="none"/>
        </w:rPr>
        <w:t>1.</w:t>
      </w:r>
      <w:r>
        <w:rPr>
          <w:rFonts w:hint="eastAsia" w:ascii="微软雅黑" w:hAnsi="微软雅黑" w:cs="Arial"/>
          <w:color w:val="auto"/>
          <w:szCs w:val="21"/>
          <w:highlight w:val="none"/>
        </w:rPr>
        <w:t>甲方的采购文件与采购补充文件。</w:t>
      </w:r>
    </w:p>
    <w:p w14:paraId="18B66EBB">
      <w:pPr>
        <w:ind w:firstLine="420"/>
        <w:rPr>
          <w:rFonts w:hint="eastAsia" w:ascii="微软雅黑" w:hAnsi="微软雅黑" w:cs="Arial"/>
          <w:color w:val="auto"/>
          <w:szCs w:val="21"/>
          <w:highlight w:val="none"/>
        </w:rPr>
      </w:pPr>
      <w:r>
        <w:rPr>
          <w:rFonts w:ascii="微软雅黑" w:hAnsi="微软雅黑" w:cs="Arial"/>
          <w:color w:val="auto"/>
          <w:szCs w:val="21"/>
          <w:highlight w:val="none"/>
        </w:rPr>
        <w:t>2.</w:t>
      </w:r>
      <w:r>
        <w:rPr>
          <w:rFonts w:hint="eastAsia" w:ascii="微软雅黑" w:hAnsi="微软雅黑" w:cs="Arial"/>
          <w:color w:val="auto"/>
          <w:szCs w:val="21"/>
          <w:highlight w:val="none"/>
        </w:rPr>
        <w:t>成交供应商投标文件。</w:t>
      </w:r>
    </w:p>
    <w:p w14:paraId="7A2AD7CF">
      <w:pPr>
        <w:ind w:firstLine="420"/>
        <w:rPr>
          <w:rFonts w:hint="eastAsia" w:ascii="微软雅黑" w:hAnsi="微软雅黑" w:cs="Arial"/>
          <w:color w:val="auto"/>
          <w:szCs w:val="21"/>
          <w:highlight w:val="none"/>
        </w:rPr>
      </w:pPr>
      <w:r>
        <w:rPr>
          <w:rFonts w:ascii="微软雅黑" w:hAnsi="微软雅黑" w:cs="Arial"/>
          <w:color w:val="auto"/>
          <w:szCs w:val="21"/>
          <w:highlight w:val="none"/>
        </w:rPr>
        <w:t>3.</w:t>
      </w:r>
      <w:r>
        <w:rPr>
          <w:rFonts w:hint="eastAsia" w:ascii="微软雅黑" w:hAnsi="微软雅黑" w:cs="Arial"/>
          <w:color w:val="auto"/>
          <w:szCs w:val="21"/>
          <w:highlight w:val="none"/>
        </w:rPr>
        <w:t>答疑纪要和承诺书。</w:t>
      </w:r>
    </w:p>
    <w:p w14:paraId="2EEDE843">
      <w:pPr>
        <w:ind w:firstLine="420"/>
        <w:rPr>
          <w:rFonts w:hint="eastAsia" w:ascii="微软雅黑" w:hAnsi="微软雅黑" w:cs="Arial"/>
          <w:color w:val="auto"/>
          <w:szCs w:val="21"/>
          <w:highlight w:val="none"/>
        </w:rPr>
      </w:pPr>
      <w:r>
        <w:rPr>
          <w:rFonts w:ascii="微软雅黑" w:hAnsi="微软雅黑" w:cs="Arial"/>
          <w:color w:val="auto"/>
          <w:szCs w:val="21"/>
          <w:highlight w:val="none"/>
        </w:rPr>
        <w:t>4.</w:t>
      </w:r>
      <w:r>
        <w:rPr>
          <w:rFonts w:hint="eastAsia" w:ascii="微软雅黑" w:hAnsi="微软雅黑" w:cs="Arial"/>
          <w:color w:val="auto"/>
          <w:szCs w:val="21"/>
          <w:highlight w:val="none"/>
        </w:rPr>
        <w:t>中标通知书。</w:t>
      </w:r>
    </w:p>
    <w:p w14:paraId="6BACECE1">
      <w:pPr>
        <w:spacing w:line="380" w:lineRule="exact"/>
        <w:ind w:firstLine="420"/>
        <w:rPr>
          <w:rFonts w:hint="eastAsia" w:ascii="微软雅黑" w:hAnsi="微软雅黑" w:cs="Arial"/>
          <w:color w:val="auto"/>
          <w:szCs w:val="21"/>
          <w:highlight w:val="none"/>
        </w:rPr>
      </w:pPr>
      <w:r>
        <w:rPr>
          <w:rFonts w:hint="eastAsia" w:ascii="微软雅黑" w:hAnsi="微软雅黑" w:cs="Arial"/>
          <w:color w:val="auto"/>
          <w:szCs w:val="21"/>
          <w:highlight w:val="none"/>
        </w:rPr>
        <w:t>组成本合同的所有文件必须为书面形式。组成本合同的文件的优先顺序为：（1）本合同；（2）答疑纪要和承诺书；（3）甲方的采购文件与采购补充文件；（4）中标通知书；（5）成交供应商投标文件。</w:t>
      </w:r>
    </w:p>
    <w:p w14:paraId="5D727401">
      <w:pPr>
        <w:pStyle w:val="27"/>
        <w:numPr>
          <w:ilvl w:val="0"/>
          <w:numId w:val="25"/>
        </w:numPr>
        <w:ind w:firstLineChars="0"/>
        <w:outlineLvl w:val="1"/>
        <w:rPr>
          <w:color w:val="auto"/>
          <w:highlight w:val="none"/>
        </w:rPr>
      </w:pPr>
      <w:bookmarkStart w:id="237" w:name="_Toc25714"/>
      <w:r>
        <w:rPr>
          <w:rFonts w:hint="eastAsia"/>
          <w:color w:val="auto"/>
          <w:highlight w:val="none"/>
        </w:rPr>
        <w:t>合同标的</w:t>
      </w:r>
      <w:bookmarkEnd w:id="237"/>
    </w:p>
    <w:p w14:paraId="10A8D302">
      <w:pPr>
        <w:ind w:firstLine="424" w:firstLineChars="202"/>
        <w:rPr>
          <w:rFonts w:hint="eastAsia" w:ascii="微软雅黑" w:hAnsi="微软雅黑" w:eastAsia="微软雅黑"/>
          <w:color w:val="auto"/>
          <w:szCs w:val="21"/>
          <w:highlight w:val="none"/>
          <w:u w:val="single"/>
          <w:lang w:eastAsia="zh-CN"/>
        </w:rPr>
      </w:pPr>
      <w:r>
        <w:rPr>
          <w:rFonts w:hint="eastAsia" w:ascii="微软雅黑" w:hAnsi="微软雅黑" w:cs="宋体"/>
          <w:color w:val="auto"/>
          <w:kern w:val="0"/>
          <w:szCs w:val="21"/>
          <w:highlight w:val="none"/>
        </w:rPr>
        <w:t>本次采购的是</w:t>
      </w:r>
      <w:r>
        <w:rPr>
          <w:rFonts w:hint="eastAsia"/>
          <w:color w:val="auto"/>
          <w:highlight w:val="none"/>
          <w:lang w:eastAsia="zh-CN"/>
        </w:rPr>
        <w:t>嘉兴市秀洲区精神障碍社区康复服务项目</w:t>
      </w:r>
    </w:p>
    <w:p w14:paraId="1737C55A">
      <w:pPr>
        <w:pStyle w:val="27"/>
        <w:ind w:firstLine="420"/>
        <w:rPr>
          <w:color w:val="auto"/>
          <w:highlight w:val="none"/>
        </w:rPr>
      </w:pPr>
    </w:p>
    <w:p w14:paraId="7124A238">
      <w:pPr>
        <w:pStyle w:val="27"/>
        <w:ind w:firstLine="420"/>
        <w:outlineLvl w:val="1"/>
        <w:rPr>
          <w:color w:val="auto"/>
          <w:highlight w:val="none"/>
        </w:rPr>
      </w:pPr>
      <w:bookmarkStart w:id="238" w:name="_Toc2295"/>
      <w:r>
        <w:rPr>
          <w:rFonts w:hint="eastAsia"/>
          <w:color w:val="auto"/>
          <w:highlight w:val="none"/>
        </w:rPr>
        <w:t>三、合同价款及付款方式</w:t>
      </w:r>
      <w:bookmarkEnd w:id="238"/>
    </w:p>
    <w:p w14:paraId="5725D75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1、本合同项下总价款为（大写）人民币，小写：     万元。</w:t>
      </w:r>
    </w:p>
    <w:p w14:paraId="316E8A3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2、服务期限：壹年，自</w:t>
      </w:r>
      <w:r>
        <w:rPr>
          <w:rFonts w:hint="eastAsia" w:ascii="微软雅黑" w:hAnsi="微软雅黑" w:cs="宋体"/>
          <w:color w:val="auto"/>
          <w:kern w:val="0"/>
          <w:szCs w:val="21"/>
          <w:highlight w:val="none"/>
          <w:u w:val="single"/>
        </w:rPr>
        <w:t>20  年  月  日至20  年  月  日</w:t>
      </w:r>
      <w:r>
        <w:rPr>
          <w:rFonts w:hint="eastAsia" w:ascii="微软雅黑" w:hAnsi="微软雅黑" w:cs="宋体"/>
          <w:color w:val="auto"/>
          <w:kern w:val="0"/>
          <w:szCs w:val="21"/>
          <w:highlight w:val="none"/>
        </w:rPr>
        <w:t>。</w:t>
      </w:r>
    </w:p>
    <w:p w14:paraId="6512CC8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3、本合同总价款包括所有服务、人员、保障、售后服务、税费等全部费用。</w:t>
      </w:r>
    </w:p>
    <w:p w14:paraId="2F3130C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4、本合同付款方式为以下第项：</w:t>
      </w:r>
    </w:p>
    <w:p w14:paraId="33790F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（1）本合同项下的采购资金系甲方自行支付，付款程序为；</w:t>
      </w:r>
    </w:p>
    <w:p w14:paraId="12C596D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（2）本合同项下的采购资金须财政直接支付，付款程序为；</w:t>
      </w:r>
    </w:p>
    <w:p w14:paraId="50A385B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（3）其他方式：</w:t>
      </w:r>
    </w:p>
    <w:p w14:paraId="6DC68D3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5、本合同项下的采购资金付款进度按招投标文件规定，未规定时按以下第项支付：</w:t>
      </w:r>
    </w:p>
    <w:p w14:paraId="7900D57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（1）一次性付款：乙方合同履行达到（条件）时，一次性付款；</w:t>
      </w:r>
    </w:p>
    <w:p w14:paraId="302EE80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（2）分期付款：乙方合同履行达到</w:t>
      </w:r>
      <w:r>
        <w:rPr>
          <w:rFonts w:hint="eastAsia" w:ascii="微软雅黑" w:hAnsi="微软雅黑" w:cs="宋体"/>
          <w:color w:val="auto"/>
          <w:kern w:val="0"/>
          <w:szCs w:val="21"/>
          <w:highlight w:val="none"/>
          <w:u w:val="single"/>
        </w:rPr>
        <w:t xml:space="preserve"> 招标文件和甲方要求时，</w:t>
      </w:r>
      <w:r>
        <w:rPr>
          <w:rFonts w:hint="eastAsia" w:ascii="微软雅黑" w:hAnsi="微软雅黑" w:cs="宋体"/>
          <w:color w:val="auto"/>
          <w:kern w:val="0"/>
          <w:szCs w:val="21"/>
          <w:highlight w:val="none"/>
        </w:rPr>
        <w:t>甲方</w:t>
      </w:r>
      <w:r>
        <w:rPr>
          <w:rFonts w:hint="eastAsia" w:ascii="微软雅黑" w:hAnsi="微软雅黑" w:cs="宋体"/>
          <w:color w:val="auto"/>
          <w:kern w:val="0"/>
          <w:szCs w:val="21"/>
          <w:highlight w:val="none"/>
          <w:u w:val="single"/>
        </w:rPr>
        <w:t xml:space="preserve">按   </w:t>
      </w:r>
      <w:r>
        <w:rPr>
          <w:rFonts w:hint="eastAsia" w:ascii="微软雅黑" w:hAnsi="微软雅黑" w:cs="宋体"/>
          <w:color w:val="auto"/>
          <w:kern w:val="0"/>
          <w:szCs w:val="21"/>
          <w:highlight w:val="none"/>
        </w:rPr>
        <w:t>进行支付，乙方凭有效发票、验收单等提交甲方进行支付流程。</w:t>
      </w:r>
    </w:p>
    <w:p w14:paraId="0CAA7F8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olor w:val="auto"/>
          <w:szCs w:val="21"/>
          <w:highlight w:val="none"/>
        </w:rPr>
        <w:t>若收取了履约保证金，则不应重复设置尾款支付条件。</w:t>
      </w:r>
    </w:p>
    <w:p w14:paraId="10F8673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39" w:name="_Toc9018"/>
      <w:r>
        <w:rPr>
          <w:rFonts w:hint="eastAsia" w:ascii="微软雅黑" w:hAnsi="微软雅黑"/>
          <w:b/>
          <w:color w:val="auto"/>
          <w:szCs w:val="21"/>
          <w:highlight w:val="none"/>
        </w:rPr>
        <w:t>四、</w:t>
      </w:r>
      <w:r>
        <w:rPr>
          <w:rFonts w:ascii="微软雅黑" w:hAnsi="微软雅黑"/>
          <w:b/>
          <w:color w:val="auto"/>
          <w:kern w:val="0"/>
          <w:szCs w:val="21"/>
          <w:highlight w:val="none"/>
        </w:rPr>
        <w:t>履约保证金</w:t>
      </w:r>
      <w:bookmarkEnd w:id="239"/>
    </w:p>
    <w:p w14:paraId="0B2E6C7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b/>
          <w:color w:val="auto"/>
          <w:kern w:val="0"/>
          <w:szCs w:val="21"/>
          <w:highlight w:val="none"/>
        </w:rPr>
      </w:pPr>
      <w:r>
        <w:rPr>
          <w:rFonts w:ascii="微软雅黑" w:hAnsi="微软雅黑"/>
          <w:color w:val="auto"/>
          <w:kern w:val="0"/>
          <w:szCs w:val="21"/>
          <w:highlight w:val="none"/>
        </w:rPr>
        <w:t>按以下第_________项处理：</w:t>
      </w:r>
    </w:p>
    <w:p w14:paraId="76F0875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1、本项目设置履约保证金，乙方应于_________（时间）向甲方提交履约保证金_________元（不得高于本合同金额的</w:t>
      </w:r>
      <w:r>
        <w:rPr>
          <w:rFonts w:hint="eastAsia" w:ascii="微软雅黑" w:hAnsi="微软雅黑"/>
          <w:color w:val="auto"/>
          <w:kern w:val="0"/>
          <w:szCs w:val="21"/>
          <w:highlight w:val="none"/>
        </w:rPr>
        <w:t>1</w:t>
      </w:r>
      <w:r>
        <w:rPr>
          <w:rFonts w:ascii="微软雅黑" w:hAnsi="微软雅黑"/>
          <w:color w:val="auto"/>
          <w:kern w:val="0"/>
          <w:szCs w:val="21"/>
          <w:highlight w:val="none"/>
        </w:rPr>
        <w:t>%）。履约保证金在_________（时间）退还乙方。</w:t>
      </w:r>
    </w:p>
    <w:p w14:paraId="2455909E">
      <w:pPr>
        <w:pStyle w:val="27"/>
        <w:ind w:firstLine="420"/>
        <w:rPr>
          <w:rFonts w:cs="Arial"/>
          <w:color w:val="auto"/>
          <w:highlight w:val="none"/>
        </w:rPr>
      </w:pPr>
      <w:r>
        <w:rPr>
          <w:color w:val="auto"/>
          <w:highlight w:val="none"/>
        </w:rPr>
        <w:t>2、本项目不设置履约保证金</w:t>
      </w:r>
      <w:r>
        <w:rPr>
          <w:rFonts w:hint="eastAsia" w:cs="Arial"/>
          <w:color w:val="auto"/>
          <w:highlight w:val="none"/>
        </w:rPr>
        <w:t>。</w:t>
      </w:r>
    </w:p>
    <w:p w14:paraId="0B47A2B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0" w:name="_Toc7978"/>
      <w:r>
        <w:rPr>
          <w:rFonts w:hint="eastAsia" w:ascii="微软雅黑" w:hAnsi="微软雅黑"/>
          <w:b/>
          <w:color w:val="auto"/>
          <w:szCs w:val="21"/>
          <w:highlight w:val="none"/>
        </w:rPr>
        <w:t>五、</w:t>
      </w:r>
      <w:r>
        <w:rPr>
          <w:rFonts w:ascii="微软雅黑" w:hAnsi="微软雅黑"/>
          <w:b/>
          <w:color w:val="auto"/>
          <w:kern w:val="0"/>
          <w:szCs w:val="21"/>
          <w:highlight w:val="none"/>
        </w:rPr>
        <w:t>质量保证及售后服务</w:t>
      </w:r>
      <w:bookmarkEnd w:id="240"/>
    </w:p>
    <w:p w14:paraId="0B38541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1、乙方按招标文件规定的时间和要求完成各项服务、考核。</w:t>
      </w:r>
    </w:p>
    <w:p w14:paraId="778DF3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b/>
          <w:color w:val="auto"/>
          <w:kern w:val="0"/>
          <w:szCs w:val="21"/>
          <w:highlight w:val="none"/>
        </w:rPr>
      </w:pPr>
      <w:r>
        <w:rPr>
          <w:rFonts w:hint="eastAsia" w:ascii="微软雅黑" w:hAnsi="微软雅黑" w:cs="宋体"/>
          <w:color w:val="auto"/>
          <w:szCs w:val="21"/>
          <w:highlight w:val="none"/>
        </w:rPr>
        <w:t>2、甲方其他服务需求。</w:t>
      </w:r>
    </w:p>
    <w:p w14:paraId="5BD1B6C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1" w:name="_Toc25764"/>
      <w:r>
        <w:rPr>
          <w:rFonts w:hint="eastAsia" w:ascii="微软雅黑" w:hAnsi="微软雅黑"/>
          <w:b/>
          <w:color w:val="auto"/>
          <w:szCs w:val="21"/>
          <w:highlight w:val="none"/>
        </w:rPr>
        <w:t>六、</w:t>
      </w:r>
      <w:r>
        <w:rPr>
          <w:rFonts w:ascii="微软雅黑" w:hAnsi="微软雅黑"/>
          <w:b/>
          <w:color w:val="auto"/>
          <w:kern w:val="0"/>
          <w:szCs w:val="21"/>
          <w:highlight w:val="none"/>
        </w:rPr>
        <w:t>合同的变更和终止</w:t>
      </w:r>
      <w:bookmarkEnd w:id="241"/>
    </w:p>
    <w:p w14:paraId="56606C8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除《政府采购法》第49条、第50条第二款规定的情形外，本合同一经签订，甲乙双方不得擅自终止合同或对合同实质性条款进行变更。确有特殊情况的，须经同级财政部门批准。</w:t>
      </w:r>
    </w:p>
    <w:p w14:paraId="5DC80EC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2" w:name="_Toc23561"/>
      <w:r>
        <w:rPr>
          <w:rFonts w:hint="eastAsia" w:ascii="微软雅黑" w:hAnsi="微软雅黑"/>
          <w:b/>
          <w:color w:val="auto"/>
          <w:szCs w:val="21"/>
          <w:highlight w:val="none"/>
        </w:rPr>
        <w:t>七、</w:t>
      </w:r>
      <w:r>
        <w:rPr>
          <w:rFonts w:ascii="微软雅黑" w:hAnsi="微软雅黑"/>
          <w:b/>
          <w:color w:val="auto"/>
          <w:kern w:val="0"/>
          <w:szCs w:val="21"/>
          <w:highlight w:val="none"/>
        </w:rPr>
        <w:t>合同的转让与分包</w:t>
      </w:r>
      <w:bookmarkEnd w:id="242"/>
    </w:p>
    <w:p w14:paraId="7A0A5FF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乙方不得擅自部分或全部转让其应履行的合同义务。乙方分包的，应经过甲方书面同意。</w:t>
      </w:r>
    </w:p>
    <w:p w14:paraId="58E10B6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3" w:name="_Toc845"/>
      <w:r>
        <w:rPr>
          <w:rFonts w:hint="eastAsia" w:ascii="微软雅黑" w:hAnsi="微软雅黑"/>
          <w:b/>
          <w:color w:val="auto"/>
          <w:szCs w:val="21"/>
          <w:highlight w:val="none"/>
        </w:rPr>
        <w:t>十、</w:t>
      </w:r>
      <w:r>
        <w:rPr>
          <w:rFonts w:ascii="微软雅黑" w:hAnsi="微软雅黑"/>
          <w:b/>
          <w:color w:val="auto"/>
          <w:kern w:val="0"/>
          <w:szCs w:val="21"/>
          <w:highlight w:val="none"/>
        </w:rPr>
        <w:t>违约责任</w:t>
      </w:r>
      <w:bookmarkEnd w:id="243"/>
    </w:p>
    <w:p w14:paraId="6DAD300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1、  除不可抗力外，如果乙方没有按照本合同约定的期限、地点和方式提供服务，那么甲方可要求乙方支付违约金，违约金按逾期提供服务总额每日 0.05 %计算，最高限额为本合同总价的 20%；逾期提供服务的违约金计算数额达到前述最高限额之日起，甲方有权在要求乙方支付违约金的同时，书面通知乙方解除本合同；</w:t>
      </w:r>
    </w:p>
    <w:p w14:paraId="1B552F5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2、除不可抗力外，如果甲方没有按照本合同约定的付款方式付款，那么乙方可要求甲方支付违约金，违约金按每迟延付款一日的应付而未付款的0.05 %计算，最高限额为本合同总价的 20%；迟延付款的违约金计算数额达到前述最高限额之日起，乙方有权在要求甲方支付违约金的同时，书面通知甲方解除本合同；</w:t>
      </w:r>
    </w:p>
    <w:p w14:paraId="5DA60D7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3、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1B83CAB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4、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32B14B1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szCs w:val="21"/>
          <w:highlight w:val="none"/>
        </w:rPr>
      </w:pPr>
      <w:r>
        <w:rPr>
          <w:rFonts w:hint="eastAsia" w:ascii="微软雅黑" w:hAnsi="微软雅黑" w:cs="宋体"/>
          <w:color w:val="auto"/>
          <w:szCs w:val="21"/>
          <w:highlight w:val="none"/>
        </w:rPr>
        <w:t>5、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32F8DCA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hint="eastAsia" w:ascii="微软雅黑" w:hAnsi="微软雅黑" w:cs="宋体"/>
          <w:color w:val="auto"/>
          <w:szCs w:val="21"/>
          <w:highlight w:val="none"/>
        </w:rPr>
        <w:t>6、如果出现政府采购监督管理部门在处理投诉事项期间，书面通知甲方暂停采购活动的情形，或者询问或质疑事项可能影响中标结果的，导致甲方中止履行合同的情形，均不视为甲方违约。</w:t>
      </w:r>
    </w:p>
    <w:p w14:paraId="0E444214">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4" w:name="_Toc30297"/>
      <w:r>
        <w:rPr>
          <w:rFonts w:hint="eastAsia" w:ascii="微软雅黑" w:hAnsi="微软雅黑"/>
          <w:b/>
          <w:color w:val="auto"/>
          <w:szCs w:val="21"/>
          <w:highlight w:val="none"/>
        </w:rPr>
        <w:t>十一、</w:t>
      </w:r>
      <w:r>
        <w:rPr>
          <w:rFonts w:ascii="微软雅黑" w:hAnsi="微软雅黑"/>
          <w:b/>
          <w:color w:val="auto"/>
          <w:kern w:val="0"/>
          <w:szCs w:val="21"/>
          <w:highlight w:val="none"/>
        </w:rPr>
        <w:t>不可抗力事件处理</w:t>
      </w:r>
      <w:bookmarkEnd w:id="244"/>
    </w:p>
    <w:p w14:paraId="162F5A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1、在合同有效期内，任何一方因不可抗力事件导致不能履行合同的，合同履行期可延长，其延长期与不可抗力影响期相同。</w:t>
      </w:r>
    </w:p>
    <w:p w14:paraId="4F330E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2、不可抗力事件发生后，应立即通知对方，并寄送有关权威机构出具的证明。</w:t>
      </w:r>
    </w:p>
    <w:p w14:paraId="0F7808F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3、不可抗力事件延续120天以上，双方应通过友好协商，确定是否继续履行合同。</w:t>
      </w:r>
    </w:p>
    <w:p w14:paraId="415D9546">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5" w:name="_Toc28445"/>
      <w:r>
        <w:rPr>
          <w:rFonts w:hint="eastAsia" w:ascii="微软雅黑" w:hAnsi="微软雅黑"/>
          <w:b/>
          <w:color w:val="auto"/>
          <w:szCs w:val="21"/>
          <w:highlight w:val="none"/>
        </w:rPr>
        <w:t>十二、</w:t>
      </w:r>
      <w:r>
        <w:rPr>
          <w:rFonts w:ascii="微软雅黑" w:hAnsi="微软雅黑"/>
          <w:b/>
          <w:color w:val="auto"/>
          <w:kern w:val="0"/>
          <w:szCs w:val="21"/>
          <w:highlight w:val="none"/>
        </w:rPr>
        <w:t>争议的解决</w:t>
      </w:r>
      <w:bookmarkEnd w:id="245"/>
    </w:p>
    <w:p w14:paraId="5CA5B86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1、因履行本合同引起的或与本合同有关的争议，甲、乙双方应首先通过友好协商解决，如果协商不能解决争议，则采取以下第种方式解决争议：</w:t>
      </w:r>
    </w:p>
    <w:p w14:paraId="2614C47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（1）向甲方所在地有管辖权的人民法院提起诉讼；</w:t>
      </w:r>
    </w:p>
    <w:p w14:paraId="3325190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rPr>
          <w:rFonts w:hint="eastAsia" w:ascii="微软雅黑" w:hAnsi="微软雅黑"/>
          <w:color w:val="auto"/>
          <w:kern w:val="0"/>
          <w:szCs w:val="21"/>
          <w:highlight w:val="none"/>
        </w:rPr>
      </w:pPr>
      <w:r>
        <w:rPr>
          <w:rFonts w:ascii="微软雅黑" w:hAnsi="微软雅黑"/>
          <w:color w:val="auto"/>
          <w:kern w:val="0"/>
          <w:szCs w:val="21"/>
          <w:highlight w:val="none"/>
        </w:rPr>
        <w:t>（2）向仲裁委员申请仲裁。</w:t>
      </w:r>
    </w:p>
    <w:p w14:paraId="50081ED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420"/>
        <w:outlineLvl w:val="1"/>
        <w:rPr>
          <w:rFonts w:hint="eastAsia" w:ascii="微软雅黑" w:hAnsi="微软雅黑"/>
          <w:b/>
          <w:color w:val="auto"/>
          <w:kern w:val="0"/>
          <w:szCs w:val="21"/>
          <w:highlight w:val="none"/>
        </w:rPr>
      </w:pPr>
      <w:bookmarkStart w:id="246" w:name="_Toc10700"/>
      <w:r>
        <w:rPr>
          <w:rFonts w:hint="eastAsia" w:ascii="微软雅黑" w:hAnsi="微软雅黑"/>
          <w:b/>
          <w:color w:val="auto"/>
          <w:szCs w:val="21"/>
          <w:highlight w:val="none"/>
        </w:rPr>
        <w:t>十三、</w:t>
      </w:r>
      <w:r>
        <w:rPr>
          <w:rFonts w:hint="eastAsia" w:ascii="微软雅黑" w:hAnsi="微软雅黑"/>
          <w:b/>
          <w:color w:val="auto"/>
          <w:kern w:val="0"/>
          <w:szCs w:val="21"/>
          <w:highlight w:val="none"/>
        </w:rPr>
        <w:t>合同公告、</w:t>
      </w:r>
      <w:r>
        <w:rPr>
          <w:rFonts w:ascii="微软雅黑" w:hAnsi="微软雅黑"/>
          <w:b/>
          <w:color w:val="auto"/>
          <w:kern w:val="0"/>
          <w:szCs w:val="21"/>
          <w:highlight w:val="none"/>
        </w:rPr>
        <w:t>合同生效及备案</w:t>
      </w:r>
      <w:bookmarkEnd w:id="246"/>
    </w:p>
    <w:p w14:paraId="0907D0E0">
      <w:pPr>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1、合同公告：本项目政府采购合同将于签订之日起2个工作日内发布于浙江政府采购网，但政府采购合同中涉及国家秘密、商业秘密的内容除外。</w:t>
      </w:r>
    </w:p>
    <w:p w14:paraId="2B0FCCCB">
      <w:pPr>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2、合同经双方法定代表人或被授权人签字并加盖单位公章后生效。</w:t>
      </w:r>
    </w:p>
    <w:p w14:paraId="10BE63C2">
      <w:pPr>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3、合同执行中涉及采购资金和采购内容修改或补充的，须经财政部门审批，并签书面补充协议报政府部门备案，方可作为主合同不可分割的一部分。</w:t>
      </w:r>
    </w:p>
    <w:p w14:paraId="18F039F7">
      <w:pPr>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4、本合同未尽事宜，遵照《民法典》有关条文执行。</w:t>
      </w:r>
    </w:p>
    <w:p w14:paraId="05958A39">
      <w:pPr>
        <w:ind w:firstLine="420"/>
        <w:rPr>
          <w:rFonts w:hint="eastAsia" w:ascii="微软雅黑" w:hAnsi="微软雅黑"/>
          <w:color w:val="auto"/>
          <w:kern w:val="0"/>
          <w:szCs w:val="21"/>
          <w:highlight w:val="none"/>
        </w:rPr>
      </w:pPr>
      <w:r>
        <w:rPr>
          <w:rFonts w:hint="eastAsia" w:ascii="微软雅黑" w:hAnsi="微软雅黑"/>
          <w:color w:val="auto"/>
          <w:kern w:val="0"/>
          <w:szCs w:val="21"/>
          <w:highlight w:val="none"/>
        </w:rPr>
        <w:t>5、本合同一式份，甲乙双方各执份。若执行政采贷，另加</w:t>
      </w:r>
      <w:r>
        <w:rPr>
          <w:rFonts w:hint="eastAsia" w:ascii="微软雅黑" w:hAnsi="微软雅黑"/>
          <w:color w:val="auto"/>
          <w:kern w:val="0"/>
          <w:szCs w:val="21"/>
          <w:highlight w:val="none"/>
          <w:u w:val="single"/>
        </w:rPr>
        <w:t xml:space="preserve"> 贰 </w:t>
      </w:r>
      <w:r>
        <w:rPr>
          <w:rFonts w:hint="eastAsia" w:ascii="微软雅黑" w:hAnsi="微软雅黑"/>
          <w:color w:val="auto"/>
          <w:kern w:val="0"/>
          <w:szCs w:val="21"/>
          <w:highlight w:val="none"/>
        </w:rPr>
        <w:t>份。</w:t>
      </w:r>
    </w:p>
    <w:p w14:paraId="73828580">
      <w:pPr>
        <w:ind w:firstLine="420"/>
        <w:jc w:val="center"/>
        <w:rPr>
          <w:rFonts w:hint="eastAsia" w:ascii="微软雅黑" w:hAnsi="微软雅黑"/>
          <w:color w:val="auto"/>
          <w:szCs w:val="21"/>
          <w:highlight w:val="none"/>
        </w:rPr>
      </w:pPr>
    </w:p>
    <w:p w14:paraId="41C319A7">
      <w:pPr>
        <w:pStyle w:val="3"/>
        <w:ind w:firstLine="420"/>
        <w:jc w:val="center"/>
        <w:rPr>
          <w:rFonts w:hint="eastAsia" w:ascii="微软雅黑" w:hAnsi="微软雅黑"/>
          <w:color w:val="auto"/>
          <w:szCs w:val="21"/>
          <w:highlight w:val="none"/>
        </w:rPr>
      </w:pPr>
      <w:bookmarkStart w:id="247" w:name="_Toc164943219"/>
      <w:bookmarkStart w:id="248" w:name="_Toc31422"/>
      <w:r>
        <w:rPr>
          <w:rFonts w:ascii="微软雅黑" w:hAnsi="微软雅黑"/>
          <w:color w:val="auto"/>
          <w:szCs w:val="21"/>
          <w:highlight w:val="none"/>
        </w:rPr>
        <w:t>特殊专用条款部分</w:t>
      </w:r>
      <w:bookmarkEnd w:id="247"/>
      <w:bookmarkEnd w:id="248"/>
    </w:p>
    <w:p w14:paraId="19A9FA85">
      <w:pPr>
        <w:pStyle w:val="27"/>
        <w:ind w:firstLine="420"/>
        <w:rPr>
          <w:color w:val="auto"/>
          <w:highlight w:val="none"/>
        </w:rPr>
      </w:pPr>
      <w:r>
        <w:rPr>
          <w:color w:val="auto"/>
          <w:highlight w:val="none"/>
        </w:rPr>
        <w:t>……</w:t>
      </w:r>
    </w:p>
    <w:p w14:paraId="357FA502">
      <w:pPr>
        <w:pStyle w:val="27"/>
        <w:ind w:firstLine="420"/>
        <w:rPr>
          <w:color w:val="auto"/>
          <w:highlight w:val="none"/>
        </w:rPr>
      </w:pPr>
      <w:r>
        <w:rPr>
          <w:color w:val="auto"/>
          <w:highlight w:val="none"/>
        </w:rPr>
        <w:t xml:space="preserve">甲方：                             乙方： </w:t>
      </w:r>
    </w:p>
    <w:p w14:paraId="6297275B">
      <w:pPr>
        <w:pStyle w:val="27"/>
        <w:ind w:firstLine="420"/>
        <w:rPr>
          <w:bCs/>
          <w:color w:val="auto"/>
          <w:highlight w:val="none"/>
        </w:rPr>
      </w:pPr>
      <w:r>
        <w:rPr>
          <w:color w:val="auto"/>
          <w:highlight w:val="none"/>
        </w:rPr>
        <w:t xml:space="preserve">地址：                             地址： </w:t>
      </w:r>
    </w:p>
    <w:p w14:paraId="687F0824">
      <w:pPr>
        <w:pStyle w:val="27"/>
        <w:ind w:firstLine="420"/>
        <w:rPr>
          <w:color w:val="auto"/>
          <w:highlight w:val="none"/>
        </w:rPr>
      </w:pPr>
      <w:r>
        <w:rPr>
          <w:rFonts w:hint="eastAsia"/>
          <w:color w:val="auto"/>
          <w:highlight w:val="none"/>
        </w:rPr>
        <w:t>法定代表人</w:t>
      </w:r>
      <w:r>
        <w:rPr>
          <w:color w:val="auto"/>
          <w:highlight w:val="none"/>
        </w:rPr>
        <w:t xml:space="preserve">或被授权人：             </w:t>
      </w:r>
      <w:r>
        <w:rPr>
          <w:rFonts w:hint="eastAsia"/>
          <w:color w:val="auto"/>
          <w:highlight w:val="none"/>
        </w:rPr>
        <w:t>法定代表人</w:t>
      </w:r>
      <w:r>
        <w:rPr>
          <w:color w:val="auto"/>
          <w:highlight w:val="none"/>
        </w:rPr>
        <w:t>或被授权人：</w:t>
      </w:r>
    </w:p>
    <w:p w14:paraId="69608BC6">
      <w:pPr>
        <w:pStyle w:val="27"/>
        <w:ind w:firstLine="420"/>
        <w:rPr>
          <w:color w:val="auto"/>
          <w:highlight w:val="none"/>
        </w:rPr>
      </w:pPr>
      <w:r>
        <w:rPr>
          <w:color w:val="auto"/>
          <w:highlight w:val="none"/>
        </w:rPr>
        <w:t xml:space="preserve">签订地点：                  </w:t>
      </w:r>
    </w:p>
    <w:p w14:paraId="350EED21">
      <w:pPr>
        <w:pStyle w:val="27"/>
        <w:ind w:firstLine="420"/>
        <w:rPr>
          <w:color w:val="auto"/>
          <w:highlight w:val="none"/>
        </w:rPr>
      </w:pPr>
      <w:r>
        <w:rPr>
          <w:color w:val="auto"/>
          <w:highlight w:val="none"/>
        </w:rPr>
        <w:t>签订日期：      年  月  日</w:t>
      </w:r>
    </w:p>
    <w:p w14:paraId="349F9954">
      <w:pPr>
        <w:pStyle w:val="27"/>
        <w:ind w:firstLine="420"/>
        <w:rPr>
          <w:color w:val="auto"/>
          <w:highlight w:val="none"/>
        </w:rPr>
      </w:pPr>
    </w:p>
    <w:p w14:paraId="4D4EED0F">
      <w:pPr>
        <w:ind w:firstLine="420"/>
        <w:rPr>
          <w:color w:val="auto"/>
          <w:highlight w:val="none"/>
        </w:rPr>
      </w:pPr>
    </w:p>
    <w:p w14:paraId="3B954D11">
      <w:pPr>
        <w:pStyle w:val="27"/>
        <w:spacing w:line="400" w:lineRule="exact"/>
        <w:ind w:firstLine="420"/>
        <w:jc w:val="center"/>
        <w:rPr>
          <w:rFonts w:ascii="Times New Roman" w:hAnsi="Times New Roman"/>
          <w:color w:val="auto"/>
          <w:highlight w:val="none"/>
        </w:rPr>
      </w:pPr>
    </w:p>
    <w:p w14:paraId="1EAD2942">
      <w:pPr>
        <w:pStyle w:val="27"/>
        <w:ind w:firstLine="420"/>
        <w:rPr>
          <w:color w:val="auto"/>
          <w:highlight w:val="none"/>
        </w:rPr>
        <w:sectPr>
          <w:pgSz w:w="11906" w:h="16838"/>
          <w:pgMar w:top="1474" w:right="1134" w:bottom="1134" w:left="1474" w:header="851" w:footer="851" w:gutter="0"/>
          <w:cols w:space="720" w:num="1"/>
          <w:docGrid w:linePitch="312" w:charSpace="0"/>
        </w:sectPr>
      </w:pPr>
    </w:p>
    <w:tbl>
      <w:tblPr>
        <w:tblStyle w:val="54"/>
        <w:tblW w:w="9237" w:type="dxa"/>
        <w:tblInd w:w="93" w:type="dxa"/>
        <w:tblLayout w:type="fixed"/>
        <w:tblCellMar>
          <w:top w:w="0" w:type="dxa"/>
          <w:left w:w="108" w:type="dxa"/>
          <w:bottom w:w="0" w:type="dxa"/>
          <w:right w:w="108" w:type="dxa"/>
        </w:tblCellMar>
      </w:tblPr>
      <w:tblGrid>
        <w:gridCol w:w="3030"/>
        <w:gridCol w:w="3174"/>
        <w:gridCol w:w="838"/>
        <w:gridCol w:w="1050"/>
        <w:gridCol w:w="1145"/>
      </w:tblGrid>
      <w:tr w14:paraId="6B8B177F">
        <w:tblPrEx>
          <w:tblCellMar>
            <w:top w:w="0" w:type="dxa"/>
            <w:left w:w="108" w:type="dxa"/>
            <w:bottom w:w="0" w:type="dxa"/>
            <w:right w:w="108" w:type="dxa"/>
          </w:tblCellMar>
        </w:tblPrEx>
        <w:trPr>
          <w:trHeight w:val="570" w:hRule="atLeast"/>
        </w:trPr>
        <w:tc>
          <w:tcPr>
            <w:tcW w:w="9237" w:type="dxa"/>
            <w:gridSpan w:val="5"/>
            <w:tcBorders>
              <w:top w:val="nil"/>
              <w:left w:val="nil"/>
              <w:bottom w:val="nil"/>
              <w:right w:val="nil"/>
            </w:tcBorders>
            <w:vAlign w:val="center"/>
          </w:tcPr>
          <w:p w14:paraId="1595F56C">
            <w:pPr>
              <w:pStyle w:val="3"/>
              <w:spacing w:line="240" w:lineRule="auto"/>
              <w:ind w:firstLine="0" w:firstLineChars="0"/>
              <w:rPr>
                <w:rFonts w:hint="eastAsia"/>
                <w:bCs/>
                <w:color w:val="auto"/>
                <w:szCs w:val="21"/>
                <w:highlight w:val="none"/>
              </w:rPr>
            </w:pPr>
            <w:bookmarkStart w:id="249" w:name="_Toc29980"/>
            <w:bookmarkStart w:id="250" w:name="_Toc164943220"/>
            <w:r>
              <w:rPr>
                <w:rFonts w:hint="eastAsia"/>
                <w:bCs/>
                <w:color w:val="auto"/>
                <w:szCs w:val="21"/>
                <w:highlight w:val="none"/>
              </w:rPr>
              <w:t>合同附件</w:t>
            </w:r>
            <w:bookmarkEnd w:id="249"/>
          </w:p>
          <w:p w14:paraId="5498DB5E">
            <w:pPr>
              <w:pStyle w:val="3"/>
              <w:spacing w:line="240" w:lineRule="auto"/>
              <w:ind w:firstLine="0" w:firstLineChars="0"/>
              <w:jc w:val="center"/>
              <w:rPr>
                <w:rFonts w:hint="eastAsia"/>
                <w:bCs/>
                <w:color w:val="auto"/>
                <w:szCs w:val="21"/>
                <w:highlight w:val="none"/>
              </w:rPr>
            </w:pPr>
            <w:bookmarkStart w:id="251" w:name="_Toc11729"/>
            <w:r>
              <w:rPr>
                <w:bCs/>
                <w:color w:val="auto"/>
                <w:szCs w:val="21"/>
                <w:highlight w:val="none"/>
              </w:rPr>
              <w:t>政 府 采 购 项 目 验 收 单</w:t>
            </w:r>
            <w:bookmarkEnd w:id="250"/>
            <w:bookmarkEnd w:id="251"/>
          </w:p>
        </w:tc>
      </w:tr>
      <w:tr w14:paraId="1234450D">
        <w:tblPrEx>
          <w:tblCellMar>
            <w:top w:w="0" w:type="dxa"/>
            <w:left w:w="108" w:type="dxa"/>
            <w:bottom w:w="0" w:type="dxa"/>
            <w:right w:w="108" w:type="dxa"/>
          </w:tblCellMar>
        </w:tblPrEx>
        <w:trPr>
          <w:trHeight w:val="443" w:hRule="atLeast"/>
        </w:trPr>
        <w:tc>
          <w:tcPr>
            <w:tcW w:w="9237" w:type="dxa"/>
            <w:gridSpan w:val="5"/>
            <w:tcBorders>
              <w:top w:val="nil"/>
              <w:left w:val="nil"/>
              <w:bottom w:val="nil"/>
              <w:right w:val="nil"/>
            </w:tcBorders>
            <w:vAlign w:val="center"/>
          </w:tcPr>
          <w:p w14:paraId="3D7C5CCC">
            <w:pPr>
              <w:widowControl/>
              <w:spacing w:line="240" w:lineRule="auto"/>
              <w:ind w:firstLine="0" w:firstLineChars="0"/>
              <w:rPr>
                <w:color w:val="auto"/>
                <w:kern w:val="0"/>
                <w:szCs w:val="21"/>
                <w:highlight w:val="none"/>
              </w:rPr>
            </w:pPr>
            <w:r>
              <w:rPr>
                <w:color w:val="auto"/>
                <w:kern w:val="0"/>
                <w:szCs w:val="21"/>
                <w:highlight w:val="none"/>
              </w:rPr>
              <w:t>按照</w:t>
            </w:r>
            <w:r>
              <w:rPr>
                <w:rFonts w:hint="eastAsia"/>
                <w:color w:val="auto"/>
                <w:kern w:val="0"/>
                <w:szCs w:val="21"/>
                <w:highlight w:val="none"/>
              </w:rPr>
              <w:t>采购计划文号：</w:t>
            </w:r>
            <w:r>
              <w:rPr>
                <w:color w:val="auto"/>
                <w:kern w:val="0"/>
                <w:szCs w:val="21"/>
                <w:highlight w:val="none"/>
              </w:rPr>
              <w:t>，</w:t>
            </w:r>
            <w:r>
              <w:rPr>
                <w:rFonts w:hint="eastAsia"/>
                <w:color w:val="auto"/>
                <w:kern w:val="0"/>
                <w:szCs w:val="21"/>
                <w:highlight w:val="none"/>
              </w:rPr>
              <w:t>项目编号</w:t>
            </w:r>
            <w:r>
              <w:rPr>
                <w:color w:val="auto"/>
                <w:kern w:val="0"/>
                <w:szCs w:val="21"/>
                <w:highlight w:val="none"/>
              </w:rPr>
              <w:t>：</w:t>
            </w:r>
            <w:r>
              <w:rPr>
                <w:rFonts w:hint="eastAsia" w:ascii="宋体" w:hAnsi="宋体" w:eastAsia="宋体"/>
                <w:color w:val="auto"/>
                <w:kern w:val="0"/>
                <w:szCs w:val="21"/>
                <w:highlight w:val="none"/>
              </w:rPr>
              <w:t xml:space="preserve">,合同号：  </w:t>
            </w:r>
          </w:p>
        </w:tc>
      </w:tr>
      <w:tr w14:paraId="6F991D24">
        <w:tblPrEx>
          <w:tblCellMar>
            <w:top w:w="0" w:type="dxa"/>
            <w:left w:w="108" w:type="dxa"/>
            <w:bottom w:w="0" w:type="dxa"/>
            <w:right w:w="108" w:type="dxa"/>
          </w:tblCellMar>
        </w:tblPrEx>
        <w:trPr>
          <w:trHeight w:val="443" w:hRule="atLeast"/>
        </w:trPr>
        <w:tc>
          <w:tcPr>
            <w:tcW w:w="9237" w:type="dxa"/>
            <w:gridSpan w:val="5"/>
            <w:tcBorders>
              <w:top w:val="nil"/>
              <w:left w:val="nil"/>
              <w:bottom w:val="nil"/>
              <w:right w:val="nil"/>
            </w:tcBorders>
            <w:vAlign w:val="center"/>
          </w:tcPr>
          <w:p w14:paraId="747214BE">
            <w:pPr>
              <w:widowControl/>
              <w:spacing w:line="240" w:lineRule="auto"/>
              <w:ind w:firstLine="0" w:firstLineChars="0"/>
              <w:rPr>
                <w:color w:val="auto"/>
                <w:kern w:val="0"/>
                <w:szCs w:val="21"/>
                <w:highlight w:val="none"/>
              </w:rPr>
            </w:pPr>
            <w:r>
              <w:rPr>
                <w:color w:val="auto"/>
                <w:kern w:val="0"/>
                <w:szCs w:val="21"/>
                <w:highlight w:val="none"/>
              </w:rPr>
              <w:t>以下项目已采购到位并验收合格。</w:t>
            </w:r>
          </w:p>
        </w:tc>
      </w:tr>
      <w:tr w14:paraId="2E52D544">
        <w:tblPrEx>
          <w:tblCellMar>
            <w:top w:w="0" w:type="dxa"/>
            <w:left w:w="108" w:type="dxa"/>
            <w:bottom w:w="0" w:type="dxa"/>
            <w:right w:w="108" w:type="dxa"/>
          </w:tblCellMar>
        </w:tblPrEx>
        <w:trPr>
          <w:trHeight w:val="676" w:hRule="atLeast"/>
        </w:trPr>
        <w:tc>
          <w:tcPr>
            <w:tcW w:w="3030" w:type="dxa"/>
            <w:tcBorders>
              <w:top w:val="single" w:color="auto" w:sz="4" w:space="0"/>
              <w:left w:val="single" w:color="auto" w:sz="4" w:space="0"/>
              <w:bottom w:val="nil"/>
              <w:right w:val="single" w:color="auto" w:sz="4" w:space="0"/>
            </w:tcBorders>
            <w:vAlign w:val="center"/>
          </w:tcPr>
          <w:p w14:paraId="06EC011D">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服务名称</w:t>
            </w:r>
          </w:p>
        </w:tc>
        <w:tc>
          <w:tcPr>
            <w:tcW w:w="3174" w:type="dxa"/>
            <w:tcBorders>
              <w:top w:val="single" w:color="auto" w:sz="4" w:space="0"/>
              <w:left w:val="nil"/>
              <w:bottom w:val="nil"/>
              <w:right w:val="single" w:color="auto" w:sz="4" w:space="0"/>
            </w:tcBorders>
            <w:vAlign w:val="center"/>
          </w:tcPr>
          <w:p w14:paraId="19E55D10">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服务内容</w:t>
            </w:r>
          </w:p>
        </w:tc>
        <w:tc>
          <w:tcPr>
            <w:tcW w:w="838" w:type="dxa"/>
            <w:tcBorders>
              <w:top w:val="single" w:color="auto" w:sz="4" w:space="0"/>
              <w:left w:val="nil"/>
              <w:bottom w:val="nil"/>
              <w:right w:val="single" w:color="auto" w:sz="4" w:space="0"/>
            </w:tcBorders>
            <w:vAlign w:val="center"/>
          </w:tcPr>
          <w:p w14:paraId="31968DCC">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数量</w:t>
            </w:r>
          </w:p>
        </w:tc>
        <w:tc>
          <w:tcPr>
            <w:tcW w:w="1050" w:type="dxa"/>
            <w:tcBorders>
              <w:top w:val="single" w:color="auto" w:sz="4" w:space="0"/>
              <w:left w:val="nil"/>
              <w:bottom w:val="nil"/>
              <w:right w:val="single" w:color="auto" w:sz="4" w:space="0"/>
            </w:tcBorders>
            <w:vAlign w:val="center"/>
          </w:tcPr>
          <w:p w14:paraId="15AA78F7">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核定总价</w:t>
            </w:r>
          </w:p>
        </w:tc>
        <w:tc>
          <w:tcPr>
            <w:tcW w:w="1145" w:type="dxa"/>
            <w:tcBorders>
              <w:top w:val="single" w:color="auto" w:sz="4" w:space="0"/>
              <w:left w:val="nil"/>
              <w:bottom w:val="single" w:color="auto" w:sz="4" w:space="0"/>
              <w:right w:val="single" w:color="auto" w:sz="4" w:space="0"/>
            </w:tcBorders>
            <w:vAlign w:val="center"/>
          </w:tcPr>
          <w:p w14:paraId="4196E5E5">
            <w:pPr>
              <w:widowControl/>
              <w:spacing w:line="240" w:lineRule="auto"/>
              <w:ind w:firstLine="0" w:firstLineChars="0"/>
              <w:jc w:val="center"/>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采购人</w:t>
            </w:r>
          </w:p>
          <w:p w14:paraId="5D7B8160">
            <w:pPr>
              <w:widowControl/>
              <w:spacing w:line="240" w:lineRule="auto"/>
              <w:ind w:firstLine="0" w:firstLineChars="0"/>
              <w:jc w:val="center"/>
              <w:rPr>
                <w:rFonts w:hint="eastAsia" w:ascii="微软雅黑" w:hAnsi="微软雅黑"/>
                <w:color w:val="auto"/>
                <w:kern w:val="0"/>
                <w:szCs w:val="21"/>
                <w:highlight w:val="none"/>
              </w:rPr>
            </w:pPr>
            <w:r>
              <w:rPr>
                <w:rFonts w:hint="eastAsia" w:ascii="微软雅黑" w:hAnsi="微软雅黑" w:cs="宋体"/>
                <w:color w:val="auto"/>
                <w:kern w:val="0"/>
                <w:szCs w:val="21"/>
                <w:highlight w:val="none"/>
              </w:rPr>
              <w:t>验收意见</w:t>
            </w:r>
          </w:p>
        </w:tc>
      </w:tr>
      <w:tr w14:paraId="113F1E08">
        <w:tblPrEx>
          <w:tblCellMar>
            <w:top w:w="0" w:type="dxa"/>
            <w:left w:w="108" w:type="dxa"/>
            <w:bottom w:w="0" w:type="dxa"/>
            <w:right w:w="108" w:type="dxa"/>
          </w:tblCellMar>
        </w:tblPrEx>
        <w:trPr>
          <w:trHeight w:val="550" w:hRule="atLeast"/>
        </w:trPr>
        <w:tc>
          <w:tcPr>
            <w:tcW w:w="3030" w:type="dxa"/>
            <w:tcBorders>
              <w:top w:val="single" w:color="auto" w:sz="4" w:space="0"/>
              <w:left w:val="single" w:color="auto" w:sz="4" w:space="0"/>
              <w:bottom w:val="single" w:color="auto" w:sz="4" w:space="0"/>
              <w:right w:val="single" w:color="auto" w:sz="4" w:space="0"/>
            </w:tcBorders>
            <w:vAlign w:val="center"/>
          </w:tcPr>
          <w:p w14:paraId="2F3DDE8A">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3174" w:type="dxa"/>
            <w:tcBorders>
              <w:top w:val="single" w:color="auto" w:sz="4" w:space="0"/>
              <w:left w:val="nil"/>
              <w:bottom w:val="single" w:color="auto" w:sz="4" w:space="0"/>
              <w:right w:val="single" w:color="auto" w:sz="4" w:space="0"/>
            </w:tcBorders>
            <w:vAlign w:val="center"/>
          </w:tcPr>
          <w:p w14:paraId="573BE97F">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838" w:type="dxa"/>
            <w:tcBorders>
              <w:top w:val="single" w:color="auto" w:sz="4" w:space="0"/>
              <w:left w:val="nil"/>
              <w:bottom w:val="single" w:color="auto" w:sz="4" w:space="0"/>
              <w:right w:val="single" w:color="auto" w:sz="4" w:space="0"/>
            </w:tcBorders>
            <w:vAlign w:val="center"/>
          </w:tcPr>
          <w:p w14:paraId="64A98F89">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050" w:type="dxa"/>
            <w:tcBorders>
              <w:top w:val="single" w:color="auto" w:sz="4" w:space="0"/>
              <w:left w:val="nil"/>
              <w:bottom w:val="single" w:color="auto" w:sz="4" w:space="0"/>
              <w:right w:val="single" w:color="auto" w:sz="4" w:space="0"/>
            </w:tcBorders>
            <w:vAlign w:val="center"/>
          </w:tcPr>
          <w:p w14:paraId="62B6A68F">
            <w:pPr>
              <w:widowControl/>
              <w:spacing w:line="240" w:lineRule="auto"/>
              <w:ind w:firstLine="0" w:firstLineChars="0"/>
              <w:jc w:val="center"/>
              <w:rPr>
                <w:color w:val="auto"/>
                <w:kern w:val="0"/>
                <w:szCs w:val="21"/>
                <w:highlight w:val="none"/>
              </w:rPr>
            </w:pPr>
            <w:r>
              <w:rPr>
                <w:color w:val="auto"/>
                <w:kern w:val="0"/>
                <w:szCs w:val="21"/>
                <w:highlight w:val="none"/>
              </w:rPr>
              <w:t>　</w:t>
            </w:r>
          </w:p>
        </w:tc>
        <w:tc>
          <w:tcPr>
            <w:tcW w:w="1145" w:type="dxa"/>
            <w:tcBorders>
              <w:top w:val="nil"/>
              <w:left w:val="nil"/>
              <w:bottom w:val="single" w:color="auto" w:sz="4" w:space="0"/>
              <w:right w:val="single" w:color="auto" w:sz="4" w:space="0"/>
            </w:tcBorders>
            <w:vAlign w:val="bottom"/>
          </w:tcPr>
          <w:p w14:paraId="1615EDDB">
            <w:pPr>
              <w:widowControl/>
              <w:spacing w:line="240" w:lineRule="auto"/>
              <w:ind w:firstLine="0" w:firstLineChars="0"/>
              <w:rPr>
                <w:color w:val="auto"/>
                <w:kern w:val="0"/>
                <w:szCs w:val="21"/>
                <w:highlight w:val="none"/>
              </w:rPr>
            </w:pPr>
            <w:r>
              <w:rPr>
                <w:color w:val="auto"/>
                <w:kern w:val="0"/>
                <w:szCs w:val="21"/>
                <w:highlight w:val="none"/>
              </w:rPr>
              <w:t>　</w:t>
            </w:r>
          </w:p>
        </w:tc>
      </w:tr>
      <w:tr w14:paraId="6F2809E3">
        <w:tblPrEx>
          <w:tblCellMar>
            <w:top w:w="0" w:type="dxa"/>
            <w:left w:w="108" w:type="dxa"/>
            <w:bottom w:w="0" w:type="dxa"/>
            <w:right w:w="108" w:type="dxa"/>
          </w:tblCellMar>
        </w:tblPrEx>
        <w:trPr>
          <w:trHeight w:val="583" w:hRule="atLeast"/>
        </w:trPr>
        <w:tc>
          <w:tcPr>
            <w:tcW w:w="3030" w:type="dxa"/>
            <w:tcBorders>
              <w:top w:val="nil"/>
              <w:left w:val="single" w:color="auto" w:sz="4" w:space="0"/>
              <w:bottom w:val="single" w:color="auto" w:sz="4" w:space="0"/>
              <w:right w:val="single" w:color="auto" w:sz="4" w:space="0"/>
            </w:tcBorders>
            <w:vAlign w:val="center"/>
          </w:tcPr>
          <w:p w14:paraId="7A5CFA4B">
            <w:pPr>
              <w:widowControl/>
              <w:spacing w:line="240" w:lineRule="auto"/>
              <w:ind w:firstLine="0" w:firstLineChars="0"/>
              <w:jc w:val="center"/>
              <w:rPr>
                <w:color w:val="auto"/>
                <w:kern w:val="0"/>
                <w:szCs w:val="21"/>
                <w:highlight w:val="none"/>
              </w:rPr>
            </w:pPr>
            <w:r>
              <w:rPr>
                <w:color w:val="auto"/>
                <w:kern w:val="0"/>
                <w:szCs w:val="21"/>
                <w:highlight w:val="none"/>
              </w:rPr>
              <w:t>合计总价款（人民币）</w:t>
            </w:r>
          </w:p>
        </w:tc>
        <w:tc>
          <w:tcPr>
            <w:tcW w:w="6207" w:type="dxa"/>
            <w:gridSpan w:val="4"/>
            <w:tcBorders>
              <w:top w:val="nil"/>
              <w:left w:val="nil"/>
              <w:bottom w:val="single" w:color="auto" w:sz="4" w:space="0"/>
              <w:right w:val="single" w:color="000000" w:sz="4" w:space="0"/>
            </w:tcBorders>
            <w:vAlign w:val="center"/>
          </w:tcPr>
          <w:p w14:paraId="1CF9C99B">
            <w:pPr>
              <w:widowControl/>
              <w:spacing w:line="240" w:lineRule="auto"/>
              <w:ind w:firstLine="0" w:firstLineChars="0"/>
              <w:rPr>
                <w:color w:val="auto"/>
                <w:kern w:val="0"/>
                <w:szCs w:val="21"/>
                <w:highlight w:val="none"/>
              </w:rPr>
            </w:pPr>
            <w:r>
              <w:rPr>
                <w:color w:val="auto"/>
                <w:kern w:val="0"/>
                <w:szCs w:val="21"/>
                <w:highlight w:val="none"/>
              </w:rPr>
              <w:t xml:space="preserve">人民币元整。       ￥: </w:t>
            </w:r>
          </w:p>
        </w:tc>
      </w:tr>
      <w:tr w14:paraId="63B168D2">
        <w:tblPrEx>
          <w:tblCellMar>
            <w:top w:w="0" w:type="dxa"/>
            <w:left w:w="108" w:type="dxa"/>
            <w:bottom w:w="0" w:type="dxa"/>
            <w:right w:w="108" w:type="dxa"/>
          </w:tblCellMar>
        </w:tblPrEx>
        <w:trPr>
          <w:trHeight w:val="536" w:hRule="atLeast"/>
        </w:trPr>
        <w:tc>
          <w:tcPr>
            <w:tcW w:w="3030" w:type="dxa"/>
            <w:tcBorders>
              <w:top w:val="nil"/>
              <w:left w:val="single" w:color="auto" w:sz="4" w:space="0"/>
              <w:bottom w:val="nil"/>
              <w:right w:val="nil"/>
            </w:tcBorders>
            <w:vAlign w:val="bottom"/>
          </w:tcPr>
          <w:p w14:paraId="65A805B7">
            <w:pPr>
              <w:widowControl/>
              <w:spacing w:line="240" w:lineRule="auto"/>
              <w:ind w:firstLine="0" w:firstLineChars="0"/>
              <w:rPr>
                <w:color w:val="auto"/>
                <w:kern w:val="0"/>
                <w:szCs w:val="21"/>
                <w:highlight w:val="none"/>
              </w:rPr>
            </w:pPr>
            <w:r>
              <w:rPr>
                <w:color w:val="auto"/>
                <w:kern w:val="0"/>
                <w:szCs w:val="21"/>
                <w:highlight w:val="none"/>
              </w:rPr>
              <w:t xml:space="preserve">供货单位（盖章）：                     </w:t>
            </w:r>
          </w:p>
        </w:tc>
        <w:tc>
          <w:tcPr>
            <w:tcW w:w="3174" w:type="dxa"/>
            <w:tcBorders>
              <w:top w:val="nil"/>
              <w:left w:val="nil"/>
              <w:bottom w:val="nil"/>
              <w:right w:val="nil"/>
            </w:tcBorders>
            <w:vAlign w:val="center"/>
          </w:tcPr>
          <w:p w14:paraId="2813B57C">
            <w:pPr>
              <w:widowControl/>
              <w:spacing w:line="240" w:lineRule="auto"/>
              <w:ind w:firstLine="0" w:firstLineChars="0"/>
              <w:jc w:val="right"/>
              <w:rPr>
                <w:color w:val="auto"/>
                <w:kern w:val="0"/>
                <w:szCs w:val="21"/>
                <w:highlight w:val="none"/>
              </w:rPr>
            </w:pPr>
            <w:r>
              <w:rPr>
                <w:color w:val="auto"/>
                <w:kern w:val="0"/>
                <w:szCs w:val="21"/>
                <w:highlight w:val="none"/>
              </w:rPr>
              <w:t>采购人（盖章）:</w:t>
            </w:r>
          </w:p>
        </w:tc>
        <w:tc>
          <w:tcPr>
            <w:tcW w:w="1888" w:type="dxa"/>
            <w:gridSpan w:val="2"/>
            <w:tcBorders>
              <w:top w:val="nil"/>
              <w:left w:val="nil"/>
              <w:bottom w:val="nil"/>
              <w:right w:val="nil"/>
            </w:tcBorders>
            <w:vAlign w:val="bottom"/>
          </w:tcPr>
          <w:p w14:paraId="688C992D">
            <w:pPr>
              <w:widowControl/>
              <w:spacing w:line="240" w:lineRule="auto"/>
              <w:ind w:firstLine="0" w:firstLineChars="0"/>
              <w:rPr>
                <w:color w:val="auto"/>
                <w:kern w:val="0"/>
                <w:szCs w:val="21"/>
                <w:highlight w:val="none"/>
              </w:rPr>
            </w:pPr>
          </w:p>
        </w:tc>
        <w:tc>
          <w:tcPr>
            <w:tcW w:w="1145" w:type="dxa"/>
            <w:tcBorders>
              <w:top w:val="nil"/>
              <w:left w:val="nil"/>
              <w:bottom w:val="nil"/>
              <w:right w:val="single" w:color="auto" w:sz="4" w:space="0"/>
            </w:tcBorders>
            <w:vAlign w:val="bottom"/>
          </w:tcPr>
          <w:p w14:paraId="6C40C0F6">
            <w:pPr>
              <w:widowControl/>
              <w:spacing w:line="240" w:lineRule="auto"/>
              <w:ind w:firstLine="0" w:firstLineChars="0"/>
              <w:rPr>
                <w:color w:val="auto"/>
                <w:kern w:val="0"/>
                <w:szCs w:val="21"/>
                <w:highlight w:val="none"/>
              </w:rPr>
            </w:pPr>
            <w:r>
              <w:rPr>
                <w:color w:val="auto"/>
                <w:kern w:val="0"/>
                <w:szCs w:val="21"/>
                <w:highlight w:val="none"/>
              </w:rPr>
              <w:t>　</w:t>
            </w:r>
          </w:p>
        </w:tc>
      </w:tr>
      <w:tr w14:paraId="7BD5F421">
        <w:tblPrEx>
          <w:tblCellMar>
            <w:top w:w="0" w:type="dxa"/>
            <w:left w:w="108" w:type="dxa"/>
            <w:bottom w:w="0" w:type="dxa"/>
            <w:right w:w="108" w:type="dxa"/>
          </w:tblCellMar>
        </w:tblPrEx>
        <w:trPr>
          <w:trHeight w:val="407" w:hRule="atLeast"/>
        </w:trPr>
        <w:tc>
          <w:tcPr>
            <w:tcW w:w="3030" w:type="dxa"/>
            <w:tcBorders>
              <w:top w:val="nil"/>
              <w:left w:val="single" w:color="auto" w:sz="4" w:space="0"/>
              <w:bottom w:val="nil"/>
              <w:right w:val="nil"/>
            </w:tcBorders>
            <w:vAlign w:val="bottom"/>
          </w:tcPr>
          <w:p w14:paraId="0C506DA5">
            <w:pPr>
              <w:widowControl/>
              <w:spacing w:line="240" w:lineRule="auto"/>
              <w:ind w:firstLine="0" w:firstLineChars="0"/>
              <w:rPr>
                <w:color w:val="auto"/>
                <w:kern w:val="0"/>
                <w:szCs w:val="21"/>
                <w:highlight w:val="none"/>
              </w:rPr>
            </w:pPr>
            <w:r>
              <w:rPr>
                <w:color w:val="auto"/>
                <w:kern w:val="0"/>
                <w:szCs w:val="21"/>
                <w:highlight w:val="none"/>
              </w:rPr>
              <w:t>经办项目负责人：</w:t>
            </w:r>
          </w:p>
        </w:tc>
        <w:tc>
          <w:tcPr>
            <w:tcW w:w="3174" w:type="dxa"/>
            <w:tcBorders>
              <w:top w:val="nil"/>
              <w:left w:val="nil"/>
              <w:bottom w:val="nil"/>
              <w:right w:val="nil"/>
            </w:tcBorders>
            <w:vAlign w:val="center"/>
          </w:tcPr>
          <w:p w14:paraId="4434EEE3">
            <w:pPr>
              <w:widowControl/>
              <w:spacing w:line="240" w:lineRule="auto"/>
              <w:ind w:firstLine="0" w:firstLineChars="0"/>
              <w:jc w:val="right"/>
              <w:rPr>
                <w:color w:val="auto"/>
                <w:kern w:val="0"/>
                <w:szCs w:val="21"/>
                <w:highlight w:val="none"/>
              </w:rPr>
            </w:pPr>
            <w:r>
              <w:rPr>
                <w:color w:val="auto"/>
                <w:kern w:val="0"/>
                <w:szCs w:val="21"/>
                <w:highlight w:val="none"/>
              </w:rPr>
              <w:t>项目验收组组长：</w:t>
            </w:r>
          </w:p>
        </w:tc>
        <w:tc>
          <w:tcPr>
            <w:tcW w:w="1888" w:type="dxa"/>
            <w:gridSpan w:val="2"/>
            <w:tcBorders>
              <w:top w:val="nil"/>
              <w:left w:val="nil"/>
              <w:bottom w:val="nil"/>
              <w:right w:val="nil"/>
            </w:tcBorders>
            <w:vAlign w:val="bottom"/>
          </w:tcPr>
          <w:p w14:paraId="23994610">
            <w:pPr>
              <w:widowControl/>
              <w:spacing w:line="240" w:lineRule="auto"/>
              <w:ind w:firstLine="0" w:firstLineChars="0"/>
              <w:rPr>
                <w:color w:val="auto"/>
                <w:kern w:val="0"/>
                <w:szCs w:val="21"/>
                <w:highlight w:val="none"/>
              </w:rPr>
            </w:pPr>
          </w:p>
        </w:tc>
        <w:tc>
          <w:tcPr>
            <w:tcW w:w="1145" w:type="dxa"/>
            <w:tcBorders>
              <w:top w:val="nil"/>
              <w:left w:val="nil"/>
              <w:bottom w:val="nil"/>
              <w:right w:val="single" w:color="auto" w:sz="4" w:space="0"/>
            </w:tcBorders>
            <w:vAlign w:val="bottom"/>
          </w:tcPr>
          <w:p w14:paraId="36F571F2">
            <w:pPr>
              <w:widowControl/>
              <w:spacing w:line="240" w:lineRule="auto"/>
              <w:ind w:firstLine="0" w:firstLineChars="0"/>
              <w:rPr>
                <w:color w:val="auto"/>
                <w:kern w:val="0"/>
                <w:szCs w:val="21"/>
                <w:highlight w:val="none"/>
              </w:rPr>
            </w:pPr>
            <w:r>
              <w:rPr>
                <w:color w:val="auto"/>
                <w:kern w:val="0"/>
                <w:szCs w:val="21"/>
                <w:highlight w:val="none"/>
              </w:rPr>
              <w:t>　</w:t>
            </w:r>
          </w:p>
        </w:tc>
      </w:tr>
      <w:tr w14:paraId="19451CCB">
        <w:tblPrEx>
          <w:tblCellMar>
            <w:top w:w="0" w:type="dxa"/>
            <w:left w:w="108" w:type="dxa"/>
            <w:bottom w:w="0" w:type="dxa"/>
            <w:right w:w="108" w:type="dxa"/>
          </w:tblCellMar>
        </w:tblPrEx>
        <w:trPr>
          <w:trHeight w:val="407" w:hRule="atLeast"/>
        </w:trPr>
        <w:tc>
          <w:tcPr>
            <w:tcW w:w="3030" w:type="dxa"/>
            <w:tcBorders>
              <w:top w:val="nil"/>
              <w:left w:val="single" w:color="auto" w:sz="4" w:space="0"/>
              <w:bottom w:val="nil"/>
              <w:right w:val="nil"/>
            </w:tcBorders>
            <w:vAlign w:val="bottom"/>
          </w:tcPr>
          <w:p w14:paraId="080C98A6">
            <w:pPr>
              <w:widowControl/>
              <w:spacing w:line="240" w:lineRule="auto"/>
              <w:ind w:firstLine="0" w:firstLineChars="0"/>
              <w:rPr>
                <w:color w:val="auto"/>
                <w:kern w:val="0"/>
                <w:szCs w:val="21"/>
                <w:highlight w:val="none"/>
              </w:rPr>
            </w:pPr>
            <w:r>
              <w:rPr>
                <w:color w:val="auto"/>
                <w:kern w:val="0"/>
                <w:szCs w:val="21"/>
                <w:highlight w:val="none"/>
              </w:rPr>
              <w:t>联系电话：</w:t>
            </w:r>
          </w:p>
        </w:tc>
        <w:tc>
          <w:tcPr>
            <w:tcW w:w="3174" w:type="dxa"/>
            <w:tcBorders>
              <w:top w:val="nil"/>
              <w:left w:val="nil"/>
              <w:bottom w:val="nil"/>
              <w:right w:val="nil"/>
            </w:tcBorders>
            <w:vAlign w:val="center"/>
          </w:tcPr>
          <w:p w14:paraId="403FFDCB">
            <w:pPr>
              <w:widowControl/>
              <w:spacing w:line="240" w:lineRule="auto"/>
              <w:ind w:firstLine="0" w:firstLineChars="0"/>
              <w:jc w:val="right"/>
              <w:rPr>
                <w:color w:val="auto"/>
                <w:kern w:val="0"/>
                <w:szCs w:val="21"/>
                <w:highlight w:val="none"/>
              </w:rPr>
            </w:pPr>
            <w:r>
              <w:rPr>
                <w:color w:val="auto"/>
                <w:kern w:val="0"/>
                <w:szCs w:val="21"/>
                <w:highlight w:val="none"/>
              </w:rPr>
              <w:t>联系电话：</w:t>
            </w:r>
          </w:p>
        </w:tc>
        <w:tc>
          <w:tcPr>
            <w:tcW w:w="838" w:type="dxa"/>
            <w:tcBorders>
              <w:top w:val="nil"/>
              <w:left w:val="nil"/>
              <w:bottom w:val="nil"/>
              <w:right w:val="nil"/>
            </w:tcBorders>
            <w:vAlign w:val="bottom"/>
          </w:tcPr>
          <w:p w14:paraId="5A272013">
            <w:pPr>
              <w:widowControl/>
              <w:spacing w:line="240" w:lineRule="auto"/>
              <w:ind w:firstLine="0" w:firstLineChars="0"/>
              <w:rPr>
                <w:color w:val="auto"/>
                <w:kern w:val="0"/>
                <w:szCs w:val="21"/>
                <w:highlight w:val="none"/>
              </w:rPr>
            </w:pPr>
          </w:p>
        </w:tc>
        <w:tc>
          <w:tcPr>
            <w:tcW w:w="1050" w:type="dxa"/>
            <w:tcBorders>
              <w:top w:val="nil"/>
              <w:left w:val="nil"/>
              <w:bottom w:val="nil"/>
              <w:right w:val="nil"/>
            </w:tcBorders>
            <w:vAlign w:val="bottom"/>
          </w:tcPr>
          <w:p w14:paraId="7053B022">
            <w:pPr>
              <w:widowControl/>
              <w:spacing w:line="240" w:lineRule="auto"/>
              <w:ind w:firstLine="0" w:firstLineChars="0"/>
              <w:rPr>
                <w:color w:val="auto"/>
                <w:kern w:val="0"/>
                <w:szCs w:val="21"/>
                <w:highlight w:val="none"/>
              </w:rPr>
            </w:pPr>
          </w:p>
        </w:tc>
        <w:tc>
          <w:tcPr>
            <w:tcW w:w="1145" w:type="dxa"/>
            <w:tcBorders>
              <w:top w:val="nil"/>
              <w:left w:val="nil"/>
              <w:bottom w:val="nil"/>
              <w:right w:val="single" w:color="auto" w:sz="4" w:space="0"/>
            </w:tcBorders>
            <w:vAlign w:val="bottom"/>
          </w:tcPr>
          <w:p w14:paraId="73A33EBB">
            <w:pPr>
              <w:widowControl/>
              <w:spacing w:line="240" w:lineRule="auto"/>
              <w:ind w:firstLine="0" w:firstLineChars="0"/>
              <w:rPr>
                <w:color w:val="auto"/>
                <w:kern w:val="0"/>
                <w:szCs w:val="21"/>
                <w:highlight w:val="none"/>
              </w:rPr>
            </w:pPr>
            <w:r>
              <w:rPr>
                <w:color w:val="auto"/>
                <w:kern w:val="0"/>
                <w:szCs w:val="21"/>
                <w:highlight w:val="none"/>
              </w:rPr>
              <w:t>　</w:t>
            </w:r>
          </w:p>
        </w:tc>
      </w:tr>
      <w:tr w14:paraId="5952BB66">
        <w:tblPrEx>
          <w:tblCellMar>
            <w:top w:w="0" w:type="dxa"/>
            <w:left w:w="108" w:type="dxa"/>
            <w:bottom w:w="0" w:type="dxa"/>
            <w:right w:w="108" w:type="dxa"/>
          </w:tblCellMar>
        </w:tblPrEx>
        <w:trPr>
          <w:trHeight w:val="419" w:hRule="atLeast"/>
        </w:trPr>
        <w:tc>
          <w:tcPr>
            <w:tcW w:w="3030" w:type="dxa"/>
            <w:tcBorders>
              <w:top w:val="nil"/>
              <w:left w:val="single" w:color="auto" w:sz="4" w:space="0"/>
              <w:bottom w:val="nil"/>
              <w:right w:val="nil"/>
            </w:tcBorders>
            <w:vAlign w:val="bottom"/>
          </w:tcPr>
          <w:p w14:paraId="18401A9E">
            <w:pPr>
              <w:widowControl/>
              <w:spacing w:line="240" w:lineRule="auto"/>
              <w:ind w:firstLine="0" w:firstLineChars="0"/>
              <w:rPr>
                <w:color w:val="auto"/>
                <w:kern w:val="0"/>
                <w:szCs w:val="21"/>
                <w:highlight w:val="none"/>
              </w:rPr>
            </w:pPr>
            <w:r>
              <w:rPr>
                <w:color w:val="auto"/>
                <w:kern w:val="0"/>
                <w:szCs w:val="21"/>
                <w:highlight w:val="none"/>
              </w:rPr>
              <w:t>开户银行：</w:t>
            </w:r>
          </w:p>
        </w:tc>
        <w:tc>
          <w:tcPr>
            <w:tcW w:w="3174" w:type="dxa"/>
            <w:tcBorders>
              <w:top w:val="nil"/>
              <w:left w:val="nil"/>
              <w:bottom w:val="nil"/>
              <w:right w:val="nil"/>
            </w:tcBorders>
            <w:vAlign w:val="center"/>
          </w:tcPr>
          <w:p w14:paraId="3E883E00">
            <w:pPr>
              <w:widowControl/>
              <w:spacing w:line="240" w:lineRule="auto"/>
              <w:ind w:firstLine="0" w:firstLineChars="0"/>
              <w:jc w:val="right"/>
              <w:rPr>
                <w:color w:val="auto"/>
                <w:kern w:val="0"/>
                <w:szCs w:val="21"/>
                <w:highlight w:val="none"/>
              </w:rPr>
            </w:pPr>
            <w:r>
              <w:rPr>
                <w:color w:val="auto"/>
                <w:kern w:val="0"/>
                <w:szCs w:val="21"/>
                <w:highlight w:val="none"/>
              </w:rPr>
              <w:t>项目验收组成员（签名）：</w:t>
            </w:r>
          </w:p>
        </w:tc>
        <w:tc>
          <w:tcPr>
            <w:tcW w:w="838" w:type="dxa"/>
            <w:tcBorders>
              <w:top w:val="nil"/>
              <w:left w:val="nil"/>
              <w:bottom w:val="nil"/>
              <w:right w:val="nil"/>
            </w:tcBorders>
            <w:vAlign w:val="bottom"/>
          </w:tcPr>
          <w:p w14:paraId="10F3A9FF">
            <w:pPr>
              <w:widowControl/>
              <w:spacing w:line="240" w:lineRule="auto"/>
              <w:ind w:firstLine="0" w:firstLineChars="0"/>
              <w:rPr>
                <w:color w:val="auto"/>
                <w:kern w:val="0"/>
                <w:szCs w:val="21"/>
                <w:highlight w:val="none"/>
              </w:rPr>
            </w:pPr>
          </w:p>
        </w:tc>
        <w:tc>
          <w:tcPr>
            <w:tcW w:w="1050" w:type="dxa"/>
            <w:tcBorders>
              <w:top w:val="nil"/>
              <w:left w:val="nil"/>
              <w:bottom w:val="nil"/>
              <w:right w:val="nil"/>
            </w:tcBorders>
            <w:vAlign w:val="bottom"/>
          </w:tcPr>
          <w:p w14:paraId="5569AD7A">
            <w:pPr>
              <w:widowControl/>
              <w:spacing w:line="240" w:lineRule="auto"/>
              <w:ind w:firstLine="0" w:firstLineChars="0"/>
              <w:rPr>
                <w:color w:val="auto"/>
                <w:kern w:val="0"/>
                <w:szCs w:val="21"/>
                <w:highlight w:val="none"/>
              </w:rPr>
            </w:pPr>
          </w:p>
        </w:tc>
        <w:tc>
          <w:tcPr>
            <w:tcW w:w="1145" w:type="dxa"/>
            <w:tcBorders>
              <w:top w:val="nil"/>
              <w:left w:val="nil"/>
              <w:bottom w:val="nil"/>
              <w:right w:val="single" w:color="auto" w:sz="4" w:space="0"/>
            </w:tcBorders>
            <w:vAlign w:val="bottom"/>
          </w:tcPr>
          <w:p w14:paraId="51D9C1FF">
            <w:pPr>
              <w:widowControl/>
              <w:spacing w:line="240" w:lineRule="auto"/>
              <w:ind w:firstLine="0" w:firstLineChars="0"/>
              <w:rPr>
                <w:color w:val="auto"/>
                <w:kern w:val="0"/>
                <w:szCs w:val="21"/>
                <w:highlight w:val="none"/>
              </w:rPr>
            </w:pPr>
            <w:r>
              <w:rPr>
                <w:color w:val="auto"/>
                <w:kern w:val="0"/>
                <w:szCs w:val="21"/>
                <w:highlight w:val="none"/>
              </w:rPr>
              <w:t>　</w:t>
            </w:r>
          </w:p>
        </w:tc>
      </w:tr>
      <w:tr w14:paraId="5FA928E9">
        <w:tblPrEx>
          <w:tblCellMar>
            <w:top w:w="0" w:type="dxa"/>
            <w:left w:w="108" w:type="dxa"/>
            <w:bottom w:w="0" w:type="dxa"/>
            <w:right w:w="108" w:type="dxa"/>
          </w:tblCellMar>
        </w:tblPrEx>
        <w:trPr>
          <w:trHeight w:val="525" w:hRule="atLeast"/>
        </w:trPr>
        <w:tc>
          <w:tcPr>
            <w:tcW w:w="3030" w:type="dxa"/>
            <w:tcBorders>
              <w:top w:val="nil"/>
              <w:left w:val="single" w:color="auto" w:sz="4" w:space="0"/>
              <w:bottom w:val="single" w:color="auto" w:sz="4" w:space="0"/>
              <w:right w:val="nil"/>
            </w:tcBorders>
            <w:vAlign w:val="center"/>
          </w:tcPr>
          <w:p w14:paraId="0B9B04A2">
            <w:pPr>
              <w:widowControl/>
              <w:spacing w:line="240" w:lineRule="auto"/>
              <w:ind w:firstLine="0" w:firstLineChars="0"/>
              <w:rPr>
                <w:color w:val="auto"/>
                <w:kern w:val="0"/>
                <w:szCs w:val="21"/>
                <w:highlight w:val="none"/>
              </w:rPr>
            </w:pPr>
            <w:r>
              <w:rPr>
                <w:color w:val="auto"/>
                <w:kern w:val="0"/>
                <w:szCs w:val="21"/>
                <w:highlight w:val="none"/>
              </w:rPr>
              <w:t>银行帐号：</w:t>
            </w:r>
          </w:p>
        </w:tc>
        <w:tc>
          <w:tcPr>
            <w:tcW w:w="3174" w:type="dxa"/>
            <w:tcBorders>
              <w:top w:val="nil"/>
              <w:left w:val="nil"/>
              <w:bottom w:val="single" w:color="auto" w:sz="4" w:space="0"/>
              <w:right w:val="nil"/>
            </w:tcBorders>
            <w:vAlign w:val="bottom"/>
          </w:tcPr>
          <w:p w14:paraId="396070BC">
            <w:pPr>
              <w:widowControl/>
              <w:spacing w:line="240" w:lineRule="auto"/>
              <w:ind w:firstLine="0" w:firstLineChars="0"/>
              <w:rPr>
                <w:color w:val="auto"/>
                <w:kern w:val="0"/>
                <w:szCs w:val="21"/>
                <w:highlight w:val="none"/>
              </w:rPr>
            </w:pPr>
            <w:r>
              <w:rPr>
                <w:color w:val="auto"/>
                <w:kern w:val="0"/>
                <w:szCs w:val="21"/>
                <w:highlight w:val="none"/>
              </w:rPr>
              <w:t>　</w:t>
            </w:r>
          </w:p>
        </w:tc>
        <w:tc>
          <w:tcPr>
            <w:tcW w:w="3033" w:type="dxa"/>
            <w:gridSpan w:val="3"/>
            <w:tcBorders>
              <w:top w:val="nil"/>
              <w:left w:val="nil"/>
              <w:bottom w:val="single" w:color="auto" w:sz="4" w:space="0"/>
              <w:right w:val="single" w:color="000000" w:sz="4" w:space="0"/>
            </w:tcBorders>
            <w:vAlign w:val="center"/>
          </w:tcPr>
          <w:p w14:paraId="07995964">
            <w:pPr>
              <w:widowControl/>
              <w:spacing w:line="240" w:lineRule="auto"/>
              <w:ind w:firstLine="0" w:firstLineChars="0"/>
              <w:rPr>
                <w:color w:val="auto"/>
                <w:kern w:val="0"/>
                <w:szCs w:val="21"/>
                <w:highlight w:val="none"/>
              </w:rPr>
            </w:pPr>
            <w:r>
              <w:rPr>
                <w:color w:val="auto"/>
                <w:kern w:val="0"/>
                <w:szCs w:val="21"/>
                <w:highlight w:val="none"/>
              </w:rPr>
              <w:t>验收时间：       年     月     日</w:t>
            </w:r>
          </w:p>
        </w:tc>
      </w:tr>
      <w:tr w14:paraId="16AA7966">
        <w:tblPrEx>
          <w:tblCellMar>
            <w:top w:w="0" w:type="dxa"/>
            <w:left w:w="108" w:type="dxa"/>
            <w:bottom w:w="0" w:type="dxa"/>
            <w:right w:w="108" w:type="dxa"/>
          </w:tblCellMar>
        </w:tblPrEx>
        <w:trPr>
          <w:trHeight w:val="268" w:hRule="atLeast"/>
        </w:trPr>
        <w:tc>
          <w:tcPr>
            <w:tcW w:w="9237" w:type="dxa"/>
            <w:gridSpan w:val="5"/>
            <w:tcBorders>
              <w:top w:val="single" w:color="auto" w:sz="4" w:space="0"/>
              <w:left w:val="nil"/>
              <w:bottom w:val="nil"/>
              <w:right w:val="nil"/>
            </w:tcBorders>
            <w:vAlign w:val="center"/>
          </w:tcPr>
          <w:p w14:paraId="0A8731D4">
            <w:pPr>
              <w:widowControl/>
              <w:spacing w:line="240" w:lineRule="auto"/>
              <w:ind w:firstLine="0" w:firstLineChars="0"/>
              <w:rPr>
                <w:color w:val="auto"/>
                <w:kern w:val="0"/>
                <w:szCs w:val="21"/>
                <w:highlight w:val="none"/>
              </w:rPr>
            </w:pPr>
            <w:r>
              <w:rPr>
                <w:color w:val="auto"/>
                <w:kern w:val="0"/>
                <w:szCs w:val="21"/>
                <w:highlight w:val="none"/>
              </w:rPr>
              <w:t>本单一式四联：第一联采购人留存，第二联作为财政支付凭证，第三联供货单位留存。</w:t>
            </w:r>
          </w:p>
        </w:tc>
      </w:tr>
      <w:bookmarkEnd w:id="235"/>
    </w:tbl>
    <w:p w14:paraId="6F21ED3E">
      <w:pPr>
        <w:pStyle w:val="27"/>
        <w:ind w:firstLine="420"/>
        <w:rPr>
          <w:rFonts w:ascii="Times New Roman" w:hAnsi="Times New Roman"/>
          <w:color w:val="auto"/>
          <w:kern w:val="0"/>
          <w:szCs w:val="21"/>
          <w:highlight w:val="none"/>
        </w:rPr>
      </w:pPr>
    </w:p>
    <w:p w14:paraId="6AA1F5E5">
      <w:pPr>
        <w:ind w:firstLine="420"/>
        <w:rPr>
          <w:color w:val="auto"/>
          <w:highlight w:val="none"/>
        </w:rPr>
      </w:pPr>
    </w:p>
    <w:p w14:paraId="211F8795">
      <w:pPr>
        <w:ind w:firstLine="420"/>
        <w:rPr>
          <w:color w:val="auto"/>
          <w:highlight w:val="none"/>
        </w:rPr>
      </w:pPr>
    </w:p>
    <w:p w14:paraId="6A93CEFA">
      <w:pPr>
        <w:ind w:firstLine="420"/>
        <w:rPr>
          <w:color w:val="auto"/>
          <w:highlight w:val="none"/>
        </w:rPr>
      </w:pPr>
    </w:p>
    <w:p w14:paraId="5D81EC39">
      <w:pPr>
        <w:ind w:firstLine="420"/>
        <w:rPr>
          <w:color w:val="auto"/>
          <w:highlight w:val="none"/>
        </w:rPr>
      </w:pPr>
    </w:p>
    <w:p w14:paraId="5262E7A6">
      <w:pPr>
        <w:ind w:firstLine="420"/>
        <w:rPr>
          <w:color w:val="auto"/>
          <w:highlight w:val="none"/>
        </w:rPr>
      </w:pPr>
    </w:p>
    <w:p w14:paraId="303C4B46">
      <w:pPr>
        <w:ind w:firstLine="420"/>
        <w:rPr>
          <w:color w:val="auto"/>
          <w:highlight w:val="none"/>
        </w:rPr>
      </w:pPr>
    </w:p>
    <w:p w14:paraId="3E97BFCF">
      <w:pPr>
        <w:ind w:firstLine="420"/>
        <w:rPr>
          <w:color w:val="auto"/>
          <w:highlight w:val="none"/>
        </w:rPr>
      </w:pPr>
    </w:p>
    <w:p w14:paraId="51D1EE6D">
      <w:pPr>
        <w:ind w:firstLine="420"/>
        <w:rPr>
          <w:color w:val="auto"/>
          <w:kern w:val="0"/>
          <w:szCs w:val="21"/>
          <w:highlight w:val="none"/>
        </w:rPr>
      </w:pPr>
    </w:p>
    <w:p w14:paraId="50101FF1">
      <w:pPr>
        <w:tabs>
          <w:tab w:val="left" w:pos="1380"/>
        </w:tabs>
        <w:ind w:firstLine="420"/>
        <w:rPr>
          <w:color w:val="auto"/>
          <w:highlight w:val="none"/>
        </w:rPr>
      </w:pPr>
      <w:r>
        <w:rPr>
          <w:color w:val="auto"/>
          <w:kern w:val="0"/>
          <w:szCs w:val="21"/>
          <w:highlight w:val="none"/>
        </w:rPr>
        <w:tab/>
      </w:r>
      <w:r>
        <w:rPr>
          <w:color w:val="auto"/>
          <w:highlight w:val="none"/>
        </w:rPr>
        <w:br w:type="page"/>
      </w:r>
    </w:p>
    <w:p w14:paraId="24DD1FF9">
      <w:pPr>
        <w:pStyle w:val="2"/>
        <w:numPr>
          <w:ilvl w:val="0"/>
          <w:numId w:val="26"/>
        </w:numPr>
        <w:rPr>
          <w:rStyle w:val="70"/>
          <w:b/>
          <w:bCs/>
          <w:color w:val="auto"/>
          <w:highlight w:val="none"/>
        </w:rPr>
        <w:sectPr>
          <w:pgSz w:w="11906" w:h="16838"/>
          <w:pgMar w:top="1474" w:right="1474" w:bottom="1134" w:left="1134" w:header="851" w:footer="851" w:gutter="0"/>
          <w:cols w:space="720" w:num="1"/>
          <w:docGrid w:linePitch="312" w:charSpace="0"/>
        </w:sectPr>
      </w:pPr>
    </w:p>
    <w:p w14:paraId="32788E93">
      <w:pPr>
        <w:pStyle w:val="2"/>
        <w:numPr>
          <w:ilvl w:val="0"/>
          <w:numId w:val="3"/>
        </w:numPr>
        <w:rPr>
          <w:rStyle w:val="70"/>
          <w:b/>
          <w:bCs/>
          <w:color w:val="auto"/>
          <w:highlight w:val="none"/>
        </w:rPr>
      </w:pPr>
      <w:bookmarkStart w:id="252" w:name="_Toc2506"/>
      <w:r>
        <w:rPr>
          <w:rStyle w:val="70"/>
          <w:rFonts w:hint="eastAsia"/>
          <w:b/>
          <w:bCs/>
          <w:color w:val="auto"/>
          <w:highlight w:val="none"/>
          <w:lang w:val="en-US" w:eastAsia="zh-CN"/>
        </w:rPr>
        <w:t xml:space="preserve">  </w:t>
      </w:r>
      <w:r>
        <w:rPr>
          <w:rStyle w:val="70"/>
          <w:rFonts w:hint="eastAsia"/>
          <w:b/>
          <w:bCs/>
          <w:color w:val="auto"/>
          <w:highlight w:val="none"/>
        </w:rPr>
        <w:t>投标文件相关格式</w:t>
      </w:r>
      <w:bookmarkEnd w:id="231"/>
      <w:bookmarkEnd w:id="232"/>
      <w:bookmarkEnd w:id="252"/>
      <w:bookmarkStart w:id="253" w:name="_Toc430786287"/>
    </w:p>
    <w:bookmarkEnd w:id="253"/>
    <w:p w14:paraId="28F6273D">
      <w:pPr>
        <w:pStyle w:val="3"/>
        <w:ind w:firstLine="420"/>
        <w:jc w:val="center"/>
        <w:rPr>
          <w:rFonts w:hint="eastAsia" w:ascii="微软雅黑" w:hAnsi="微软雅黑" w:cs="仿宋_GB2312"/>
          <w:color w:val="auto"/>
          <w:szCs w:val="21"/>
          <w:highlight w:val="none"/>
        </w:rPr>
      </w:pPr>
      <w:bookmarkStart w:id="254" w:name="_Toc28874"/>
      <w:bookmarkStart w:id="255" w:name="_Toc169015146"/>
      <w:r>
        <w:rPr>
          <w:rFonts w:hint="eastAsia" w:ascii="微软雅黑" w:hAnsi="微软雅黑" w:cs="仿宋_GB2312"/>
          <w:color w:val="auto"/>
          <w:szCs w:val="21"/>
          <w:highlight w:val="none"/>
        </w:rPr>
        <w:t>资格文件部分</w:t>
      </w:r>
      <w:bookmarkEnd w:id="254"/>
      <w:bookmarkEnd w:id="255"/>
    </w:p>
    <w:p w14:paraId="1A0F313D">
      <w:pPr>
        <w:ind w:firstLine="420"/>
        <w:jc w:val="center"/>
        <w:outlineLvl w:val="0"/>
        <w:rPr>
          <w:rFonts w:hint="eastAsia" w:ascii="微软雅黑" w:hAnsi="微软雅黑" w:cs="仿宋_GB2312"/>
          <w:b/>
          <w:color w:val="auto"/>
          <w:kern w:val="0"/>
          <w:szCs w:val="21"/>
          <w:highlight w:val="none"/>
        </w:rPr>
      </w:pPr>
      <w:bookmarkStart w:id="256" w:name="_Toc169015147"/>
      <w:bookmarkStart w:id="257" w:name="_Toc24210"/>
      <w:bookmarkStart w:id="258" w:name="_Toc2384"/>
      <w:bookmarkStart w:id="259" w:name="_Toc164943223"/>
      <w:r>
        <w:rPr>
          <w:rFonts w:hint="eastAsia" w:ascii="微软雅黑" w:hAnsi="微软雅黑" w:cs="仿宋_GB2312"/>
          <w:b/>
          <w:color w:val="auto"/>
          <w:kern w:val="0"/>
          <w:szCs w:val="21"/>
          <w:highlight w:val="none"/>
        </w:rPr>
        <w:t>目录</w:t>
      </w:r>
      <w:bookmarkEnd w:id="256"/>
      <w:bookmarkEnd w:id="257"/>
      <w:bookmarkEnd w:id="258"/>
      <w:bookmarkEnd w:id="259"/>
    </w:p>
    <w:p w14:paraId="52D7ACB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（1）符合参加政府采购活动应当具备的一般条件的承诺函……………（页码）</w:t>
      </w:r>
    </w:p>
    <w:p w14:paraId="460756CC">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（2）企业法人营业执照副本复印件………………………………（页码）</w:t>
      </w:r>
    </w:p>
    <w:p w14:paraId="3E32A82C">
      <w:pPr>
        <w:pStyle w:val="13"/>
        <w:ind w:firstLine="404"/>
        <w:rPr>
          <w:rFonts w:hint="eastAsia" w:ascii="微软雅黑" w:hAnsi="微软雅黑" w:cs="仿宋_GB2312"/>
          <w:color w:val="auto"/>
          <w:sz w:val="21"/>
          <w:szCs w:val="21"/>
          <w:highlight w:val="none"/>
        </w:rPr>
      </w:pPr>
    </w:p>
    <w:p w14:paraId="1066BC18">
      <w:pPr>
        <w:snapToGrid w:val="0"/>
        <w:ind w:right="480" w:firstLine="420"/>
        <w:jc w:val="both"/>
        <w:outlineLvl w:val="1"/>
        <w:rPr>
          <w:rFonts w:hint="eastAsia" w:ascii="微软雅黑" w:hAnsi="微软雅黑" w:cs="仿宋_GB2312"/>
          <w:b/>
          <w:color w:val="auto"/>
          <w:kern w:val="0"/>
          <w:szCs w:val="21"/>
          <w:highlight w:val="none"/>
        </w:rPr>
        <w:sectPr>
          <w:footerReference r:id="rId19" w:type="default"/>
          <w:type w:val="nextColumn"/>
          <w:pgSz w:w="11906" w:h="16838"/>
          <w:pgMar w:top="1474" w:right="1134" w:bottom="1134" w:left="1474" w:header="851" w:footer="992" w:gutter="0"/>
          <w:cols w:space="720" w:num="1"/>
          <w:titlePg/>
          <w:docGrid w:linePitch="312" w:charSpace="0"/>
        </w:sectPr>
      </w:pPr>
      <w:bookmarkStart w:id="260" w:name="_Toc9621"/>
    </w:p>
    <w:p w14:paraId="1CE34BF9">
      <w:pPr>
        <w:snapToGrid w:val="0"/>
        <w:ind w:right="480" w:firstLine="420"/>
        <w:jc w:val="both"/>
        <w:outlineLvl w:val="1"/>
        <w:rPr>
          <w:rFonts w:hint="eastAsia" w:ascii="微软雅黑" w:hAnsi="微软雅黑" w:cs="仿宋_GB2312"/>
          <w:b/>
          <w:color w:val="auto"/>
          <w:kern w:val="0"/>
          <w:szCs w:val="21"/>
          <w:highlight w:val="none"/>
        </w:rPr>
      </w:pPr>
      <w:r>
        <w:rPr>
          <w:rFonts w:ascii="微软雅黑" w:hAnsi="微软雅黑" w:cs="仿宋_GB2312"/>
          <w:b/>
          <w:color w:val="auto"/>
          <w:kern w:val="0"/>
          <w:szCs w:val="21"/>
          <w:highlight w:val="none"/>
        </w:rPr>
        <w:t>一、 符合参加政府采购活动应当具备的一般条件的承诺函</w:t>
      </w:r>
      <w:bookmarkEnd w:id="260"/>
    </w:p>
    <w:p w14:paraId="58470F3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（采购人）、（采购代理机构）：</w:t>
      </w:r>
    </w:p>
    <w:p w14:paraId="4B49838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我方参与（项目名称）【项目编号】政府采购活动，郑重承诺：</w:t>
      </w:r>
    </w:p>
    <w:p w14:paraId="5C0DB62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（一）具备《中华人民共和国政府采购法》第二十二条第一款规定的条件：</w:t>
      </w:r>
    </w:p>
    <w:p w14:paraId="593278F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1、具有独立承担民事责任的能力；</w:t>
      </w:r>
    </w:p>
    <w:p w14:paraId="4CDAC20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 xml:space="preserve">2、具有良好的商业信誉和健全的财务会计制度； </w:t>
      </w:r>
    </w:p>
    <w:p w14:paraId="00D2F33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3、具有履行合同所必需的设备和专业技术能力；</w:t>
      </w:r>
    </w:p>
    <w:p w14:paraId="0591E92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4、有依法缴纳税收和社会保障资金的良好记录；</w:t>
      </w:r>
    </w:p>
    <w:p w14:paraId="46A33CA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5、参加政府采购活动前三年内，在经营活动中没有重大违法记录；</w:t>
      </w:r>
    </w:p>
    <w:p w14:paraId="36DC8ED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6、具有法律、行政法规规定的其他条件。</w:t>
      </w:r>
    </w:p>
    <w:p w14:paraId="298F412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（二）未被信用中国（www.creditchina.gov.cn)、中国政府采购网（www.ccgp.gov.cn）列入失信被执行人、重大税收违法案件当事人名单、政府采购严重违法失信行为记录名单。</w:t>
      </w:r>
    </w:p>
    <w:p w14:paraId="2E296E9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（三）不存在以下情况：</w:t>
      </w:r>
    </w:p>
    <w:p w14:paraId="622EF2F1">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1、单位负责人为同一人或者存在直接控股、管理关系的不同供应商参加同一合同项下的政府采购活动的；</w:t>
      </w:r>
    </w:p>
    <w:p w14:paraId="3A905945">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2、为采购项目提供整体设计、规范编制或者项目管理、监理、检测等服务后再参加该采购项目的其他采购活动的。</w:t>
      </w:r>
    </w:p>
    <w:p w14:paraId="36E1D6F1">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78897034">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63B75E90">
      <w:pPr>
        <w:pStyle w:val="122"/>
        <w:ind w:firstLine="420"/>
        <w:jc w:val="center"/>
        <w:rPr>
          <w:rFonts w:hint="eastAsia" w:ascii="微软雅黑" w:hAnsi="微软雅黑" w:eastAsia="微软雅黑"/>
          <w:color w:val="auto"/>
          <w:sz w:val="21"/>
          <w:szCs w:val="21"/>
          <w:highlight w:val="none"/>
        </w:rPr>
        <w:sectPr>
          <w:pgSz w:w="11906" w:h="16838"/>
          <w:pgMar w:top="1474" w:right="1134" w:bottom="1134" w:left="1474" w:header="851" w:footer="992" w:gutter="0"/>
          <w:cols w:space="720" w:num="1"/>
          <w:titlePg/>
          <w:docGrid w:linePitch="312" w:charSpace="0"/>
        </w:sectPr>
      </w:pPr>
      <w:r>
        <w:rPr>
          <w:rFonts w:hint="eastAsia" w:ascii="微软雅黑" w:hAnsi="微软雅黑" w:eastAsia="微软雅黑"/>
          <w:color w:val="auto"/>
          <w:sz w:val="21"/>
          <w:szCs w:val="21"/>
          <w:highlight w:val="none"/>
        </w:rPr>
        <w:t xml:space="preserve">          日期： 年 月 日</w:t>
      </w:r>
    </w:p>
    <w:p w14:paraId="0521C3F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b/>
          <w:bCs/>
          <w:color w:val="auto"/>
          <w:kern w:val="0"/>
          <w:szCs w:val="21"/>
          <w:highlight w:val="none"/>
        </w:rPr>
      </w:pPr>
      <w:r>
        <w:rPr>
          <w:rFonts w:hint="eastAsia" w:ascii="微软雅黑" w:hAnsi="微软雅黑" w:cs="宋体"/>
          <w:b/>
          <w:bCs/>
          <w:color w:val="auto"/>
          <w:kern w:val="0"/>
          <w:szCs w:val="21"/>
          <w:highlight w:val="none"/>
        </w:rPr>
        <w:t>二、营业执照副本复印件</w:t>
      </w:r>
    </w:p>
    <w:p w14:paraId="1637A292">
      <w:pPr>
        <w:pStyle w:val="122"/>
        <w:ind w:firstLine="420"/>
        <w:jc w:val="center"/>
        <w:rPr>
          <w:rFonts w:hint="eastAsia" w:ascii="微软雅黑" w:hAnsi="微软雅黑" w:eastAsia="微软雅黑"/>
          <w:color w:val="auto"/>
          <w:sz w:val="21"/>
          <w:szCs w:val="21"/>
          <w:highlight w:val="none"/>
        </w:rPr>
        <w:sectPr>
          <w:footerReference r:id="rId20" w:type="default"/>
          <w:pgSz w:w="11906" w:h="16838"/>
          <w:pgMar w:top="1474" w:right="1134" w:bottom="1134" w:left="1474" w:header="851" w:footer="992" w:gutter="0"/>
          <w:cols w:space="720" w:num="1"/>
          <w:titlePg/>
          <w:docGrid w:linePitch="312" w:charSpace="0"/>
        </w:sectPr>
      </w:pPr>
    </w:p>
    <w:p w14:paraId="4897DFA3">
      <w:pPr>
        <w:pStyle w:val="122"/>
        <w:ind w:firstLine="420"/>
        <w:jc w:val="center"/>
        <w:rPr>
          <w:rFonts w:hint="eastAsia" w:ascii="微软雅黑" w:hAnsi="微软雅黑" w:eastAsia="微软雅黑"/>
          <w:color w:val="auto"/>
          <w:sz w:val="21"/>
          <w:szCs w:val="21"/>
          <w:highlight w:val="none"/>
        </w:rPr>
      </w:pPr>
    </w:p>
    <w:p w14:paraId="04653818">
      <w:pPr>
        <w:ind w:firstLine="420"/>
        <w:rPr>
          <w:rFonts w:hint="eastAsia" w:ascii="微软雅黑" w:hAnsi="微软雅黑" w:cs="仿宋_GB2312"/>
          <w:b/>
          <w:bCs/>
          <w:color w:val="auto"/>
          <w:szCs w:val="21"/>
          <w:highlight w:val="none"/>
        </w:rPr>
      </w:pPr>
      <w:r>
        <w:rPr>
          <w:rFonts w:hint="eastAsia" w:ascii="微软雅黑" w:hAnsi="微软雅黑" w:cs="仿宋_GB2312"/>
          <w:b/>
          <w:bCs/>
          <w:color w:val="auto"/>
          <w:szCs w:val="21"/>
          <w:highlight w:val="none"/>
        </w:rPr>
        <w:t>商务技术文件部分</w:t>
      </w:r>
    </w:p>
    <w:p w14:paraId="392CE8BD">
      <w:pPr>
        <w:ind w:firstLine="420"/>
        <w:jc w:val="center"/>
        <w:outlineLvl w:val="0"/>
        <w:rPr>
          <w:rFonts w:hint="eastAsia" w:ascii="微软雅黑" w:hAnsi="微软雅黑" w:cs="宋体"/>
          <w:b/>
          <w:color w:val="auto"/>
          <w:kern w:val="0"/>
          <w:szCs w:val="21"/>
          <w:highlight w:val="none"/>
        </w:rPr>
      </w:pPr>
      <w:bookmarkStart w:id="261" w:name="_Toc16145"/>
      <w:bookmarkStart w:id="262" w:name="_Toc164943225"/>
      <w:bookmarkStart w:id="263" w:name="_Toc169015148"/>
      <w:bookmarkStart w:id="264" w:name="_Toc21948"/>
      <w:r>
        <w:rPr>
          <w:rFonts w:hint="eastAsia" w:ascii="微软雅黑" w:hAnsi="微软雅黑" w:cs="宋体"/>
          <w:b/>
          <w:color w:val="auto"/>
          <w:kern w:val="0"/>
          <w:szCs w:val="21"/>
          <w:highlight w:val="none"/>
        </w:rPr>
        <w:t>目录</w:t>
      </w:r>
      <w:bookmarkEnd w:id="261"/>
      <w:bookmarkEnd w:id="262"/>
      <w:bookmarkEnd w:id="263"/>
      <w:bookmarkEnd w:id="264"/>
    </w:p>
    <w:p w14:paraId="72EB1190">
      <w:pPr>
        <w:numPr>
          <w:ilvl w:val="0"/>
          <w:numId w:val="27"/>
        </w:numPr>
        <w:ind w:firstLineChars="0"/>
        <w:jc w:val="both"/>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投标函……………………………………………………………………（页码）</w:t>
      </w:r>
    </w:p>
    <w:p w14:paraId="762824F6">
      <w:pPr>
        <w:numPr>
          <w:ilvl w:val="0"/>
          <w:numId w:val="27"/>
        </w:numPr>
        <w:ind w:firstLineChars="0"/>
        <w:jc w:val="both"/>
        <w:rPr>
          <w:rFonts w:hint="eastAsia" w:ascii="微软雅黑" w:hAnsi="微软雅黑"/>
          <w:b w:val="0"/>
          <w:bCs w:val="0"/>
          <w:color w:val="auto"/>
          <w:szCs w:val="21"/>
          <w:highlight w:val="none"/>
        </w:rPr>
      </w:pPr>
      <w:r>
        <w:rPr>
          <w:rFonts w:hint="eastAsia" w:ascii="微软雅黑" w:hAnsi="微软雅黑" w:cs="宋体"/>
          <w:b w:val="0"/>
          <w:bCs w:val="0"/>
          <w:color w:val="auto"/>
          <w:szCs w:val="21"/>
          <w:highlight w:val="none"/>
        </w:rPr>
        <w:t>法定代表人授权委托书………………………………………………（页码）</w:t>
      </w:r>
    </w:p>
    <w:p w14:paraId="35C7221F">
      <w:pPr>
        <w:numPr>
          <w:ilvl w:val="0"/>
          <w:numId w:val="27"/>
        </w:numPr>
        <w:ind w:firstLineChars="0"/>
        <w:jc w:val="both"/>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政府采购活动现场确认声明书………………………………………（页码）</w:t>
      </w:r>
    </w:p>
    <w:p w14:paraId="05DA668C">
      <w:pPr>
        <w:numPr>
          <w:ilvl w:val="0"/>
          <w:numId w:val="27"/>
        </w:numPr>
        <w:ind w:firstLineChars="0"/>
        <w:jc w:val="both"/>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符合性审查资料…………………………………………………………（页码）</w:t>
      </w:r>
    </w:p>
    <w:p w14:paraId="24CE5C05">
      <w:pPr>
        <w:numPr>
          <w:ilvl w:val="0"/>
          <w:numId w:val="27"/>
        </w:numPr>
        <w:ind w:firstLineChars="0"/>
        <w:jc w:val="both"/>
        <w:rPr>
          <w:rFonts w:hint="eastAsia" w:ascii="微软雅黑" w:hAnsi="微软雅黑" w:cs="宋体"/>
          <w:b w:val="0"/>
          <w:bCs w:val="0"/>
          <w:color w:val="auto"/>
          <w:szCs w:val="21"/>
          <w:highlight w:val="none"/>
        </w:rPr>
      </w:pPr>
      <w:r>
        <w:rPr>
          <w:rFonts w:hint="eastAsia" w:ascii="微软雅黑" w:hAnsi="微软雅黑" w:cs="宋体"/>
          <w:b w:val="0"/>
          <w:bCs w:val="0"/>
          <w:color w:val="auto"/>
          <w:szCs w:val="21"/>
          <w:highlight w:val="none"/>
        </w:rPr>
        <w:t>评分对应表………………………………………………………………（页码）</w:t>
      </w:r>
    </w:p>
    <w:p w14:paraId="461BCC59">
      <w:pPr>
        <w:numPr>
          <w:ilvl w:val="0"/>
          <w:numId w:val="27"/>
        </w:numPr>
        <w:ind w:firstLineChars="0"/>
        <w:jc w:val="both"/>
        <w:rPr>
          <w:rFonts w:hint="eastAsia" w:ascii="微软雅黑" w:hAnsi="微软雅黑" w:cs="仿宋_GB2312"/>
          <w:b w:val="0"/>
          <w:bCs w:val="0"/>
          <w:color w:val="auto"/>
          <w:kern w:val="0"/>
          <w:szCs w:val="21"/>
          <w:highlight w:val="none"/>
        </w:rPr>
      </w:pPr>
      <w:r>
        <w:rPr>
          <w:rFonts w:hint="eastAsia" w:ascii="微软雅黑" w:hAnsi="微软雅黑" w:cs="宋体"/>
          <w:b w:val="0"/>
          <w:bCs w:val="0"/>
          <w:color w:val="auto"/>
          <w:szCs w:val="21"/>
          <w:highlight w:val="none"/>
        </w:rPr>
        <w:t>商务响应表………………………………………………………………（页码）</w:t>
      </w:r>
    </w:p>
    <w:p w14:paraId="7AB81438">
      <w:pPr>
        <w:numPr>
          <w:ilvl w:val="0"/>
          <w:numId w:val="27"/>
        </w:numPr>
        <w:ind w:firstLineChars="0"/>
        <w:jc w:val="both"/>
        <w:rPr>
          <w:rFonts w:hint="eastAsia" w:ascii="微软雅黑" w:hAnsi="微软雅黑" w:cs="仿宋_GB2312"/>
          <w:b w:val="0"/>
          <w:bCs w:val="0"/>
          <w:color w:val="auto"/>
          <w:kern w:val="0"/>
          <w:szCs w:val="21"/>
          <w:highlight w:val="none"/>
        </w:rPr>
      </w:pPr>
      <w:r>
        <w:rPr>
          <w:rFonts w:hint="eastAsia" w:ascii="微软雅黑" w:hAnsi="微软雅黑" w:cs="宋体"/>
          <w:b w:val="0"/>
          <w:bCs w:val="0"/>
          <w:color w:val="auto"/>
          <w:szCs w:val="21"/>
          <w:highlight w:val="none"/>
          <w:lang w:val="zh-CN"/>
        </w:rPr>
        <w:t>评标标准相应的商务技术资料</w:t>
      </w:r>
      <w:r>
        <w:rPr>
          <w:rFonts w:hint="eastAsia" w:ascii="微软雅黑" w:hAnsi="微软雅黑" w:cs="宋体"/>
          <w:b w:val="0"/>
          <w:bCs w:val="0"/>
          <w:color w:val="auto"/>
          <w:szCs w:val="21"/>
          <w:highlight w:val="none"/>
        </w:rPr>
        <w:t>………………………………………（页码）</w:t>
      </w:r>
    </w:p>
    <w:p w14:paraId="23D81F3B">
      <w:pPr>
        <w:snapToGrid w:val="0"/>
        <w:spacing w:before="120" w:beforeLines="50" w:after="50"/>
        <w:ind w:firstLine="420"/>
        <w:jc w:val="center"/>
        <w:rPr>
          <w:rFonts w:hint="eastAsia" w:ascii="宋体" w:hAnsi="宋体"/>
          <w:b w:val="0"/>
          <w:bCs w:val="0"/>
          <w:color w:val="auto"/>
          <w:szCs w:val="21"/>
          <w:highlight w:val="none"/>
        </w:rPr>
        <w:sectPr>
          <w:pgSz w:w="11906" w:h="16838"/>
          <w:pgMar w:top="1474" w:right="1134" w:bottom="1134" w:left="1474" w:header="851" w:footer="992" w:gutter="0"/>
          <w:cols w:space="720" w:num="1"/>
          <w:titlePg/>
          <w:docGrid w:linePitch="312" w:charSpace="0"/>
        </w:sectPr>
      </w:pPr>
    </w:p>
    <w:p w14:paraId="36E80320">
      <w:pPr>
        <w:snapToGrid w:val="0"/>
        <w:spacing w:before="120" w:beforeLines="50" w:after="50"/>
        <w:ind w:firstLine="420"/>
        <w:jc w:val="center"/>
        <w:outlineLvl w:val="1"/>
        <w:rPr>
          <w:rFonts w:hint="eastAsia" w:ascii="宋体" w:hAnsi="宋体"/>
          <w:b/>
          <w:color w:val="auto"/>
          <w:szCs w:val="21"/>
          <w:highlight w:val="none"/>
        </w:rPr>
      </w:pPr>
      <w:bookmarkStart w:id="265" w:name="_Toc9182"/>
      <w:r>
        <w:rPr>
          <w:rFonts w:hint="eastAsia" w:ascii="宋体" w:hAnsi="宋体"/>
          <w:b/>
          <w:color w:val="auto"/>
          <w:szCs w:val="21"/>
          <w:highlight w:val="none"/>
        </w:rPr>
        <w:t>一、投标函</w:t>
      </w:r>
      <w:bookmarkEnd w:id="265"/>
    </w:p>
    <w:p w14:paraId="6053BC9F">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s="宋体"/>
          <w:color w:val="auto"/>
          <w:szCs w:val="21"/>
          <w:highlight w:val="none"/>
        </w:rPr>
        <w:t>：</w:t>
      </w:r>
    </w:p>
    <w:p w14:paraId="289B47E9">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我方参加你方组织的（项目名称）【项目编号】招标的有关活动，并对此项目进行投标。为此：</w:t>
      </w:r>
    </w:p>
    <w:p w14:paraId="5593963B">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1、我方承诺投标有效期从提交投标文件的截止之日起天（不少于90天），本投标文件在投标有效期满之前均具有约束力。</w:t>
      </w:r>
    </w:p>
    <w:p w14:paraId="015FD04E">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2、我方的投标文件包括以下内容：</w:t>
      </w:r>
    </w:p>
    <w:p w14:paraId="1E41798B">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2.1资格文件：</w:t>
      </w:r>
    </w:p>
    <w:p w14:paraId="58A92E70">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2.1.1符合参加政府采购活动应当具备的一般条件的承诺函；</w:t>
      </w:r>
    </w:p>
    <w:p w14:paraId="0E5018B3">
      <w:pPr>
        <w:snapToGrid w:val="0"/>
        <w:ind w:left="420" w:leftChars="200" w:firstLine="420"/>
        <w:rPr>
          <w:rFonts w:hint="eastAsia" w:ascii="微软雅黑" w:hAnsi="微软雅黑" w:cs="宋体"/>
          <w:color w:val="auto"/>
          <w:kern w:val="0"/>
          <w:szCs w:val="21"/>
          <w:highlight w:val="none"/>
        </w:rPr>
      </w:pPr>
      <w:r>
        <w:rPr>
          <w:rFonts w:hint="eastAsia" w:ascii="微软雅黑" w:hAnsi="微软雅黑" w:cs="宋体"/>
          <w:color w:val="auto"/>
          <w:szCs w:val="21"/>
          <w:highlight w:val="none"/>
        </w:rPr>
        <w:t>2.1.2</w:t>
      </w:r>
      <w:r>
        <w:rPr>
          <w:rFonts w:hint="eastAsia" w:ascii="微软雅黑" w:hAnsi="微软雅黑" w:cs="宋体"/>
          <w:color w:val="auto"/>
          <w:kern w:val="0"/>
          <w:szCs w:val="21"/>
          <w:highlight w:val="none"/>
        </w:rPr>
        <w:t>企业法人营业执照副本复印件；</w:t>
      </w:r>
    </w:p>
    <w:p w14:paraId="3B228D52">
      <w:pPr>
        <w:snapToGrid w:val="0"/>
        <w:ind w:left="210" w:leftChars="100" w:firstLine="420"/>
        <w:rPr>
          <w:rFonts w:hint="eastAsia" w:ascii="微软雅黑" w:hAnsi="微软雅黑" w:cs="宋体"/>
          <w:color w:val="auto"/>
          <w:szCs w:val="21"/>
          <w:highlight w:val="none"/>
          <w:lang w:val="zh-CN"/>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2商务技术</w:t>
      </w:r>
      <w:r>
        <w:rPr>
          <w:rFonts w:hint="eastAsia" w:ascii="微软雅黑" w:hAnsi="微软雅黑" w:cs="宋体"/>
          <w:color w:val="auto"/>
          <w:szCs w:val="21"/>
          <w:highlight w:val="none"/>
          <w:lang w:val="zh-CN"/>
        </w:rPr>
        <w:t>文件：</w:t>
      </w:r>
    </w:p>
    <w:p w14:paraId="5C3A58E0">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2.2.1投标函；</w:t>
      </w:r>
    </w:p>
    <w:p w14:paraId="027CA111">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2.2.2授权委托书或法定代表人身份证明；</w:t>
      </w:r>
    </w:p>
    <w:p w14:paraId="6CBD08C0">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2.2.3政府采购活动现场确认声明书；</w:t>
      </w:r>
    </w:p>
    <w:p w14:paraId="7A853D18">
      <w:pPr>
        <w:snapToGrid w:val="0"/>
        <w:ind w:firstLine="840" w:firstLineChars="400"/>
        <w:rPr>
          <w:rFonts w:hint="eastAsia" w:ascii="微软雅黑" w:hAnsi="微软雅黑" w:cs="宋体"/>
          <w:color w:val="auto"/>
          <w:szCs w:val="21"/>
          <w:highlight w:val="none"/>
        </w:rPr>
      </w:pPr>
      <w:r>
        <w:rPr>
          <w:rFonts w:hint="eastAsia" w:ascii="微软雅黑" w:hAnsi="微软雅黑" w:cs="宋体"/>
          <w:color w:val="auto"/>
          <w:szCs w:val="21"/>
          <w:highlight w:val="none"/>
        </w:rPr>
        <w:t>2.2.4符合性审查资料；</w:t>
      </w:r>
    </w:p>
    <w:p w14:paraId="17C07ACF">
      <w:pPr>
        <w:snapToGrid w:val="0"/>
        <w:ind w:firstLine="840" w:firstLineChars="400"/>
        <w:rPr>
          <w:rFonts w:hint="eastAsia" w:ascii="微软雅黑" w:hAnsi="微软雅黑" w:cs="仿宋_GB2312"/>
          <w:color w:val="auto"/>
          <w:szCs w:val="21"/>
          <w:highlight w:val="none"/>
        </w:rPr>
      </w:pPr>
      <w:r>
        <w:rPr>
          <w:rFonts w:hint="eastAsia" w:ascii="微软雅黑" w:hAnsi="微软雅黑" w:cs="宋体"/>
          <w:color w:val="auto"/>
          <w:szCs w:val="21"/>
          <w:highlight w:val="none"/>
        </w:rPr>
        <w:t>2.2.5商</w:t>
      </w:r>
      <w:r>
        <w:rPr>
          <w:rFonts w:hint="eastAsia" w:ascii="微软雅黑" w:hAnsi="微软雅黑"/>
          <w:color w:val="auto"/>
          <w:szCs w:val="21"/>
          <w:highlight w:val="none"/>
        </w:rPr>
        <w:t>务响应表</w:t>
      </w:r>
      <w:r>
        <w:rPr>
          <w:rFonts w:ascii="微软雅黑" w:hAnsi="微软雅黑" w:cs="仿宋_GB2312"/>
          <w:color w:val="auto"/>
          <w:szCs w:val="21"/>
          <w:highlight w:val="none"/>
        </w:rPr>
        <w:t>；</w:t>
      </w:r>
    </w:p>
    <w:p w14:paraId="3F897FCB">
      <w:pPr>
        <w:snapToGrid w:val="0"/>
        <w:ind w:firstLine="840" w:firstLineChars="400"/>
        <w:rPr>
          <w:rFonts w:hint="eastAsia" w:ascii="微软雅黑" w:hAnsi="微软雅黑" w:cs="宋体"/>
          <w:color w:val="auto"/>
          <w:szCs w:val="21"/>
          <w:highlight w:val="none"/>
        </w:rPr>
      </w:pPr>
      <w:r>
        <w:rPr>
          <w:rFonts w:hint="eastAsia" w:ascii="微软雅黑" w:hAnsi="微软雅黑" w:cs="宋体"/>
          <w:color w:val="auto"/>
          <w:szCs w:val="21"/>
          <w:highlight w:val="none"/>
        </w:rPr>
        <w:t>2.2.6技术响应表；</w:t>
      </w:r>
    </w:p>
    <w:p w14:paraId="1B553E7A">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2.2.7评标标准相应的商务技术资料；</w:t>
      </w:r>
    </w:p>
    <w:p w14:paraId="7531DC88">
      <w:pPr>
        <w:snapToGrid w:val="0"/>
        <w:ind w:firstLine="840" w:firstLineChars="400"/>
        <w:rPr>
          <w:rFonts w:hint="eastAsia" w:ascii="微软雅黑" w:hAnsi="微软雅黑" w:cs="宋体"/>
          <w:color w:val="auto"/>
          <w:szCs w:val="21"/>
          <w:highlight w:val="none"/>
        </w:rPr>
      </w:pPr>
      <w:r>
        <w:rPr>
          <w:rFonts w:hint="eastAsia" w:ascii="微软雅黑" w:hAnsi="微软雅黑" w:cs="宋体"/>
          <w:color w:val="auto"/>
          <w:szCs w:val="21"/>
          <w:highlight w:val="none"/>
        </w:rPr>
        <w:t>2.2.8评分对应表；</w:t>
      </w:r>
    </w:p>
    <w:p w14:paraId="44CBBB49">
      <w:pPr>
        <w:snapToGrid w:val="0"/>
        <w:ind w:firstLine="840" w:firstLineChars="400"/>
        <w:rPr>
          <w:rFonts w:hint="eastAsia" w:ascii="微软雅黑" w:hAnsi="微软雅黑" w:cs="宋体"/>
          <w:color w:val="auto"/>
          <w:szCs w:val="21"/>
          <w:highlight w:val="none"/>
        </w:rPr>
      </w:pPr>
      <w:r>
        <w:rPr>
          <w:rFonts w:ascii="微软雅黑" w:hAnsi="微软雅黑" w:cs="宋体"/>
          <w:color w:val="auto"/>
          <w:szCs w:val="21"/>
          <w:highlight w:val="none"/>
        </w:rPr>
        <w:t>2.2.</w:t>
      </w:r>
      <w:r>
        <w:rPr>
          <w:rFonts w:hint="eastAsia" w:ascii="微软雅黑" w:hAnsi="微软雅黑" w:cs="宋体"/>
          <w:color w:val="auto"/>
          <w:szCs w:val="21"/>
          <w:highlight w:val="none"/>
        </w:rPr>
        <w:t>9供应商认为需要提供的其他文件及资料（格式自拟）。</w:t>
      </w:r>
    </w:p>
    <w:p w14:paraId="4A348757">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w:t>
      </w:r>
      <w:r>
        <w:rPr>
          <w:rFonts w:hint="eastAsia" w:ascii="微软雅黑" w:hAnsi="微软雅黑" w:cs="宋体"/>
          <w:color w:val="auto"/>
          <w:szCs w:val="21"/>
          <w:highlight w:val="none"/>
          <w:lang w:val="zh-CN"/>
        </w:rPr>
        <w:t>.</w:t>
      </w:r>
      <w:r>
        <w:rPr>
          <w:rFonts w:hint="eastAsia" w:ascii="微软雅黑" w:hAnsi="微软雅黑" w:cs="宋体"/>
          <w:color w:val="auto"/>
          <w:szCs w:val="21"/>
          <w:highlight w:val="none"/>
        </w:rPr>
        <w:t>3报价文件</w:t>
      </w:r>
    </w:p>
    <w:p w14:paraId="76BB6C23">
      <w:pPr>
        <w:snapToGrid w:val="0"/>
        <w:ind w:left="420" w:leftChars="2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2.3.1开标一览表（报价表）；</w:t>
      </w:r>
    </w:p>
    <w:p w14:paraId="1153CE1F">
      <w:pPr>
        <w:snapToGrid w:val="0"/>
        <w:ind w:left="420" w:leftChars="200" w:firstLine="420"/>
        <w:rPr>
          <w:rFonts w:hint="eastAsia" w:ascii="微软雅黑" w:hAnsi="微软雅黑" w:cs="宋体"/>
          <w:color w:val="auto"/>
          <w:kern w:val="0"/>
          <w:szCs w:val="21"/>
          <w:highlight w:val="none"/>
        </w:rPr>
      </w:pPr>
      <w:r>
        <w:rPr>
          <w:rFonts w:hint="eastAsia" w:ascii="微软雅黑" w:hAnsi="微软雅黑" w:cs="宋体"/>
          <w:color w:val="auto"/>
          <w:szCs w:val="21"/>
          <w:highlight w:val="none"/>
        </w:rPr>
        <w:t>2.3.2</w:t>
      </w:r>
      <w:r>
        <w:rPr>
          <w:rFonts w:hint="eastAsia" w:ascii="微软雅黑" w:hAnsi="微软雅黑" w:cs="宋体"/>
          <w:color w:val="auto"/>
          <w:kern w:val="0"/>
          <w:szCs w:val="21"/>
          <w:highlight w:val="none"/>
        </w:rPr>
        <w:t>落实政府采购政策需满足的资格要求（中小企业声明函等证明材料）；</w:t>
      </w:r>
    </w:p>
    <w:p w14:paraId="62BCFA84">
      <w:pPr>
        <w:ind w:firstLine="840" w:firstLineChars="400"/>
        <w:rPr>
          <w:rFonts w:hint="eastAsia" w:ascii="微软雅黑" w:hAnsi="微软雅黑"/>
          <w:color w:val="auto"/>
          <w:szCs w:val="21"/>
          <w:highlight w:val="none"/>
        </w:rPr>
      </w:pPr>
      <w:r>
        <w:rPr>
          <w:rFonts w:hint="eastAsia" w:ascii="微软雅黑" w:hAnsi="微软雅黑" w:cs="宋体"/>
          <w:color w:val="auto"/>
          <w:szCs w:val="21"/>
          <w:highlight w:val="none"/>
        </w:rPr>
        <w:t>2.3.3</w:t>
      </w:r>
      <w:r>
        <w:rPr>
          <w:rFonts w:hint="eastAsia" w:ascii="微软雅黑" w:hAnsi="微软雅黑"/>
          <w:color w:val="auto"/>
          <w:szCs w:val="21"/>
          <w:highlight w:val="none"/>
        </w:rPr>
        <w:t>投标供应商针对报价需要说明的其他文件和说明。</w:t>
      </w:r>
    </w:p>
    <w:p w14:paraId="77B47762">
      <w:pPr>
        <w:snapToGrid w:val="0"/>
        <w:ind w:left="420" w:leftChars="200" w:firstLine="420"/>
        <w:rPr>
          <w:rFonts w:hint="eastAsia" w:ascii="微软雅黑" w:hAnsi="微软雅黑" w:cs="宋体"/>
          <w:color w:val="auto"/>
          <w:szCs w:val="21"/>
          <w:highlight w:val="none"/>
        </w:rPr>
      </w:pPr>
      <w:r>
        <w:rPr>
          <w:rFonts w:hint="eastAsia" w:ascii="微软雅黑" w:hAnsi="微软雅黑"/>
          <w:b/>
          <w:bCs/>
          <w:color w:val="auto"/>
          <w:szCs w:val="21"/>
          <w:highlight w:val="none"/>
        </w:rPr>
        <w:t>法定代表人授权委托书、投标函、开标一览表必须有法定代表人或被</w:t>
      </w:r>
      <w:r>
        <w:rPr>
          <w:rFonts w:hint="eastAsia" w:ascii="微软雅黑" w:hAnsi="微软雅黑"/>
          <w:b/>
          <w:color w:val="auto"/>
          <w:szCs w:val="21"/>
          <w:highlight w:val="none"/>
        </w:rPr>
        <w:t>授权</w:t>
      </w:r>
      <w:r>
        <w:rPr>
          <w:rFonts w:hint="eastAsia" w:ascii="微软雅黑" w:hAnsi="微软雅黑"/>
          <w:b/>
          <w:bCs/>
          <w:color w:val="auto"/>
          <w:szCs w:val="21"/>
          <w:highlight w:val="none"/>
        </w:rPr>
        <w:t>人签字（或签章）并加盖单位公章。</w:t>
      </w:r>
    </w:p>
    <w:p w14:paraId="426C44F0">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3、我方承诺除商务技术响应表列出的偏离外，我方响应招标文件的全部要求。</w:t>
      </w:r>
    </w:p>
    <w:p w14:paraId="53CC0574">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4、如我方中标，我方承诺：</w:t>
      </w:r>
    </w:p>
    <w:p w14:paraId="37D32FF2">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4.1在收到中标通知书后，在中标通知书规定的期限内与你方签订合同； </w:t>
      </w:r>
    </w:p>
    <w:p w14:paraId="6BD7168A">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4.2在签订合同时不向你方提出附加条件； </w:t>
      </w:r>
    </w:p>
    <w:p w14:paraId="629EF0D5">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4.3按照招标文件要求提交履约保证金； </w:t>
      </w:r>
    </w:p>
    <w:p w14:paraId="6AFC5912">
      <w:pPr>
        <w:snapToGrid w:val="0"/>
        <w:ind w:left="210" w:leftChars="100"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 xml:space="preserve">4.4在合同约定的期限内完成合同规定的全部义务。 </w:t>
      </w:r>
    </w:p>
    <w:p w14:paraId="74E21814">
      <w:p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5、其他补充说明:。</w:t>
      </w:r>
    </w:p>
    <w:p w14:paraId="438A7BEA">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2AA54FF8">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8C3FBB4">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74044A7E">
      <w:pPr>
        <w:snapToGrid w:val="0"/>
        <w:spacing w:before="120" w:beforeLines="50" w:after="50"/>
        <w:ind w:firstLine="640"/>
        <w:jc w:val="center"/>
        <w:rPr>
          <w:rFonts w:hint="eastAsia" w:ascii="宋体" w:hAnsi="宋体"/>
          <w:b/>
          <w:color w:val="auto"/>
          <w:sz w:val="32"/>
          <w:szCs w:val="32"/>
          <w:highlight w:val="none"/>
        </w:rPr>
      </w:pPr>
    </w:p>
    <w:p w14:paraId="5F072578">
      <w:pPr>
        <w:snapToGrid w:val="0"/>
        <w:spacing w:before="120" w:beforeLines="50" w:after="50"/>
        <w:ind w:firstLine="640"/>
        <w:jc w:val="center"/>
        <w:rPr>
          <w:rFonts w:hint="eastAsia" w:ascii="宋体" w:hAnsi="宋体"/>
          <w:b/>
          <w:color w:val="auto"/>
          <w:sz w:val="32"/>
          <w:szCs w:val="32"/>
          <w:highlight w:val="none"/>
        </w:rPr>
        <w:sectPr>
          <w:type w:val="nextColumn"/>
          <w:pgSz w:w="11906" w:h="16838"/>
          <w:pgMar w:top="1474" w:right="1134" w:bottom="1134" w:left="1474" w:header="851" w:footer="992" w:gutter="0"/>
          <w:cols w:space="720" w:num="1"/>
          <w:titlePg/>
          <w:docGrid w:linePitch="312" w:charSpace="0"/>
        </w:sectPr>
      </w:pPr>
    </w:p>
    <w:p w14:paraId="14896479">
      <w:pPr>
        <w:snapToGrid w:val="0"/>
        <w:spacing w:before="120" w:beforeLines="50" w:after="50"/>
        <w:ind w:firstLine="420"/>
        <w:jc w:val="center"/>
        <w:outlineLvl w:val="1"/>
        <w:rPr>
          <w:rFonts w:hint="eastAsia" w:ascii="微软雅黑" w:hAnsi="微软雅黑"/>
          <w:b/>
          <w:color w:val="auto"/>
          <w:szCs w:val="21"/>
          <w:highlight w:val="none"/>
        </w:rPr>
      </w:pPr>
      <w:bookmarkStart w:id="266" w:name="_Toc8363"/>
      <w:r>
        <w:rPr>
          <w:rFonts w:hint="eastAsia" w:ascii="微软雅黑" w:hAnsi="微软雅黑"/>
          <w:b/>
          <w:color w:val="auto"/>
          <w:szCs w:val="21"/>
          <w:highlight w:val="none"/>
        </w:rPr>
        <w:t>二、法定代表人授权委托书</w:t>
      </w:r>
      <w:bookmarkEnd w:id="266"/>
    </w:p>
    <w:p w14:paraId="09E4C143">
      <w:pPr>
        <w:snapToGrid w:val="0"/>
        <w:ind w:firstLine="420"/>
        <w:rPr>
          <w:rFonts w:hint="eastAsia" w:ascii="微软雅黑" w:hAnsi="微软雅黑" w:cs="宋体"/>
          <w:color w:val="auto"/>
          <w:szCs w:val="21"/>
          <w:highlight w:val="none"/>
          <w:u w:val="single"/>
        </w:rPr>
      </w:pPr>
      <w:r>
        <w:rPr>
          <w:rFonts w:hint="eastAsia" w:ascii="微软雅黑" w:hAnsi="微软雅黑" w:cs="宋体"/>
          <w:color w:val="auto"/>
          <w:szCs w:val="21"/>
          <w:highlight w:val="none"/>
          <w:u w:val="single"/>
        </w:rPr>
        <w:t>（采购人）、（采购代理机构）：</w:t>
      </w:r>
    </w:p>
    <w:p w14:paraId="1B279E14">
      <w:pPr>
        <w:snapToGrid w:val="0"/>
        <w:spacing w:before="120" w:beforeLines="50" w:after="50"/>
        <w:ind w:firstLine="630" w:firstLineChars="300"/>
        <w:rPr>
          <w:rFonts w:hint="eastAsia" w:ascii="宋体" w:hAnsi="宋体"/>
          <w:color w:val="auto"/>
          <w:szCs w:val="20"/>
          <w:highlight w:val="none"/>
        </w:rPr>
      </w:pPr>
      <w:r>
        <w:rPr>
          <w:rFonts w:hint="eastAsia" w:ascii="宋体" w:hAnsi="宋体"/>
          <w:color w:val="auto"/>
          <w:highlight w:val="none"/>
        </w:rPr>
        <w:t>我（姓名）系（投标供应商名称）的法定代表人，现授权委托（姓名）以我方的名义参加</w:t>
      </w:r>
      <w:r>
        <w:rPr>
          <w:rFonts w:hint="eastAsia" w:ascii="宋体" w:hAnsi="宋体"/>
          <w:color w:val="auto"/>
          <w:highlight w:val="none"/>
          <w:u w:val="single"/>
        </w:rPr>
        <w:t xml:space="preserve">                项目</w:t>
      </w:r>
      <w:r>
        <w:rPr>
          <w:rFonts w:hint="eastAsia" w:ascii="宋体" w:hAnsi="宋体"/>
          <w:color w:val="auto"/>
          <w:highlight w:val="none"/>
        </w:rPr>
        <w:t>的投标活动，并代表我方全权办理针对上述项目的投标、开标、评标、签约等具体事务和签署相关文件。</w:t>
      </w:r>
    </w:p>
    <w:p w14:paraId="13B6137A">
      <w:pPr>
        <w:snapToGrid w:val="0"/>
        <w:spacing w:before="120" w:beforeLines="50" w:after="50"/>
        <w:ind w:firstLine="420"/>
        <w:rPr>
          <w:rFonts w:hint="eastAsia" w:ascii="宋体" w:hAnsi="宋体"/>
          <w:color w:val="auto"/>
          <w:szCs w:val="20"/>
          <w:highlight w:val="none"/>
        </w:rPr>
      </w:pPr>
      <w:r>
        <w:rPr>
          <w:rFonts w:hint="eastAsia" w:ascii="宋体" w:hAnsi="宋体"/>
          <w:color w:val="auto"/>
          <w:highlight w:val="none"/>
        </w:rPr>
        <w:t>我方对被授权人的签字事项负全部责任。</w:t>
      </w:r>
    </w:p>
    <w:p w14:paraId="10E43FFD">
      <w:pPr>
        <w:snapToGrid w:val="0"/>
        <w:spacing w:before="120" w:beforeLines="50" w:after="50"/>
        <w:ind w:firstLine="420"/>
        <w:rPr>
          <w:rFonts w:hint="eastAsia" w:ascii="宋体" w:hAnsi="宋体"/>
          <w:color w:val="auto"/>
          <w:szCs w:val="20"/>
          <w:highlight w:val="none"/>
        </w:rPr>
      </w:pPr>
      <w:r>
        <w:rPr>
          <w:rFonts w:hint="eastAsia" w:ascii="宋体" w:hAnsi="宋体"/>
          <w:color w:val="auto"/>
          <w:highlight w:val="none"/>
          <w:u w:val="single"/>
        </w:rPr>
        <w:t>在撤销授权的书面通知以前，本授权书一直有效。</w:t>
      </w:r>
      <w:r>
        <w:rPr>
          <w:rFonts w:hint="eastAsia" w:ascii="宋体" w:hAnsi="宋体"/>
          <w:color w:val="auto"/>
          <w:highlight w:val="none"/>
        </w:rPr>
        <w:t>被授权人在授权书有效期内签署的所有文件不因授权的撤销而失效。</w:t>
      </w:r>
    </w:p>
    <w:p w14:paraId="35B1FC2D">
      <w:pPr>
        <w:snapToGrid w:val="0"/>
        <w:spacing w:before="120" w:beforeLines="50" w:after="50"/>
        <w:ind w:firstLine="420"/>
        <w:rPr>
          <w:rFonts w:hint="eastAsia" w:ascii="宋体" w:hAnsi="宋体"/>
          <w:color w:val="auto"/>
          <w:highlight w:val="none"/>
        </w:rPr>
      </w:pPr>
      <w:r>
        <w:rPr>
          <w:rFonts w:hint="eastAsia" w:ascii="宋体" w:hAnsi="宋体"/>
          <w:color w:val="auto"/>
          <w:highlight w:val="none"/>
        </w:rPr>
        <w:t>被授权人无转委托权，特此委托。</w:t>
      </w:r>
    </w:p>
    <w:p w14:paraId="5367C5C2">
      <w:pPr>
        <w:snapToGrid w:val="0"/>
        <w:spacing w:before="120" w:beforeLines="50" w:after="50"/>
        <w:ind w:firstLine="420"/>
        <w:rPr>
          <w:rFonts w:hint="eastAsia" w:ascii="宋体" w:hAnsi="宋体"/>
          <w:color w:val="auto"/>
          <w:highlight w:val="none"/>
        </w:rPr>
      </w:pPr>
      <w:r>
        <w:rPr>
          <w:rFonts w:hint="eastAsia" w:ascii="宋体" w:hAnsi="宋体"/>
          <w:color w:val="auto"/>
          <w:highlight w:val="none"/>
        </w:rPr>
        <w:t>　身份证粘贴处：                   身份证粘贴处：</w:t>
      </w:r>
    </w:p>
    <w:p w14:paraId="1FD4D785">
      <w:pPr>
        <w:snapToGrid w:val="0"/>
        <w:spacing w:before="120" w:beforeLines="50" w:after="50"/>
        <w:ind w:firstLine="420"/>
        <w:rPr>
          <w:rFonts w:hint="eastAsia" w:ascii="宋体" w:hAnsi="宋体"/>
          <w:color w:val="auto"/>
          <w:highlight w:val="none"/>
        </w:rPr>
      </w:pPr>
    </w:p>
    <w:p w14:paraId="6565E5A3">
      <w:pPr>
        <w:snapToGrid w:val="0"/>
        <w:spacing w:before="120" w:beforeLines="50" w:after="50"/>
        <w:ind w:firstLine="420"/>
        <w:rPr>
          <w:rFonts w:hint="eastAsia" w:ascii="宋体" w:hAnsi="宋体"/>
          <w:color w:val="auto"/>
          <w:szCs w:val="21"/>
          <w:highlight w:val="none"/>
          <w:u w:val="single"/>
        </w:rPr>
      </w:pPr>
      <w:r>
        <w:rPr>
          <w:rFonts w:hint="eastAsia" w:ascii="宋体" w:hAnsi="宋体"/>
          <w:color w:val="auto"/>
          <w:szCs w:val="21"/>
          <w:highlight w:val="none"/>
        </w:rPr>
        <w:t>法定代表人签字（或盖章）：          被授权人签字（或盖章）：</w:t>
      </w:r>
    </w:p>
    <w:p w14:paraId="6799C3C2">
      <w:pPr>
        <w:snapToGrid w:val="0"/>
        <w:spacing w:before="120" w:beforeLines="50" w:after="50"/>
        <w:ind w:firstLine="420"/>
        <w:rPr>
          <w:rFonts w:hint="eastAsia" w:ascii="宋体" w:hAnsi="宋体"/>
          <w:color w:val="auto"/>
          <w:szCs w:val="21"/>
          <w:highlight w:val="none"/>
          <w:u w:val="single"/>
        </w:rPr>
      </w:pPr>
      <w:r>
        <w:rPr>
          <w:rFonts w:hint="eastAsia" w:ascii="宋体" w:hAnsi="宋体"/>
          <w:color w:val="auto"/>
          <w:szCs w:val="21"/>
          <w:highlight w:val="none"/>
        </w:rPr>
        <w:t>职务：                              职务：</w:t>
      </w:r>
    </w:p>
    <w:p w14:paraId="6C7BCB71">
      <w:pPr>
        <w:snapToGrid w:val="0"/>
        <w:spacing w:before="120" w:beforeLines="50" w:after="50"/>
        <w:ind w:firstLine="420"/>
        <w:rPr>
          <w:rFonts w:hint="eastAsia" w:ascii="微软雅黑" w:hAnsi="微软雅黑" w:cs="微软雅黑"/>
          <w:color w:val="auto"/>
          <w:szCs w:val="21"/>
          <w:highlight w:val="none"/>
        </w:rPr>
        <w:sectPr>
          <w:type w:val="nextColumn"/>
          <w:pgSz w:w="11906" w:h="16838"/>
          <w:pgMar w:top="1474" w:right="1134" w:bottom="1134" w:left="1474" w:header="851" w:footer="992" w:gutter="0"/>
          <w:cols w:space="720" w:num="1"/>
          <w:titlePg/>
          <w:docGrid w:linePitch="312" w:charSpace="0"/>
        </w:sectPr>
      </w:pPr>
      <w:r>
        <w:rPr>
          <w:rFonts w:hint="eastAsia" w:ascii="微软雅黑" w:hAnsi="微软雅黑" w:cs="微软雅黑"/>
          <w:color w:val="auto"/>
          <w:szCs w:val="21"/>
          <w:highlight w:val="none"/>
        </w:rPr>
        <w:t>供应商名称（公章）：               年  月  日</w:t>
      </w:r>
    </w:p>
    <w:p w14:paraId="61803BFD">
      <w:pPr>
        <w:snapToGrid w:val="0"/>
        <w:spacing w:before="120" w:beforeLines="50" w:after="50"/>
        <w:ind w:firstLine="420"/>
        <w:jc w:val="center"/>
        <w:outlineLvl w:val="1"/>
        <w:rPr>
          <w:rFonts w:hint="eastAsia" w:ascii="微软雅黑" w:hAnsi="微软雅黑"/>
          <w:b/>
          <w:color w:val="auto"/>
          <w:szCs w:val="21"/>
          <w:highlight w:val="none"/>
        </w:rPr>
      </w:pPr>
      <w:bookmarkStart w:id="267" w:name="_Toc11546"/>
      <w:r>
        <w:rPr>
          <w:rFonts w:hint="eastAsia" w:ascii="微软雅黑" w:hAnsi="微软雅黑"/>
          <w:b/>
          <w:color w:val="auto"/>
          <w:szCs w:val="21"/>
          <w:highlight w:val="none"/>
        </w:rPr>
        <w:t>三、政府采购活动现场确认声明书</w:t>
      </w:r>
      <w:bookmarkEnd w:id="267"/>
    </w:p>
    <w:p w14:paraId="1C93FB65">
      <w:pPr>
        <w:snapToGrid w:val="0"/>
        <w:spacing w:before="120" w:beforeLines="50" w:after="50"/>
        <w:ind w:firstLine="420"/>
        <w:rPr>
          <w:rFonts w:hint="eastAsia" w:ascii="微软雅黑" w:hAnsi="微软雅黑"/>
          <w:color w:val="auto"/>
          <w:szCs w:val="21"/>
          <w:highlight w:val="none"/>
        </w:rPr>
      </w:pPr>
      <w:r>
        <w:rPr>
          <w:rFonts w:hint="eastAsia" w:ascii="微软雅黑" w:hAnsi="微软雅黑" w:cs="宋体"/>
          <w:color w:val="auto"/>
          <w:szCs w:val="21"/>
          <w:highlight w:val="none"/>
          <w:u w:val="single"/>
        </w:rPr>
        <w:t>（采购人）、（采购代理机构）：</w:t>
      </w:r>
      <w:r>
        <w:rPr>
          <w:rFonts w:hint="eastAsia" w:ascii="微软雅黑" w:hAnsi="微软雅黑"/>
          <w:color w:val="auto"/>
          <w:szCs w:val="21"/>
          <w:highlight w:val="none"/>
        </w:rPr>
        <w:t>:</w:t>
      </w:r>
    </w:p>
    <w:p w14:paraId="1A95E89A">
      <w:pPr>
        <w:snapToGrid w:val="0"/>
        <w:spacing w:before="120" w:beforeLines="50" w:after="50"/>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本人 ____________（授权代表姓名），经由______________________________（单位） ____________ （法定代表人姓名）合法授权参加 </w:t>
      </w:r>
      <w:r>
        <w:rPr>
          <w:rFonts w:hint="eastAsia"/>
          <w:color w:val="auto"/>
          <w:highlight w:val="none"/>
        </w:rPr>
        <w:t xml:space="preserve"> </w:t>
      </w:r>
      <w:r>
        <w:rPr>
          <w:rFonts w:hint="eastAsia"/>
          <w:color w:val="auto"/>
          <w:highlight w:val="none"/>
          <w:lang w:eastAsia="zh-CN"/>
        </w:rPr>
        <w:t>嘉兴市秀洲区精神障碍社区康复服务项目</w:t>
      </w:r>
      <w:r>
        <w:rPr>
          <w:rFonts w:hint="eastAsia" w:ascii="微软雅黑" w:hAnsi="微软雅黑"/>
          <w:color w:val="auto"/>
          <w:szCs w:val="21"/>
          <w:highlight w:val="none"/>
          <w:u w:val="single"/>
        </w:rPr>
        <w:t>（编号：       ）</w:t>
      </w:r>
      <w:r>
        <w:rPr>
          <w:rFonts w:hint="eastAsia" w:ascii="微软雅黑" w:hAnsi="微软雅黑"/>
          <w:color w:val="auto"/>
          <w:szCs w:val="21"/>
          <w:highlight w:val="none"/>
        </w:rPr>
        <w:t>政府采购活动．经与本单位法人代表联系确认，现就有关公平竞争事项郑重声明如下:</w:t>
      </w:r>
    </w:p>
    <w:p w14:paraId="465428CD">
      <w:pPr>
        <w:snapToGrid w:val="0"/>
        <w:spacing w:before="120" w:beforeLines="50" w:after="50"/>
        <w:ind w:firstLine="420"/>
        <w:outlineLvl w:val="1"/>
        <w:rPr>
          <w:rFonts w:hint="eastAsia" w:ascii="微软雅黑" w:hAnsi="微软雅黑"/>
          <w:color w:val="auto"/>
          <w:szCs w:val="21"/>
          <w:highlight w:val="none"/>
        </w:rPr>
      </w:pPr>
      <w:bookmarkStart w:id="268" w:name="_Toc5627"/>
      <w:r>
        <w:rPr>
          <w:rFonts w:hint="eastAsia" w:ascii="微软雅黑" w:hAnsi="微软雅黑"/>
          <w:color w:val="auto"/>
          <w:szCs w:val="21"/>
          <w:highlight w:val="none"/>
        </w:rPr>
        <w:t>一、本单位与采购人之间口不存在利害关系口存在下列利害关系：</w:t>
      </w:r>
      <w:bookmarkEnd w:id="268"/>
    </w:p>
    <w:p w14:paraId="055C4621">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A．投资关系 B．行政隶属关系 C．业务指导关系D．其他可能影响采购公正的利害关系（如有，请如实说明）。</w:t>
      </w:r>
    </w:p>
    <w:p w14:paraId="092C5761">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二、现己清楚知道参加本项目采购活动的其他所有供应商名称，本单位 口与其他所有供应商之间均不存在利害关系 口与______________（供应商名称）之间存在下列利害关系:</w:t>
      </w:r>
    </w:p>
    <w:p w14:paraId="289A2A1D">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A．法定代表人或负责人或实际控制人是同一人</w:t>
      </w:r>
    </w:p>
    <w:p w14:paraId="49E0692E">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B．法定代表人或负责人或实际控制人是夫妻关系</w:t>
      </w:r>
    </w:p>
    <w:p w14:paraId="22EA14CC">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C．法定代表人或负责人或实际控制人是直系血亲关系</w:t>
      </w:r>
    </w:p>
    <w:p w14:paraId="50D1E957">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D．法定代表人或负责人或实际控制人存在三代以内旁系血亲关系</w:t>
      </w:r>
    </w:p>
    <w:p w14:paraId="271257FF">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E．法定代表人或负责人或实际控制人存在近姻亲关系</w:t>
      </w:r>
    </w:p>
    <w:p w14:paraId="613FB0FD">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F．法定代表人或负责人或实际控制人存在股份控制或实际控制关系</w:t>
      </w:r>
    </w:p>
    <w:p w14:paraId="27888118">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G．存在共同直接或间接投资设立子公司、联营企业和合营企业情况</w:t>
      </w:r>
    </w:p>
    <w:p w14:paraId="29ECD37C">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H．存在分级代理或代销关系、同一生产制造商关系、管理关系、重要业务（占主营业务收入 50 ％以上）或重要财务往来关系（如融资）等其他实质性控制关系</w:t>
      </w:r>
    </w:p>
    <w:p w14:paraId="3E700295">
      <w:pPr>
        <w:snapToGrid w:val="0"/>
        <w:spacing w:before="120" w:beforeLines="50" w:after="50" w:line="240" w:lineRule="auto"/>
        <w:ind w:firstLine="420"/>
        <w:rPr>
          <w:rFonts w:hint="eastAsia" w:ascii="微软雅黑" w:hAnsi="微软雅黑"/>
          <w:color w:val="auto"/>
          <w:szCs w:val="21"/>
          <w:highlight w:val="none"/>
        </w:rPr>
      </w:pPr>
      <w:r>
        <w:rPr>
          <w:rFonts w:hint="eastAsia" w:ascii="微软雅黑" w:hAnsi="微软雅黑"/>
          <w:color w:val="auto"/>
          <w:szCs w:val="21"/>
          <w:highlight w:val="none"/>
        </w:rPr>
        <w:t>I．其他利害关系情况 ________________________________________。</w:t>
      </w:r>
    </w:p>
    <w:p w14:paraId="32BFB9CB">
      <w:pPr>
        <w:snapToGrid w:val="0"/>
        <w:spacing w:before="120" w:beforeLines="50" w:after="50"/>
        <w:ind w:firstLine="420"/>
        <w:outlineLvl w:val="1"/>
        <w:rPr>
          <w:rFonts w:hint="eastAsia" w:ascii="微软雅黑" w:hAnsi="微软雅黑"/>
          <w:color w:val="auto"/>
          <w:szCs w:val="21"/>
          <w:highlight w:val="none"/>
        </w:rPr>
      </w:pPr>
      <w:bookmarkStart w:id="269" w:name="_Toc11452"/>
      <w:r>
        <w:rPr>
          <w:rFonts w:hint="eastAsia" w:ascii="微软雅黑" w:hAnsi="微软雅黑"/>
          <w:color w:val="auto"/>
          <w:szCs w:val="21"/>
          <w:highlight w:val="none"/>
        </w:rPr>
        <w:t>三、现己清楚知道并严格遵守政府采购法律法规和现场纪律。</w:t>
      </w:r>
      <w:bookmarkEnd w:id="269"/>
    </w:p>
    <w:p w14:paraId="443E4511">
      <w:pPr>
        <w:snapToGrid w:val="0"/>
        <w:spacing w:before="120" w:beforeLines="50" w:after="50"/>
        <w:ind w:firstLine="420"/>
        <w:rPr>
          <w:rFonts w:hint="eastAsia" w:ascii="微软雅黑" w:hAnsi="微软雅黑"/>
          <w:color w:val="auto"/>
          <w:szCs w:val="21"/>
          <w:highlight w:val="none"/>
        </w:rPr>
      </w:pPr>
      <w:r>
        <w:rPr>
          <w:rFonts w:hint="eastAsia" w:ascii="微软雅黑" w:hAnsi="微软雅黑"/>
          <w:color w:val="auto"/>
          <w:szCs w:val="21"/>
          <w:highlight w:val="none"/>
        </w:rPr>
        <w:t>四、我发现 ____________________供应商之间存在或可能存在上述第二条第 ____________项利害关系。</w:t>
      </w:r>
    </w:p>
    <w:p w14:paraId="33174B1A">
      <w:pPr>
        <w:snapToGrid w:val="0"/>
        <w:spacing w:before="120" w:beforeLines="50" w:after="50"/>
        <w:ind w:firstLine="420"/>
        <w:jc w:val="right"/>
        <w:rPr>
          <w:rFonts w:hint="eastAsia" w:ascii="微软雅黑" w:hAnsi="微软雅黑"/>
          <w:color w:val="auto"/>
          <w:szCs w:val="21"/>
          <w:highlight w:val="none"/>
        </w:rPr>
      </w:pPr>
      <w:r>
        <w:rPr>
          <w:rFonts w:hint="eastAsia" w:ascii="微软雅黑" w:hAnsi="微软雅黑"/>
          <w:color w:val="auto"/>
          <w:szCs w:val="21"/>
          <w:highlight w:val="none"/>
        </w:rPr>
        <w:t>（供应商代表签名）:</w:t>
      </w:r>
    </w:p>
    <w:p w14:paraId="2F1871FF">
      <w:pPr>
        <w:snapToGrid w:val="0"/>
        <w:spacing w:before="120" w:beforeLines="50" w:after="50"/>
        <w:ind w:firstLine="420"/>
        <w:jc w:val="right"/>
        <w:rPr>
          <w:rFonts w:hint="eastAsia" w:ascii="微软雅黑" w:hAnsi="微软雅黑" w:cs="仿宋_GB2312"/>
          <w:b/>
          <w:color w:val="auto"/>
          <w:kern w:val="0"/>
          <w:szCs w:val="21"/>
          <w:highlight w:val="none"/>
        </w:rPr>
      </w:pPr>
      <w:r>
        <w:rPr>
          <w:rFonts w:hint="eastAsia" w:ascii="微软雅黑" w:hAnsi="微软雅黑"/>
          <w:color w:val="auto"/>
          <w:szCs w:val="21"/>
          <w:highlight w:val="none"/>
        </w:rPr>
        <w:t xml:space="preserve">    年  月  日</w:t>
      </w:r>
    </w:p>
    <w:p w14:paraId="3389603C">
      <w:pPr>
        <w:ind w:firstLine="420"/>
        <w:jc w:val="center"/>
        <w:outlineLvl w:val="1"/>
        <w:rPr>
          <w:rFonts w:hint="eastAsia" w:ascii="微软雅黑" w:hAnsi="微软雅黑" w:cs="仿宋_GB2312"/>
          <w:b/>
          <w:color w:val="auto"/>
          <w:kern w:val="0"/>
          <w:szCs w:val="21"/>
          <w:highlight w:val="none"/>
        </w:rPr>
        <w:sectPr>
          <w:type w:val="nextColumn"/>
          <w:pgSz w:w="11906" w:h="16838"/>
          <w:pgMar w:top="1474" w:right="1134" w:bottom="1134" w:left="1474" w:header="851" w:footer="992" w:gutter="0"/>
          <w:cols w:space="720" w:num="1"/>
          <w:titlePg/>
          <w:docGrid w:linePitch="312" w:charSpace="0"/>
        </w:sectPr>
      </w:pPr>
      <w:bookmarkStart w:id="270" w:name="_Toc16507"/>
    </w:p>
    <w:p w14:paraId="0D58B4A6">
      <w:pPr>
        <w:ind w:firstLine="420"/>
        <w:jc w:val="center"/>
        <w:outlineLvl w:val="1"/>
        <w:rPr>
          <w:rFonts w:hint="eastAsia"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四、符合性审查资料</w:t>
      </w:r>
      <w:bookmarkEnd w:id="270"/>
    </w:p>
    <w:tbl>
      <w:tblPr>
        <w:tblStyle w:val="54"/>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3715"/>
        <w:gridCol w:w="2939"/>
        <w:gridCol w:w="1880"/>
      </w:tblGrid>
      <w:tr w14:paraId="5A61E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7028F89">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序号</w:t>
            </w:r>
          </w:p>
        </w:tc>
        <w:tc>
          <w:tcPr>
            <w:tcW w:w="3715" w:type="dxa"/>
            <w:vAlign w:val="center"/>
          </w:tcPr>
          <w:p w14:paraId="5ABC67AC">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实质性要求</w:t>
            </w:r>
          </w:p>
        </w:tc>
        <w:tc>
          <w:tcPr>
            <w:tcW w:w="2939" w:type="dxa"/>
            <w:vAlign w:val="center"/>
          </w:tcPr>
          <w:p w14:paraId="28416C3A">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需要提供的符合性审查资料</w:t>
            </w:r>
          </w:p>
        </w:tc>
        <w:tc>
          <w:tcPr>
            <w:tcW w:w="1880" w:type="dxa"/>
            <w:vAlign w:val="center"/>
          </w:tcPr>
          <w:p w14:paraId="1B4843F0">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投标文件中的</w:t>
            </w:r>
          </w:p>
          <w:p w14:paraId="12D611CD">
            <w:pPr>
              <w:snapToGrid w:val="0"/>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页码位置</w:t>
            </w:r>
          </w:p>
        </w:tc>
      </w:tr>
      <w:tr w14:paraId="6EFC8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08C5420">
            <w:pPr>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1</w:t>
            </w:r>
          </w:p>
        </w:tc>
        <w:tc>
          <w:tcPr>
            <w:tcW w:w="3715" w:type="dxa"/>
          </w:tcPr>
          <w:p w14:paraId="559E1671">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投标文件按照招标文件要求签署、盖章。</w:t>
            </w:r>
          </w:p>
        </w:tc>
        <w:tc>
          <w:tcPr>
            <w:tcW w:w="2939" w:type="dxa"/>
            <w:vAlign w:val="center"/>
          </w:tcPr>
          <w:p w14:paraId="58DB2C08">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需要使用电子签名或者签字盖章的投标文件的组成部分</w:t>
            </w:r>
          </w:p>
        </w:tc>
        <w:tc>
          <w:tcPr>
            <w:tcW w:w="1880" w:type="dxa"/>
          </w:tcPr>
          <w:p w14:paraId="44D0534A">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s="仿宋_GB2312"/>
                <w:color w:val="auto"/>
                <w:szCs w:val="21"/>
                <w:highlight w:val="none"/>
              </w:rPr>
              <w:t>见投标文件</w:t>
            </w:r>
          </w:p>
          <w:p w14:paraId="036A7DC4">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第</w:t>
            </w:r>
            <w:r>
              <w:rPr>
                <w:rFonts w:hint="eastAsia" w:ascii="微软雅黑" w:hAnsi="微软雅黑"/>
                <w:color w:val="auto"/>
                <w:szCs w:val="21"/>
                <w:highlight w:val="none"/>
              </w:rPr>
              <w:t>____</w:t>
            </w:r>
            <w:r>
              <w:rPr>
                <w:rFonts w:hint="eastAsia" w:ascii="微软雅黑" w:hAnsi="微软雅黑" w:cs="仿宋_GB2312"/>
                <w:color w:val="auto"/>
                <w:szCs w:val="21"/>
                <w:highlight w:val="none"/>
              </w:rPr>
              <w:t>页</w:t>
            </w:r>
          </w:p>
        </w:tc>
      </w:tr>
      <w:tr w14:paraId="2E73DA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B110D74">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2</w:t>
            </w:r>
          </w:p>
        </w:tc>
        <w:tc>
          <w:tcPr>
            <w:tcW w:w="3715" w:type="dxa"/>
          </w:tcPr>
          <w:p w14:paraId="567FE88C">
            <w:pPr>
              <w:spacing w:line="240" w:lineRule="auto"/>
              <w:ind w:firstLine="0" w:firstLineChars="0"/>
              <w:rPr>
                <w:rFonts w:hint="eastAsia" w:ascii="微软雅黑" w:hAnsi="微软雅黑" w:cs="仿宋_GB2312"/>
                <w:color w:val="auto"/>
                <w:szCs w:val="21"/>
                <w:highlight w:val="none"/>
              </w:rPr>
            </w:pPr>
            <w:r>
              <w:rPr>
                <w:rFonts w:hint="eastAsia" w:ascii="微软雅黑" w:hAnsi="微软雅黑"/>
                <w:color w:val="auto"/>
                <w:szCs w:val="21"/>
                <w:highlight w:val="none"/>
              </w:rPr>
              <w:t>投标文件中承诺的投标有效期不少于招标文件中载明的投标有效期。</w:t>
            </w:r>
          </w:p>
        </w:tc>
        <w:tc>
          <w:tcPr>
            <w:tcW w:w="2939" w:type="dxa"/>
            <w:vAlign w:val="center"/>
          </w:tcPr>
          <w:p w14:paraId="40782048">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投标函</w:t>
            </w:r>
          </w:p>
        </w:tc>
        <w:tc>
          <w:tcPr>
            <w:tcW w:w="1880" w:type="dxa"/>
          </w:tcPr>
          <w:p w14:paraId="5D67246C">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hint="eastAsia" w:ascii="微软雅黑" w:hAnsi="微软雅黑"/>
                <w:color w:val="auto"/>
                <w:szCs w:val="21"/>
                <w:highlight w:val="none"/>
              </w:rPr>
              <w:t>____</w:t>
            </w:r>
            <w:r>
              <w:rPr>
                <w:rFonts w:hint="eastAsia" w:ascii="微软雅黑" w:hAnsi="微软雅黑" w:cs="仿宋_GB2312"/>
                <w:color w:val="auto"/>
                <w:szCs w:val="21"/>
                <w:highlight w:val="none"/>
              </w:rPr>
              <w:t>页</w:t>
            </w:r>
          </w:p>
        </w:tc>
      </w:tr>
      <w:tr w14:paraId="6FD4A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C1DABB">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3</w:t>
            </w:r>
          </w:p>
        </w:tc>
        <w:tc>
          <w:tcPr>
            <w:tcW w:w="3715" w:type="dxa"/>
          </w:tcPr>
          <w:p w14:paraId="7349999C">
            <w:pPr>
              <w:spacing w:line="240" w:lineRule="auto"/>
              <w:ind w:firstLine="0" w:firstLineChars="0"/>
              <w:rPr>
                <w:rFonts w:hint="eastAsia" w:ascii="微软雅黑" w:hAnsi="微软雅黑"/>
                <w:color w:val="auto"/>
                <w:szCs w:val="21"/>
                <w:highlight w:val="none"/>
              </w:rPr>
            </w:pPr>
            <w:r>
              <w:rPr>
                <w:rFonts w:hint="eastAsia" w:ascii="微软雅黑" w:hAnsi="微软雅黑"/>
                <w:color w:val="auto"/>
                <w:szCs w:val="21"/>
                <w:highlight w:val="none"/>
              </w:rPr>
              <w:t>投标文件满足招标文件的其它实质性要求。</w:t>
            </w:r>
          </w:p>
        </w:tc>
        <w:tc>
          <w:tcPr>
            <w:tcW w:w="2939" w:type="dxa"/>
            <w:vAlign w:val="center"/>
          </w:tcPr>
          <w:p w14:paraId="63499AE5">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kern w:val="0"/>
                <w:szCs w:val="21"/>
                <w:highlight w:val="none"/>
              </w:rPr>
              <w:t>招标文件其它实质性要求相应的材料（“▲”系指实质性要求条款，招标文件无其它实质性要求的，无需提供）</w:t>
            </w:r>
          </w:p>
        </w:tc>
        <w:tc>
          <w:tcPr>
            <w:tcW w:w="1880" w:type="dxa"/>
          </w:tcPr>
          <w:p w14:paraId="6C7C0C9E">
            <w:pPr>
              <w:spacing w:line="240" w:lineRule="auto"/>
              <w:ind w:firstLine="0" w:firstLineChars="0"/>
              <w:rPr>
                <w:rFonts w:hint="eastAsia" w:ascii="微软雅黑" w:hAnsi="微软雅黑"/>
                <w:color w:val="auto"/>
                <w:szCs w:val="21"/>
                <w:highlight w:val="none"/>
              </w:rPr>
            </w:pPr>
            <w:r>
              <w:rPr>
                <w:rFonts w:hint="eastAsia" w:ascii="微软雅黑" w:hAnsi="微软雅黑" w:cs="仿宋_GB2312"/>
                <w:color w:val="auto"/>
                <w:szCs w:val="21"/>
                <w:highlight w:val="none"/>
              </w:rPr>
              <w:t>见投标文件第</w:t>
            </w:r>
            <w:r>
              <w:rPr>
                <w:rFonts w:hint="eastAsia" w:ascii="微软雅黑" w:hAnsi="微软雅黑"/>
                <w:color w:val="auto"/>
                <w:szCs w:val="21"/>
                <w:highlight w:val="none"/>
              </w:rPr>
              <w:t>____</w:t>
            </w:r>
            <w:r>
              <w:rPr>
                <w:rFonts w:hint="eastAsia" w:ascii="微软雅黑" w:hAnsi="微软雅黑" w:cs="仿宋_GB2312"/>
                <w:color w:val="auto"/>
                <w:szCs w:val="21"/>
                <w:highlight w:val="none"/>
              </w:rPr>
              <w:t>页</w:t>
            </w:r>
          </w:p>
        </w:tc>
      </w:tr>
    </w:tbl>
    <w:p w14:paraId="1527AA3A">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27660910">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87D1B33">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59DA04B0">
      <w:pPr>
        <w:ind w:firstLine="643"/>
        <w:jc w:val="both"/>
        <w:rPr>
          <w:rFonts w:hint="eastAsia" w:ascii="仿宋_GB2312" w:hAnsi="仿宋" w:eastAsia="仿宋_GB2312" w:cs="仿宋_GB2312"/>
          <w:b/>
          <w:color w:val="auto"/>
          <w:kern w:val="0"/>
          <w:sz w:val="32"/>
          <w:szCs w:val="32"/>
          <w:highlight w:val="none"/>
        </w:rPr>
      </w:pPr>
    </w:p>
    <w:p w14:paraId="48FD6C8F">
      <w:pPr>
        <w:ind w:firstLine="643"/>
        <w:jc w:val="center"/>
        <w:rPr>
          <w:rFonts w:hint="eastAsia" w:ascii="仿宋_GB2312" w:hAnsi="仿宋" w:eastAsia="仿宋_GB2312" w:cs="仿宋_GB2312"/>
          <w:b/>
          <w:color w:val="auto"/>
          <w:kern w:val="0"/>
          <w:sz w:val="32"/>
          <w:szCs w:val="32"/>
          <w:highlight w:val="none"/>
        </w:rPr>
        <w:sectPr>
          <w:pgSz w:w="11906" w:h="16838"/>
          <w:pgMar w:top="1474" w:right="1134" w:bottom="1134" w:left="1474" w:header="851" w:footer="992" w:gutter="0"/>
          <w:cols w:space="720" w:num="1"/>
          <w:titlePg/>
          <w:docGrid w:linePitch="312" w:charSpace="0"/>
        </w:sectPr>
      </w:pPr>
    </w:p>
    <w:p w14:paraId="5A0A7BBC">
      <w:pPr>
        <w:ind w:firstLine="420"/>
        <w:jc w:val="center"/>
        <w:outlineLvl w:val="1"/>
        <w:rPr>
          <w:rFonts w:hint="eastAsia" w:ascii="微软雅黑" w:hAnsi="微软雅黑" w:cs="仿宋_GB2312"/>
          <w:b/>
          <w:color w:val="auto"/>
          <w:kern w:val="0"/>
          <w:szCs w:val="21"/>
          <w:highlight w:val="none"/>
        </w:rPr>
      </w:pPr>
      <w:bookmarkStart w:id="271" w:name="_Toc17270"/>
      <w:r>
        <w:rPr>
          <w:rFonts w:hint="eastAsia" w:ascii="微软雅黑" w:hAnsi="微软雅黑" w:cs="仿宋_GB2312"/>
          <w:b/>
          <w:color w:val="auto"/>
          <w:kern w:val="0"/>
          <w:szCs w:val="21"/>
          <w:highlight w:val="none"/>
        </w:rPr>
        <w:t>五、评分对应表</w:t>
      </w:r>
      <w:bookmarkEnd w:id="271"/>
    </w:p>
    <w:tbl>
      <w:tblPr>
        <w:tblStyle w:val="54"/>
        <w:tblW w:w="937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888"/>
        <w:gridCol w:w="3060"/>
        <w:gridCol w:w="2429"/>
      </w:tblGrid>
      <w:tr w14:paraId="61736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888" w:type="dxa"/>
            <w:tcBorders>
              <w:top w:val="single" w:color="auto" w:sz="4" w:space="0"/>
              <w:left w:val="single" w:color="auto" w:sz="4" w:space="0"/>
              <w:bottom w:val="single" w:color="auto" w:sz="4" w:space="0"/>
              <w:right w:val="single" w:color="auto" w:sz="4" w:space="0"/>
            </w:tcBorders>
            <w:vAlign w:val="center"/>
          </w:tcPr>
          <w:p w14:paraId="3E78D263">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评分项目</w:t>
            </w:r>
          </w:p>
        </w:tc>
        <w:tc>
          <w:tcPr>
            <w:tcW w:w="3060" w:type="dxa"/>
            <w:tcBorders>
              <w:top w:val="single" w:color="auto" w:sz="4" w:space="0"/>
              <w:left w:val="single" w:color="auto" w:sz="4" w:space="0"/>
              <w:bottom w:val="single" w:color="auto" w:sz="4" w:space="0"/>
              <w:right w:val="single" w:color="auto" w:sz="4" w:space="0"/>
            </w:tcBorders>
            <w:vAlign w:val="center"/>
          </w:tcPr>
          <w:p w14:paraId="0617870B">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投标文件对应资料</w:t>
            </w:r>
          </w:p>
        </w:tc>
        <w:tc>
          <w:tcPr>
            <w:tcW w:w="2429" w:type="dxa"/>
            <w:tcBorders>
              <w:top w:val="single" w:color="auto" w:sz="4" w:space="0"/>
              <w:left w:val="single" w:color="auto" w:sz="4" w:space="0"/>
              <w:bottom w:val="single" w:color="auto" w:sz="4" w:space="0"/>
              <w:right w:val="single" w:color="auto" w:sz="4" w:space="0"/>
            </w:tcBorders>
            <w:vAlign w:val="center"/>
          </w:tcPr>
          <w:p w14:paraId="7805E967">
            <w:pPr>
              <w:snapToGrid w:val="0"/>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投标文件中的页码位置</w:t>
            </w:r>
          </w:p>
        </w:tc>
      </w:tr>
      <w:tr w14:paraId="107CB0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7ACEBCD">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对应第四章评分办法及评分标准</w:t>
            </w:r>
          </w:p>
          <w:p w14:paraId="7C3382A5">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（报价除外）</w:t>
            </w:r>
          </w:p>
        </w:tc>
        <w:tc>
          <w:tcPr>
            <w:tcW w:w="3060" w:type="dxa"/>
            <w:tcBorders>
              <w:top w:val="single" w:color="auto" w:sz="4" w:space="0"/>
              <w:left w:val="single" w:color="auto" w:sz="4" w:space="0"/>
              <w:bottom w:val="single" w:color="auto" w:sz="4" w:space="0"/>
              <w:right w:val="single" w:color="auto" w:sz="4" w:space="0"/>
            </w:tcBorders>
          </w:tcPr>
          <w:p w14:paraId="2BF45DB7">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0C2E5310">
            <w:pPr>
              <w:snapToGrid w:val="0"/>
              <w:spacing w:line="240" w:lineRule="auto"/>
              <w:ind w:firstLine="0" w:firstLineChars="0"/>
              <w:rPr>
                <w:rFonts w:hint="eastAsia" w:ascii="微软雅黑" w:hAnsi="微软雅黑"/>
                <w:color w:val="auto"/>
                <w:szCs w:val="21"/>
                <w:highlight w:val="none"/>
              </w:rPr>
            </w:pPr>
          </w:p>
        </w:tc>
      </w:tr>
      <w:tr w14:paraId="01E55D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1A08260">
            <w:pPr>
              <w:spacing w:line="240" w:lineRule="auto"/>
              <w:ind w:firstLine="0" w:firstLineChars="0"/>
              <w:jc w:val="center"/>
              <w:rPr>
                <w:rFonts w:hint="eastAsia" w:ascii="微软雅黑" w:hAnsi="微软雅黑" w:cs="宋体"/>
                <w:color w:val="auto"/>
                <w:szCs w:val="21"/>
                <w:highlight w:val="none"/>
              </w:rPr>
            </w:pPr>
            <w:r>
              <w:rPr>
                <w:rFonts w:hint="eastAsia" w:ascii="微软雅黑" w:hAnsi="微软雅黑" w:cs="宋体"/>
                <w:color w:val="auto"/>
                <w:szCs w:val="21"/>
                <w:highlight w:val="none"/>
              </w:rPr>
              <w:t>……</w:t>
            </w:r>
          </w:p>
        </w:tc>
        <w:tc>
          <w:tcPr>
            <w:tcW w:w="3060" w:type="dxa"/>
            <w:tcBorders>
              <w:top w:val="single" w:color="auto" w:sz="4" w:space="0"/>
              <w:left w:val="single" w:color="auto" w:sz="4" w:space="0"/>
              <w:bottom w:val="single" w:color="auto" w:sz="4" w:space="0"/>
              <w:right w:val="single" w:color="auto" w:sz="4" w:space="0"/>
            </w:tcBorders>
          </w:tcPr>
          <w:p w14:paraId="66512356">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10D15B08">
            <w:pPr>
              <w:snapToGrid w:val="0"/>
              <w:spacing w:line="240" w:lineRule="auto"/>
              <w:ind w:firstLine="0" w:firstLineChars="0"/>
              <w:rPr>
                <w:rFonts w:hint="eastAsia" w:ascii="微软雅黑" w:hAnsi="微软雅黑"/>
                <w:color w:val="auto"/>
                <w:szCs w:val="21"/>
                <w:highlight w:val="none"/>
              </w:rPr>
            </w:pPr>
          </w:p>
        </w:tc>
      </w:tr>
      <w:tr w14:paraId="04BEF3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41282294">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76B2F972">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2652383C">
            <w:pPr>
              <w:snapToGrid w:val="0"/>
              <w:spacing w:line="240" w:lineRule="auto"/>
              <w:ind w:firstLine="0" w:firstLineChars="0"/>
              <w:rPr>
                <w:rFonts w:hint="eastAsia" w:ascii="微软雅黑" w:hAnsi="微软雅黑"/>
                <w:color w:val="auto"/>
                <w:szCs w:val="21"/>
                <w:highlight w:val="none"/>
              </w:rPr>
            </w:pPr>
          </w:p>
        </w:tc>
      </w:tr>
      <w:tr w14:paraId="7E2498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0B49C80F">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136D285">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42BCA644">
            <w:pPr>
              <w:snapToGrid w:val="0"/>
              <w:spacing w:line="240" w:lineRule="auto"/>
              <w:ind w:firstLine="0" w:firstLineChars="0"/>
              <w:rPr>
                <w:rFonts w:hint="eastAsia" w:ascii="微软雅黑" w:hAnsi="微软雅黑"/>
                <w:color w:val="auto"/>
                <w:szCs w:val="21"/>
                <w:highlight w:val="none"/>
              </w:rPr>
            </w:pPr>
          </w:p>
        </w:tc>
      </w:tr>
      <w:tr w14:paraId="314F50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1307A4C">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EEBF528">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38F41E75">
            <w:pPr>
              <w:snapToGrid w:val="0"/>
              <w:spacing w:line="240" w:lineRule="auto"/>
              <w:ind w:firstLine="0" w:firstLineChars="0"/>
              <w:rPr>
                <w:rFonts w:hint="eastAsia" w:ascii="微软雅黑" w:hAnsi="微软雅黑"/>
                <w:color w:val="auto"/>
                <w:szCs w:val="21"/>
                <w:highlight w:val="none"/>
              </w:rPr>
            </w:pPr>
          </w:p>
        </w:tc>
      </w:tr>
      <w:tr w14:paraId="0EF389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1F7171A3">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4D1290D4">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7286F149">
            <w:pPr>
              <w:snapToGrid w:val="0"/>
              <w:spacing w:line="240" w:lineRule="auto"/>
              <w:ind w:firstLine="0" w:firstLineChars="0"/>
              <w:rPr>
                <w:rFonts w:hint="eastAsia" w:ascii="微软雅黑" w:hAnsi="微软雅黑"/>
                <w:color w:val="auto"/>
                <w:szCs w:val="21"/>
                <w:highlight w:val="none"/>
              </w:rPr>
            </w:pPr>
          </w:p>
        </w:tc>
      </w:tr>
      <w:tr w14:paraId="20235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3C68C751">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55A36762">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7C9ED869">
            <w:pPr>
              <w:snapToGrid w:val="0"/>
              <w:spacing w:line="240" w:lineRule="auto"/>
              <w:ind w:firstLine="0" w:firstLineChars="0"/>
              <w:rPr>
                <w:rFonts w:hint="eastAsia" w:ascii="微软雅黑" w:hAnsi="微软雅黑"/>
                <w:color w:val="auto"/>
                <w:szCs w:val="21"/>
                <w:highlight w:val="none"/>
              </w:rPr>
            </w:pPr>
          </w:p>
        </w:tc>
      </w:tr>
      <w:tr w14:paraId="0E0E7E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6B1BBF9">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32C25093">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47E169F1">
            <w:pPr>
              <w:snapToGrid w:val="0"/>
              <w:spacing w:line="240" w:lineRule="auto"/>
              <w:ind w:firstLine="0" w:firstLineChars="0"/>
              <w:rPr>
                <w:rFonts w:hint="eastAsia" w:ascii="微软雅黑" w:hAnsi="微软雅黑"/>
                <w:color w:val="auto"/>
                <w:szCs w:val="21"/>
                <w:highlight w:val="none"/>
              </w:rPr>
            </w:pPr>
          </w:p>
        </w:tc>
      </w:tr>
      <w:tr w14:paraId="6C1F34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888" w:type="dxa"/>
            <w:tcBorders>
              <w:top w:val="single" w:color="auto" w:sz="4" w:space="0"/>
              <w:left w:val="single" w:color="auto" w:sz="4" w:space="0"/>
              <w:bottom w:val="single" w:color="auto" w:sz="4" w:space="0"/>
              <w:right w:val="single" w:color="auto" w:sz="4" w:space="0"/>
            </w:tcBorders>
          </w:tcPr>
          <w:p w14:paraId="2D293341">
            <w:pPr>
              <w:snapToGrid w:val="0"/>
              <w:spacing w:line="240" w:lineRule="auto"/>
              <w:ind w:firstLine="0" w:firstLineChars="0"/>
              <w:rPr>
                <w:rFonts w:hint="eastAsia" w:ascii="微软雅黑" w:hAnsi="微软雅黑"/>
                <w:color w:val="auto"/>
                <w:szCs w:val="21"/>
                <w:highlight w:val="none"/>
              </w:rPr>
            </w:pPr>
          </w:p>
        </w:tc>
        <w:tc>
          <w:tcPr>
            <w:tcW w:w="3060" w:type="dxa"/>
            <w:tcBorders>
              <w:top w:val="single" w:color="auto" w:sz="4" w:space="0"/>
              <w:left w:val="single" w:color="auto" w:sz="4" w:space="0"/>
              <w:bottom w:val="single" w:color="auto" w:sz="4" w:space="0"/>
              <w:right w:val="single" w:color="auto" w:sz="4" w:space="0"/>
            </w:tcBorders>
          </w:tcPr>
          <w:p w14:paraId="6D4BF2FD">
            <w:pPr>
              <w:snapToGrid w:val="0"/>
              <w:spacing w:line="240" w:lineRule="auto"/>
              <w:ind w:firstLine="0" w:firstLineChars="0"/>
              <w:rPr>
                <w:rFonts w:hint="eastAsia" w:ascii="微软雅黑" w:hAnsi="微软雅黑"/>
                <w:color w:val="auto"/>
                <w:szCs w:val="21"/>
                <w:highlight w:val="none"/>
              </w:rPr>
            </w:pPr>
          </w:p>
        </w:tc>
        <w:tc>
          <w:tcPr>
            <w:tcW w:w="2429" w:type="dxa"/>
            <w:tcBorders>
              <w:top w:val="single" w:color="auto" w:sz="4" w:space="0"/>
              <w:left w:val="single" w:color="auto" w:sz="4" w:space="0"/>
              <w:bottom w:val="single" w:color="auto" w:sz="4" w:space="0"/>
              <w:right w:val="single" w:color="auto" w:sz="4" w:space="0"/>
            </w:tcBorders>
          </w:tcPr>
          <w:p w14:paraId="313E9BE7">
            <w:pPr>
              <w:snapToGrid w:val="0"/>
              <w:spacing w:line="240" w:lineRule="auto"/>
              <w:ind w:firstLine="0" w:firstLineChars="0"/>
              <w:rPr>
                <w:rFonts w:hint="eastAsia" w:ascii="微软雅黑" w:hAnsi="微软雅黑"/>
                <w:color w:val="auto"/>
                <w:szCs w:val="21"/>
                <w:highlight w:val="none"/>
              </w:rPr>
            </w:pPr>
          </w:p>
        </w:tc>
      </w:tr>
    </w:tbl>
    <w:p w14:paraId="2177233D">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13629127">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1C5D2324">
      <w:pPr>
        <w:pStyle w:val="122"/>
        <w:ind w:firstLine="420"/>
        <w:jc w:val="center"/>
        <w:rPr>
          <w:rFonts w:hint="eastAsia" w:ascii="微软雅黑" w:hAnsi="微软雅黑" w:eastAsia="微软雅黑" w:cs="仿宋_GB2312"/>
          <w:b/>
          <w:color w:val="auto"/>
          <w:kern w:val="0"/>
          <w:sz w:val="21"/>
          <w:szCs w:val="21"/>
          <w:highlight w:val="none"/>
        </w:rPr>
      </w:pPr>
      <w:r>
        <w:rPr>
          <w:rFonts w:hint="eastAsia" w:ascii="微软雅黑" w:hAnsi="微软雅黑" w:eastAsia="微软雅黑"/>
          <w:color w:val="auto"/>
          <w:sz w:val="21"/>
          <w:szCs w:val="21"/>
          <w:highlight w:val="none"/>
        </w:rPr>
        <w:t xml:space="preserve">          日期： 年 月 日</w:t>
      </w:r>
    </w:p>
    <w:p w14:paraId="656FD9E6">
      <w:pPr>
        <w:ind w:firstLine="420"/>
        <w:jc w:val="center"/>
        <w:rPr>
          <w:rFonts w:hint="eastAsia" w:ascii="微软雅黑" w:hAnsi="微软雅黑" w:cs="仿宋_GB2312"/>
          <w:b/>
          <w:color w:val="auto"/>
          <w:kern w:val="0"/>
          <w:szCs w:val="21"/>
          <w:highlight w:val="none"/>
        </w:rPr>
      </w:pPr>
    </w:p>
    <w:p w14:paraId="51B69F39">
      <w:pPr>
        <w:ind w:firstLine="420"/>
        <w:jc w:val="center"/>
        <w:rPr>
          <w:rFonts w:hint="eastAsia" w:ascii="微软雅黑" w:hAnsi="微软雅黑" w:cs="仿宋_GB2312"/>
          <w:b/>
          <w:color w:val="auto"/>
          <w:kern w:val="0"/>
          <w:szCs w:val="21"/>
          <w:highlight w:val="none"/>
        </w:rPr>
        <w:sectPr>
          <w:type w:val="nextColumn"/>
          <w:pgSz w:w="11906" w:h="16838"/>
          <w:pgMar w:top="1474" w:right="1134" w:bottom="1134" w:left="1474" w:header="851" w:footer="992" w:gutter="0"/>
          <w:cols w:space="720" w:num="1"/>
          <w:titlePg/>
          <w:docGrid w:linePitch="312" w:charSpace="0"/>
        </w:sectPr>
      </w:pPr>
    </w:p>
    <w:p w14:paraId="27B0930D">
      <w:pPr>
        <w:ind w:firstLine="420"/>
        <w:jc w:val="center"/>
        <w:outlineLvl w:val="1"/>
        <w:rPr>
          <w:rFonts w:hint="eastAsia" w:ascii="微软雅黑" w:hAnsi="微软雅黑"/>
          <w:color w:val="auto"/>
          <w:szCs w:val="21"/>
          <w:highlight w:val="none"/>
        </w:rPr>
      </w:pPr>
      <w:bookmarkStart w:id="272" w:name="_Toc8171"/>
      <w:r>
        <w:rPr>
          <w:rFonts w:hint="eastAsia" w:ascii="微软雅黑" w:hAnsi="微软雅黑" w:cs="仿宋_GB2312"/>
          <w:b/>
          <w:color w:val="auto"/>
          <w:kern w:val="0"/>
          <w:szCs w:val="21"/>
          <w:highlight w:val="none"/>
        </w:rPr>
        <w:t>六、评标标准相应的商务技术资料</w:t>
      </w:r>
      <w:bookmarkEnd w:id="272"/>
    </w:p>
    <w:p w14:paraId="65086C5C">
      <w:pPr>
        <w:widowControl/>
        <w:ind w:firstLine="425" w:firstLineChars="152"/>
        <w:rPr>
          <w:rFonts w:hint="eastAsia" w:ascii="微软雅黑" w:hAnsi="微软雅黑"/>
          <w:color w:val="auto"/>
          <w:sz w:val="28"/>
          <w:szCs w:val="28"/>
          <w:highlight w:val="none"/>
          <w:shd w:val="pct10" w:color="auto" w:fill="FFFFFF"/>
        </w:rPr>
      </w:pPr>
      <w:r>
        <w:rPr>
          <w:rFonts w:ascii="微软雅黑" w:hAnsi="微软雅黑" w:cs="sans-serif"/>
          <w:color w:val="auto"/>
          <w:kern w:val="0"/>
          <w:sz w:val="28"/>
          <w:szCs w:val="28"/>
          <w:highlight w:val="none"/>
          <w:shd w:val="pct10" w:color="auto" w:fill="FFFFFF"/>
        </w:rPr>
        <w:t>（</w:t>
      </w:r>
      <w:r>
        <w:rPr>
          <w:rFonts w:hint="eastAsia" w:ascii="微软雅黑" w:hAnsi="微软雅黑" w:cs="sans-serif"/>
          <w:color w:val="auto"/>
          <w:kern w:val="0"/>
          <w:sz w:val="28"/>
          <w:szCs w:val="28"/>
          <w:highlight w:val="none"/>
          <w:shd w:val="pct10" w:color="auto" w:fill="FFFFFF"/>
        </w:rPr>
        <w:t>各投标单价</w:t>
      </w:r>
      <w:r>
        <w:rPr>
          <w:rFonts w:ascii="微软雅黑" w:hAnsi="微软雅黑" w:cs="sans-serif"/>
          <w:color w:val="auto"/>
          <w:kern w:val="0"/>
          <w:sz w:val="28"/>
          <w:szCs w:val="28"/>
          <w:highlight w:val="none"/>
          <w:shd w:val="pct10" w:color="auto" w:fill="FFFFFF"/>
        </w:rPr>
        <w:t>根据采购需求、评标办法及标准要求</w:t>
      </w:r>
      <w:r>
        <w:rPr>
          <w:rFonts w:hint="eastAsia" w:ascii="微软雅黑" w:hAnsi="微软雅黑" w:cs="sans-serif"/>
          <w:color w:val="auto"/>
          <w:kern w:val="0"/>
          <w:sz w:val="28"/>
          <w:szCs w:val="28"/>
          <w:highlight w:val="none"/>
          <w:shd w:val="pct10" w:color="auto" w:fill="FFFFFF"/>
        </w:rPr>
        <w:t>自行选取</w:t>
      </w:r>
      <w:r>
        <w:rPr>
          <w:rFonts w:ascii="微软雅黑" w:hAnsi="微软雅黑" w:cs="sans-serif"/>
          <w:color w:val="auto"/>
          <w:kern w:val="0"/>
          <w:sz w:val="28"/>
          <w:szCs w:val="28"/>
          <w:highlight w:val="none"/>
          <w:shd w:val="pct10" w:color="auto" w:fill="FFFFFF"/>
        </w:rPr>
        <w:t>提供，除以下投标文件格式外相关资料由供应商自拟。）</w:t>
      </w:r>
    </w:p>
    <w:p w14:paraId="16F26BB9">
      <w:pPr>
        <w:pStyle w:val="122"/>
        <w:ind w:firstLine="482"/>
        <w:jc w:val="both"/>
        <w:rPr>
          <w:rFonts w:ascii="Times New Roman" w:hAnsi="Times New Roman" w:eastAsia="宋体"/>
          <w:b/>
          <w:color w:val="auto"/>
          <w:sz w:val="24"/>
          <w:szCs w:val="24"/>
          <w:highlight w:val="none"/>
        </w:rPr>
      </w:pPr>
    </w:p>
    <w:p w14:paraId="6C4FB209">
      <w:pPr>
        <w:pStyle w:val="122"/>
        <w:ind w:firstLine="420"/>
        <w:jc w:val="both"/>
        <w:rPr>
          <w:rFonts w:hint="eastAsia" w:ascii="微软雅黑" w:hAnsi="微软雅黑" w:eastAsia="微软雅黑"/>
          <w:color w:val="auto"/>
          <w:sz w:val="21"/>
          <w:szCs w:val="21"/>
          <w:highlight w:val="none"/>
        </w:rPr>
      </w:pPr>
      <w:r>
        <w:rPr>
          <w:rFonts w:hint="eastAsia" w:ascii="微软雅黑" w:hAnsi="微软雅黑" w:eastAsia="微软雅黑"/>
          <w:b/>
          <w:color w:val="auto"/>
          <w:sz w:val="21"/>
          <w:szCs w:val="21"/>
          <w:highlight w:val="none"/>
        </w:rPr>
        <w:t>1.同类项目业绩一览表</w:t>
      </w:r>
    </w:p>
    <w:p w14:paraId="4C3C8E3E">
      <w:pPr>
        <w:pStyle w:val="122"/>
        <w:ind w:firstLine="420"/>
        <w:jc w:val="center"/>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同类项目业绩一览表</w:t>
      </w:r>
    </w:p>
    <w:tbl>
      <w:tblPr>
        <w:tblStyle w:val="54"/>
        <w:tblW w:w="96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3"/>
        <w:gridCol w:w="1578"/>
        <w:gridCol w:w="2003"/>
        <w:gridCol w:w="1798"/>
        <w:gridCol w:w="1291"/>
        <w:gridCol w:w="2193"/>
      </w:tblGrid>
      <w:tr w14:paraId="3C9B7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833" w:type="dxa"/>
            <w:vAlign w:val="center"/>
          </w:tcPr>
          <w:p w14:paraId="0FA45C1C">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序号</w:t>
            </w:r>
          </w:p>
        </w:tc>
        <w:tc>
          <w:tcPr>
            <w:tcW w:w="1578" w:type="dxa"/>
            <w:vAlign w:val="center"/>
          </w:tcPr>
          <w:p w14:paraId="3BA549DE">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采购人</w:t>
            </w:r>
          </w:p>
          <w:p w14:paraId="7902947C">
            <w:pPr>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名  称</w:t>
            </w:r>
          </w:p>
        </w:tc>
        <w:tc>
          <w:tcPr>
            <w:tcW w:w="2003" w:type="dxa"/>
            <w:vAlign w:val="center"/>
          </w:tcPr>
          <w:p w14:paraId="2194B2AB">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项目名称</w:t>
            </w:r>
          </w:p>
        </w:tc>
        <w:tc>
          <w:tcPr>
            <w:tcW w:w="1798" w:type="dxa"/>
            <w:vAlign w:val="center"/>
          </w:tcPr>
          <w:p w14:paraId="47E5AD0E">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项目起止时间</w:t>
            </w:r>
          </w:p>
        </w:tc>
        <w:tc>
          <w:tcPr>
            <w:tcW w:w="1291" w:type="dxa"/>
            <w:vAlign w:val="center"/>
          </w:tcPr>
          <w:p w14:paraId="0776FE63">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合同金额</w:t>
            </w:r>
          </w:p>
          <w:p w14:paraId="575F9F9B">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（万元）</w:t>
            </w:r>
          </w:p>
        </w:tc>
        <w:tc>
          <w:tcPr>
            <w:tcW w:w="2193" w:type="dxa"/>
            <w:vAlign w:val="center"/>
          </w:tcPr>
          <w:p w14:paraId="76C4D76D">
            <w:pPr>
              <w:tabs>
                <w:tab w:val="left" w:pos="6252"/>
              </w:tabs>
              <w:spacing w:line="240" w:lineRule="auto"/>
              <w:ind w:firstLine="0" w:firstLineChars="0"/>
              <w:jc w:val="center"/>
              <w:rPr>
                <w:rFonts w:hint="eastAsia" w:ascii="微软雅黑" w:hAnsi="微软雅黑"/>
                <w:b/>
                <w:color w:val="auto"/>
                <w:szCs w:val="21"/>
                <w:highlight w:val="none"/>
              </w:rPr>
            </w:pPr>
            <w:r>
              <w:rPr>
                <w:rFonts w:hint="eastAsia" w:ascii="微软雅黑" w:hAnsi="微软雅黑"/>
                <w:b/>
                <w:color w:val="auto"/>
                <w:szCs w:val="21"/>
                <w:highlight w:val="none"/>
              </w:rPr>
              <w:t>采购人联系人及联系电话</w:t>
            </w:r>
          </w:p>
        </w:tc>
      </w:tr>
      <w:tr w14:paraId="2866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833" w:type="dxa"/>
            <w:vAlign w:val="center"/>
          </w:tcPr>
          <w:p w14:paraId="666478C0">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1</w:t>
            </w:r>
          </w:p>
        </w:tc>
        <w:tc>
          <w:tcPr>
            <w:tcW w:w="1578" w:type="dxa"/>
            <w:vAlign w:val="center"/>
          </w:tcPr>
          <w:p w14:paraId="1337DAD5">
            <w:pPr>
              <w:spacing w:line="240" w:lineRule="auto"/>
              <w:ind w:firstLine="0" w:firstLineChars="0"/>
              <w:jc w:val="center"/>
              <w:rPr>
                <w:rFonts w:hint="eastAsia" w:ascii="微软雅黑" w:hAnsi="微软雅黑"/>
                <w:color w:val="auto"/>
                <w:szCs w:val="21"/>
                <w:highlight w:val="none"/>
              </w:rPr>
            </w:pPr>
          </w:p>
        </w:tc>
        <w:tc>
          <w:tcPr>
            <w:tcW w:w="2003" w:type="dxa"/>
          </w:tcPr>
          <w:p w14:paraId="61E1A7E9">
            <w:pPr>
              <w:spacing w:line="240" w:lineRule="auto"/>
              <w:ind w:firstLine="0" w:firstLineChars="0"/>
              <w:jc w:val="center"/>
              <w:rPr>
                <w:rFonts w:hint="eastAsia" w:ascii="微软雅黑" w:hAnsi="微软雅黑"/>
                <w:color w:val="auto"/>
                <w:szCs w:val="21"/>
                <w:highlight w:val="none"/>
              </w:rPr>
            </w:pPr>
          </w:p>
        </w:tc>
        <w:tc>
          <w:tcPr>
            <w:tcW w:w="1798" w:type="dxa"/>
          </w:tcPr>
          <w:p w14:paraId="02CCBF35">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41581D4B">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5A4A8499">
            <w:pPr>
              <w:spacing w:line="240" w:lineRule="auto"/>
              <w:ind w:firstLine="0" w:firstLineChars="0"/>
              <w:jc w:val="center"/>
              <w:rPr>
                <w:rFonts w:hint="eastAsia" w:ascii="微软雅黑" w:hAnsi="微软雅黑"/>
                <w:color w:val="auto"/>
                <w:szCs w:val="21"/>
                <w:highlight w:val="none"/>
              </w:rPr>
            </w:pPr>
          </w:p>
        </w:tc>
      </w:tr>
      <w:tr w14:paraId="056157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33" w:type="dxa"/>
            <w:vAlign w:val="center"/>
          </w:tcPr>
          <w:p w14:paraId="38F146A1">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2</w:t>
            </w:r>
          </w:p>
        </w:tc>
        <w:tc>
          <w:tcPr>
            <w:tcW w:w="1578" w:type="dxa"/>
            <w:vAlign w:val="center"/>
          </w:tcPr>
          <w:p w14:paraId="02824089">
            <w:pPr>
              <w:spacing w:line="240" w:lineRule="auto"/>
              <w:ind w:firstLine="0" w:firstLineChars="0"/>
              <w:jc w:val="center"/>
              <w:rPr>
                <w:rFonts w:hint="eastAsia" w:ascii="微软雅黑" w:hAnsi="微软雅黑"/>
                <w:color w:val="auto"/>
                <w:szCs w:val="21"/>
                <w:highlight w:val="none"/>
              </w:rPr>
            </w:pPr>
          </w:p>
        </w:tc>
        <w:tc>
          <w:tcPr>
            <w:tcW w:w="2003" w:type="dxa"/>
          </w:tcPr>
          <w:p w14:paraId="359EB3E3">
            <w:pPr>
              <w:spacing w:line="240" w:lineRule="auto"/>
              <w:ind w:firstLine="0" w:firstLineChars="0"/>
              <w:jc w:val="center"/>
              <w:rPr>
                <w:rFonts w:hint="eastAsia" w:ascii="微软雅黑" w:hAnsi="微软雅黑"/>
                <w:color w:val="auto"/>
                <w:szCs w:val="21"/>
                <w:highlight w:val="none"/>
              </w:rPr>
            </w:pPr>
          </w:p>
        </w:tc>
        <w:tc>
          <w:tcPr>
            <w:tcW w:w="1798" w:type="dxa"/>
          </w:tcPr>
          <w:p w14:paraId="2133939C">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1B985CE6">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620B4877">
            <w:pPr>
              <w:spacing w:line="240" w:lineRule="auto"/>
              <w:ind w:firstLine="0" w:firstLineChars="0"/>
              <w:jc w:val="center"/>
              <w:rPr>
                <w:rFonts w:hint="eastAsia" w:ascii="微软雅黑" w:hAnsi="微软雅黑"/>
                <w:color w:val="auto"/>
                <w:szCs w:val="21"/>
                <w:highlight w:val="none"/>
              </w:rPr>
            </w:pPr>
          </w:p>
        </w:tc>
      </w:tr>
      <w:tr w14:paraId="53096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33" w:type="dxa"/>
            <w:vAlign w:val="center"/>
          </w:tcPr>
          <w:p w14:paraId="1F5565A7">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w:t>
            </w:r>
          </w:p>
        </w:tc>
        <w:tc>
          <w:tcPr>
            <w:tcW w:w="1578" w:type="dxa"/>
            <w:vAlign w:val="center"/>
          </w:tcPr>
          <w:p w14:paraId="47AFDCAC">
            <w:pPr>
              <w:spacing w:line="240" w:lineRule="auto"/>
              <w:ind w:firstLine="0" w:firstLineChars="0"/>
              <w:jc w:val="center"/>
              <w:rPr>
                <w:rFonts w:hint="eastAsia" w:ascii="微软雅黑" w:hAnsi="微软雅黑"/>
                <w:color w:val="auto"/>
                <w:szCs w:val="21"/>
                <w:highlight w:val="none"/>
              </w:rPr>
            </w:pPr>
          </w:p>
        </w:tc>
        <w:tc>
          <w:tcPr>
            <w:tcW w:w="2003" w:type="dxa"/>
          </w:tcPr>
          <w:p w14:paraId="2BA22B8D">
            <w:pPr>
              <w:spacing w:line="240" w:lineRule="auto"/>
              <w:ind w:firstLine="0" w:firstLineChars="0"/>
              <w:jc w:val="center"/>
              <w:rPr>
                <w:rFonts w:hint="eastAsia" w:ascii="微软雅黑" w:hAnsi="微软雅黑"/>
                <w:color w:val="auto"/>
                <w:szCs w:val="21"/>
                <w:highlight w:val="none"/>
              </w:rPr>
            </w:pPr>
          </w:p>
        </w:tc>
        <w:tc>
          <w:tcPr>
            <w:tcW w:w="1798" w:type="dxa"/>
          </w:tcPr>
          <w:p w14:paraId="0E631F3C">
            <w:pPr>
              <w:spacing w:line="240" w:lineRule="auto"/>
              <w:ind w:firstLine="0" w:firstLineChars="0"/>
              <w:jc w:val="center"/>
              <w:rPr>
                <w:rFonts w:hint="eastAsia" w:ascii="微软雅黑" w:hAnsi="微软雅黑"/>
                <w:color w:val="auto"/>
                <w:szCs w:val="21"/>
                <w:highlight w:val="none"/>
              </w:rPr>
            </w:pPr>
          </w:p>
        </w:tc>
        <w:tc>
          <w:tcPr>
            <w:tcW w:w="1291" w:type="dxa"/>
            <w:vAlign w:val="center"/>
          </w:tcPr>
          <w:p w14:paraId="7BE1C938">
            <w:pPr>
              <w:spacing w:line="240" w:lineRule="auto"/>
              <w:ind w:firstLine="0" w:firstLineChars="0"/>
              <w:jc w:val="center"/>
              <w:rPr>
                <w:rFonts w:hint="eastAsia" w:ascii="微软雅黑" w:hAnsi="微软雅黑"/>
                <w:color w:val="auto"/>
                <w:szCs w:val="21"/>
                <w:highlight w:val="none"/>
              </w:rPr>
            </w:pPr>
          </w:p>
        </w:tc>
        <w:tc>
          <w:tcPr>
            <w:tcW w:w="2193" w:type="dxa"/>
            <w:vAlign w:val="center"/>
          </w:tcPr>
          <w:p w14:paraId="14167B4D">
            <w:pPr>
              <w:spacing w:line="240" w:lineRule="auto"/>
              <w:ind w:firstLine="0" w:firstLineChars="0"/>
              <w:jc w:val="center"/>
              <w:rPr>
                <w:rFonts w:hint="eastAsia" w:ascii="微软雅黑" w:hAnsi="微软雅黑"/>
                <w:color w:val="auto"/>
                <w:szCs w:val="21"/>
                <w:highlight w:val="none"/>
              </w:rPr>
            </w:pPr>
          </w:p>
        </w:tc>
      </w:tr>
    </w:tbl>
    <w:p w14:paraId="7EE8227A">
      <w:pPr>
        <w:pStyle w:val="122"/>
        <w:ind w:firstLine="420"/>
        <w:jc w:val="center"/>
        <w:rPr>
          <w:rFonts w:hint="eastAsia" w:ascii="微软雅黑" w:hAnsi="微软雅黑" w:eastAsia="微软雅黑"/>
          <w:b/>
          <w:color w:val="auto"/>
          <w:sz w:val="21"/>
          <w:szCs w:val="21"/>
          <w:highlight w:val="none"/>
        </w:rPr>
      </w:pPr>
    </w:p>
    <w:p w14:paraId="4598105C">
      <w:pPr>
        <w:snapToGrid w:val="0"/>
        <w:spacing w:before="120" w:beforeLines="50" w:line="400" w:lineRule="exact"/>
        <w:ind w:firstLine="420"/>
        <w:rPr>
          <w:rFonts w:hint="eastAsia" w:ascii="微软雅黑" w:hAnsi="微软雅黑" w:eastAsia="微软雅黑"/>
          <w:b/>
          <w:color w:val="auto"/>
          <w:szCs w:val="21"/>
          <w:highlight w:val="none"/>
          <w:lang w:eastAsia="zh-CN"/>
        </w:rPr>
      </w:pPr>
      <w:r>
        <w:rPr>
          <w:rFonts w:hint="eastAsia" w:ascii="微软雅黑" w:hAnsi="微软雅黑"/>
          <w:b/>
          <w:color w:val="auto"/>
          <w:szCs w:val="21"/>
          <w:highlight w:val="none"/>
        </w:rPr>
        <w:t>注：</w:t>
      </w:r>
      <w:r>
        <w:rPr>
          <w:rFonts w:hint="eastAsia" w:ascii="微软雅黑" w:hAnsi="微软雅黑"/>
          <w:color w:val="auto"/>
          <w:szCs w:val="21"/>
          <w:highlight w:val="none"/>
        </w:rPr>
        <w:t>合同复印件</w:t>
      </w:r>
      <w:r>
        <w:rPr>
          <w:rFonts w:hint="eastAsia" w:ascii="微软雅黑" w:hAnsi="微软雅黑"/>
          <w:color w:val="auto"/>
          <w:szCs w:val="21"/>
          <w:highlight w:val="none"/>
          <w:lang w:eastAsia="zh-CN"/>
        </w:rPr>
        <w:t>做在投标文件中</w:t>
      </w:r>
    </w:p>
    <w:p w14:paraId="13F97F8E">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3A524F2E">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7F7CE0A7">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2E0855FC">
      <w:pPr>
        <w:snapToGrid w:val="0"/>
        <w:spacing w:before="120" w:beforeLines="50" w:after="50" w:line="400" w:lineRule="exact"/>
        <w:ind w:firstLine="240" w:firstLineChars="100"/>
        <w:rPr>
          <w:color w:val="auto"/>
          <w:sz w:val="24"/>
          <w:highlight w:val="none"/>
        </w:rPr>
      </w:pPr>
    </w:p>
    <w:p w14:paraId="59EE2ADA">
      <w:pPr>
        <w:rPr>
          <w:b/>
          <w:color w:val="auto"/>
          <w:sz w:val="24"/>
          <w:highlight w:val="none"/>
        </w:rPr>
        <w:sectPr>
          <w:type w:val="nextColumn"/>
          <w:pgSz w:w="11906" w:h="16838"/>
          <w:pgMar w:top="1474" w:right="1134" w:bottom="1134" w:left="1474" w:header="851" w:footer="992" w:gutter="0"/>
          <w:cols w:space="720" w:num="1"/>
          <w:titlePg/>
          <w:docGrid w:linePitch="312" w:charSpace="0"/>
        </w:sectPr>
      </w:pPr>
    </w:p>
    <w:p w14:paraId="68B0373F">
      <w:pPr>
        <w:ind w:firstLine="482"/>
        <w:rPr>
          <w:rFonts w:hint="eastAsia" w:ascii="微软雅黑" w:hAnsi="微软雅黑" w:cs="仿宋_GB2312"/>
          <w:b/>
          <w:color w:val="auto"/>
          <w:kern w:val="0"/>
          <w:szCs w:val="21"/>
          <w:highlight w:val="none"/>
        </w:rPr>
      </w:pPr>
      <w:r>
        <w:rPr>
          <w:rFonts w:hint="eastAsia" w:eastAsia="宋体"/>
          <w:b/>
          <w:color w:val="auto"/>
          <w:sz w:val="24"/>
          <w:highlight w:val="none"/>
        </w:rPr>
        <w:t>2.</w:t>
      </w:r>
      <w:r>
        <w:rPr>
          <w:rFonts w:hint="eastAsia" w:ascii="微软雅黑" w:hAnsi="微软雅黑"/>
          <w:b/>
          <w:color w:val="auto"/>
          <w:szCs w:val="21"/>
          <w:highlight w:val="none"/>
        </w:rPr>
        <w:t>商务响应表格式：</w:t>
      </w:r>
    </w:p>
    <w:p w14:paraId="13A724F9">
      <w:pPr>
        <w:ind w:firstLine="420"/>
        <w:jc w:val="center"/>
        <w:rPr>
          <w:rFonts w:hint="eastAsia" w:ascii="微软雅黑" w:hAnsi="微软雅黑" w:cs="仿宋_GB2312"/>
          <w:b/>
          <w:color w:val="auto"/>
          <w:kern w:val="0"/>
          <w:szCs w:val="21"/>
          <w:highlight w:val="none"/>
        </w:rPr>
      </w:pPr>
      <w:r>
        <w:rPr>
          <w:rFonts w:hint="eastAsia" w:ascii="微软雅黑" w:hAnsi="微软雅黑" w:cs="仿宋_GB2312"/>
          <w:b/>
          <w:color w:val="auto"/>
          <w:kern w:val="0"/>
          <w:szCs w:val="21"/>
          <w:highlight w:val="none"/>
        </w:rPr>
        <w:t>商务响应表</w:t>
      </w:r>
    </w:p>
    <w:tbl>
      <w:tblPr>
        <w:tblStyle w:val="54"/>
        <w:tblW w:w="9026" w:type="dxa"/>
        <w:tblInd w:w="275"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910"/>
        <w:gridCol w:w="3086"/>
        <w:gridCol w:w="3710"/>
        <w:gridCol w:w="1320"/>
      </w:tblGrid>
      <w:tr w14:paraId="291DE2F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0DF5A9CF">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序号</w:t>
            </w:r>
          </w:p>
        </w:tc>
        <w:tc>
          <w:tcPr>
            <w:tcW w:w="3086" w:type="dxa"/>
          </w:tcPr>
          <w:p w14:paraId="097389B4">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招标文件的规定</w:t>
            </w:r>
          </w:p>
        </w:tc>
        <w:tc>
          <w:tcPr>
            <w:tcW w:w="3710" w:type="dxa"/>
          </w:tcPr>
          <w:p w14:paraId="065503DE">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投标文件的响应</w:t>
            </w:r>
          </w:p>
        </w:tc>
        <w:tc>
          <w:tcPr>
            <w:tcW w:w="1320" w:type="dxa"/>
          </w:tcPr>
          <w:p w14:paraId="373828BC">
            <w:pPr>
              <w:spacing w:line="240" w:lineRule="auto"/>
              <w:ind w:firstLine="0" w:firstLineChars="0"/>
              <w:jc w:val="center"/>
              <w:rPr>
                <w:rFonts w:hint="eastAsia" w:ascii="微软雅黑" w:hAnsi="微软雅黑"/>
                <w:color w:val="auto"/>
                <w:szCs w:val="21"/>
                <w:highlight w:val="none"/>
              </w:rPr>
            </w:pPr>
            <w:r>
              <w:rPr>
                <w:rFonts w:hint="eastAsia" w:ascii="微软雅黑" w:hAnsi="微软雅黑"/>
                <w:color w:val="auto"/>
                <w:szCs w:val="21"/>
                <w:highlight w:val="none"/>
              </w:rPr>
              <w:t>偏离说明</w:t>
            </w:r>
          </w:p>
        </w:tc>
      </w:tr>
      <w:tr w14:paraId="0C5B7BD2">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49929424">
            <w:pPr>
              <w:spacing w:line="240" w:lineRule="auto"/>
              <w:ind w:firstLine="0" w:firstLineChars="0"/>
              <w:rPr>
                <w:rFonts w:hint="eastAsia" w:ascii="微软雅黑" w:hAnsi="微软雅黑"/>
                <w:color w:val="auto"/>
                <w:szCs w:val="21"/>
                <w:highlight w:val="none"/>
              </w:rPr>
            </w:pPr>
          </w:p>
        </w:tc>
        <w:tc>
          <w:tcPr>
            <w:tcW w:w="3086" w:type="dxa"/>
          </w:tcPr>
          <w:p w14:paraId="76386F04">
            <w:pPr>
              <w:spacing w:line="240" w:lineRule="auto"/>
              <w:ind w:firstLine="0" w:firstLineChars="0"/>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服务期限</w:t>
            </w:r>
          </w:p>
        </w:tc>
        <w:tc>
          <w:tcPr>
            <w:tcW w:w="3710" w:type="dxa"/>
          </w:tcPr>
          <w:p w14:paraId="3B661AF7">
            <w:pPr>
              <w:spacing w:line="240" w:lineRule="auto"/>
              <w:ind w:firstLine="0" w:firstLineChars="0"/>
              <w:rPr>
                <w:rFonts w:hint="eastAsia" w:ascii="微软雅黑" w:hAnsi="微软雅黑"/>
                <w:color w:val="auto"/>
                <w:szCs w:val="21"/>
                <w:highlight w:val="none"/>
              </w:rPr>
            </w:pPr>
          </w:p>
        </w:tc>
        <w:tc>
          <w:tcPr>
            <w:tcW w:w="1320" w:type="dxa"/>
          </w:tcPr>
          <w:p w14:paraId="6EC796F3">
            <w:pPr>
              <w:spacing w:line="240" w:lineRule="auto"/>
              <w:ind w:firstLine="0" w:firstLineChars="0"/>
              <w:rPr>
                <w:rFonts w:hint="eastAsia" w:ascii="微软雅黑" w:hAnsi="微软雅黑"/>
                <w:color w:val="auto"/>
                <w:szCs w:val="21"/>
                <w:highlight w:val="none"/>
              </w:rPr>
            </w:pPr>
          </w:p>
        </w:tc>
      </w:tr>
      <w:tr w14:paraId="6A3E91E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910" w:type="dxa"/>
          </w:tcPr>
          <w:p w14:paraId="72715451">
            <w:pPr>
              <w:spacing w:line="240" w:lineRule="auto"/>
              <w:ind w:firstLine="0" w:firstLineChars="0"/>
              <w:rPr>
                <w:rFonts w:hint="eastAsia" w:ascii="微软雅黑" w:hAnsi="微软雅黑"/>
                <w:color w:val="auto"/>
                <w:szCs w:val="21"/>
                <w:highlight w:val="none"/>
              </w:rPr>
            </w:pPr>
          </w:p>
        </w:tc>
        <w:tc>
          <w:tcPr>
            <w:tcW w:w="3086" w:type="dxa"/>
          </w:tcPr>
          <w:p w14:paraId="0EC6DD31">
            <w:pPr>
              <w:spacing w:line="240" w:lineRule="auto"/>
              <w:ind w:firstLine="0" w:firstLineChars="0"/>
              <w:rPr>
                <w:rFonts w:hint="default" w:ascii="微软雅黑" w:hAnsi="微软雅黑" w:eastAsia="微软雅黑"/>
                <w:color w:val="auto"/>
                <w:szCs w:val="21"/>
                <w:highlight w:val="none"/>
                <w:lang w:val="en-US" w:eastAsia="zh-CN"/>
              </w:rPr>
            </w:pPr>
            <w:r>
              <w:rPr>
                <w:rFonts w:hint="eastAsia" w:ascii="微软雅黑" w:hAnsi="微软雅黑"/>
                <w:color w:val="auto"/>
                <w:szCs w:val="21"/>
                <w:highlight w:val="none"/>
                <w:lang w:val="en-US" w:eastAsia="zh-CN"/>
              </w:rPr>
              <w:t>付款方式</w:t>
            </w:r>
          </w:p>
        </w:tc>
        <w:tc>
          <w:tcPr>
            <w:tcW w:w="3710" w:type="dxa"/>
          </w:tcPr>
          <w:p w14:paraId="0D75A094">
            <w:pPr>
              <w:spacing w:line="240" w:lineRule="auto"/>
              <w:ind w:firstLine="0" w:firstLineChars="0"/>
              <w:rPr>
                <w:rFonts w:hint="eastAsia" w:ascii="微软雅黑" w:hAnsi="微软雅黑"/>
                <w:color w:val="auto"/>
                <w:szCs w:val="21"/>
                <w:highlight w:val="none"/>
              </w:rPr>
            </w:pPr>
          </w:p>
        </w:tc>
        <w:tc>
          <w:tcPr>
            <w:tcW w:w="1320" w:type="dxa"/>
          </w:tcPr>
          <w:p w14:paraId="34810661">
            <w:pPr>
              <w:spacing w:line="240" w:lineRule="auto"/>
              <w:ind w:firstLine="0" w:firstLineChars="0"/>
              <w:rPr>
                <w:rFonts w:hint="eastAsia" w:ascii="微软雅黑" w:hAnsi="微软雅黑"/>
                <w:color w:val="auto"/>
                <w:szCs w:val="21"/>
                <w:highlight w:val="none"/>
              </w:rPr>
            </w:pPr>
          </w:p>
        </w:tc>
      </w:tr>
      <w:tr w14:paraId="62C8E4C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10" w:type="dxa"/>
          </w:tcPr>
          <w:p w14:paraId="13158410">
            <w:pPr>
              <w:spacing w:line="240" w:lineRule="auto"/>
              <w:ind w:firstLine="0" w:firstLineChars="0"/>
              <w:rPr>
                <w:rFonts w:hint="eastAsia" w:ascii="微软雅黑" w:hAnsi="微软雅黑"/>
                <w:color w:val="auto"/>
                <w:szCs w:val="21"/>
                <w:highlight w:val="none"/>
              </w:rPr>
            </w:pPr>
          </w:p>
        </w:tc>
        <w:tc>
          <w:tcPr>
            <w:tcW w:w="3086" w:type="dxa"/>
          </w:tcPr>
          <w:p w14:paraId="25BF5AE0">
            <w:pPr>
              <w:spacing w:line="240" w:lineRule="auto"/>
              <w:ind w:firstLine="0" w:firstLineChars="0"/>
              <w:rPr>
                <w:rFonts w:hint="eastAsia" w:ascii="微软雅黑" w:hAnsi="微软雅黑"/>
                <w:color w:val="auto"/>
                <w:szCs w:val="21"/>
                <w:highlight w:val="none"/>
              </w:rPr>
            </w:pPr>
          </w:p>
        </w:tc>
        <w:tc>
          <w:tcPr>
            <w:tcW w:w="3710" w:type="dxa"/>
          </w:tcPr>
          <w:p w14:paraId="7BD82B79">
            <w:pPr>
              <w:spacing w:line="240" w:lineRule="auto"/>
              <w:ind w:firstLine="0" w:firstLineChars="0"/>
              <w:rPr>
                <w:rFonts w:hint="eastAsia" w:ascii="微软雅黑" w:hAnsi="微软雅黑"/>
                <w:color w:val="auto"/>
                <w:szCs w:val="21"/>
                <w:highlight w:val="none"/>
              </w:rPr>
            </w:pPr>
          </w:p>
        </w:tc>
        <w:tc>
          <w:tcPr>
            <w:tcW w:w="1320" w:type="dxa"/>
          </w:tcPr>
          <w:p w14:paraId="04E26AE0">
            <w:pPr>
              <w:spacing w:line="240" w:lineRule="auto"/>
              <w:ind w:firstLine="0" w:firstLineChars="0"/>
              <w:rPr>
                <w:rFonts w:hint="eastAsia" w:ascii="微软雅黑" w:hAnsi="微软雅黑"/>
                <w:color w:val="auto"/>
                <w:szCs w:val="21"/>
                <w:highlight w:val="none"/>
              </w:rPr>
            </w:pPr>
          </w:p>
        </w:tc>
      </w:tr>
    </w:tbl>
    <w:p w14:paraId="61F1CF52">
      <w:pPr>
        <w:ind w:firstLine="420"/>
        <w:rPr>
          <w:rFonts w:hint="eastAsia" w:ascii="微软雅黑" w:hAnsi="微软雅黑"/>
          <w:b/>
          <w:color w:val="auto"/>
          <w:szCs w:val="21"/>
          <w:highlight w:val="none"/>
        </w:rPr>
      </w:pPr>
      <w:r>
        <w:rPr>
          <w:rFonts w:hint="eastAsia" w:ascii="微软雅黑" w:hAnsi="微软雅黑"/>
          <w:b/>
          <w:color w:val="auto"/>
          <w:szCs w:val="21"/>
          <w:highlight w:val="none"/>
        </w:rPr>
        <w:t>注：投标供应商的投标文件（除技术规格部分）与招标文件之规定存在偏离的，应在此表中如实说明。</w:t>
      </w:r>
      <w:r>
        <w:rPr>
          <w:rFonts w:hint="eastAsia" w:ascii="微软雅黑" w:hAnsi="微软雅黑"/>
          <w:b/>
          <w:color w:val="auto"/>
          <w:szCs w:val="21"/>
          <w:highlight w:val="none"/>
          <w:lang w:eastAsia="zh-CN"/>
        </w:rPr>
        <w:t>本表不允许负偏离，</w:t>
      </w:r>
      <w:r>
        <w:rPr>
          <w:rFonts w:hint="eastAsia" w:ascii="微软雅黑" w:hAnsi="微软雅黑"/>
          <w:b/>
          <w:color w:val="auto"/>
          <w:szCs w:val="21"/>
          <w:highlight w:val="none"/>
        </w:rPr>
        <w:t>未在上表中说明的，将被认为完全响应招标文件的规定。</w:t>
      </w:r>
    </w:p>
    <w:p w14:paraId="4F42C74B">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5657723B">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5D654391">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1F4B43E2">
      <w:pPr>
        <w:ind w:firstLine="643"/>
        <w:jc w:val="center"/>
        <w:rPr>
          <w:rFonts w:hint="eastAsia" w:ascii="仿宋_GB2312" w:hAnsi="仿宋" w:eastAsia="仿宋_GB2312" w:cs="仿宋_GB2312"/>
          <w:b/>
          <w:color w:val="auto"/>
          <w:kern w:val="0"/>
          <w:sz w:val="32"/>
          <w:szCs w:val="32"/>
          <w:highlight w:val="none"/>
        </w:rPr>
      </w:pPr>
    </w:p>
    <w:p w14:paraId="7EB7583A">
      <w:pPr>
        <w:ind w:firstLine="643"/>
        <w:jc w:val="center"/>
        <w:rPr>
          <w:rFonts w:hint="eastAsia" w:ascii="仿宋_GB2312" w:hAnsi="仿宋" w:eastAsia="仿宋_GB2312" w:cs="仿宋_GB2312"/>
          <w:b/>
          <w:color w:val="auto"/>
          <w:kern w:val="0"/>
          <w:sz w:val="32"/>
          <w:szCs w:val="32"/>
          <w:highlight w:val="none"/>
        </w:rPr>
      </w:pPr>
    </w:p>
    <w:p w14:paraId="56398D56">
      <w:pPr>
        <w:snapToGrid w:val="0"/>
        <w:spacing w:before="50" w:after="120" w:afterLines="50"/>
        <w:rPr>
          <w:b/>
          <w:color w:val="auto"/>
          <w:sz w:val="24"/>
          <w:highlight w:val="none"/>
        </w:rPr>
        <w:sectPr>
          <w:type w:val="nextColumn"/>
          <w:pgSz w:w="11906" w:h="16838"/>
          <w:pgMar w:top="1474" w:right="1134" w:bottom="1134" w:left="1474" w:header="851" w:footer="992" w:gutter="0"/>
          <w:cols w:space="720" w:num="1"/>
          <w:titlePg/>
          <w:docGrid w:linePitch="312" w:charSpace="0"/>
        </w:sectPr>
      </w:pPr>
    </w:p>
    <w:p w14:paraId="0DDC2208">
      <w:pPr>
        <w:snapToGrid w:val="0"/>
        <w:spacing w:before="50" w:after="120" w:afterLines="50"/>
        <w:ind w:firstLine="420"/>
        <w:rPr>
          <w:rFonts w:hint="eastAsia" w:ascii="微软雅黑" w:hAnsi="微软雅黑"/>
          <w:b/>
          <w:color w:val="auto"/>
          <w:szCs w:val="21"/>
          <w:highlight w:val="none"/>
        </w:rPr>
      </w:pPr>
      <w:r>
        <w:rPr>
          <w:rFonts w:hint="eastAsia" w:ascii="微软雅黑" w:hAnsi="微软雅黑"/>
          <w:b/>
          <w:color w:val="auto"/>
          <w:szCs w:val="21"/>
          <w:highlight w:val="none"/>
        </w:rPr>
        <w:t>3</w:t>
      </w:r>
      <w:r>
        <w:rPr>
          <w:rFonts w:ascii="微软雅黑" w:hAnsi="微软雅黑"/>
          <w:b/>
          <w:color w:val="auto"/>
          <w:szCs w:val="21"/>
          <w:highlight w:val="none"/>
        </w:rPr>
        <w:t>.技术响应表格式：</w:t>
      </w:r>
    </w:p>
    <w:p w14:paraId="1D899438">
      <w:pPr>
        <w:snapToGrid w:val="0"/>
        <w:spacing w:before="50" w:after="120" w:afterLines="50"/>
        <w:ind w:firstLine="420"/>
        <w:jc w:val="center"/>
        <w:rPr>
          <w:rFonts w:hint="eastAsia" w:ascii="微软雅黑" w:hAnsi="微软雅黑"/>
          <w:color w:val="auto"/>
          <w:szCs w:val="21"/>
          <w:highlight w:val="none"/>
          <w:u w:val="single"/>
        </w:rPr>
      </w:pPr>
      <w:r>
        <w:rPr>
          <w:rFonts w:ascii="微软雅黑" w:hAnsi="微软雅黑"/>
          <w:b/>
          <w:color w:val="auto"/>
          <w:szCs w:val="21"/>
          <w:highlight w:val="none"/>
        </w:rPr>
        <w:t>技术响应表</w:t>
      </w:r>
    </w:p>
    <w:tbl>
      <w:tblPr>
        <w:tblStyle w:val="54"/>
        <w:tblW w:w="9297"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4"/>
        <w:gridCol w:w="2459"/>
        <w:gridCol w:w="2459"/>
        <w:gridCol w:w="2731"/>
        <w:gridCol w:w="824"/>
      </w:tblGrid>
      <w:tr w14:paraId="2BB260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24" w:type="dxa"/>
            <w:tcBorders>
              <w:top w:val="single" w:color="auto" w:sz="4" w:space="0"/>
              <w:left w:val="single" w:color="auto" w:sz="4" w:space="0"/>
              <w:bottom w:val="single" w:color="auto" w:sz="4" w:space="0"/>
              <w:right w:val="single" w:color="auto" w:sz="4" w:space="0"/>
            </w:tcBorders>
          </w:tcPr>
          <w:p w14:paraId="30CA0EBB">
            <w:pPr>
              <w:pStyle w:val="27"/>
              <w:snapToGrid w:val="0"/>
              <w:spacing w:line="240" w:lineRule="auto"/>
              <w:ind w:firstLine="0" w:firstLineChars="0"/>
              <w:jc w:val="center"/>
              <w:outlineLvl w:val="0"/>
              <w:rPr>
                <w:rFonts w:hint="eastAsia" w:ascii="微软雅黑" w:hAnsi="微软雅黑"/>
                <w:color w:val="auto"/>
                <w:szCs w:val="21"/>
                <w:highlight w:val="none"/>
              </w:rPr>
            </w:pPr>
            <w:bookmarkStart w:id="273" w:name="_Toc164943227"/>
            <w:bookmarkStart w:id="274" w:name="_Toc17952"/>
            <w:bookmarkStart w:id="275" w:name="_Toc465368115"/>
            <w:bookmarkStart w:id="276" w:name="_Toc20307"/>
            <w:bookmarkStart w:id="277" w:name="_Toc169015150"/>
            <w:r>
              <w:rPr>
                <w:rFonts w:ascii="微软雅黑" w:hAnsi="微软雅黑"/>
                <w:color w:val="auto"/>
                <w:szCs w:val="21"/>
                <w:highlight w:val="none"/>
              </w:rPr>
              <w:t>序号</w:t>
            </w:r>
            <w:bookmarkEnd w:id="273"/>
            <w:bookmarkEnd w:id="274"/>
            <w:bookmarkEnd w:id="275"/>
            <w:bookmarkEnd w:id="276"/>
            <w:bookmarkEnd w:id="277"/>
          </w:p>
        </w:tc>
        <w:tc>
          <w:tcPr>
            <w:tcW w:w="2459" w:type="dxa"/>
            <w:tcBorders>
              <w:top w:val="single" w:color="auto" w:sz="4" w:space="0"/>
              <w:left w:val="single" w:color="auto" w:sz="4" w:space="0"/>
              <w:bottom w:val="single" w:color="auto" w:sz="4" w:space="0"/>
              <w:right w:val="single" w:color="auto" w:sz="4" w:space="0"/>
            </w:tcBorders>
          </w:tcPr>
          <w:p w14:paraId="662037C4">
            <w:pPr>
              <w:pStyle w:val="27"/>
              <w:snapToGrid w:val="0"/>
              <w:spacing w:line="240" w:lineRule="auto"/>
              <w:ind w:firstLine="0" w:firstLineChars="0"/>
              <w:jc w:val="center"/>
              <w:outlineLvl w:val="0"/>
              <w:rPr>
                <w:rFonts w:hint="eastAsia" w:ascii="微软雅黑" w:hAnsi="微软雅黑"/>
                <w:color w:val="auto"/>
                <w:szCs w:val="21"/>
                <w:highlight w:val="none"/>
              </w:rPr>
            </w:pPr>
            <w:bookmarkStart w:id="278" w:name="_Toc401570294"/>
            <w:bookmarkStart w:id="279" w:name="_Toc402963099"/>
            <w:bookmarkStart w:id="280" w:name="_Toc406402961"/>
            <w:bookmarkStart w:id="281" w:name="_Toc385854156"/>
            <w:bookmarkStart w:id="282" w:name="_Toc385854110"/>
            <w:bookmarkStart w:id="283" w:name="_Toc377028119"/>
            <w:bookmarkStart w:id="284" w:name="_Toc385854160"/>
            <w:bookmarkStart w:id="285" w:name="_Toc385854114"/>
            <w:bookmarkStart w:id="286" w:name="_Toc401570290"/>
            <w:bookmarkStart w:id="287" w:name="_Toc402963128"/>
            <w:bookmarkStart w:id="288" w:name="_Toc382928240"/>
            <w:bookmarkStart w:id="289" w:name="_Toc402963095"/>
            <w:bookmarkStart w:id="290" w:name="_Toc382928118"/>
            <w:bookmarkStart w:id="291" w:name="_Toc377028061"/>
            <w:bookmarkStart w:id="292" w:name="_Toc382928122"/>
            <w:bookmarkStart w:id="293" w:name="_Toc16394"/>
            <w:bookmarkStart w:id="294" w:name="_Toc26033"/>
            <w:bookmarkStart w:id="295" w:name="_Toc164943229"/>
            <w:bookmarkStart w:id="296" w:name="_Toc382928236"/>
            <w:bookmarkStart w:id="297" w:name="_Toc406403001"/>
            <w:bookmarkStart w:id="298" w:name="_Toc406402957"/>
            <w:bookmarkStart w:id="299" w:name="_Toc377653976"/>
            <w:bookmarkStart w:id="300" w:name="_Toc401570314"/>
            <w:bookmarkStart w:id="301" w:name="_Toc401570318"/>
            <w:bookmarkStart w:id="302" w:name="_Toc381081903"/>
            <w:bookmarkStart w:id="303" w:name="_Toc169015152"/>
            <w:bookmarkStart w:id="304" w:name="_Toc381081907"/>
            <w:bookmarkStart w:id="305" w:name="_Toc377653980"/>
            <w:bookmarkStart w:id="306" w:name="_Toc377028123"/>
            <w:bookmarkStart w:id="307" w:name="_Toc377028057"/>
            <w:bookmarkStart w:id="308" w:name="_Toc402963132"/>
            <w:bookmarkStart w:id="309" w:name="_Toc406403005"/>
            <w:bookmarkStart w:id="310" w:name="_Toc734611807"/>
            <w:r>
              <w:rPr>
                <w:rFonts w:ascii="微软雅黑" w:hAnsi="微软雅黑"/>
                <w:color w:val="auto"/>
                <w:szCs w:val="21"/>
                <w:highlight w:val="none"/>
              </w:rPr>
              <w:t>招标文件要求</w:t>
            </w:r>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p>
        </w:tc>
        <w:tc>
          <w:tcPr>
            <w:tcW w:w="2459" w:type="dxa"/>
            <w:tcBorders>
              <w:top w:val="single" w:color="auto" w:sz="4" w:space="0"/>
              <w:left w:val="single" w:color="auto" w:sz="4" w:space="0"/>
              <w:bottom w:val="single" w:color="auto" w:sz="4" w:space="0"/>
              <w:right w:val="single" w:color="auto" w:sz="4" w:space="0"/>
            </w:tcBorders>
          </w:tcPr>
          <w:p w14:paraId="1939D8D3">
            <w:pPr>
              <w:pStyle w:val="27"/>
              <w:snapToGrid w:val="0"/>
              <w:spacing w:line="240" w:lineRule="auto"/>
              <w:ind w:firstLine="0" w:firstLineChars="0"/>
              <w:jc w:val="center"/>
              <w:outlineLvl w:val="0"/>
              <w:rPr>
                <w:rFonts w:hint="eastAsia" w:ascii="微软雅黑" w:hAnsi="微软雅黑" w:eastAsia="微软雅黑"/>
                <w:color w:val="auto"/>
                <w:szCs w:val="21"/>
                <w:highlight w:val="none"/>
                <w:lang w:val="en-US" w:eastAsia="zh-CN"/>
              </w:rPr>
            </w:pPr>
            <w:bookmarkStart w:id="311" w:name="_Toc169015153"/>
            <w:bookmarkStart w:id="312" w:name="_Toc929162729"/>
            <w:bookmarkStart w:id="313" w:name="_Toc406402958"/>
            <w:bookmarkStart w:id="314" w:name="_Toc382928119"/>
            <w:bookmarkStart w:id="315" w:name="_Toc18460"/>
            <w:bookmarkStart w:id="316" w:name="_Toc20550"/>
            <w:bookmarkStart w:id="317" w:name="_Toc401570291"/>
            <w:bookmarkStart w:id="318" w:name="_Toc402963096"/>
            <w:bookmarkStart w:id="319" w:name="_Toc377028120"/>
            <w:bookmarkStart w:id="320" w:name="_Toc385854157"/>
            <w:bookmarkStart w:id="321" w:name="_Toc377028058"/>
            <w:bookmarkStart w:id="322" w:name="_Toc406403002"/>
            <w:bookmarkStart w:id="323" w:name="_Toc382928237"/>
            <w:bookmarkStart w:id="324" w:name="_Toc401570315"/>
            <w:bookmarkStart w:id="325" w:name="_Toc164943230"/>
            <w:bookmarkStart w:id="326" w:name="_Toc402963129"/>
            <w:bookmarkStart w:id="327" w:name="_Toc377653977"/>
            <w:bookmarkStart w:id="328" w:name="_Toc381081904"/>
            <w:bookmarkStart w:id="329" w:name="_Toc385854111"/>
            <w:r>
              <w:rPr>
                <w:rFonts w:ascii="微软雅黑" w:hAnsi="微软雅黑"/>
                <w:color w:val="auto"/>
                <w:szCs w:val="21"/>
                <w:highlight w:val="none"/>
              </w:rPr>
              <w:t>投标文件</w:t>
            </w:r>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r>
              <w:rPr>
                <w:rFonts w:hint="eastAsia" w:ascii="微软雅黑" w:hAnsi="微软雅黑"/>
                <w:color w:val="auto"/>
                <w:szCs w:val="21"/>
                <w:highlight w:val="none"/>
                <w:lang w:val="en-US" w:eastAsia="zh-CN"/>
              </w:rPr>
              <w:t>指标</w:t>
            </w:r>
          </w:p>
        </w:tc>
        <w:tc>
          <w:tcPr>
            <w:tcW w:w="2731" w:type="dxa"/>
            <w:tcBorders>
              <w:top w:val="single" w:color="auto" w:sz="4" w:space="0"/>
              <w:left w:val="single" w:color="auto" w:sz="4" w:space="0"/>
              <w:bottom w:val="single" w:color="auto" w:sz="4" w:space="0"/>
              <w:right w:val="single" w:color="auto" w:sz="4" w:space="0"/>
            </w:tcBorders>
          </w:tcPr>
          <w:p w14:paraId="09026E11">
            <w:pPr>
              <w:pStyle w:val="27"/>
              <w:snapToGrid w:val="0"/>
              <w:spacing w:line="240" w:lineRule="auto"/>
              <w:ind w:firstLine="0" w:firstLineChars="0"/>
              <w:jc w:val="center"/>
              <w:outlineLvl w:val="0"/>
              <w:rPr>
                <w:rFonts w:hint="eastAsia" w:ascii="微软雅黑" w:hAnsi="微软雅黑"/>
                <w:color w:val="auto"/>
                <w:szCs w:val="21"/>
                <w:highlight w:val="none"/>
              </w:rPr>
            </w:pPr>
            <w:bookmarkStart w:id="330" w:name="_Toc377653978"/>
            <w:bookmarkStart w:id="331" w:name="_Toc385854112"/>
            <w:bookmarkStart w:id="332" w:name="_Toc377028059"/>
            <w:bookmarkStart w:id="333" w:name="_Toc406402959"/>
            <w:bookmarkStart w:id="334" w:name="_Toc402963097"/>
            <w:bookmarkStart w:id="335" w:name="_Toc406403003"/>
            <w:bookmarkStart w:id="336" w:name="_Toc382928238"/>
            <w:bookmarkStart w:id="337" w:name="_Toc385854158"/>
            <w:bookmarkStart w:id="338" w:name="_Toc382928120"/>
            <w:bookmarkStart w:id="339" w:name="_Toc377028121"/>
            <w:bookmarkStart w:id="340" w:name="_Toc402963130"/>
            <w:bookmarkStart w:id="341" w:name="_Toc401570292"/>
            <w:bookmarkStart w:id="342" w:name="_Toc381081905"/>
            <w:bookmarkStart w:id="343" w:name="_Toc401570316"/>
            <w:bookmarkStart w:id="344" w:name="_Toc169015154"/>
            <w:bookmarkStart w:id="345" w:name="_Toc23603"/>
            <w:bookmarkStart w:id="346" w:name="_Toc961276098"/>
            <w:bookmarkStart w:id="347" w:name="_Toc164943231"/>
            <w:bookmarkStart w:id="348" w:name="_Toc31934"/>
            <w:r>
              <w:rPr>
                <w:rFonts w:ascii="微软雅黑" w:hAnsi="微软雅黑"/>
                <w:color w:val="auto"/>
                <w:szCs w:val="21"/>
                <w:highlight w:val="none"/>
              </w:rPr>
              <w:t>偏离情况</w:t>
            </w:r>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r>
              <w:rPr>
                <w:rFonts w:ascii="微软雅黑" w:hAnsi="微软雅黑"/>
                <w:color w:val="auto"/>
                <w:szCs w:val="21"/>
                <w:highlight w:val="none"/>
              </w:rPr>
              <w:t>及证明材料</w:t>
            </w:r>
            <w:bookmarkEnd w:id="344"/>
            <w:bookmarkEnd w:id="345"/>
            <w:bookmarkEnd w:id="346"/>
            <w:bookmarkEnd w:id="347"/>
            <w:bookmarkEnd w:id="348"/>
          </w:p>
        </w:tc>
        <w:tc>
          <w:tcPr>
            <w:tcW w:w="824" w:type="dxa"/>
            <w:tcBorders>
              <w:top w:val="single" w:color="auto" w:sz="4" w:space="0"/>
              <w:left w:val="single" w:color="auto" w:sz="4" w:space="0"/>
              <w:bottom w:val="single" w:color="auto" w:sz="4" w:space="0"/>
              <w:right w:val="single" w:color="auto" w:sz="4" w:space="0"/>
            </w:tcBorders>
            <w:vAlign w:val="center"/>
          </w:tcPr>
          <w:p w14:paraId="42F1A2B2">
            <w:pPr>
              <w:widowControl/>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备注</w:t>
            </w:r>
          </w:p>
        </w:tc>
      </w:tr>
      <w:tr w14:paraId="343D75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7" w:hRule="atLeast"/>
        </w:trPr>
        <w:tc>
          <w:tcPr>
            <w:tcW w:w="824" w:type="dxa"/>
            <w:tcBorders>
              <w:top w:val="single" w:color="auto" w:sz="4" w:space="0"/>
              <w:left w:val="single" w:color="auto" w:sz="4" w:space="0"/>
              <w:bottom w:val="single" w:color="auto" w:sz="4" w:space="0"/>
              <w:right w:val="single" w:color="auto" w:sz="4" w:space="0"/>
            </w:tcBorders>
            <w:vAlign w:val="center"/>
          </w:tcPr>
          <w:p w14:paraId="196612B0">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vAlign w:val="center"/>
          </w:tcPr>
          <w:p w14:paraId="2565A94F">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tcPr>
          <w:p w14:paraId="258BBB5D">
            <w:pPr>
              <w:pStyle w:val="27"/>
              <w:snapToGrid w:val="0"/>
              <w:spacing w:line="240" w:lineRule="auto"/>
              <w:ind w:firstLine="0" w:firstLineChars="0"/>
              <w:rPr>
                <w:rFonts w:hint="eastAsia" w:ascii="微软雅黑" w:hAnsi="微软雅黑"/>
                <w:color w:val="auto"/>
                <w:szCs w:val="21"/>
                <w:highlight w:val="none"/>
              </w:rPr>
            </w:pPr>
          </w:p>
        </w:tc>
        <w:tc>
          <w:tcPr>
            <w:tcW w:w="2731" w:type="dxa"/>
            <w:tcBorders>
              <w:top w:val="single" w:color="auto" w:sz="4" w:space="0"/>
              <w:left w:val="single" w:color="auto" w:sz="4" w:space="0"/>
              <w:bottom w:val="single" w:color="auto" w:sz="4" w:space="0"/>
              <w:right w:val="single" w:color="auto" w:sz="4" w:space="0"/>
            </w:tcBorders>
          </w:tcPr>
          <w:p w14:paraId="429CD71F">
            <w:pPr>
              <w:pStyle w:val="27"/>
              <w:snapToGrid w:val="0"/>
              <w:spacing w:line="240" w:lineRule="auto"/>
              <w:ind w:firstLine="0" w:firstLineChars="0"/>
              <w:rPr>
                <w:rFonts w:hint="eastAsia" w:ascii="微软雅黑" w:hAnsi="微软雅黑"/>
                <w:color w:val="auto"/>
                <w:szCs w:val="21"/>
                <w:highlight w:val="none"/>
              </w:rPr>
            </w:pPr>
          </w:p>
        </w:tc>
        <w:tc>
          <w:tcPr>
            <w:tcW w:w="824" w:type="dxa"/>
            <w:tcBorders>
              <w:top w:val="single" w:color="auto" w:sz="4" w:space="0"/>
              <w:left w:val="single" w:color="auto" w:sz="4" w:space="0"/>
              <w:bottom w:val="single" w:color="auto" w:sz="4" w:space="0"/>
              <w:right w:val="single" w:color="auto" w:sz="4" w:space="0"/>
            </w:tcBorders>
          </w:tcPr>
          <w:p w14:paraId="536FE661">
            <w:pPr>
              <w:pStyle w:val="27"/>
              <w:snapToGrid w:val="0"/>
              <w:spacing w:line="240" w:lineRule="auto"/>
              <w:ind w:firstLine="0" w:firstLineChars="0"/>
              <w:rPr>
                <w:rFonts w:hint="eastAsia" w:ascii="微软雅黑" w:hAnsi="微软雅黑"/>
                <w:color w:val="auto"/>
                <w:szCs w:val="21"/>
                <w:highlight w:val="none"/>
              </w:rPr>
            </w:pPr>
          </w:p>
        </w:tc>
      </w:tr>
      <w:tr w14:paraId="0E2C9D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7" w:hRule="atLeast"/>
        </w:trPr>
        <w:tc>
          <w:tcPr>
            <w:tcW w:w="824" w:type="dxa"/>
            <w:tcBorders>
              <w:top w:val="single" w:color="auto" w:sz="4" w:space="0"/>
              <w:left w:val="single" w:color="auto" w:sz="4" w:space="0"/>
              <w:bottom w:val="single" w:color="auto" w:sz="4" w:space="0"/>
              <w:right w:val="single" w:color="auto" w:sz="4" w:space="0"/>
            </w:tcBorders>
            <w:vAlign w:val="center"/>
          </w:tcPr>
          <w:p w14:paraId="5E9FAFAD">
            <w:pPr>
              <w:widowControl/>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vAlign w:val="center"/>
          </w:tcPr>
          <w:p w14:paraId="0A5CD769">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tcPr>
          <w:p w14:paraId="5A594991">
            <w:pPr>
              <w:pStyle w:val="27"/>
              <w:snapToGrid w:val="0"/>
              <w:spacing w:line="240" w:lineRule="auto"/>
              <w:ind w:firstLine="0" w:firstLineChars="0"/>
              <w:rPr>
                <w:rFonts w:hint="eastAsia" w:ascii="微软雅黑" w:hAnsi="微软雅黑"/>
                <w:color w:val="auto"/>
                <w:szCs w:val="21"/>
                <w:highlight w:val="none"/>
              </w:rPr>
            </w:pPr>
          </w:p>
        </w:tc>
        <w:tc>
          <w:tcPr>
            <w:tcW w:w="2731" w:type="dxa"/>
            <w:tcBorders>
              <w:top w:val="single" w:color="auto" w:sz="4" w:space="0"/>
              <w:left w:val="single" w:color="auto" w:sz="4" w:space="0"/>
              <w:bottom w:val="single" w:color="auto" w:sz="4" w:space="0"/>
              <w:right w:val="single" w:color="auto" w:sz="4" w:space="0"/>
            </w:tcBorders>
          </w:tcPr>
          <w:p w14:paraId="50116534">
            <w:pPr>
              <w:pStyle w:val="27"/>
              <w:snapToGrid w:val="0"/>
              <w:spacing w:line="240" w:lineRule="auto"/>
              <w:ind w:firstLine="0" w:firstLineChars="0"/>
              <w:rPr>
                <w:rFonts w:hint="eastAsia" w:ascii="微软雅黑" w:hAnsi="微软雅黑"/>
                <w:color w:val="auto"/>
                <w:szCs w:val="21"/>
                <w:highlight w:val="none"/>
              </w:rPr>
            </w:pPr>
          </w:p>
        </w:tc>
        <w:tc>
          <w:tcPr>
            <w:tcW w:w="824" w:type="dxa"/>
            <w:tcBorders>
              <w:top w:val="single" w:color="auto" w:sz="4" w:space="0"/>
              <w:left w:val="single" w:color="auto" w:sz="4" w:space="0"/>
              <w:bottom w:val="single" w:color="auto" w:sz="4" w:space="0"/>
              <w:right w:val="single" w:color="auto" w:sz="4" w:space="0"/>
            </w:tcBorders>
          </w:tcPr>
          <w:p w14:paraId="34EC5FB8">
            <w:pPr>
              <w:pStyle w:val="27"/>
              <w:snapToGrid w:val="0"/>
              <w:spacing w:line="240" w:lineRule="auto"/>
              <w:ind w:firstLine="0" w:firstLineChars="0"/>
              <w:rPr>
                <w:rFonts w:hint="eastAsia" w:ascii="微软雅黑" w:hAnsi="微软雅黑"/>
                <w:color w:val="auto"/>
                <w:szCs w:val="21"/>
                <w:highlight w:val="none"/>
              </w:rPr>
            </w:pPr>
          </w:p>
        </w:tc>
      </w:tr>
      <w:tr w14:paraId="4ECE26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7" w:hRule="atLeast"/>
        </w:trPr>
        <w:tc>
          <w:tcPr>
            <w:tcW w:w="824" w:type="dxa"/>
            <w:tcBorders>
              <w:top w:val="single" w:color="auto" w:sz="4" w:space="0"/>
              <w:left w:val="single" w:color="auto" w:sz="4" w:space="0"/>
              <w:bottom w:val="single" w:color="auto" w:sz="4" w:space="0"/>
              <w:right w:val="single" w:color="auto" w:sz="4" w:space="0"/>
            </w:tcBorders>
            <w:vAlign w:val="center"/>
          </w:tcPr>
          <w:p w14:paraId="11FD6CA7">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vAlign w:val="center"/>
          </w:tcPr>
          <w:p w14:paraId="1FF7FD16">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tcPr>
          <w:p w14:paraId="4600E40D">
            <w:pPr>
              <w:pStyle w:val="27"/>
              <w:snapToGrid w:val="0"/>
              <w:spacing w:line="240" w:lineRule="auto"/>
              <w:ind w:firstLine="0" w:firstLineChars="0"/>
              <w:rPr>
                <w:rFonts w:hint="eastAsia" w:ascii="微软雅黑" w:hAnsi="微软雅黑"/>
                <w:color w:val="auto"/>
                <w:szCs w:val="21"/>
                <w:highlight w:val="none"/>
              </w:rPr>
            </w:pPr>
          </w:p>
        </w:tc>
        <w:tc>
          <w:tcPr>
            <w:tcW w:w="2731" w:type="dxa"/>
            <w:tcBorders>
              <w:top w:val="single" w:color="auto" w:sz="4" w:space="0"/>
              <w:left w:val="single" w:color="auto" w:sz="4" w:space="0"/>
              <w:bottom w:val="single" w:color="auto" w:sz="4" w:space="0"/>
              <w:right w:val="single" w:color="auto" w:sz="4" w:space="0"/>
            </w:tcBorders>
          </w:tcPr>
          <w:p w14:paraId="2D4942B8">
            <w:pPr>
              <w:pStyle w:val="27"/>
              <w:snapToGrid w:val="0"/>
              <w:spacing w:line="240" w:lineRule="auto"/>
              <w:ind w:firstLine="0" w:firstLineChars="0"/>
              <w:rPr>
                <w:rFonts w:hint="eastAsia" w:ascii="微软雅黑" w:hAnsi="微软雅黑"/>
                <w:color w:val="auto"/>
                <w:szCs w:val="21"/>
                <w:highlight w:val="none"/>
              </w:rPr>
            </w:pPr>
          </w:p>
        </w:tc>
        <w:tc>
          <w:tcPr>
            <w:tcW w:w="824" w:type="dxa"/>
            <w:tcBorders>
              <w:top w:val="single" w:color="auto" w:sz="4" w:space="0"/>
              <w:left w:val="single" w:color="auto" w:sz="4" w:space="0"/>
              <w:bottom w:val="single" w:color="auto" w:sz="4" w:space="0"/>
              <w:right w:val="single" w:color="auto" w:sz="4" w:space="0"/>
            </w:tcBorders>
          </w:tcPr>
          <w:p w14:paraId="7E42E900">
            <w:pPr>
              <w:pStyle w:val="27"/>
              <w:snapToGrid w:val="0"/>
              <w:spacing w:line="240" w:lineRule="auto"/>
              <w:ind w:firstLine="0" w:firstLineChars="0"/>
              <w:rPr>
                <w:rFonts w:hint="eastAsia" w:ascii="微软雅黑" w:hAnsi="微软雅黑"/>
                <w:color w:val="auto"/>
                <w:szCs w:val="21"/>
                <w:highlight w:val="none"/>
              </w:rPr>
            </w:pPr>
          </w:p>
        </w:tc>
      </w:tr>
      <w:tr w14:paraId="044361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77" w:hRule="atLeast"/>
        </w:trPr>
        <w:tc>
          <w:tcPr>
            <w:tcW w:w="824" w:type="dxa"/>
            <w:tcBorders>
              <w:top w:val="single" w:color="auto" w:sz="4" w:space="0"/>
              <w:left w:val="single" w:color="auto" w:sz="4" w:space="0"/>
              <w:bottom w:val="single" w:color="auto" w:sz="4" w:space="0"/>
              <w:right w:val="single" w:color="auto" w:sz="4" w:space="0"/>
            </w:tcBorders>
            <w:vAlign w:val="center"/>
          </w:tcPr>
          <w:p w14:paraId="69A4122F">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vAlign w:val="center"/>
          </w:tcPr>
          <w:p w14:paraId="651AB028">
            <w:pPr>
              <w:pStyle w:val="27"/>
              <w:snapToGrid w:val="0"/>
              <w:spacing w:line="240" w:lineRule="auto"/>
              <w:ind w:firstLine="0" w:firstLineChars="0"/>
              <w:rPr>
                <w:rFonts w:hint="eastAsia" w:ascii="微软雅黑" w:hAnsi="微软雅黑"/>
                <w:color w:val="auto"/>
                <w:szCs w:val="21"/>
                <w:highlight w:val="none"/>
              </w:rPr>
            </w:pPr>
          </w:p>
        </w:tc>
        <w:tc>
          <w:tcPr>
            <w:tcW w:w="2459" w:type="dxa"/>
            <w:tcBorders>
              <w:top w:val="single" w:color="auto" w:sz="4" w:space="0"/>
              <w:left w:val="single" w:color="auto" w:sz="4" w:space="0"/>
              <w:bottom w:val="single" w:color="auto" w:sz="4" w:space="0"/>
              <w:right w:val="single" w:color="auto" w:sz="4" w:space="0"/>
            </w:tcBorders>
          </w:tcPr>
          <w:p w14:paraId="1FD94CA4">
            <w:pPr>
              <w:pStyle w:val="27"/>
              <w:snapToGrid w:val="0"/>
              <w:spacing w:line="240" w:lineRule="auto"/>
              <w:ind w:firstLine="0" w:firstLineChars="0"/>
              <w:rPr>
                <w:rFonts w:hint="eastAsia" w:ascii="微软雅黑" w:hAnsi="微软雅黑"/>
                <w:color w:val="auto"/>
                <w:szCs w:val="21"/>
                <w:highlight w:val="none"/>
              </w:rPr>
            </w:pPr>
          </w:p>
        </w:tc>
        <w:tc>
          <w:tcPr>
            <w:tcW w:w="2731" w:type="dxa"/>
            <w:tcBorders>
              <w:top w:val="single" w:color="auto" w:sz="4" w:space="0"/>
              <w:left w:val="single" w:color="auto" w:sz="4" w:space="0"/>
              <w:bottom w:val="single" w:color="auto" w:sz="4" w:space="0"/>
              <w:right w:val="single" w:color="auto" w:sz="4" w:space="0"/>
            </w:tcBorders>
          </w:tcPr>
          <w:p w14:paraId="7A97973D">
            <w:pPr>
              <w:pStyle w:val="27"/>
              <w:snapToGrid w:val="0"/>
              <w:spacing w:line="240" w:lineRule="auto"/>
              <w:ind w:firstLine="0" w:firstLineChars="0"/>
              <w:rPr>
                <w:rFonts w:hint="eastAsia" w:ascii="微软雅黑" w:hAnsi="微软雅黑"/>
                <w:color w:val="auto"/>
                <w:szCs w:val="21"/>
                <w:highlight w:val="none"/>
              </w:rPr>
            </w:pPr>
          </w:p>
        </w:tc>
        <w:tc>
          <w:tcPr>
            <w:tcW w:w="824" w:type="dxa"/>
            <w:tcBorders>
              <w:top w:val="single" w:color="auto" w:sz="4" w:space="0"/>
              <w:left w:val="single" w:color="auto" w:sz="4" w:space="0"/>
              <w:bottom w:val="single" w:color="auto" w:sz="4" w:space="0"/>
              <w:right w:val="single" w:color="auto" w:sz="4" w:space="0"/>
            </w:tcBorders>
          </w:tcPr>
          <w:p w14:paraId="00C6EF32">
            <w:pPr>
              <w:pStyle w:val="27"/>
              <w:snapToGrid w:val="0"/>
              <w:spacing w:line="240" w:lineRule="auto"/>
              <w:ind w:firstLine="0" w:firstLineChars="0"/>
              <w:rPr>
                <w:rFonts w:hint="eastAsia" w:ascii="微软雅黑" w:hAnsi="微软雅黑"/>
                <w:color w:val="auto"/>
                <w:szCs w:val="21"/>
                <w:highlight w:val="none"/>
              </w:rPr>
            </w:pPr>
          </w:p>
        </w:tc>
      </w:tr>
    </w:tbl>
    <w:p w14:paraId="7CFE3A6F">
      <w:pPr>
        <w:pStyle w:val="18"/>
        <w:ind w:firstLine="420"/>
        <w:rPr>
          <w:rFonts w:hint="eastAsia" w:ascii="微软雅黑" w:hAnsi="微软雅黑"/>
          <w:color w:val="auto"/>
          <w:sz w:val="21"/>
          <w:szCs w:val="21"/>
          <w:highlight w:val="none"/>
        </w:rPr>
      </w:pPr>
      <w:r>
        <w:rPr>
          <w:rFonts w:ascii="微软雅黑" w:hAnsi="微软雅黑"/>
          <w:color w:val="auto"/>
          <w:sz w:val="21"/>
          <w:szCs w:val="21"/>
          <w:highlight w:val="none"/>
        </w:rPr>
        <w:t>注：供应商应根据投标</w:t>
      </w:r>
      <w:r>
        <w:rPr>
          <w:rFonts w:hint="eastAsia" w:ascii="微软雅黑" w:hAnsi="微软雅黑"/>
          <w:color w:val="auto"/>
          <w:sz w:val="21"/>
          <w:szCs w:val="21"/>
          <w:highlight w:val="none"/>
          <w:lang w:val="en-US" w:eastAsia="zh-CN"/>
        </w:rPr>
        <w:t>服务</w:t>
      </w:r>
      <w:r>
        <w:rPr>
          <w:rFonts w:ascii="微软雅黑" w:hAnsi="微软雅黑"/>
          <w:color w:val="auto"/>
          <w:sz w:val="21"/>
          <w:szCs w:val="21"/>
          <w:highlight w:val="none"/>
        </w:rPr>
        <w:t>的指标、对照招标文件要求注明“正偏离”、“负偏离”或“无偏离”。</w:t>
      </w:r>
    </w:p>
    <w:p w14:paraId="0D5F7329">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47850344">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供应商名称（公章）：</w:t>
      </w:r>
    </w:p>
    <w:p w14:paraId="07920BF7">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1EED7A72">
      <w:pPr>
        <w:pStyle w:val="294"/>
        <w:spacing w:line="360" w:lineRule="auto"/>
        <w:ind w:firstLine="482"/>
        <w:rPr>
          <w:rFonts w:ascii="Times New Roman" w:hAnsi="Times New Roman" w:eastAsia="宋体"/>
          <w:b/>
          <w:color w:val="auto"/>
          <w:sz w:val="24"/>
          <w:szCs w:val="24"/>
          <w:highlight w:val="none"/>
        </w:rPr>
      </w:pPr>
    </w:p>
    <w:p w14:paraId="10C27564">
      <w:pPr>
        <w:pStyle w:val="294"/>
        <w:spacing w:line="360" w:lineRule="auto"/>
        <w:ind w:firstLine="482"/>
        <w:rPr>
          <w:rFonts w:ascii="Times New Roman" w:hAnsi="Times New Roman" w:eastAsia="宋体"/>
          <w:b/>
          <w:color w:val="auto"/>
          <w:sz w:val="24"/>
          <w:szCs w:val="24"/>
          <w:highlight w:val="none"/>
        </w:rPr>
        <w:sectPr>
          <w:type w:val="nextColumn"/>
          <w:pgSz w:w="11906" w:h="16838"/>
          <w:pgMar w:top="1474" w:right="1134" w:bottom="1134" w:left="1474" w:header="851" w:footer="992" w:gutter="0"/>
          <w:cols w:space="720" w:num="1"/>
          <w:titlePg/>
          <w:docGrid w:linePitch="312" w:charSpace="0"/>
        </w:sectPr>
      </w:pPr>
    </w:p>
    <w:p w14:paraId="438794A4">
      <w:pPr>
        <w:pStyle w:val="294"/>
        <w:spacing w:line="360" w:lineRule="auto"/>
        <w:ind w:firstLine="482"/>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4</w:t>
      </w:r>
      <w:r>
        <w:rPr>
          <w:rFonts w:ascii="微软雅黑" w:hAnsi="微软雅黑" w:eastAsia="微软雅黑"/>
          <w:b/>
          <w:color w:val="auto"/>
          <w:sz w:val="21"/>
          <w:szCs w:val="21"/>
          <w:highlight w:val="none"/>
        </w:rPr>
        <w:t>. 项目实施人员一览表</w:t>
      </w:r>
    </w:p>
    <w:p w14:paraId="39593F30">
      <w:pPr>
        <w:pStyle w:val="27"/>
        <w:adjustRightInd w:val="0"/>
        <w:spacing w:before="120" w:after="120"/>
        <w:ind w:firstLine="420"/>
        <w:jc w:val="center"/>
        <w:textAlignment w:val="baseline"/>
        <w:rPr>
          <w:rFonts w:hint="eastAsia" w:ascii="微软雅黑" w:hAnsi="微软雅黑"/>
          <w:color w:val="auto"/>
          <w:szCs w:val="21"/>
          <w:highlight w:val="none"/>
        </w:rPr>
      </w:pPr>
      <w:r>
        <w:rPr>
          <w:rFonts w:ascii="微软雅黑" w:hAnsi="微软雅黑"/>
          <w:b/>
          <w:color w:val="auto"/>
          <w:szCs w:val="21"/>
          <w:highlight w:val="none"/>
        </w:rPr>
        <w:t>项目实施人员一览表</w:t>
      </w:r>
    </w:p>
    <w:tbl>
      <w:tblPr>
        <w:tblStyle w:val="54"/>
        <w:tblW w:w="9259"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5"/>
        <w:gridCol w:w="1074"/>
        <w:gridCol w:w="970"/>
        <w:gridCol w:w="709"/>
        <w:gridCol w:w="1254"/>
        <w:gridCol w:w="1454"/>
        <w:gridCol w:w="1134"/>
        <w:gridCol w:w="2079"/>
      </w:tblGrid>
      <w:tr w14:paraId="46B8A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851" w:hRule="atLeast"/>
        </w:trPr>
        <w:tc>
          <w:tcPr>
            <w:tcW w:w="585" w:type="dxa"/>
            <w:tcBorders>
              <w:top w:val="single" w:color="auto" w:sz="4" w:space="0"/>
              <w:left w:val="single" w:color="auto" w:sz="4" w:space="0"/>
              <w:bottom w:val="single" w:color="auto" w:sz="4" w:space="0"/>
              <w:right w:val="single" w:color="auto" w:sz="4" w:space="0"/>
            </w:tcBorders>
            <w:vAlign w:val="center"/>
          </w:tcPr>
          <w:p w14:paraId="3FADC81C">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序号</w:t>
            </w:r>
          </w:p>
        </w:tc>
        <w:tc>
          <w:tcPr>
            <w:tcW w:w="1074" w:type="dxa"/>
            <w:tcBorders>
              <w:top w:val="single" w:color="auto" w:sz="4" w:space="0"/>
              <w:left w:val="single" w:color="auto" w:sz="4" w:space="0"/>
              <w:bottom w:val="single" w:color="auto" w:sz="4" w:space="0"/>
              <w:right w:val="single" w:color="auto" w:sz="4" w:space="0"/>
            </w:tcBorders>
            <w:vAlign w:val="center"/>
          </w:tcPr>
          <w:p w14:paraId="0FC3AEDE">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项目组所任职务</w:t>
            </w:r>
          </w:p>
        </w:tc>
        <w:tc>
          <w:tcPr>
            <w:tcW w:w="970" w:type="dxa"/>
            <w:tcBorders>
              <w:top w:val="single" w:color="auto" w:sz="4" w:space="0"/>
              <w:left w:val="single" w:color="auto" w:sz="4" w:space="0"/>
              <w:bottom w:val="single" w:color="auto" w:sz="4" w:space="0"/>
              <w:right w:val="single" w:color="auto" w:sz="4" w:space="0"/>
            </w:tcBorders>
            <w:vAlign w:val="center"/>
          </w:tcPr>
          <w:p w14:paraId="25172D67">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姓名</w:t>
            </w:r>
          </w:p>
        </w:tc>
        <w:tc>
          <w:tcPr>
            <w:tcW w:w="709" w:type="dxa"/>
            <w:tcBorders>
              <w:top w:val="single" w:color="auto" w:sz="4" w:space="0"/>
              <w:left w:val="single" w:color="auto" w:sz="4" w:space="0"/>
              <w:bottom w:val="single" w:color="auto" w:sz="4" w:space="0"/>
              <w:right w:val="single" w:color="auto" w:sz="4" w:space="0"/>
            </w:tcBorders>
            <w:vAlign w:val="center"/>
          </w:tcPr>
          <w:p w14:paraId="1CD76F33">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职称</w:t>
            </w:r>
          </w:p>
        </w:tc>
        <w:tc>
          <w:tcPr>
            <w:tcW w:w="1254" w:type="dxa"/>
            <w:tcBorders>
              <w:top w:val="single" w:color="auto" w:sz="4" w:space="0"/>
              <w:left w:val="single" w:color="auto" w:sz="4" w:space="0"/>
              <w:bottom w:val="single" w:color="auto" w:sz="4" w:space="0"/>
              <w:right w:val="single" w:color="auto" w:sz="4" w:space="0"/>
            </w:tcBorders>
            <w:vAlign w:val="center"/>
          </w:tcPr>
          <w:p w14:paraId="67876961">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专业技术资格</w:t>
            </w:r>
          </w:p>
        </w:tc>
        <w:tc>
          <w:tcPr>
            <w:tcW w:w="1454" w:type="dxa"/>
            <w:tcBorders>
              <w:top w:val="single" w:color="auto" w:sz="4" w:space="0"/>
              <w:left w:val="single" w:color="auto" w:sz="4" w:space="0"/>
              <w:bottom w:val="single" w:color="auto" w:sz="4" w:space="0"/>
              <w:right w:val="single" w:color="auto" w:sz="4" w:space="0"/>
            </w:tcBorders>
            <w:vAlign w:val="center"/>
          </w:tcPr>
          <w:p w14:paraId="7F1454A3">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专业技术资格证书编号</w:t>
            </w:r>
          </w:p>
        </w:tc>
        <w:tc>
          <w:tcPr>
            <w:tcW w:w="1134" w:type="dxa"/>
            <w:tcBorders>
              <w:top w:val="single" w:color="auto" w:sz="4" w:space="0"/>
              <w:left w:val="single" w:color="auto" w:sz="4" w:space="0"/>
              <w:bottom w:val="single" w:color="auto" w:sz="4" w:space="0"/>
              <w:right w:val="single" w:color="auto" w:sz="4" w:space="0"/>
            </w:tcBorders>
            <w:vAlign w:val="center"/>
          </w:tcPr>
          <w:p w14:paraId="1E52EF36">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从事本工作时间</w:t>
            </w:r>
          </w:p>
        </w:tc>
        <w:tc>
          <w:tcPr>
            <w:tcW w:w="2079" w:type="dxa"/>
            <w:tcBorders>
              <w:top w:val="single" w:color="auto" w:sz="4" w:space="0"/>
              <w:left w:val="single" w:color="auto" w:sz="4" w:space="0"/>
              <w:bottom w:val="single" w:color="auto" w:sz="4" w:space="0"/>
              <w:right w:val="single" w:color="auto" w:sz="4" w:space="0"/>
            </w:tcBorders>
            <w:vAlign w:val="center"/>
          </w:tcPr>
          <w:p w14:paraId="54FF804E">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典型业务</w:t>
            </w:r>
          </w:p>
          <w:p w14:paraId="385B5DE3">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与技术专长</w:t>
            </w:r>
          </w:p>
        </w:tc>
      </w:tr>
      <w:tr w14:paraId="45C1A8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2BFCC938">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1</w:t>
            </w:r>
          </w:p>
        </w:tc>
        <w:tc>
          <w:tcPr>
            <w:tcW w:w="1074" w:type="dxa"/>
            <w:tcBorders>
              <w:top w:val="single" w:color="auto" w:sz="4" w:space="0"/>
              <w:left w:val="single" w:color="auto" w:sz="4" w:space="0"/>
              <w:bottom w:val="single" w:color="auto" w:sz="4" w:space="0"/>
              <w:right w:val="single" w:color="auto" w:sz="4" w:space="0"/>
            </w:tcBorders>
            <w:vAlign w:val="center"/>
          </w:tcPr>
          <w:p w14:paraId="4F1AA8BC">
            <w:pPr>
              <w:pStyle w:val="32"/>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18DC44EC">
            <w:pPr>
              <w:pStyle w:val="32"/>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5E5FFE38">
            <w:pPr>
              <w:pStyle w:val="32"/>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41E89284">
            <w:pPr>
              <w:pStyle w:val="32"/>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1C3A3968">
            <w:pPr>
              <w:pStyle w:val="32"/>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4EF0E9C0">
            <w:pPr>
              <w:pStyle w:val="32"/>
              <w:spacing w:line="240" w:lineRule="auto"/>
              <w:ind w:firstLine="0" w:firstLineChars="0"/>
              <w:jc w:val="center"/>
              <w:rPr>
                <w:rFonts w:hint="eastAsia" w:ascii="微软雅黑" w:hAnsi="微软雅黑"/>
                <w:color w:val="auto"/>
                <w:sz w:val="21"/>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37418310">
            <w:pPr>
              <w:pStyle w:val="32"/>
              <w:spacing w:line="240" w:lineRule="auto"/>
              <w:ind w:firstLine="0" w:firstLineChars="0"/>
              <w:jc w:val="center"/>
              <w:rPr>
                <w:rFonts w:hint="eastAsia" w:ascii="微软雅黑" w:hAnsi="微软雅黑"/>
                <w:color w:val="auto"/>
                <w:sz w:val="21"/>
                <w:szCs w:val="21"/>
                <w:highlight w:val="none"/>
              </w:rPr>
            </w:pPr>
          </w:p>
        </w:tc>
      </w:tr>
      <w:tr w14:paraId="0EABA8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323B81B2">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2</w:t>
            </w:r>
          </w:p>
        </w:tc>
        <w:tc>
          <w:tcPr>
            <w:tcW w:w="1074" w:type="dxa"/>
            <w:tcBorders>
              <w:top w:val="single" w:color="auto" w:sz="4" w:space="0"/>
              <w:left w:val="single" w:color="auto" w:sz="4" w:space="0"/>
              <w:bottom w:val="single" w:color="auto" w:sz="4" w:space="0"/>
              <w:right w:val="single" w:color="auto" w:sz="4" w:space="0"/>
            </w:tcBorders>
            <w:vAlign w:val="center"/>
          </w:tcPr>
          <w:p w14:paraId="6A82F75C">
            <w:pPr>
              <w:pStyle w:val="32"/>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7D1C153E">
            <w:pPr>
              <w:pStyle w:val="32"/>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36C0C21">
            <w:pPr>
              <w:pStyle w:val="32"/>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3FE322DA">
            <w:pPr>
              <w:pStyle w:val="32"/>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45AEAE7">
            <w:pPr>
              <w:pStyle w:val="32"/>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573B9C5">
            <w:pPr>
              <w:pStyle w:val="32"/>
              <w:spacing w:line="240" w:lineRule="auto"/>
              <w:ind w:firstLine="0" w:firstLineChars="0"/>
              <w:jc w:val="center"/>
              <w:rPr>
                <w:rFonts w:hint="eastAsia" w:ascii="微软雅黑" w:hAnsi="微软雅黑"/>
                <w:color w:val="auto"/>
                <w:sz w:val="21"/>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261BD8CA">
            <w:pPr>
              <w:pStyle w:val="32"/>
              <w:spacing w:line="240" w:lineRule="auto"/>
              <w:ind w:firstLine="0" w:firstLineChars="0"/>
              <w:jc w:val="center"/>
              <w:rPr>
                <w:rFonts w:hint="eastAsia" w:ascii="微软雅黑" w:hAnsi="微软雅黑"/>
                <w:color w:val="auto"/>
                <w:sz w:val="21"/>
                <w:szCs w:val="21"/>
                <w:highlight w:val="none"/>
              </w:rPr>
            </w:pPr>
          </w:p>
        </w:tc>
      </w:tr>
      <w:tr w14:paraId="3B6022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A64730D">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3</w:t>
            </w:r>
          </w:p>
        </w:tc>
        <w:tc>
          <w:tcPr>
            <w:tcW w:w="1074" w:type="dxa"/>
            <w:tcBorders>
              <w:top w:val="single" w:color="auto" w:sz="4" w:space="0"/>
              <w:left w:val="single" w:color="auto" w:sz="4" w:space="0"/>
              <w:bottom w:val="single" w:color="auto" w:sz="4" w:space="0"/>
              <w:right w:val="single" w:color="auto" w:sz="4" w:space="0"/>
            </w:tcBorders>
            <w:vAlign w:val="center"/>
          </w:tcPr>
          <w:p w14:paraId="7CF0DDBB">
            <w:pPr>
              <w:pStyle w:val="32"/>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21D1D78F">
            <w:pPr>
              <w:pStyle w:val="32"/>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1323AE8E">
            <w:pPr>
              <w:pStyle w:val="32"/>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60C49EA9">
            <w:pPr>
              <w:pStyle w:val="32"/>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79D6ED30">
            <w:pPr>
              <w:pStyle w:val="32"/>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2122442D">
            <w:pPr>
              <w:pStyle w:val="32"/>
              <w:spacing w:line="240" w:lineRule="auto"/>
              <w:ind w:firstLine="0" w:firstLineChars="0"/>
              <w:jc w:val="center"/>
              <w:rPr>
                <w:rFonts w:hint="eastAsia" w:ascii="微软雅黑" w:hAnsi="微软雅黑"/>
                <w:color w:val="auto"/>
                <w:sz w:val="21"/>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341FD7C8">
            <w:pPr>
              <w:pStyle w:val="32"/>
              <w:spacing w:line="240" w:lineRule="auto"/>
              <w:ind w:firstLine="0" w:firstLineChars="0"/>
              <w:jc w:val="center"/>
              <w:rPr>
                <w:rFonts w:hint="eastAsia" w:ascii="微软雅黑" w:hAnsi="微软雅黑"/>
                <w:color w:val="auto"/>
                <w:sz w:val="21"/>
                <w:szCs w:val="21"/>
                <w:highlight w:val="none"/>
              </w:rPr>
            </w:pPr>
          </w:p>
        </w:tc>
      </w:tr>
      <w:tr w14:paraId="0B8A13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15505BAF">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4</w:t>
            </w:r>
          </w:p>
        </w:tc>
        <w:tc>
          <w:tcPr>
            <w:tcW w:w="1074" w:type="dxa"/>
            <w:tcBorders>
              <w:top w:val="single" w:color="auto" w:sz="4" w:space="0"/>
              <w:left w:val="single" w:color="auto" w:sz="4" w:space="0"/>
              <w:bottom w:val="single" w:color="auto" w:sz="4" w:space="0"/>
              <w:right w:val="single" w:color="auto" w:sz="4" w:space="0"/>
            </w:tcBorders>
            <w:vAlign w:val="center"/>
          </w:tcPr>
          <w:p w14:paraId="4E12CA73">
            <w:pPr>
              <w:pStyle w:val="32"/>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1CC25AD4">
            <w:pPr>
              <w:pStyle w:val="32"/>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3814345F">
            <w:pPr>
              <w:pStyle w:val="32"/>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688B6948">
            <w:pPr>
              <w:pStyle w:val="32"/>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374BC520">
            <w:pPr>
              <w:pStyle w:val="32"/>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68FEE240">
            <w:pPr>
              <w:pStyle w:val="32"/>
              <w:spacing w:line="240" w:lineRule="auto"/>
              <w:ind w:firstLine="0" w:firstLineChars="0"/>
              <w:jc w:val="center"/>
              <w:rPr>
                <w:rFonts w:hint="eastAsia" w:ascii="微软雅黑" w:hAnsi="微软雅黑"/>
                <w:color w:val="auto"/>
                <w:sz w:val="21"/>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56981493">
            <w:pPr>
              <w:pStyle w:val="32"/>
              <w:spacing w:line="240" w:lineRule="auto"/>
              <w:ind w:firstLine="0" w:firstLineChars="0"/>
              <w:jc w:val="center"/>
              <w:rPr>
                <w:rFonts w:hint="eastAsia" w:ascii="微软雅黑" w:hAnsi="微软雅黑"/>
                <w:color w:val="auto"/>
                <w:sz w:val="21"/>
                <w:szCs w:val="21"/>
                <w:highlight w:val="none"/>
              </w:rPr>
            </w:pPr>
          </w:p>
        </w:tc>
      </w:tr>
      <w:tr w14:paraId="149145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7AA2B14">
            <w:pPr>
              <w:pStyle w:val="32"/>
              <w:spacing w:line="240" w:lineRule="auto"/>
              <w:ind w:firstLine="0" w:firstLineChars="0"/>
              <w:jc w:val="center"/>
              <w:rPr>
                <w:rFonts w:hint="eastAsia" w:ascii="微软雅黑" w:hAnsi="微软雅黑"/>
                <w:color w:val="auto"/>
                <w:sz w:val="21"/>
                <w:szCs w:val="21"/>
                <w:highlight w:val="none"/>
              </w:rPr>
            </w:pPr>
            <w:r>
              <w:rPr>
                <w:rFonts w:ascii="微软雅黑" w:hAnsi="微软雅黑"/>
                <w:color w:val="auto"/>
                <w:sz w:val="21"/>
                <w:szCs w:val="21"/>
                <w:highlight w:val="none"/>
              </w:rPr>
              <w:t>5</w:t>
            </w:r>
          </w:p>
        </w:tc>
        <w:tc>
          <w:tcPr>
            <w:tcW w:w="1074" w:type="dxa"/>
            <w:tcBorders>
              <w:top w:val="single" w:color="auto" w:sz="4" w:space="0"/>
              <w:left w:val="single" w:color="auto" w:sz="4" w:space="0"/>
              <w:bottom w:val="single" w:color="auto" w:sz="4" w:space="0"/>
              <w:right w:val="single" w:color="auto" w:sz="4" w:space="0"/>
            </w:tcBorders>
            <w:vAlign w:val="center"/>
          </w:tcPr>
          <w:p w14:paraId="77203E78">
            <w:pPr>
              <w:pStyle w:val="32"/>
              <w:spacing w:line="240" w:lineRule="auto"/>
              <w:ind w:firstLine="0" w:firstLineChars="0"/>
              <w:jc w:val="center"/>
              <w:rPr>
                <w:rFonts w:hint="eastAsia" w:ascii="微软雅黑" w:hAnsi="微软雅黑"/>
                <w:color w:val="auto"/>
                <w:sz w:val="21"/>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CD39ECF">
            <w:pPr>
              <w:pStyle w:val="32"/>
              <w:spacing w:line="240" w:lineRule="auto"/>
              <w:ind w:firstLine="0" w:firstLineChars="0"/>
              <w:jc w:val="center"/>
              <w:rPr>
                <w:rFonts w:hint="eastAsia" w:ascii="微软雅黑" w:hAnsi="微软雅黑"/>
                <w:color w:val="auto"/>
                <w:sz w:val="21"/>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765F8F8">
            <w:pPr>
              <w:pStyle w:val="32"/>
              <w:spacing w:line="240" w:lineRule="auto"/>
              <w:ind w:firstLine="0" w:firstLineChars="0"/>
              <w:jc w:val="center"/>
              <w:rPr>
                <w:rFonts w:hint="eastAsia" w:ascii="微软雅黑" w:hAnsi="微软雅黑"/>
                <w:color w:val="auto"/>
                <w:sz w:val="21"/>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6D025B72">
            <w:pPr>
              <w:pStyle w:val="32"/>
              <w:spacing w:line="240" w:lineRule="auto"/>
              <w:ind w:firstLine="0" w:firstLineChars="0"/>
              <w:jc w:val="center"/>
              <w:rPr>
                <w:rFonts w:hint="eastAsia" w:ascii="微软雅黑" w:hAnsi="微软雅黑"/>
                <w:color w:val="auto"/>
                <w:sz w:val="21"/>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53917F56">
            <w:pPr>
              <w:pStyle w:val="32"/>
              <w:spacing w:line="240" w:lineRule="auto"/>
              <w:ind w:firstLine="0" w:firstLineChars="0"/>
              <w:jc w:val="center"/>
              <w:rPr>
                <w:rFonts w:hint="eastAsia" w:ascii="微软雅黑" w:hAnsi="微软雅黑"/>
                <w:color w:val="auto"/>
                <w:sz w:val="21"/>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75C3C6FA">
            <w:pPr>
              <w:pStyle w:val="32"/>
              <w:spacing w:line="240" w:lineRule="auto"/>
              <w:ind w:firstLine="0" w:firstLineChars="0"/>
              <w:jc w:val="center"/>
              <w:rPr>
                <w:rFonts w:hint="eastAsia" w:ascii="微软雅黑" w:hAnsi="微软雅黑"/>
                <w:color w:val="auto"/>
                <w:sz w:val="21"/>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37B79C4F">
            <w:pPr>
              <w:pStyle w:val="32"/>
              <w:spacing w:line="240" w:lineRule="auto"/>
              <w:ind w:firstLine="0" w:firstLineChars="0"/>
              <w:jc w:val="center"/>
              <w:rPr>
                <w:rFonts w:hint="eastAsia" w:ascii="微软雅黑" w:hAnsi="微软雅黑"/>
                <w:color w:val="auto"/>
                <w:sz w:val="21"/>
                <w:szCs w:val="21"/>
                <w:highlight w:val="none"/>
              </w:rPr>
            </w:pPr>
          </w:p>
        </w:tc>
      </w:tr>
      <w:tr w14:paraId="16749A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585" w:type="dxa"/>
            <w:tcBorders>
              <w:top w:val="single" w:color="auto" w:sz="4" w:space="0"/>
              <w:left w:val="single" w:color="auto" w:sz="4" w:space="0"/>
              <w:bottom w:val="single" w:color="auto" w:sz="4" w:space="0"/>
              <w:right w:val="single" w:color="auto" w:sz="4" w:space="0"/>
            </w:tcBorders>
            <w:vAlign w:val="center"/>
          </w:tcPr>
          <w:p w14:paraId="43DD9598">
            <w:pPr>
              <w:spacing w:line="240" w:lineRule="auto"/>
              <w:ind w:firstLine="0" w:firstLineChars="0"/>
              <w:rPr>
                <w:rFonts w:hint="eastAsia" w:ascii="微软雅黑" w:hAnsi="微软雅黑"/>
                <w:color w:val="auto"/>
                <w:szCs w:val="21"/>
                <w:highlight w:val="none"/>
              </w:rPr>
            </w:pPr>
            <w:r>
              <w:rPr>
                <w:rFonts w:ascii="微软雅黑" w:hAnsi="微软雅黑"/>
                <w:color w:val="auto"/>
                <w:szCs w:val="21"/>
                <w:highlight w:val="none"/>
              </w:rPr>
              <w:t>…</w:t>
            </w:r>
          </w:p>
        </w:tc>
        <w:tc>
          <w:tcPr>
            <w:tcW w:w="1074" w:type="dxa"/>
            <w:tcBorders>
              <w:top w:val="single" w:color="auto" w:sz="4" w:space="0"/>
              <w:left w:val="single" w:color="auto" w:sz="4" w:space="0"/>
              <w:bottom w:val="single" w:color="auto" w:sz="4" w:space="0"/>
              <w:right w:val="single" w:color="auto" w:sz="4" w:space="0"/>
            </w:tcBorders>
            <w:vAlign w:val="center"/>
          </w:tcPr>
          <w:p w14:paraId="7AAF0170">
            <w:pPr>
              <w:spacing w:line="240" w:lineRule="auto"/>
              <w:ind w:firstLine="0" w:firstLineChars="0"/>
              <w:rPr>
                <w:rFonts w:hint="eastAsia" w:ascii="微软雅黑" w:hAnsi="微软雅黑"/>
                <w:color w:val="auto"/>
                <w:szCs w:val="21"/>
                <w:highlight w:val="none"/>
              </w:rPr>
            </w:pPr>
          </w:p>
        </w:tc>
        <w:tc>
          <w:tcPr>
            <w:tcW w:w="970" w:type="dxa"/>
            <w:tcBorders>
              <w:top w:val="single" w:color="auto" w:sz="4" w:space="0"/>
              <w:left w:val="single" w:color="auto" w:sz="4" w:space="0"/>
              <w:bottom w:val="single" w:color="auto" w:sz="4" w:space="0"/>
              <w:right w:val="single" w:color="auto" w:sz="4" w:space="0"/>
            </w:tcBorders>
            <w:vAlign w:val="center"/>
          </w:tcPr>
          <w:p w14:paraId="59025399">
            <w:pPr>
              <w:spacing w:line="240" w:lineRule="auto"/>
              <w:ind w:firstLine="0" w:firstLineChars="0"/>
              <w:rPr>
                <w:rFonts w:hint="eastAsia" w:ascii="微软雅黑" w:hAnsi="微软雅黑"/>
                <w:color w:val="auto"/>
                <w:szCs w:val="21"/>
                <w:highlight w:val="none"/>
              </w:rPr>
            </w:pPr>
          </w:p>
        </w:tc>
        <w:tc>
          <w:tcPr>
            <w:tcW w:w="709" w:type="dxa"/>
            <w:tcBorders>
              <w:top w:val="single" w:color="auto" w:sz="4" w:space="0"/>
              <w:left w:val="single" w:color="auto" w:sz="4" w:space="0"/>
              <w:bottom w:val="single" w:color="auto" w:sz="4" w:space="0"/>
              <w:right w:val="single" w:color="auto" w:sz="4" w:space="0"/>
            </w:tcBorders>
            <w:vAlign w:val="center"/>
          </w:tcPr>
          <w:p w14:paraId="2BE24C2C">
            <w:pPr>
              <w:spacing w:line="240" w:lineRule="auto"/>
              <w:ind w:firstLine="0" w:firstLineChars="0"/>
              <w:rPr>
                <w:rFonts w:hint="eastAsia" w:ascii="微软雅黑" w:hAnsi="微软雅黑"/>
                <w:color w:val="auto"/>
                <w:szCs w:val="21"/>
                <w:highlight w:val="none"/>
              </w:rPr>
            </w:pPr>
          </w:p>
        </w:tc>
        <w:tc>
          <w:tcPr>
            <w:tcW w:w="1254" w:type="dxa"/>
            <w:tcBorders>
              <w:top w:val="single" w:color="auto" w:sz="4" w:space="0"/>
              <w:left w:val="single" w:color="auto" w:sz="4" w:space="0"/>
              <w:bottom w:val="single" w:color="auto" w:sz="4" w:space="0"/>
              <w:right w:val="single" w:color="auto" w:sz="4" w:space="0"/>
            </w:tcBorders>
            <w:vAlign w:val="center"/>
          </w:tcPr>
          <w:p w14:paraId="30C3762F">
            <w:pPr>
              <w:spacing w:line="240" w:lineRule="auto"/>
              <w:ind w:firstLine="0" w:firstLineChars="0"/>
              <w:rPr>
                <w:rFonts w:hint="eastAsia" w:ascii="微软雅黑" w:hAnsi="微软雅黑"/>
                <w:color w:val="auto"/>
                <w:szCs w:val="21"/>
                <w:highlight w:val="none"/>
              </w:rPr>
            </w:pPr>
          </w:p>
        </w:tc>
        <w:tc>
          <w:tcPr>
            <w:tcW w:w="1454" w:type="dxa"/>
            <w:tcBorders>
              <w:top w:val="single" w:color="auto" w:sz="4" w:space="0"/>
              <w:left w:val="single" w:color="auto" w:sz="4" w:space="0"/>
              <w:bottom w:val="single" w:color="auto" w:sz="4" w:space="0"/>
              <w:right w:val="single" w:color="auto" w:sz="4" w:space="0"/>
            </w:tcBorders>
          </w:tcPr>
          <w:p w14:paraId="66D3D273">
            <w:pPr>
              <w:spacing w:line="240" w:lineRule="auto"/>
              <w:ind w:firstLine="0" w:firstLineChars="0"/>
              <w:rPr>
                <w:rFonts w:hint="eastAsia" w:ascii="微软雅黑" w:hAnsi="微软雅黑"/>
                <w:color w:val="auto"/>
                <w:szCs w:val="21"/>
                <w:highlight w:val="none"/>
              </w:rPr>
            </w:pPr>
          </w:p>
        </w:tc>
        <w:tc>
          <w:tcPr>
            <w:tcW w:w="1134" w:type="dxa"/>
            <w:tcBorders>
              <w:top w:val="single" w:color="auto" w:sz="4" w:space="0"/>
              <w:left w:val="single" w:color="auto" w:sz="4" w:space="0"/>
              <w:bottom w:val="single" w:color="auto" w:sz="4" w:space="0"/>
              <w:right w:val="single" w:color="auto" w:sz="4" w:space="0"/>
            </w:tcBorders>
            <w:vAlign w:val="center"/>
          </w:tcPr>
          <w:p w14:paraId="55993321">
            <w:pPr>
              <w:spacing w:line="240" w:lineRule="auto"/>
              <w:ind w:firstLine="0" w:firstLineChars="0"/>
              <w:rPr>
                <w:rFonts w:hint="eastAsia" w:ascii="微软雅黑" w:hAnsi="微软雅黑"/>
                <w:color w:val="auto"/>
                <w:szCs w:val="21"/>
                <w:highlight w:val="none"/>
              </w:rPr>
            </w:pPr>
          </w:p>
        </w:tc>
        <w:tc>
          <w:tcPr>
            <w:tcW w:w="2079" w:type="dxa"/>
            <w:tcBorders>
              <w:top w:val="single" w:color="auto" w:sz="4" w:space="0"/>
              <w:left w:val="single" w:color="auto" w:sz="4" w:space="0"/>
              <w:bottom w:val="single" w:color="auto" w:sz="4" w:space="0"/>
              <w:right w:val="single" w:color="auto" w:sz="4" w:space="0"/>
            </w:tcBorders>
            <w:vAlign w:val="center"/>
          </w:tcPr>
          <w:p w14:paraId="3C3CFC36">
            <w:pPr>
              <w:spacing w:line="240" w:lineRule="auto"/>
              <w:ind w:firstLine="0" w:firstLineChars="0"/>
              <w:rPr>
                <w:rFonts w:hint="eastAsia" w:ascii="微软雅黑" w:hAnsi="微软雅黑"/>
                <w:color w:val="auto"/>
                <w:szCs w:val="21"/>
                <w:highlight w:val="none"/>
              </w:rPr>
            </w:pPr>
          </w:p>
        </w:tc>
      </w:tr>
    </w:tbl>
    <w:p w14:paraId="33A7859B">
      <w:pPr>
        <w:ind w:firstLine="420"/>
        <w:rPr>
          <w:rFonts w:hint="eastAsia" w:ascii="微软雅黑" w:hAnsi="微软雅黑"/>
          <w:b/>
          <w:color w:val="auto"/>
          <w:szCs w:val="21"/>
          <w:highlight w:val="none"/>
        </w:rPr>
      </w:pPr>
      <w:r>
        <w:rPr>
          <w:rFonts w:ascii="微软雅黑" w:hAnsi="微软雅黑"/>
          <w:b/>
          <w:color w:val="auto"/>
          <w:szCs w:val="21"/>
          <w:highlight w:val="none"/>
        </w:rPr>
        <w:t>注：1、“项目实施人员”指投标单位针对该项目的培训、售后服务等完成本项目所配备的人员。</w:t>
      </w:r>
    </w:p>
    <w:p w14:paraId="245BAF54">
      <w:pPr>
        <w:ind w:firstLine="840" w:firstLineChars="400"/>
        <w:rPr>
          <w:rFonts w:hint="eastAsia" w:ascii="微软雅黑" w:hAnsi="微软雅黑"/>
          <w:b/>
          <w:color w:val="auto"/>
          <w:szCs w:val="21"/>
          <w:highlight w:val="none"/>
        </w:rPr>
      </w:pPr>
      <w:r>
        <w:rPr>
          <w:rFonts w:ascii="微软雅黑" w:hAnsi="微软雅黑"/>
          <w:b/>
          <w:color w:val="auto"/>
          <w:szCs w:val="21"/>
          <w:highlight w:val="none"/>
        </w:rPr>
        <w:t>2、附各专业人员简历及相关证明材料复印件；</w:t>
      </w:r>
    </w:p>
    <w:p w14:paraId="5EE8DF14">
      <w:pPr>
        <w:ind w:firstLine="840" w:firstLineChars="400"/>
        <w:rPr>
          <w:rFonts w:hint="eastAsia" w:ascii="微软雅黑" w:hAnsi="微软雅黑"/>
          <w:b/>
          <w:color w:val="auto"/>
          <w:szCs w:val="21"/>
          <w:highlight w:val="none"/>
        </w:rPr>
      </w:pPr>
      <w:r>
        <w:rPr>
          <w:rFonts w:ascii="微软雅黑" w:hAnsi="微软雅黑"/>
          <w:b/>
          <w:color w:val="auto"/>
          <w:szCs w:val="21"/>
          <w:highlight w:val="none"/>
        </w:rPr>
        <w:t>3、表格不够填写可添加。</w:t>
      </w:r>
    </w:p>
    <w:p w14:paraId="47EE455B">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36AE7D3D">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4F15E94B">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46A5D406">
      <w:pPr>
        <w:pStyle w:val="294"/>
        <w:spacing w:line="360" w:lineRule="auto"/>
        <w:ind w:firstLine="482"/>
        <w:rPr>
          <w:rFonts w:ascii="Times New Roman" w:hAnsi="Times New Roman" w:eastAsia="宋体"/>
          <w:b/>
          <w:color w:val="auto"/>
          <w:sz w:val="24"/>
          <w:szCs w:val="24"/>
          <w:highlight w:val="none"/>
        </w:rPr>
        <w:sectPr>
          <w:type w:val="nextColumn"/>
          <w:pgSz w:w="11906" w:h="16838"/>
          <w:pgMar w:top="1474" w:right="1134" w:bottom="1134" w:left="1474" w:header="851" w:footer="992" w:gutter="0"/>
          <w:cols w:space="720" w:num="1"/>
          <w:titlePg/>
          <w:docGrid w:linePitch="312" w:charSpace="0"/>
        </w:sectPr>
      </w:pPr>
    </w:p>
    <w:p w14:paraId="7EB83849">
      <w:pPr>
        <w:pStyle w:val="294"/>
        <w:spacing w:line="360" w:lineRule="auto"/>
        <w:ind w:firstLine="482"/>
        <w:rPr>
          <w:rFonts w:hint="eastAsia" w:ascii="微软雅黑" w:hAnsi="微软雅黑" w:eastAsia="微软雅黑"/>
          <w:b/>
          <w:color w:val="auto"/>
          <w:sz w:val="21"/>
          <w:szCs w:val="21"/>
          <w:highlight w:val="none"/>
        </w:rPr>
      </w:pPr>
      <w:r>
        <w:rPr>
          <w:rFonts w:hint="eastAsia" w:ascii="微软雅黑" w:hAnsi="微软雅黑" w:eastAsia="微软雅黑"/>
          <w:b/>
          <w:color w:val="auto"/>
          <w:sz w:val="21"/>
          <w:szCs w:val="21"/>
          <w:highlight w:val="none"/>
        </w:rPr>
        <w:t>5.诚信承诺函</w:t>
      </w:r>
    </w:p>
    <w:p w14:paraId="0B4AAF6F">
      <w:pPr>
        <w:pStyle w:val="12"/>
        <w:overflowPunct w:val="0"/>
        <w:jc w:val="center"/>
        <w:rPr>
          <w:rFonts w:hint="eastAsia" w:ascii="微软雅黑" w:hAnsi="微软雅黑"/>
          <w:b/>
          <w:color w:val="auto"/>
          <w:szCs w:val="21"/>
          <w:highlight w:val="none"/>
        </w:rPr>
      </w:pPr>
      <w:r>
        <w:rPr>
          <w:rFonts w:hint="eastAsia" w:ascii="微软雅黑" w:hAnsi="微软雅黑"/>
          <w:b/>
          <w:color w:val="auto"/>
          <w:szCs w:val="21"/>
          <w:highlight w:val="none"/>
        </w:rPr>
        <w:t>诚信承诺函</w:t>
      </w:r>
    </w:p>
    <w:p w14:paraId="0AEB264F">
      <w:pPr>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致 </w:t>
      </w:r>
      <w:r>
        <w:rPr>
          <w:rFonts w:hint="eastAsia" w:ascii="微软雅黑" w:hAnsi="微软雅黑"/>
          <w:b/>
          <w:color w:val="auto"/>
          <w:szCs w:val="21"/>
          <w:highlight w:val="none"/>
          <w:u w:val="single"/>
        </w:rPr>
        <w:t xml:space="preserve">（采购人）       </w:t>
      </w:r>
      <w:r>
        <w:rPr>
          <w:rFonts w:hint="eastAsia" w:ascii="微软雅黑" w:hAnsi="微软雅黑"/>
          <w:color w:val="auto"/>
          <w:szCs w:val="21"/>
          <w:highlight w:val="none"/>
        </w:rPr>
        <w:t>：</w:t>
      </w:r>
    </w:p>
    <w:p w14:paraId="31BC8735">
      <w:pPr>
        <w:ind w:firstLine="420"/>
        <w:rPr>
          <w:rFonts w:hint="eastAsia" w:ascii="微软雅黑" w:hAnsi="微软雅黑"/>
          <w:color w:val="auto"/>
          <w:szCs w:val="21"/>
          <w:highlight w:val="none"/>
        </w:rPr>
      </w:pPr>
      <w:r>
        <w:rPr>
          <w:rFonts w:hint="eastAsia" w:ascii="微软雅黑" w:hAnsi="微软雅黑"/>
          <w:color w:val="auto"/>
          <w:szCs w:val="21"/>
          <w:highlight w:val="none"/>
        </w:rPr>
        <w:t>我方在参加贵单位的</w:t>
      </w:r>
      <w:r>
        <w:rPr>
          <w:rFonts w:hint="eastAsia" w:ascii="微软雅黑" w:hAnsi="微软雅黑"/>
          <w:color w:val="auto"/>
          <w:szCs w:val="21"/>
          <w:highlight w:val="none"/>
          <w:u w:val="single"/>
        </w:rPr>
        <w:t xml:space="preserve">           政府采购项目</w:t>
      </w:r>
      <w:r>
        <w:rPr>
          <w:rFonts w:hint="eastAsia" w:ascii="微软雅黑" w:hAnsi="微软雅黑"/>
          <w:color w:val="auto"/>
          <w:szCs w:val="21"/>
          <w:highlight w:val="none"/>
        </w:rPr>
        <w:t>的招投标活动中，郑重承诺如下：</w:t>
      </w:r>
    </w:p>
    <w:p w14:paraId="1A078129">
      <w:pPr>
        <w:ind w:firstLine="420"/>
        <w:rPr>
          <w:rFonts w:hint="eastAsia" w:ascii="微软雅黑" w:hAnsi="微软雅黑"/>
          <w:color w:val="auto"/>
          <w:szCs w:val="21"/>
          <w:highlight w:val="none"/>
        </w:rPr>
      </w:pPr>
      <w:r>
        <w:rPr>
          <w:rFonts w:hint="eastAsia" w:ascii="微软雅黑" w:hAnsi="微软雅黑"/>
          <w:color w:val="auto"/>
          <w:szCs w:val="21"/>
          <w:highlight w:val="none"/>
        </w:rPr>
        <w:t>1.我方申报的所有资料都是真实、准确、完整的；</w:t>
      </w:r>
    </w:p>
    <w:p w14:paraId="5C0F49C4">
      <w:pPr>
        <w:ind w:firstLine="420"/>
        <w:rPr>
          <w:rFonts w:hint="eastAsia" w:ascii="微软雅黑" w:hAnsi="微软雅黑"/>
          <w:color w:val="auto"/>
          <w:szCs w:val="21"/>
          <w:highlight w:val="none"/>
        </w:rPr>
      </w:pPr>
      <w:r>
        <w:rPr>
          <w:rFonts w:hint="eastAsia" w:ascii="微软雅黑" w:hAnsi="微软雅黑"/>
          <w:color w:val="auto"/>
          <w:szCs w:val="21"/>
          <w:highlight w:val="none"/>
        </w:rPr>
        <w:t>2.我方无资质挂靠情形，保证不参与串标、围标及抬标；</w:t>
      </w:r>
    </w:p>
    <w:p w14:paraId="41717362">
      <w:pPr>
        <w:ind w:firstLine="420"/>
        <w:rPr>
          <w:rFonts w:hint="eastAsia" w:ascii="微软雅黑" w:hAnsi="微软雅黑"/>
          <w:color w:val="auto"/>
          <w:szCs w:val="21"/>
          <w:highlight w:val="none"/>
        </w:rPr>
      </w:pPr>
      <w:r>
        <w:rPr>
          <w:rFonts w:hint="eastAsia" w:ascii="微软雅黑" w:hAnsi="微软雅黑"/>
          <w:color w:val="auto"/>
          <w:szCs w:val="21"/>
          <w:highlight w:val="none"/>
        </w:rPr>
        <w:t>3.我方未处于被各级行政主管部门做出停止市场行为处罚的期限内；</w:t>
      </w:r>
    </w:p>
    <w:p w14:paraId="15BE32F8">
      <w:pPr>
        <w:ind w:firstLine="420"/>
        <w:rPr>
          <w:rFonts w:hint="eastAsia" w:ascii="微软雅黑" w:hAnsi="微软雅黑"/>
          <w:color w:val="auto"/>
          <w:szCs w:val="21"/>
          <w:highlight w:val="none"/>
        </w:rPr>
      </w:pPr>
      <w:r>
        <w:rPr>
          <w:rFonts w:hint="eastAsia" w:ascii="微软雅黑" w:hAnsi="微软雅黑"/>
          <w:color w:val="auto"/>
          <w:szCs w:val="21"/>
          <w:highlight w:val="none"/>
        </w:rPr>
        <w:t>4.我方参加本项目政府采购活动前3年内在经营活动中没有重大违法记录；</w:t>
      </w:r>
    </w:p>
    <w:p w14:paraId="6015ACB7">
      <w:pPr>
        <w:ind w:firstLine="420"/>
        <w:rPr>
          <w:rFonts w:hint="eastAsia" w:ascii="微软雅黑" w:hAnsi="微软雅黑"/>
          <w:color w:val="auto"/>
          <w:szCs w:val="21"/>
          <w:highlight w:val="none"/>
        </w:rPr>
      </w:pPr>
      <w:r>
        <w:rPr>
          <w:rFonts w:hint="eastAsia" w:ascii="微软雅黑" w:hAnsi="微软雅黑"/>
          <w:color w:val="auto"/>
          <w:szCs w:val="21"/>
          <w:highlight w:val="none"/>
        </w:rPr>
        <w:t>5.若我方中标，将严格按照规定及时与采购人签订合同；</w:t>
      </w:r>
    </w:p>
    <w:p w14:paraId="654E1D09">
      <w:pPr>
        <w:ind w:firstLine="420"/>
        <w:rPr>
          <w:rFonts w:hint="eastAsia" w:ascii="微软雅黑" w:hAnsi="微软雅黑"/>
          <w:color w:val="auto"/>
          <w:szCs w:val="21"/>
          <w:highlight w:val="none"/>
        </w:rPr>
      </w:pPr>
      <w:r>
        <w:rPr>
          <w:rFonts w:hint="eastAsia" w:ascii="微软雅黑" w:hAnsi="微软雅黑"/>
          <w:color w:val="auto"/>
          <w:szCs w:val="21"/>
          <w:highlight w:val="none"/>
        </w:rPr>
        <w:t>6.若我方中标，将严格按照招标文件要求及投标文件承诺的报价、质量、工期、投标方案、项目负责人等内容组织实施；</w:t>
      </w:r>
    </w:p>
    <w:p w14:paraId="66C09E3F">
      <w:pPr>
        <w:ind w:firstLine="420"/>
        <w:rPr>
          <w:rFonts w:hint="eastAsia" w:ascii="微软雅黑" w:hAnsi="微软雅黑"/>
          <w:color w:val="auto"/>
          <w:szCs w:val="21"/>
          <w:highlight w:val="none"/>
        </w:rPr>
      </w:pPr>
      <w:r>
        <w:rPr>
          <w:rFonts w:hint="eastAsia" w:ascii="微软雅黑" w:hAnsi="微软雅黑"/>
          <w:color w:val="auto"/>
          <w:szCs w:val="21"/>
          <w:highlight w:val="none"/>
        </w:rPr>
        <w:t>我方若违反上述承诺，隐瞒、提供虚假资料或不按招标文件要求组织实施或参与串标、抬标及围标等行为，被贵方发现或被他人举报查实，无条件接受采购人、行政监管部门作出的取消投标资格、中标资格、解除合同、拒绝后续政府采购投标、不良行为记录等的处罚。对造成的损失，任何法律和经济责任完全由我方负责。</w:t>
      </w:r>
    </w:p>
    <w:p w14:paraId="6C8BFE83">
      <w:pPr>
        <w:ind w:firstLine="420"/>
        <w:rPr>
          <w:rFonts w:hint="eastAsia" w:ascii="微软雅黑" w:hAnsi="微软雅黑"/>
          <w:color w:val="auto"/>
          <w:szCs w:val="21"/>
          <w:highlight w:val="none"/>
        </w:rPr>
      </w:pPr>
      <w:r>
        <w:rPr>
          <w:rFonts w:hint="eastAsia" w:ascii="微软雅黑" w:hAnsi="微软雅黑"/>
          <w:color w:val="auto"/>
          <w:szCs w:val="21"/>
          <w:highlight w:val="none"/>
        </w:rPr>
        <w:t>特此承诺。</w:t>
      </w:r>
    </w:p>
    <w:p w14:paraId="08CCC781">
      <w:pPr>
        <w:wordWrap w:val="0"/>
        <w:snapToGrid w:val="0"/>
        <w:spacing w:before="50" w:after="50"/>
        <w:ind w:firstLine="420"/>
        <w:jc w:val="right"/>
        <w:rPr>
          <w:rFonts w:hint="eastAsia" w:ascii="微软雅黑" w:hAnsi="微软雅黑"/>
          <w:color w:val="auto"/>
          <w:szCs w:val="21"/>
          <w:highlight w:val="none"/>
        </w:rPr>
      </w:pPr>
      <w:r>
        <w:rPr>
          <w:rFonts w:hint="eastAsia" w:ascii="微软雅黑" w:hAnsi="微软雅黑"/>
          <w:color w:val="auto"/>
          <w:szCs w:val="21"/>
          <w:highlight w:val="none"/>
        </w:rPr>
        <w:t xml:space="preserve">法定代表人或被授权人签字（或盖章）：    </w:t>
      </w:r>
    </w:p>
    <w:p w14:paraId="713CF0AE">
      <w:pPr>
        <w:snapToGrid w:val="0"/>
        <w:spacing w:before="50" w:after="50"/>
        <w:ind w:firstLine="420"/>
        <w:jc w:val="center"/>
        <w:rPr>
          <w:rFonts w:hint="eastAsia" w:ascii="微软雅黑" w:hAnsi="微软雅黑"/>
          <w:color w:val="auto"/>
          <w:szCs w:val="21"/>
          <w:highlight w:val="none"/>
        </w:rPr>
      </w:pPr>
      <w:r>
        <w:rPr>
          <w:rFonts w:hint="eastAsia" w:ascii="微软雅黑" w:hAnsi="微软雅黑"/>
          <w:color w:val="auto"/>
          <w:szCs w:val="21"/>
          <w:highlight w:val="none"/>
        </w:rPr>
        <w:t xml:space="preserve">                                     投标供应商（公章）：      　　　　　　　　　　　　　</w:t>
      </w:r>
    </w:p>
    <w:p w14:paraId="7754E3E9">
      <w:pPr>
        <w:spacing w:before="108" w:after="120" w:line="304" w:lineRule="auto"/>
        <w:ind w:right="417" w:firstLine="420"/>
        <w:jc w:val="center"/>
        <w:rPr>
          <w:rFonts w:hint="eastAsia" w:ascii="微软雅黑" w:hAnsi="微软雅黑"/>
          <w:color w:val="auto"/>
          <w:szCs w:val="21"/>
          <w:highlight w:val="none"/>
        </w:rPr>
      </w:pPr>
      <w:r>
        <w:rPr>
          <w:rFonts w:hint="eastAsia" w:ascii="微软雅黑" w:hAnsi="微软雅黑"/>
          <w:color w:val="auto"/>
          <w:szCs w:val="21"/>
          <w:highlight w:val="none"/>
        </w:rPr>
        <w:t xml:space="preserve">                                          日期：   年  月  日</w:t>
      </w:r>
    </w:p>
    <w:p w14:paraId="7F6719C4">
      <w:pPr>
        <w:ind w:firstLine="420"/>
        <w:rPr>
          <w:rFonts w:hint="eastAsia" w:ascii="宋体" w:hAnsi="宋体"/>
          <w:color w:val="auto"/>
          <w:highlight w:val="none"/>
        </w:rPr>
      </w:pPr>
    </w:p>
    <w:p w14:paraId="0208F325">
      <w:pPr>
        <w:snapToGrid w:val="0"/>
        <w:ind w:firstLine="640"/>
        <w:jc w:val="center"/>
        <w:rPr>
          <w:rFonts w:hint="eastAsia" w:ascii="宋体" w:hAnsi="宋体"/>
          <w:b/>
          <w:color w:val="auto"/>
          <w:sz w:val="32"/>
          <w:szCs w:val="32"/>
          <w:highlight w:val="none"/>
        </w:rPr>
        <w:sectPr>
          <w:type w:val="nextColumn"/>
          <w:pgSz w:w="11906" w:h="16838"/>
          <w:pgMar w:top="1474" w:right="1134" w:bottom="1134" w:left="1474" w:header="851" w:footer="992" w:gutter="0"/>
          <w:cols w:space="720" w:num="1"/>
          <w:titlePg/>
          <w:docGrid w:linePitch="312" w:charSpace="0"/>
        </w:sectPr>
      </w:pPr>
    </w:p>
    <w:p w14:paraId="731AF66C">
      <w:pPr>
        <w:snapToGrid w:val="0"/>
        <w:ind w:firstLine="420"/>
        <w:jc w:val="center"/>
        <w:rPr>
          <w:rFonts w:hint="eastAsia" w:ascii="宋体" w:hAnsi="宋体"/>
          <w:b/>
          <w:color w:val="auto"/>
          <w:szCs w:val="21"/>
          <w:highlight w:val="none"/>
        </w:rPr>
      </w:pPr>
      <w:r>
        <w:rPr>
          <w:rFonts w:hint="eastAsia" w:ascii="宋体" w:hAnsi="宋体"/>
          <w:b/>
          <w:color w:val="auto"/>
          <w:szCs w:val="21"/>
          <w:highlight w:val="none"/>
        </w:rPr>
        <w:t>劳动用工书面承诺</w:t>
      </w:r>
    </w:p>
    <w:p w14:paraId="3F2E561A">
      <w:pPr>
        <w:snapToGrid w:val="0"/>
        <w:ind w:firstLine="420"/>
        <w:rPr>
          <w:rFonts w:hint="eastAsia" w:ascii="宋体" w:hAnsi="宋体"/>
          <w:color w:val="auto"/>
          <w:highlight w:val="none"/>
        </w:rPr>
      </w:pPr>
      <w:r>
        <w:rPr>
          <w:rFonts w:hint="eastAsia" w:ascii="宋体" w:hAnsi="宋体"/>
          <w:color w:val="auto"/>
          <w:highlight w:val="none"/>
        </w:rPr>
        <w:t>如我公司在本次招投标中标后成为中标供应商，我公司将严格遵守《民法典》及《劳动合同法》的相关规定，按招标文件的要求及我公司投标文件配置服务人员，按国家规定为员工缴纳社会保险，员工的工资标准不低于嘉兴市最低工资标准，并将所有条款写入劳动用工合同。</w:t>
      </w:r>
    </w:p>
    <w:p w14:paraId="628C500C">
      <w:pPr>
        <w:snapToGrid w:val="0"/>
        <w:ind w:firstLine="420"/>
        <w:rPr>
          <w:rFonts w:hint="eastAsia" w:ascii="宋体" w:hAnsi="宋体"/>
          <w:color w:val="auto"/>
          <w:highlight w:val="none"/>
        </w:rPr>
      </w:pPr>
      <w:r>
        <w:rPr>
          <w:rFonts w:hint="eastAsia" w:ascii="宋体" w:hAnsi="宋体"/>
          <w:color w:val="auto"/>
          <w:highlight w:val="none"/>
        </w:rPr>
        <w:t>特此承诺。</w:t>
      </w:r>
    </w:p>
    <w:p w14:paraId="53653CB9">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法定代表人或其授权代表（签名）：</w:t>
      </w:r>
    </w:p>
    <w:p w14:paraId="5C64835A">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投标供应商（盖章）：</w:t>
      </w:r>
    </w:p>
    <w:p w14:paraId="056C8D68">
      <w:pPr>
        <w:snapToGrid w:val="0"/>
        <w:ind w:left="630" w:leftChars="100" w:hanging="420" w:hangingChars="200"/>
        <w:jc w:val="center"/>
        <w:rPr>
          <w:rFonts w:hint="eastAsia" w:ascii="宋体" w:hAnsi="宋体"/>
          <w:color w:val="auto"/>
          <w:highlight w:val="none"/>
        </w:rPr>
      </w:pPr>
      <w:r>
        <w:rPr>
          <w:rFonts w:hint="eastAsia" w:ascii="宋体" w:hAnsi="宋体"/>
          <w:color w:val="auto"/>
          <w:highlight w:val="none"/>
        </w:rPr>
        <w:t xml:space="preserve">                   日期：</w:t>
      </w:r>
    </w:p>
    <w:p w14:paraId="4006A5BD">
      <w:pPr>
        <w:pStyle w:val="22"/>
        <w:ind w:left="0" w:firstLine="420"/>
        <w:rPr>
          <w:rFonts w:hint="eastAsia" w:hAnsi="宋体"/>
          <w:b/>
          <w:color w:val="auto"/>
          <w:kern w:val="0"/>
          <w:highlight w:val="none"/>
        </w:rPr>
      </w:pPr>
    </w:p>
    <w:p w14:paraId="6EA07404">
      <w:pPr>
        <w:ind w:firstLine="420"/>
        <w:rPr>
          <w:color w:val="auto"/>
          <w:highlight w:val="none"/>
        </w:rPr>
      </w:pPr>
    </w:p>
    <w:p w14:paraId="7A41140C">
      <w:pPr>
        <w:ind w:firstLine="643"/>
        <w:jc w:val="center"/>
        <w:rPr>
          <w:rFonts w:hint="eastAsia" w:ascii="仿宋_GB2312" w:hAnsi="仿宋" w:eastAsia="仿宋_GB2312" w:cs="仿宋_GB2312"/>
          <w:b/>
          <w:color w:val="auto"/>
          <w:kern w:val="0"/>
          <w:sz w:val="32"/>
          <w:szCs w:val="32"/>
          <w:highlight w:val="none"/>
        </w:rPr>
      </w:pPr>
    </w:p>
    <w:p w14:paraId="741FEFBE">
      <w:pPr>
        <w:ind w:firstLine="643"/>
        <w:jc w:val="center"/>
        <w:rPr>
          <w:rFonts w:hint="eastAsia" w:ascii="仿宋_GB2312" w:hAnsi="仿宋" w:eastAsia="仿宋_GB2312" w:cs="仿宋_GB2312"/>
          <w:b/>
          <w:color w:val="auto"/>
          <w:kern w:val="0"/>
          <w:sz w:val="32"/>
          <w:szCs w:val="32"/>
          <w:highlight w:val="none"/>
        </w:rPr>
      </w:pPr>
    </w:p>
    <w:p w14:paraId="668001BD">
      <w:pPr>
        <w:ind w:firstLine="643"/>
        <w:jc w:val="center"/>
        <w:rPr>
          <w:rFonts w:hint="eastAsia" w:ascii="仿宋_GB2312" w:hAnsi="仿宋" w:eastAsia="仿宋_GB2312" w:cs="仿宋_GB2312"/>
          <w:b/>
          <w:color w:val="auto"/>
          <w:kern w:val="0"/>
          <w:sz w:val="32"/>
          <w:szCs w:val="32"/>
          <w:highlight w:val="none"/>
        </w:rPr>
      </w:pPr>
    </w:p>
    <w:p w14:paraId="7396AB32">
      <w:pPr>
        <w:ind w:firstLine="643"/>
        <w:jc w:val="both"/>
        <w:rPr>
          <w:rFonts w:hint="eastAsia" w:ascii="仿宋_GB2312" w:hAnsi="仿宋" w:eastAsia="仿宋_GB2312" w:cs="仿宋_GB2312"/>
          <w:b/>
          <w:color w:val="auto"/>
          <w:kern w:val="0"/>
          <w:sz w:val="32"/>
          <w:szCs w:val="32"/>
          <w:highlight w:val="none"/>
        </w:rPr>
      </w:pPr>
    </w:p>
    <w:p w14:paraId="6004E305">
      <w:pPr>
        <w:ind w:firstLine="643"/>
        <w:jc w:val="center"/>
        <w:rPr>
          <w:rFonts w:hint="eastAsia" w:ascii="仿宋_GB2312" w:hAnsi="仿宋" w:eastAsia="仿宋_GB2312" w:cs="仿宋_GB2312"/>
          <w:b/>
          <w:color w:val="auto"/>
          <w:kern w:val="0"/>
          <w:sz w:val="32"/>
          <w:szCs w:val="32"/>
          <w:highlight w:val="none"/>
        </w:rPr>
      </w:pPr>
    </w:p>
    <w:p w14:paraId="4F48CD5B">
      <w:pPr>
        <w:ind w:firstLine="482"/>
        <w:jc w:val="both"/>
        <w:rPr>
          <w:rFonts w:hint="eastAsia" w:ascii="仿宋_GB2312" w:hAnsi="仿宋" w:eastAsia="仿宋_GB2312" w:cs="仿宋_GB2312"/>
          <w:b/>
          <w:bCs/>
          <w:color w:val="auto"/>
          <w:sz w:val="24"/>
          <w:highlight w:val="none"/>
        </w:rPr>
        <w:sectPr>
          <w:type w:val="nextColumn"/>
          <w:pgSz w:w="11906" w:h="16838"/>
          <w:pgMar w:top="1474" w:right="1134" w:bottom="1134" w:left="1474" w:header="851" w:footer="992" w:gutter="0"/>
          <w:cols w:space="720" w:num="1"/>
          <w:titlePg/>
          <w:docGrid w:linePitch="312" w:charSpace="0"/>
        </w:sectPr>
      </w:pPr>
    </w:p>
    <w:p w14:paraId="0A069A9E">
      <w:pPr>
        <w:pStyle w:val="3"/>
        <w:ind w:firstLine="420"/>
        <w:jc w:val="center"/>
        <w:rPr>
          <w:rFonts w:hint="eastAsia" w:ascii="微软雅黑" w:hAnsi="微软雅黑" w:cs="仿宋_GB2312"/>
          <w:color w:val="auto"/>
          <w:szCs w:val="21"/>
          <w:highlight w:val="none"/>
        </w:rPr>
      </w:pPr>
      <w:bookmarkStart w:id="349" w:name="_Toc3189"/>
      <w:bookmarkStart w:id="350" w:name="_Toc169015155"/>
      <w:r>
        <w:rPr>
          <w:rFonts w:hint="eastAsia" w:ascii="微软雅黑" w:hAnsi="微软雅黑" w:cs="仿宋_GB2312"/>
          <w:color w:val="auto"/>
          <w:szCs w:val="21"/>
          <w:highlight w:val="none"/>
        </w:rPr>
        <w:t>报价文件部分</w:t>
      </w:r>
      <w:bookmarkEnd w:id="349"/>
      <w:bookmarkEnd w:id="350"/>
    </w:p>
    <w:p w14:paraId="6E18BADC">
      <w:pPr>
        <w:ind w:firstLine="420"/>
        <w:jc w:val="center"/>
        <w:outlineLvl w:val="0"/>
        <w:rPr>
          <w:rFonts w:hint="eastAsia" w:ascii="微软雅黑" w:hAnsi="微软雅黑" w:cs="仿宋_GB2312"/>
          <w:b/>
          <w:color w:val="auto"/>
          <w:kern w:val="0"/>
          <w:szCs w:val="21"/>
          <w:highlight w:val="none"/>
        </w:rPr>
      </w:pPr>
      <w:bookmarkStart w:id="351" w:name="_Toc8651"/>
      <w:bookmarkStart w:id="352" w:name="_Toc4766"/>
      <w:bookmarkStart w:id="353" w:name="_Toc169015156"/>
      <w:bookmarkStart w:id="354" w:name="_Toc164943233"/>
      <w:r>
        <w:rPr>
          <w:rFonts w:hint="eastAsia" w:ascii="微软雅黑" w:hAnsi="微软雅黑" w:cs="仿宋_GB2312"/>
          <w:b/>
          <w:color w:val="auto"/>
          <w:kern w:val="0"/>
          <w:szCs w:val="21"/>
          <w:highlight w:val="none"/>
        </w:rPr>
        <w:t>目录</w:t>
      </w:r>
      <w:bookmarkEnd w:id="351"/>
      <w:bookmarkEnd w:id="352"/>
      <w:bookmarkEnd w:id="353"/>
      <w:bookmarkEnd w:id="354"/>
    </w:p>
    <w:p w14:paraId="50D2B773">
      <w:pPr>
        <w:numPr>
          <w:ilvl w:val="0"/>
          <w:numId w:val="28"/>
        </w:numPr>
        <w:snapToGrid w:val="0"/>
        <w:ind w:firstLine="420"/>
        <w:rPr>
          <w:rFonts w:hint="eastAsia" w:ascii="微软雅黑" w:hAnsi="微软雅黑" w:cs="宋体"/>
          <w:color w:val="auto"/>
          <w:szCs w:val="21"/>
          <w:highlight w:val="none"/>
        </w:rPr>
      </w:pPr>
      <w:r>
        <w:rPr>
          <w:rFonts w:hint="eastAsia" w:ascii="微软雅黑" w:hAnsi="微软雅黑" w:cs="宋体"/>
          <w:color w:val="auto"/>
          <w:szCs w:val="21"/>
          <w:highlight w:val="none"/>
        </w:rPr>
        <w:t>开标一览表（报价表）………………………………………………………（页码）</w:t>
      </w:r>
    </w:p>
    <w:p w14:paraId="14D2B9E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80" w:lineRule="exact"/>
        <w:ind w:firstLine="420"/>
        <w:rPr>
          <w:rFonts w:hint="eastAsia" w:ascii="微软雅黑" w:hAnsi="微软雅黑" w:cs="宋体"/>
          <w:color w:val="auto"/>
          <w:kern w:val="0"/>
          <w:szCs w:val="21"/>
          <w:highlight w:val="none"/>
        </w:rPr>
      </w:pPr>
      <w:r>
        <w:rPr>
          <w:rFonts w:hint="eastAsia" w:ascii="微软雅黑" w:hAnsi="微软雅黑" w:cs="宋体"/>
          <w:color w:val="auto"/>
          <w:kern w:val="0"/>
          <w:szCs w:val="21"/>
          <w:highlight w:val="none"/>
        </w:rPr>
        <w:t>（2）落实政府采购政策需满足的资格要求………………………………（页码）</w:t>
      </w:r>
    </w:p>
    <w:p w14:paraId="58D0CB61">
      <w:pPr>
        <w:snapToGrid w:val="0"/>
        <w:ind w:right="480" w:firstLine="643"/>
        <w:jc w:val="center"/>
        <w:rPr>
          <w:rFonts w:hint="eastAsia" w:ascii="仿宋_GB2312" w:hAnsi="仿宋" w:eastAsia="仿宋_GB2312" w:cs="仿宋_GB2312"/>
          <w:b/>
          <w:color w:val="auto"/>
          <w:kern w:val="0"/>
          <w:sz w:val="32"/>
          <w:szCs w:val="32"/>
          <w:highlight w:val="none"/>
        </w:rPr>
      </w:pPr>
    </w:p>
    <w:p w14:paraId="5E812B8A">
      <w:pPr>
        <w:snapToGrid w:val="0"/>
        <w:ind w:right="480" w:firstLine="643"/>
        <w:jc w:val="center"/>
        <w:rPr>
          <w:rFonts w:hint="eastAsia" w:ascii="仿宋_GB2312" w:hAnsi="仿宋" w:eastAsia="仿宋_GB2312" w:cs="仿宋_GB2312"/>
          <w:b/>
          <w:color w:val="auto"/>
          <w:kern w:val="0"/>
          <w:sz w:val="32"/>
          <w:szCs w:val="32"/>
          <w:highlight w:val="none"/>
        </w:rPr>
      </w:pPr>
    </w:p>
    <w:p w14:paraId="646FD8FF">
      <w:pPr>
        <w:snapToGrid w:val="0"/>
        <w:ind w:right="480" w:firstLine="643"/>
        <w:jc w:val="center"/>
        <w:rPr>
          <w:rFonts w:hint="eastAsia" w:ascii="仿宋_GB2312" w:hAnsi="仿宋" w:eastAsia="仿宋_GB2312" w:cs="仿宋_GB2312"/>
          <w:b/>
          <w:color w:val="auto"/>
          <w:kern w:val="0"/>
          <w:sz w:val="32"/>
          <w:szCs w:val="32"/>
          <w:highlight w:val="none"/>
        </w:rPr>
      </w:pPr>
    </w:p>
    <w:p w14:paraId="52429B72">
      <w:pPr>
        <w:snapToGrid w:val="0"/>
        <w:ind w:right="480" w:firstLine="643"/>
        <w:jc w:val="center"/>
        <w:rPr>
          <w:rFonts w:hint="eastAsia" w:ascii="仿宋_GB2312" w:hAnsi="仿宋" w:eastAsia="仿宋_GB2312" w:cs="仿宋_GB2312"/>
          <w:b/>
          <w:color w:val="auto"/>
          <w:kern w:val="0"/>
          <w:sz w:val="32"/>
          <w:szCs w:val="32"/>
          <w:highlight w:val="none"/>
        </w:rPr>
      </w:pPr>
    </w:p>
    <w:p w14:paraId="0660EC3C">
      <w:pPr>
        <w:snapToGrid w:val="0"/>
        <w:ind w:right="480" w:firstLine="643"/>
        <w:jc w:val="center"/>
        <w:rPr>
          <w:rFonts w:hint="eastAsia" w:ascii="仿宋_GB2312" w:hAnsi="仿宋" w:eastAsia="仿宋_GB2312" w:cs="仿宋_GB2312"/>
          <w:b/>
          <w:color w:val="auto"/>
          <w:kern w:val="0"/>
          <w:sz w:val="32"/>
          <w:szCs w:val="32"/>
          <w:highlight w:val="none"/>
        </w:rPr>
      </w:pPr>
    </w:p>
    <w:p w14:paraId="413E5B41">
      <w:pPr>
        <w:snapToGrid w:val="0"/>
        <w:ind w:right="480" w:firstLine="643"/>
        <w:jc w:val="center"/>
        <w:rPr>
          <w:rFonts w:hint="eastAsia" w:ascii="仿宋_GB2312" w:hAnsi="仿宋" w:eastAsia="仿宋_GB2312" w:cs="仿宋_GB2312"/>
          <w:b/>
          <w:color w:val="auto"/>
          <w:kern w:val="0"/>
          <w:sz w:val="32"/>
          <w:szCs w:val="32"/>
          <w:highlight w:val="none"/>
        </w:rPr>
      </w:pPr>
    </w:p>
    <w:p w14:paraId="42AC1D2B">
      <w:pPr>
        <w:snapToGrid w:val="0"/>
        <w:ind w:right="480" w:firstLine="643"/>
        <w:jc w:val="center"/>
        <w:rPr>
          <w:rFonts w:hint="eastAsia" w:ascii="仿宋_GB2312" w:hAnsi="仿宋" w:eastAsia="仿宋_GB2312" w:cs="仿宋_GB2312"/>
          <w:b/>
          <w:color w:val="auto"/>
          <w:kern w:val="0"/>
          <w:sz w:val="32"/>
          <w:szCs w:val="32"/>
          <w:highlight w:val="none"/>
        </w:rPr>
      </w:pPr>
    </w:p>
    <w:p w14:paraId="3EF42CD9">
      <w:pPr>
        <w:snapToGrid w:val="0"/>
        <w:ind w:right="480" w:firstLine="643"/>
        <w:jc w:val="center"/>
        <w:rPr>
          <w:rFonts w:hint="eastAsia" w:ascii="仿宋_GB2312" w:hAnsi="仿宋" w:eastAsia="仿宋_GB2312" w:cs="仿宋_GB2312"/>
          <w:b/>
          <w:color w:val="auto"/>
          <w:kern w:val="0"/>
          <w:sz w:val="32"/>
          <w:szCs w:val="32"/>
          <w:highlight w:val="none"/>
        </w:rPr>
      </w:pPr>
    </w:p>
    <w:p w14:paraId="404666E9">
      <w:pPr>
        <w:snapToGrid w:val="0"/>
        <w:ind w:right="480" w:firstLine="643"/>
        <w:jc w:val="center"/>
        <w:rPr>
          <w:rFonts w:hint="eastAsia" w:ascii="仿宋_GB2312" w:hAnsi="仿宋" w:eastAsia="仿宋_GB2312" w:cs="仿宋_GB2312"/>
          <w:b/>
          <w:color w:val="auto"/>
          <w:kern w:val="0"/>
          <w:sz w:val="32"/>
          <w:szCs w:val="32"/>
          <w:highlight w:val="none"/>
        </w:rPr>
      </w:pPr>
    </w:p>
    <w:p w14:paraId="353F60C4">
      <w:pPr>
        <w:snapToGrid w:val="0"/>
        <w:ind w:right="480" w:firstLine="643"/>
        <w:jc w:val="center"/>
        <w:rPr>
          <w:rFonts w:hint="eastAsia" w:ascii="仿宋_GB2312" w:hAnsi="仿宋" w:eastAsia="仿宋_GB2312" w:cs="仿宋_GB2312"/>
          <w:b/>
          <w:color w:val="auto"/>
          <w:kern w:val="0"/>
          <w:sz w:val="32"/>
          <w:szCs w:val="32"/>
          <w:highlight w:val="none"/>
        </w:rPr>
      </w:pPr>
    </w:p>
    <w:p w14:paraId="37EFDA86">
      <w:pPr>
        <w:snapToGrid w:val="0"/>
        <w:ind w:right="480" w:firstLine="643"/>
        <w:jc w:val="center"/>
        <w:rPr>
          <w:rFonts w:hint="eastAsia" w:ascii="仿宋_GB2312" w:hAnsi="仿宋" w:eastAsia="仿宋_GB2312" w:cs="仿宋_GB2312"/>
          <w:b/>
          <w:color w:val="auto"/>
          <w:kern w:val="0"/>
          <w:sz w:val="32"/>
          <w:szCs w:val="32"/>
          <w:highlight w:val="none"/>
        </w:rPr>
      </w:pPr>
    </w:p>
    <w:p w14:paraId="55A2DAB6">
      <w:pPr>
        <w:ind w:firstLine="420"/>
        <w:rPr>
          <w:color w:val="auto"/>
          <w:highlight w:val="none"/>
        </w:rPr>
        <w:sectPr>
          <w:headerReference r:id="rId21" w:type="default"/>
          <w:footerReference r:id="rId22" w:type="default"/>
          <w:type w:val="nextColumn"/>
          <w:pgSz w:w="11906" w:h="16838"/>
          <w:pgMar w:top="1474" w:right="1134" w:bottom="1134" w:left="1474" w:header="851" w:footer="992" w:gutter="0"/>
          <w:cols w:space="720" w:num="1"/>
          <w:titlePg/>
          <w:docGrid w:linePitch="312" w:charSpace="0"/>
        </w:sectPr>
      </w:pPr>
    </w:p>
    <w:p w14:paraId="7687F384">
      <w:pPr>
        <w:pStyle w:val="295"/>
        <w:keepNext w:val="0"/>
        <w:pageBreakBefore w:val="0"/>
        <w:tabs>
          <w:tab w:val="clear" w:pos="720"/>
        </w:tabs>
        <w:snapToGrid w:val="0"/>
        <w:spacing w:before="120" w:after="120"/>
        <w:ind w:firstLine="640"/>
        <w:outlineLvl w:val="1"/>
        <w:rPr>
          <w:rFonts w:hint="eastAsia" w:ascii="微软雅黑" w:hAnsi="微软雅黑" w:eastAsia="微软雅黑" w:cs="仿宋_GB2312"/>
          <w:color w:val="auto"/>
          <w:kern w:val="2"/>
          <w:sz w:val="21"/>
          <w:szCs w:val="21"/>
          <w:highlight w:val="none"/>
        </w:rPr>
      </w:pPr>
      <w:bookmarkStart w:id="355" w:name="_Toc27753"/>
      <w:r>
        <w:rPr>
          <w:rFonts w:hint="eastAsia" w:ascii="微软雅黑" w:hAnsi="微软雅黑" w:eastAsia="微软雅黑" w:cs="仿宋_GB2312"/>
          <w:color w:val="auto"/>
          <w:kern w:val="2"/>
          <w:sz w:val="21"/>
          <w:szCs w:val="21"/>
          <w:highlight w:val="none"/>
        </w:rPr>
        <w:t>一、开标一览表</w:t>
      </w:r>
      <w:bookmarkEnd w:id="355"/>
    </w:p>
    <w:p w14:paraId="16855D0B">
      <w:pPr>
        <w:snapToGrid w:val="0"/>
        <w:ind w:firstLine="420"/>
        <w:jc w:val="center"/>
        <w:rPr>
          <w:rFonts w:hint="eastAsia" w:ascii="微软雅黑" w:hAnsi="微软雅黑"/>
          <w:color w:val="auto"/>
          <w:szCs w:val="21"/>
          <w:highlight w:val="none"/>
        </w:rPr>
      </w:pPr>
    </w:p>
    <w:p w14:paraId="2688BA00">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 xml:space="preserve">招标编号： </w:t>
      </w:r>
    </w:p>
    <w:p w14:paraId="7653678B">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投标人名称：</w:t>
      </w:r>
    </w:p>
    <w:p w14:paraId="11D9E948">
      <w:pPr>
        <w:snapToGrid w:val="0"/>
        <w:ind w:firstLine="420"/>
        <w:rPr>
          <w:rFonts w:hint="eastAsia" w:ascii="微软雅黑" w:hAnsi="微软雅黑"/>
          <w:color w:val="auto"/>
          <w:szCs w:val="21"/>
          <w:highlight w:val="none"/>
        </w:rPr>
      </w:pPr>
      <w:r>
        <w:rPr>
          <w:rFonts w:hint="eastAsia" w:ascii="微软雅黑" w:hAnsi="微软雅黑"/>
          <w:color w:val="auto"/>
          <w:szCs w:val="21"/>
          <w:highlight w:val="none"/>
        </w:rPr>
        <w:t>单位：元</w:t>
      </w:r>
    </w:p>
    <w:tbl>
      <w:tblPr>
        <w:tblStyle w:val="54"/>
        <w:tblW w:w="864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397"/>
        <w:gridCol w:w="908"/>
        <w:gridCol w:w="1040"/>
        <w:gridCol w:w="3297"/>
      </w:tblGrid>
      <w:tr w14:paraId="34C988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550" w:hRule="atLeast"/>
        </w:trPr>
        <w:tc>
          <w:tcPr>
            <w:tcW w:w="3397" w:type="dxa"/>
            <w:tcBorders>
              <w:top w:val="single" w:color="auto" w:sz="4" w:space="0"/>
              <w:left w:val="single" w:color="auto" w:sz="4" w:space="0"/>
              <w:bottom w:val="single" w:color="auto" w:sz="4" w:space="0"/>
              <w:right w:val="single" w:color="auto" w:sz="4" w:space="0"/>
            </w:tcBorders>
            <w:vAlign w:val="center"/>
          </w:tcPr>
          <w:p w14:paraId="0F7378A7">
            <w:pPr>
              <w:snapToGrid w:val="0"/>
              <w:ind w:firstLine="420"/>
              <w:jc w:val="center"/>
              <w:rPr>
                <w:rFonts w:ascii="微软雅黑" w:hAnsi="微软雅黑"/>
                <w:color w:val="auto"/>
                <w:szCs w:val="21"/>
                <w:highlight w:val="none"/>
              </w:rPr>
            </w:pPr>
            <w:r>
              <w:rPr>
                <w:rFonts w:hint="eastAsia" w:ascii="微软雅黑" w:hAnsi="微软雅黑"/>
                <w:color w:val="auto"/>
                <w:szCs w:val="21"/>
                <w:highlight w:val="none"/>
              </w:rPr>
              <w:t>名称</w:t>
            </w:r>
          </w:p>
        </w:tc>
        <w:tc>
          <w:tcPr>
            <w:tcW w:w="908" w:type="dxa"/>
            <w:tcBorders>
              <w:top w:val="single" w:color="auto" w:sz="4" w:space="0"/>
              <w:left w:val="single" w:color="auto" w:sz="4" w:space="0"/>
              <w:bottom w:val="single" w:color="auto" w:sz="4" w:space="0"/>
              <w:right w:val="single" w:color="auto" w:sz="4" w:space="0"/>
            </w:tcBorders>
            <w:vAlign w:val="center"/>
          </w:tcPr>
          <w:p w14:paraId="5BE84A33">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数量</w:t>
            </w:r>
          </w:p>
        </w:tc>
        <w:tc>
          <w:tcPr>
            <w:tcW w:w="1040" w:type="dxa"/>
            <w:tcBorders>
              <w:top w:val="single" w:color="auto" w:sz="4" w:space="0"/>
              <w:left w:val="single" w:color="auto" w:sz="4" w:space="0"/>
              <w:bottom w:val="single" w:color="auto" w:sz="4" w:space="0"/>
              <w:right w:val="single" w:color="auto" w:sz="4" w:space="0"/>
            </w:tcBorders>
            <w:vAlign w:val="center"/>
          </w:tcPr>
          <w:p w14:paraId="797374D2">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单位</w:t>
            </w:r>
          </w:p>
        </w:tc>
        <w:tc>
          <w:tcPr>
            <w:tcW w:w="3297" w:type="dxa"/>
            <w:tcBorders>
              <w:top w:val="single" w:color="auto" w:sz="4" w:space="0"/>
              <w:left w:val="single" w:color="auto" w:sz="4" w:space="0"/>
              <w:bottom w:val="single" w:color="auto" w:sz="4" w:space="0"/>
              <w:right w:val="single" w:color="auto" w:sz="4" w:space="0"/>
            </w:tcBorders>
            <w:vAlign w:val="center"/>
          </w:tcPr>
          <w:p w14:paraId="5D558483">
            <w:pPr>
              <w:snapToGrid w:val="0"/>
              <w:ind w:firstLine="0" w:firstLineChars="0"/>
              <w:jc w:val="center"/>
              <w:rPr>
                <w:rFonts w:ascii="微软雅黑" w:hAnsi="微软雅黑"/>
                <w:color w:val="auto"/>
                <w:szCs w:val="21"/>
                <w:highlight w:val="none"/>
              </w:rPr>
            </w:pPr>
            <w:r>
              <w:rPr>
                <w:rFonts w:hint="eastAsia" w:ascii="微软雅黑" w:hAnsi="微软雅黑"/>
                <w:color w:val="auto"/>
                <w:szCs w:val="21"/>
                <w:highlight w:val="none"/>
              </w:rPr>
              <w:t>投标报价（元）</w:t>
            </w:r>
          </w:p>
        </w:tc>
      </w:tr>
      <w:tr w14:paraId="7C41C2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02" w:hRule="atLeast"/>
        </w:trPr>
        <w:tc>
          <w:tcPr>
            <w:tcW w:w="3397" w:type="dxa"/>
            <w:tcBorders>
              <w:top w:val="single" w:color="auto" w:sz="4" w:space="0"/>
              <w:left w:val="single" w:color="auto" w:sz="4" w:space="0"/>
              <w:bottom w:val="single" w:color="auto" w:sz="4" w:space="0"/>
              <w:right w:val="single" w:color="auto" w:sz="4" w:space="0"/>
            </w:tcBorders>
            <w:vAlign w:val="center"/>
          </w:tcPr>
          <w:p w14:paraId="3295F4AA">
            <w:pPr>
              <w:spacing w:line="276" w:lineRule="auto"/>
              <w:ind w:firstLine="0" w:firstLineChars="0"/>
              <w:jc w:val="both"/>
              <w:rPr>
                <w:rFonts w:ascii="微软雅黑" w:hAnsi="微软雅黑"/>
                <w:color w:val="auto"/>
                <w:szCs w:val="21"/>
                <w:highlight w:val="none"/>
              </w:rPr>
            </w:pPr>
            <w:r>
              <w:rPr>
                <w:rFonts w:hint="eastAsia"/>
                <w:color w:val="auto"/>
                <w:highlight w:val="none"/>
                <w:lang w:eastAsia="zh-CN"/>
              </w:rPr>
              <w:t>嘉兴市秀洲区精神障碍社区康复服务项目</w:t>
            </w:r>
          </w:p>
        </w:tc>
        <w:tc>
          <w:tcPr>
            <w:tcW w:w="908" w:type="dxa"/>
            <w:tcBorders>
              <w:top w:val="single" w:color="auto" w:sz="4" w:space="0"/>
              <w:left w:val="single" w:color="auto" w:sz="4" w:space="0"/>
              <w:bottom w:val="single" w:color="auto" w:sz="4" w:space="0"/>
              <w:right w:val="single" w:color="auto" w:sz="4" w:space="0"/>
            </w:tcBorders>
            <w:vAlign w:val="center"/>
          </w:tcPr>
          <w:p w14:paraId="3DD7E311">
            <w:pPr>
              <w:snapToGrid w:val="0"/>
              <w:ind w:firstLine="420"/>
              <w:jc w:val="both"/>
              <w:rPr>
                <w:rFonts w:ascii="微软雅黑" w:hAnsi="微软雅黑"/>
                <w:color w:val="auto"/>
                <w:szCs w:val="21"/>
                <w:highlight w:val="none"/>
              </w:rPr>
            </w:pPr>
            <w:r>
              <w:rPr>
                <w:rFonts w:ascii="微软雅黑" w:hAnsi="微软雅黑"/>
                <w:color w:val="auto"/>
                <w:szCs w:val="21"/>
                <w:highlight w:val="none"/>
              </w:rPr>
              <w:t>1</w:t>
            </w:r>
          </w:p>
        </w:tc>
        <w:tc>
          <w:tcPr>
            <w:tcW w:w="1040" w:type="dxa"/>
            <w:tcBorders>
              <w:top w:val="single" w:color="auto" w:sz="4" w:space="0"/>
              <w:left w:val="single" w:color="auto" w:sz="4" w:space="0"/>
              <w:bottom w:val="single" w:color="auto" w:sz="4" w:space="0"/>
              <w:right w:val="single" w:color="auto" w:sz="4" w:space="0"/>
            </w:tcBorders>
            <w:vAlign w:val="center"/>
          </w:tcPr>
          <w:p w14:paraId="1E2EDDB1">
            <w:pPr>
              <w:snapToGrid w:val="0"/>
              <w:ind w:firstLine="420"/>
              <w:jc w:val="both"/>
              <w:rPr>
                <w:rFonts w:ascii="微软雅黑" w:hAnsi="微软雅黑"/>
                <w:color w:val="auto"/>
                <w:szCs w:val="21"/>
                <w:highlight w:val="none"/>
              </w:rPr>
            </w:pPr>
            <w:r>
              <w:rPr>
                <w:rFonts w:hint="eastAsia" w:ascii="微软雅黑" w:hAnsi="微软雅黑"/>
                <w:color w:val="auto"/>
                <w:szCs w:val="21"/>
                <w:highlight w:val="none"/>
              </w:rPr>
              <w:t>批</w:t>
            </w:r>
          </w:p>
        </w:tc>
        <w:tc>
          <w:tcPr>
            <w:tcW w:w="3297" w:type="dxa"/>
            <w:tcBorders>
              <w:top w:val="single" w:color="auto" w:sz="4" w:space="0"/>
              <w:left w:val="single" w:color="auto" w:sz="4" w:space="0"/>
              <w:bottom w:val="single" w:color="auto" w:sz="4" w:space="0"/>
              <w:right w:val="single" w:color="auto" w:sz="4" w:space="0"/>
            </w:tcBorders>
            <w:vAlign w:val="center"/>
          </w:tcPr>
          <w:p w14:paraId="06FB92F7">
            <w:pPr>
              <w:snapToGrid w:val="0"/>
              <w:ind w:firstLine="420"/>
              <w:jc w:val="center"/>
              <w:rPr>
                <w:rFonts w:ascii="微软雅黑" w:hAnsi="微软雅黑"/>
                <w:color w:val="auto"/>
                <w:szCs w:val="21"/>
                <w:highlight w:val="none"/>
              </w:rPr>
            </w:pPr>
          </w:p>
        </w:tc>
      </w:tr>
      <w:tr w14:paraId="5DAAED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706" w:hRule="atLeast"/>
        </w:trPr>
        <w:tc>
          <w:tcPr>
            <w:tcW w:w="8642" w:type="dxa"/>
            <w:gridSpan w:val="4"/>
            <w:tcBorders>
              <w:top w:val="single" w:color="auto" w:sz="4" w:space="0"/>
              <w:left w:val="single" w:color="auto" w:sz="4" w:space="0"/>
              <w:bottom w:val="single" w:color="auto" w:sz="4" w:space="0"/>
              <w:right w:val="single" w:color="auto" w:sz="4" w:space="0"/>
            </w:tcBorders>
            <w:vAlign w:val="center"/>
          </w:tcPr>
          <w:p w14:paraId="01BD7E82">
            <w:pPr>
              <w:snapToGrid w:val="0"/>
              <w:ind w:firstLine="0" w:firstLineChars="0"/>
              <w:rPr>
                <w:rFonts w:ascii="微软雅黑" w:hAnsi="微软雅黑"/>
                <w:color w:val="auto"/>
                <w:szCs w:val="21"/>
                <w:highlight w:val="none"/>
                <w:u w:val="single"/>
              </w:rPr>
            </w:pPr>
            <w:r>
              <w:rPr>
                <w:rFonts w:ascii="微软雅黑" w:hAnsi="微软雅黑"/>
                <w:color w:val="auto"/>
                <w:szCs w:val="21"/>
                <w:highlight w:val="none"/>
              </w:rPr>
              <w:t>合计：大写：                                                  小写：</w:t>
            </w:r>
          </w:p>
        </w:tc>
      </w:tr>
    </w:tbl>
    <w:p w14:paraId="05283408">
      <w:pPr>
        <w:snapToGrid w:val="0"/>
        <w:ind w:firstLine="420"/>
        <w:rPr>
          <w:rFonts w:hint="eastAsia" w:ascii="微软雅黑" w:hAnsi="微软雅黑"/>
          <w:color w:val="auto"/>
          <w:szCs w:val="21"/>
          <w:highlight w:val="none"/>
        </w:rPr>
      </w:pPr>
      <w:r>
        <w:rPr>
          <w:rFonts w:ascii="微软雅黑" w:hAnsi="微软雅黑"/>
          <w:color w:val="auto"/>
          <w:szCs w:val="21"/>
          <w:highlight w:val="none"/>
        </w:rPr>
        <w:t>1</w:t>
      </w:r>
      <w:r>
        <w:rPr>
          <w:rFonts w:hint="eastAsia" w:ascii="微软雅黑" w:hAnsi="微软雅黑"/>
          <w:color w:val="auto"/>
          <w:szCs w:val="21"/>
          <w:highlight w:val="none"/>
        </w:rPr>
        <w:t>、报价一经涂改，应在涂改处加盖单位公章或者由法定代表人或授权委托人签字或盖章，否则其投标作无效标处理。</w:t>
      </w:r>
    </w:p>
    <w:p w14:paraId="6351F907">
      <w:pPr>
        <w:ind w:firstLine="420"/>
        <w:rPr>
          <w:rFonts w:hint="eastAsia" w:ascii="微软雅黑" w:hAnsi="微软雅黑" w:cs="微软雅黑"/>
          <w:color w:val="auto"/>
          <w:szCs w:val="21"/>
          <w:highlight w:val="none"/>
        </w:rPr>
      </w:pPr>
      <w:r>
        <w:rPr>
          <w:rFonts w:hint="eastAsia" w:ascii="微软雅黑" w:hAnsi="微软雅黑" w:cs="微软雅黑"/>
          <w:color w:val="auto"/>
          <w:szCs w:val="21"/>
          <w:highlight w:val="none"/>
        </w:rPr>
        <w:t>▲2、</w:t>
      </w:r>
      <w:r>
        <w:rPr>
          <w:rFonts w:hint="eastAsia" w:ascii="微软雅黑" w:hAnsi="微软雅黑"/>
          <w:color w:val="auto"/>
          <w:szCs w:val="21"/>
          <w:highlight w:val="none"/>
        </w:rPr>
        <w:t>以上报价不得超过上限价，任何超过上限价的报价均导致投标被否决。</w:t>
      </w:r>
    </w:p>
    <w:p w14:paraId="5F0BD7B9">
      <w:pPr>
        <w:pStyle w:val="27"/>
        <w:snapToGrid w:val="0"/>
        <w:ind w:firstLine="420"/>
        <w:rPr>
          <w:rFonts w:hint="eastAsia" w:ascii="微软雅黑" w:hAnsi="微软雅黑"/>
          <w:color w:val="auto"/>
          <w:szCs w:val="21"/>
          <w:highlight w:val="none"/>
        </w:rPr>
      </w:pPr>
    </w:p>
    <w:p w14:paraId="2CAB7607">
      <w:pPr>
        <w:snapToGrid w:val="0"/>
        <w:ind w:firstLine="420"/>
        <w:rPr>
          <w:rFonts w:hint="eastAsia" w:ascii="微软雅黑" w:hAnsi="微软雅黑"/>
          <w:color w:val="auto"/>
          <w:szCs w:val="21"/>
          <w:highlight w:val="none"/>
        </w:rPr>
      </w:pPr>
    </w:p>
    <w:p w14:paraId="338ED975">
      <w:pPr>
        <w:snapToGrid w:val="0"/>
        <w:ind w:left="-46" w:leftChars="-22" w:right="-817" w:rightChars="-389" w:firstLine="525" w:firstLineChars="250"/>
        <w:rPr>
          <w:rFonts w:hint="eastAsia" w:ascii="微软雅黑" w:hAnsi="微软雅黑"/>
          <w:color w:val="auto"/>
          <w:szCs w:val="21"/>
          <w:highlight w:val="none"/>
        </w:rPr>
      </w:pPr>
      <w:r>
        <w:rPr>
          <w:rFonts w:hint="eastAsia" w:ascii="微软雅黑" w:hAnsi="微软雅黑"/>
          <w:color w:val="auto"/>
          <w:szCs w:val="21"/>
          <w:highlight w:val="none"/>
        </w:rPr>
        <w:t>法定代表人或授权代表（签字或盖章）：</w:t>
      </w:r>
    </w:p>
    <w:p w14:paraId="2EB0E6A4">
      <w:pPr>
        <w:ind w:firstLine="420"/>
        <w:rPr>
          <w:rFonts w:hint="eastAsia" w:ascii="微软雅黑" w:hAnsi="微软雅黑"/>
          <w:color w:val="auto"/>
          <w:szCs w:val="21"/>
          <w:highlight w:val="none"/>
        </w:rPr>
      </w:pPr>
      <w:r>
        <w:rPr>
          <w:rFonts w:hint="eastAsia" w:ascii="微软雅黑" w:hAnsi="微软雅黑"/>
          <w:color w:val="auto"/>
          <w:szCs w:val="21"/>
          <w:highlight w:val="none"/>
        </w:rPr>
        <w:t>投标人名称（盖章）：</w:t>
      </w:r>
    </w:p>
    <w:p w14:paraId="258574D0">
      <w:pPr>
        <w:ind w:firstLine="420"/>
        <w:rPr>
          <w:rFonts w:hint="eastAsia" w:ascii="微软雅黑" w:hAnsi="微软雅黑"/>
          <w:color w:val="auto"/>
          <w:szCs w:val="21"/>
          <w:highlight w:val="none"/>
        </w:rPr>
      </w:pPr>
      <w:r>
        <w:rPr>
          <w:rFonts w:hint="eastAsia" w:ascii="微软雅黑" w:hAnsi="微软雅黑"/>
          <w:color w:val="auto"/>
          <w:szCs w:val="21"/>
          <w:highlight w:val="none"/>
        </w:rPr>
        <w:t>日期： 年 月 日</w:t>
      </w:r>
    </w:p>
    <w:p w14:paraId="1F41CFDD">
      <w:pPr>
        <w:pStyle w:val="27"/>
        <w:snapToGrid w:val="0"/>
        <w:ind w:firstLine="420"/>
        <w:rPr>
          <w:rFonts w:hint="eastAsia" w:ascii="微软雅黑" w:hAnsi="微软雅黑"/>
          <w:b/>
          <w:color w:val="auto"/>
          <w:szCs w:val="21"/>
          <w:highlight w:val="none"/>
        </w:rPr>
      </w:pPr>
    </w:p>
    <w:p w14:paraId="1515F36B">
      <w:pPr>
        <w:shd w:val="clear" w:color="auto" w:fill="FFFFFF"/>
        <w:spacing w:line="400" w:lineRule="atLeast"/>
        <w:ind w:firstLine="420"/>
        <w:rPr>
          <w:rFonts w:hint="eastAsia" w:ascii="微软雅黑" w:hAnsi="微软雅黑" w:cs="宋体"/>
          <w:b/>
          <w:color w:val="auto"/>
          <w:szCs w:val="21"/>
          <w:highlight w:val="none"/>
        </w:rPr>
        <w:sectPr>
          <w:footerReference r:id="rId23" w:type="default"/>
          <w:type w:val="nextColumn"/>
          <w:pgSz w:w="11906" w:h="16838"/>
          <w:pgMar w:top="1474" w:right="1134" w:bottom="1134" w:left="1474" w:header="851" w:footer="992" w:gutter="0"/>
          <w:cols w:space="720" w:num="1"/>
          <w:docGrid w:linePitch="312" w:charSpace="0"/>
        </w:sectPr>
      </w:pPr>
    </w:p>
    <w:p w14:paraId="266ACCEE">
      <w:pPr>
        <w:snapToGrid w:val="0"/>
        <w:spacing w:line="440" w:lineRule="exact"/>
        <w:ind w:right="480" w:firstLine="420"/>
        <w:jc w:val="center"/>
        <w:outlineLvl w:val="1"/>
        <w:rPr>
          <w:rFonts w:hint="eastAsia" w:ascii="微软雅黑" w:hAnsi="微软雅黑" w:cs="仿宋_GB2312"/>
          <w:b/>
          <w:color w:val="auto"/>
          <w:kern w:val="0"/>
          <w:szCs w:val="21"/>
          <w:highlight w:val="none"/>
        </w:rPr>
      </w:pPr>
      <w:bookmarkStart w:id="356" w:name="_Toc30054"/>
      <w:r>
        <w:rPr>
          <w:rFonts w:hint="eastAsia" w:ascii="微软雅黑" w:hAnsi="微软雅黑"/>
          <w:color w:val="auto"/>
          <w:szCs w:val="21"/>
          <w:highlight w:val="none"/>
        </w:rPr>
        <w:t>二、</w:t>
      </w:r>
      <w:r>
        <w:rPr>
          <w:rFonts w:hint="eastAsia" w:ascii="微软雅黑" w:hAnsi="微软雅黑" w:cs="仿宋_GB2312"/>
          <w:b/>
          <w:color w:val="auto"/>
          <w:kern w:val="0"/>
          <w:szCs w:val="21"/>
          <w:highlight w:val="none"/>
        </w:rPr>
        <w:t>落实政府采购政策需满足的资格要求</w:t>
      </w:r>
      <w:bookmarkEnd w:id="356"/>
    </w:p>
    <w:p w14:paraId="22608202">
      <w:pPr>
        <w:widowControl/>
        <w:ind w:firstLine="105" w:firstLineChars="50"/>
        <w:rPr>
          <w:b/>
          <w:color w:val="auto"/>
          <w:highlight w:val="none"/>
        </w:rPr>
      </w:pPr>
    </w:p>
    <w:p w14:paraId="5528BEC8">
      <w:pPr>
        <w:widowControl/>
        <w:ind w:firstLine="525" w:firstLineChars="250"/>
        <w:rPr>
          <w:rFonts w:hint="eastAsia" w:ascii="宋体" w:hAnsi="宋体"/>
          <w:color w:val="auto"/>
          <w:kern w:val="0"/>
          <w:highlight w:val="none"/>
        </w:rPr>
      </w:pPr>
      <w:r>
        <w:rPr>
          <w:b/>
          <w:color w:val="auto"/>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w:t>
      </w:r>
      <w:r>
        <w:rPr>
          <w:rFonts w:hint="eastAsia"/>
          <w:b/>
          <w:color w:val="auto"/>
          <w:highlight w:val="none"/>
        </w:rPr>
        <w:t>如非中小企业，可不提供</w:t>
      </w:r>
      <w:r>
        <w:rPr>
          <w:b/>
          <w:color w:val="auto"/>
          <w:highlight w:val="none"/>
        </w:rPr>
        <w:t>]</w:t>
      </w:r>
      <w:r>
        <w:rPr>
          <w:rFonts w:hint="eastAsia"/>
          <w:b/>
          <w:color w:val="auto"/>
          <w:highlight w:val="none"/>
        </w:rPr>
        <w:t>。</w:t>
      </w:r>
    </w:p>
    <w:p w14:paraId="1255D31C">
      <w:pPr>
        <w:snapToGrid w:val="0"/>
        <w:ind w:firstLine="420"/>
        <w:jc w:val="center"/>
        <w:rPr>
          <w:rFonts w:hint="eastAsia" w:ascii="微软雅黑" w:hAnsi="微软雅黑" w:cs="宋体"/>
          <w:b/>
          <w:bCs/>
          <w:color w:val="auto"/>
          <w:szCs w:val="21"/>
          <w:highlight w:val="none"/>
        </w:rPr>
      </w:pPr>
      <w:r>
        <w:rPr>
          <w:rFonts w:hint="eastAsia" w:ascii="微软雅黑" w:hAnsi="微软雅黑" w:cs="宋体"/>
          <w:b/>
          <w:bCs/>
          <w:color w:val="auto"/>
          <w:szCs w:val="21"/>
          <w:highlight w:val="none"/>
        </w:rPr>
        <w:t>中小企业声明函</w:t>
      </w:r>
    </w:p>
    <w:p w14:paraId="2A27D32A">
      <w:pPr>
        <w:pStyle w:val="134"/>
        <w:spacing w:after="120" w:line="360" w:lineRule="auto"/>
        <w:ind w:right="157" w:firstLine="424" w:firstLineChars="202"/>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本公司（联合体）郑重声明，根据《政府采购促进中小企业发展管理办法》（财库﹝2020﹞46 号）的规定，本公司（联合体）参加</w:t>
      </w:r>
      <w:r>
        <w:rPr>
          <w:rFonts w:ascii="微软雅黑" w:hAnsi="微软雅黑" w:eastAsia="微软雅黑"/>
          <w:color w:val="auto"/>
          <w:sz w:val="21"/>
          <w:szCs w:val="21"/>
          <w:highlight w:val="none"/>
          <w:u w:val="single"/>
        </w:rPr>
        <w:t>（单位名称）</w:t>
      </w:r>
      <w:r>
        <w:rPr>
          <w:rFonts w:ascii="微软雅黑" w:hAnsi="微软雅黑" w:eastAsia="微软雅黑"/>
          <w:color w:val="auto"/>
          <w:sz w:val="21"/>
          <w:szCs w:val="21"/>
          <w:highlight w:val="none"/>
        </w:rPr>
        <w:t>的</w:t>
      </w:r>
      <w:r>
        <w:rPr>
          <w:rFonts w:ascii="微软雅黑" w:hAnsi="微软雅黑" w:eastAsia="微软雅黑"/>
          <w:color w:val="auto"/>
          <w:sz w:val="21"/>
          <w:szCs w:val="21"/>
          <w:highlight w:val="none"/>
          <w:u w:val="single"/>
        </w:rPr>
        <w:t>（项目名称）</w:t>
      </w:r>
      <w:r>
        <w:rPr>
          <w:rFonts w:ascii="微软雅黑" w:hAnsi="微软雅黑" w:eastAsia="微软雅黑"/>
          <w:color w:val="auto"/>
          <w:sz w:val="21"/>
          <w:szCs w:val="21"/>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356B9683">
      <w:pPr>
        <w:pStyle w:val="134"/>
        <w:spacing w:after="120" w:line="360" w:lineRule="auto"/>
        <w:ind w:right="157" w:firstLine="424" w:firstLineChars="202"/>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1.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人，营业收入为</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万元，资产总额为</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万元，属于（中型企业、小型企业、微型企业）；</w:t>
      </w:r>
    </w:p>
    <w:p w14:paraId="3B57C343">
      <w:pPr>
        <w:pStyle w:val="134"/>
        <w:spacing w:after="120" w:line="360" w:lineRule="auto"/>
        <w:ind w:right="157" w:firstLine="424" w:firstLineChars="202"/>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 xml:space="preserve">2. </w:t>
      </w:r>
      <w:r>
        <w:rPr>
          <w:rFonts w:ascii="微软雅黑" w:hAnsi="微软雅黑" w:eastAsia="微软雅黑"/>
          <w:color w:val="auto"/>
          <w:sz w:val="21"/>
          <w:szCs w:val="21"/>
          <w:highlight w:val="none"/>
          <w:u w:val="single"/>
        </w:rPr>
        <w:t>（标的名称）</w:t>
      </w:r>
      <w:r>
        <w:rPr>
          <w:rFonts w:ascii="微软雅黑" w:hAnsi="微软雅黑" w:eastAsia="微软雅黑"/>
          <w:color w:val="auto"/>
          <w:sz w:val="21"/>
          <w:szCs w:val="21"/>
          <w:highlight w:val="none"/>
        </w:rPr>
        <w:t>，属于</w:t>
      </w:r>
      <w:r>
        <w:rPr>
          <w:rFonts w:ascii="微软雅黑" w:hAnsi="微软雅黑" w:eastAsia="微软雅黑"/>
          <w:color w:val="auto"/>
          <w:sz w:val="21"/>
          <w:szCs w:val="21"/>
          <w:highlight w:val="none"/>
          <w:u w:val="single"/>
        </w:rPr>
        <w:t>（采购文件中明确的所属行业）</w:t>
      </w:r>
      <w:r>
        <w:rPr>
          <w:rFonts w:ascii="微软雅黑" w:hAnsi="微软雅黑" w:eastAsia="微软雅黑"/>
          <w:color w:val="auto"/>
          <w:sz w:val="21"/>
          <w:szCs w:val="21"/>
          <w:highlight w:val="none"/>
        </w:rPr>
        <w:t>；承建（承接）企业为</w:t>
      </w:r>
      <w:r>
        <w:rPr>
          <w:rFonts w:ascii="微软雅黑" w:hAnsi="微软雅黑" w:eastAsia="微软雅黑"/>
          <w:color w:val="auto"/>
          <w:sz w:val="21"/>
          <w:szCs w:val="21"/>
          <w:highlight w:val="none"/>
          <w:u w:val="single"/>
        </w:rPr>
        <w:t>（企业名称）</w:t>
      </w:r>
      <w:r>
        <w:rPr>
          <w:rFonts w:ascii="微软雅黑" w:hAnsi="微软雅黑" w:eastAsia="微软雅黑"/>
          <w:color w:val="auto"/>
          <w:sz w:val="21"/>
          <w:szCs w:val="21"/>
          <w:highlight w:val="none"/>
        </w:rPr>
        <w:t>，从业人员</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人，营业收入为</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万元，资产总额为</w:t>
      </w:r>
      <w:r>
        <w:rPr>
          <w:rFonts w:hint="eastAsia" w:ascii="微软雅黑" w:hAnsi="微软雅黑" w:eastAsia="微软雅黑"/>
          <w:color w:val="auto"/>
          <w:sz w:val="21"/>
          <w:szCs w:val="21"/>
          <w:highlight w:val="none"/>
          <w:u w:val="single"/>
          <w:lang w:val="en-US" w:eastAsia="zh-CN"/>
        </w:rPr>
        <w:t xml:space="preserve">     </w:t>
      </w:r>
      <w:r>
        <w:rPr>
          <w:rFonts w:ascii="微软雅黑" w:hAnsi="微软雅黑" w:eastAsia="微软雅黑"/>
          <w:color w:val="auto"/>
          <w:sz w:val="21"/>
          <w:szCs w:val="21"/>
          <w:highlight w:val="none"/>
        </w:rPr>
        <w:t>万元，属于</w:t>
      </w:r>
      <w:r>
        <w:rPr>
          <w:rFonts w:ascii="微软雅黑" w:hAnsi="微软雅黑" w:eastAsia="微软雅黑"/>
          <w:color w:val="auto"/>
          <w:sz w:val="21"/>
          <w:szCs w:val="21"/>
          <w:highlight w:val="none"/>
          <w:u w:val="single"/>
        </w:rPr>
        <w:t>（中型企业、小型企业、微型企业）</w:t>
      </w:r>
      <w:r>
        <w:rPr>
          <w:rFonts w:ascii="微软雅黑" w:hAnsi="微软雅黑" w:eastAsia="微软雅黑"/>
          <w:color w:val="auto"/>
          <w:sz w:val="21"/>
          <w:szCs w:val="21"/>
          <w:highlight w:val="none"/>
        </w:rPr>
        <w:t>；</w:t>
      </w:r>
    </w:p>
    <w:p w14:paraId="3FCB5ED9">
      <w:pPr>
        <w:pStyle w:val="134"/>
        <w:spacing w:after="120" w:line="360" w:lineRule="auto"/>
        <w:ind w:right="157" w:firstLine="875" w:firstLineChars="417"/>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w:t>
      </w:r>
    </w:p>
    <w:p w14:paraId="5C4C6F31">
      <w:pPr>
        <w:pStyle w:val="134"/>
        <w:spacing w:after="120" w:line="360" w:lineRule="auto"/>
        <w:ind w:right="157" w:firstLine="420"/>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以上企业，不属于大企业的分支机构，不存在控股股东为大企业的情形，也不存在与大企业的负责人为同一人的情形。</w:t>
      </w:r>
    </w:p>
    <w:p w14:paraId="6E8D5CA3">
      <w:pPr>
        <w:pStyle w:val="134"/>
        <w:spacing w:after="120" w:line="360" w:lineRule="auto"/>
        <w:ind w:right="157" w:firstLine="420"/>
        <w:rPr>
          <w:rFonts w:ascii="微软雅黑" w:hAnsi="微软雅黑" w:eastAsia="微软雅黑"/>
          <w:color w:val="auto"/>
          <w:sz w:val="21"/>
          <w:szCs w:val="21"/>
          <w:highlight w:val="none"/>
        </w:rPr>
      </w:pPr>
      <w:r>
        <w:rPr>
          <w:rFonts w:ascii="微软雅黑" w:hAnsi="微软雅黑" w:eastAsia="微软雅黑"/>
          <w:color w:val="auto"/>
          <w:sz w:val="21"/>
          <w:szCs w:val="21"/>
          <w:highlight w:val="none"/>
        </w:rPr>
        <w:t>本企业对上述声明内容的真实性负责。如有虚假，将依法承担相应责任。</w:t>
      </w:r>
    </w:p>
    <w:p w14:paraId="10E98544">
      <w:pPr>
        <w:pStyle w:val="120"/>
        <w:rPr>
          <w:rFonts w:ascii="微软雅黑" w:hAnsi="微软雅黑" w:eastAsia="微软雅黑"/>
          <w:color w:val="auto"/>
          <w:sz w:val="21"/>
          <w:szCs w:val="21"/>
          <w:highlight w:val="none"/>
        </w:rPr>
      </w:pPr>
    </w:p>
    <w:p w14:paraId="5E2EFF32">
      <w:pPr>
        <w:pStyle w:val="120"/>
        <w:rPr>
          <w:rFonts w:ascii="微软雅黑" w:hAnsi="微软雅黑" w:eastAsia="微软雅黑"/>
          <w:color w:val="auto"/>
          <w:sz w:val="21"/>
          <w:szCs w:val="21"/>
          <w:highlight w:val="none"/>
        </w:rPr>
      </w:pPr>
    </w:p>
    <w:p w14:paraId="1BAB013C">
      <w:pPr>
        <w:pStyle w:val="134"/>
        <w:spacing w:after="120" w:line="360" w:lineRule="auto"/>
        <w:ind w:right="157" w:firstLine="500"/>
        <w:rPr>
          <w:rFonts w:ascii="微软雅黑" w:hAnsi="微软雅黑" w:eastAsia="微软雅黑"/>
          <w:color w:val="auto"/>
          <w:spacing w:val="20"/>
          <w:sz w:val="21"/>
          <w:szCs w:val="21"/>
          <w:highlight w:val="none"/>
          <w:u w:val="single"/>
        </w:rPr>
      </w:pPr>
      <w:r>
        <w:rPr>
          <w:rFonts w:ascii="微软雅黑" w:hAnsi="微软雅黑" w:eastAsia="微软雅黑"/>
          <w:color w:val="auto"/>
          <w:spacing w:val="20"/>
          <w:sz w:val="21"/>
          <w:szCs w:val="21"/>
          <w:highlight w:val="none"/>
        </w:rPr>
        <w:t>供应商名称：</w:t>
      </w:r>
      <w:r>
        <w:rPr>
          <w:rFonts w:ascii="微软雅黑" w:hAnsi="微软雅黑" w:eastAsia="微软雅黑"/>
          <w:color w:val="auto"/>
          <w:spacing w:val="20"/>
          <w:sz w:val="21"/>
          <w:szCs w:val="21"/>
          <w:highlight w:val="none"/>
          <w:u w:val="single"/>
        </w:rPr>
        <w:t>（盖章）</w:t>
      </w:r>
      <w:r>
        <w:rPr>
          <w:rFonts w:ascii="微软雅黑" w:hAnsi="微软雅黑" w:eastAsia="微软雅黑"/>
          <w:color w:val="auto"/>
          <w:spacing w:val="20"/>
          <w:sz w:val="21"/>
          <w:szCs w:val="21"/>
          <w:highlight w:val="none"/>
        </w:rPr>
        <w:t>日期：</w:t>
      </w:r>
    </w:p>
    <w:p w14:paraId="18EB38E6">
      <w:pPr>
        <w:pStyle w:val="120"/>
        <w:ind w:firstLine="420"/>
        <w:rPr>
          <w:rFonts w:ascii="微软雅黑" w:hAnsi="微软雅黑" w:eastAsia="微软雅黑"/>
          <w:color w:val="auto"/>
          <w:sz w:val="21"/>
          <w:szCs w:val="21"/>
          <w:highlight w:val="none"/>
        </w:rPr>
      </w:pPr>
    </w:p>
    <w:p w14:paraId="5A924030">
      <w:pPr>
        <w:pStyle w:val="40"/>
        <w:ind w:firstLine="420"/>
        <w:rPr>
          <w:rFonts w:hint="eastAsia" w:ascii="微软雅黑" w:hAnsi="微软雅黑"/>
          <w:color w:val="auto"/>
          <w:sz w:val="21"/>
          <w:szCs w:val="21"/>
          <w:highlight w:val="none"/>
        </w:rPr>
      </w:pPr>
      <w:r>
        <w:rPr>
          <w:rFonts w:ascii="微软雅黑" w:hAnsi="微软雅黑"/>
          <w:color w:val="auto"/>
          <w:sz w:val="21"/>
          <w:szCs w:val="21"/>
          <w:highlight w:val="none"/>
        </w:rPr>
        <w:t>从业人员、营业收入、资产总额填报上一年度数据，无上一年度数据的新成立企业可不填报。</w:t>
      </w:r>
    </w:p>
    <w:p w14:paraId="3D697E16">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注：</w:t>
      </w:r>
    </w:p>
    <w:p w14:paraId="5DAEBF1A">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声明内容不实的，属于提供虚假材料谋取中标、成交的，依法承担法律责任。</w:t>
      </w:r>
    </w:p>
    <w:p w14:paraId="0B15EAA2">
      <w:pPr>
        <w:snapToGrid w:val="0"/>
        <w:ind w:firstLine="420" w:firstLineChars="0"/>
        <w:rPr>
          <w:rFonts w:hint="eastAsia" w:ascii="微软雅黑" w:hAnsi="微软雅黑" w:cs="宋体"/>
          <w:color w:val="auto"/>
          <w:szCs w:val="21"/>
          <w:highlight w:val="none"/>
        </w:rPr>
      </w:pPr>
      <w:r>
        <w:rPr>
          <w:rFonts w:hint="eastAsia" w:ascii="微软雅黑" w:hAnsi="微软雅黑" w:cs="宋体"/>
          <w:color w:val="auto"/>
          <w:szCs w:val="21"/>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7015F005">
      <w:pPr>
        <w:snapToGrid w:val="0"/>
        <w:ind w:firstLine="420" w:firstLineChars="0"/>
        <w:rPr>
          <w:rFonts w:hint="eastAsia" w:ascii="微软雅黑" w:hAnsi="微软雅黑" w:cs="仿宋_GB2312"/>
          <w:color w:val="auto"/>
          <w:szCs w:val="21"/>
          <w:highlight w:val="none"/>
        </w:rPr>
        <w:sectPr>
          <w:type w:val="nextColumn"/>
          <w:pgSz w:w="11906" w:h="16838"/>
          <w:pgMar w:top="1474" w:right="1134" w:bottom="1134" w:left="1474" w:header="851" w:footer="992" w:gutter="0"/>
          <w:cols w:space="720" w:num="1"/>
          <w:titlePg/>
          <w:docGrid w:linePitch="312" w:charSpace="0"/>
        </w:sectPr>
      </w:pPr>
      <w:r>
        <w:rPr>
          <w:rFonts w:hint="eastAsia" w:ascii="微软雅黑" w:hAnsi="微软雅黑" w:cs="宋体"/>
          <w:b/>
          <w:bCs/>
          <w:color w:val="auto"/>
          <w:szCs w:val="21"/>
          <w:highlight w:val="none"/>
        </w:rPr>
        <w:t>3.根据实际情况，在（</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中型企业、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小型企业、</w:t>
      </w:r>
      <w:r>
        <w:rPr>
          <w:rFonts w:hint="eastAsia" w:ascii="微软雅黑" w:hAnsi="微软雅黑" w:cs="宋体"/>
          <w:b/>
          <w:bCs/>
          <w:color w:val="auto"/>
          <w:szCs w:val="21"/>
          <w:highlight w:val="none"/>
        </w:rPr>
        <w:sym w:font="Wingdings" w:char="00A8"/>
      </w:r>
      <w:r>
        <w:rPr>
          <w:rFonts w:hint="eastAsia" w:ascii="微软雅黑" w:hAnsi="微软雅黑" w:cs="宋体"/>
          <w:b/>
          <w:bCs/>
          <w:color w:val="auto"/>
          <w:szCs w:val="21"/>
          <w:highlight w:val="none"/>
        </w:rPr>
        <w:t>微型企业）处进行勾选。</w:t>
      </w:r>
    </w:p>
    <w:p w14:paraId="26450A76">
      <w:pPr>
        <w:pStyle w:val="295"/>
        <w:keepNext w:val="0"/>
        <w:pageBreakBefore w:val="0"/>
        <w:tabs>
          <w:tab w:val="clear" w:pos="720"/>
        </w:tabs>
        <w:snapToGrid w:val="0"/>
        <w:spacing w:before="120" w:after="120"/>
        <w:ind w:firstLine="640"/>
        <w:outlineLvl w:val="1"/>
        <w:rPr>
          <w:rFonts w:hint="eastAsia" w:ascii="微软雅黑" w:hAnsi="微软雅黑" w:eastAsia="微软雅黑" w:cs="仿宋_GB2312"/>
          <w:color w:val="auto"/>
          <w:kern w:val="2"/>
          <w:sz w:val="21"/>
          <w:szCs w:val="21"/>
          <w:highlight w:val="none"/>
        </w:rPr>
      </w:pPr>
      <w:bookmarkStart w:id="357" w:name="_Toc21910"/>
      <w:r>
        <w:rPr>
          <w:rFonts w:hint="eastAsia" w:ascii="微软雅黑" w:hAnsi="微软雅黑" w:eastAsia="微软雅黑" w:cs="仿宋_GB2312"/>
          <w:color w:val="auto"/>
          <w:kern w:val="2"/>
          <w:sz w:val="21"/>
          <w:szCs w:val="21"/>
          <w:highlight w:val="none"/>
        </w:rPr>
        <w:t>三、残疾人福利性单位声明函</w:t>
      </w:r>
      <w:bookmarkEnd w:id="357"/>
    </w:p>
    <w:p w14:paraId="44E4988F">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本单位郑重声明，根据《财政部民政部中国残疾人联合会关于促进残疾人就业政府采购政策的通知》（财库〔2017〕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1446C31">
      <w:pPr>
        <w:widowControl/>
        <w:ind w:firstLine="420"/>
        <w:textAlignment w:val="top"/>
        <w:rPr>
          <w:rFonts w:hint="eastAsia" w:ascii="微软雅黑" w:hAnsi="微软雅黑"/>
          <w:color w:val="auto"/>
          <w:kern w:val="0"/>
          <w:szCs w:val="21"/>
          <w:highlight w:val="none"/>
        </w:rPr>
      </w:pPr>
      <w:r>
        <w:rPr>
          <w:rFonts w:hint="eastAsia" w:ascii="微软雅黑" w:hAnsi="微软雅黑"/>
          <w:color w:val="auto"/>
          <w:kern w:val="0"/>
          <w:szCs w:val="21"/>
          <w:highlight w:val="none"/>
        </w:rPr>
        <w:t>      本单位对上述声明的真实性负责。如有虚假，将依法承担相应责任。</w:t>
      </w:r>
    </w:p>
    <w:p w14:paraId="2CBE9653">
      <w:pPr>
        <w:snapToGrid w:val="0"/>
        <w:spacing w:before="120" w:beforeLines="50"/>
        <w:ind w:firstLine="420"/>
        <w:jc w:val="center"/>
        <w:rPr>
          <w:rFonts w:hint="eastAsia" w:ascii="微软雅黑" w:hAnsi="微软雅黑" w:cs="Arial"/>
          <w:color w:val="auto"/>
          <w:kern w:val="0"/>
          <w:szCs w:val="21"/>
          <w:highlight w:val="none"/>
        </w:rPr>
      </w:pPr>
    </w:p>
    <w:p w14:paraId="0722186F">
      <w:pPr>
        <w:snapToGrid w:val="0"/>
        <w:spacing w:before="120" w:beforeLines="50"/>
        <w:ind w:firstLine="420"/>
        <w:jc w:val="center"/>
        <w:rPr>
          <w:rFonts w:hint="eastAsia" w:ascii="微软雅黑" w:hAnsi="微软雅黑"/>
          <w:color w:val="auto"/>
          <w:szCs w:val="21"/>
          <w:highlight w:val="none"/>
          <w:u w:val="single"/>
        </w:rPr>
      </w:pPr>
      <w:r>
        <w:rPr>
          <w:rFonts w:hint="eastAsia" w:ascii="微软雅黑" w:hAnsi="微软雅黑" w:cs="Arial"/>
          <w:color w:val="auto"/>
          <w:kern w:val="0"/>
          <w:szCs w:val="21"/>
          <w:highlight w:val="none"/>
        </w:rPr>
        <w:t xml:space="preserve"> 法定代表人或</w:t>
      </w:r>
      <w:r>
        <w:rPr>
          <w:rFonts w:hint="eastAsia" w:ascii="微软雅黑" w:hAnsi="微软雅黑"/>
          <w:color w:val="auto"/>
          <w:szCs w:val="21"/>
          <w:highlight w:val="none"/>
        </w:rPr>
        <w:t>被授权人签字（或盖章）：</w:t>
      </w:r>
    </w:p>
    <w:p w14:paraId="343F0722">
      <w:pPr>
        <w:pStyle w:val="122"/>
        <w:ind w:firstLine="420"/>
        <w:jc w:val="center"/>
        <w:rPr>
          <w:rFonts w:hint="eastAsia" w:ascii="微软雅黑" w:hAnsi="微软雅黑" w:eastAsia="微软雅黑" w:cs="宋体"/>
          <w:color w:val="auto"/>
          <w:sz w:val="21"/>
          <w:szCs w:val="21"/>
          <w:highlight w:val="none"/>
        </w:rPr>
      </w:pPr>
      <w:r>
        <w:rPr>
          <w:rFonts w:hint="eastAsia" w:ascii="微软雅黑" w:hAnsi="微软雅黑" w:eastAsia="微软雅黑" w:cs="宋体"/>
          <w:color w:val="auto"/>
          <w:sz w:val="21"/>
          <w:szCs w:val="21"/>
          <w:highlight w:val="none"/>
        </w:rPr>
        <w:t xml:space="preserve">             供应商名称（公章）：</w:t>
      </w:r>
    </w:p>
    <w:p w14:paraId="283B163C">
      <w:pPr>
        <w:pStyle w:val="122"/>
        <w:ind w:firstLine="420"/>
        <w:jc w:val="center"/>
        <w:rPr>
          <w:rFonts w:hint="eastAsia" w:ascii="微软雅黑" w:hAnsi="微软雅黑" w:eastAsia="微软雅黑"/>
          <w:color w:val="auto"/>
          <w:sz w:val="21"/>
          <w:szCs w:val="21"/>
          <w:highlight w:val="none"/>
        </w:rPr>
      </w:pPr>
      <w:r>
        <w:rPr>
          <w:rFonts w:hint="eastAsia" w:ascii="微软雅黑" w:hAnsi="微软雅黑" w:eastAsia="微软雅黑"/>
          <w:color w:val="auto"/>
          <w:sz w:val="21"/>
          <w:szCs w:val="21"/>
          <w:highlight w:val="none"/>
        </w:rPr>
        <w:t xml:space="preserve">          日期： 年 月 日</w:t>
      </w:r>
    </w:p>
    <w:p w14:paraId="4A825F97">
      <w:pPr>
        <w:widowControl/>
        <w:ind w:right="480" w:firstLine="6825" w:firstLineChars="3250"/>
        <w:textAlignment w:val="top"/>
        <w:rPr>
          <w:rFonts w:hint="eastAsia" w:ascii="宋体" w:hAnsi="宋体"/>
          <w:color w:val="auto"/>
          <w:kern w:val="0"/>
          <w:szCs w:val="21"/>
          <w:highlight w:val="none"/>
        </w:rPr>
      </w:pPr>
    </w:p>
    <w:p w14:paraId="741E6761">
      <w:pPr>
        <w:pStyle w:val="19"/>
        <w:ind w:firstLine="420"/>
        <w:rPr>
          <w:color w:val="auto"/>
          <w:highlight w:val="none"/>
        </w:rPr>
      </w:pPr>
    </w:p>
    <w:p w14:paraId="0FF58DBC">
      <w:pPr>
        <w:pStyle w:val="19"/>
        <w:ind w:firstLine="420"/>
        <w:rPr>
          <w:color w:val="auto"/>
          <w:highlight w:val="none"/>
        </w:rPr>
      </w:pPr>
    </w:p>
    <w:p w14:paraId="75F2D13B">
      <w:pPr>
        <w:pStyle w:val="51"/>
        <w:ind w:firstLine="480"/>
        <w:rPr>
          <w:rFonts w:hint="eastAsia"/>
          <w:color w:val="auto"/>
          <w:highlight w:val="none"/>
        </w:rPr>
      </w:pPr>
    </w:p>
    <w:p w14:paraId="52A49407">
      <w:pPr>
        <w:pStyle w:val="51"/>
        <w:ind w:firstLine="480"/>
        <w:rPr>
          <w:rFonts w:hint="eastAsia"/>
          <w:color w:val="auto"/>
          <w:highlight w:val="none"/>
        </w:rPr>
      </w:pPr>
    </w:p>
    <w:p w14:paraId="56EBB7A2">
      <w:pPr>
        <w:pStyle w:val="51"/>
        <w:ind w:firstLine="480"/>
        <w:rPr>
          <w:rFonts w:hint="eastAsia"/>
          <w:color w:val="auto"/>
          <w:highlight w:val="none"/>
        </w:rPr>
      </w:pPr>
    </w:p>
    <w:p w14:paraId="00BC1DE8">
      <w:pPr>
        <w:pStyle w:val="51"/>
        <w:ind w:firstLine="480"/>
        <w:rPr>
          <w:rFonts w:hint="eastAsia"/>
          <w:color w:val="auto"/>
          <w:highlight w:val="none"/>
        </w:rPr>
      </w:pPr>
    </w:p>
    <w:p w14:paraId="2B69052F">
      <w:pPr>
        <w:pStyle w:val="19"/>
        <w:ind w:firstLine="420"/>
        <w:rPr>
          <w:color w:val="auto"/>
          <w:highlight w:val="none"/>
        </w:rPr>
      </w:pPr>
    </w:p>
    <w:p w14:paraId="12EE5083">
      <w:pPr>
        <w:pStyle w:val="51"/>
        <w:ind w:firstLine="480"/>
        <w:rPr>
          <w:rFonts w:hint="eastAsia"/>
          <w:color w:val="auto"/>
          <w:highlight w:val="none"/>
        </w:rPr>
      </w:pPr>
    </w:p>
    <w:p w14:paraId="4864638F">
      <w:pPr>
        <w:widowControl/>
        <w:spacing w:line="240" w:lineRule="auto"/>
        <w:ind w:firstLine="0" w:firstLineChars="0"/>
        <w:rPr>
          <w:color w:val="auto"/>
          <w:highlight w:val="none"/>
        </w:rPr>
      </w:pPr>
      <w:r>
        <w:rPr>
          <w:color w:val="auto"/>
          <w:highlight w:val="none"/>
        </w:rPr>
        <w:br w:type="page"/>
      </w:r>
    </w:p>
    <w:p w14:paraId="4B48F48B">
      <w:pPr>
        <w:ind w:firstLine="420"/>
        <w:outlineLvl w:val="1"/>
        <w:rPr>
          <w:b/>
          <w:bCs/>
          <w:color w:val="auto"/>
          <w:highlight w:val="none"/>
        </w:rPr>
      </w:pPr>
      <w:bookmarkStart w:id="358" w:name="_Toc19343"/>
      <w:r>
        <w:rPr>
          <w:rFonts w:hint="eastAsia"/>
          <w:b/>
          <w:bCs/>
          <w:color w:val="auto"/>
          <w:highlight w:val="none"/>
        </w:rPr>
        <w:t>四、监狱企业证明文件</w:t>
      </w:r>
      <w:bookmarkEnd w:id="358"/>
    </w:p>
    <w:p w14:paraId="4006380E">
      <w:pPr>
        <w:ind w:firstLine="420"/>
        <w:jc w:val="center"/>
        <w:rPr>
          <w:rFonts w:hint="eastAsia" w:ascii="微软雅黑" w:hAnsi="微软雅黑"/>
          <w:b/>
          <w:color w:val="auto"/>
          <w:szCs w:val="21"/>
          <w:highlight w:val="none"/>
        </w:rPr>
      </w:pPr>
      <w:bookmarkStart w:id="359" w:name="_Toc164943234"/>
      <w:bookmarkStart w:id="360" w:name="_Toc12078"/>
      <w:r>
        <w:rPr>
          <w:rFonts w:hint="eastAsia" w:ascii="微软雅黑" w:hAnsi="微软雅黑"/>
          <w:b/>
          <w:color w:val="auto"/>
          <w:szCs w:val="21"/>
          <w:highlight w:val="none"/>
        </w:rPr>
        <w:t>监狱企业证明文件</w:t>
      </w:r>
      <w:bookmarkEnd w:id="359"/>
      <w:bookmarkEnd w:id="360"/>
    </w:p>
    <w:tbl>
      <w:tblPr>
        <w:tblStyle w:val="54"/>
        <w:tblW w:w="8820" w:type="dxa"/>
        <w:tblInd w:w="108" w:type="dxa"/>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Layout w:type="fixed"/>
        <w:tblCellMar>
          <w:top w:w="0" w:type="dxa"/>
          <w:left w:w="108" w:type="dxa"/>
          <w:bottom w:w="0" w:type="dxa"/>
          <w:right w:w="108" w:type="dxa"/>
        </w:tblCellMar>
      </w:tblPr>
      <w:tblGrid>
        <w:gridCol w:w="8820"/>
      </w:tblGrid>
      <w:tr w14:paraId="25EC6FBB">
        <w:tblPrEx>
          <w:tblBorders>
            <w:top w:val="dotDash" w:color="000000" w:sz="4" w:space="0"/>
            <w:left w:val="dotDash" w:color="000000" w:sz="4" w:space="0"/>
            <w:bottom w:val="dotDash" w:color="000000" w:sz="4" w:space="0"/>
            <w:right w:val="dotDash" w:color="000000" w:sz="4" w:space="0"/>
            <w:insideH w:val="dotDash" w:color="000000" w:sz="4" w:space="0"/>
            <w:insideV w:val="dotDash" w:color="000000" w:sz="4" w:space="0"/>
          </w:tblBorders>
          <w:tblCellMar>
            <w:top w:w="0" w:type="dxa"/>
            <w:left w:w="108" w:type="dxa"/>
            <w:bottom w:w="0" w:type="dxa"/>
            <w:right w:w="108" w:type="dxa"/>
          </w:tblCellMar>
        </w:tblPrEx>
        <w:trPr>
          <w:trHeight w:val="6516" w:hRule="atLeast"/>
        </w:trPr>
        <w:tc>
          <w:tcPr>
            <w:tcW w:w="8820" w:type="dxa"/>
            <w:vAlign w:val="center"/>
          </w:tcPr>
          <w:p w14:paraId="4F9661FC">
            <w:pPr>
              <w:ind w:firstLine="420"/>
              <w:jc w:val="center"/>
              <w:rPr>
                <w:rFonts w:hint="eastAsia" w:ascii="微软雅黑" w:hAnsi="微软雅黑"/>
                <w:b/>
                <w:color w:val="auto"/>
                <w:szCs w:val="21"/>
                <w:highlight w:val="none"/>
              </w:rPr>
            </w:pPr>
            <w:r>
              <w:rPr>
                <w:rFonts w:hint="eastAsia" w:ascii="微软雅黑" w:hAnsi="微软雅黑"/>
                <w:b/>
                <w:color w:val="auto"/>
                <w:szCs w:val="21"/>
                <w:highlight w:val="none"/>
              </w:rPr>
              <w:t>相关部门出具的监狱企业证明文件</w:t>
            </w:r>
          </w:p>
          <w:p w14:paraId="78FF8F9F">
            <w:pPr>
              <w:ind w:firstLine="420"/>
              <w:jc w:val="center"/>
              <w:rPr>
                <w:rFonts w:hint="eastAsia" w:ascii="微软雅黑" w:hAnsi="微软雅黑" w:cs="Arial"/>
                <w:b/>
                <w:i/>
                <w:color w:val="auto"/>
                <w:kern w:val="0"/>
                <w:szCs w:val="21"/>
                <w:highlight w:val="none"/>
              </w:rPr>
            </w:pPr>
            <w:r>
              <w:rPr>
                <w:rFonts w:hint="eastAsia" w:ascii="微软雅黑" w:hAnsi="微软雅黑"/>
                <w:color w:val="auto"/>
                <w:szCs w:val="21"/>
                <w:highlight w:val="none"/>
              </w:rPr>
              <w:t>（如是，提供</w:t>
            </w:r>
            <w:r>
              <w:rPr>
                <w:rFonts w:hint="eastAsia" w:ascii="微软雅黑" w:hAnsi="微软雅黑" w:cs="Arial"/>
                <w:color w:val="auto"/>
                <w:kern w:val="0"/>
                <w:szCs w:val="21"/>
                <w:highlight w:val="none"/>
              </w:rPr>
              <w:t>复印件加盖投标供应商公章）</w:t>
            </w:r>
          </w:p>
        </w:tc>
      </w:tr>
    </w:tbl>
    <w:p w14:paraId="5EEE1313">
      <w:pPr>
        <w:ind w:firstLine="420"/>
        <w:rPr>
          <w:rFonts w:hint="eastAsia" w:ascii="微软雅黑" w:hAnsi="微软雅黑" w:cs="Arial"/>
          <w:i/>
          <w:color w:val="auto"/>
          <w:szCs w:val="21"/>
          <w:highlight w:val="none"/>
        </w:rPr>
      </w:pPr>
    </w:p>
    <w:p w14:paraId="157B74F3">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投标人名称：（盖章）</w:t>
      </w:r>
    </w:p>
    <w:p w14:paraId="2336A53E">
      <w:pPr>
        <w:snapToGrid w:val="0"/>
        <w:ind w:firstLine="0" w:firstLineChars="0"/>
        <w:rPr>
          <w:rFonts w:hint="eastAsia" w:ascii="微软雅黑" w:hAnsi="微软雅黑"/>
          <w:color w:val="auto"/>
          <w:szCs w:val="21"/>
          <w:highlight w:val="none"/>
          <w:shd w:val="clear" w:color="auto" w:fill="FFFFFF"/>
        </w:rPr>
      </w:pPr>
      <w:r>
        <w:rPr>
          <w:rFonts w:hint="eastAsia" w:ascii="微软雅黑" w:hAnsi="微软雅黑"/>
          <w:color w:val="auto"/>
          <w:szCs w:val="21"/>
          <w:highlight w:val="none"/>
          <w:shd w:val="clear" w:color="auto" w:fill="FFFFFF"/>
        </w:rPr>
        <w:t>法定代表人或授权代表（签字）：</w:t>
      </w:r>
    </w:p>
    <w:p w14:paraId="4C712E23">
      <w:pPr>
        <w:snapToGrid w:val="0"/>
        <w:ind w:firstLine="0" w:firstLineChars="0"/>
        <w:rPr>
          <w:rFonts w:hint="eastAsia" w:ascii="微软雅黑" w:hAnsi="微软雅黑"/>
          <w:color w:val="auto"/>
          <w:szCs w:val="21"/>
          <w:highlight w:val="none"/>
          <w:u w:val="single"/>
        </w:rPr>
      </w:pPr>
      <w:r>
        <w:rPr>
          <w:rFonts w:hint="eastAsia" w:ascii="微软雅黑" w:hAnsi="微软雅黑"/>
          <w:color w:val="auto"/>
          <w:szCs w:val="21"/>
          <w:highlight w:val="none"/>
          <w:shd w:val="clear" w:color="auto" w:fill="FFFFFF"/>
        </w:rPr>
        <w:t>投标日期： 年 月 日</w:t>
      </w:r>
    </w:p>
    <w:p w14:paraId="388094A6">
      <w:pPr>
        <w:ind w:firstLine="420"/>
        <w:rPr>
          <w:color w:val="auto"/>
          <w:highlight w:val="none"/>
        </w:rPr>
      </w:pPr>
    </w:p>
    <w:p w14:paraId="695EB438">
      <w:pPr>
        <w:ind w:firstLine="420"/>
        <w:rPr>
          <w:rFonts w:hint="eastAsia" w:ascii="微软雅黑" w:hAnsi="微软雅黑" w:cs="仿宋_GB2312"/>
          <w:color w:val="auto"/>
          <w:szCs w:val="21"/>
          <w:highlight w:val="none"/>
        </w:rPr>
        <w:sectPr>
          <w:footerReference r:id="rId24" w:type="default"/>
          <w:type w:val="nextColumn"/>
          <w:pgSz w:w="11906" w:h="16838"/>
          <w:pgMar w:top="1474" w:right="1134" w:bottom="1134" w:left="1474" w:header="851" w:footer="992" w:gutter="0"/>
          <w:cols w:space="720" w:num="1"/>
          <w:titlePg/>
          <w:docGrid w:linePitch="312" w:charSpace="0"/>
        </w:sectPr>
      </w:pPr>
    </w:p>
    <w:p w14:paraId="02EC4C3E">
      <w:pPr>
        <w:shd w:val="clear" w:color="auto" w:fill="FFFFFF"/>
        <w:spacing w:line="400" w:lineRule="atLeast"/>
        <w:ind w:firstLine="420"/>
        <w:jc w:val="center"/>
        <w:rPr>
          <w:rFonts w:hint="eastAsia" w:ascii="微软雅黑" w:hAnsi="微软雅黑" w:cs="宋体"/>
          <w:b/>
          <w:color w:val="auto"/>
          <w:szCs w:val="21"/>
          <w:highlight w:val="none"/>
        </w:rPr>
      </w:pPr>
    </w:p>
    <w:p w14:paraId="01891C41">
      <w:pPr>
        <w:shd w:val="clear" w:color="auto" w:fill="FFFFFF"/>
        <w:spacing w:line="400" w:lineRule="atLeast"/>
        <w:ind w:firstLine="420"/>
        <w:jc w:val="center"/>
        <w:outlineLvl w:val="0"/>
        <w:rPr>
          <w:rFonts w:hint="eastAsia" w:ascii="微软雅黑" w:hAnsi="微软雅黑" w:cs="宋体"/>
          <w:bCs/>
          <w:color w:val="auto"/>
          <w:szCs w:val="21"/>
          <w:highlight w:val="none"/>
        </w:rPr>
      </w:pPr>
      <w:bookmarkStart w:id="361" w:name="_Toc23088"/>
      <w:bookmarkStart w:id="362" w:name="_Toc13790"/>
      <w:bookmarkStart w:id="363" w:name="_Toc164943235"/>
      <w:r>
        <w:rPr>
          <w:rFonts w:hint="eastAsia" w:ascii="微软雅黑" w:hAnsi="微软雅黑" w:cs="宋体"/>
          <w:b/>
          <w:color w:val="auto"/>
          <w:szCs w:val="21"/>
          <w:highlight w:val="none"/>
        </w:rPr>
        <w:t>国家统计局关于印发统计上大中小微型企业划分办法的通知</w:t>
      </w:r>
      <w:bookmarkEnd w:id="361"/>
      <w:bookmarkEnd w:id="362"/>
      <w:bookmarkEnd w:id="363"/>
    </w:p>
    <w:p w14:paraId="6098C767">
      <w:pPr>
        <w:shd w:val="clear" w:color="auto" w:fill="FFFFFF"/>
        <w:spacing w:line="400" w:lineRule="atLeast"/>
        <w:ind w:firstLine="420"/>
        <w:jc w:val="center"/>
        <w:rPr>
          <w:rFonts w:hint="eastAsia" w:ascii="微软雅黑" w:hAnsi="微软雅黑" w:cs="宋体"/>
          <w:bCs/>
          <w:color w:val="auto"/>
          <w:szCs w:val="21"/>
          <w:highlight w:val="none"/>
        </w:rPr>
      </w:pPr>
      <w:r>
        <w:rPr>
          <w:rFonts w:hint="eastAsia" w:ascii="微软雅黑" w:hAnsi="微软雅黑" w:cs="宋体"/>
          <w:color w:val="auto"/>
          <w:szCs w:val="21"/>
          <w:highlight w:val="none"/>
        </w:rPr>
        <w:t>国统字〔</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75</w:t>
      </w:r>
      <w:r>
        <w:rPr>
          <w:rFonts w:hint="eastAsia" w:ascii="微软雅黑" w:hAnsi="微软雅黑" w:cs="宋体"/>
          <w:color w:val="auto"/>
          <w:szCs w:val="21"/>
          <w:highlight w:val="none"/>
        </w:rPr>
        <w:t>号</w:t>
      </w:r>
    </w:p>
    <w:p w14:paraId="5EF7D566">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2E678DD2">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各省、自治区、直辖市统计局，新疆生产建设兵团统计局，国家统计局各调查总队，国务院有关部门：</w:t>
      </w:r>
    </w:p>
    <w:p w14:paraId="641FA371">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75FB6588">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　　为贯彻落实工业和信息化部、国家统计局、国家发展改革委、财政部《关于印发中小企业划型标准规定的通知》（工信部联企业〔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号），结合统计工作的实际情况，我们制定了《统计上大中小微型企业划分办法》。现印发给你们，请遵照执行。</w:t>
      </w:r>
    </w:p>
    <w:p w14:paraId="3D3BE234">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3C65E99A">
      <w:pPr>
        <w:shd w:val="clear" w:color="auto" w:fill="FFFFFF"/>
        <w:spacing w:line="400" w:lineRule="atLeast"/>
        <w:ind w:firstLine="420"/>
        <w:jc w:val="right"/>
        <w:rPr>
          <w:rFonts w:hint="eastAsia" w:ascii="微软雅黑" w:hAnsi="微软雅黑" w:cs="宋体"/>
          <w:bCs/>
          <w:color w:val="auto"/>
          <w:szCs w:val="21"/>
          <w:highlight w:val="none"/>
        </w:rPr>
      </w:pPr>
      <w:r>
        <w:rPr>
          <w:rFonts w:hint="eastAsia" w:ascii="微软雅黑" w:hAnsi="微软雅黑" w:cs="宋体"/>
          <w:color w:val="auto"/>
          <w:szCs w:val="21"/>
          <w:highlight w:val="none"/>
        </w:rPr>
        <w:t>　　国家统计局</w:t>
      </w:r>
      <w:r>
        <w:rPr>
          <w:rFonts w:ascii="微软雅黑" w:hAnsi="微软雅黑"/>
          <w:color w:val="auto"/>
          <w:szCs w:val="21"/>
          <w:highlight w:val="none"/>
        </w:rPr>
        <w:t> </w:t>
      </w:r>
    </w:p>
    <w:p w14:paraId="20728F15">
      <w:pPr>
        <w:shd w:val="clear" w:color="auto" w:fill="FFFFFF"/>
        <w:spacing w:line="400" w:lineRule="atLeast"/>
        <w:ind w:firstLine="420"/>
        <w:jc w:val="right"/>
        <w:rPr>
          <w:rFonts w:hint="eastAsia" w:ascii="微软雅黑" w:hAnsi="微软雅黑" w:cs="宋体"/>
          <w:bCs/>
          <w:color w:val="auto"/>
          <w:szCs w:val="21"/>
          <w:highlight w:val="none"/>
        </w:rPr>
      </w:pPr>
      <w:r>
        <w:rPr>
          <w:rFonts w:hint="eastAsia" w:ascii="微软雅黑" w:hAnsi="微软雅黑" w:cs="宋体"/>
          <w:color w:val="auto"/>
          <w:szCs w:val="21"/>
          <w:highlight w:val="none"/>
        </w:rPr>
        <w:t>　　二〇一一年九月二日</w:t>
      </w:r>
    </w:p>
    <w:p w14:paraId="6F1C34F6">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02842FD3">
      <w:pPr>
        <w:shd w:val="clear" w:color="auto" w:fill="FFFFFF"/>
        <w:spacing w:line="400" w:lineRule="atLeast"/>
        <w:ind w:firstLine="420"/>
        <w:jc w:val="center"/>
        <w:outlineLvl w:val="0"/>
        <w:rPr>
          <w:rFonts w:hint="eastAsia" w:ascii="微软雅黑" w:hAnsi="微软雅黑" w:cs="宋体"/>
          <w:bCs/>
          <w:color w:val="auto"/>
          <w:szCs w:val="21"/>
          <w:highlight w:val="none"/>
        </w:rPr>
      </w:pPr>
      <w:bookmarkStart w:id="364" w:name="_Toc16901"/>
      <w:bookmarkStart w:id="365" w:name="_Toc23951"/>
      <w:bookmarkStart w:id="366" w:name="_Toc164943236"/>
      <w:r>
        <w:rPr>
          <w:rFonts w:hint="eastAsia" w:ascii="微软雅黑" w:hAnsi="微软雅黑" w:cs="宋体"/>
          <w:b/>
          <w:color w:val="auto"/>
          <w:szCs w:val="21"/>
          <w:highlight w:val="none"/>
        </w:rPr>
        <w:t>统计上大中小微型企业划分办法</w:t>
      </w:r>
      <w:bookmarkEnd w:id="364"/>
      <w:bookmarkEnd w:id="365"/>
      <w:bookmarkEnd w:id="366"/>
    </w:p>
    <w:p w14:paraId="4C1FCEEF">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 </w:t>
      </w:r>
    </w:p>
    <w:p w14:paraId="0AE15894">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一、根据工业和信息化部、国家统计局、国家发展改革委、财政部《关于印发中小企业划型标准规定的通知》（工信部联企业〔</w:t>
      </w:r>
      <w:r>
        <w:rPr>
          <w:rFonts w:ascii="微软雅黑" w:hAnsi="微软雅黑"/>
          <w:color w:val="auto"/>
          <w:szCs w:val="21"/>
          <w:highlight w:val="none"/>
        </w:rPr>
        <w:t>2011</w:t>
      </w:r>
      <w:r>
        <w:rPr>
          <w:rFonts w:hint="eastAsia" w:ascii="微软雅黑" w:hAnsi="微软雅黑" w:cs="宋体"/>
          <w:color w:val="auto"/>
          <w:szCs w:val="21"/>
          <w:highlight w:val="none"/>
        </w:rPr>
        <w:t>〕</w:t>
      </w:r>
      <w:r>
        <w:rPr>
          <w:rFonts w:ascii="微软雅黑" w:hAnsi="微软雅黑"/>
          <w:color w:val="auto"/>
          <w:szCs w:val="21"/>
          <w:highlight w:val="none"/>
        </w:rPr>
        <w:t>300</w:t>
      </w:r>
      <w:r>
        <w:rPr>
          <w:rFonts w:hint="eastAsia" w:ascii="微软雅黑" w:hAnsi="微软雅黑" w:cs="宋体"/>
          <w:color w:val="auto"/>
          <w:szCs w:val="21"/>
          <w:highlight w:val="none"/>
        </w:rPr>
        <w:t>号），结合统计工作的实际情况，特制定本办法。</w:t>
      </w:r>
    </w:p>
    <w:p w14:paraId="3C8AF19C">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p>
    <w:p w14:paraId="5FD3048D">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二、本办法适用对象为在中华人民共和国境内依法设立的各种组织形式的法人企业或单位。个体工商户参照本办法进行划分。</w:t>
      </w:r>
    </w:p>
    <w:p w14:paraId="71CED937">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w:t>
      </w:r>
      <w:r>
        <w:rPr>
          <w:rFonts w:ascii="微软雅黑" w:hAnsi="微软雅黑"/>
          <w:color w:val="auto"/>
          <w:szCs w:val="21"/>
          <w:highlight w:val="none"/>
        </w:rPr>
        <w:t>15</w:t>
      </w:r>
      <w:r>
        <w:rPr>
          <w:rFonts w:hint="eastAsia" w:ascii="微软雅黑" w:hAnsi="微软雅黑" w:cs="宋体"/>
          <w:color w:val="auto"/>
          <w:szCs w:val="21"/>
          <w:highlight w:val="none"/>
        </w:rPr>
        <w:t>个行业门类以及社会工作行业大类。</w:t>
      </w:r>
    </w:p>
    <w:p w14:paraId="63E2F23E">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四、本办法按照行业门类、大类、中类和组合类别，依据从业人员、营业收入、资产总额等指标或替代指标，将我国的企业划分为大型、中型、小型、微型等四种类型。具体划分标准见附表。</w:t>
      </w:r>
    </w:p>
    <w:p w14:paraId="5D0A0342">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color w:val="auto"/>
          <w:szCs w:val="21"/>
          <w:highlight w:val="none"/>
        </w:rPr>
        <w:t>五、企业划分由政府综合统计部门根据统计年报每年确定一次，定报统计原则上不进行调整。</w:t>
      </w:r>
    </w:p>
    <w:p w14:paraId="61A35C01">
      <w:pPr>
        <w:shd w:val="clear" w:color="auto" w:fill="FFFFFF"/>
        <w:spacing w:line="400" w:lineRule="atLeast"/>
        <w:ind w:firstLine="420"/>
        <w:rPr>
          <w:rFonts w:hint="eastAsia" w:ascii="微软雅黑" w:hAnsi="微软雅黑" w:cs="宋体"/>
          <w:bCs/>
          <w:color w:val="auto"/>
          <w:szCs w:val="21"/>
          <w:highlight w:val="none"/>
        </w:rPr>
      </w:pPr>
      <w:r>
        <w:rPr>
          <w:rFonts w:hint="eastAsia" w:ascii="微软雅黑" w:hAnsi="微软雅黑" w:cs="宋体"/>
          <w:color w:val="auto"/>
          <w:szCs w:val="21"/>
          <w:highlight w:val="none"/>
        </w:rPr>
        <w:t>六、本办法自印发之日起执行，国家统计局</w:t>
      </w:r>
      <w:r>
        <w:rPr>
          <w:rFonts w:ascii="微软雅黑" w:hAnsi="微软雅黑"/>
          <w:color w:val="auto"/>
          <w:szCs w:val="21"/>
          <w:highlight w:val="none"/>
        </w:rPr>
        <w:t>2003</w:t>
      </w:r>
      <w:r>
        <w:rPr>
          <w:rFonts w:hint="eastAsia" w:ascii="微软雅黑" w:hAnsi="微软雅黑" w:cs="宋体"/>
          <w:color w:val="auto"/>
          <w:szCs w:val="21"/>
          <w:highlight w:val="none"/>
        </w:rPr>
        <w:t>年印发的《统计上大中小型企业划分办法（暂行）》（国统字〔</w:t>
      </w:r>
      <w:r>
        <w:rPr>
          <w:rFonts w:ascii="微软雅黑" w:hAnsi="微软雅黑"/>
          <w:color w:val="auto"/>
          <w:szCs w:val="21"/>
          <w:highlight w:val="none"/>
        </w:rPr>
        <w:t>2003</w:t>
      </w:r>
      <w:r>
        <w:rPr>
          <w:rFonts w:hint="eastAsia" w:ascii="微软雅黑" w:hAnsi="微软雅黑" w:cs="宋体"/>
          <w:color w:val="auto"/>
          <w:szCs w:val="21"/>
          <w:highlight w:val="none"/>
        </w:rPr>
        <w:t>〕</w:t>
      </w:r>
      <w:r>
        <w:rPr>
          <w:rFonts w:ascii="微软雅黑" w:hAnsi="微软雅黑"/>
          <w:color w:val="auto"/>
          <w:szCs w:val="21"/>
          <w:highlight w:val="none"/>
        </w:rPr>
        <w:t>17</w:t>
      </w:r>
      <w:r>
        <w:rPr>
          <w:rFonts w:hint="eastAsia" w:ascii="微软雅黑" w:hAnsi="微软雅黑" w:cs="宋体"/>
          <w:color w:val="auto"/>
          <w:szCs w:val="21"/>
          <w:highlight w:val="none"/>
        </w:rPr>
        <w:t>号）同时废止。</w:t>
      </w:r>
    </w:p>
    <w:p w14:paraId="081D7784">
      <w:pPr>
        <w:shd w:val="clear" w:color="auto" w:fill="FFFFFF"/>
        <w:spacing w:line="400" w:lineRule="atLeast"/>
        <w:ind w:firstLine="482"/>
        <w:rPr>
          <w:rFonts w:hint="eastAsia" w:ascii="微软雅黑" w:hAnsi="微软雅黑" w:cs="宋体"/>
          <w:bCs/>
          <w:color w:val="auto"/>
          <w:szCs w:val="21"/>
          <w:highlight w:val="none"/>
        </w:rPr>
      </w:pPr>
      <w:r>
        <w:rPr>
          <w:rFonts w:eastAsia="宋体"/>
          <w:b/>
          <w:color w:val="auto"/>
          <w:sz w:val="24"/>
          <w:highlight w:val="none"/>
        </w:rPr>
        <w:t> </w:t>
      </w:r>
      <w:r>
        <w:rPr>
          <w:rFonts w:hint="eastAsia" w:ascii="微软雅黑" w:hAnsi="微软雅黑" w:cs="宋体"/>
          <w:color w:val="auto"/>
          <w:szCs w:val="21"/>
          <w:highlight w:val="none"/>
        </w:rPr>
        <w:t>　　附表：</w:t>
      </w:r>
    </w:p>
    <w:p w14:paraId="4C74489D">
      <w:pPr>
        <w:shd w:val="clear" w:color="auto" w:fill="FFFFFF"/>
        <w:spacing w:line="400" w:lineRule="atLeast"/>
        <w:ind w:firstLine="420"/>
        <w:rPr>
          <w:rFonts w:hint="eastAsia" w:ascii="微软雅黑" w:hAnsi="微软雅黑" w:cs="宋体"/>
          <w:bCs/>
          <w:color w:val="auto"/>
          <w:szCs w:val="21"/>
          <w:highlight w:val="none"/>
        </w:rPr>
      </w:pPr>
      <w:r>
        <w:rPr>
          <w:rFonts w:ascii="微软雅黑" w:hAnsi="微软雅黑"/>
          <w:color w:val="auto"/>
          <w:szCs w:val="21"/>
          <w:highlight w:val="none"/>
        </w:rPr>
        <w:t> </w:t>
      </w:r>
      <w:r>
        <w:rPr>
          <w:rFonts w:hint="eastAsia" w:ascii="微软雅黑" w:hAnsi="微软雅黑" w:cs="宋体"/>
          <w:b/>
          <w:color w:val="auto"/>
          <w:szCs w:val="21"/>
          <w:highlight w:val="none"/>
        </w:rPr>
        <w:t>统计上大中小微型企业划分标准</w:t>
      </w:r>
    </w:p>
    <w:tbl>
      <w:tblPr>
        <w:tblStyle w:val="54"/>
        <w:tblW w:w="830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560"/>
        <w:gridCol w:w="1281"/>
        <w:gridCol w:w="758"/>
        <w:gridCol w:w="993"/>
        <w:gridCol w:w="1491"/>
        <w:gridCol w:w="1315"/>
        <w:gridCol w:w="908"/>
      </w:tblGrid>
      <w:tr w14:paraId="53277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1560" w:type="dxa"/>
            <w:shd w:val="clear" w:color="auto" w:fill="auto"/>
            <w:tcMar>
              <w:top w:w="0" w:type="dxa"/>
              <w:left w:w="108" w:type="dxa"/>
              <w:bottom w:w="0" w:type="dxa"/>
              <w:right w:w="108" w:type="dxa"/>
            </w:tcMar>
            <w:vAlign w:val="center"/>
          </w:tcPr>
          <w:p w14:paraId="349679AE">
            <w:pPr>
              <w:spacing w:line="240" w:lineRule="auto"/>
              <w:ind w:firstLine="0" w:firstLineChars="0"/>
              <w:jc w:val="center"/>
              <w:rPr>
                <w:rFonts w:hint="eastAsia" w:ascii="宋体" w:hAnsi="宋体" w:eastAsia="宋体" w:cs="宋体"/>
                <w:bCs/>
                <w:color w:val="auto"/>
                <w:sz w:val="24"/>
                <w:highlight w:val="none"/>
              </w:rPr>
            </w:pPr>
            <w:r>
              <w:rPr>
                <w:rFonts w:eastAsia="宋体"/>
                <w:color w:val="auto"/>
                <w:sz w:val="24"/>
                <w:highlight w:val="none"/>
              </w:rPr>
              <w:t> </w:t>
            </w:r>
            <w:r>
              <w:rPr>
                <w:rFonts w:hint="eastAsia" w:ascii="宋体" w:hAnsi="宋体" w:eastAsia="宋体" w:cs="宋体"/>
                <w:b/>
                <w:color w:val="auto"/>
                <w:sz w:val="18"/>
                <w:szCs w:val="18"/>
                <w:highlight w:val="none"/>
              </w:rPr>
              <w:t>行业名称</w:t>
            </w:r>
          </w:p>
        </w:tc>
        <w:tc>
          <w:tcPr>
            <w:tcW w:w="1281" w:type="dxa"/>
            <w:shd w:val="clear" w:color="auto" w:fill="auto"/>
            <w:tcMar>
              <w:top w:w="0" w:type="dxa"/>
              <w:left w:w="108" w:type="dxa"/>
              <w:bottom w:w="0" w:type="dxa"/>
              <w:right w:w="108" w:type="dxa"/>
            </w:tcMar>
            <w:vAlign w:val="center"/>
          </w:tcPr>
          <w:p w14:paraId="2DE4D4EC">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指标名称</w:t>
            </w:r>
          </w:p>
        </w:tc>
        <w:tc>
          <w:tcPr>
            <w:tcW w:w="758" w:type="dxa"/>
            <w:shd w:val="clear" w:color="auto" w:fill="auto"/>
            <w:tcMar>
              <w:top w:w="0" w:type="dxa"/>
              <w:left w:w="108" w:type="dxa"/>
              <w:bottom w:w="0" w:type="dxa"/>
              <w:right w:w="108" w:type="dxa"/>
            </w:tcMar>
            <w:vAlign w:val="center"/>
          </w:tcPr>
          <w:p w14:paraId="00F7AA5F">
            <w:pPr>
              <w:spacing w:line="240" w:lineRule="auto"/>
              <w:ind w:firstLine="0" w:firstLineChars="0"/>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计量</w:t>
            </w:r>
          </w:p>
          <w:p w14:paraId="64F812CF">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单位</w:t>
            </w:r>
          </w:p>
        </w:tc>
        <w:tc>
          <w:tcPr>
            <w:tcW w:w="993" w:type="dxa"/>
            <w:shd w:val="clear" w:color="auto" w:fill="auto"/>
            <w:tcMar>
              <w:top w:w="0" w:type="dxa"/>
              <w:left w:w="108" w:type="dxa"/>
              <w:bottom w:w="0" w:type="dxa"/>
              <w:right w:w="108" w:type="dxa"/>
            </w:tcMar>
            <w:vAlign w:val="center"/>
          </w:tcPr>
          <w:p w14:paraId="623D1D14">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大型</w:t>
            </w:r>
          </w:p>
        </w:tc>
        <w:tc>
          <w:tcPr>
            <w:tcW w:w="1491" w:type="dxa"/>
            <w:shd w:val="clear" w:color="auto" w:fill="auto"/>
            <w:tcMar>
              <w:top w:w="0" w:type="dxa"/>
              <w:left w:w="108" w:type="dxa"/>
              <w:bottom w:w="0" w:type="dxa"/>
              <w:right w:w="108" w:type="dxa"/>
            </w:tcMar>
            <w:vAlign w:val="center"/>
          </w:tcPr>
          <w:p w14:paraId="7475D357">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中型</w:t>
            </w:r>
          </w:p>
        </w:tc>
        <w:tc>
          <w:tcPr>
            <w:tcW w:w="1315" w:type="dxa"/>
            <w:shd w:val="clear" w:color="auto" w:fill="auto"/>
            <w:tcMar>
              <w:top w:w="0" w:type="dxa"/>
              <w:left w:w="108" w:type="dxa"/>
              <w:bottom w:w="0" w:type="dxa"/>
              <w:right w:w="108" w:type="dxa"/>
            </w:tcMar>
            <w:vAlign w:val="center"/>
          </w:tcPr>
          <w:p w14:paraId="3D035F27">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小型</w:t>
            </w:r>
          </w:p>
        </w:tc>
        <w:tc>
          <w:tcPr>
            <w:tcW w:w="908" w:type="dxa"/>
            <w:shd w:val="clear" w:color="auto" w:fill="auto"/>
            <w:tcMar>
              <w:top w:w="0" w:type="dxa"/>
              <w:left w:w="108" w:type="dxa"/>
              <w:bottom w:w="0" w:type="dxa"/>
              <w:right w:w="108" w:type="dxa"/>
            </w:tcMar>
            <w:vAlign w:val="center"/>
          </w:tcPr>
          <w:p w14:paraId="68C41EED">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b/>
                <w:color w:val="auto"/>
                <w:sz w:val="18"/>
                <w:szCs w:val="18"/>
                <w:highlight w:val="none"/>
              </w:rPr>
              <w:t>微型</w:t>
            </w:r>
          </w:p>
        </w:tc>
      </w:tr>
      <w:tr w14:paraId="7C65C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4AACD41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农、林、牧、渔业</w:t>
            </w:r>
          </w:p>
        </w:tc>
        <w:tc>
          <w:tcPr>
            <w:tcW w:w="1281" w:type="dxa"/>
            <w:shd w:val="clear" w:color="auto" w:fill="auto"/>
            <w:tcMar>
              <w:top w:w="0" w:type="dxa"/>
              <w:left w:w="108" w:type="dxa"/>
              <w:bottom w:w="0" w:type="dxa"/>
              <w:right w:w="108" w:type="dxa"/>
            </w:tcMar>
            <w:vAlign w:val="center"/>
          </w:tcPr>
          <w:p w14:paraId="03F5160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7F7EC3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700439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150B4F4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3F4012D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50≤Y＜500</w:t>
            </w:r>
          </w:p>
        </w:tc>
        <w:tc>
          <w:tcPr>
            <w:tcW w:w="908" w:type="dxa"/>
            <w:shd w:val="clear" w:color="auto" w:fill="auto"/>
            <w:tcMar>
              <w:top w:w="0" w:type="dxa"/>
              <w:left w:w="108" w:type="dxa"/>
              <w:bottom w:w="0" w:type="dxa"/>
              <w:right w:w="108" w:type="dxa"/>
            </w:tcMar>
            <w:vAlign w:val="center"/>
          </w:tcPr>
          <w:p w14:paraId="47680AC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64B23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6B3BC1B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工业 *</w:t>
            </w:r>
          </w:p>
        </w:tc>
        <w:tc>
          <w:tcPr>
            <w:tcW w:w="1281" w:type="dxa"/>
            <w:shd w:val="clear" w:color="auto" w:fill="auto"/>
            <w:tcMar>
              <w:top w:w="0" w:type="dxa"/>
              <w:left w:w="108" w:type="dxa"/>
              <w:bottom w:w="0" w:type="dxa"/>
              <w:right w:w="108" w:type="dxa"/>
            </w:tcMar>
            <w:vAlign w:val="center"/>
          </w:tcPr>
          <w:p w14:paraId="79DDF7F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59A2AA5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527146A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38B5F5A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2D97ACA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5F30453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063DA4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7CA29902">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53C1591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CB75B6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CFCE05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43757BE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2000≤Y＜40000</w:t>
            </w:r>
          </w:p>
        </w:tc>
        <w:tc>
          <w:tcPr>
            <w:tcW w:w="1315" w:type="dxa"/>
            <w:shd w:val="clear" w:color="auto" w:fill="auto"/>
            <w:tcMar>
              <w:top w:w="0" w:type="dxa"/>
              <w:left w:w="108" w:type="dxa"/>
              <w:bottom w:w="0" w:type="dxa"/>
              <w:right w:w="108" w:type="dxa"/>
            </w:tcMar>
            <w:vAlign w:val="center"/>
          </w:tcPr>
          <w:p w14:paraId="50E80D3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300≤Y＜2000</w:t>
            </w:r>
          </w:p>
        </w:tc>
        <w:tc>
          <w:tcPr>
            <w:tcW w:w="908" w:type="dxa"/>
            <w:shd w:val="clear" w:color="auto" w:fill="auto"/>
            <w:tcMar>
              <w:top w:w="0" w:type="dxa"/>
              <w:left w:w="108" w:type="dxa"/>
              <w:bottom w:w="0" w:type="dxa"/>
              <w:right w:w="108" w:type="dxa"/>
            </w:tcMar>
            <w:vAlign w:val="center"/>
          </w:tcPr>
          <w:p w14:paraId="0577BB6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5C2B1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401B9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建筑业</w:t>
            </w:r>
          </w:p>
        </w:tc>
        <w:tc>
          <w:tcPr>
            <w:tcW w:w="1281" w:type="dxa"/>
            <w:shd w:val="clear" w:color="auto" w:fill="auto"/>
            <w:tcMar>
              <w:top w:w="0" w:type="dxa"/>
              <w:left w:w="108" w:type="dxa"/>
              <w:bottom w:w="0" w:type="dxa"/>
              <w:right w:w="108" w:type="dxa"/>
            </w:tcMar>
            <w:vAlign w:val="center"/>
          </w:tcPr>
          <w:p w14:paraId="3B9497F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09F2DF7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6A8C50C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Y≥80000</w:t>
            </w:r>
          </w:p>
        </w:tc>
        <w:tc>
          <w:tcPr>
            <w:tcW w:w="1491" w:type="dxa"/>
            <w:shd w:val="clear" w:color="auto" w:fill="auto"/>
            <w:tcMar>
              <w:top w:w="0" w:type="dxa"/>
              <w:left w:w="108" w:type="dxa"/>
              <w:bottom w:w="0" w:type="dxa"/>
              <w:right w:w="108" w:type="dxa"/>
            </w:tcMar>
            <w:vAlign w:val="center"/>
          </w:tcPr>
          <w:p w14:paraId="654F87C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6000≤Y＜80000</w:t>
            </w:r>
          </w:p>
        </w:tc>
        <w:tc>
          <w:tcPr>
            <w:tcW w:w="1315" w:type="dxa"/>
            <w:shd w:val="clear" w:color="auto" w:fill="auto"/>
            <w:tcMar>
              <w:top w:w="0" w:type="dxa"/>
              <w:left w:w="108" w:type="dxa"/>
              <w:bottom w:w="0" w:type="dxa"/>
              <w:right w:w="108" w:type="dxa"/>
            </w:tcMar>
            <w:vAlign w:val="center"/>
          </w:tcPr>
          <w:p w14:paraId="2D05B11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300≤Y＜6000</w:t>
            </w:r>
          </w:p>
        </w:tc>
        <w:tc>
          <w:tcPr>
            <w:tcW w:w="908" w:type="dxa"/>
            <w:shd w:val="clear" w:color="auto" w:fill="auto"/>
            <w:tcMar>
              <w:top w:w="0" w:type="dxa"/>
              <w:left w:w="108" w:type="dxa"/>
              <w:bottom w:w="0" w:type="dxa"/>
              <w:right w:w="108" w:type="dxa"/>
            </w:tcMar>
            <w:vAlign w:val="center"/>
          </w:tcPr>
          <w:p w14:paraId="3737A7D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w:t>
            </w:r>
          </w:p>
        </w:tc>
      </w:tr>
      <w:tr w14:paraId="01E85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3B4A39DB">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A511D5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502E874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1448DE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Z≥80000</w:t>
            </w:r>
          </w:p>
        </w:tc>
        <w:tc>
          <w:tcPr>
            <w:tcW w:w="1491" w:type="dxa"/>
            <w:shd w:val="clear" w:color="auto" w:fill="auto"/>
            <w:tcMar>
              <w:top w:w="0" w:type="dxa"/>
              <w:left w:w="108" w:type="dxa"/>
              <w:bottom w:w="0" w:type="dxa"/>
              <w:right w:w="108" w:type="dxa"/>
            </w:tcMar>
            <w:vAlign w:val="center"/>
          </w:tcPr>
          <w:p w14:paraId="1331C23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5000≤Z＜80000</w:t>
            </w:r>
          </w:p>
        </w:tc>
        <w:tc>
          <w:tcPr>
            <w:tcW w:w="1315" w:type="dxa"/>
            <w:shd w:val="clear" w:color="auto" w:fill="auto"/>
            <w:tcMar>
              <w:top w:w="0" w:type="dxa"/>
              <w:left w:w="108" w:type="dxa"/>
              <w:bottom w:w="0" w:type="dxa"/>
              <w:right w:w="108" w:type="dxa"/>
            </w:tcMar>
            <w:vAlign w:val="center"/>
          </w:tcPr>
          <w:p w14:paraId="2E2F00B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300≤Z＜5000</w:t>
            </w:r>
          </w:p>
        </w:tc>
        <w:tc>
          <w:tcPr>
            <w:tcW w:w="908" w:type="dxa"/>
            <w:shd w:val="clear" w:color="auto" w:fill="auto"/>
            <w:tcMar>
              <w:top w:w="0" w:type="dxa"/>
              <w:left w:w="108" w:type="dxa"/>
              <w:bottom w:w="0" w:type="dxa"/>
              <w:right w:w="108" w:type="dxa"/>
            </w:tcMar>
            <w:vAlign w:val="center"/>
          </w:tcPr>
          <w:p w14:paraId="6A2B2F1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Z＜300</w:t>
            </w:r>
          </w:p>
        </w:tc>
      </w:tr>
      <w:tr w14:paraId="689423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EFDA19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批发业</w:t>
            </w:r>
          </w:p>
        </w:tc>
        <w:tc>
          <w:tcPr>
            <w:tcW w:w="1281" w:type="dxa"/>
            <w:shd w:val="clear" w:color="auto" w:fill="auto"/>
            <w:tcMar>
              <w:top w:w="0" w:type="dxa"/>
              <w:left w:w="108" w:type="dxa"/>
              <w:bottom w:w="0" w:type="dxa"/>
              <w:right w:w="108" w:type="dxa"/>
            </w:tcMar>
            <w:vAlign w:val="center"/>
          </w:tcPr>
          <w:p w14:paraId="15A22BB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5103FB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75B27EB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27981AA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20≤X＜200</w:t>
            </w:r>
          </w:p>
        </w:tc>
        <w:tc>
          <w:tcPr>
            <w:tcW w:w="1315" w:type="dxa"/>
            <w:shd w:val="clear" w:color="auto" w:fill="auto"/>
            <w:tcMar>
              <w:top w:w="0" w:type="dxa"/>
              <w:left w:w="108" w:type="dxa"/>
              <w:bottom w:w="0" w:type="dxa"/>
              <w:right w:w="108" w:type="dxa"/>
            </w:tcMar>
            <w:vAlign w:val="center"/>
          </w:tcPr>
          <w:p w14:paraId="6090C6F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5≤X＜20</w:t>
            </w:r>
          </w:p>
        </w:tc>
        <w:tc>
          <w:tcPr>
            <w:tcW w:w="908" w:type="dxa"/>
            <w:shd w:val="clear" w:color="auto" w:fill="auto"/>
            <w:tcMar>
              <w:top w:w="0" w:type="dxa"/>
              <w:left w:w="108" w:type="dxa"/>
              <w:bottom w:w="0" w:type="dxa"/>
              <w:right w:w="108" w:type="dxa"/>
            </w:tcMar>
            <w:vAlign w:val="center"/>
          </w:tcPr>
          <w:p w14:paraId="3E0EA49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X＜5</w:t>
            </w:r>
          </w:p>
        </w:tc>
      </w:tr>
      <w:tr w14:paraId="37F8F6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78FD2286">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B1617B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19634C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CDA180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Y≥40000</w:t>
            </w:r>
          </w:p>
        </w:tc>
        <w:tc>
          <w:tcPr>
            <w:tcW w:w="1491" w:type="dxa"/>
            <w:shd w:val="clear" w:color="auto" w:fill="auto"/>
            <w:tcMar>
              <w:top w:w="0" w:type="dxa"/>
              <w:left w:w="108" w:type="dxa"/>
              <w:bottom w:w="0" w:type="dxa"/>
              <w:right w:w="108" w:type="dxa"/>
            </w:tcMar>
            <w:vAlign w:val="center"/>
          </w:tcPr>
          <w:p w14:paraId="1EC2110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5000≤Y＜40000</w:t>
            </w:r>
          </w:p>
        </w:tc>
        <w:tc>
          <w:tcPr>
            <w:tcW w:w="1315" w:type="dxa"/>
            <w:shd w:val="clear" w:color="auto" w:fill="auto"/>
            <w:tcMar>
              <w:top w:w="0" w:type="dxa"/>
              <w:left w:w="108" w:type="dxa"/>
              <w:bottom w:w="0" w:type="dxa"/>
              <w:right w:w="108" w:type="dxa"/>
            </w:tcMar>
            <w:vAlign w:val="center"/>
          </w:tcPr>
          <w:p w14:paraId="4113BA2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908" w:type="dxa"/>
            <w:shd w:val="clear" w:color="auto" w:fill="auto"/>
            <w:tcMar>
              <w:top w:w="0" w:type="dxa"/>
              <w:left w:w="108" w:type="dxa"/>
              <w:bottom w:w="0" w:type="dxa"/>
              <w:right w:w="108" w:type="dxa"/>
            </w:tcMar>
            <w:vAlign w:val="center"/>
          </w:tcPr>
          <w:p w14:paraId="62AF346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w:t>
            </w:r>
          </w:p>
        </w:tc>
      </w:tr>
      <w:tr w14:paraId="1EF02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7691BD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零售业</w:t>
            </w:r>
          </w:p>
        </w:tc>
        <w:tc>
          <w:tcPr>
            <w:tcW w:w="1281" w:type="dxa"/>
            <w:shd w:val="clear" w:color="auto" w:fill="auto"/>
            <w:tcMar>
              <w:top w:w="0" w:type="dxa"/>
              <w:left w:w="108" w:type="dxa"/>
              <w:bottom w:w="0" w:type="dxa"/>
              <w:right w:w="108" w:type="dxa"/>
            </w:tcMar>
            <w:vAlign w:val="center"/>
          </w:tcPr>
          <w:p w14:paraId="7C7FAA8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447A212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ED1034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3F443A4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50≤X＜300</w:t>
            </w:r>
          </w:p>
        </w:tc>
        <w:tc>
          <w:tcPr>
            <w:tcW w:w="1315" w:type="dxa"/>
            <w:shd w:val="clear" w:color="auto" w:fill="auto"/>
            <w:tcMar>
              <w:top w:w="0" w:type="dxa"/>
              <w:left w:w="108" w:type="dxa"/>
              <w:bottom w:w="0" w:type="dxa"/>
              <w:right w:w="108" w:type="dxa"/>
            </w:tcMar>
            <w:vAlign w:val="center"/>
          </w:tcPr>
          <w:p w14:paraId="3632CA0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10≤X＜50</w:t>
            </w:r>
          </w:p>
        </w:tc>
        <w:tc>
          <w:tcPr>
            <w:tcW w:w="908" w:type="dxa"/>
            <w:shd w:val="clear" w:color="auto" w:fill="auto"/>
            <w:tcMar>
              <w:top w:w="0" w:type="dxa"/>
              <w:left w:w="108" w:type="dxa"/>
              <w:bottom w:w="0" w:type="dxa"/>
              <w:right w:w="108" w:type="dxa"/>
            </w:tcMar>
            <w:vAlign w:val="center"/>
          </w:tcPr>
          <w:p w14:paraId="320DE5C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69141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5101545D">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42A1581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62D8B33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6D9EB9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w:t>
            </w:r>
          </w:p>
        </w:tc>
        <w:tc>
          <w:tcPr>
            <w:tcW w:w="1491" w:type="dxa"/>
            <w:shd w:val="clear" w:color="auto" w:fill="auto"/>
            <w:tcMar>
              <w:top w:w="0" w:type="dxa"/>
              <w:left w:w="108" w:type="dxa"/>
              <w:bottom w:w="0" w:type="dxa"/>
              <w:right w:w="108" w:type="dxa"/>
            </w:tcMar>
            <w:vAlign w:val="center"/>
          </w:tcPr>
          <w:p w14:paraId="4359159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500≤Y＜20000</w:t>
            </w:r>
          </w:p>
        </w:tc>
        <w:tc>
          <w:tcPr>
            <w:tcW w:w="1315" w:type="dxa"/>
            <w:shd w:val="clear" w:color="auto" w:fill="auto"/>
            <w:tcMar>
              <w:top w:w="0" w:type="dxa"/>
              <w:left w:w="108" w:type="dxa"/>
              <w:bottom w:w="0" w:type="dxa"/>
              <w:right w:w="108" w:type="dxa"/>
            </w:tcMar>
            <w:vAlign w:val="center"/>
          </w:tcPr>
          <w:p w14:paraId="77FC7CA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100≤Y＜500</w:t>
            </w:r>
          </w:p>
        </w:tc>
        <w:tc>
          <w:tcPr>
            <w:tcW w:w="908" w:type="dxa"/>
            <w:shd w:val="clear" w:color="auto" w:fill="auto"/>
            <w:tcMar>
              <w:top w:w="0" w:type="dxa"/>
              <w:left w:w="108" w:type="dxa"/>
              <w:bottom w:w="0" w:type="dxa"/>
              <w:right w:w="108" w:type="dxa"/>
            </w:tcMar>
            <w:vAlign w:val="center"/>
          </w:tcPr>
          <w:p w14:paraId="55DF297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6D62B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72CA0EF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交通运输业 *</w:t>
            </w:r>
          </w:p>
        </w:tc>
        <w:tc>
          <w:tcPr>
            <w:tcW w:w="1281" w:type="dxa"/>
            <w:shd w:val="clear" w:color="auto" w:fill="auto"/>
            <w:tcMar>
              <w:top w:w="0" w:type="dxa"/>
              <w:left w:w="108" w:type="dxa"/>
              <w:bottom w:w="0" w:type="dxa"/>
              <w:right w:w="108" w:type="dxa"/>
            </w:tcMar>
            <w:vAlign w:val="center"/>
          </w:tcPr>
          <w:p w14:paraId="57DA829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4B735A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0C28A25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DACC7A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6471A5E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30D1BDB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65A07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15D97662">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3EE0AAB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9BBA92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F47E9A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09B13A2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3000≤Y＜30000</w:t>
            </w:r>
          </w:p>
        </w:tc>
        <w:tc>
          <w:tcPr>
            <w:tcW w:w="1315" w:type="dxa"/>
            <w:shd w:val="clear" w:color="auto" w:fill="auto"/>
            <w:tcMar>
              <w:top w:w="0" w:type="dxa"/>
              <w:left w:w="108" w:type="dxa"/>
              <w:bottom w:w="0" w:type="dxa"/>
              <w:right w:w="108" w:type="dxa"/>
            </w:tcMar>
            <w:vAlign w:val="center"/>
          </w:tcPr>
          <w:p w14:paraId="1633635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200≤Y＜3000</w:t>
            </w:r>
          </w:p>
        </w:tc>
        <w:tc>
          <w:tcPr>
            <w:tcW w:w="908" w:type="dxa"/>
            <w:shd w:val="clear" w:color="auto" w:fill="auto"/>
            <w:tcMar>
              <w:top w:w="0" w:type="dxa"/>
              <w:left w:w="108" w:type="dxa"/>
              <w:bottom w:w="0" w:type="dxa"/>
              <w:right w:w="108" w:type="dxa"/>
            </w:tcMar>
            <w:vAlign w:val="center"/>
          </w:tcPr>
          <w:p w14:paraId="46A4444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w:t>
            </w:r>
          </w:p>
        </w:tc>
      </w:tr>
      <w:tr w14:paraId="50224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243AE1A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仓储业</w:t>
            </w:r>
          </w:p>
        </w:tc>
        <w:tc>
          <w:tcPr>
            <w:tcW w:w="1281" w:type="dxa"/>
            <w:shd w:val="clear" w:color="auto" w:fill="auto"/>
            <w:tcMar>
              <w:top w:w="0" w:type="dxa"/>
              <w:left w:w="108" w:type="dxa"/>
              <w:bottom w:w="0" w:type="dxa"/>
              <w:right w:w="108" w:type="dxa"/>
            </w:tcMar>
            <w:vAlign w:val="center"/>
          </w:tcPr>
          <w:p w14:paraId="406C327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136AF3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683462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w:t>
            </w:r>
          </w:p>
        </w:tc>
        <w:tc>
          <w:tcPr>
            <w:tcW w:w="1491" w:type="dxa"/>
            <w:shd w:val="clear" w:color="auto" w:fill="auto"/>
            <w:tcMar>
              <w:top w:w="0" w:type="dxa"/>
              <w:left w:w="108" w:type="dxa"/>
              <w:bottom w:w="0" w:type="dxa"/>
              <w:right w:w="108" w:type="dxa"/>
            </w:tcMar>
            <w:vAlign w:val="center"/>
          </w:tcPr>
          <w:p w14:paraId="28CC75D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100≤X＜200</w:t>
            </w:r>
          </w:p>
        </w:tc>
        <w:tc>
          <w:tcPr>
            <w:tcW w:w="1315" w:type="dxa"/>
            <w:shd w:val="clear" w:color="auto" w:fill="auto"/>
            <w:tcMar>
              <w:top w:w="0" w:type="dxa"/>
              <w:left w:w="108" w:type="dxa"/>
              <w:bottom w:w="0" w:type="dxa"/>
              <w:right w:w="108" w:type="dxa"/>
            </w:tcMar>
            <w:vAlign w:val="center"/>
          </w:tcPr>
          <w:p w14:paraId="1BFE67C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20≤X＜100</w:t>
            </w:r>
          </w:p>
        </w:tc>
        <w:tc>
          <w:tcPr>
            <w:tcW w:w="908" w:type="dxa"/>
            <w:shd w:val="clear" w:color="auto" w:fill="auto"/>
            <w:tcMar>
              <w:top w:w="0" w:type="dxa"/>
              <w:left w:w="108" w:type="dxa"/>
              <w:bottom w:w="0" w:type="dxa"/>
              <w:right w:w="108" w:type="dxa"/>
            </w:tcMar>
            <w:vAlign w:val="center"/>
          </w:tcPr>
          <w:p w14:paraId="58B5949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58886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32BF841">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3544F60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07933A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C96726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5B7415C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1000≤Y＜30000</w:t>
            </w:r>
          </w:p>
        </w:tc>
        <w:tc>
          <w:tcPr>
            <w:tcW w:w="1315" w:type="dxa"/>
            <w:shd w:val="clear" w:color="auto" w:fill="auto"/>
            <w:tcMar>
              <w:top w:w="0" w:type="dxa"/>
              <w:left w:w="108" w:type="dxa"/>
              <w:bottom w:w="0" w:type="dxa"/>
              <w:right w:w="108" w:type="dxa"/>
            </w:tcMar>
            <w:vAlign w:val="center"/>
          </w:tcPr>
          <w:p w14:paraId="0E5EAFE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4960FD7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3DDB3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14F197D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邮政业</w:t>
            </w:r>
          </w:p>
        </w:tc>
        <w:tc>
          <w:tcPr>
            <w:tcW w:w="1281" w:type="dxa"/>
            <w:shd w:val="clear" w:color="auto" w:fill="auto"/>
            <w:tcMar>
              <w:top w:w="0" w:type="dxa"/>
              <w:left w:w="108" w:type="dxa"/>
              <w:bottom w:w="0" w:type="dxa"/>
              <w:right w:w="108" w:type="dxa"/>
            </w:tcMar>
            <w:vAlign w:val="center"/>
          </w:tcPr>
          <w:p w14:paraId="436F177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8E6837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2A88AE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1A05C5B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22B2672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20≤X＜300</w:t>
            </w:r>
          </w:p>
        </w:tc>
        <w:tc>
          <w:tcPr>
            <w:tcW w:w="908" w:type="dxa"/>
            <w:shd w:val="clear" w:color="auto" w:fill="auto"/>
            <w:tcMar>
              <w:top w:w="0" w:type="dxa"/>
              <w:left w:w="108" w:type="dxa"/>
              <w:bottom w:w="0" w:type="dxa"/>
              <w:right w:w="108" w:type="dxa"/>
            </w:tcMar>
            <w:vAlign w:val="center"/>
          </w:tcPr>
          <w:p w14:paraId="0C93A14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w:t>
            </w:r>
          </w:p>
        </w:tc>
      </w:tr>
      <w:tr w14:paraId="375E7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6F35F6B3">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03F174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2CB05ED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EEAA4F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Y≥30000</w:t>
            </w:r>
          </w:p>
        </w:tc>
        <w:tc>
          <w:tcPr>
            <w:tcW w:w="1491" w:type="dxa"/>
            <w:shd w:val="clear" w:color="auto" w:fill="auto"/>
            <w:tcMar>
              <w:top w:w="0" w:type="dxa"/>
              <w:left w:w="108" w:type="dxa"/>
              <w:bottom w:w="0" w:type="dxa"/>
              <w:right w:w="108" w:type="dxa"/>
            </w:tcMar>
            <w:vAlign w:val="center"/>
          </w:tcPr>
          <w:p w14:paraId="42C78B7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2000≤Y＜30000</w:t>
            </w:r>
          </w:p>
        </w:tc>
        <w:tc>
          <w:tcPr>
            <w:tcW w:w="1315" w:type="dxa"/>
            <w:shd w:val="clear" w:color="auto" w:fill="auto"/>
            <w:tcMar>
              <w:top w:w="0" w:type="dxa"/>
              <w:left w:w="108" w:type="dxa"/>
              <w:bottom w:w="0" w:type="dxa"/>
              <w:right w:w="108" w:type="dxa"/>
            </w:tcMar>
            <w:vAlign w:val="center"/>
          </w:tcPr>
          <w:p w14:paraId="138178F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48179D0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1DF5D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F46D45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住宿业</w:t>
            </w:r>
          </w:p>
        </w:tc>
        <w:tc>
          <w:tcPr>
            <w:tcW w:w="1281" w:type="dxa"/>
            <w:shd w:val="clear" w:color="auto" w:fill="auto"/>
            <w:tcMar>
              <w:top w:w="0" w:type="dxa"/>
              <w:left w:w="108" w:type="dxa"/>
              <w:bottom w:w="0" w:type="dxa"/>
              <w:right w:w="108" w:type="dxa"/>
            </w:tcMar>
            <w:vAlign w:val="center"/>
          </w:tcPr>
          <w:p w14:paraId="3694E64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33C1DB9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12960F3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0F76553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4EED71A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74B49F2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44817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7501A440">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6CE6EF0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1B2D0E7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397219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49A3190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13E67A6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100≤Y＜2000</w:t>
            </w:r>
          </w:p>
        </w:tc>
        <w:tc>
          <w:tcPr>
            <w:tcW w:w="908" w:type="dxa"/>
            <w:shd w:val="clear" w:color="auto" w:fill="auto"/>
            <w:tcMar>
              <w:top w:w="0" w:type="dxa"/>
              <w:left w:w="108" w:type="dxa"/>
              <w:bottom w:w="0" w:type="dxa"/>
              <w:right w:w="108" w:type="dxa"/>
            </w:tcMar>
            <w:vAlign w:val="center"/>
          </w:tcPr>
          <w:p w14:paraId="3281F31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4035C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4484C83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餐饮业</w:t>
            </w:r>
          </w:p>
        </w:tc>
        <w:tc>
          <w:tcPr>
            <w:tcW w:w="1281" w:type="dxa"/>
            <w:shd w:val="clear" w:color="auto" w:fill="auto"/>
            <w:tcMar>
              <w:top w:w="0" w:type="dxa"/>
              <w:left w:w="108" w:type="dxa"/>
              <w:bottom w:w="0" w:type="dxa"/>
              <w:right w:w="108" w:type="dxa"/>
            </w:tcMar>
            <w:vAlign w:val="center"/>
          </w:tcPr>
          <w:p w14:paraId="709AC2C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43EA2B5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229F623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4B182C71">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24D18AC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5CBA027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3EAD50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59CA2F27">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1C9E761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5CBB7CE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1A03591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6E86D3F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2000≤Y＜10000</w:t>
            </w:r>
          </w:p>
        </w:tc>
        <w:tc>
          <w:tcPr>
            <w:tcW w:w="1315" w:type="dxa"/>
            <w:shd w:val="clear" w:color="auto" w:fill="auto"/>
            <w:tcMar>
              <w:top w:w="0" w:type="dxa"/>
              <w:left w:w="108" w:type="dxa"/>
              <w:bottom w:w="0" w:type="dxa"/>
              <w:right w:w="108" w:type="dxa"/>
            </w:tcMar>
            <w:vAlign w:val="center"/>
          </w:tcPr>
          <w:p w14:paraId="0AD1693B">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 100≤Y＜2000</w:t>
            </w:r>
          </w:p>
        </w:tc>
        <w:tc>
          <w:tcPr>
            <w:tcW w:w="908" w:type="dxa"/>
            <w:shd w:val="clear" w:color="auto" w:fill="auto"/>
            <w:tcMar>
              <w:top w:w="0" w:type="dxa"/>
              <w:left w:w="108" w:type="dxa"/>
              <w:bottom w:w="0" w:type="dxa"/>
              <w:right w:w="108" w:type="dxa"/>
            </w:tcMar>
            <w:vAlign w:val="center"/>
          </w:tcPr>
          <w:p w14:paraId="3D53CF8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53871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restart"/>
            <w:shd w:val="clear" w:color="auto" w:fill="auto"/>
            <w:tcMar>
              <w:top w:w="0" w:type="dxa"/>
              <w:left w:w="108" w:type="dxa"/>
              <w:bottom w:w="0" w:type="dxa"/>
              <w:right w:w="108" w:type="dxa"/>
            </w:tcMar>
            <w:vAlign w:val="center"/>
          </w:tcPr>
          <w:p w14:paraId="33FEE2C2">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信息传输业 *</w:t>
            </w:r>
          </w:p>
        </w:tc>
        <w:tc>
          <w:tcPr>
            <w:tcW w:w="1281" w:type="dxa"/>
            <w:shd w:val="clear" w:color="auto" w:fill="auto"/>
            <w:tcMar>
              <w:top w:w="0" w:type="dxa"/>
              <w:left w:w="108" w:type="dxa"/>
              <w:bottom w:w="0" w:type="dxa"/>
              <w:right w:w="108" w:type="dxa"/>
            </w:tcMar>
            <w:vAlign w:val="center"/>
          </w:tcPr>
          <w:p w14:paraId="6297C8B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1AAB032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08ED9D4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X≥2000</w:t>
            </w:r>
          </w:p>
        </w:tc>
        <w:tc>
          <w:tcPr>
            <w:tcW w:w="1491" w:type="dxa"/>
            <w:shd w:val="clear" w:color="auto" w:fill="auto"/>
            <w:tcMar>
              <w:top w:w="0" w:type="dxa"/>
              <w:left w:w="108" w:type="dxa"/>
              <w:bottom w:w="0" w:type="dxa"/>
              <w:right w:w="108" w:type="dxa"/>
            </w:tcMar>
            <w:vAlign w:val="center"/>
          </w:tcPr>
          <w:p w14:paraId="6F9F7B7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100≤X＜2000</w:t>
            </w:r>
          </w:p>
        </w:tc>
        <w:tc>
          <w:tcPr>
            <w:tcW w:w="1315" w:type="dxa"/>
            <w:shd w:val="clear" w:color="auto" w:fill="auto"/>
            <w:tcMar>
              <w:top w:w="0" w:type="dxa"/>
              <w:left w:w="108" w:type="dxa"/>
              <w:bottom w:w="0" w:type="dxa"/>
              <w:right w:w="108" w:type="dxa"/>
            </w:tcMar>
            <w:vAlign w:val="center"/>
          </w:tcPr>
          <w:p w14:paraId="0CC8305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3E5DE64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7897E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vMerge w:val="continue"/>
            <w:vAlign w:val="center"/>
          </w:tcPr>
          <w:p w14:paraId="0E5D0B6B">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4E3B02E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3DECBA6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002B84B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Y≥100000</w:t>
            </w:r>
          </w:p>
        </w:tc>
        <w:tc>
          <w:tcPr>
            <w:tcW w:w="1491" w:type="dxa"/>
            <w:shd w:val="clear" w:color="auto" w:fill="auto"/>
            <w:tcMar>
              <w:top w:w="0" w:type="dxa"/>
              <w:left w:w="108" w:type="dxa"/>
              <w:bottom w:w="0" w:type="dxa"/>
              <w:right w:w="108" w:type="dxa"/>
            </w:tcMar>
            <w:vAlign w:val="center"/>
          </w:tcPr>
          <w:p w14:paraId="7FF9755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1000≤Y＜100000</w:t>
            </w:r>
          </w:p>
        </w:tc>
        <w:tc>
          <w:tcPr>
            <w:tcW w:w="1315" w:type="dxa"/>
            <w:shd w:val="clear" w:color="auto" w:fill="auto"/>
            <w:tcMar>
              <w:top w:w="0" w:type="dxa"/>
              <w:left w:w="108" w:type="dxa"/>
              <w:bottom w:w="0" w:type="dxa"/>
              <w:right w:w="108" w:type="dxa"/>
            </w:tcMar>
            <w:vAlign w:val="center"/>
          </w:tcPr>
          <w:p w14:paraId="5802D4C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72F2FFB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7131A7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337F2BB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pacing w:val="-12"/>
                <w:sz w:val="18"/>
                <w:szCs w:val="18"/>
                <w:highlight w:val="none"/>
              </w:rPr>
              <w:t>软件和信息技术服</w:t>
            </w:r>
            <w:r>
              <w:rPr>
                <w:rFonts w:hint="eastAsia" w:ascii="宋体" w:hAnsi="宋体" w:eastAsia="宋体" w:cs="宋体"/>
                <w:color w:val="auto"/>
                <w:sz w:val="18"/>
                <w:szCs w:val="18"/>
                <w:highlight w:val="none"/>
              </w:rPr>
              <w:t>务业</w:t>
            </w:r>
          </w:p>
        </w:tc>
        <w:tc>
          <w:tcPr>
            <w:tcW w:w="1281" w:type="dxa"/>
            <w:shd w:val="clear" w:color="auto" w:fill="auto"/>
            <w:tcMar>
              <w:top w:w="0" w:type="dxa"/>
              <w:left w:w="108" w:type="dxa"/>
              <w:bottom w:w="0" w:type="dxa"/>
              <w:right w:w="108" w:type="dxa"/>
            </w:tcMar>
            <w:vAlign w:val="center"/>
          </w:tcPr>
          <w:p w14:paraId="35446D26">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4BCF0CB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DA8EFFE">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362B8B78">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04C891B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04222E9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37CB1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201A1E0E">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7936740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2F4755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8209B79">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Y≥10000</w:t>
            </w:r>
          </w:p>
        </w:tc>
        <w:tc>
          <w:tcPr>
            <w:tcW w:w="1491" w:type="dxa"/>
            <w:shd w:val="clear" w:color="auto" w:fill="auto"/>
            <w:tcMar>
              <w:top w:w="0" w:type="dxa"/>
              <w:left w:w="108" w:type="dxa"/>
              <w:bottom w:w="0" w:type="dxa"/>
              <w:right w:w="108" w:type="dxa"/>
            </w:tcMar>
            <w:vAlign w:val="center"/>
          </w:tcPr>
          <w:p w14:paraId="53F9128B">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1000≤Y＜10000</w:t>
            </w:r>
          </w:p>
        </w:tc>
        <w:tc>
          <w:tcPr>
            <w:tcW w:w="1315" w:type="dxa"/>
            <w:shd w:val="clear" w:color="auto" w:fill="auto"/>
            <w:tcMar>
              <w:top w:w="0" w:type="dxa"/>
              <w:left w:w="108" w:type="dxa"/>
              <w:bottom w:w="0" w:type="dxa"/>
              <w:right w:w="108" w:type="dxa"/>
            </w:tcMar>
            <w:vAlign w:val="center"/>
          </w:tcPr>
          <w:p w14:paraId="0E375E2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50≤Y＜1000</w:t>
            </w:r>
          </w:p>
        </w:tc>
        <w:tc>
          <w:tcPr>
            <w:tcW w:w="908" w:type="dxa"/>
            <w:shd w:val="clear" w:color="auto" w:fill="auto"/>
            <w:tcMar>
              <w:top w:w="0" w:type="dxa"/>
              <w:left w:w="108" w:type="dxa"/>
              <w:bottom w:w="0" w:type="dxa"/>
              <w:right w:w="108" w:type="dxa"/>
            </w:tcMar>
            <w:vAlign w:val="center"/>
          </w:tcPr>
          <w:p w14:paraId="04815DB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w:t>
            </w:r>
          </w:p>
        </w:tc>
      </w:tr>
      <w:tr w14:paraId="41959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3CBBA0B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房地产开发经营</w:t>
            </w:r>
          </w:p>
        </w:tc>
        <w:tc>
          <w:tcPr>
            <w:tcW w:w="1281" w:type="dxa"/>
            <w:shd w:val="clear" w:color="auto" w:fill="auto"/>
            <w:tcMar>
              <w:top w:w="0" w:type="dxa"/>
              <w:left w:w="108" w:type="dxa"/>
              <w:bottom w:w="0" w:type="dxa"/>
              <w:right w:w="108" w:type="dxa"/>
            </w:tcMar>
            <w:vAlign w:val="center"/>
          </w:tcPr>
          <w:p w14:paraId="47AF76E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4AD624A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4E83CB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Y≥200000</w:t>
            </w:r>
          </w:p>
        </w:tc>
        <w:tc>
          <w:tcPr>
            <w:tcW w:w="1491" w:type="dxa"/>
            <w:shd w:val="clear" w:color="auto" w:fill="auto"/>
            <w:tcMar>
              <w:top w:w="0" w:type="dxa"/>
              <w:left w:w="108" w:type="dxa"/>
              <w:bottom w:w="0" w:type="dxa"/>
              <w:right w:w="108" w:type="dxa"/>
            </w:tcMar>
            <w:vAlign w:val="center"/>
          </w:tcPr>
          <w:p w14:paraId="169D7E37">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 1000≤Y＜200000</w:t>
            </w:r>
          </w:p>
        </w:tc>
        <w:tc>
          <w:tcPr>
            <w:tcW w:w="1315" w:type="dxa"/>
            <w:shd w:val="clear" w:color="auto" w:fill="auto"/>
            <w:tcMar>
              <w:top w:w="0" w:type="dxa"/>
              <w:left w:w="108" w:type="dxa"/>
              <w:bottom w:w="0" w:type="dxa"/>
              <w:right w:w="108" w:type="dxa"/>
            </w:tcMar>
            <w:vAlign w:val="center"/>
          </w:tcPr>
          <w:p w14:paraId="1BDBB56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100≤Y＜1000</w:t>
            </w:r>
          </w:p>
        </w:tc>
        <w:tc>
          <w:tcPr>
            <w:tcW w:w="908" w:type="dxa"/>
            <w:shd w:val="clear" w:color="auto" w:fill="auto"/>
            <w:tcMar>
              <w:top w:w="0" w:type="dxa"/>
              <w:left w:w="108" w:type="dxa"/>
              <w:bottom w:w="0" w:type="dxa"/>
              <w:right w:w="108" w:type="dxa"/>
            </w:tcMar>
            <w:vAlign w:val="center"/>
          </w:tcPr>
          <w:p w14:paraId="4DCCD1B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Y＜100</w:t>
            </w:r>
          </w:p>
        </w:tc>
      </w:tr>
      <w:tr w14:paraId="077B2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37DA282D">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6E31E27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05B0A09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7A0D0B2A">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Z≥10000</w:t>
            </w:r>
          </w:p>
        </w:tc>
        <w:tc>
          <w:tcPr>
            <w:tcW w:w="1491" w:type="dxa"/>
            <w:shd w:val="clear" w:color="auto" w:fill="auto"/>
            <w:tcMar>
              <w:top w:w="0" w:type="dxa"/>
              <w:left w:w="108" w:type="dxa"/>
              <w:bottom w:w="0" w:type="dxa"/>
              <w:right w:w="108" w:type="dxa"/>
            </w:tcMar>
            <w:vAlign w:val="center"/>
          </w:tcPr>
          <w:p w14:paraId="36A51386">
            <w:pPr>
              <w:spacing w:line="240" w:lineRule="auto"/>
              <w:ind w:firstLine="0" w:firstLineChars="0"/>
              <w:jc w:val="center"/>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5000≤Z＜10000</w:t>
            </w:r>
          </w:p>
        </w:tc>
        <w:tc>
          <w:tcPr>
            <w:tcW w:w="1315" w:type="dxa"/>
            <w:shd w:val="clear" w:color="auto" w:fill="auto"/>
            <w:tcMar>
              <w:top w:w="0" w:type="dxa"/>
              <w:left w:w="108" w:type="dxa"/>
              <w:bottom w:w="0" w:type="dxa"/>
              <w:right w:w="108" w:type="dxa"/>
            </w:tcMar>
            <w:vAlign w:val="center"/>
          </w:tcPr>
          <w:p w14:paraId="601D38E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2000≤Z＜5000  </w:t>
            </w:r>
          </w:p>
        </w:tc>
        <w:tc>
          <w:tcPr>
            <w:tcW w:w="908" w:type="dxa"/>
            <w:shd w:val="clear" w:color="auto" w:fill="auto"/>
            <w:tcMar>
              <w:top w:w="0" w:type="dxa"/>
              <w:left w:w="108" w:type="dxa"/>
              <w:bottom w:w="0" w:type="dxa"/>
              <w:right w:w="108" w:type="dxa"/>
            </w:tcMar>
            <w:vAlign w:val="center"/>
          </w:tcPr>
          <w:p w14:paraId="40EE655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Z＜2000</w:t>
            </w:r>
          </w:p>
        </w:tc>
      </w:tr>
      <w:tr w14:paraId="1ECC4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587E7AE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物业管理</w:t>
            </w:r>
          </w:p>
        </w:tc>
        <w:tc>
          <w:tcPr>
            <w:tcW w:w="1281" w:type="dxa"/>
            <w:shd w:val="clear" w:color="auto" w:fill="auto"/>
            <w:tcMar>
              <w:top w:w="0" w:type="dxa"/>
              <w:left w:w="108" w:type="dxa"/>
              <w:bottom w:w="0" w:type="dxa"/>
              <w:right w:w="108" w:type="dxa"/>
            </w:tcMar>
            <w:vAlign w:val="center"/>
          </w:tcPr>
          <w:p w14:paraId="23AE159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74EF7B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C8D9BA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X≥1000</w:t>
            </w:r>
          </w:p>
        </w:tc>
        <w:tc>
          <w:tcPr>
            <w:tcW w:w="1491" w:type="dxa"/>
            <w:shd w:val="clear" w:color="auto" w:fill="auto"/>
            <w:tcMar>
              <w:top w:w="0" w:type="dxa"/>
              <w:left w:w="108" w:type="dxa"/>
              <w:bottom w:w="0" w:type="dxa"/>
              <w:right w:w="108" w:type="dxa"/>
            </w:tcMar>
            <w:vAlign w:val="center"/>
          </w:tcPr>
          <w:p w14:paraId="31FC70D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300≤X＜1000</w:t>
            </w:r>
          </w:p>
        </w:tc>
        <w:tc>
          <w:tcPr>
            <w:tcW w:w="1315" w:type="dxa"/>
            <w:shd w:val="clear" w:color="auto" w:fill="auto"/>
            <w:tcMar>
              <w:top w:w="0" w:type="dxa"/>
              <w:left w:w="108" w:type="dxa"/>
              <w:bottom w:w="0" w:type="dxa"/>
              <w:right w:w="108" w:type="dxa"/>
            </w:tcMar>
            <w:vAlign w:val="center"/>
          </w:tcPr>
          <w:p w14:paraId="3BF9A02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908" w:type="dxa"/>
            <w:shd w:val="clear" w:color="auto" w:fill="auto"/>
            <w:tcMar>
              <w:top w:w="0" w:type="dxa"/>
              <w:left w:w="108" w:type="dxa"/>
              <w:bottom w:w="0" w:type="dxa"/>
              <w:right w:w="108" w:type="dxa"/>
            </w:tcMar>
            <w:vAlign w:val="center"/>
          </w:tcPr>
          <w:p w14:paraId="61F0B4C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X＜100</w:t>
            </w:r>
          </w:p>
        </w:tc>
      </w:tr>
      <w:tr w14:paraId="25EFAD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52966900">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662E73C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营业收入(Y)</w:t>
            </w:r>
          </w:p>
        </w:tc>
        <w:tc>
          <w:tcPr>
            <w:tcW w:w="758" w:type="dxa"/>
            <w:shd w:val="clear" w:color="auto" w:fill="auto"/>
            <w:tcMar>
              <w:top w:w="0" w:type="dxa"/>
              <w:left w:w="108" w:type="dxa"/>
              <w:bottom w:w="0" w:type="dxa"/>
              <w:right w:w="108" w:type="dxa"/>
            </w:tcMar>
            <w:vAlign w:val="center"/>
          </w:tcPr>
          <w:p w14:paraId="181E990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494A4E1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Y≥5000</w:t>
            </w:r>
          </w:p>
        </w:tc>
        <w:tc>
          <w:tcPr>
            <w:tcW w:w="1491" w:type="dxa"/>
            <w:shd w:val="clear" w:color="auto" w:fill="auto"/>
            <w:tcMar>
              <w:top w:w="0" w:type="dxa"/>
              <w:left w:w="108" w:type="dxa"/>
              <w:bottom w:w="0" w:type="dxa"/>
              <w:right w:w="108" w:type="dxa"/>
            </w:tcMar>
            <w:vAlign w:val="center"/>
          </w:tcPr>
          <w:p w14:paraId="2EFC24B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1000≤Y＜5000</w:t>
            </w:r>
          </w:p>
        </w:tc>
        <w:tc>
          <w:tcPr>
            <w:tcW w:w="1315" w:type="dxa"/>
            <w:shd w:val="clear" w:color="auto" w:fill="auto"/>
            <w:tcMar>
              <w:top w:w="0" w:type="dxa"/>
              <w:left w:w="108" w:type="dxa"/>
              <w:bottom w:w="0" w:type="dxa"/>
              <w:right w:w="108" w:type="dxa"/>
            </w:tcMar>
            <w:vAlign w:val="center"/>
          </w:tcPr>
          <w:p w14:paraId="40A7E6D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500≤Y＜1000</w:t>
            </w:r>
          </w:p>
        </w:tc>
        <w:tc>
          <w:tcPr>
            <w:tcW w:w="908" w:type="dxa"/>
            <w:shd w:val="clear" w:color="auto" w:fill="auto"/>
            <w:tcMar>
              <w:top w:w="0" w:type="dxa"/>
              <w:left w:w="108" w:type="dxa"/>
              <w:bottom w:w="0" w:type="dxa"/>
              <w:right w:w="108" w:type="dxa"/>
            </w:tcMar>
            <w:vAlign w:val="center"/>
          </w:tcPr>
          <w:p w14:paraId="220E3A1C">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Y＜500</w:t>
            </w:r>
          </w:p>
        </w:tc>
      </w:tr>
      <w:tr w14:paraId="49B20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restart"/>
            <w:shd w:val="clear" w:color="auto" w:fill="auto"/>
            <w:tcMar>
              <w:top w:w="0" w:type="dxa"/>
              <w:left w:w="108" w:type="dxa"/>
              <w:bottom w:w="0" w:type="dxa"/>
              <w:right w:w="108" w:type="dxa"/>
            </w:tcMar>
            <w:vAlign w:val="center"/>
          </w:tcPr>
          <w:p w14:paraId="7793E5F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租赁和商务服务业</w:t>
            </w:r>
          </w:p>
        </w:tc>
        <w:tc>
          <w:tcPr>
            <w:tcW w:w="1281" w:type="dxa"/>
            <w:shd w:val="clear" w:color="auto" w:fill="auto"/>
            <w:tcMar>
              <w:top w:w="0" w:type="dxa"/>
              <w:left w:w="108" w:type="dxa"/>
              <w:bottom w:w="0" w:type="dxa"/>
              <w:right w:w="108" w:type="dxa"/>
            </w:tcMar>
            <w:vAlign w:val="center"/>
          </w:tcPr>
          <w:p w14:paraId="3045E7F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7574B219">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68FDFB8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2D58846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6F9F8FF8">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052B4445">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r w14:paraId="6B56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40" w:hRule="atLeast"/>
          <w:jc w:val="center"/>
        </w:trPr>
        <w:tc>
          <w:tcPr>
            <w:tcW w:w="1560" w:type="dxa"/>
            <w:vMerge w:val="continue"/>
            <w:vAlign w:val="center"/>
          </w:tcPr>
          <w:p w14:paraId="71FEE33D">
            <w:pPr>
              <w:spacing w:line="240" w:lineRule="auto"/>
              <w:ind w:firstLine="0" w:firstLineChars="0"/>
              <w:rPr>
                <w:rFonts w:hint="eastAsia" w:ascii="宋体" w:hAnsi="宋体" w:eastAsia="宋体" w:cs="宋体"/>
                <w:bCs/>
                <w:color w:val="auto"/>
                <w:sz w:val="24"/>
                <w:highlight w:val="none"/>
              </w:rPr>
            </w:pPr>
          </w:p>
        </w:tc>
        <w:tc>
          <w:tcPr>
            <w:tcW w:w="1281" w:type="dxa"/>
            <w:shd w:val="clear" w:color="auto" w:fill="auto"/>
            <w:tcMar>
              <w:top w:w="0" w:type="dxa"/>
              <w:left w:w="108" w:type="dxa"/>
              <w:bottom w:w="0" w:type="dxa"/>
              <w:right w:w="108" w:type="dxa"/>
            </w:tcMar>
            <w:vAlign w:val="center"/>
          </w:tcPr>
          <w:p w14:paraId="0D569C1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资产总额(Z)</w:t>
            </w:r>
          </w:p>
        </w:tc>
        <w:tc>
          <w:tcPr>
            <w:tcW w:w="758" w:type="dxa"/>
            <w:shd w:val="clear" w:color="auto" w:fill="auto"/>
            <w:tcMar>
              <w:top w:w="0" w:type="dxa"/>
              <w:left w:w="108" w:type="dxa"/>
              <w:bottom w:w="0" w:type="dxa"/>
              <w:right w:w="108" w:type="dxa"/>
            </w:tcMar>
            <w:vAlign w:val="center"/>
          </w:tcPr>
          <w:p w14:paraId="3D63AD8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万元</w:t>
            </w:r>
          </w:p>
        </w:tc>
        <w:tc>
          <w:tcPr>
            <w:tcW w:w="993" w:type="dxa"/>
            <w:shd w:val="clear" w:color="auto" w:fill="auto"/>
            <w:tcMar>
              <w:top w:w="0" w:type="dxa"/>
              <w:left w:w="108" w:type="dxa"/>
              <w:bottom w:w="0" w:type="dxa"/>
              <w:right w:w="108" w:type="dxa"/>
            </w:tcMar>
            <w:vAlign w:val="center"/>
          </w:tcPr>
          <w:p w14:paraId="22615E6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Z≥120000</w:t>
            </w:r>
          </w:p>
        </w:tc>
        <w:tc>
          <w:tcPr>
            <w:tcW w:w="1491" w:type="dxa"/>
            <w:shd w:val="clear" w:color="auto" w:fill="auto"/>
            <w:tcMar>
              <w:top w:w="0" w:type="dxa"/>
              <w:left w:w="108" w:type="dxa"/>
              <w:bottom w:w="0" w:type="dxa"/>
              <w:right w:w="108" w:type="dxa"/>
            </w:tcMar>
            <w:vAlign w:val="center"/>
          </w:tcPr>
          <w:p w14:paraId="2F70E3C7">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8000≤Z＜120000</w:t>
            </w:r>
          </w:p>
        </w:tc>
        <w:tc>
          <w:tcPr>
            <w:tcW w:w="1315" w:type="dxa"/>
            <w:shd w:val="clear" w:color="auto" w:fill="auto"/>
            <w:tcMar>
              <w:top w:w="0" w:type="dxa"/>
              <w:left w:w="108" w:type="dxa"/>
              <w:bottom w:w="0" w:type="dxa"/>
              <w:right w:w="108" w:type="dxa"/>
            </w:tcMar>
            <w:vAlign w:val="center"/>
          </w:tcPr>
          <w:p w14:paraId="15F7F483">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100≤Z＜8000</w:t>
            </w:r>
          </w:p>
        </w:tc>
        <w:tc>
          <w:tcPr>
            <w:tcW w:w="908" w:type="dxa"/>
            <w:shd w:val="clear" w:color="auto" w:fill="auto"/>
            <w:tcMar>
              <w:top w:w="0" w:type="dxa"/>
              <w:left w:w="108" w:type="dxa"/>
              <w:bottom w:w="0" w:type="dxa"/>
              <w:right w:w="108" w:type="dxa"/>
            </w:tcMar>
            <w:vAlign w:val="center"/>
          </w:tcPr>
          <w:p w14:paraId="26D8DBA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Z＜100</w:t>
            </w:r>
          </w:p>
        </w:tc>
      </w:tr>
      <w:tr w14:paraId="21AEA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97" w:hRule="atLeast"/>
          <w:jc w:val="center"/>
        </w:trPr>
        <w:tc>
          <w:tcPr>
            <w:tcW w:w="1560" w:type="dxa"/>
            <w:shd w:val="clear" w:color="auto" w:fill="auto"/>
            <w:tcMar>
              <w:top w:w="0" w:type="dxa"/>
              <w:left w:w="108" w:type="dxa"/>
              <w:bottom w:w="0" w:type="dxa"/>
              <w:right w:w="108" w:type="dxa"/>
            </w:tcMar>
            <w:vAlign w:val="center"/>
          </w:tcPr>
          <w:p w14:paraId="72DE5C04">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其他未列明行业 *</w:t>
            </w:r>
          </w:p>
        </w:tc>
        <w:tc>
          <w:tcPr>
            <w:tcW w:w="1281" w:type="dxa"/>
            <w:shd w:val="clear" w:color="auto" w:fill="auto"/>
            <w:tcMar>
              <w:top w:w="0" w:type="dxa"/>
              <w:left w:w="108" w:type="dxa"/>
              <w:bottom w:w="0" w:type="dxa"/>
              <w:right w:w="108" w:type="dxa"/>
            </w:tcMar>
            <w:vAlign w:val="center"/>
          </w:tcPr>
          <w:p w14:paraId="394990E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从业人员(X)</w:t>
            </w:r>
          </w:p>
        </w:tc>
        <w:tc>
          <w:tcPr>
            <w:tcW w:w="758" w:type="dxa"/>
            <w:shd w:val="clear" w:color="auto" w:fill="auto"/>
            <w:tcMar>
              <w:top w:w="0" w:type="dxa"/>
              <w:left w:w="108" w:type="dxa"/>
              <w:bottom w:w="0" w:type="dxa"/>
              <w:right w:w="108" w:type="dxa"/>
            </w:tcMar>
            <w:vAlign w:val="center"/>
          </w:tcPr>
          <w:p w14:paraId="276BA8FF">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人</w:t>
            </w:r>
          </w:p>
        </w:tc>
        <w:tc>
          <w:tcPr>
            <w:tcW w:w="993" w:type="dxa"/>
            <w:shd w:val="clear" w:color="auto" w:fill="auto"/>
            <w:tcMar>
              <w:top w:w="0" w:type="dxa"/>
              <w:left w:w="108" w:type="dxa"/>
              <w:bottom w:w="0" w:type="dxa"/>
              <w:right w:w="108" w:type="dxa"/>
            </w:tcMar>
            <w:vAlign w:val="center"/>
          </w:tcPr>
          <w:p w14:paraId="3F5467BB">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X≥300</w:t>
            </w:r>
          </w:p>
        </w:tc>
        <w:tc>
          <w:tcPr>
            <w:tcW w:w="1491" w:type="dxa"/>
            <w:shd w:val="clear" w:color="auto" w:fill="auto"/>
            <w:tcMar>
              <w:top w:w="0" w:type="dxa"/>
              <w:left w:w="108" w:type="dxa"/>
              <w:bottom w:w="0" w:type="dxa"/>
              <w:right w:w="108" w:type="dxa"/>
            </w:tcMar>
            <w:vAlign w:val="center"/>
          </w:tcPr>
          <w:p w14:paraId="6A34D2D0">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100≤X＜300</w:t>
            </w:r>
          </w:p>
        </w:tc>
        <w:tc>
          <w:tcPr>
            <w:tcW w:w="1315" w:type="dxa"/>
            <w:shd w:val="clear" w:color="auto" w:fill="auto"/>
            <w:tcMar>
              <w:top w:w="0" w:type="dxa"/>
              <w:left w:w="108" w:type="dxa"/>
              <w:bottom w:w="0" w:type="dxa"/>
              <w:right w:w="108" w:type="dxa"/>
            </w:tcMar>
            <w:vAlign w:val="center"/>
          </w:tcPr>
          <w:p w14:paraId="11D3528D">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10≤X＜100</w:t>
            </w:r>
          </w:p>
        </w:tc>
        <w:tc>
          <w:tcPr>
            <w:tcW w:w="908" w:type="dxa"/>
            <w:shd w:val="clear" w:color="auto" w:fill="auto"/>
            <w:tcMar>
              <w:top w:w="0" w:type="dxa"/>
              <w:left w:w="108" w:type="dxa"/>
              <w:bottom w:w="0" w:type="dxa"/>
              <w:right w:w="108" w:type="dxa"/>
            </w:tcMar>
            <w:vAlign w:val="center"/>
          </w:tcPr>
          <w:p w14:paraId="684B66CE">
            <w:pPr>
              <w:spacing w:line="240" w:lineRule="auto"/>
              <w:ind w:firstLine="0" w:firstLineChars="0"/>
              <w:rPr>
                <w:rFonts w:hint="eastAsia" w:ascii="宋体" w:hAnsi="宋体" w:eastAsia="宋体" w:cs="宋体"/>
                <w:bCs/>
                <w:color w:val="auto"/>
                <w:sz w:val="24"/>
                <w:highlight w:val="none"/>
              </w:rPr>
            </w:pPr>
            <w:r>
              <w:rPr>
                <w:rFonts w:hint="eastAsia" w:ascii="宋体" w:hAnsi="宋体" w:eastAsia="宋体" w:cs="宋体"/>
                <w:color w:val="auto"/>
                <w:sz w:val="18"/>
                <w:szCs w:val="18"/>
                <w:highlight w:val="none"/>
              </w:rPr>
              <w:t>X＜10</w:t>
            </w:r>
          </w:p>
        </w:tc>
      </w:tr>
    </w:tbl>
    <w:p w14:paraId="5C29978E">
      <w:pPr>
        <w:shd w:val="clear" w:color="auto" w:fill="FFFFFF"/>
        <w:spacing w:line="400" w:lineRule="exact"/>
        <w:ind w:firstLine="0" w:firstLineChars="0"/>
        <w:rPr>
          <w:rFonts w:hint="eastAsia" w:ascii="微软雅黑" w:hAnsi="微软雅黑" w:cs="宋体"/>
          <w:bCs/>
          <w:color w:val="auto"/>
          <w:szCs w:val="21"/>
          <w:highlight w:val="none"/>
        </w:rPr>
      </w:pPr>
      <w:r>
        <w:rPr>
          <w:rFonts w:hint="eastAsia" w:ascii="宋体" w:hAnsi="宋体" w:eastAsia="宋体" w:cs="宋体"/>
          <w:color w:val="auto"/>
          <w:sz w:val="18"/>
          <w:szCs w:val="18"/>
          <w:highlight w:val="none"/>
        </w:rPr>
        <w:t> </w:t>
      </w:r>
      <w:r>
        <w:rPr>
          <w:rFonts w:hint="eastAsia" w:ascii="宋体" w:hAnsi="宋体" w:eastAsia="宋体" w:cs="宋体"/>
          <w:color w:val="auto"/>
          <w:spacing w:val="8"/>
          <w:sz w:val="24"/>
          <w:highlight w:val="none"/>
        </w:rPr>
        <w:t>　</w:t>
      </w:r>
      <w:r>
        <w:rPr>
          <w:rFonts w:hint="eastAsia" w:ascii="微软雅黑" w:hAnsi="微软雅黑" w:cs="宋体"/>
          <w:color w:val="auto"/>
          <w:spacing w:val="8"/>
          <w:szCs w:val="21"/>
          <w:highlight w:val="none"/>
        </w:rPr>
        <w:t>　说明：</w:t>
      </w:r>
    </w:p>
    <w:p w14:paraId="3C6E4AC2">
      <w:pPr>
        <w:shd w:val="clear" w:color="auto" w:fill="FFFFFF"/>
        <w:spacing w:line="400" w:lineRule="exact"/>
        <w:ind w:firstLine="0" w:firstLineChars="0"/>
        <w:rPr>
          <w:rFonts w:hint="eastAsia"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大型、中型和小型企业须同时满足所列指标的下限，否则下划一档；微型企业只须满足所列指标中的一项即可。</w:t>
      </w:r>
    </w:p>
    <w:p w14:paraId="5007CFFD">
      <w:pPr>
        <w:shd w:val="clear" w:color="auto" w:fill="FFFFFF"/>
        <w:spacing w:line="400" w:lineRule="exact"/>
        <w:ind w:firstLine="0" w:firstLineChars="0"/>
        <w:rPr>
          <w:rFonts w:hint="eastAsia" w:ascii="微软雅黑" w:hAnsi="微软雅黑" w:cs="宋体"/>
          <w:bCs/>
          <w:color w:val="auto"/>
          <w:szCs w:val="21"/>
          <w:highlight w:val="none"/>
        </w:r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附表中各行业的范围以《国民经济行业分类》（</w:t>
      </w:r>
      <w:r>
        <w:rPr>
          <w:rFonts w:ascii="微软雅黑" w:hAnsi="微软雅黑"/>
          <w:color w:val="auto"/>
          <w:spacing w:val="8"/>
          <w:szCs w:val="21"/>
          <w:highlight w:val="none"/>
        </w:rPr>
        <w:t>GB/T4754-2011</w:t>
      </w:r>
      <w:r>
        <w:rPr>
          <w:rFonts w:hint="eastAsia" w:ascii="微软雅黑" w:hAnsi="微软雅黑" w:cs="宋体"/>
          <w:color w:val="auto"/>
          <w:spacing w:val="8"/>
          <w:szCs w:val="21"/>
          <w:highlight w:val="none"/>
        </w:rPr>
        <w:t>）为准。带</w:t>
      </w:r>
      <w:r>
        <w:rPr>
          <w:rFonts w:ascii="微软雅黑" w:hAnsi="微软雅黑"/>
          <w:color w:val="auto"/>
          <w:spacing w:val="8"/>
          <w:szCs w:val="21"/>
          <w:highlight w:val="none"/>
        </w:rPr>
        <w:t>*</w:t>
      </w:r>
      <w:r>
        <w:rPr>
          <w:rFonts w:hint="eastAsia" w:ascii="微软雅黑" w:hAnsi="微软雅黑" w:cs="宋体"/>
          <w:color w:val="auto"/>
          <w:spacing w:val="8"/>
          <w:szCs w:val="21"/>
          <w:highlight w:val="none"/>
        </w:rPr>
        <w:t>的项为行业组合类别，其中，工业包括采矿业，制造业，电力、热力、燃气及水生产和供应业；交通运输业包括道路运输业，水上运输业，航空运输业，管道运输业，装卸搬运和运输代理业，不包括铁路运输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16A83F4C">
      <w:pPr>
        <w:shd w:val="clear" w:color="auto" w:fill="FFFFFF"/>
        <w:spacing w:line="400" w:lineRule="exact"/>
        <w:ind w:firstLine="0" w:firstLineChars="0"/>
        <w:rPr>
          <w:rFonts w:hint="eastAsia" w:ascii="微软雅黑" w:hAnsi="微软雅黑" w:cs="宋体"/>
          <w:color w:val="auto"/>
          <w:spacing w:val="8"/>
          <w:szCs w:val="21"/>
          <w:highlight w:val="none"/>
        </w:rPr>
        <w:sectPr>
          <w:footerReference r:id="rId25" w:type="default"/>
          <w:pgSz w:w="11906" w:h="16838"/>
          <w:pgMar w:top="1474" w:right="1134" w:bottom="1134" w:left="1474" w:header="851" w:footer="992" w:gutter="0"/>
          <w:cols w:space="720" w:num="1"/>
          <w:docGrid w:linePitch="312" w:charSpace="0"/>
        </w:sectPr>
      </w:pPr>
      <w:r>
        <w:rPr>
          <w:rFonts w:ascii="微软雅黑" w:hAnsi="微软雅黑"/>
          <w:color w:val="auto"/>
          <w:spacing w:val="8"/>
          <w:szCs w:val="21"/>
          <w:highlight w:val="none"/>
        </w:rPr>
        <w:t> </w:t>
      </w:r>
      <w:r>
        <w:rPr>
          <w:rFonts w:hint="eastAsia" w:ascii="微软雅黑" w:hAnsi="微软雅黑" w:cs="宋体"/>
          <w:color w:val="auto"/>
          <w:spacing w:val="8"/>
          <w:szCs w:val="21"/>
          <w:highlight w:val="none"/>
        </w:rPr>
        <w:t>　　</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企业划分指标以现行统计制度为准。（</w:t>
      </w:r>
      <w:r>
        <w:rPr>
          <w:rFonts w:ascii="微软雅黑" w:hAnsi="微软雅黑"/>
          <w:color w:val="auto"/>
          <w:spacing w:val="8"/>
          <w:szCs w:val="21"/>
          <w:highlight w:val="none"/>
        </w:rPr>
        <w:t>1</w:t>
      </w:r>
      <w:r>
        <w:rPr>
          <w:rFonts w:hint="eastAsia" w:ascii="微软雅黑" w:hAnsi="微软雅黑" w:cs="宋体"/>
          <w:color w:val="auto"/>
          <w:spacing w:val="8"/>
          <w:szCs w:val="21"/>
          <w:highlight w:val="none"/>
        </w:rPr>
        <w:t>）从业人员，是指期末从业人员数，没有期末从业人员数的，采用全年平均人员数代替。（</w:t>
      </w:r>
      <w:r>
        <w:rPr>
          <w:rFonts w:ascii="微软雅黑" w:hAnsi="微软雅黑"/>
          <w:color w:val="auto"/>
          <w:spacing w:val="8"/>
          <w:szCs w:val="21"/>
          <w:highlight w:val="none"/>
        </w:rPr>
        <w:t>2</w:t>
      </w:r>
      <w:r>
        <w:rPr>
          <w:rFonts w:hint="eastAsia" w:ascii="微软雅黑" w:hAnsi="微软雅黑" w:cs="宋体"/>
          <w:color w:val="auto"/>
          <w:spacing w:val="8"/>
          <w:szCs w:val="21"/>
          <w:highlight w:val="none"/>
        </w:rPr>
        <w:t>）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r>
        <w:rPr>
          <w:rFonts w:ascii="微软雅黑" w:hAnsi="微软雅黑"/>
          <w:color w:val="auto"/>
          <w:spacing w:val="8"/>
          <w:szCs w:val="21"/>
          <w:highlight w:val="none"/>
        </w:rPr>
        <w:t>3</w:t>
      </w:r>
      <w:r>
        <w:rPr>
          <w:rFonts w:hint="eastAsia" w:ascii="微软雅黑" w:hAnsi="微软雅黑" w:cs="宋体"/>
          <w:color w:val="auto"/>
          <w:spacing w:val="8"/>
          <w:szCs w:val="21"/>
          <w:highlight w:val="none"/>
        </w:rPr>
        <w:t>）资产总额，采用资产总计代替。</w:t>
      </w:r>
    </w:p>
    <w:p w14:paraId="5DDAB82A">
      <w:pPr>
        <w:keepNext w:val="0"/>
        <w:keepLines w:val="0"/>
        <w:pageBreakBefore w:val="0"/>
        <w:widowControl w:val="0"/>
        <w:kinsoku/>
        <w:wordWrap/>
        <w:overflowPunct/>
        <w:topLinePunct w:val="0"/>
        <w:autoSpaceDE/>
        <w:autoSpaceDN/>
        <w:bidi w:val="0"/>
        <w:adjustRightInd/>
        <w:snapToGrid/>
        <w:ind w:firstLine="0" w:firstLineChars="0"/>
        <w:textAlignment w:val="auto"/>
        <w:outlineLvl w:val="2"/>
        <w:rPr>
          <w:rFonts w:hint="eastAsia" w:ascii="微软雅黑" w:hAnsi="微软雅黑" w:eastAsia="微软雅黑" w:cs="微软雅黑"/>
          <w:b/>
          <w:bCs/>
          <w:snapToGrid w:val="0"/>
          <w:color w:val="auto"/>
          <w:kern w:val="0"/>
          <w:sz w:val="36"/>
          <w:szCs w:val="36"/>
          <w:highlight w:val="none"/>
        </w:rPr>
      </w:pPr>
      <w:bookmarkStart w:id="367" w:name="_Toc41642874"/>
      <w:r>
        <w:rPr>
          <w:rFonts w:hint="eastAsia" w:ascii="微软雅黑" w:hAnsi="微软雅黑" w:cs="微软雅黑"/>
          <w:b/>
          <w:bCs/>
          <w:snapToGrid w:val="0"/>
          <w:color w:val="auto"/>
          <w:kern w:val="0"/>
          <w:sz w:val="36"/>
          <w:szCs w:val="36"/>
          <w:highlight w:val="none"/>
          <w:lang w:val="en-US" w:eastAsia="zh-CN"/>
        </w:rPr>
        <w:t>附件一：</w:t>
      </w:r>
      <w:r>
        <w:rPr>
          <w:rFonts w:hint="eastAsia" w:ascii="微软雅黑" w:hAnsi="微软雅黑" w:eastAsia="微软雅黑" w:cs="微软雅黑"/>
          <w:b/>
          <w:bCs/>
          <w:snapToGrid w:val="0"/>
          <w:color w:val="auto"/>
          <w:kern w:val="0"/>
          <w:sz w:val="36"/>
          <w:szCs w:val="36"/>
          <w:highlight w:val="none"/>
        </w:rPr>
        <w:t>心理社交功能评估表</w:t>
      </w:r>
      <w:bookmarkEnd w:id="367"/>
    </w:p>
    <w:p w14:paraId="4D1D4469">
      <w:pPr>
        <w:keepNext w:val="0"/>
        <w:keepLines w:val="0"/>
        <w:pageBreakBefore w:val="0"/>
        <w:widowControl w:val="0"/>
        <w:numPr>
          <w:ilvl w:val="0"/>
          <w:numId w:val="0"/>
        </w:numPr>
        <w:kinsoku/>
        <w:wordWrap/>
        <w:overflowPunct/>
        <w:topLinePunct w:val="0"/>
        <w:autoSpaceDE/>
        <w:autoSpaceDN/>
        <w:bidi w:val="0"/>
        <w:adjustRightInd/>
        <w:snapToGrid/>
        <w:spacing w:line="300" w:lineRule="exact"/>
        <w:ind w:left="0" w:leftChars="0" w:right="0" w:rightChars="0" w:firstLine="0" w:firstLineChars="0"/>
        <w:jc w:val="both"/>
        <w:textAlignment w:val="auto"/>
        <w:outlineLvl w:val="9"/>
        <w:rPr>
          <w:rFonts w:hint="eastAsia"/>
          <w:color w:val="auto"/>
          <w:highlight w:val="none"/>
        </w:rPr>
      </w:pPr>
    </w:p>
    <w:p w14:paraId="3A6E809B">
      <w:pP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评分标准：  </w:t>
      </w:r>
    </w:p>
    <w:tbl>
      <w:tblPr>
        <w:tblStyle w:val="54"/>
        <w:tblW w:w="91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4"/>
        <w:gridCol w:w="4631"/>
        <w:gridCol w:w="4050"/>
      </w:tblGrid>
      <w:tr w14:paraId="12906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55971CCA">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w:t>
            </w:r>
          </w:p>
        </w:tc>
        <w:tc>
          <w:tcPr>
            <w:tcW w:w="4631" w:type="dxa"/>
            <w:tcBorders>
              <w:top w:val="single" w:color="auto" w:sz="4" w:space="0"/>
              <w:left w:val="nil"/>
              <w:bottom w:val="single" w:color="auto" w:sz="4" w:space="0"/>
              <w:right w:val="single" w:color="FFFFFF" w:sz="4" w:space="0"/>
            </w:tcBorders>
            <w:noWrap w:val="0"/>
            <w:vAlign w:val="top"/>
          </w:tcPr>
          <w:p w14:paraId="5ED7D139">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表现完全符合正常水平                 </w:t>
            </w:r>
          </w:p>
        </w:tc>
        <w:tc>
          <w:tcPr>
            <w:tcW w:w="4050" w:type="dxa"/>
            <w:tcBorders>
              <w:top w:val="single" w:color="auto" w:sz="4" w:space="0"/>
              <w:left w:val="nil"/>
              <w:bottom w:val="single" w:color="auto" w:sz="4" w:space="0"/>
              <w:right w:val="single" w:color="auto" w:sz="4" w:space="0"/>
            </w:tcBorders>
            <w:noWrap w:val="0"/>
            <w:vAlign w:val="top"/>
          </w:tcPr>
          <w:p w14:paraId="721CC6CD">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（能独立进行)</w:t>
            </w:r>
          </w:p>
        </w:tc>
      </w:tr>
      <w:tr w14:paraId="7C63E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7D0F3B5B">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4</w:t>
            </w:r>
          </w:p>
        </w:tc>
        <w:tc>
          <w:tcPr>
            <w:tcW w:w="4631" w:type="dxa"/>
            <w:tcBorders>
              <w:top w:val="single" w:color="auto" w:sz="4" w:space="0"/>
              <w:left w:val="nil"/>
              <w:bottom w:val="single" w:color="auto" w:sz="4" w:space="0"/>
              <w:right w:val="single" w:color="FFFFFF" w:sz="4" w:space="0"/>
            </w:tcBorders>
            <w:noWrap w:val="0"/>
            <w:vAlign w:val="top"/>
          </w:tcPr>
          <w:p w14:paraId="78593A61">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表现接近正常水平</w:t>
            </w:r>
          </w:p>
        </w:tc>
        <w:tc>
          <w:tcPr>
            <w:tcW w:w="4050" w:type="dxa"/>
            <w:tcBorders>
              <w:top w:val="single" w:color="auto" w:sz="4" w:space="0"/>
              <w:left w:val="nil"/>
              <w:bottom w:val="single" w:color="auto" w:sz="4" w:space="0"/>
              <w:right w:val="single" w:color="auto" w:sz="4" w:space="0"/>
            </w:tcBorders>
            <w:noWrap w:val="0"/>
            <w:vAlign w:val="top"/>
          </w:tcPr>
          <w:p w14:paraId="3395DB1F">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（少量提示下进行)</w:t>
            </w:r>
          </w:p>
        </w:tc>
      </w:tr>
      <w:tr w14:paraId="0210C0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65C2816D">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3</w:t>
            </w:r>
          </w:p>
        </w:tc>
        <w:tc>
          <w:tcPr>
            <w:tcW w:w="4631" w:type="dxa"/>
            <w:tcBorders>
              <w:top w:val="single" w:color="auto" w:sz="4" w:space="0"/>
              <w:left w:val="nil"/>
              <w:bottom w:val="single" w:color="auto" w:sz="4" w:space="0"/>
              <w:right w:val="single" w:color="FFFFFF" w:sz="4" w:space="0"/>
            </w:tcBorders>
            <w:noWrap w:val="0"/>
            <w:vAlign w:val="top"/>
          </w:tcPr>
          <w:p w14:paraId="117781E5">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表现尚可</w:t>
            </w:r>
          </w:p>
        </w:tc>
        <w:tc>
          <w:tcPr>
            <w:tcW w:w="4050" w:type="dxa"/>
            <w:tcBorders>
              <w:top w:val="single" w:color="auto" w:sz="4" w:space="0"/>
              <w:left w:val="nil"/>
              <w:bottom w:val="single" w:color="auto" w:sz="4" w:space="0"/>
              <w:right w:val="single" w:color="auto" w:sz="4" w:space="0"/>
            </w:tcBorders>
            <w:noWrap w:val="0"/>
            <w:vAlign w:val="top"/>
          </w:tcPr>
          <w:p w14:paraId="4532603C">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（较多提示下进行)</w:t>
            </w:r>
          </w:p>
        </w:tc>
      </w:tr>
      <w:tr w14:paraId="7A3ED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1AE7AF6D">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w:t>
            </w:r>
          </w:p>
        </w:tc>
        <w:tc>
          <w:tcPr>
            <w:tcW w:w="4631" w:type="dxa"/>
            <w:tcBorders>
              <w:top w:val="single" w:color="auto" w:sz="4" w:space="0"/>
              <w:left w:val="nil"/>
              <w:bottom w:val="single" w:color="auto" w:sz="4" w:space="0"/>
              <w:right w:val="single" w:color="FFFFFF" w:sz="4" w:space="0"/>
            </w:tcBorders>
            <w:noWrap w:val="0"/>
            <w:vAlign w:val="top"/>
          </w:tcPr>
          <w:p w14:paraId="2B99B704">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表现欠佳</w:t>
            </w:r>
          </w:p>
        </w:tc>
        <w:tc>
          <w:tcPr>
            <w:tcW w:w="4050" w:type="dxa"/>
            <w:tcBorders>
              <w:top w:val="single" w:color="auto" w:sz="4" w:space="0"/>
              <w:left w:val="nil"/>
              <w:bottom w:val="single" w:color="auto" w:sz="4" w:space="0"/>
              <w:right w:val="single" w:color="auto" w:sz="4" w:space="0"/>
            </w:tcBorders>
            <w:noWrap w:val="0"/>
            <w:vAlign w:val="top"/>
          </w:tcPr>
          <w:p w14:paraId="7530E4D2">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（表现不合宜，需要关注)</w:t>
            </w:r>
          </w:p>
        </w:tc>
      </w:tr>
      <w:tr w14:paraId="03F438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389AC6C8">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w:t>
            </w:r>
          </w:p>
        </w:tc>
        <w:tc>
          <w:tcPr>
            <w:tcW w:w="4631" w:type="dxa"/>
            <w:tcBorders>
              <w:top w:val="single" w:color="auto" w:sz="4" w:space="0"/>
              <w:left w:val="nil"/>
              <w:bottom w:val="single" w:color="auto" w:sz="4" w:space="0"/>
              <w:right w:val="single" w:color="FFFFFF" w:sz="4" w:space="0"/>
            </w:tcBorders>
            <w:noWrap w:val="0"/>
            <w:vAlign w:val="top"/>
          </w:tcPr>
          <w:p w14:paraId="7F66AF5E">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完全不符合正常水平</w:t>
            </w:r>
          </w:p>
        </w:tc>
        <w:tc>
          <w:tcPr>
            <w:tcW w:w="4050" w:type="dxa"/>
            <w:tcBorders>
              <w:top w:val="single" w:color="auto" w:sz="4" w:space="0"/>
              <w:left w:val="nil"/>
              <w:bottom w:val="single" w:color="auto" w:sz="4" w:space="0"/>
              <w:right w:val="single" w:color="auto" w:sz="4" w:space="0"/>
            </w:tcBorders>
            <w:noWrap w:val="0"/>
            <w:vAlign w:val="top"/>
          </w:tcPr>
          <w:p w14:paraId="50066817">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（表现不合宜，需要密切关注)</w:t>
            </w:r>
          </w:p>
        </w:tc>
      </w:tr>
      <w:tr w14:paraId="65A9BB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514" w:type="dxa"/>
            <w:tcBorders>
              <w:top w:val="single" w:color="auto" w:sz="4" w:space="0"/>
              <w:left w:val="single" w:color="auto" w:sz="4" w:space="0"/>
              <w:bottom w:val="single" w:color="auto" w:sz="4" w:space="0"/>
              <w:right w:val="single" w:color="auto" w:sz="4" w:space="0"/>
            </w:tcBorders>
            <w:noWrap w:val="0"/>
            <w:vAlign w:val="top"/>
          </w:tcPr>
          <w:p w14:paraId="2B0E5A27">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0</w:t>
            </w:r>
          </w:p>
        </w:tc>
        <w:tc>
          <w:tcPr>
            <w:tcW w:w="4631" w:type="dxa"/>
            <w:tcBorders>
              <w:top w:val="single" w:color="auto" w:sz="4" w:space="0"/>
              <w:left w:val="nil"/>
              <w:bottom w:val="single" w:color="auto" w:sz="4" w:space="0"/>
              <w:right w:val="single" w:color="FFFFFF" w:sz="4" w:space="0"/>
            </w:tcBorders>
            <w:noWrap w:val="0"/>
            <w:vAlign w:val="top"/>
          </w:tcPr>
          <w:p w14:paraId="7396F318">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该项目不适用</w:t>
            </w:r>
          </w:p>
        </w:tc>
        <w:tc>
          <w:tcPr>
            <w:tcW w:w="4050" w:type="dxa"/>
            <w:tcBorders>
              <w:top w:val="single" w:color="auto" w:sz="4" w:space="0"/>
              <w:left w:val="nil"/>
              <w:bottom w:val="single" w:color="auto" w:sz="4" w:space="0"/>
              <w:right w:val="single" w:color="auto" w:sz="4" w:space="0"/>
            </w:tcBorders>
            <w:noWrap w:val="0"/>
            <w:vAlign w:val="top"/>
          </w:tcPr>
          <w:p w14:paraId="50598D6F">
            <w:pPr>
              <w:keepNext w:val="0"/>
              <w:keepLines w:val="0"/>
              <w:suppressLineNumbers w:val="0"/>
              <w:spacing w:before="0" w:beforeAutospacing="0" w:after="0" w:afterAutospacing="0"/>
              <w:ind w:left="0" w:right="0"/>
              <w:rPr>
                <w:rFonts w:hint="eastAsia" w:ascii="仿宋_GB2312" w:hAnsi="仿宋"/>
                <w:color w:val="auto"/>
                <w:sz w:val="21"/>
                <w:szCs w:val="21"/>
                <w:highlight w:val="none"/>
                <w:lang w:val="zh-CN"/>
              </w:rPr>
            </w:pPr>
          </w:p>
        </w:tc>
      </w:tr>
    </w:tbl>
    <w:p w14:paraId="0301CC34">
      <w:pPr>
        <w:pStyle w:val="288"/>
        <w:keepNext w:val="0"/>
        <w:keepLines w:val="0"/>
        <w:pageBreakBefore w:val="0"/>
        <w:widowControl w:val="0"/>
        <w:kinsoku/>
        <w:wordWrap/>
        <w:overflowPunct/>
        <w:topLinePunct w:val="0"/>
        <w:autoSpaceDE/>
        <w:autoSpaceDN/>
        <w:bidi w:val="0"/>
        <w:adjustRightInd/>
        <w:snapToGrid/>
        <w:spacing w:before="100" w:beforeAutospacing="1" w:after="100" w:afterAutospacing="0" w:line="300" w:lineRule="exact"/>
        <w:ind w:left="0" w:leftChars="0" w:right="0" w:rightChars="0" w:firstLine="0" w:firstLineChars="0"/>
        <w:jc w:val="left"/>
        <w:textAlignment w:val="auto"/>
        <w:outlineLvl w:val="9"/>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 xml:space="preserve"> </w:t>
      </w:r>
    </w:p>
    <w:tbl>
      <w:tblPr>
        <w:tblStyle w:val="54"/>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4239"/>
        <w:gridCol w:w="635"/>
        <w:gridCol w:w="689"/>
        <w:gridCol w:w="689"/>
        <w:gridCol w:w="689"/>
        <w:gridCol w:w="689"/>
        <w:gridCol w:w="690"/>
      </w:tblGrid>
      <w:tr w14:paraId="431233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7994F2D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序号</w:t>
            </w:r>
          </w:p>
        </w:tc>
        <w:tc>
          <w:tcPr>
            <w:tcW w:w="4239" w:type="dxa"/>
            <w:tcBorders>
              <w:top w:val="single" w:color="auto" w:sz="4" w:space="0"/>
              <w:left w:val="nil"/>
              <w:bottom w:val="single" w:color="auto" w:sz="4" w:space="0"/>
              <w:right w:val="single" w:color="auto" w:sz="4" w:space="0"/>
            </w:tcBorders>
            <w:noWrap w:val="0"/>
            <w:vAlign w:val="top"/>
          </w:tcPr>
          <w:p w14:paraId="69AA069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项目</w:t>
            </w:r>
          </w:p>
        </w:tc>
        <w:tc>
          <w:tcPr>
            <w:tcW w:w="635" w:type="dxa"/>
            <w:tcBorders>
              <w:top w:val="single" w:color="auto" w:sz="4" w:space="0"/>
              <w:left w:val="nil"/>
              <w:bottom w:val="single" w:color="auto" w:sz="4" w:space="0"/>
              <w:right w:val="single" w:color="auto" w:sz="4" w:space="0"/>
            </w:tcBorders>
            <w:noWrap w:val="0"/>
            <w:vAlign w:val="top"/>
          </w:tcPr>
          <w:p w14:paraId="558E7C5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0</w:t>
            </w:r>
          </w:p>
        </w:tc>
        <w:tc>
          <w:tcPr>
            <w:tcW w:w="689" w:type="dxa"/>
            <w:tcBorders>
              <w:top w:val="single" w:color="auto" w:sz="4" w:space="0"/>
              <w:left w:val="nil"/>
              <w:bottom w:val="single" w:color="auto" w:sz="4" w:space="0"/>
              <w:right w:val="single" w:color="auto" w:sz="4" w:space="0"/>
            </w:tcBorders>
            <w:noWrap w:val="0"/>
            <w:vAlign w:val="top"/>
          </w:tcPr>
          <w:p w14:paraId="1E36FBE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w:t>
            </w:r>
          </w:p>
        </w:tc>
        <w:tc>
          <w:tcPr>
            <w:tcW w:w="689" w:type="dxa"/>
            <w:tcBorders>
              <w:top w:val="single" w:color="auto" w:sz="4" w:space="0"/>
              <w:left w:val="nil"/>
              <w:bottom w:val="single" w:color="auto" w:sz="4" w:space="0"/>
              <w:right w:val="single" w:color="auto" w:sz="4" w:space="0"/>
            </w:tcBorders>
            <w:noWrap w:val="0"/>
            <w:vAlign w:val="top"/>
          </w:tcPr>
          <w:p w14:paraId="3460AF8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w:t>
            </w:r>
          </w:p>
        </w:tc>
        <w:tc>
          <w:tcPr>
            <w:tcW w:w="689" w:type="dxa"/>
            <w:tcBorders>
              <w:top w:val="single" w:color="auto" w:sz="4" w:space="0"/>
              <w:left w:val="nil"/>
              <w:bottom w:val="single" w:color="auto" w:sz="4" w:space="0"/>
              <w:right w:val="single" w:color="auto" w:sz="4" w:space="0"/>
            </w:tcBorders>
            <w:noWrap w:val="0"/>
            <w:vAlign w:val="top"/>
          </w:tcPr>
          <w:p w14:paraId="3CC6FCF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w:t>
            </w:r>
          </w:p>
        </w:tc>
        <w:tc>
          <w:tcPr>
            <w:tcW w:w="689" w:type="dxa"/>
            <w:tcBorders>
              <w:top w:val="single" w:color="auto" w:sz="4" w:space="0"/>
              <w:left w:val="nil"/>
              <w:bottom w:val="single" w:color="auto" w:sz="4" w:space="0"/>
              <w:right w:val="single" w:color="auto" w:sz="4" w:space="0"/>
            </w:tcBorders>
            <w:noWrap w:val="0"/>
            <w:vAlign w:val="top"/>
          </w:tcPr>
          <w:p w14:paraId="18A8B28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4</w:t>
            </w:r>
          </w:p>
        </w:tc>
        <w:tc>
          <w:tcPr>
            <w:tcW w:w="690" w:type="dxa"/>
            <w:tcBorders>
              <w:top w:val="single" w:color="auto" w:sz="4" w:space="0"/>
              <w:left w:val="nil"/>
              <w:bottom w:val="single" w:color="auto" w:sz="4" w:space="0"/>
              <w:right w:val="single" w:color="auto" w:sz="4" w:space="0"/>
            </w:tcBorders>
            <w:noWrap w:val="0"/>
            <w:vAlign w:val="top"/>
          </w:tcPr>
          <w:p w14:paraId="7839A1C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5</w:t>
            </w:r>
          </w:p>
        </w:tc>
      </w:tr>
      <w:tr w14:paraId="1632E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E6E6E6"/>
            <w:noWrap w:val="0"/>
            <w:vAlign w:val="top"/>
          </w:tcPr>
          <w:p w14:paraId="7396E43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w:t>
            </w:r>
          </w:p>
        </w:tc>
        <w:tc>
          <w:tcPr>
            <w:tcW w:w="8320" w:type="dxa"/>
            <w:gridSpan w:val="7"/>
            <w:tcBorders>
              <w:top w:val="single" w:color="auto" w:sz="4" w:space="0"/>
              <w:left w:val="nil"/>
              <w:bottom w:val="single" w:color="auto" w:sz="4" w:space="0"/>
              <w:right w:val="single" w:color="auto" w:sz="4" w:space="0"/>
            </w:tcBorders>
            <w:shd w:val="clear" w:color="auto" w:fill="E6E6E6"/>
            <w:noWrap w:val="0"/>
            <w:vAlign w:val="top"/>
          </w:tcPr>
          <w:p w14:paraId="065ED66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社交技巧</w:t>
            </w:r>
          </w:p>
        </w:tc>
      </w:tr>
      <w:tr w14:paraId="75A90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7FDD1B5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1.1</w:t>
            </w:r>
          </w:p>
        </w:tc>
        <w:tc>
          <w:tcPr>
            <w:tcW w:w="4239" w:type="dxa"/>
            <w:tcBorders>
              <w:top w:val="single" w:color="auto" w:sz="4" w:space="0"/>
              <w:left w:val="nil"/>
              <w:bottom w:val="single" w:color="auto" w:sz="4" w:space="0"/>
              <w:right w:val="single" w:color="auto" w:sz="4" w:space="0"/>
            </w:tcBorders>
            <w:noWrap w:val="0"/>
            <w:vAlign w:val="top"/>
          </w:tcPr>
          <w:p w14:paraId="7615960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眼神接触</w:t>
            </w:r>
          </w:p>
        </w:tc>
        <w:tc>
          <w:tcPr>
            <w:tcW w:w="635" w:type="dxa"/>
            <w:tcBorders>
              <w:top w:val="single" w:color="auto" w:sz="4" w:space="0"/>
              <w:left w:val="nil"/>
              <w:bottom w:val="single" w:color="auto" w:sz="4" w:space="0"/>
              <w:right w:val="single" w:color="auto" w:sz="4" w:space="0"/>
            </w:tcBorders>
            <w:noWrap w:val="0"/>
            <w:vAlign w:val="top"/>
          </w:tcPr>
          <w:p w14:paraId="7A45613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373730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8C4980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F0B029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E7D8D7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1228E98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4CBF78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5F3ADB6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1.2</w:t>
            </w:r>
          </w:p>
        </w:tc>
        <w:tc>
          <w:tcPr>
            <w:tcW w:w="4239" w:type="dxa"/>
            <w:tcBorders>
              <w:top w:val="single" w:color="auto" w:sz="4" w:space="0"/>
              <w:left w:val="nil"/>
              <w:bottom w:val="single" w:color="auto" w:sz="4" w:space="0"/>
              <w:right w:val="single" w:color="auto" w:sz="4" w:space="0"/>
            </w:tcBorders>
            <w:noWrap w:val="0"/>
            <w:vAlign w:val="top"/>
          </w:tcPr>
          <w:p w14:paraId="5F8B210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社交距离</w:t>
            </w:r>
          </w:p>
        </w:tc>
        <w:tc>
          <w:tcPr>
            <w:tcW w:w="635" w:type="dxa"/>
            <w:tcBorders>
              <w:top w:val="single" w:color="auto" w:sz="4" w:space="0"/>
              <w:left w:val="nil"/>
              <w:bottom w:val="single" w:color="auto" w:sz="4" w:space="0"/>
              <w:right w:val="single" w:color="auto" w:sz="4" w:space="0"/>
            </w:tcBorders>
            <w:noWrap w:val="0"/>
            <w:vAlign w:val="top"/>
          </w:tcPr>
          <w:p w14:paraId="76CE616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235316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2F9542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9AA545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30E034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555A8A6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2C44E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02803A6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1.3</w:t>
            </w:r>
          </w:p>
        </w:tc>
        <w:tc>
          <w:tcPr>
            <w:tcW w:w="4239" w:type="dxa"/>
            <w:tcBorders>
              <w:top w:val="single" w:color="auto" w:sz="4" w:space="0"/>
              <w:left w:val="nil"/>
              <w:bottom w:val="single" w:color="auto" w:sz="4" w:space="0"/>
              <w:right w:val="single" w:color="auto" w:sz="4" w:space="0"/>
            </w:tcBorders>
            <w:noWrap w:val="0"/>
            <w:vAlign w:val="top"/>
          </w:tcPr>
          <w:p w14:paraId="619DCE9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思想表达</w:t>
            </w:r>
          </w:p>
        </w:tc>
        <w:tc>
          <w:tcPr>
            <w:tcW w:w="635" w:type="dxa"/>
            <w:tcBorders>
              <w:top w:val="single" w:color="auto" w:sz="4" w:space="0"/>
              <w:left w:val="nil"/>
              <w:bottom w:val="single" w:color="auto" w:sz="4" w:space="0"/>
              <w:right w:val="single" w:color="auto" w:sz="4" w:space="0"/>
            </w:tcBorders>
            <w:noWrap w:val="0"/>
            <w:vAlign w:val="top"/>
          </w:tcPr>
          <w:p w14:paraId="57E48F4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773A55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CA0803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7804F0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98D88A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7CB7B17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170E89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5CBB156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1.4</w:t>
            </w:r>
          </w:p>
        </w:tc>
        <w:tc>
          <w:tcPr>
            <w:tcW w:w="4239" w:type="dxa"/>
            <w:tcBorders>
              <w:top w:val="single" w:color="auto" w:sz="4" w:space="0"/>
              <w:left w:val="nil"/>
              <w:bottom w:val="single" w:color="auto" w:sz="4" w:space="0"/>
              <w:right w:val="single" w:color="auto" w:sz="4" w:space="0"/>
            </w:tcBorders>
            <w:noWrap w:val="0"/>
            <w:vAlign w:val="top"/>
          </w:tcPr>
          <w:p w14:paraId="5D3E57D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情感表达</w:t>
            </w:r>
          </w:p>
        </w:tc>
        <w:tc>
          <w:tcPr>
            <w:tcW w:w="635" w:type="dxa"/>
            <w:tcBorders>
              <w:top w:val="single" w:color="auto" w:sz="4" w:space="0"/>
              <w:left w:val="nil"/>
              <w:bottom w:val="single" w:color="auto" w:sz="4" w:space="0"/>
              <w:right w:val="single" w:color="auto" w:sz="4" w:space="0"/>
            </w:tcBorders>
            <w:noWrap w:val="0"/>
            <w:vAlign w:val="top"/>
          </w:tcPr>
          <w:p w14:paraId="6233EFB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8205D2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3B149D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AEB90E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328164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0D0FB0E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505D2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77ED22A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1.5</w:t>
            </w:r>
          </w:p>
        </w:tc>
        <w:tc>
          <w:tcPr>
            <w:tcW w:w="4239" w:type="dxa"/>
            <w:tcBorders>
              <w:top w:val="single" w:color="auto" w:sz="4" w:space="0"/>
              <w:left w:val="nil"/>
              <w:bottom w:val="single" w:color="auto" w:sz="4" w:space="0"/>
              <w:right w:val="single" w:color="auto" w:sz="4" w:space="0"/>
            </w:tcBorders>
            <w:noWrap w:val="0"/>
            <w:vAlign w:val="top"/>
          </w:tcPr>
          <w:p w14:paraId="5EA3CDC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面对批评</w:t>
            </w:r>
          </w:p>
        </w:tc>
        <w:tc>
          <w:tcPr>
            <w:tcW w:w="635" w:type="dxa"/>
            <w:tcBorders>
              <w:top w:val="single" w:color="auto" w:sz="4" w:space="0"/>
              <w:left w:val="nil"/>
              <w:bottom w:val="single" w:color="auto" w:sz="4" w:space="0"/>
              <w:right w:val="single" w:color="auto" w:sz="4" w:space="0"/>
            </w:tcBorders>
            <w:noWrap w:val="0"/>
            <w:vAlign w:val="top"/>
          </w:tcPr>
          <w:p w14:paraId="5D70D13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76E377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D6A72F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106FD2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CDCEF4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6648D09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7A07C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E6E6E6"/>
            <w:noWrap w:val="0"/>
            <w:vAlign w:val="top"/>
          </w:tcPr>
          <w:p w14:paraId="6A638A8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w:t>
            </w:r>
          </w:p>
        </w:tc>
        <w:tc>
          <w:tcPr>
            <w:tcW w:w="8320" w:type="dxa"/>
            <w:gridSpan w:val="7"/>
            <w:tcBorders>
              <w:top w:val="single" w:color="auto" w:sz="4" w:space="0"/>
              <w:left w:val="nil"/>
              <w:bottom w:val="single" w:color="auto" w:sz="4" w:space="0"/>
              <w:right w:val="single" w:color="auto" w:sz="4" w:space="0"/>
            </w:tcBorders>
            <w:shd w:val="clear" w:color="auto" w:fill="E6E6E6"/>
            <w:noWrap w:val="0"/>
            <w:vAlign w:val="top"/>
          </w:tcPr>
          <w:p w14:paraId="754A347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人际关系</w:t>
            </w:r>
          </w:p>
        </w:tc>
      </w:tr>
      <w:tr w14:paraId="12A68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5F69BDB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2.1</w:t>
            </w:r>
          </w:p>
        </w:tc>
        <w:tc>
          <w:tcPr>
            <w:tcW w:w="4239" w:type="dxa"/>
            <w:tcBorders>
              <w:top w:val="single" w:color="auto" w:sz="4" w:space="0"/>
              <w:left w:val="nil"/>
              <w:bottom w:val="single" w:color="auto" w:sz="4" w:space="0"/>
              <w:right w:val="single" w:color="auto" w:sz="4" w:space="0"/>
            </w:tcBorders>
            <w:noWrap w:val="0"/>
            <w:vAlign w:val="top"/>
          </w:tcPr>
          <w:p w14:paraId="0070D94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与康复者接触</w:t>
            </w:r>
          </w:p>
        </w:tc>
        <w:tc>
          <w:tcPr>
            <w:tcW w:w="635" w:type="dxa"/>
            <w:tcBorders>
              <w:top w:val="single" w:color="auto" w:sz="4" w:space="0"/>
              <w:left w:val="nil"/>
              <w:bottom w:val="single" w:color="auto" w:sz="4" w:space="0"/>
              <w:right w:val="single" w:color="auto" w:sz="4" w:space="0"/>
            </w:tcBorders>
            <w:noWrap w:val="0"/>
            <w:vAlign w:val="top"/>
          </w:tcPr>
          <w:p w14:paraId="2A00138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EE9D5F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7ADE4F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8271FE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3F6574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57AC55C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51BE14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680E61F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2.2</w:t>
            </w:r>
          </w:p>
        </w:tc>
        <w:tc>
          <w:tcPr>
            <w:tcW w:w="4239" w:type="dxa"/>
            <w:tcBorders>
              <w:top w:val="single" w:color="auto" w:sz="4" w:space="0"/>
              <w:left w:val="nil"/>
              <w:bottom w:val="single" w:color="auto" w:sz="4" w:space="0"/>
              <w:right w:val="single" w:color="auto" w:sz="4" w:space="0"/>
            </w:tcBorders>
            <w:noWrap w:val="0"/>
            <w:vAlign w:val="top"/>
          </w:tcPr>
          <w:p w14:paraId="2341E3C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与家人接触</w:t>
            </w:r>
          </w:p>
        </w:tc>
        <w:tc>
          <w:tcPr>
            <w:tcW w:w="635" w:type="dxa"/>
            <w:tcBorders>
              <w:top w:val="single" w:color="auto" w:sz="4" w:space="0"/>
              <w:left w:val="nil"/>
              <w:bottom w:val="single" w:color="auto" w:sz="4" w:space="0"/>
              <w:right w:val="single" w:color="auto" w:sz="4" w:space="0"/>
            </w:tcBorders>
            <w:noWrap w:val="0"/>
            <w:vAlign w:val="top"/>
          </w:tcPr>
          <w:p w14:paraId="01B9D89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CDD8BE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327F31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152C99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B8E36B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76CB934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0BD92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0833C1F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2.3</w:t>
            </w:r>
          </w:p>
        </w:tc>
        <w:tc>
          <w:tcPr>
            <w:tcW w:w="4239" w:type="dxa"/>
            <w:tcBorders>
              <w:top w:val="single" w:color="auto" w:sz="4" w:space="0"/>
              <w:left w:val="nil"/>
              <w:bottom w:val="single" w:color="auto" w:sz="4" w:space="0"/>
              <w:right w:val="single" w:color="auto" w:sz="4" w:space="0"/>
            </w:tcBorders>
            <w:noWrap w:val="0"/>
            <w:vAlign w:val="top"/>
          </w:tcPr>
          <w:p w14:paraId="383F04A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与机构工作人员接触</w:t>
            </w:r>
          </w:p>
        </w:tc>
        <w:tc>
          <w:tcPr>
            <w:tcW w:w="635" w:type="dxa"/>
            <w:tcBorders>
              <w:top w:val="single" w:color="auto" w:sz="4" w:space="0"/>
              <w:left w:val="nil"/>
              <w:bottom w:val="single" w:color="auto" w:sz="4" w:space="0"/>
              <w:right w:val="single" w:color="auto" w:sz="4" w:space="0"/>
            </w:tcBorders>
            <w:noWrap w:val="0"/>
            <w:vAlign w:val="top"/>
          </w:tcPr>
          <w:p w14:paraId="6982A83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556C5E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957047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D50E1B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E9A700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5A06145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13A91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37B8C9F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2.4</w:t>
            </w:r>
          </w:p>
        </w:tc>
        <w:tc>
          <w:tcPr>
            <w:tcW w:w="4239" w:type="dxa"/>
            <w:tcBorders>
              <w:top w:val="single" w:color="auto" w:sz="4" w:space="0"/>
              <w:left w:val="nil"/>
              <w:bottom w:val="single" w:color="auto" w:sz="4" w:space="0"/>
              <w:right w:val="single" w:color="auto" w:sz="4" w:space="0"/>
            </w:tcBorders>
            <w:noWrap w:val="0"/>
            <w:vAlign w:val="top"/>
          </w:tcPr>
          <w:p w14:paraId="133502C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与到访人员接触</w:t>
            </w:r>
          </w:p>
        </w:tc>
        <w:tc>
          <w:tcPr>
            <w:tcW w:w="635" w:type="dxa"/>
            <w:tcBorders>
              <w:top w:val="single" w:color="auto" w:sz="4" w:space="0"/>
              <w:left w:val="nil"/>
              <w:bottom w:val="single" w:color="auto" w:sz="4" w:space="0"/>
              <w:right w:val="single" w:color="auto" w:sz="4" w:space="0"/>
            </w:tcBorders>
            <w:noWrap w:val="0"/>
            <w:vAlign w:val="top"/>
          </w:tcPr>
          <w:p w14:paraId="12FECA1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7C8255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6D9FDC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8B0AA1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AAFBD5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29ED752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29B6CA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7190D1B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2.5</w:t>
            </w:r>
          </w:p>
        </w:tc>
        <w:tc>
          <w:tcPr>
            <w:tcW w:w="4239" w:type="dxa"/>
            <w:tcBorders>
              <w:top w:val="single" w:color="auto" w:sz="4" w:space="0"/>
              <w:left w:val="nil"/>
              <w:bottom w:val="single" w:color="auto" w:sz="4" w:space="0"/>
              <w:right w:val="single" w:color="auto" w:sz="4" w:space="0"/>
            </w:tcBorders>
            <w:noWrap w:val="0"/>
            <w:vAlign w:val="top"/>
          </w:tcPr>
          <w:p w14:paraId="6E45F359">
            <w:pPr>
              <w:pStyle w:val="288"/>
              <w:keepNext w:val="0"/>
              <w:keepLines w:val="0"/>
              <w:suppressLineNumbers w:val="0"/>
              <w:spacing w:afterAutospacing="0"/>
              <w:ind w:left="0" w:leftChars="0" w:right="0"/>
              <w:jc w:val="both"/>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与人共处</w:t>
            </w:r>
          </w:p>
        </w:tc>
        <w:tc>
          <w:tcPr>
            <w:tcW w:w="635" w:type="dxa"/>
            <w:tcBorders>
              <w:top w:val="single" w:color="auto" w:sz="4" w:space="0"/>
              <w:left w:val="nil"/>
              <w:bottom w:val="single" w:color="auto" w:sz="4" w:space="0"/>
              <w:right w:val="single" w:color="auto" w:sz="4" w:space="0"/>
            </w:tcBorders>
            <w:noWrap w:val="0"/>
            <w:vAlign w:val="top"/>
          </w:tcPr>
          <w:p w14:paraId="55A5C54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829F8E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400FA6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7C190D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118EEF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06943E4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6CF01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5355763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2.6</w:t>
            </w:r>
          </w:p>
        </w:tc>
        <w:tc>
          <w:tcPr>
            <w:tcW w:w="4239" w:type="dxa"/>
            <w:tcBorders>
              <w:top w:val="single" w:color="auto" w:sz="4" w:space="0"/>
              <w:left w:val="nil"/>
              <w:bottom w:val="single" w:color="auto" w:sz="4" w:space="0"/>
              <w:right w:val="single" w:color="auto" w:sz="4" w:space="0"/>
            </w:tcBorders>
            <w:noWrap w:val="0"/>
            <w:vAlign w:val="top"/>
          </w:tcPr>
          <w:p w14:paraId="033E7D7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与人合作</w:t>
            </w:r>
          </w:p>
        </w:tc>
        <w:tc>
          <w:tcPr>
            <w:tcW w:w="635" w:type="dxa"/>
            <w:tcBorders>
              <w:top w:val="single" w:color="auto" w:sz="4" w:space="0"/>
              <w:left w:val="nil"/>
              <w:bottom w:val="single" w:color="auto" w:sz="4" w:space="0"/>
              <w:right w:val="single" w:color="auto" w:sz="4" w:space="0"/>
            </w:tcBorders>
            <w:noWrap w:val="0"/>
            <w:vAlign w:val="top"/>
          </w:tcPr>
          <w:p w14:paraId="62CAEF8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7A9715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685C11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11A22E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117059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7058CC8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6A98B4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4C5BFD1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2.7</w:t>
            </w:r>
          </w:p>
        </w:tc>
        <w:tc>
          <w:tcPr>
            <w:tcW w:w="4239" w:type="dxa"/>
            <w:tcBorders>
              <w:top w:val="single" w:color="auto" w:sz="4" w:space="0"/>
              <w:left w:val="nil"/>
              <w:bottom w:val="single" w:color="auto" w:sz="4" w:space="0"/>
              <w:right w:val="single" w:color="auto" w:sz="4" w:space="0"/>
            </w:tcBorders>
            <w:noWrap w:val="0"/>
            <w:vAlign w:val="top"/>
          </w:tcPr>
          <w:p w14:paraId="12770C7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与异性相处表现</w:t>
            </w:r>
          </w:p>
        </w:tc>
        <w:tc>
          <w:tcPr>
            <w:tcW w:w="635" w:type="dxa"/>
            <w:tcBorders>
              <w:top w:val="single" w:color="auto" w:sz="4" w:space="0"/>
              <w:left w:val="nil"/>
              <w:bottom w:val="single" w:color="auto" w:sz="4" w:space="0"/>
              <w:right w:val="single" w:color="auto" w:sz="4" w:space="0"/>
            </w:tcBorders>
            <w:noWrap w:val="0"/>
            <w:vAlign w:val="top"/>
          </w:tcPr>
          <w:p w14:paraId="5FA784C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3A409D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65BB25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70AF9A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ABF859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09257F2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7BE04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shd w:val="clear" w:color="auto" w:fill="E6E6E6"/>
            <w:noWrap w:val="0"/>
            <w:vAlign w:val="top"/>
          </w:tcPr>
          <w:p w14:paraId="37F5145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w:t>
            </w:r>
          </w:p>
        </w:tc>
        <w:tc>
          <w:tcPr>
            <w:tcW w:w="8320" w:type="dxa"/>
            <w:gridSpan w:val="7"/>
            <w:tcBorders>
              <w:top w:val="single" w:color="auto" w:sz="4" w:space="0"/>
              <w:left w:val="nil"/>
              <w:bottom w:val="single" w:color="auto" w:sz="4" w:space="0"/>
              <w:right w:val="single" w:color="auto" w:sz="4" w:space="0"/>
            </w:tcBorders>
            <w:shd w:val="clear" w:color="auto" w:fill="E6E6E6"/>
            <w:noWrap w:val="0"/>
            <w:vAlign w:val="top"/>
          </w:tcPr>
          <w:p w14:paraId="0CD442B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社区适应能力</w:t>
            </w:r>
          </w:p>
        </w:tc>
      </w:tr>
      <w:tr w14:paraId="741C7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44AC591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3.1</w:t>
            </w:r>
          </w:p>
        </w:tc>
        <w:tc>
          <w:tcPr>
            <w:tcW w:w="4239" w:type="dxa"/>
            <w:tcBorders>
              <w:top w:val="single" w:color="auto" w:sz="4" w:space="0"/>
              <w:left w:val="nil"/>
              <w:bottom w:val="single" w:color="auto" w:sz="4" w:space="0"/>
              <w:right w:val="single" w:color="auto" w:sz="4" w:space="0"/>
            </w:tcBorders>
            <w:noWrap w:val="0"/>
            <w:vAlign w:val="top"/>
          </w:tcPr>
          <w:p w14:paraId="094635A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参与社区活动动机</w:t>
            </w:r>
          </w:p>
        </w:tc>
        <w:tc>
          <w:tcPr>
            <w:tcW w:w="635" w:type="dxa"/>
            <w:tcBorders>
              <w:top w:val="single" w:color="auto" w:sz="4" w:space="0"/>
              <w:left w:val="nil"/>
              <w:bottom w:val="single" w:color="auto" w:sz="4" w:space="0"/>
              <w:right w:val="single" w:color="auto" w:sz="4" w:space="0"/>
            </w:tcBorders>
            <w:noWrap w:val="0"/>
            <w:vAlign w:val="top"/>
          </w:tcPr>
          <w:p w14:paraId="13D787A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22C6E9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A82B77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9D5B05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3489D3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3A37B65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33979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7440744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3.2</w:t>
            </w:r>
          </w:p>
        </w:tc>
        <w:tc>
          <w:tcPr>
            <w:tcW w:w="4239" w:type="dxa"/>
            <w:tcBorders>
              <w:top w:val="single" w:color="auto" w:sz="4" w:space="0"/>
              <w:left w:val="nil"/>
              <w:bottom w:val="single" w:color="auto" w:sz="4" w:space="0"/>
              <w:right w:val="single" w:color="auto" w:sz="4" w:space="0"/>
            </w:tcBorders>
            <w:noWrap w:val="0"/>
            <w:vAlign w:val="top"/>
          </w:tcPr>
          <w:p w14:paraId="148D7C3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使用交通工具</w:t>
            </w:r>
          </w:p>
        </w:tc>
        <w:tc>
          <w:tcPr>
            <w:tcW w:w="635" w:type="dxa"/>
            <w:tcBorders>
              <w:top w:val="single" w:color="auto" w:sz="4" w:space="0"/>
              <w:left w:val="nil"/>
              <w:bottom w:val="single" w:color="auto" w:sz="4" w:space="0"/>
              <w:right w:val="single" w:color="auto" w:sz="4" w:space="0"/>
            </w:tcBorders>
            <w:noWrap w:val="0"/>
            <w:vAlign w:val="top"/>
          </w:tcPr>
          <w:p w14:paraId="0775F87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472DEC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8DC1BA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38E219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F504E8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764FBFF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5B18E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07817C4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3.3</w:t>
            </w:r>
          </w:p>
        </w:tc>
        <w:tc>
          <w:tcPr>
            <w:tcW w:w="4239" w:type="dxa"/>
            <w:tcBorders>
              <w:top w:val="single" w:color="auto" w:sz="4" w:space="0"/>
              <w:left w:val="nil"/>
              <w:bottom w:val="single" w:color="auto" w:sz="4" w:space="0"/>
              <w:right w:val="single" w:color="auto" w:sz="4" w:space="0"/>
            </w:tcBorders>
            <w:noWrap w:val="0"/>
            <w:vAlign w:val="top"/>
          </w:tcPr>
          <w:p w14:paraId="0603DDE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使用电话</w:t>
            </w:r>
          </w:p>
        </w:tc>
        <w:tc>
          <w:tcPr>
            <w:tcW w:w="635" w:type="dxa"/>
            <w:tcBorders>
              <w:top w:val="single" w:color="auto" w:sz="4" w:space="0"/>
              <w:left w:val="nil"/>
              <w:bottom w:val="single" w:color="auto" w:sz="4" w:space="0"/>
              <w:right w:val="single" w:color="auto" w:sz="4" w:space="0"/>
            </w:tcBorders>
            <w:noWrap w:val="0"/>
            <w:vAlign w:val="top"/>
          </w:tcPr>
          <w:p w14:paraId="4B4AA63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96CC70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2206C1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D9A05E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60C3D3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1DE4AF8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50D78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04CC03F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3.4</w:t>
            </w:r>
          </w:p>
        </w:tc>
        <w:tc>
          <w:tcPr>
            <w:tcW w:w="4239" w:type="dxa"/>
            <w:tcBorders>
              <w:top w:val="single" w:color="auto" w:sz="4" w:space="0"/>
              <w:left w:val="nil"/>
              <w:bottom w:val="single" w:color="auto" w:sz="4" w:space="0"/>
              <w:right w:val="single" w:color="auto" w:sz="4" w:space="0"/>
            </w:tcBorders>
            <w:noWrap w:val="0"/>
            <w:vAlign w:val="top"/>
          </w:tcPr>
          <w:p w14:paraId="5076FD3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使用路标</w:t>
            </w:r>
          </w:p>
        </w:tc>
        <w:tc>
          <w:tcPr>
            <w:tcW w:w="635" w:type="dxa"/>
            <w:tcBorders>
              <w:top w:val="single" w:color="auto" w:sz="4" w:space="0"/>
              <w:left w:val="nil"/>
              <w:bottom w:val="single" w:color="auto" w:sz="4" w:space="0"/>
              <w:right w:val="single" w:color="auto" w:sz="4" w:space="0"/>
            </w:tcBorders>
            <w:noWrap w:val="0"/>
            <w:vAlign w:val="top"/>
          </w:tcPr>
          <w:p w14:paraId="4E0ADFEF">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74DB46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1E5B45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30B22F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CA7B1D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2507F0D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16AD3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4973B06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3.5</w:t>
            </w:r>
          </w:p>
        </w:tc>
        <w:tc>
          <w:tcPr>
            <w:tcW w:w="4239" w:type="dxa"/>
            <w:tcBorders>
              <w:top w:val="single" w:color="auto" w:sz="4" w:space="0"/>
              <w:left w:val="nil"/>
              <w:bottom w:val="single" w:color="auto" w:sz="4" w:space="0"/>
              <w:right w:val="single" w:color="auto" w:sz="4" w:space="0"/>
            </w:tcBorders>
            <w:noWrap w:val="0"/>
            <w:vAlign w:val="top"/>
          </w:tcPr>
          <w:p w14:paraId="3279D58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运用社区资源</w:t>
            </w:r>
          </w:p>
        </w:tc>
        <w:tc>
          <w:tcPr>
            <w:tcW w:w="635" w:type="dxa"/>
            <w:tcBorders>
              <w:top w:val="single" w:color="auto" w:sz="4" w:space="0"/>
              <w:left w:val="nil"/>
              <w:bottom w:val="single" w:color="auto" w:sz="4" w:space="0"/>
              <w:right w:val="single" w:color="auto" w:sz="4" w:space="0"/>
            </w:tcBorders>
            <w:noWrap w:val="0"/>
            <w:vAlign w:val="top"/>
          </w:tcPr>
          <w:p w14:paraId="012C51B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90C296C">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528F736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6D7968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3E32BC0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53E36E4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4A6D61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5218D26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3.6</w:t>
            </w:r>
          </w:p>
        </w:tc>
        <w:tc>
          <w:tcPr>
            <w:tcW w:w="4239" w:type="dxa"/>
            <w:tcBorders>
              <w:top w:val="single" w:color="auto" w:sz="4" w:space="0"/>
              <w:left w:val="nil"/>
              <w:bottom w:val="single" w:color="auto" w:sz="4" w:space="0"/>
              <w:right w:val="single" w:color="auto" w:sz="4" w:space="0"/>
            </w:tcBorders>
            <w:noWrap w:val="0"/>
            <w:vAlign w:val="top"/>
          </w:tcPr>
          <w:p w14:paraId="5D2CE18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寻求帮助</w:t>
            </w:r>
          </w:p>
        </w:tc>
        <w:tc>
          <w:tcPr>
            <w:tcW w:w="635" w:type="dxa"/>
            <w:tcBorders>
              <w:top w:val="single" w:color="auto" w:sz="4" w:space="0"/>
              <w:left w:val="nil"/>
              <w:bottom w:val="single" w:color="auto" w:sz="4" w:space="0"/>
              <w:right w:val="single" w:color="auto" w:sz="4" w:space="0"/>
            </w:tcBorders>
            <w:noWrap w:val="0"/>
            <w:vAlign w:val="top"/>
          </w:tcPr>
          <w:p w14:paraId="3923C01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25652B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3C0F859">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0C81E8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03C929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57A1F76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5739D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170500E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3.7</w:t>
            </w:r>
          </w:p>
        </w:tc>
        <w:tc>
          <w:tcPr>
            <w:tcW w:w="4239" w:type="dxa"/>
            <w:tcBorders>
              <w:top w:val="single" w:color="auto" w:sz="4" w:space="0"/>
              <w:left w:val="nil"/>
              <w:bottom w:val="single" w:color="auto" w:sz="4" w:space="0"/>
              <w:right w:val="single" w:color="auto" w:sz="4" w:space="0"/>
            </w:tcBorders>
            <w:noWrap w:val="0"/>
            <w:vAlign w:val="top"/>
          </w:tcPr>
          <w:p w14:paraId="4EE2B57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应付生活压力</w:t>
            </w:r>
          </w:p>
        </w:tc>
        <w:tc>
          <w:tcPr>
            <w:tcW w:w="635" w:type="dxa"/>
            <w:tcBorders>
              <w:top w:val="single" w:color="auto" w:sz="4" w:space="0"/>
              <w:left w:val="nil"/>
              <w:bottom w:val="single" w:color="auto" w:sz="4" w:space="0"/>
              <w:right w:val="single" w:color="auto" w:sz="4" w:space="0"/>
            </w:tcBorders>
            <w:noWrap w:val="0"/>
            <w:vAlign w:val="top"/>
          </w:tcPr>
          <w:p w14:paraId="66C48DB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9C870E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0E78A614">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7E77AF7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238029D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09B2B39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r w14:paraId="23832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817" w:type="dxa"/>
            <w:tcBorders>
              <w:top w:val="single" w:color="auto" w:sz="4" w:space="0"/>
              <w:left w:val="single" w:color="auto" w:sz="4" w:space="0"/>
              <w:bottom w:val="single" w:color="auto" w:sz="4" w:space="0"/>
              <w:right w:val="single" w:color="auto" w:sz="4" w:space="0"/>
            </w:tcBorders>
            <w:noWrap w:val="0"/>
            <w:vAlign w:val="top"/>
          </w:tcPr>
          <w:p w14:paraId="64A4780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3.8</w:t>
            </w:r>
          </w:p>
        </w:tc>
        <w:tc>
          <w:tcPr>
            <w:tcW w:w="4239" w:type="dxa"/>
            <w:tcBorders>
              <w:top w:val="single" w:color="auto" w:sz="4" w:space="0"/>
              <w:left w:val="nil"/>
              <w:bottom w:val="single" w:color="auto" w:sz="4" w:space="0"/>
              <w:right w:val="single" w:color="auto" w:sz="4" w:space="0"/>
            </w:tcBorders>
            <w:noWrap w:val="0"/>
            <w:vAlign w:val="top"/>
          </w:tcPr>
          <w:p w14:paraId="4112A4D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解决困难</w:t>
            </w:r>
          </w:p>
        </w:tc>
        <w:tc>
          <w:tcPr>
            <w:tcW w:w="635" w:type="dxa"/>
            <w:tcBorders>
              <w:top w:val="single" w:color="auto" w:sz="4" w:space="0"/>
              <w:left w:val="nil"/>
              <w:bottom w:val="single" w:color="auto" w:sz="4" w:space="0"/>
              <w:right w:val="single" w:color="auto" w:sz="4" w:space="0"/>
            </w:tcBorders>
            <w:noWrap w:val="0"/>
            <w:vAlign w:val="top"/>
          </w:tcPr>
          <w:p w14:paraId="203A16A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401022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66F793E6">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1E2D5BE2">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89" w:type="dxa"/>
            <w:tcBorders>
              <w:top w:val="single" w:color="auto" w:sz="4" w:space="0"/>
              <w:left w:val="nil"/>
              <w:bottom w:val="single" w:color="auto" w:sz="4" w:space="0"/>
              <w:right w:val="single" w:color="auto" w:sz="4" w:space="0"/>
            </w:tcBorders>
            <w:noWrap w:val="0"/>
            <w:vAlign w:val="top"/>
          </w:tcPr>
          <w:p w14:paraId="43E05DD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c>
          <w:tcPr>
            <w:tcW w:w="690" w:type="dxa"/>
            <w:tcBorders>
              <w:top w:val="single" w:color="auto" w:sz="4" w:space="0"/>
              <w:left w:val="nil"/>
              <w:bottom w:val="single" w:color="auto" w:sz="4" w:space="0"/>
              <w:right w:val="single" w:color="auto" w:sz="4" w:space="0"/>
            </w:tcBorders>
            <w:noWrap w:val="0"/>
            <w:vAlign w:val="top"/>
          </w:tcPr>
          <w:p w14:paraId="721EAD2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p>
        </w:tc>
      </w:tr>
    </w:tbl>
    <w:p w14:paraId="5B7FE8A3">
      <w:pPr>
        <w:rPr>
          <w:rFonts w:hint="eastAsia" w:ascii="仿宋_GB2312" w:hAnsi="仿宋"/>
          <w:color w:val="auto"/>
          <w:sz w:val="21"/>
          <w:szCs w:val="21"/>
          <w:highlight w:val="none"/>
          <w:lang w:val="zh-CN"/>
        </w:rPr>
      </w:pPr>
    </w:p>
    <w:tbl>
      <w:tblPr>
        <w:tblStyle w:val="54"/>
        <w:tblW w:w="90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4"/>
        <w:gridCol w:w="3255"/>
        <w:gridCol w:w="5096"/>
      </w:tblGrid>
      <w:tr w14:paraId="7D2CF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714" w:type="dxa"/>
            <w:tcBorders>
              <w:top w:val="single" w:color="auto" w:sz="4" w:space="0"/>
              <w:left w:val="single" w:color="auto" w:sz="4" w:space="0"/>
              <w:bottom w:val="single" w:color="auto" w:sz="4" w:space="0"/>
              <w:right w:val="single" w:color="auto" w:sz="4" w:space="0"/>
            </w:tcBorders>
            <w:noWrap w:val="0"/>
            <w:vAlign w:val="top"/>
          </w:tcPr>
          <w:p w14:paraId="2E1B599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序号</w:t>
            </w:r>
          </w:p>
        </w:tc>
        <w:tc>
          <w:tcPr>
            <w:tcW w:w="3255" w:type="dxa"/>
            <w:tcBorders>
              <w:top w:val="single" w:color="auto" w:sz="4" w:space="0"/>
              <w:left w:val="nil"/>
              <w:bottom w:val="single" w:color="auto" w:sz="4" w:space="0"/>
              <w:right w:val="single" w:color="auto" w:sz="4" w:space="0"/>
            </w:tcBorders>
            <w:noWrap w:val="0"/>
            <w:vAlign w:val="top"/>
          </w:tcPr>
          <w:p w14:paraId="577EE517">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项目</w:t>
            </w:r>
          </w:p>
        </w:tc>
        <w:tc>
          <w:tcPr>
            <w:tcW w:w="5096" w:type="dxa"/>
            <w:tcBorders>
              <w:top w:val="single" w:color="auto" w:sz="4" w:space="0"/>
              <w:left w:val="nil"/>
              <w:bottom w:val="single" w:color="auto" w:sz="4" w:space="0"/>
              <w:right w:val="single" w:color="auto" w:sz="4" w:space="0"/>
            </w:tcBorders>
            <w:noWrap w:val="0"/>
            <w:vAlign w:val="top"/>
          </w:tcPr>
          <w:p w14:paraId="16E59FF1">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小计</w:t>
            </w:r>
          </w:p>
        </w:tc>
      </w:tr>
      <w:tr w14:paraId="02CD68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714" w:type="dxa"/>
            <w:tcBorders>
              <w:top w:val="single" w:color="auto" w:sz="4" w:space="0"/>
              <w:left w:val="single" w:color="auto" w:sz="4" w:space="0"/>
              <w:bottom w:val="single" w:color="auto" w:sz="4" w:space="0"/>
              <w:right w:val="single" w:color="auto" w:sz="4" w:space="0"/>
            </w:tcBorders>
            <w:noWrap w:val="0"/>
            <w:vAlign w:val="top"/>
          </w:tcPr>
          <w:p w14:paraId="53EB975B">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1</w:t>
            </w:r>
          </w:p>
        </w:tc>
        <w:tc>
          <w:tcPr>
            <w:tcW w:w="3255" w:type="dxa"/>
            <w:tcBorders>
              <w:top w:val="single" w:color="auto" w:sz="4" w:space="0"/>
              <w:left w:val="nil"/>
              <w:bottom w:val="single" w:color="auto" w:sz="4" w:space="0"/>
              <w:right w:val="single" w:color="auto" w:sz="4" w:space="0"/>
            </w:tcBorders>
            <w:noWrap w:val="0"/>
            <w:vAlign w:val="top"/>
          </w:tcPr>
          <w:p w14:paraId="12DD791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社交技巧</w:t>
            </w:r>
          </w:p>
        </w:tc>
        <w:tc>
          <w:tcPr>
            <w:tcW w:w="5096" w:type="dxa"/>
            <w:tcBorders>
              <w:top w:val="single" w:color="auto" w:sz="4" w:space="0"/>
              <w:left w:val="nil"/>
              <w:bottom w:val="single" w:color="auto" w:sz="4" w:space="0"/>
              <w:right w:val="single" w:color="auto" w:sz="4" w:space="0"/>
            </w:tcBorders>
            <w:noWrap w:val="0"/>
            <w:vAlign w:val="top"/>
          </w:tcPr>
          <w:p w14:paraId="73B5D06E">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合计1.1至1.5的单项分数/25</w:t>
            </w:r>
          </w:p>
        </w:tc>
      </w:tr>
      <w:tr w14:paraId="221B98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714" w:type="dxa"/>
            <w:tcBorders>
              <w:top w:val="single" w:color="auto" w:sz="4" w:space="0"/>
              <w:left w:val="single" w:color="auto" w:sz="4" w:space="0"/>
              <w:bottom w:val="single" w:color="auto" w:sz="4" w:space="0"/>
              <w:right w:val="single" w:color="auto" w:sz="4" w:space="0"/>
            </w:tcBorders>
            <w:noWrap w:val="0"/>
            <w:vAlign w:val="top"/>
          </w:tcPr>
          <w:p w14:paraId="6BD22BA0">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2</w:t>
            </w:r>
          </w:p>
        </w:tc>
        <w:tc>
          <w:tcPr>
            <w:tcW w:w="3255" w:type="dxa"/>
            <w:tcBorders>
              <w:top w:val="single" w:color="auto" w:sz="4" w:space="0"/>
              <w:left w:val="nil"/>
              <w:bottom w:val="single" w:color="auto" w:sz="4" w:space="0"/>
              <w:right w:val="single" w:color="auto" w:sz="4" w:space="0"/>
            </w:tcBorders>
            <w:noWrap w:val="0"/>
            <w:vAlign w:val="top"/>
          </w:tcPr>
          <w:p w14:paraId="291159A5">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人际关系</w:t>
            </w:r>
          </w:p>
        </w:tc>
        <w:tc>
          <w:tcPr>
            <w:tcW w:w="5096" w:type="dxa"/>
            <w:tcBorders>
              <w:top w:val="single" w:color="auto" w:sz="4" w:space="0"/>
              <w:left w:val="nil"/>
              <w:bottom w:val="single" w:color="auto" w:sz="4" w:space="0"/>
              <w:right w:val="single" w:color="auto" w:sz="4" w:space="0"/>
            </w:tcBorders>
            <w:noWrap w:val="0"/>
            <w:vAlign w:val="top"/>
          </w:tcPr>
          <w:p w14:paraId="1786B163">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合计2.1至2.7的单项分数/35</w:t>
            </w:r>
          </w:p>
        </w:tc>
      </w:tr>
      <w:tr w14:paraId="1773A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714" w:type="dxa"/>
            <w:tcBorders>
              <w:top w:val="single" w:color="auto" w:sz="4" w:space="0"/>
              <w:left w:val="single" w:color="auto" w:sz="4" w:space="0"/>
              <w:bottom w:val="single" w:color="auto" w:sz="4" w:space="0"/>
              <w:right w:val="single" w:color="auto" w:sz="4" w:space="0"/>
            </w:tcBorders>
            <w:noWrap w:val="0"/>
            <w:vAlign w:val="top"/>
          </w:tcPr>
          <w:p w14:paraId="67FBC608">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3</w:t>
            </w:r>
          </w:p>
        </w:tc>
        <w:tc>
          <w:tcPr>
            <w:tcW w:w="3255" w:type="dxa"/>
            <w:tcBorders>
              <w:top w:val="single" w:color="auto" w:sz="4" w:space="0"/>
              <w:left w:val="nil"/>
              <w:bottom w:val="single" w:color="auto" w:sz="4" w:space="0"/>
              <w:right w:val="single" w:color="auto" w:sz="4" w:space="0"/>
            </w:tcBorders>
            <w:noWrap w:val="0"/>
            <w:vAlign w:val="top"/>
          </w:tcPr>
          <w:p w14:paraId="243E8EAD">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社区适应能力</w:t>
            </w:r>
          </w:p>
        </w:tc>
        <w:tc>
          <w:tcPr>
            <w:tcW w:w="5096" w:type="dxa"/>
            <w:tcBorders>
              <w:top w:val="single" w:color="auto" w:sz="4" w:space="0"/>
              <w:left w:val="nil"/>
              <w:bottom w:val="single" w:color="auto" w:sz="4" w:space="0"/>
              <w:right w:val="single" w:color="auto" w:sz="4" w:space="0"/>
            </w:tcBorders>
            <w:noWrap w:val="0"/>
            <w:vAlign w:val="top"/>
          </w:tcPr>
          <w:p w14:paraId="67A8D99A">
            <w:pPr>
              <w:pStyle w:val="288"/>
              <w:keepNext w:val="0"/>
              <w:keepLines w:val="0"/>
              <w:suppressLineNumbers w:val="0"/>
              <w:spacing w:afterAutospacing="0"/>
              <w:ind w:left="0" w:leftChars="0" w:right="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合计3.1至3.8的单项分数/40</w:t>
            </w:r>
          </w:p>
        </w:tc>
      </w:tr>
    </w:tbl>
    <w:p w14:paraId="2A2B54AB">
      <w:pPr>
        <w:pStyle w:val="288"/>
        <w:spacing w:afterAutospacing="0"/>
        <w:ind w:left="0" w:leftChars="0"/>
        <w:rPr>
          <w:rFonts w:hint="eastAsia" w:ascii="仿宋_GB2312" w:hAnsi="仿宋" w:eastAsia="仿宋_GB2312" w:cs="Times New Roman"/>
          <w:color w:val="auto"/>
          <w:sz w:val="21"/>
          <w:szCs w:val="21"/>
          <w:highlight w:val="none"/>
          <w:lang w:val="zh-CN"/>
        </w:rPr>
      </w:pPr>
      <w:r>
        <w:rPr>
          <w:rFonts w:hint="eastAsia" w:ascii="仿宋_GB2312" w:hAnsi="仿宋" w:eastAsia="仿宋_GB2312" w:cs="Times New Roman"/>
          <w:color w:val="auto"/>
          <w:sz w:val="21"/>
          <w:szCs w:val="21"/>
          <w:highlight w:val="none"/>
          <w:lang w:val="zh-CN"/>
        </w:rPr>
        <w:t>其它需关注行为</w:t>
      </w:r>
    </w:p>
    <w:tbl>
      <w:tblPr>
        <w:tblStyle w:val="54"/>
        <w:tblW w:w="89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1555"/>
        <w:gridCol w:w="1484"/>
        <w:gridCol w:w="1134"/>
        <w:gridCol w:w="4819"/>
      </w:tblGrid>
      <w:tr w14:paraId="3C314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69A14550">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酗酒</w:t>
            </w:r>
          </w:p>
        </w:tc>
        <w:tc>
          <w:tcPr>
            <w:tcW w:w="1484" w:type="dxa"/>
            <w:noWrap w:val="0"/>
            <w:vAlign w:val="center"/>
          </w:tcPr>
          <w:p w14:paraId="47635D35">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597FDFA8">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760DA804">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1A9E180C">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6790F4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1ECE8532">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金钱管理问题</w:t>
            </w:r>
          </w:p>
        </w:tc>
        <w:tc>
          <w:tcPr>
            <w:tcW w:w="1484" w:type="dxa"/>
            <w:noWrap w:val="0"/>
            <w:vAlign w:val="center"/>
          </w:tcPr>
          <w:p w14:paraId="14A7BC92">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1EC6A2E8">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36D95021">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4E4F4E7B">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724B0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76E921A4">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暴食或厌食</w:t>
            </w:r>
          </w:p>
        </w:tc>
        <w:tc>
          <w:tcPr>
            <w:tcW w:w="1484" w:type="dxa"/>
            <w:noWrap w:val="0"/>
            <w:vAlign w:val="center"/>
          </w:tcPr>
          <w:p w14:paraId="3CE35CDC">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17D57295">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7D419C3B">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7EBC7B2F">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7696D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4BA3DB70">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滥药或弃药</w:t>
            </w:r>
          </w:p>
        </w:tc>
        <w:tc>
          <w:tcPr>
            <w:tcW w:w="1484" w:type="dxa"/>
            <w:noWrap w:val="0"/>
            <w:vAlign w:val="center"/>
          </w:tcPr>
          <w:p w14:paraId="5A5D128E">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69ECC35C">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4ADEECBB">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6BCE3D9F">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694C6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29915D11">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吸烟问题</w:t>
            </w:r>
          </w:p>
        </w:tc>
        <w:tc>
          <w:tcPr>
            <w:tcW w:w="1484" w:type="dxa"/>
            <w:noWrap w:val="0"/>
            <w:vAlign w:val="center"/>
          </w:tcPr>
          <w:p w14:paraId="0763B4A9">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221AF26F">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65B6000B">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0411303C">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2C926A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2996B6B8">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沉溺行为</w:t>
            </w:r>
          </w:p>
        </w:tc>
        <w:tc>
          <w:tcPr>
            <w:tcW w:w="1484" w:type="dxa"/>
            <w:noWrap w:val="0"/>
            <w:vAlign w:val="center"/>
          </w:tcPr>
          <w:p w14:paraId="2140CC20">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2C8F2CE1">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02FBD5B2">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61308C75">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r w14:paraId="31D9F9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exact"/>
          <w:jc w:val="center"/>
        </w:trPr>
        <w:tc>
          <w:tcPr>
            <w:tcW w:w="1555" w:type="dxa"/>
            <w:noWrap w:val="0"/>
            <w:vAlign w:val="center"/>
          </w:tcPr>
          <w:p w14:paraId="3ED2D5E4">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其它</w:t>
            </w:r>
          </w:p>
        </w:tc>
        <w:tc>
          <w:tcPr>
            <w:tcW w:w="1484" w:type="dxa"/>
            <w:noWrap w:val="0"/>
            <w:vAlign w:val="center"/>
          </w:tcPr>
          <w:p w14:paraId="192C4628">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有□ 否□</w:t>
            </w:r>
          </w:p>
        </w:tc>
        <w:tc>
          <w:tcPr>
            <w:tcW w:w="1134" w:type="dxa"/>
            <w:noWrap w:val="0"/>
            <w:vAlign w:val="center"/>
          </w:tcPr>
          <w:p w14:paraId="4622619F">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详情：</w:t>
            </w:r>
          </w:p>
        </w:tc>
        <w:tc>
          <w:tcPr>
            <w:tcW w:w="4819" w:type="dxa"/>
            <w:noWrap w:val="0"/>
            <w:vAlign w:val="center"/>
          </w:tcPr>
          <w:p w14:paraId="21A71651">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p w14:paraId="5771932C">
            <w:pPr>
              <w:keepNext w:val="0"/>
              <w:keepLines w:val="0"/>
              <w:widowControl/>
              <w:suppressLineNumbers w:val="0"/>
              <w:spacing w:before="0" w:beforeAutospacing="0" w:after="0" w:afterAutospacing="0"/>
              <w:ind w:left="0" w:right="0"/>
              <w:jc w:val="cente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__________________________________</w:t>
            </w:r>
          </w:p>
        </w:tc>
      </w:tr>
    </w:tbl>
    <w:p w14:paraId="2731BBB4">
      <w:pPr>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评估后跟进项目：</w:t>
      </w:r>
    </w:p>
    <w:p w14:paraId="55BC4D35">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                                                                                                                                                                                                                                                                             </w:t>
      </w:r>
    </w:p>
    <w:p w14:paraId="1F7BBB02">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评估人员签名：             </w:t>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ab/>
      </w:r>
      <w:r>
        <w:rPr>
          <w:rFonts w:hint="eastAsia" w:ascii="仿宋_GB2312" w:hAnsi="仿宋"/>
          <w:color w:val="auto"/>
          <w:sz w:val="21"/>
          <w:szCs w:val="21"/>
          <w:highlight w:val="none"/>
          <w:lang w:val="zh-CN"/>
        </w:rPr>
        <w:t xml:space="preserve">日期：                     </w:t>
      </w:r>
    </w:p>
    <w:p w14:paraId="08A54DB0">
      <w:pPr>
        <w:spacing w:line="10" w:lineRule="atLeast"/>
        <w:rPr>
          <w:rFonts w:hint="eastAsia" w:ascii="仿宋_GB2312" w:hAnsi="仿宋"/>
          <w:color w:val="auto"/>
          <w:sz w:val="21"/>
          <w:szCs w:val="21"/>
          <w:highlight w:val="none"/>
          <w:lang w:val="zh-CN"/>
        </w:rPr>
      </w:pPr>
    </w:p>
    <w:p w14:paraId="0E1340E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评估表包括社交技巧、人际关系及社区适应能力三方面，总共 20 个项目。评估人员应为每一项目给予评估分数，一般为最低 1分，最高 5 分，分数愈高代表学员的表现越合适或越能独立处理。社交技巧是学员面对周围人时能否以合适的表现与人沟通，能否与他人正常的交流，其中社交距离就是评估学员能否按社交对象的亲密关系调整身体距离，过于冷漠或热情，或者身体接触过多也是不恰当的行为。人际关系是评估学员与人接触的表现，过于活跃以致影响他人或过于被动或安静以致妨碍社交发展也是需关注的部分。社区适应能力是评估学员在社区生活的能力，可能要通过面谈、与家属/监护人沟通或在社区活动中观察。“其它需关注行为”的记录，可丰富此评估的内容，以及作为制定康复计划的参考。 </w:t>
      </w:r>
    </w:p>
    <w:p w14:paraId="5B5E92F1">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评分标准说明：</w:t>
      </w:r>
    </w:p>
    <w:p w14:paraId="5F68B2A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①社交技巧</w:t>
      </w:r>
    </w:p>
    <w:p w14:paraId="6F73C738">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眼神接触：</w:t>
      </w:r>
    </w:p>
    <w:p w14:paraId="4C00889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1分（完全不符合正常水平）：表现为避免与他人目光接触，从不用眼神以辅助表情。即使在讲话时眼睛也凝视前方，几乎从不看交谈对象。</w:t>
      </w:r>
    </w:p>
    <w:p w14:paraId="28E2DE7D">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0997A66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5分：达正常水平，此时学员与人交流时，有合适的眼神接触，与常人无异。</w:t>
      </w:r>
    </w:p>
    <w:p w14:paraId="746372B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社交距离：</w:t>
      </w:r>
    </w:p>
    <w:p w14:paraId="1AECA51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1分（完全不符合正常水平）：表现为每次与人交谈时，距离都过远或过近，甚至有不恰当的身体接触。</w:t>
      </w:r>
    </w:p>
    <w:p w14:paraId="28FE84D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77EE7B7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5分：达正常水平，可以根据与社交对象的亲密关系，调整社交距离。</w:t>
      </w:r>
    </w:p>
    <w:p w14:paraId="683167D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思想表达：</w:t>
      </w:r>
    </w:p>
    <w:p w14:paraId="1054CCF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1分（完全不符合正常水平）：每次表达时，出现言语含糊不清，让人无法理解。</w:t>
      </w:r>
    </w:p>
    <w:p w14:paraId="6874262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732BCAF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5分：达正常水平，能够恰当表达自己的想法和意见。</w:t>
      </w:r>
    </w:p>
    <w:p w14:paraId="10E5632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情感表达：</w:t>
      </w:r>
    </w:p>
    <w:p w14:paraId="57510A7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1分（完全不符合正常水平）：即使与自己密切相关的事情，也表现出漠不关心。</w:t>
      </w:r>
    </w:p>
    <w:p w14:paraId="050ACA3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88A2F6C">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5分：达正常水平，可以根据别人的谈论内容有合适的情感表达。</w:t>
      </w:r>
    </w:p>
    <w:p w14:paraId="1EB79F5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面对批评：</w:t>
      </w:r>
    </w:p>
    <w:p w14:paraId="5290FD8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1分（完全不符合正常水平）：表现每次面对批评时表现异常，或出现夸张或过分的表现，也可能出现反应冷淡，毫无表情。</w:t>
      </w:r>
    </w:p>
    <w:p w14:paraId="0207404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4193559">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5分：达正常水平，面对批评时有恰当的情绪反应。</w:t>
      </w:r>
    </w:p>
    <w:p w14:paraId="3D8AFFCA">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②人际关系</w:t>
      </w:r>
    </w:p>
    <w:p w14:paraId="2E33143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与康复者接触：</w:t>
      </w:r>
    </w:p>
    <w:p w14:paraId="5EFE61A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1分（完全不符合正常水平）：表现为每次与机构学员或其他康复者朋友交流时过度兴奋或冷漠、沉默不语，完全缺乏情感反应，甚至出现怪异的行为。</w:t>
      </w:r>
    </w:p>
    <w:p w14:paraId="2F5091E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4FADDBCD">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5分：达正常水平，在与机构学员或其他康复者朋友交流时，言语合适，表情得当，行为正常。</w:t>
      </w:r>
    </w:p>
    <w:p w14:paraId="7ACA369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与家人接触：</w:t>
      </w:r>
    </w:p>
    <w:p w14:paraId="586A148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1分（完全不符合正常水平）：表现为每次与家人交流时过分亲昵或疏远，兴奋或冷淡，缺乏情感反应，甚至出现怪异的行为。</w:t>
      </w:r>
    </w:p>
    <w:p w14:paraId="6FECD55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6864AEA1">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5分：达正常水平，在与家人接触时表现合适。</w:t>
      </w:r>
    </w:p>
    <w:p w14:paraId="4AF78DA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与机构工作人员接触：</w:t>
      </w:r>
    </w:p>
    <w:p w14:paraId="3706334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1分（完全不符合正常水平）：表现为每次与机构工作人员交流时，表现出过分紧张、冷漠或兴奋，对于工作人员的答话混乱，情感反应冷淡，甚至出现怪异的行为。</w:t>
      </w:r>
    </w:p>
    <w:p w14:paraId="22DE395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728743A">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5分：达正常水平，与工作人员交流时，言语合适，表情得当，行为正常。</w:t>
      </w:r>
    </w:p>
    <w:p w14:paraId="0EE66AD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与到访人员接触：</w:t>
      </w:r>
    </w:p>
    <w:p w14:paraId="7525716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1分（完全不符合正常水平）：表现为每次与外来访问人员交流时，表现出过分紧张、冷漠或兴奋，答话混乱，情感反应冷淡，甚至出现怪异的行为。</w:t>
      </w:r>
    </w:p>
    <w:p w14:paraId="654EF4E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CF9A32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5分：达正常水平，与人交流时，言语合适，表情得当，行为正常。</w:t>
      </w:r>
    </w:p>
    <w:p w14:paraId="23BC96A9">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与人共处：</w:t>
      </w:r>
    </w:p>
    <w:p w14:paraId="03843A6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1分（完全不符合正常水平）：与人相处时，没有任何语言或动作交流，对别人的谈话、提醒和建议，没有任何反应，或者出现紊乱的行为。</w:t>
      </w:r>
    </w:p>
    <w:p w14:paraId="7286A76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0064BAD6">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5分：达正常水平，与人相处时，礼貌待人，对别人的回应得当，行为与常人无异。</w:t>
      </w:r>
    </w:p>
    <w:p w14:paraId="3392310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与人合作：</w:t>
      </w:r>
    </w:p>
    <w:p w14:paraId="1FFCE2E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1分（完全不符合正常水平）：在与人合作时，完全自我封闭，没有团队协作的精神，对别人的帮助冷淡或拒绝，甚至在合作过程中出现各类异常的言语、情绪或动作。</w:t>
      </w:r>
    </w:p>
    <w:p w14:paraId="3DE2FA5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3C5C344A">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5分：达正常水平，与人合作时充分发挥团队协作精神，谦虚接受别人的建议和帮助，不断改进工作。</w:t>
      </w:r>
    </w:p>
    <w:p w14:paraId="09F9181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与异性相处表现：</w:t>
      </w:r>
    </w:p>
    <w:p w14:paraId="3AE479C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1分（完全不符合正常水平）：在与异性相处时，表现过分亲密或疏远，过分紧张、冷漠或兴奋，甚至在言语或行为上，骚扰异性。</w:t>
      </w:r>
    </w:p>
    <w:p w14:paraId="6754F5C3">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6238D84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5分：达正常水平，与异性相处接触时，言语合适，表情得当，行为正常。</w:t>
      </w:r>
    </w:p>
    <w:p w14:paraId="4F139B2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③社区适应能力</w:t>
      </w:r>
    </w:p>
    <w:p w14:paraId="30EE4FB3">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参与社区活动动机：</w:t>
      </w:r>
    </w:p>
    <w:p w14:paraId="072004FF">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 表现为学员完全不愿意参加社区活动，即使与自己密切相关或感兴趣的活动也拒绝参加，或者参与的动机是异常的。</w:t>
      </w:r>
    </w:p>
    <w:p w14:paraId="1024720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05DC4229">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5分：能独立进行，不需要别人的督促或提醒，能独立安排时间，根据自己的兴趣爱好，参与社区活动。</w:t>
      </w:r>
    </w:p>
    <w:p w14:paraId="0D798A0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使用交通工具：</w:t>
      </w:r>
    </w:p>
    <w:p w14:paraId="347DE976">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1分（表现不合适，需要密切关注）：表现为学员完全不会乘坐公交车、地铁和出租车等交通工具，安排出行，需要提醒和帮助。</w:t>
      </w:r>
    </w:p>
    <w:p w14:paraId="7DCCADD1">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62225571">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5分：能独立进行，不需要别人的提醒，能够根据自己的行程安排计划，选择适当的交通工具。</w:t>
      </w:r>
    </w:p>
    <w:p w14:paraId="7F37394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使用电话：</w:t>
      </w:r>
    </w:p>
    <w:p w14:paraId="08C53C69">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1分（表现不合适，需要密切关注）：表现为学员完全不会使用电话和手机等联络工具，需要提醒和实际操作帮助。</w:t>
      </w:r>
    </w:p>
    <w:p w14:paraId="37DFEAE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6A877F9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5分：能独立进行，不需要别人的提醒和帮助，能够熟练使用联络工具。</w:t>
      </w:r>
    </w:p>
    <w:p w14:paraId="5D8A015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使用路标：</w:t>
      </w:r>
    </w:p>
    <w:p w14:paraId="718F1B56">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1分（表现不合适，需要密切关注）：表现为学员完全不理解路标的指示意义，需要提醒和详细解说，才能按照路标找到自己的目的地。</w:t>
      </w:r>
    </w:p>
    <w:p w14:paraId="61DDB4E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E42093D">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5分：能独立进行，不需要别人的提醒和详细解说，可以充分利用路标的指示作用，到达目的地。</w:t>
      </w:r>
    </w:p>
    <w:p w14:paraId="39A6985C">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运用社区资源：</w:t>
      </w:r>
    </w:p>
    <w:p w14:paraId="445D531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1分（表现不合适，需要密切关注）：表现为学员完全不会或主动应用社区内公共资源，社区资源包括如居委会发布的信息资源、社区福利救助、社区文化中心服务资源、社区健身器材等公共资源。</w:t>
      </w:r>
    </w:p>
    <w:p w14:paraId="6F34DF63">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7B6ED344">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5分：能独立进行，不需要别人的督促，按自己需要，主动利用社区内的公共资源。</w:t>
      </w:r>
    </w:p>
    <w:p w14:paraId="757410F2">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寻求帮助：</w:t>
      </w:r>
      <w:bookmarkStart w:id="368" w:name="OLE_LINK3"/>
      <w:bookmarkEnd w:id="368"/>
      <w:bookmarkStart w:id="369" w:name="OLE_LINK2"/>
      <w:bookmarkEnd w:id="369"/>
    </w:p>
    <w:p w14:paraId="7CE67D4D">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1分（表现不合适，需要密切关注）：表现为学员完全不会或主动向家人、朋友、机构工作人员和学员等寻求帮助，解决当前的困难。</w:t>
      </w:r>
    </w:p>
    <w:p w14:paraId="6ECB96B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1DD8F0B8">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5分：能独立进行，学员在面对各种困难时，在必要时可以独立寻找合适的人，帮助解决问题。</w:t>
      </w:r>
    </w:p>
    <w:p w14:paraId="5E2E062E">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应付生活压力：</w:t>
      </w:r>
    </w:p>
    <w:p w14:paraId="29162EB0">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1分（表现不合适，需要密切关注）：表现为学员每次在面对生活中的压力时，表现退缩回避，或者应用消极的方法如酗酒等来逃避生活压力。</w:t>
      </w:r>
    </w:p>
    <w:p w14:paraId="66AEAE68">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451A59E7">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5分：能独立进行，能够吸取自己或他人的经验应付压力，或者积极地寻找方法去解决问题。</w:t>
      </w:r>
    </w:p>
    <w:p w14:paraId="196F0558">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解决困难：</w:t>
      </w:r>
    </w:p>
    <w:p w14:paraId="76FB1D15">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1分（表现不合适，需要密切关注）：表现为学员在解决困难时，每次都不能寻找到合适的解决方法。</w:t>
      </w:r>
    </w:p>
    <w:p w14:paraId="37DABA9B">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2-4分：评分参考以上评分标准，评分为2-4分的学员表现逐步转好。</w:t>
      </w:r>
    </w:p>
    <w:p w14:paraId="4222337D">
      <w:pPr>
        <w:keepNext w:val="0"/>
        <w:keepLines w:val="0"/>
        <w:pageBreakBefore w:val="0"/>
        <w:widowControl w:val="0"/>
        <w:kinsoku/>
        <w:wordWrap/>
        <w:overflowPunct/>
        <w:topLinePunct w:val="0"/>
        <w:autoSpaceDE/>
        <w:autoSpaceDN/>
        <w:bidi w:val="0"/>
        <w:adjustRightInd/>
        <w:snapToGrid/>
        <w:spacing w:line="422" w:lineRule="exact"/>
        <w:ind w:left="0" w:leftChars="0" w:right="0" w:rightChars="0" w:firstLine="0" w:firstLineChars="0"/>
        <w:jc w:val="both"/>
        <w:textAlignment w:val="auto"/>
        <w:outlineLvl w:val="9"/>
        <w:rPr>
          <w:rFonts w:ascii="仿宋_GB2312" w:hAnsi="仿宋"/>
          <w:color w:val="auto"/>
          <w:sz w:val="21"/>
          <w:szCs w:val="21"/>
          <w:highlight w:val="none"/>
          <w:lang w:val="zh-CN"/>
        </w:rPr>
      </w:pPr>
      <w:r>
        <w:rPr>
          <w:rFonts w:hint="eastAsia" w:ascii="仿宋_GB2312" w:hAnsi="仿宋"/>
          <w:color w:val="auto"/>
          <w:sz w:val="21"/>
          <w:szCs w:val="21"/>
          <w:highlight w:val="none"/>
          <w:lang w:val="zh-CN"/>
        </w:rPr>
        <w:t>5分：能独立进行，能够请教有经验的人，努力制定克服困难的计划并按计划实施。</w:t>
      </w:r>
      <w:bookmarkStart w:id="370" w:name="_Toc27608"/>
      <w:bookmarkStart w:id="371" w:name="_Toc12613218"/>
    </w:p>
    <w:p w14:paraId="63823F31">
      <w:pPr>
        <w:spacing w:line="10" w:lineRule="atLeast"/>
        <w:rPr>
          <w:rFonts w:hint="eastAsia" w:ascii="仿宋_GB2312" w:hAnsi="仿宋"/>
          <w:color w:val="auto"/>
          <w:sz w:val="21"/>
          <w:szCs w:val="21"/>
          <w:highlight w:val="none"/>
          <w:lang w:val="zh-CN"/>
        </w:rPr>
      </w:pPr>
    </w:p>
    <w:p w14:paraId="10C8E6A1">
      <w:pPr>
        <w:spacing w:line="10" w:lineRule="atLeast"/>
        <w:rPr>
          <w:rFonts w:hint="eastAsia" w:ascii="仿宋_GB2312" w:hAnsi="仿宋"/>
          <w:color w:val="auto"/>
          <w:sz w:val="21"/>
          <w:szCs w:val="21"/>
          <w:highlight w:val="none"/>
          <w:lang w:val="zh-CN"/>
        </w:rPr>
      </w:pPr>
    </w:p>
    <w:p w14:paraId="115C617D">
      <w:pPr>
        <w:spacing w:line="10" w:lineRule="atLeast"/>
        <w:rPr>
          <w:rFonts w:hint="eastAsia" w:ascii="仿宋_GB2312" w:hAnsi="仿宋"/>
          <w:color w:val="auto"/>
          <w:sz w:val="21"/>
          <w:szCs w:val="21"/>
          <w:highlight w:val="none"/>
          <w:lang w:val="zh-CN"/>
        </w:rPr>
      </w:pPr>
    </w:p>
    <w:p w14:paraId="3FA740E4">
      <w:pPr>
        <w:keepNext w:val="0"/>
        <w:keepLines w:val="0"/>
        <w:pageBreakBefore w:val="0"/>
        <w:widowControl w:val="0"/>
        <w:kinsoku/>
        <w:wordWrap/>
        <w:overflowPunct/>
        <w:topLinePunct w:val="0"/>
        <w:autoSpaceDE/>
        <w:autoSpaceDN/>
        <w:bidi w:val="0"/>
        <w:adjustRightInd/>
        <w:snapToGrid/>
        <w:ind w:firstLine="0" w:firstLineChars="0"/>
        <w:textAlignment w:val="auto"/>
        <w:rPr>
          <w:rFonts w:hint="eastAsia" w:ascii="微软雅黑" w:hAnsi="微软雅黑" w:cs="微软雅黑"/>
          <w:b/>
          <w:bCs/>
          <w:snapToGrid w:val="0"/>
          <w:color w:val="auto"/>
          <w:kern w:val="0"/>
          <w:sz w:val="36"/>
          <w:szCs w:val="36"/>
          <w:highlight w:val="none"/>
          <w:lang w:val="en-US" w:eastAsia="zh-CN"/>
        </w:rPr>
        <w:sectPr>
          <w:pgSz w:w="11906" w:h="16838"/>
          <w:pgMar w:top="1474" w:right="1134" w:bottom="1134" w:left="1474" w:header="851" w:footer="992" w:gutter="0"/>
          <w:cols w:space="0" w:num="1"/>
          <w:rtlGutter w:val="0"/>
          <w:docGrid w:linePitch="312" w:charSpace="0"/>
        </w:sectPr>
      </w:pPr>
      <w:bookmarkStart w:id="372" w:name="_Toc41642875"/>
    </w:p>
    <w:p w14:paraId="6B07D565">
      <w:pPr>
        <w:keepNext w:val="0"/>
        <w:keepLines w:val="0"/>
        <w:pageBreakBefore w:val="0"/>
        <w:widowControl w:val="0"/>
        <w:kinsoku/>
        <w:wordWrap/>
        <w:overflowPunct/>
        <w:topLinePunct w:val="0"/>
        <w:autoSpaceDE/>
        <w:autoSpaceDN/>
        <w:bidi w:val="0"/>
        <w:adjustRightInd/>
        <w:snapToGrid/>
        <w:ind w:firstLine="0" w:firstLineChars="0"/>
        <w:textAlignment w:val="auto"/>
        <w:outlineLvl w:val="2"/>
        <w:rPr>
          <w:rFonts w:hint="eastAsia" w:ascii="微软雅黑" w:hAnsi="微软雅黑" w:cs="微软雅黑"/>
          <w:b/>
          <w:bCs/>
          <w:snapToGrid w:val="0"/>
          <w:color w:val="auto"/>
          <w:kern w:val="0"/>
          <w:sz w:val="36"/>
          <w:szCs w:val="36"/>
          <w:highlight w:val="none"/>
          <w:lang w:val="en-US" w:eastAsia="zh-CN"/>
        </w:rPr>
      </w:pPr>
      <w:r>
        <w:rPr>
          <w:rFonts w:hint="eastAsia" w:ascii="微软雅黑" w:hAnsi="微软雅黑" w:cs="微软雅黑"/>
          <w:b/>
          <w:bCs/>
          <w:snapToGrid w:val="0"/>
          <w:color w:val="auto"/>
          <w:kern w:val="0"/>
          <w:sz w:val="36"/>
          <w:szCs w:val="36"/>
          <w:highlight w:val="none"/>
          <w:lang w:val="en-US" w:eastAsia="zh-CN"/>
        </w:rPr>
        <w:t>附件二：精神状况综合评估表</w:t>
      </w:r>
      <w:bookmarkEnd w:id="370"/>
      <w:bookmarkEnd w:id="371"/>
      <w:bookmarkEnd w:id="372"/>
    </w:p>
    <w:p w14:paraId="02721751">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 一般外表及仪容（可多选）</w:t>
      </w:r>
    </w:p>
    <w:p w14:paraId="708CDC5B">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□整齐干净</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□打扮合宜</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□衣服脏乱</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□蓬头垢面</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□其它/详述:</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lang w:val="zh-CN"/>
        </w:rPr>
        <w:t xml:space="preserve">                                            </w:t>
      </w:r>
    </w:p>
    <w:p w14:paraId="03D55C26">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2. 一般行为（可多选）</w:t>
      </w:r>
    </w:p>
    <w:p w14:paraId="48DD401F">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□正常无异</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□活动增加/过量</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□活动减少/过少</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□异常行为(请详述)</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u w:val="single"/>
        </w:rPr>
        <w:t xml:space="preserve">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 xml:space="preserve">□强迫行为 □对抗行为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□攻击性行为  □怪异行为  □破坏性行为</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□其它/详述:</w:t>
      </w:r>
      <w:r>
        <w:rPr>
          <w:rFonts w:hint="eastAsia" w:ascii="仿宋_GB2312" w:hAnsi="仿宋"/>
          <w:color w:val="auto"/>
          <w:sz w:val="21"/>
          <w:szCs w:val="21"/>
          <w:highlight w:val="none"/>
          <w:u w:val="single"/>
        </w:rPr>
        <w:t xml:space="preserve">             </w:t>
      </w:r>
      <w:r>
        <w:rPr>
          <w:rFonts w:hint="eastAsia" w:ascii="仿宋_GB2312" w:hAnsi="仿宋"/>
          <w:color w:val="auto"/>
          <w:sz w:val="21"/>
          <w:szCs w:val="21"/>
          <w:highlight w:val="none"/>
          <w:lang w:val="zh-CN"/>
        </w:rPr>
        <w:t xml:space="preserve">                                                             </w:t>
      </w:r>
    </w:p>
    <w:p w14:paraId="269E4C0F">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3. 情绪（可多选）</w:t>
      </w:r>
    </w:p>
    <w:p w14:paraId="78E26523">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□正常无异</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□经常抑郁</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□经常高涨</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□经常焦虑</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□恐惧</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□周期性转变</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□其它/详述：</w:t>
      </w:r>
      <w:r>
        <w:rPr>
          <w:rFonts w:hint="eastAsia" w:ascii="仿宋_GB2312" w:hAnsi="仿宋"/>
          <w:color w:val="auto"/>
          <w:sz w:val="21"/>
          <w:szCs w:val="21"/>
          <w:highlight w:val="none"/>
          <w:u w:val="single"/>
        </w:rPr>
        <w:t xml:space="preserve">                    </w:t>
      </w:r>
      <w:r>
        <w:rPr>
          <w:rFonts w:hint="eastAsia" w:ascii="仿宋_GB2312" w:hAnsi="仿宋"/>
          <w:color w:val="auto"/>
          <w:sz w:val="21"/>
          <w:szCs w:val="21"/>
          <w:highlight w:val="none"/>
          <w:lang w:val="zh-CN"/>
        </w:rPr>
        <w:t xml:space="preserve">                                                           </w:t>
      </w:r>
    </w:p>
    <w:p w14:paraId="2D7BFBCB">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4. 思维（可多选）</w:t>
      </w:r>
    </w:p>
    <w:p w14:paraId="68AE6A14">
      <w:pPr>
        <w:spacing w:line="10" w:lineRule="atLeast"/>
        <w:rPr>
          <w:rFonts w:hint="eastAsia" w:ascii="仿宋_GB2312" w:hAnsi="仿宋"/>
          <w:color w:val="auto"/>
          <w:sz w:val="21"/>
          <w:szCs w:val="21"/>
          <w:highlight w:val="none"/>
        </w:rPr>
      </w:pPr>
      <w:r>
        <w:rPr>
          <w:rFonts w:hint="eastAsia" w:ascii="仿宋_GB2312" w:hAnsi="仿宋"/>
          <w:color w:val="auto"/>
          <w:sz w:val="21"/>
          <w:szCs w:val="21"/>
          <w:highlight w:val="none"/>
          <w:lang w:val="zh-CN"/>
        </w:rPr>
        <w:t>□正常无异</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□意念飘忽</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□思维散漫</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□思维迟缓</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□答非所问</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□语词新作</w:t>
      </w:r>
      <w:r>
        <w:rPr>
          <w:rFonts w:hint="eastAsia" w:ascii="仿宋_GB2312" w:hAnsi="仿宋"/>
          <w:color w:val="auto"/>
          <w:sz w:val="21"/>
          <w:szCs w:val="21"/>
          <w:highlight w:val="none"/>
        </w:rPr>
        <w:t xml:space="preserve">  </w:t>
      </w:r>
    </w:p>
    <w:p w14:paraId="170CA5A4">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□重复言语</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□言语贫乏</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□不言不语</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□强迫观念(请详述)</w:t>
      </w:r>
      <w:r>
        <w:rPr>
          <w:rFonts w:hint="eastAsia" w:ascii="仿宋_GB2312" w:hAnsi="仿宋"/>
          <w:color w:val="auto"/>
          <w:sz w:val="21"/>
          <w:szCs w:val="21"/>
          <w:highlight w:val="none"/>
          <w:u w:val="single"/>
        </w:rPr>
        <w:t xml:space="preserve">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□自杀念头(请详述)</w:t>
      </w:r>
    </w:p>
    <w:p w14:paraId="457C6712">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□妄想(请详述)</w:t>
      </w:r>
      <w:r>
        <w:rPr>
          <w:rFonts w:hint="eastAsia" w:ascii="仿宋_GB2312" w:hAnsi="仿宋"/>
          <w:color w:val="auto"/>
          <w:sz w:val="21"/>
          <w:szCs w:val="21"/>
          <w:highlight w:val="none"/>
          <w:u w:val="single"/>
          <w:lang w:val="zh-CN"/>
        </w:rPr>
        <w:t>：</w:t>
      </w:r>
      <w:r>
        <w:rPr>
          <w:rFonts w:hint="eastAsia" w:ascii="仿宋_GB2312" w:hAnsi="仿宋"/>
          <w:color w:val="auto"/>
          <w:sz w:val="21"/>
          <w:szCs w:val="21"/>
          <w:highlight w:val="none"/>
          <w:u w:val="single"/>
        </w:rPr>
        <w:t xml:space="preserve">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□被迫害妄想   □被控制妄想</w:t>
      </w:r>
      <w:r>
        <w:rPr>
          <w:rFonts w:ascii="仿宋_GB2312" w:hAnsi="仿宋"/>
          <w:color w:val="auto"/>
          <w:sz w:val="21"/>
          <w:szCs w:val="21"/>
          <w:highlight w:val="none"/>
          <w:lang w:val="zh-CN"/>
        </w:rPr>
        <w:t xml:space="preserve">   </w:t>
      </w:r>
      <w:r>
        <w:rPr>
          <w:rFonts w:hint="eastAsia" w:ascii="仿宋_GB2312" w:hAnsi="仿宋"/>
          <w:color w:val="auto"/>
          <w:sz w:val="21"/>
          <w:szCs w:val="21"/>
          <w:highlight w:val="none"/>
          <w:lang w:val="zh-CN"/>
        </w:rPr>
        <w:t xml:space="preserve">□夸大妄想   □关系妄想 </w:t>
      </w:r>
      <w:r>
        <w:rPr>
          <w:rFonts w:ascii="仿宋_GB2312" w:hAnsi="仿宋"/>
          <w:color w:val="auto"/>
          <w:sz w:val="21"/>
          <w:szCs w:val="21"/>
          <w:highlight w:val="none"/>
          <w:lang w:val="zh-CN"/>
        </w:rPr>
        <w:t xml:space="preserve">   </w:t>
      </w:r>
      <w:r>
        <w:rPr>
          <w:rFonts w:hint="eastAsia" w:ascii="仿宋_GB2312" w:hAnsi="仿宋"/>
          <w:color w:val="auto"/>
          <w:sz w:val="21"/>
          <w:szCs w:val="21"/>
          <w:highlight w:val="none"/>
          <w:lang w:val="zh-CN"/>
        </w:rPr>
        <w:t xml:space="preserve"> □罪恶妄想    </w:t>
      </w:r>
      <w:r>
        <w:rPr>
          <w:rFonts w:ascii="仿宋_GB2312" w:hAnsi="仿宋"/>
          <w:color w:val="auto"/>
          <w:sz w:val="21"/>
          <w:szCs w:val="21"/>
          <w:highlight w:val="none"/>
          <w:lang w:val="zh-CN"/>
        </w:rPr>
        <w:t xml:space="preserve">   </w:t>
      </w:r>
      <w:r>
        <w:rPr>
          <w:rFonts w:hint="eastAsia" w:ascii="仿宋_GB2312" w:hAnsi="仿宋"/>
          <w:color w:val="auto"/>
          <w:sz w:val="21"/>
          <w:szCs w:val="21"/>
          <w:highlight w:val="none"/>
          <w:lang w:val="zh-CN"/>
        </w:rPr>
        <w:t>□身体/疾病妄想</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□其它/详述:</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lang w:val="zh-CN"/>
        </w:rPr>
        <w:t xml:space="preserve">                                              </w:t>
      </w:r>
    </w:p>
    <w:p w14:paraId="54480C99">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5. 幻觉（可多选）</w:t>
      </w:r>
    </w:p>
    <w:p w14:paraId="6C055B81">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□没有</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□幻听</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□幻视</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□幻嗅</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□幻味</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□幻触</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□其它/详述:</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lang w:val="zh-CN"/>
        </w:rPr>
        <w:t xml:space="preserve">                                                   </w:t>
      </w:r>
    </w:p>
    <w:p w14:paraId="48AA1BFD">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6. 认知</w:t>
      </w:r>
    </w:p>
    <w:p w14:paraId="6CE0F2DB">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专注能力: □少于15分钟   □15至30分钟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□超过30分钟</w:t>
      </w:r>
    </w:p>
    <w:p w14:paraId="594E55CD">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近事记忆：□完整          □部分受损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□完全受损</w:t>
      </w:r>
    </w:p>
    <w:p w14:paraId="319F8D29">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远事记忆：□完整          □部分受损         □完全受损</w:t>
      </w:r>
    </w:p>
    <w:p w14:paraId="5B35B1A2">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领悟能力：□好            □一般             □差</w:t>
      </w:r>
    </w:p>
    <w:p w14:paraId="4197188D">
      <w:pPr>
        <w:spacing w:line="10" w:lineRule="atLeast"/>
        <w:ind w:firstLine="210" w:firstLineChars="100"/>
        <w:rPr>
          <w:rFonts w:ascii="仿宋_GB2312" w:hAnsi="仿宋"/>
          <w:color w:val="auto"/>
          <w:sz w:val="21"/>
          <w:szCs w:val="21"/>
          <w:highlight w:val="none"/>
          <w:lang w:val="zh-CN"/>
        </w:rPr>
      </w:pPr>
      <w:r>
        <w:rPr>
          <w:rFonts w:hint="eastAsia" w:ascii="仿宋_GB2312" w:hAnsi="仿宋"/>
          <w:color w:val="auto"/>
          <w:sz w:val="21"/>
          <w:szCs w:val="21"/>
          <w:highlight w:val="none"/>
          <w:lang w:val="zh-CN"/>
        </w:rPr>
        <w:t>定向能力：</w:t>
      </w:r>
    </w:p>
    <w:p w14:paraId="504B1FF5">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清楚知道日期  </w:t>
      </w:r>
      <w:r>
        <w:rPr>
          <w:rFonts w:ascii="仿宋_GB2312" w:hAnsi="仿宋"/>
          <w:color w:val="auto"/>
          <w:sz w:val="21"/>
          <w:szCs w:val="21"/>
          <w:highlight w:val="none"/>
          <w:lang w:val="zh-CN"/>
        </w:rPr>
        <w:t xml:space="preserve">  </w:t>
      </w:r>
      <w:r>
        <w:rPr>
          <w:rFonts w:hint="eastAsia" w:ascii="仿宋_GB2312" w:hAnsi="仿宋"/>
          <w:color w:val="auto"/>
          <w:sz w:val="21"/>
          <w:szCs w:val="21"/>
          <w:highlight w:val="none"/>
          <w:lang w:val="zh-CN"/>
        </w:rPr>
        <w:t xml:space="preserve">  □是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□否</w:t>
      </w:r>
    </w:p>
    <w:p w14:paraId="2EAF1428">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清楚知道时间      □是             □否</w:t>
      </w:r>
    </w:p>
    <w:p w14:paraId="27CD27AB">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清楚知道你是何人  □是             □否</w:t>
      </w:r>
    </w:p>
    <w:p w14:paraId="13A65D88">
      <w:pPr>
        <w:spacing w:line="10" w:lineRule="atLeast"/>
        <w:ind w:firstLine="210" w:firstLineChars="1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清楚知道身处何处  □是             □否</w:t>
      </w:r>
    </w:p>
    <w:p w14:paraId="2806EC45">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7. 自知力</w:t>
      </w:r>
    </w:p>
    <w:p w14:paraId="009F146A">
      <w:pPr>
        <w:spacing w:line="10" w:lineRule="atLeast"/>
        <w:rPr>
          <w:rFonts w:hint="eastAsia" w:ascii="仿宋_GB2312" w:hAnsi="仿宋"/>
          <w:color w:val="auto"/>
          <w:sz w:val="21"/>
          <w:szCs w:val="21"/>
          <w:highlight w:val="none"/>
        </w:rPr>
      </w:pPr>
      <w:r>
        <w:rPr>
          <w:rFonts w:hint="eastAsia" w:ascii="仿宋_GB2312" w:hAnsi="仿宋"/>
          <w:color w:val="auto"/>
          <w:sz w:val="21"/>
          <w:szCs w:val="21"/>
          <w:highlight w:val="none"/>
          <w:lang w:val="zh-CN"/>
        </w:rPr>
        <w:t>□不相信自己有任何精神问题</w:t>
      </w:r>
      <w:r>
        <w:rPr>
          <w:rFonts w:hint="eastAsia" w:ascii="仿宋_GB2312" w:hAnsi="仿宋"/>
          <w:color w:val="auto"/>
          <w:sz w:val="21"/>
          <w:szCs w:val="21"/>
          <w:highlight w:val="none"/>
        </w:rPr>
        <w:t xml:space="preserve">   </w:t>
      </w:r>
    </w:p>
    <w:p w14:paraId="16CDAD83">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□明白自己有精神问题,但不是精神病</w:t>
      </w:r>
    </w:p>
    <w:p w14:paraId="6FDAA5BA">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□明白自己有精神问题或精神病,但不愿意接受治疗</w:t>
      </w:r>
    </w:p>
    <w:p w14:paraId="4D55A310">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□明白自己有精神问题或精神病,同时愿意接受治疗</w:t>
      </w:r>
    </w:p>
    <w:p w14:paraId="541028D5">
      <w:pPr>
        <w:spacing w:line="10" w:lineRule="atLeast"/>
        <w:ind w:left="42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疾病认识 □不认识    □部分认识      □完全认识</w:t>
      </w:r>
    </w:p>
    <w:p w14:paraId="08CEACE1">
      <w:pPr>
        <w:spacing w:line="10" w:lineRule="atLeast"/>
        <w:ind w:left="42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接受疾病 □不接受    □部分接受      □完全接受</w:t>
      </w:r>
    </w:p>
    <w:p w14:paraId="6248E430">
      <w:pPr>
        <w:spacing w:line="10" w:lineRule="atLeast"/>
        <w:ind w:left="42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接受治疗 □不接受    □部分接受      □完全接受</w:t>
      </w:r>
    </w:p>
    <w:p w14:paraId="00199B71">
      <w:pPr>
        <w:spacing w:line="10" w:lineRule="atLeast"/>
        <w:ind w:left="42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 xml:space="preserve">主动复诊 □完全依赖  □部分直接协助  □大量口头提示 </w:t>
      </w:r>
      <w:r>
        <w:rPr>
          <w:rFonts w:hint="eastAsia" w:ascii="仿宋_GB2312" w:hAnsi="仿宋"/>
          <w:color w:val="auto"/>
          <w:sz w:val="21"/>
          <w:szCs w:val="21"/>
          <w:highlight w:val="none"/>
        </w:rPr>
        <w:t xml:space="preserve"> </w:t>
      </w:r>
      <w:r>
        <w:rPr>
          <w:rFonts w:hint="eastAsia" w:ascii="仿宋_GB2312" w:hAnsi="仿宋"/>
          <w:color w:val="auto"/>
          <w:sz w:val="21"/>
          <w:szCs w:val="21"/>
          <w:highlight w:val="none"/>
          <w:lang w:val="zh-CN"/>
        </w:rPr>
        <w:t>☑口头提示  □独立完成</w:t>
      </w:r>
    </w:p>
    <w:p w14:paraId="721EF11C">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8. 服药情况</w:t>
      </w:r>
    </w:p>
    <w:p w14:paraId="7646F8D3">
      <w:pPr>
        <w:spacing w:line="10" w:lineRule="atLeast"/>
        <w:ind w:firstLine="420" w:firstLineChars="2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主动服药 □完全依赖  □部分直接协助  □大量口头提示  □口头提示  □独立完成</w:t>
      </w:r>
    </w:p>
    <w:p w14:paraId="1108E45B">
      <w:pPr>
        <w:spacing w:line="10" w:lineRule="atLeast"/>
        <w:ind w:firstLine="420" w:firstLineChars="200"/>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按时服药 □完全依赖  □部分直接协助  □大量口头提示  □口头提示  □独立完成</w:t>
      </w:r>
    </w:p>
    <w:p w14:paraId="39954F33">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9. 药物使用情况</w:t>
      </w:r>
    </w:p>
    <w:p w14:paraId="7B15FE4A">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药物名称和剂量:</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u w:val="single"/>
          <w:lang w:val="en-US" w:eastAsia="zh-CN"/>
        </w:rPr>
        <w:t xml:space="preserve">     </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lang w:val="zh-CN"/>
        </w:rPr>
        <w:t xml:space="preserve">             </w:t>
      </w:r>
    </w:p>
    <w:p w14:paraId="6A72CD27">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10.其它躯体疾病病史：</w:t>
      </w:r>
    </w:p>
    <w:p w14:paraId="57F8A8DC">
      <w:pPr>
        <w:spacing w:line="10" w:lineRule="atLeast"/>
        <w:ind w:left="-105" w:leftChars="-50"/>
        <w:rPr>
          <w:rFonts w:hint="eastAsia" w:ascii="仿宋_GB2312" w:hAnsi="仿宋"/>
          <w:color w:val="auto"/>
          <w:sz w:val="21"/>
          <w:szCs w:val="21"/>
          <w:highlight w:val="none"/>
          <w:lang w:val="zh-CN"/>
        </w:rPr>
      </w:pPr>
      <w:r>
        <w:rPr>
          <w:rFonts w:hint="eastAsia" w:ascii="仿宋_GB2312" w:hAnsi="仿宋"/>
          <w:color w:val="auto"/>
          <w:sz w:val="21"/>
          <w:szCs w:val="21"/>
          <w:highlight w:val="none"/>
          <w:u w:val="none"/>
          <w:lang w:val="en-US" w:eastAsia="zh-CN"/>
        </w:rPr>
        <w:t xml:space="preserve"> </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u w:val="single"/>
          <w:lang w:val="en-US" w:eastAsia="zh-CN"/>
        </w:rPr>
        <w:t xml:space="preserve">                                                                          </w:t>
      </w:r>
      <w:r>
        <w:rPr>
          <w:rFonts w:hint="eastAsia" w:ascii="仿宋_GB2312" w:hAnsi="仿宋"/>
          <w:color w:val="auto"/>
          <w:sz w:val="21"/>
          <w:szCs w:val="21"/>
          <w:highlight w:val="none"/>
          <w:u w:val="single"/>
          <w:lang w:val="zh-CN"/>
        </w:rPr>
        <w:t xml:space="preserve">   </w:t>
      </w:r>
      <w:r>
        <w:rPr>
          <w:rFonts w:hint="eastAsia" w:ascii="仿宋_GB2312" w:hAnsi="仿宋"/>
          <w:color w:val="auto"/>
          <w:sz w:val="21"/>
          <w:szCs w:val="21"/>
          <w:highlight w:val="none"/>
          <w:u w:val="single"/>
          <w:lang w:val="en-US" w:eastAsia="zh-CN"/>
        </w:rPr>
        <w:t xml:space="preserve"> </w:t>
      </w:r>
      <w:r>
        <w:rPr>
          <w:rFonts w:hint="eastAsia" w:ascii="仿宋_GB2312" w:hAnsi="仿宋"/>
          <w:color w:val="auto"/>
          <w:sz w:val="21"/>
          <w:szCs w:val="21"/>
          <w:highlight w:val="none"/>
          <w:lang w:val="zh-CN"/>
        </w:rPr>
        <w:t xml:space="preserve">                                                    </w:t>
      </w:r>
    </w:p>
    <w:p w14:paraId="3A402F20">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11. 睡眠     □很充分  □充分  □普通  □不充分  □很不充分</w:t>
      </w:r>
    </w:p>
    <w:p w14:paraId="583001BA">
      <w:pPr>
        <w:spacing w:line="10" w:lineRule="atLeast"/>
        <w:rPr>
          <w:rFonts w:hint="eastAsia" w:ascii="仿宋_GB2312" w:hAnsi="仿宋"/>
          <w:color w:val="auto"/>
          <w:sz w:val="21"/>
          <w:szCs w:val="21"/>
          <w:highlight w:val="none"/>
          <w:lang w:val="zh-CN"/>
        </w:rPr>
      </w:pPr>
      <w:r>
        <w:rPr>
          <w:rFonts w:hint="eastAsia" w:ascii="仿宋_GB2312" w:hAnsi="仿宋"/>
          <w:color w:val="auto"/>
          <w:sz w:val="21"/>
          <w:szCs w:val="21"/>
          <w:highlight w:val="none"/>
          <w:lang w:val="zh-CN"/>
        </w:rPr>
        <w:t>12．整体印象及建议</w:t>
      </w:r>
    </w:p>
    <w:p w14:paraId="2B96C43D">
      <w:pPr>
        <w:spacing w:line="10" w:lineRule="atLeast"/>
        <w:rPr>
          <w:rFonts w:hint="eastAsia" w:ascii="仿宋_GB2312" w:hAnsi="仿宋"/>
          <w:color w:val="auto"/>
          <w:sz w:val="21"/>
          <w:szCs w:val="21"/>
          <w:highlight w:val="none"/>
          <w:u w:val="single"/>
          <w:lang w:val="zh-CN"/>
        </w:rPr>
      </w:pPr>
      <w:r>
        <w:rPr>
          <w:rFonts w:hint="eastAsia" w:ascii="仿宋_GB2312" w:hAnsi="仿宋"/>
          <w:color w:val="auto"/>
          <w:sz w:val="21"/>
          <w:szCs w:val="21"/>
          <w:highlight w:val="none"/>
          <w:u w:val="single"/>
          <w:lang w:val="en-US" w:eastAsia="zh-CN"/>
        </w:rPr>
        <w:t xml:space="preserve">                                                                              </w:t>
      </w:r>
    </w:p>
    <w:p w14:paraId="2040AE6D">
      <w:pPr>
        <w:spacing w:line="10" w:lineRule="atLeast"/>
        <w:rPr>
          <w:rFonts w:hint="eastAsia" w:ascii="仿宋_GB2312" w:hAnsi="仿宋"/>
          <w:color w:val="auto"/>
          <w:sz w:val="21"/>
          <w:szCs w:val="21"/>
          <w:highlight w:val="none"/>
          <w:lang w:val="zh-CN"/>
        </w:rPr>
        <w:sectPr>
          <w:pgSz w:w="11906" w:h="16838"/>
          <w:pgMar w:top="1474" w:right="1134" w:bottom="1134" w:left="1474" w:header="851" w:footer="992" w:gutter="0"/>
          <w:cols w:space="0" w:num="1"/>
          <w:rtlGutter w:val="0"/>
          <w:docGrid w:linePitch="312" w:charSpace="0"/>
        </w:sectPr>
      </w:pPr>
      <w:r>
        <w:rPr>
          <w:rFonts w:hint="eastAsia" w:ascii="仿宋_GB2312" w:hAnsi="仿宋"/>
          <w:color w:val="auto"/>
          <w:sz w:val="21"/>
          <w:szCs w:val="21"/>
          <w:highlight w:val="none"/>
          <w:lang w:val="zh-CN"/>
        </w:rPr>
        <w:t>评估人员签名:                   评估日期:    年  月  日</w:t>
      </w:r>
    </w:p>
    <w:p w14:paraId="2BD288DA">
      <w:pPr>
        <w:keepNext w:val="0"/>
        <w:keepLines w:val="0"/>
        <w:pageBreakBefore w:val="0"/>
        <w:widowControl w:val="0"/>
        <w:kinsoku/>
        <w:wordWrap/>
        <w:overflowPunct/>
        <w:topLinePunct w:val="0"/>
        <w:autoSpaceDE/>
        <w:autoSpaceDN/>
        <w:bidi w:val="0"/>
        <w:adjustRightInd/>
        <w:snapToGrid/>
        <w:ind w:firstLine="0" w:firstLineChars="0"/>
        <w:textAlignment w:val="auto"/>
        <w:outlineLvl w:val="2"/>
        <w:rPr>
          <w:rFonts w:hint="eastAsia" w:ascii="微软雅黑" w:hAnsi="微软雅黑" w:cs="微软雅黑"/>
          <w:b/>
          <w:bCs/>
          <w:snapToGrid w:val="0"/>
          <w:color w:val="auto"/>
          <w:kern w:val="0"/>
          <w:sz w:val="36"/>
          <w:szCs w:val="36"/>
          <w:highlight w:val="none"/>
          <w:lang w:val="zh-CN" w:eastAsia="zh-CN"/>
        </w:rPr>
      </w:pPr>
      <w:r>
        <w:rPr>
          <w:rFonts w:hint="eastAsia" w:ascii="微软雅黑" w:hAnsi="微软雅黑" w:cs="微软雅黑"/>
          <w:b/>
          <w:bCs/>
          <w:snapToGrid w:val="0"/>
          <w:color w:val="auto"/>
          <w:kern w:val="0"/>
          <w:sz w:val="36"/>
          <w:szCs w:val="36"/>
          <w:highlight w:val="none"/>
          <w:lang w:val="en-US" w:eastAsia="zh-CN"/>
        </w:rPr>
        <w:t>附件三：</w:t>
      </w:r>
      <w:r>
        <w:rPr>
          <w:rFonts w:hint="eastAsia" w:ascii="微软雅黑" w:hAnsi="微软雅黑" w:cs="微软雅黑"/>
          <w:b/>
          <w:bCs/>
          <w:snapToGrid w:val="0"/>
          <w:color w:val="auto"/>
          <w:kern w:val="0"/>
          <w:sz w:val="36"/>
          <w:szCs w:val="36"/>
          <w:highlight w:val="none"/>
          <w:lang w:val="zh-CN" w:eastAsia="zh-CN"/>
        </w:rPr>
        <w:t>民政部-精神障碍社区康复服务工作规范</w:t>
      </w:r>
    </w:p>
    <w:p w14:paraId="65527DE1">
      <w:pPr>
        <w:rPr>
          <w:rFonts w:hint="eastAsia" w:ascii="微软雅黑" w:hAnsi="微软雅黑" w:eastAsia="微软雅黑" w:cs="微软雅黑"/>
          <w:snapToGrid w:val="0"/>
          <w:color w:val="auto"/>
          <w:kern w:val="0"/>
          <w:sz w:val="21"/>
          <w:szCs w:val="21"/>
          <w:highlight w:val="none"/>
        </w:rPr>
      </w:pPr>
      <w:r>
        <w:rPr>
          <w:rFonts w:hint="eastAsia"/>
          <w:color w:val="auto"/>
          <w:highlight w:val="none"/>
          <w:lang w:val="zh-CN"/>
        </w:rPr>
        <w:object>
          <v:shape id="_x0000_i1025" o:spt="75" type="#_x0000_t75" style="height:66pt;width:72.75pt;" o:ole="t" filled="f" o:preferrelative="t" stroked="f" coordsize="21600,21600">
            <v:path/>
            <v:fill on="f" focussize="0,0"/>
            <v:stroke on="f"/>
            <v:imagedata r:id="rId29" o:title=""/>
            <o:lock v:ext="edit" aspectratio="t"/>
            <w10:wrap type="none"/>
            <w10:anchorlock/>
          </v:shape>
          <o:OLEObject Type="Embed" ProgID="Word.Document.12" ShapeID="_x0000_i1025" DrawAspect="Icon" ObjectID="_1468075725" r:id="rId28">
            <o:LockedField>false</o:LockedField>
          </o:OLEObject>
        </w:object>
      </w:r>
    </w:p>
    <w:sectPr>
      <w:pgSz w:w="11906" w:h="16838"/>
      <w:pgMar w:top="1474" w:right="1134" w:bottom="1134" w:left="1474" w:header="851" w:footer="992" w:gutter="0"/>
      <w:cols w:space="0" w:num="1"/>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67C9A905-6F2E-4CD1-A7B5-94192464BC51}"/>
  </w:font>
  <w:font w:name="Arial">
    <w:panose1 w:val="020B0604020202020204"/>
    <w:charset w:val="01"/>
    <w:family w:val="swiss"/>
    <w:pitch w:val="default"/>
    <w:sig w:usb0="E0002EFF" w:usb1="C000785B" w:usb2="00000009" w:usb3="00000000" w:csb0="400001FF" w:csb1="FFFF0000"/>
    <w:embedRegular r:id="rId2" w:fontKey="{9F0630C5-44CC-429A-8EF5-5BEC87F3F611}"/>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C88DCAE6-43AC-4941-B161-F68931E70F8A}"/>
  </w:font>
  <w:font w:name="微软雅黑">
    <w:panose1 w:val="020B0503020204020204"/>
    <w:charset w:val="86"/>
    <w:family w:val="swiss"/>
    <w:pitch w:val="default"/>
    <w:sig w:usb0="80000287" w:usb1="2ACF3C50" w:usb2="00000016" w:usb3="00000000" w:csb0="0004001F" w:csb1="00000000"/>
    <w:embedRegular r:id="rId4" w:fontKey="{E60C7447-6410-4DA9-ADD4-55C3376D83A6}"/>
  </w:font>
  <w:font w:name="仿宋_GB2312">
    <w:panose1 w:val="02010609030101010101"/>
    <w:charset w:val="86"/>
    <w:family w:val="modern"/>
    <w:pitch w:val="default"/>
    <w:sig w:usb0="00000001" w:usb1="080E0000" w:usb2="00000000" w:usb3="00000000" w:csb0="00040000" w:csb1="00000000"/>
    <w:embedRegular r:id="rId5" w:fontKey="{CE00C832-987C-4F5E-AAD7-0391E2729431}"/>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6" w:fontKey="{8C789FF7-01DD-4FF0-83BC-01E5F935431C}"/>
  </w:font>
  <w:font w:name="仿宋">
    <w:panose1 w:val="02010609060101010101"/>
    <w:charset w:val="86"/>
    <w:family w:val="modern"/>
    <w:pitch w:val="default"/>
    <w:sig w:usb0="800002BF" w:usb1="38CF7CFA" w:usb2="00000016" w:usb3="00000000" w:csb0="00040001" w:csb1="00000000"/>
    <w:embedRegular r:id="rId7" w:fontKey="{B03728D6-42F3-4D35-82F6-0D60955C6EB1}"/>
  </w:font>
  <w:font w:name="Tahoma">
    <w:panose1 w:val="020B0604030504040204"/>
    <w:charset w:val="00"/>
    <w:family w:val="swiss"/>
    <w:pitch w:val="default"/>
    <w:sig w:usb0="E1002EFF" w:usb1="C000605B" w:usb2="00000029" w:usb3="00000000" w:csb0="200101FF" w:csb1="20280000"/>
  </w:font>
  <w:font w:name="Helvetica">
    <w:altName w:val="Arial"/>
    <w:panose1 w:val="020B0604020202020204"/>
    <w:charset w:val="00"/>
    <w:family w:val="swiss"/>
    <w:pitch w:val="default"/>
    <w:sig w:usb0="00000000" w:usb1="00000000" w:usb2="00000009" w:usb3="00000000" w:csb0="000001FF" w:csb1="00000000"/>
  </w:font>
  <w:font w:name="新宋体">
    <w:panose1 w:val="02010609030101010101"/>
    <w:charset w:val="86"/>
    <w:family w:val="modern"/>
    <w:pitch w:val="default"/>
    <w:sig w:usb0="00000203" w:usb1="288F0000" w:usb2="00000006" w:usb3="00000000" w:csb0="00040001" w:csb1="00000000"/>
  </w:font>
  <w:font w:name="Century">
    <w:panose1 w:val="02040604050505020304"/>
    <w:charset w:val="00"/>
    <w:family w:val="roman"/>
    <w:pitch w:val="default"/>
    <w:sig w:usb0="00000287" w:usb1="00000000" w:usb2="00000000" w:usb3="00000000" w:csb0="2000009F" w:csb1="DFD7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方正粗黑宋简体">
    <w:panose1 w:val="02000000000000000000"/>
    <w:charset w:val="86"/>
    <w:family w:val="auto"/>
    <w:pitch w:val="default"/>
    <w:sig w:usb0="A00002BF" w:usb1="184F6CFA" w:usb2="00000012" w:usb3="00000000" w:csb0="00040001" w:csb1="00000000"/>
    <w:embedRegular r:id="rId8" w:fontKey="{9CA0FB3B-07D3-48F2-9F8D-7098672CF96F}"/>
  </w:font>
  <w:font w:name="汉仪大黑简">
    <w:altName w:val="黑体"/>
    <w:panose1 w:val="00000000000000000000"/>
    <w:charset w:val="86"/>
    <w:family w:val="auto"/>
    <w:pitch w:val="default"/>
    <w:sig w:usb0="00000000" w:usb1="00000000" w:usb2="00000002" w:usb3="00000000" w:csb0="00040000" w:csb1="00000000"/>
    <w:embedRegular r:id="rId9" w:fontKey="{60438525-7F52-4233-8B9A-89717843E2AB}"/>
  </w:font>
  <w:font w:name="Segoe UI Symbol">
    <w:panose1 w:val="020B0502040204020203"/>
    <w:charset w:val="00"/>
    <w:family w:val="swiss"/>
    <w:pitch w:val="default"/>
    <w:sig w:usb0="800001E3" w:usb1="1200FFEF" w:usb2="00040000" w:usb3="04000000" w:csb0="00000001" w:csb1="40000000"/>
    <w:embedRegular r:id="rId10" w:fontKey="{CC20D08F-F9EB-4F09-A751-55972F56EB9B}"/>
  </w:font>
  <w:font w:name="sans-serif">
    <w:altName w:val="标准粗黑"/>
    <w:panose1 w:val="00000000000000000000"/>
    <w:charset w:val="00"/>
    <w:family w:val="auto"/>
    <w:pitch w:val="default"/>
    <w:sig w:usb0="00000000" w:usb1="00000000" w:usb2="00000000" w:usb3="00000000" w:csb0="00040001" w:csb1="00000000"/>
    <w:embedRegular r:id="rId11" w:fontKey="{B1AEAFD0-6197-4DA0-9C6D-AACE0F4CA7B6}"/>
  </w:font>
  <w:font w:name="标准粗黑">
    <w:panose1 w:val="02000503000000000000"/>
    <w:charset w:val="86"/>
    <w:family w:val="auto"/>
    <w:pitch w:val="default"/>
    <w:sig w:usb0="8000002F" w:usb1="084164FA" w:usb2="00000012"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2E424B">
    <w:pPr>
      <w:pStyle w:val="33"/>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40628E">
    <w:pPr>
      <w:pStyle w:val="3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CAFBA7">
    <w:pPr>
      <w:pStyle w:val="33"/>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DA3A65">
    <w:pPr>
      <w:pStyle w:val="33"/>
      <w:ind w:firstLine="360"/>
      <w:jc w:val="right"/>
    </w:pPr>
    <w:r>
      <w:fldChar w:fldCharType="begin"/>
    </w:r>
    <w:r>
      <w:instrText xml:space="preserve"> PAGE   \* MERGEFORMAT </w:instrText>
    </w:r>
    <w:r>
      <w:fldChar w:fldCharType="separate"/>
    </w:r>
    <w:r>
      <w:rPr>
        <w:lang w:val="zh-CN"/>
      </w:rPr>
      <w:t>3</w:t>
    </w:r>
    <w:r>
      <w:rPr>
        <w:lang w:val="zh-CN"/>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254D93">
    <w:pPr>
      <w:pStyle w:val="33"/>
      <w:ind w:firstLine="360"/>
      <w:jc w:val="center"/>
    </w:pPr>
    <w:r>
      <w:fldChar w:fldCharType="begin"/>
    </w:r>
    <w:r>
      <w:instrText xml:space="preserve">PAGE   \* MERGEFORMAT</w:instrText>
    </w:r>
    <w:r>
      <w:fldChar w:fldCharType="separate"/>
    </w:r>
    <w:r>
      <w:rPr>
        <w:lang w:val="zh-CN"/>
      </w:rPr>
      <w:t>15</w:t>
    </w:r>
    <w:r>
      <w:rPr>
        <w:lang w:val="zh-CN"/>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61855884"/>
    </w:sdtPr>
    <w:sdtContent>
      <w:p w14:paraId="1B5B6ED5">
        <w:pPr>
          <w:pStyle w:val="33"/>
          <w:ind w:firstLine="360"/>
          <w:jc w:val="right"/>
        </w:pPr>
        <w:r>
          <w:fldChar w:fldCharType="begin"/>
        </w:r>
        <w:r>
          <w:instrText xml:space="preserve">PAGE   \* MERGEFORMAT</w:instrText>
        </w:r>
        <w:r>
          <w:fldChar w:fldCharType="separate"/>
        </w:r>
        <w:r>
          <w:rPr>
            <w:lang w:val="zh-CN"/>
          </w:rPr>
          <w:t>33</w:t>
        </w:r>
        <w:r>
          <w:fldChar w:fldCharType="end"/>
        </w:r>
      </w:p>
    </w:sdtContent>
  </w:sdt>
  <w:p w14:paraId="5B50D278">
    <w:pPr>
      <w:pStyle w:val="33"/>
      <w:ind w:right="720" w:firstLine="210" w:firstLineChars="100"/>
      <w:jc w:val="center"/>
      <w:rPr>
        <w:sz w:val="21"/>
        <w:szCs w:val="21"/>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217675"/>
    </w:sdtPr>
    <w:sdtContent>
      <w:p w14:paraId="3E549D8D">
        <w:pPr>
          <w:pStyle w:val="33"/>
          <w:ind w:firstLine="360"/>
          <w:jc w:val="right"/>
        </w:pPr>
        <w:r>
          <w:fldChar w:fldCharType="begin"/>
        </w:r>
        <w:r>
          <w:instrText xml:space="preserve">PAGE   \* MERGEFORMAT</w:instrText>
        </w:r>
        <w:r>
          <w:fldChar w:fldCharType="separate"/>
        </w:r>
        <w:r>
          <w:rPr>
            <w:lang w:val="zh-CN"/>
          </w:rPr>
          <w:t>65</w:t>
        </w:r>
        <w:r>
          <w:fldChar w:fldCharType="end"/>
        </w:r>
      </w:p>
    </w:sdtContent>
  </w:sdt>
  <w:p w14:paraId="4E1211AB">
    <w:pPr>
      <w:pStyle w:val="33"/>
      <w:ind w:firstLine="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21F6C">
    <w:pPr>
      <w:pStyle w:val="33"/>
      <w:ind w:right="360" w:firstLine="420"/>
      <w:rPr>
        <w:sz w:val="21"/>
      </w:rPr>
    </w:pPr>
    <w:r>
      <w:rPr>
        <w:sz w:val="21"/>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14935" cy="131445"/>
              <wp:effectExtent l="0" t="0" r="0" b="0"/>
              <wp:wrapNone/>
              <wp:docPr id="4" name="文本框 4"/>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69F5FC81">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wps:txbx>
                    <wps:bodyPr wrap="none" lIns="0" tIns="0" rIns="0" bIns="0">
                      <a:spAutoFit/>
                    </wps:bodyPr>
                  </wps:wsp>
                </a:graphicData>
              </a:graphic>
            </wp:anchor>
          </w:drawing>
        </mc:Choice>
        <mc:Fallback>
          <w:pict>
            <v:shape id="_x0000_s1026" o:spid="_x0000_s1026" o:spt="202" type="#_x0000_t202" style="position:absolute;left:0pt;margin-top:0pt;height:10.35pt;width:9.05pt;mso-position-horizontal:center;mso-position-horizontal-relative:margin;mso-wrap-style:none;z-index:251659264;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Q+V+SdAAAAADAQAADwAAAAAAAAABACAAAAAiAAAAZHJzL2Rvd25yZXYueG1s&#10;UEsBAhQAFAAAAAgAh07iQB7GMezHAQAAiwMAAA4AAAAAAAAAAQAgAAAAHwEAAGRycy9lMm9Eb2Mu&#10;eG1sUEsFBgAAAAAGAAYAWQEAAFgFAAAAAA==&#10;">
              <v:fill on="f" focussize="0,0"/>
              <v:stroke on="f"/>
              <v:imagedata o:title=""/>
              <o:lock v:ext="edit" aspectratio="f"/>
              <v:textbox inset="0mm,0mm,0mm,0mm" style="mso-fit-shape-to-text:t;">
                <w:txbxContent>
                  <w:p w14:paraId="69F5FC81">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6</w:t>
                    </w:r>
                    <w:r>
                      <w:rPr>
                        <w:rFonts w:hint="eastAsia"/>
                        <w:sz w:val="18"/>
                      </w:rPr>
                      <w:fldChar w:fldCharType="end"/>
                    </w:r>
                  </w:p>
                </w:txbxContent>
              </v:textbox>
            </v:shape>
          </w:pict>
        </mc:Fallback>
      </mc:AlternateContent>
    </w:r>
    <w:r>
      <w:rPr>
        <w:rFonts w:hint="eastAsia"/>
        <w:sz w:val="21"/>
      </w:rPr>
      <w:t xml:space="preserve">              </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76387220"/>
    </w:sdtPr>
    <w:sdtContent>
      <w:p w14:paraId="1FE5C383">
        <w:pPr>
          <w:pStyle w:val="33"/>
          <w:ind w:firstLine="360"/>
          <w:jc w:val="right"/>
        </w:pPr>
        <w:r>
          <w:fldChar w:fldCharType="begin"/>
        </w:r>
        <w:r>
          <w:instrText xml:space="preserve">PAGE   \* MERGEFORMAT</w:instrText>
        </w:r>
        <w:r>
          <w:fldChar w:fldCharType="separate"/>
        </w:r>
        <w:r>
          <w:rPr>
            <w:lang w:val="zh-CN"/>
          </w:rPr>
          <w:t>54</w:t>
        </w:r>
        <w:r>
          <w:fldChar w:fldCharType="end"/>
        </w:r>
      </w:p>
    </w:sdtContent>
  </w:sdt>
  <w:p w14:paraId="10C30F4D">
    <w:pPr>
      <w:ind w:firstLine="420"/>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73254"/>
    </w:sdtPr>
    <w:sdtContent>
      <w:p w14:paraId="2AC81F3C">
        <w:pPr>
          <w:pStyle w:val="33"/>
          <w:ind w:firstLine="360"/>
          <w:jc w:val="right"/>
        </w:pPr>
        <w:r>
          <w:fldChar w:fldCharType="begin"/>
        </w:r>
        <w:r>
          <w:instrText xml:space="preserve">PAGE   \* MERGEFORMAT</w:instrText>
        </w:r>
        <w:r>
          <w:fldChar w:fldCharType="separate"/>
        </w:r>
        <w:r>
          <w:rPr>
            <w:lang w:val="zh-CN"/>
          </w:rPr>
          <w:t>2</w:t>
        </w:r>
        <w:r>
          <w:fldChar w:fldCharType="end"/>
        </w:r>
      </w:p>
    </w:sdtContent>
  </w:sdt>
  <w:p w14:paraId="4CF8D3A6">
    <w:pPr>
      <w:ind w:firstLine="420"/>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00FDB">
    <w:pPr>
      <w:pStyle w:val="33"/>
      <w:ind w:left="360" w:firstLine="36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972185" cy="147955"/>
              <wp:effectExtent l="0" t="0" r="0" b="0"/>
              <wp:wrapNone/>
              <wp:docPr id="1696766700" name="文本框 2"/>
              <wp:cNvGraphicFramePr/>
              <a:graphic xmlns:a="http://schemas.openxmlformats.org/drawingml/2006/main">
                <a:graphicData uri="http://schemas.microsoft.com/office/word/2010/wordprocessingShape">
                  <wps:wsp>
                    <wps:cNvSpPr txBox="1">
                      <a:spLocks noChangeArrowheads="1"/>
                    </wps:cNvSpPr>
                    <wps:spPr bwMode="auto">
                      <a:xfrm>
                        <a:off x="0" y="0"/>
                        <a:ext cx="972185" cy="147955"/>
                      </a:xfrm>
                      <a:prstGeom prst="rect">
                        <a:avLst/>
                      </a:prstGeom>
                      <a:noFill/>
                      <a:ln>
                        <a:noFill/>
                      </a:ln>
                      <a:effectLst/>
                    </wps:spPr>
                    <wps:txbx>
                      <w:txbxContent>
                        <w:p w14:paraId="253D5975">
                          <w:pPr>
                            <w:pStyle w:val="33"/>
                            <w:ind w:firstLine="360"/>
                            <w:jc w:val="center"/>
                          </w:pP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65pt;width:76.55pt;mso-position-horizontal:center;mso-position-horizontal-relative:margin;mso-wrap-style:none;z-index:251663360;mso-width-relative:page;mso-height-relative:page;" filled="f" stroked="f" coordsize="21600,21600" o:gfxdata="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NJ2k0NIAAAAEAQAADwAAAAAAAAAB&#10;ACAAAAAiAAAAZHJzL2Rvd25yZXYueG1sUEsBAhQAFAAAAAgAh07iQJcTjRUWAgAAGQQAAA4AAAAA&#10;AAAAAQAgAAAAIQEAAGRycy9lMm9Eb2MueG1sUEsFBgAAAAAGAAYAWQEAAKkFAAAAAA==&#10;">
              <v:fill on="f" focussize="0,0"/>
              <v:stroke on="f"/>
              <v:imagedata o:title=""/>
              <o:lock v:ext="edit" aspectratio="f"/>
              <v:textbox inset="0mm,0mm,0mm,0mm" style="mso-fit-shape-to-text:t;">
                <w:txbxContent>
                  <w:p w14:paraId="253D5975">
                    <w:pPr>
                      <w:pStyle w:val="33"/>
                      <w:ind w:firstLine="360"/>
                      <w:jc w:val="center"/>
                    </w:pPr>
                  </w:p>
                </w:txbxContent>
              </v:textbox>
            </v:shape>
          </w:pict>
        </mc:Fallback>
      </mc:AlternateContent>
    </w:r>
  </w:p>
  <w:p w14:paraId="3A9AD203">
    <w:pPr>
      <w:ind w:firstLine="420"/>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9864471"/>
    </w:sdtPr>
    <w:sdtContent>
      <w:p w14:paraId="6FA623B8">
        <w:pPr>
          <w:pStyle w:val="33"/>
          <w:ind w:firstLine="360"/>
          <w:jc w:val="right"/>
        </w:pPr>
        <w:r>
          <w:fldChar w:fldCharType="begin"/>
        </w:r>
        <w:r>
          <w:instrText xml:space="preserve">PAGE   \* MERGEFORMAT</w:instrText>
        </w:r>
        <w:r>
          <w:fldChar w:fldCharType="separate"/>
        </w:r>
        <w:r>
          <w:rPr>
            <w:lang w:val="zh-CN"/>
          </w:rPr>
          <w:t>69</w:t>
        </w:r>
        <w:r>
          <w:fldChar w:fldCharType="end"/>
        </w:r>
      </w:p>
    </w:sdtContent>
  </w:sdt>
  <w:p w14:paraId="057A734D">
    <w:pPr>
      <w:ind w:firstLine="420"/>
      <w:rPr>
        <w:rFonts w:ascii="仿宋_GB2312" w:eastAsia="仿宋_GB2312"/>
      </w:rPr>
    </w:pP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68335"/>
    </w:sdtPr>
    <w:sdtContent>
      <w:p w14:paraId="013B12E3">
        <w:pPr>
          <w:pStyle w:val="33"/>
          <w:ind w:firstLine="360"/>
          <w:jc w:val="right"/>
        </w:pPr>
        <w:r>
          <w:fldChar w:fldCharType="begin"/>
        </w:r>
        <w:r>
          <w:instrText xml:space="preserve">PAGE   \* MERGEFORMAT</w:instrText>
        </w:r>
        <w:r>
          <w:fldChar w:fldCharType="separate"/>
        </w:r>
        <w:r>
          <w:rPr>
            <w:lang w:val="zh-CN"/>
          </w:rPr>
          <w:t>54</w:t>
        </w:r>
        <w:r>
          <w:fldChar w:fldCharType="end"/>
        </w:r>
      </w:p>
    </w:sdtContent>
  </w:sdt>
  <w:p w14:paraId="7A7CD77C">
    <w:pPr>
      <w:ind w:firstLine="420"/>
      <w:rPr>
        <w:rFonts w:ascii="仿宋_GB2312" w:eastAsia="仿宋_GB2312"/>
      </w:rPr>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B6E941">
    <w:pPr>
      <w:tabs>
        <w:tab w:val="left" w:pos="7828"/>
      </w:tabs>
      <w:ind w:firstLine="420"/>
      <w:rPr>
        <w:rFonts w:hint="eastAsia" w:ascii="微软雅黑" w:hAnsi="微软雅黑"/>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C0C38DF">
                          <w:pPr>
                            <w:pStyle w:val="33"/>
                            <w:pBdr>
                              <w:top w:val="none" w:color="auto" w:sz="0" w:space="1"/>
                            </w:pBdr>
                            <w:ind w:firstLine="36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GhpgkvTAAAABQEAAA8AAAAAAAAAAQAgAAAAIgAAAGRycy9kb3du&#10;cmV2LnhtbFBLAQIUABQAAAAIAIdO4kC3qQzJywEAAJcDAAAOAAAAAAAAAAEAIAAAACIBAABkcnMv&#10;ZTJvRG9jLnhtbFBLBQYAAAAABgAGAFkBAABfBQAAAAA=&#10;">
              <v:fill on="f" focussize="0,0"/>
              <v:stroke on="f" weight="1.25pt"/>
              <v:imagedata o:title=""/>
              <o:lock v:ext="edit" aspectratio="f"/>
              <v:textbox inset="0mm,0mm,0mm,0mm" style="mso-fit-shape-to-text:t;">
                <w:txbxContent>
                  <w:p w14:paraId="1C0C38DF">
                    <w:pPr>
                      <w:pStyle w:val="33"/>
                      <w:pBdr>
                        <w:top w:val="none" w:color="auto" w:sz="0" w:space="1"/>
                      </w:pBdr>
                      <w:ind w:firstLine="36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20"/>
      </w:pPr>
      <w:r>
        <w:separator/>
      </w:r>
    </w:p>
  </w:footnote>
  <w:footnote w:type="continuationSeparator" w:id="1">
    <w:p>
      <w:pPr>
        <w:spacing w:line="36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54C418">
    <w:pPr>
      <w:pStyle w:val="35"/>
      <w:tabs>
        <w:tab w:val="left" w:pos="5925"/>
        <w:tab w:val="right" w:pos="8312"/>
        <w:tab w:val="clear" w:pos="8306"/>
      </w:tabs>
      <w:jc w:val="left"/>
      <w:rPr>
        <w:rFonts w:hint="eastAsia" w:ascii="微软雅黑" w:hAnsi="微软雅黑"/>
      </w:rPr>
    </w:pPr>
    <w:r>
      <w:rPr>
        <w:rFonts w:hint="eastAsia"/>
      </w:rPr>
      <w:pict>
        <v:shape id="PowerPlusWaterMarkObject108598" o:spid="_x0000_s3083" o:spt="136" type="#_x0000_t136" style="position:absolute;left:0pt;height:47.3pt;width:539.95pt;mso-position-horizontal:center;mso-position-horizontal-relative:margin;mso-position-vertical:center;mso-position-vertical-relative:margin;rotation:-2949120f;z-index:-251652096;mso-width-relative:page;mso-height-relative:page;" fillcolor="#C0C0C0" filled="t" stroked="f" coordsize="21600,21600">
          <v:path/>
          <v:fill on="t" opacity="32768f" focussize="0,0"/>
          <v:stroke on="f"/>
          <v:imagedata o:title=""/>
          <o:lock v:ext="edit" aspectratio="t"/>
          <v:textpath on="t" fitshape="t" fitpath="t" trim="t" xscale="f" string="嘉兴市千秋工程咨询有限公司" style="font-family:宋体;font-size:36pt;v-text-align:center;"/>
        </v:shape>
      </w:pict>
    </w:r>
    <w:r>
      <w:rPr>
        <w:rFonts w:ascii="微软雅黑" w:hAnsi="微软雅黑"/>
      </w:rPr>
      <w:tab/>
    </w:r>
    <w:r>
      <w:rPr>
        <w:rFonts w:ascii="微软雅黑" w:hAnsi="微软雅黑"/>
      </w:rPr>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CFE2B1">
    <w:pPr>
      <w:pStyle w:val="35"/>
    </w:pPr>
    <w:r>
      <w:pict>
        <v:shape id="PowerPlusWaterMarkObject13360719" o:spid="_x0000_s3075" o:spt="136" type="#_x0000_t136" style="position:absolute;left:0pt;height:41.85pt;width:544.05pt;mso-position-horizontal:center;mso-position-horizontal-relative:margin;mso-position-vertical:center;mso-position-vertical-relative:margin;rotation:20643840f;z-index:-251655168;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52C8A">
    <w:pPr>
      <w:pStyle w:val="35"/>
    </w:pPr>
    <w:r>
      <w:pict>
        <v:shape id="PowerPlusWaterMarkObject13360718" o:spid="_x0000_s3073" o:spt="136" type="#_x0000_t136" style="position:absolute;left:0pt;height:41.85pt;width:544.05pt;mso-position-horizontal:center;mso-position-horizontal-relative:margin;mso-position-vertical:center;mso-position-vertical-relative:margin;rotation:20643840f;z-index:-251656192;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6BD42B">
    <w:pPr>
      <w:pStyle w:val="35"/>
      <w:rPr>
        <w:rFonts w:hint="eastAsia"/>
      </w:rPr>
    </w:pPr>
    <w:r>
      <w:rPr>
        <w:rFonts w:ascii="微软雅黑" w:hAnsi="微软雅黑"/>
        <w:b/>
        <w:bCs/>
        <w:sz w:val="36"/>
        <w:szCs w:val="36"/>
      </w:rPr>
      <w:drawing>
        <wp:anchor distT="0" distB="0" distL="0" distR="0" simplePos="0" relativeHeight="251664384" behindDoc="0" locked="0" layoutInCell="1" allowOverlap="1">
          <wp:simplePos x="0" y="0"/>
          <wp:positionH relativeFrom="column">
            <wp:posOffset>3175</wp:posOffset>
          </wp:positionH>
          <wp:positionV relativeFrom="paragraph">
            <wp:posOffset>-85090</wp:posOffset>
          </wp:positionV>
          <wp:extent cx="513080" cy="488950"/>
          <wp:effectExtent l="0" t="0" r="1270" b="6350"/>
          <wp:wrapNone/>
          <wp:docPr id="1" name="图片 1"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ADMINI~1\AppData\Local\Temp\1639451168.jpg"/>
                  <pic:cNvPicPr>
                    <a:picLocks noChangeAspect="1" noChangeArrowheads="1"/>
                  </pic:cNvPicPr>
                </pic:nvPicPr>
                <pic:blipFill>
                  <a:blip r:embed="rId1" cstate="print"/>
                  <a:srcRect/>
                  <a:stretch>
                    <a:fillRect/>
                  </a:stretch>
                </pic:blipFill>
                <pic:spPr>
                  <a:xfrm>
                    <a:off x="0" y="0"/>
                    <a:ext cx="513080" cy="488950"/>
                  </a:xfrm>
                  <a:prstGeom prst="rect">
                    <a:avLst/>
                  </a:prstGeom>
                  <a:noFill/>
                  <a:ln w="9525">
                    <a:noFill/>
                    <a:miter lim="800000"/>
                    <a:headEnd/>
                    <a:tailEnd/>
                  </a:ln>
                </pic:spPr>
              </pic:pic>
            </a:graphicData>
          </a:graphic>
        </wp:anchor>
      </w:drawing>
    </w:r>
    <w:r>
      <w:rPr>
        <w:rFonts w:hint="eastAsia"/>
        <w:lang w:eastAsia="zh-CN"/>
      </w:rPr>
      <w:t>嘉兴市秀洲区精神障碍社区康复服务项目</w:t>
    </w:r>
    <w:r>
      <w:rPr>
        <w:rFonts w:hint="eastAsia" w:ascii="微软雅黑" w:hAnsi="微软雅黑" w:eastAsia="微软雅黑" w:cs="微软雅黑"/>
        <w:lang w:eastAsia="zh-CN"/>
      </w:rPr>
      <w:t>•</w:t>
    </w:r>
    <w:r>
      <w:rPr>
        <w:rFonts w:hint="eastAsia"/>
        <w:lang w:val="en-US" w:eastAsia="zh-CN"/>
      </w:rPr>
      <w:t>公开招标采购</w:t>
    </w:r>
    <w:r>
      <w:rPr>
        <w:rFonts w:hint="eastAsia" w:ascii="微软雅黑" w:hAnsi="微软雅黑"/>
      </w:rPr>
      <w:t>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168F43">
    <w:pPr>
      <w:pStyle w:val="35"/>
    </w:pPr>
    <w:r>
      <w:pict>
        <v:shape id="PowerPlusWaterMarkObject13360722" o:spid="_x0000_s3078" o:spt="136" type="#_x0000_t136" style="position:absolute;left:0pt;height:41.85pt;width:544.05pt;mso-position-horizontal:center;mso-position-horizontal-relative:margin;mso-position-vertical:center;mso-position-vertical-relative:margin;rotation:20643840f;z-index:-251653120;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F7E64C">
    <w:pPr>
      <w:pStyle w:val="35"/>
    </w:pPr>
    <w:r>
      <w:rPr>
        <w:rFonts w:ascii="微软雅黑" w:hAnsi="微软雅黑"/>
        <w:b/>
        <w:bCs/>
        <w:sz w:val="36"/>
        <w:szCs w:val="36"/>
      </w:rPr>
      <w:drawing>
        <wp:anchor distT="0" distB="0" distL="0" distR="0" simplePos="0" relativeHeight="251666432" behindDoc="0" locked="0" layoutInCell="1" allowOverlap="1">
          <wp:simplePos x="0" y="0"/>
          <wp:positionH relativeFrom="column">
            <wp:posOffset>3175</wp:posOffset>
          </wp:positionH>
          <wp:positionV relativeFrom="paragraph">
            <wp:posOffset>-85090</wp:posOffset>
          </wp:positionV>
          <wp:extent cx="513080" cy="488950"/>
          <wp:effectExtent l="0" t="0" r="1270" b="6350"/>
          <wp:wrapNone/>
          <wp:docPr id="2" name="图片 2" descr="C:\Users\ADMINI~1\AppData\Local\Temp\16394511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I~1\AppData\Local\Temp\1639451168.jpg"/>
                  <pic:cNvPicPr>
                    <a:picLocks noChangeAspect="1" noChangeArrowheads="1"/>
                  </pic:cNvPicPr>
                </pic:nvPicPr>
                <pic:blipFill>
                  <a:blip r:embed="rId1" cstate="print"/>
                  <a:srcRect/>
                  <a:stretch>
                    <a:fillRect/>
                  </a:stretch>
                </pic:blipFill>
                <pic:spPr>
                  <a:xfrm>
                    <a:off x="0" y="0"/>
                    <a:ext cx="513080" cy="488950"/>
                  </a:xfrm>
                  <a:prstGeom prst="rect">
                    <a:avLst/>
                  </a:prstGeom>
                  <a:noFill/>
                  <a:ln w="9525">
                    <a:noFill/>
                    <a:miter lim="800000"/>
                    <a:headEnd/>
                    <a:tailEnd/>
                  </a:ln>
                </pic:spPr>
              </pic:pic>
            </a:graphicData>
          </a:graphic>
        </wp:anchor>
      </w:drawing>
    </w:r>
    <w:r>
      <w:rPr>
        <w:rFonts w:hint="eastAsia"/>
        <w:lang w:eastAsia="zh-CN"/>
      </w:rPr>
      <w:t>嘉兴市秀洲区精神障碍社区康复服务项目</w:t>
    </w:r>
    <w:r>
      <w:rPr>
        <w:rFonts w:hint="eastAsia" w:ascii="微软雅黑" w:hAnsi="微软雅黑" w:eastAsia="微软雅黑" w:cs="微软雅黑"/>
        <w:lang w:eastAsia="zh-CN"/>
      </w:rPr>
      <w:t>•</w:t>
    </w:r>
    <w:r>
      <w:rPr>
        <w:rFonts w:hint="eastAsia"/>
        <w:lang w:val="en-US" w:eastAsia="zh-CN"/>
      </w:rPr>
      <w:t>公开招标采购</w:t>
    </w:r>
    <w:r>
      <w:rPr>
        <w:rFonts w:hint="eastAsia" w:ascii="微软雅黑" w:hAnsi="微软雅黑"/>
      </w:rPr>
      <w:t>文件</w:t>
    </w:r>
    <w:r>
      <w:pict>
        <v:shape id="PowerPlusWaterMarkObject13360721" o:spid="_x0000_s3076" o:spt="136" type="#_x0000_t136" style="position:absolute;left:0pt;height:41.85pt;width:544.05pt;mso-position-horizontal:center;mso-position-horizontal-relative:margin;mso-position-vertical:center;mso-position-vertical-relative:margin;rotation:20643840f;z-index:-251654144;mso-width-relative:page;mso-height-relative:page;" fillcolor="#C0C0C0" filled="t" stroked="f" coordsize="21600,21600" o:allowincell="f">
          <v:path/>
          <v:fill on="t" opacity="32768f" focussize="0,0"/>
          <v:stroke on="f"/>
          <v:imagedata o:title=""/>
          <o:lock v:ext="edit"/>
          <v:textpath on="t" fitshape="t" fitpath="t" trim="f" xscale="f" string="嘉兴市千秋工程咨询有限公司" style="font-family:宋体;font-size:1pt;v-text-align:center;"/>
        </v:shape>
      </w:pic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5AB30">
    <w:pPr>
      <w:pStyle w:val="35"/>
    </w:pPr>
    <w:r>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390525" cy="371475"/>
          <wp:effectExtent l="19050" t="0" r="9525" b="0"/>
          <wp:wrapNone/>
          <wp:docPr id="1073838202" name="图片 1073838202" descr="C:\Users\ADMINI~1\AppData\Local\Temp\16396288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3838202" name="图片 1073838202" descr="C:\Users\ADMINI~1\AppData\Local\Temp\1639628804.jpg"/>
                  <pic:cNvPicPr>
                    <a:picLocks noChangeAspect="1" noChangeArrowheads="1"/>
                  </pic:cNvPicPr>
                </pic:nvPicPr>
                <pic:blipFill>
                  <a:blip r:embed="rId1"/>
                  <a:srcRect/>
                  <a:stretch>
                    <a:fillRect/>
                  </a:stretch>
                </pic:blipFill>
                <pic:spPr>
                  <a:xfrm>
                    <a:off x="0" y="0"/>
                    <a:ext cx="390525" cy="371475"/>
                  </a:xfrm>
                  <a:prstGeom prst="rect">
                    <a:avLst/>
                  </a:prstGeom>
                  <a:noFill/>
                  <a:ln w="9525">
                    <a:noFill/>
                    <a:miter lim="800000"/>
                    <a:headEnd/>
                    <a:tailEnd/>
                  </a:ln>
                </pic:spPr>
              </pic:pic>
            </a:graphicData>
          </a:graphic>
        </wp:anchor>
      </w:drawing>
    </w:r>
    <w:r>
      <w:rPr>
        <w:rFonts w:hint="eastAsia"/>
      </w:rPr>
      <w:t xml:space="preserve"> </w:t>
    </w:r>
    <w:r>
      <w:rPr>
        <w:rFonts w:hint="eastAsia"/>
        <w:lang w:eastAsia="zh-CN"/>
      </w:rPr>
      <w:t>嘉兴市秀洲区精神障碍社区康复服务项目</w:t>
    </w:r>
    <w:r>
      <w:rPr>
        <w:rFonts w:hint="eastAsia" w:ascii="微软雅黑" w:hAnsi="微软雅黑" w:eastAsia="微软雅黑" w:cs="微软雅黑"/>
        <w:lang w:eastAsia="zh-CN"/>
      </w:rPr>
      <w:t>•</w:t>
    </w:r>
    <w:r>
      <w:rPr>
        <w:rFonts w:hint="eastAsia"/>
        <w:lang w:val="en-US" w:eastAsia="zh-CN"/>
      </w:rPr>
      <w:t>公开招标采购</w:t>
    </w:r>
    <w:r>
      <w:rPr>
        <w:rFonts w:hint="eastAsia" w:ascii="微软雅黑" w:hAnsi="微软雅黑"/>
      </w:rPr>
      <w:t>文件</w:t>
    </w:r>
  </w:p>
  <w:p w14:paraId="346FD5C1">
    <w:pPr>
      <w:ind w:firstLine="360"/>
      <w:rPr>
        <w:rFonts w:ascii="仿宋_GB2312" w:eastAsia="仿宋_GB2312"/>
        <w:b/>
        <w:i/>
        <w:sz w:val="18"/>
        <w:u w:val="single"/>
      </w:rPr>
    </w:pPr>
    <w:r>
      <w:rPr>
        <w:sz w:val="18"/>
      </w:rPr>
      <w:pict>
        <v:shape id="_x0000_s3085" o:spid="_x0000_s3085" o:spt="136" type="#_x0000_t136" style="position:absolute;left:0pt;height:47.3pt;width:539.95pt;mso-position-horizontal:center;mso-position-horizontal-relative:margin;mso-position-vertical:center;mso-position-vertical-relative:margin;rotation:-2949120f;z-index:-251651072;mso-width-relative:page;mso-height-relative:page;" fillcolor="#C0C0C0" filled="t" stroked="f" coordsize="21600,21600">
          <v:path/>
          <v:fill on="t" opacity="32768f" focussize="0,0"/>
          <v:stroke on="f"/>
          <v:imagedata o:title=""/>
          <o:lock v:ext="edit" aspectratio="t"/>
          <v:textpath on="t" fitshape="t" fitpath="t" trim="t" xscale="f" string="嘉兴市千秋工程咨询有限公司" style="font-family:宋体;font-size:36pt;v-text-align:center;"/>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087A3B"/>
    <w:multiLevelType w:val="singleLevel"/>
    <w:tmpl w:val="83087A3B"/>
    <w:lvl w:ilvl="0" w:tentative="0">
      <w:start w:val="1"/>
      <w:numFmt w:val="chineseCounting"/>
      <w:suff w:val="nothing"/>
      <w:lvlText w:val="（%1）"/>
      <w:lvlJc w:val="left"/>
      <w:pPr>
        <w:ind w:left="0" w:firstLine="420"/>
      </w:pPr>
      <w:rPr>
        <w:rFonts w:hint="eastAsia"/>
      </w:rPr>
    </w:lvl>
  </w:abstractNum>
  <w:abstractNum w:abstractNumId="1">
    <w:nsid w:val="A842E870"/>
    <w:multiLevelType w:val="singleLevel"/>
    <w:tmpl w:val="A842E870"/>
    <w:lvl w:ilvl="0" w:tentative="0">
      <w:start w:val="1"/>
      <w:numFmt w:val="decimal"/>
      <w:lvlText w:val="(%1)"/>
      <w:lvlJc w:val="left"/>
      <w:pPr>
        <w:ind w:left="425" w:hanging="425"/>
      </w:pPr>
      <w:rPr>
        <w:rFonts w:hint="default"/>
      </w:rPr>
    </w:lvl>
  </w:abstractNum>
  <w:abstractNum w:abstractNumId="2">
    <w:nsid w:val="A9162E4F"/>
    <w:multiLevelType w:val="singleLevel"/>
    <w:tmpl w:val="A9162E4F"/>
    <w:lvl w:ilvl="0" w:tentative="0">
      <w:start w:val="1"/>
      <w:numFmt w:val="decimal"/>
      <w:suff w:val="nothing"/>
      <w:lvlText w:val="%1、"/>
      <w:lvlJc w:val="left"/>
    </w:lvl>
  </w:abstractNum>
  <w:abstractNum w:abstractNumId="3">
    <w:nsid w:val="B1F6D82A"/>
    <w:multiLevelType w:val="singleLevel"/>
    <w:tmpl w:val="B1F6D82A"/>
    <w:lvl w:ilvl="0" w:tentative="0">
      <w:start w:val="1"/>
      <w:numFmt w:val="decimal"/>
      <w:lvlText w:val="(%1)"/>
      <w:lvlJc w:val="left"/>
      <w:pPr>
        <w:ind w:left="425" w:hanging="425"/>
      </w:pPr>
      <w:rPr>
        <w:rFonts w:hint="default"/>
      </w:rPr>
    </w:lvl>
  </w:abstractNum>
  <w:abstractNum w:abstractNumId="4">
    <w:nsid w:val="BC5E12C4"/>
    <w:multiLevelType w:val="singleLevel"/>
    <w:tmpl w:val="BC5E12C4"/>
    <w:lvl w:ilvl="0" w:tentative="0">
      <w:start w:val="1"/>
      <w:numFmt w:val="decimal"/>
      <w:lvlText w:val="%1."/>
      <w:lvlJc w:val="left"/>
      <w:pPr>
        <w:ind w:left="425" w:hanging="425"/>
      </w:pPr>
      <w:rPr>
        <w:rFonts w:hint="default"/>
      </w:rPr>
    </w:lvl>
  </w:abstractNum>
  <w:abstractNum w:abstractNumId="5">
    <w:nsid w:val="C7E082AB"/>
    <w:multiLevelType w:val="singleLevel"/>
    <w:tmpl w:val="C7E082AB"/>
    <w:lvl w:ilvl="0" w:tentative="0">
      <w:start w:val="1"/>
      <w:numFmt w:val="decimal"/>
      <w:suff w:val="nothing"/>
      <w:lvlText w:val="（%1）"/>
      <w:lvlJc w:val="left"/>
    </w:lvl>
  </w:abstractNum>
  <w:abstractNum w:abstractNumId="6">
    <w:nsid w:val="DCCAF0C9"/>
    <w:multiLevelType w:val="singleLevel"/>
    <w:tmpl w:val="DCCAF0C9"/>
    <w:lvl w:ilvl="0" w:tentative="0">
      <w:start w:val="1"/>
      <w:numFmt w:val="decimal"/>
      <w:lvlText w:val="(%1)"/>
      <w:lvlJc w:val="left"/>
      <w:pPr>
        <w:ind w:left="425" w:hanging="425"/>
      </w:pPr>
      <w:rPr>
        <w:rFonts w:hint="default"/>
      </w:rPr>
    </w:lvl>
  </w:abstractNum>
  <w:abstractNum w:abstractNumId="7">
    <w:nsid w:val="E2446BF4"/>
    <w:multiLevelType w:val="singleLevel"/>
    <w:tmpl w:val="E2446BF4"/>
    <w:lvl w:ilvl="0" w:tentative="0">
      <w:start w:val="1"/>
      <w:numFmt w:val="decimal"/>
      <w:lvlText w:val="%1."/>
      <w:lvlJc w:val="left"/>
      <w:pPr>
        <w:ind w:left="425" w:hanging="425"/>
      </w:pPr>
      <w:rPr>
        <w:rFonts w:hint="default"/>
      </w:rPr>
    </w:lvl>
  </w:abstractNum>
  <w:abstractNum w:abstractNumId="8">
    <w:nsid w:val="EAD9BC0C"/>
    <w:multiLevelType w:val="singleLevel"/>
    <w:tmpl w:val="EAD9BC0C"/>
    <w:lvl w:ilvl="0" w:tentative="0">
      <w:start w:val="1"/>
      <w:numFmt w:val="decimal"/>
      <w:lvlText w:val="%1."/>
      <w:lvlJc w:val="left"/>
      <w:pPr>
        <w:ind w:left="425" w:hanging="425"/>
      </w:pPr>
      <w:rPr>
        <w:rFonts w:hint="default"/>
      </w:rPr>
    </w:lvl>
  </w:abstractNum>
  <w:abstractNum w:abstractNumId="9">
    <w:nsid w:val="FFFFFF7E"/>
    <w:multiLevelType w:val="singleLevel"/>
    <w:tmpl w:val="FFFFFF7E"/>
    <w:lvl w:ilvl="0" w:tentative="0">
      <w:start w:val="1"/>
      <w:numFmt w:val="decimal"/>
      <w:pStyle w:val="20"/>
      <w:lvlText w:val="%1."/>
      <w:lvlJc w:val="left"/>
      <w:pPr>
        <w:tabs>
          <w:tab w:val="left" w:pos="1200"/>
        </w:tabs>
        <w:ind w:left="1200" w:hanging="360"/>
      </w:pPr>
    </w:lvl>
  </w:abstractNum>
  <w:abstractNum w:abstractNumId="10">
    <w:nsid w:val="0F8F9CC7"/>
    <w:multiLevelType w:val="singleLevel"/>
    <w:tmpl w:val="0F8F9CC7"/>
    <w:lvl w:ilvl="0" w:tentative="0">
      <w:start w:val="2"/>
      <w:numFmt w:val="chineseCounting"/>
      <w:suff w:val="nothing"/>
      <w:lvlText w:val="（%1）"/>
      <w:lvlJc w:val="left"/>
      <w:rPr>
        <w:rFonts w:hint="eastAsia"/>
      </w:rPr>
    </w:lvl>
  </w:abstractNum>
  <w:abstractNum w:abstractNumId="11">
    <w:nsid w:val="19224DB9"/>
    <w:multiLevelType w:val="singleLevel"/>
    <w:tmpl w:val="19224DB9"/>
    <w:lvl w:ilvl="0" w:tentative="0">
      <w:start w:val="7"/>
      <w:numFmt w:val="decimal"/>
      <w:lvlText w:val="%1."/>
      <w:lvlJc w:val="left"/>
      <w:pPr>
        <w:tabs>
          <w:tab w:val="left" w:pos="312"/>
        </w:tabs>
      </w:pPr>
    </w:lvl>
  </w:abstractNum>
  <w:abstractNum w:abstractNumId="12">
    <w:nsid w:val="20844EFC"/>
    <w:multiLevelType w:val="multilevel"/>
    <w:tmpl w:val="20844EFC"/>
    <w:lvl w:ilvl="0" w:tentative="0">
      <w:start w:val="1"/>
      <w:numFmt w:val="decimal"/>
      <w:lvlText w:val="%1."/>
      <w:lvlJc w:val="left"/>
      <w:pPr>
        <w:ind w:left="425" w:hanging="425"/>
      </w:pPr>
      <w:rPr>
        <w:rFonts w:hint="default"/>
      </w:rPr>
    </w:lvl>
    <w:lvl w:ilvl="1" w:tentative="0">
      <w:start w:val="1"/>
      <w:numFmt w:val="decimal"/>
      <w:lvlText w:val="%1.%2."/>
      <w:lvlJc w:val="left"/>
      <w:pPr>
        <w:ind w:left="567" w:hanging="567"/>
      </w:pPr>
      <w:rPr>
        <w:rFonts w:hint="default"/>
      </w:rPr>
    </w:lvl>
    <w:lvl w:ilvl="2" w:tentative="0">
      <w:start w:val="1"/>
      <w:numFmt w:val="decimal"/>
      <w:lvlText w:val="%1.%2.%3."/>
      <w:lvlJc w:val="left"/>
      <w:pPr>
        <w:ind w:left="709" w:hanging="709"/>
      </w:pPr>
      <w:rPr>
        <w:rFonts w:hint="default"/>
      </w:rPr>
    </w:lvl>
    <w:lvl w:ilvl="3" w:tentative="0">
      <w:start w:val="1"/>
      <w:numFmt w:val="decimal"/>
      <w:lvlText w:val="%1.%2.%3.%4."/>
      <w:lvlJc w:val="left"/>
      <w:pPr>
        <w:ind w:left="850" w:hanging="850"/>
      </w:pPr>
      <w:rPr>
        <w:rFonts w:hint="default"/>
      </w:rPr>
    </w:lvl>
    <w:lvl w:ilvl="4" w:tentative="0">
      <w:start w:val="1"/>
      <w:numFmt w:val="decimal"/>
      <w:lvlText w:val="%1.%2.%3.%4.%5."/>
      <w:lvlJc w:val="left"/>
      <w:pPr>
        <w:ind w:left="991" w:hanging="991"/>
      </w:pPr>
      <w:rPr>
        <w:rFonts w:hint="default"/>
      </w:rPr>
    </w:lvl>
    <w:lvl w:ilvl="5" w:tentative="0">
      <w:start w:val="1"/>
      <w:numFmt w:val="decimal"/>
      <w:lvlText w:val="%1.%2.%3.%4.%5.%6."/>
      <w:lvlJc w:val="left"/>
      <w:pPr>
        <w:ind w:left="1134" w:hanging="1134"/>
      </w:pPr>
      <w:rPr>
        <w:rFonts w:hint="default"/>
      </w:rPr>
    </w:lvl>
    <w:lvl w:ilvl="6" w:tentative="0">
      <w:start w:val="1"/>
      <w:numFmt w:val="decimal"/>
      <w:lvlText w:val="%1.%2.%3.%4.%5.%6.%7."/>
      <w:lvlJc w:val="left"/>
      <w:pPr>
        <w:ind w:left="1275" w:hanging="1275"/>
      </w:pPr>
      <w:rPr>
        <w:rFonts w:hint="default"/>
      </w:rPr>
    </w:lvl>
    <w:lvl w:ilvl="7" w:tentative="0">
      <w:start w:val="1"/>
      <w:numFmt w:val="decimal"/>
      <w:lvlText w:val="%1.%2.%3.%4.%5.%6.%7.%8."/>
      <w:lvlJc w:val="left"/>
      <w:pPr>
        <w:ind w:left="1418" w:hanging="1418"/>
      </w:pPr>
      <w:rPr>
        <w:rFonts w:hint="default"/>
      </w:rPr>
    </w:lvl>
    <w:lvl w:ilvl="8" w:tentative="0">
      <w:start w:val="1"/>
      <w:numFmt w:val="decimal"/>
      <w:lvlText w:val="%1.%2.%3.%4.%5.%6.%7.%8.%9."/>
      <w:lvlJc w:val="left"/>
      <w:pPr>
        <w:ind w:left="1558" w:hanging="1558"/>
      </w:pPr>
      <w:rPr>
        <w:rFonts w:hint="default"/>
      </w:rPr>
    </w:lvl>
  </w:abstractNum>
  <w:abstractNum w:abstractNumId="13">
    <w:nsid w:val="2ABBA473"/>
    <w:multiLevelType w:val="singleLevel"/>
    <w:tmpl w:val="2ABBA473"/>
    <w:lvl w:ilvl="0" w:tentative="0">
      <w:start w:val="1"/>
      <w:numFmt w:val="decimal"/>
      <w:lvlText w:val="%1."/>
      <w:lvlJc w:val="left"/>
      <w:pPr>
        <w:tabs>
          <w:tab w:val="left" w:pos="312"/>
        </w:tabs>
      </w:pPr>
    </w:lvl>
  </w:abstractNum>
  <w:abstractNum w:abstractNumId="14">
    <w:nsid w:val="315874FE"/>
    <w:multiLevelType w:val="singleLevel"/>
    <w:tmpl w:val="315874FE"/>
    <w:lvl w:ilvl="0" w:tentative="0">
      <w:start w:val="1"/>
      <w:numFmt w:val="decimal"/>
      <w:lvlText w:val="%1."/>
      <w:lvlJc w:val="left"/>
      <w:pPr>
        <w:ind w:left="425" w:hanging="425"/>
      </w:pPr>
      <w:rPr>
        <w:rFonts w:hint="default"/>
      </w:rPr>
    </w:lvl>
  </w:abstractNum>
  <w:abstractNum w:abstractNumId="15">
    <w:nsid w:val="33348B22"/>
    <w:multiLevelType w:val="singleLevel"/>
    <w:tmpl w:val="33348B22"/>
    <w:lvl w:ilvl="0" w:tentative="0">
      <w:start w:val="1"/>
      <w:numFmt w:val="decimal"/>
      <w:lvlText w:val="(%1)"/>
      <w:lvlJc w:val="left"/>
      <w:pPr>
        <w:ind w:left="425" w:hanging="425"/>
      </w:pPr>
      <w:rPr>
        <w:rFonts w:hint="default"/>
      </w:rPr>
    </w:lvl>
  </w:abstractNum>
  <w:abstractNum w:abstractNumId="16">
    <w:nsid w:val="36B90DB6"/>
    <w:multiLevelType w:val="multilevel"/>
    <w:tmpl w:val="36B90DB6"/>
    <w:lvl w:ilvl="0" w:tentative="0">
      <w:start w:val="7"/>
      <w:numFmt w:val="decimal"/>
      <w:lvlText w:val="%1、"/>
      <w:lvlJc w:val="left"/>
      <w:pPr>
        <w:ind w:left="780" w:hanging="360"/>
      </w:pPr>
      <w:rPr>
        <w:rFonts w:hint="default"/>
      </w:rPr>
    </w:lvl>
    <w:lvl w:ilvl="1" w:tentative="0">
      <w:start w:val="1"/>
      <w:numFmt w:val="lowerLetter"/>
      <w:lvlText w:val="%2)"/>
      <w:lvlJc w:val="left"/>
      <w:pPr>
        <w:ind w:left="1300" w:hanging="440"/>
      </w:pPr>
    </w:lvl>
    <w:lvl w:ilvl="2" w:tentative="0">
      <w:start w:val="1"/>
      <w:numFmt w:val="lowerRoman"/>
      <w:lvlText w:val="%3."/>
      <w:lvlJc w:val="right"/>
      <w:pPr>
        <w:ind w:left="1740" w:hanging="440"/>
      </w:pPr>
    </w:lvl>
    <w:lvl w:ilvl="3" w:tentative="0">
      <w:start w:val="1"/>
      <w:numFmt w:val="decimal"/>
      <w:lvlText w:val="%4."/>
      <w:lvlJc w:val="left"/>
      <w:pPr>
        <w:ind w:left="2180" w:hanging="440"/>
      </w:pPr>
    </w:lvl>
    <w:lvl w:ilvl="4" w:tentative="0">
      <w:start w:val="1"/>
      <w:numFmt w:val="lowerLetter"/>
      <w:lvlText w:val="%5)"/>
      <w:lvlJc w:val="left"/>
      <w:pPr>
        <w:ind w:left="2620" w:hanging="440"/>
      </w:pPr>
    </w:lvl>
    <w:lvl w:ilvl="5" w:tentative="0">
      <w:start w:val="1"/>
      <w:numFmt w:val="lowerRoman"/>
      <w:lvlText w:val="%6."/>
      <w:lvlJc w:val="right"/>
      <w:pPr>
        <w:ind w:left="3060" w:hanging="440"/>
      </w:pPr>
    </w:lvl>
    <w:lvl w:ilvl="6" w:tentative="0">
      <w:start w:val="1"/>
      <w:numFmt w:val="decimal"/>
      <w:lvlText w:val="%7."/>
      <w:lvlJc w:val="left"/>
      <w:pPr>
        <w:ind w:left="3500" w:hanging="440"/>
      </w:pPr>
    </w:lvl>
    <w:lvl w:ilvl="7" w:tentative="0">
      <w:start w:val="1"/>
      <w:numFmt w:val="lowerLetter"/>
      <w:lvlText w:val="%8)"/>
      <w:lvlJc w:val="left"/>
      <w:pPr>
        <w:ind w:left="3940" w:hanging="440"/>
      </w:pPr>
    </w:lvl>
    <w:lvl w:ilvl="8" w:tentative="0">
      <w:start w:val="1"/>
      <w:numFmt w:val="lowerRoman"/>
      <w:lvlText w:val="%9."/>
      <w:lvlJc w:val="right"/>
      <w:pPr>
        <w:ind w:left="4380" w:hanging="440"/>
      </w:pPr>
    </w:lvl>
  </w:abstractNum>
  <w:abstractNum w:abstractNumId="17">
    <w:nsid w:val="38657E4E"/>
    <w:multiLevelType w:val="singleLevel"/>
    <w:tmpl w:val="38657E4E"/>
    <w:lvl w:ilvl="0" w:tentative="0">
      <w:start w:val="1"/>
      <w:numFmt w:val="decimal"/>
      <w:lvlText w:val="%1."/>
      <w:lvlJc w:val="left"/>
      <w:pPr>
        <w:ind w:left="425" w:hanging="425"/>
      </w:pPr>
      <w:rPr>
        <w:rFonts w:hint="default"/>
      </w:rPr>
    </w:lvl>
  </w:abstractNum>
  <w:abstractNum w:abstractNumId="18">
    <w:nsid w:val="3B4178CF"/>
    <w:multiLevelType w:val="singleLevel"/>
    <w:tmpl w:val="3B4178CF"/>
    <w:lvl w:ilvl="0" w:tentative="0">
      <w:start w:val="1"/>
      <w:numFmt w:val="decimal"/>
      <w:lvlText w:val="%1."/>
      <w:lvlJc w:val="left"/>
      <w:pPr>
        <w:ind w:left="425" w:hanging="425"/>
      </w:pPr>
      <w:rPr>
        <w:rFonts w:hint="default"/>
      </w:rPr>
    </w:lvl>
  </w:abstractNum>
  <w:abstractNum w:abstractNumId="19">
    <w:nsid w:val="3B67CF64"/>
    <w:multiLevelType w:val="singleLevel"/>
    <w:tmpl w:val="3B67CF64"/>
    <w:lvl w:ilvl="0" w:tentative="0">
      <w:start w:val="1"/>
      <w:numFmt w:val="chineseCounting"/>
      <w:suff w:val="nothing"/>
      <w:lvlText w:val="%1、"/>
      <w:lvlJc w:val="left"/>
      <w:pPr>
        <w:ind w:left="0" w:firstLine="420"/>
      </w:pPr>
      <w:rPr>
        <w:rFonts w:hint="eastAsia"/>
      </w:rPr>
    </w:lvl>
  </w:abstractNum>
  <w:abstractNum w:abstractNumId="20">
    <w:nsid w:val="4034AC53"/>
    <w:multiLevelType w:val="singleLevel"/>
    <w:tmpl w:val="4034AC53"/>
    <w:lvl w:ilvl="0" w:tentative="0">
      <w:start w:val="1"/>
      <w:numFmt w:val="chineseCountingThousand"/>
      <w:suff w:val="space"/>
      <w:lvlText w:val="第%1章"/>
      <w:lvlJc w:val="left"/>
      <w:pPr>
        <w:ind w:left="0" w:firstLine="0"/>
      </w:pPr>
      <w:rPr>
        <w:rFonts w:hint="eastAsia"/>
      </w:rPr>
    </w:lvl>
  </w:abstractNum>
  <w:abstractNum w:abstractNumId="21">
    <w:nsid w:val="51FA1A31"/>
    <w:multiLevelType w:val="multilevel"/>
    <w:tmpl w:val="51FA1A31"/>
    <w:lvl w:ilvl="0" w:tentative="0">
      <w:start w:val="1"/>
      <w:numFmt w:val="japaneseCounting"/>
      <w:pStyle w:val="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2">
    <w:nsid w:val="528201DB"/>
    <w:multiLevelType w:val="multilevel"/>
    <w:tmpl w:val="528201DB"/>
    <w:lvl w:ilvl="0" w:tentative="0">
      <w:start w:val="1"/>
      <w:numFmt w:val="chineseCountingThousand"/>
      <w:lvlText w:val="第%1章"/>
      <w:lvlJc w:val="left"/>
      <w:pPr>
        <w:ind w:left="440" w:hanging="440"/>
      </w:pPr>
      <w:rPr>
        <w:rFonts w:hint="eastAsia"/>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23">
    <w:nsid w:val="5B1696CC"/>
    <w:multiLevelType w:val="singleLevel"/>
    <w:tmpl w:val="5B1696CC"/>
    <w:lvl w:ilvl="0" w:tentative="0">
      <w:start w:val="1"/>
      <w:numFmt w:val="decimal"/>
      <w:lvlText w:val="(%1)"/>
      <w:lvlJc w:val="left"/>
      <w:pPr>
        <w:ind w:left="425" w:hanging="425"/>
      </w:pPr>
      <w:rPr>
        <w:rFonts w:hint="default"/>
      </w:rPr>
    </w:lvl>
  </w:abstractNum>
  <w:abstractNum w:abstractNumId="24">
    <w:nsid w:val="5BAE13E7"/>
    <w:multiLevelType w:val="singleLevel"/>
    <w:tmpl w:val="5BAE13E7"/>
    <w:lvl w:ilvl="0" w:tentative="0">
      <w:start w:val="1"/>
      <w:numFmt w:val="chineseCounting"/>
      <w:suff w:val="nothing"/>
      <w:lvlText w:val="（%1）"/>
      <w:lvlJc w:val="left"/>
      <w:pPr>
        <w:ind w:left="0" w:firstLine="420"/>
      </w:pPr>
      <w:rPr>
        <w:rFonts w:hint="eastAsia"/>
      </w:rPr>
    </w:lvl>
  </w:abstractNum>
  <w:abstractNum w:abstractNumId="25">
    <w:nsid w:val="5F7181FD"/>
    <w:multiLevelType w:val="singleLevel"/>
    <w:tmpl w:val="5F7181FD"/>
    <w:lvl w:ilvl="0" w:tentative="0">
      <w:start w:val="2"/>
      <w:numFmt w:val="chineseCounting"/>
      <w:suff w:val="nothing"/>
      <w:lvlText w:val="%1、"/>
      <w:lvlJc w:val="left"/>
      <w:rPr>
        <w:rFonts w:hint="eastAsia"/>
      </w:rPr>
    </w:lvl>
  </w:abstractNum>
  <w:abstractNum w:abstractNumId="26">
    <w:nsid w:val="6AB019D5"/>
    <w:multiLevelType w:val="singleLevel"/>
    <w:tmpl w:val="6AB019D5"/>
    <w:lvl w:ilvl="0" w:tentative="0">
      <w:start w:val="4"/>
      <w:numFmt w:val="decimal"/>
      <w:lvlText w:val="%1."/>
      <w:lvlJc w:val="left"/>
      <w:pPr>
        <w:tabs>
          <w:tab w:val="left" w:pos="312"/>
        </w:tabs>
      </w:pPr>
    </w:lvl>
  </w:abstractNum>
  <w:abstractNum w:abstractNumId="27">
    <w:nsid w:val="7EEEC8A2"/>
    <w:multiLevelType w:val="singleLevel"/>
    <w:tmpl w:val="7EEEC8A2"/>
    <w:lvl w:ilvl="0" w:tentative="0">
      <w:start w:val="1"/>
      <w:numFmt w:val="decimal"/>
      <w:suff w:val="nothing"/>
      <w:lvlText w:val="（%1）"/>
      <w:lvlJc w:val="left"/>
    </w:lvl>
  </w:abstractNum>
  <w:num w:numId="1">
    <w:abstractNumId w:val="21"/>
  </w:num>
  <w:num w:numId="2">
    <w:abstractNumId w:val="9"/>
  </w:num>
  <w:num w:numId="3">
    <w:abstractNumId w:val="22"/>
  </w:num>
  <w:num w:numId="4">
    <w:abstractNumId w:val="19"/>
  </w:num>
  <w:num w:numId="5">
    <w:abstractNumId w:val="0"/>
  </w:num>
  <w:num w:numId="6">
    <w:abstractNumId w:val="4"/>
  </w:num>
  <w:num w:numId="7">
    <w:abstractNumId w:val="8"/>
  </w:num>
  <w:num w:numId="8">
    <w:abstractNumId w:val="12"/>
  </w:num>
  <w:num w:numId="9">
    <w:abstractNumId w:val="1"/>
  </w:num>
  <w:num w:numId="10">
    <w:abstractNumId w:val="15"/>
  </w:num>
  <w:num w:numId="11">
    <w:abstractNumId w:val="3"/>
  </w:num>
  <w:num w:numId="12">
    <w:abstractNumId w:val="6"/>
  </w:num>
  <w:num w:numId="13">
    <w:abstractNumId w:val="23"/>
  </w:num>
  <w:num w:numId="14">
    <w:abstractNumId w:val="14"/>
  </w:num>
  <w:num w:numId="15">
    <w:abstractNumId w:val="17"/>
  </w:num>
  <w:num w:numId="16">
    <w:abstractNumId w:val="24"/>
  </w:num>
  <w:num w:numId="17">
    <w:abstractNumId w:val="2"/>
  </w:num>
  <w:num w:numId="18">
    <w:abstractNumId w:val="7"/>
  </w:num>
  <w:num w:numId="19">
    <w:abstractNumId w:val="26"/>
  </w:num>
  <w:num w:numId="20">
    <w:abstractNumId w:val="11"/>
  </w:num>
  <w:num w:numId="21">
    <w:abstractNumId w:val="16"/>
  </w:num>
  <w:num w:numId="22">
    <w:abstractNumId w:val="18"/>
  </w:num>
  <w:num w:numId="23">
    <w:abstractNumId w:val="10"/>
  </w:num>
  <w:num w:numId="24">
    <w:abstractNumId w:val="13"/>
  </w:num>
  <w:num w:numId="25">
    <w:abstractNumId w:val="25"/>
  </w:num>
  <w:num w:numId="26">
    <w:abstractNumId w:val="20"/>
  </w:num>
  <w:num w:numId="27">
    <w:abstractNumId w:val="27"/>
  </w:num>
  <w:num w:numId="2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hideSpellingErrors/>
  <w:doNotTrackMoves/>
  <w:documentProtection w:enforcement="0"/>
  <w:defaultTabStop w:val="232"/>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JlMTYyNTAxYWM3MWI0NzliODIyODNmMjdmN2NhNGEifQ=="/>
  </w:docVars>
  <w:rsids>
    <w:rsidRoot w:val="00172A27"/>
    <w:rsid w:val="00000868"/>
    <w:rsid w:val="0000271F"/>
    <w:rsid w:val="00002FF3"/>
    <w:rsid w:val="00003C3C"/>
    <w:rsid w:val="000044F4"/>
    <w:rsid w:val="00005826"/>
    <w:rsid w:val="000058A3"/>
    <w:rsid w:val="00005B6A"/>
    <w:rsid w:val="0000613F"/>
    <w:rsid w:val="00006676"/>
    <w:rsid w:val="00010B34"/>
    <w:rsid w:val="00010C33"/>
    <w:rsid w:val="00010C43"/>
    <w:rsid w:val="00011214"/>
    <w:rsid w:val="000112E4"/>
    <w:rsid w:val="00011499"/>
    <w:rsid w:val="000119C5"/>
    <w:rsid w:val="00011B6C"/>
    <w:rsid w:val="00011EDD"/>
    <w:rsid w:val="00012135"/>
    <w:rsid w:val="00012EA4"/>
    <w:rsid w:val="00014435"/>
    <w:rsid w:val="00015C8C"/>
    <w:rsid w:val="00016F84"/>
    <w:rsid w:val="000170F5"/>
    <w:rsid w:val="00017123"/>
    <w:rsid w:val="0001712E"/>
    <w:rsid w:val="0001791B"/>
    <w:rsid w:val="00020A3B"/>
    <w:rsid w:val="00023664"/>
    <w:rsid w:val="00023F05"/>
    <w:rsid w:val="0002437A"/>
    <w:rsid w:val="000248E6"/>
    <w:rsid w:val="00024B81"/>
    <w:rsid w:val="00025EE2"/>
    <w:rsid w:val="0003103E"/>
    <w:rsid w:val="00031953"/>
    <w:rsid w:val="00033451"/>
    <w:rsid w:val="00034D4D"/>
    <w:rsid w:val="00037CD8"/>
    <w:rsid w:val="0004008C"/>
    <w:rsid w:val="000401D5"/>
    <w:rsid w:val="000417EE"/>
    <w:rsid w:val="00042977"/>
    <w:rsid w:val="00042AFD"/>
    <w:rsid w:val="00042CE5"/>
    <w:rsid w:val="00043120"/>
    <w:rsid w:val="00043142"/>
    <w:rsid w:val="000445D4"/>
    <w:rsid w:val="00044AF0"/>
    <w:rsid w:val="000462B4"/>
    <w:rsid w:val="0004692F"/>
    <w:rsid w:val="0005070C"/>
    <w:rsid w:val="00050ADC"/>
    <w:rsid w:val="000518B8"/>
    <w:rsid w:val="00051FC1"/>
    <w:rsid w:val="00052F01"/>
    <w:rsid w:val="00054E1D"/>
    <w:rsid w:val="00055D20"/>
    <w:rsid w:val="0005643C"/>
    <w:rsid w:val="00060047"/>
    <w:rsid w:val="00061917"/>
    <w:rsid w:val="000623FD"/>
    <w:rsid w:val="00062852"/>
    <w:rsid w:val="0006298F"/>
    <w:rsid w:val="000631C3"/>
    <w:rsid w:val="00063364"/>
    <w:rsid w:val="000636F8"/>
    <w:rsid w:val="000637C7"/>
    <w:rsid w:val="00063F1A"/>
    <w:rsid w:val="00064222"/>
    <w:rsid w:val="00065016"/>
    <w:rsid w:val="0006534E"/>
    <w:rsid w:val="00065769"/>
    <w:rsid w:val="000658A9"/>
    <w:rsid w:val="00066093"/>
    <w:rsid w:val="000662AD"/>
    <w:rsid w:val="00066842"/>
    <w:rsid w:val="0007024A"/>
    <w:rsid w:val="00070975"/>
    <w:rsid w:val="000709B0"/>
    <w:rsid w:val="000718A7"/>
    <w:rsid w:val="00072638"/>
    <w:rsid w:val="0007340F"/>
    <w:rsid w:val="000736C9"/>
    <w:rsid w:val="00073C4C"/>
    <w:rsid w:val="00074B98"/>
    <w:rsid w:val="00074E55"/>
    <w:rsid w:val="00074FC4"/>
    <w:rsid w:val="00076500"/>
    <w:rsid w:val="00077100"/>
    <w:rsid w:val="0007718F"/>
    <w:rsid w:val="0007759B"/>
    <w:rsid w:val="0008057D"/>
    <w:rsid w:val="0008113B"/>
    <w:rsid w:val="00082488"/>
    <w:rsid w:val="000856F4"/>
    <w:rsid w:val="00085D08"/>
    <w:rsid w:val="0008643D"/>
    <w:rsid w:val="00086AAA"/>
    <w:rsid w:val="000871CB"/>
    <w:rsid w:val="00087869"/>
    <w:rsid w:val="00087F2C"/>
    <w:rsid w:val="00090411"/>
    <w:rsid w:val="00090857"/>
    <w:rsid w:val="000910FD"/>
    <w:rsid w:val="00091BB2"/>
    <w:rsid w:val="000928F0"/>
    <w:rsid w:val="00092DE6"/>
    <w:rsid w:val="00093731"/>
    <w:rsid w:val="00093B7D"/>
    <w:rsid w:val="00093EB5"/>
    <w:rsid w:val="000941A5"/>
    <w:rsid w:val="000943B9"/>
    <w:rsid w:val="000945E3"/>
    <w:rsid w:val="00097558"/>
    <w:rsid w:val="00097DEE"/>
    <w:rsid w:val="000A0027"/>
    <w:rsid w:val="000A00E3"/>
    <w:rsid w:val="000A137F"/>
    <w:rsid w:val="000A24D3"/>
    <w:rsid w:val="000A4B2A"/>
    <w:rsid w:val="000A4FF5"/>
    <w:rsid w:val="000A50C0"/>
    <w:rsid w:val="000A5FDE"/>
    <w:rsid w:val="000A6697"/>
    <w:rsid w:val="000A69C1"/>
    <w:rsid w:val="000A7F08"/>
    <w:rsid w:val="000B0797"/>
    <w:rsid w:val="000B0A2D"/>
    <w:rsid w:val="000B1E5C"/>
    <w:rsid w:val="000B26F5"/>
    <w:rsid w:val="000B2E80"/>
    <w:rsid w:val="000B3A48"/>
    <w:rsid w:val="000B4EDA"/>
    <w:rsid w:val="000B55B1"/>
    <w:rsid w:val="000B60F2"/>
    <w:rsid w:val="000C0619"/>
    <w:rsid w:val="000C1510"/>
    <w:rsid w:val="000C1788"/>
    <w:rsid w:val="000C1952"/>
    <w:rsid w:val="000C2B7E"/>
    <w:rsid w:val="000C3154"/>
    <w:rsid w:val="000C3CB6"/>
    <w:rsid w:val="000C400E"/>
    <w:rsid w:val="000C4E12"/>
    <w:rsid w:val="000C4F94"/>
    <w:rsid w:val="000C519E"/>
    <w:rsid w:val="000C51E1"/>
    <w:rsid w:val="000C52F4"/>
    <w:rsid w:val="000C6A2F"/>
    <w:rsid w:val="000C6A53"/>
    <w:rsid w:val="000C743A"/>
    <w:rsid w:val="000D0A89"/>
    <w:rsid w:val="000D0CCE"/>
    <w:rsid w:val="000D1BEF"/>
    <w:rsid w:val="000D20F0"/>
    <w:rsid w:val="000D270C"/>
    <w:rsid w:val="000D27DF"/>
    <w:rsid w:val="000D3375"/>
    <w:rsid w:val="000D3BD8"/>
    <w:rsid w:val="000D3DBC"/>
    <w:rsid w:val="000D3E83"/>
    <w:rsid w:val="000D4E06"/>
    <w:rsid w:val="000D5879"/>
    <w:rsid w:val="000D5BF2"/>
    <w:rsid w:val="000E0758"/>
    <w:rsid w:val="000E1631"/>
    <w:rsid w:val="000E1EB6"/>
    <w:rsid w:val="000E2A99"/>
    <w:rsid w:val="000E43D9"/>
    <w:rsid w:val="000E4833"/>
    <w:rsid w:val="000E5BED"/>
    <w:rsid w:val="000E66F1"/>
    <w:rsid w:val="000E6EF0"/>
    <w:rsid w:val="000E7F54"/>
    <w:rsid w:val="000F00C6"/>
    <w:rsid w:val="000F200A"/>
    <w:rsid w:val="000F2A44"/>
    <w:rsid w:val="000F2E02"/>
    <w:rsid w:val="000F41DC"/>
    <w:rsid w:val="000F6D7F"/>
    <w:rsid w:val="000F79F2"/>
    <w:rsid w:val="000F7AE1"/>
    <w:rsid w:val="000F7E5B"/>
    <w:rsid w:val="001013E6"/>
    <w:rsid w:val="00101540"/>
    <w:rsid w:val="001029B5"/>
    <w:rsid w:val="00102E4D"/>
    <w:rsid w:val="001033A9"/>
    <w:rsid w:val="00103BD1"/>
    <w:rsid w:val="00103E11"/>
    <w:rsid w:val="00104A23"/>
    <w:rsid w:val="00104CF2"/>
    <w:rsid w:val="00104E7B"/>
    <w:rsid w:val="0010514D"/>
    <w:rsid w:val="001056B0"/>
    <w:rsid w:val="00106C43"/>
    <w:rsid w:val="00106CA0"/>
    <w:rsid w:val="00110D71"/>
    <w:rsid w:val="00111AC6"/>
    <w:rsid w:val="00111C03"/>
    <w:rsid w:val="00111E50"/>
    <w:rsid w:val="00112556"/>
    <w:rsid w:val="00112C9C"/>
    <w:rsid w:val="001132F9"/>
    <w:rsid w:val="001136F2"/>
    <w:rsid w:val="0011455A"/>
    <w:rsid w:val="00114F25"/>
    <w:rsid w:val="001156CC"/>
    <w:rsid w:val="00116E66"/>
    <w:rsid w:val="00117042"/>
    <w:rsid w:val="00124174"/>
    <w:rsid w:val="00124E28"/>
    <w:rsid w:val="00124F3C"/>
    <w:rsid w:val="0012571C"/>
    <w:rsid w:val="00130A08"/>
    <w:rsid w:val="00131164"/>
    <w:rsid w:val="0013190C"/>
    <w:rsid w:val="00131EB3"/>
    <w:rsid w:val="0013283F"/>
    <w:rsid w:val="00132F13"/>
    <w:rsid w:val="0013300D"/>
    <w:rsid w:val="001346DB"/>
    <w:rsid w:val="00134816"/>
    <w:rsid w:val="001351F1"/>
    <w:rsid w:val="0013572E"/>
    <w:rsid w:val="00136E52"/>
    <w:rsid w:val="0014019B"/>
    <w:rsid w:val="001411A8"/>
    <w:rsid w:val="001450B3"/>
    <w:rsid w:val="00145999"/>
    <w:rsid w:val="00146142"/>
    <w:rsid w:val="00146849"/>
    <w:rsid w:val="001476FF"/>
    <w:rsid w:val="00147E8D"/>
    <w:rsid w:val="00150C59"/>
    <w:rsid w:val="001512EB"/>
    <w:rsid w:val="00152CF7"/>
    <w:rsid w:val="00153259"/>
    <w:rsid w:val="00155885"/>
    <w:rsid w:val="00155A67"/>
    <w:rsid w:val="0015610D"/>
    <w:rsid w:val="0015639E"/>
    <w:rsid w:val="00156BB0"/>
    <w:rsid w:val="00157136"/>
    <w:rsid w:val="00160124"/>
    <w:rsid w:val="001608DD"/>
    <w:rsid w:val="00160CB6"/>
    <w:rsid w:val="001632A7"/>
    <w:rsid w:val="0016384D"/>
    <w:rsid w:val="00165C8C"/>
    <w:rsid w:val="001663C1"/>
    <w:rsid w:val="00167884"/>
    <w:rsid w:val="00171130"/>
    <w:rsid w:val="001714F0"/>
    <w:rsid w:val="00171705"/>
    <w:rsid w:val="00171B2C"/>
    <w:rsid w:val="00172A27"/>
    <w:rsid w:val="001733E6"/>
    <w:rsid w:val="0017424B"/>
    <w:rsid w:val="001749EA"/>
    <w:rsid w:val="00174FD2"/>
    <w:rsid w:val="00175441"/>
    <w:rsid w:val="00175B12"/>
    <w:rsid w:val="00175FF0"/>
    <w:rsid w:val="00176AF1"/>
    <w:rsid w:val="001773D9"/>
    <w:rsid w:val="00177BA4"/>
    <w:rsid w:val="00180135"/>
    <w:rsid w:val="001807AC"/>
    <w:rsid w:val="00180849"/>
    <w:rsid w:val="00180943"/>
    <w:rsid w:val="001818D8"/>
    <w:rsid w:val="0018285A"/>
    <w:rsid w:val="00183E56"/>
    <w:rsid w:val="00184955"/>
    <w:rsid w:val="00185BE6"/>
    <w:rsid w:val="00185E3C"/>
    <w:rsid w:val="001862F8"/>
    <w:rsid w:val="00186C73"/>
    <w:rsid w:val="00187CA1"/>
    <w:rsid w:val="001902C8"/>
    <w:rsid w:val="00190A51"/>
    <w:rsid w:val="00191BFD"/>
    <w:rsid w:val="00191C4B"/>
    <w:rsid w:val="001931D5"/>
    <w:rsid w:val="001942A1"/>
    <w:rsid w:val="00194E79"/>
    <w:rsid w:val="00195029"/>
    <w:rsid w:val="00195EE5"/>
    <w:rsid w:val="001961BA"/>
    <w:rsid w:val="001963C7"/>
    <w:rsid w:val="00196E8A"/>
    <w:rsid w:val="001A3799"/>
    <w:rsid w:val="001A385B"/>
    <w:rsid w:val="001A45C5"/>
    <w:rsid w:val="001A5907"/>
    <w:rsid w:val="001A78E7"/>
    <w:rsid w:val="001B024B"/>
    <w:rsid w:val="001B1462"/>
    <w:rsid w:val="001B1FFE"/>
    <w:rsid w:val="001B31E0"/>
    <w:rsid w:val="001B333B"/>
    <w:rsid w:val="001B3FD9"/>
    <w:rsid w:val="001B4755"/>
    <w:rsid w:val="001B4756"/>
    <w:rsid w:val="001B598A"/>
    <w:rsid w:val="001B6161"/>
    <w:rsid w:val="001C01C4"/>
    <w:rsid w:val="001C084B"/>
    <w:rsid w:val="001C1EF5"/>
    <w:rsid w:val="001C25E7"/>
    <w:rsid w:val="001C2AE0"/>
    <w:rsid w:val="001C2C06"/>
    <w:rsid w:val="001C2E1A"/>
    <w:rsid w:val="001C2F33"/>
    <w:rsid w:val="001C3D07"/>
    <w:rsid w:val="001C585A"/>
    <w:rsid w:val="001C5F4C"/>
    <w:rsid w:val="001C6AA7"/>
    <w:rsid w:val="001C73FE"/>
    <w:rsid w:val="001C7CEB"/>
    <w:rsid w:val="001D15FA"/>
    <w:rsid w:val="001D3D2D"/>
    <w:rsid w:val="001D544B"/>
    <w:rsid w:val="001D60F8"/>
    <w:rsid w:val="001D6432"/>
    <w:rsid w:val="001D6C3A"/>
    <w:rsid w:val="001D7E86"/>
    <w:rsid w:val="001E0DAD"/>
    <w:rsid w:val="001E0EB3"/>
    <w:rsid w:val="001E14EA"/>
    <w:rsid w:val="001E1800"/>
    <w:rsid w:val="001E2F45"/>
    <w:rsid w:val="001E31F8"/>
    <w:rsid w:val="001E3F99"/>
    <w:rsid w:val="001E3FCE"/>
    <w:rsid w:val="001E69F0"/>
    <w:rsid w:val="001E7E5E"/>
    <w:rsid w:val="001F02A5"/>
    <w:rsid w:val="001F2692"/>
    <w:rsid w:val="001F32E4"/>
    <w:rsid w:val="001F5A4E"/>
    <w:rsid w:val="001F6A15"/>
    <w:rsid w:val="001F6F1B"/>
    <w:rsid w:val="001F7336"/>
    <w:rsid w:val="001F7997"/>
    <w:rsid w:val="002001BC"/>
    <w:rsid w:val="002004C0"/>
    <w:rsid w:val="00200E8E"/>
    <w:rsid w:val="002012BC"/>
    <w:rsid w:val="002033CF"/>
    <w:rsid w:val="00203AEA"/>
    <w:rsid w:val="00203D55"/>
    <w:rsid w:val="00204712"/>
    <w:rsid w:val="00205048"/>
    <w:rsid w:val="00205E7B"/>
    <w:rsid w:val="00206B06"/>
    <w:rsid w:val="00210F56"/>
    <w:rsid w:val="00211484"/>
    <w:rsid w:val="002116AA"/>
    <w:rsid w:val="00211B35"/>
    <w:rsid w:val="00211F5E"/>
    <w:rsid w:val="00212194"/>
    <w:rsid w:val="002124CB"/>
    <w:rsid w:val="00214014"/>
    <w:rsid w:val="0021426B"/>
    <w:rsid w:val="00214F3B"/>
    <w:rsid w:val="00215023"/>
    <w:rsid w:val="00215167"/>
    <w:rsid w:val="00215261"/>
    <w:rsid w:val="0021582A"/>
    <w:rsid w:val="00216784"/>
    <w:rsid w:val="00216A4B"/>
    <w:rsid w:val="00216AF8"/>
    <w:rsid w:val="002172A3"/>
    <w:rsid w:val="00220675"/>
    <w:rsid w:val="00221007"/>
    <w:rsid w:val="002214C3"/>
    <w:rsid w:val="00221609"/>
    <w:rsid w:val="00221DE0"/>
    <w:rsid w:val="002224BD"/>
    <w:rsid w:val="002237F5"/>
    <w:rsid w:val="00225B70"/>
    <w:rsid w:val="0022638E"/>
    <w:rsid w:val="002266AF"/>
    <w:rsid w:val="0022764B"/>
    <w:rsid w:val="002310E4"/>
    <w:rsid w:val="00231165"/>
    <w:rsid w:val="002321B2"/>
    <w:rsid w:val="00232EC1"/>
    <w:rsid w:val="002331D8"/>
    <w:rsid w:val="0023367C"/>
    <w:rsid w:val="0023556C"/>
    <w:rsid w:val="0023594C"/>
    <w:rsid w:val="00235E52"/>
    <w:rsid w:val="0023705C"/>
    <w:rsid w:val="0023766E"/>
    <w:rsid w:val="002376CA"/>
    <w:rsid w:val="002402E9"/>
    <w:rsid w:val="00240907"/>
    <w:rsid w:val="002437FB"/>
    <w:rsid w:val="00245739"/>
    <w:rsid w:val="002460E2"/>
    <w:rsid w:val="0024712C"/>
    <w:rsid w:val="00250561"/>
    <w:rsid w:val="00251501"/>
    <w:rsid w:val="00251DDD"/>
    <w:rsid w:val="00254D47"/>
    <w:rsid w:val="00255D0F"/>
    <w:rsid w:val="00257251"/>
    <w:rsid w:val="00260DF2"/>
    <w:rsid w:val="00261255"/>
    <w:rsid w:val="00261E62"/>
    <w:rsid w:val="0026292E"/>
    <w:rsid w:val="00263176"/>
    <w:rsid w:val="0026386E"/>
    <w:rsid w:val="00265959"/>
    <w:rsid w:val="00266055"/>
    <w:rsid w:val="00266D9C"/>
    <w:rsid w:val="0026746C"/>
    <w:rsid w:val="002705BE"/>
    <w:rsid w:val="00270CF7"/>
    <w:rsid w:val="00270F20"/>
    <w:rsid w:val="00271A16"/>
    <w:rsid w:val="00272EC3"/>
    <w:rsid w:val="00273015"/>
    <w:rsid w:val="0027337F"/>
    <w:rsid w:val="00274258"/>
    <w:rsid w:val="00274F22"/>
    <w:rsid w:val="002752CD"/>
    <w:rsid w:val="002754FB"/>
    <w:rsid w:val="00276170"/>
    <w:rsid w:val="00276513"/>
    <w:rsid w:val="00277087"/>
    <w:rsid w:val="002800F9"/>
    <w:rsid w:val="00281184"/>
    <w:rsid w:val="00281E16"/>
    <w:rsid w:val="0028553D"/>
    <w:rsid w:val="0028590F"/>
    <w:rsid w:val="00285C6B"/>
    <w:rsid w:val="0028632D"/>
    <w:rsid w:val="002864B8"/>
    <w:rsid w:val="0029034A"/>
    <w:rsid w:val="00290975"/>
    <w:rsid w:val="00291CAD"/>
    <w:rsid w:val="00292D2B"/>
    <w:rsid w:val="00292EB5"/>
    <w:rsid w:val="00293A0B"/>
    <w:rsid w:val="0029485F"/>
    <w:rsid w:val="00294B73"/>
    <w:rsid w:val="002969BB"/>
    <w:rsid w:val="002975DF"/>
    <w:rsid w:val="002A071D"/>
    <w:rsid w:val="002A0BA9"/>
    <w:rsid w:val="002A0E86"/>
    <w:rsid w:val="002A43F8"/>
    <w:rsid w:val="002A49EB"/>
    <w:rsid w:val="002A50EB"/>
    <w:rsid w:val="002A521B"/>
    <w:rsid w:val="002A5FDC"/>
    <w:rsid w:val="002A607A"/>
    <w:rsid w:val="002A62CD"/>
    <w:rsid w:val="002A6348"/>
    <w:rsid w:val="002A673A"/>
    <w:rsid w:val="002B0D8A"/>
    <w:rsid w:val="002B1FD9"/>
    <w:rsid w:val="002B42DB"/>
    <w:rsid w:val="002B463C"/>
    <w:rsid w:val="002B5094"/>
    <w:rsid w:val="002B5C0A"/>
    <w:rsid w:val="002B7121"/>
    <w:rsid w:val="002B73C5"/>
    <w:rsid w:val="002B7CC9"/>
    <w:rsid w:val="002C1C27"/>
    <w:rsid w:val="002C201B"/>
    <w:rsid w:val="002C2BFF"/>
    <w:rsid w:val="002C2C79"/>
    <w:rsid w:val="002C2D68"/>
    <w:rsid w:val="002C3195"/>
    <w:rsid w:val="002C3490"/>
    <w:rsid w:val="002C4048"/>
    <w:rsid w:val="002C4195"/>
    <w:rsid w:val="002C4CA1"/>
    <w:rsid w:val="002C5362"/>
    <w:rsid w:val="002C5920"/>
    <w:rsid w:val="002C6433"/>
    <w:rsid w:val="002C7739"/>
    <w:rsid w:val="002D0334"/>
    <w:rsid w:val="002D1096"/>
    <w:rsid w:val="002D30D0"/>
    <w:rsid w:val="002D3A29"/>
    <w:rsid w:val="002D3DE7"/>
    <w:rsid w:val="002D3F86"/>
    <w:rsid w:val="002D40B4"/>
    <w:rsid w:val="002D4599"/>
    <w:rsid w:val="002D4C6E"/>
    <w:rsid w:val="002D62B8"/>
    <w:rsid w:val="002D6913"/>
    <w:rsid w:val="002D6ED5"/>
    <w:rsid w:val="002D7E08"/>
    <w:rsid w:val="002E3DB0"/>
    <w:rsid w:val="002E4582"/>
    <w:rsid w:val="002E49D7"/>
    <w:rsid w:val="002E608E"/>
    <w:rsid w:val="002E6D2B"/>
    <w:rsid w:val="002E77A8"/>
    <w:rsid w:val="002E7AFC"/>
    <w:rsid w:val="002E7E1D"/>
    <w:rsid w:val="002F0A31"/>
    <w:rsid w:val="002F0B10"/>
    <w:rsid w:val="002F0B85"/>
    <w:rsid w:val="002F0E92"/>
    <w:rsid w:val="002F1E35"/>
    <w:rsid w:val="002F22D6"/>
    <w:rsid w:val="002F46AD"/>
    <w:rsid w:val="002F6D21"/>
    <w:rsid w:val="003023D9"/>
    <w:rsid w:val="00302A82"/>
    <w:rsid w:val="003034C4"/>
    <w:rsid w:val="00303B30"/>
    <w:rsid w:val="00306065"/>
    <w:rsid w:val="003070E6"/>
    <w:rsid w:val="00307F23"/>
    <w:rsid w:val="00310E42"/>
    <w:rsid w:val="00311907"/>
    <w:rsid w:val="00311A5D"/>
    <w:rsid w:val="00312FB3"/>
    <w:rsid w:val="003146C2"/>
    <w:rsid w:val="00314A13"/>
    <w:rsid w:val="00314F8A"/>
    <w:rsid w:val="003158C1"/>
    <w:rsid w:val="00315A4D"/>
    <w:rsid w:val="003163D4"/>
    <w:rsid w:val="00316CBA"/>
    <w:rsid w:val="00320024"/>
    <w:rsid w:val="0032517A"/>
    <w:rsid w:val="00326214"/>
    <w:rsid w:val="0032659B"/>
    <w:rsid w:val="00326C39"/>
    <w:rsid w:val="00326F34"/>
    <w:rsid w:val="00327B44"/>
    <w:rsid w:val="00330637"/>
    <w:rsid w:val="00331439"/>
    <w:rsid w:val="00331A53"/>
    <w:rsid w:val="0033382F"/>
    <w:rsid w:val="003344FD"/>
    <w:rsid w:val="0033557B"/>
    <w:rsid w:val="00335C7B"/>
    <w:rsid w:val="00336995"/>
    <w:rsid w:val="0033750D"/>
    <w:rsid w:val="003375B0"/>
    <w:rsid w:val="00340753"/>
    <w:rsid w:val="00340EF0"/>
    <w:rsid w:val="00341BA6"/>
    <w:rsid w:val="00341BAB"/>
    <w:rsid w:val="0034299D"/>
    <w:rsid w:val="003446A7"/>
    <w:rsid w:val="00344D19"/>
    <w:rsid w:val="0034565D"/>
    <w:rsid w:val="003462B2"/>
    <w:rsid w:val="003471ED"/>
    <w:rsid w:val="003476F2"/>
    <w:rsid w:val="003506C4"/>
    <w:rsid w:val="00350FAA"/>
    <w:rsid w:val="00351FA7"/>
    <w:rsid w:val="0035270E"/>
    <w:rsid w:val="00353D48"/>
    <w:rsid w:val="00353D4B"/>
    <w:rsid w:val="003540DF"/>
    <w:rsid w:val="00354333"/>
    <w:rsid w:val="00357213"/>
    <w:rsid w:val="00360259"/>
    <w:rsid w:val="00360275"/>
    <w:rsid w:val="00361B16"/>
    <w:rsid w:val="00361F22"/>
    <w:rsid w:val="00362B9B"/>
    <w:rsid w:val="00364868"/>
    <w:rsid w:val="00364900"/>
    <w:rsid w:val="00365F18"/>
    <w:rsid w:val="00367043"/>
    <w:rsid w:val="00367145"/>
    <w:rsid w:val="00367868"/>
    <w:rsid w:val="00367B84"/>
    <w:rsid w:val="003705EE"/>
    <w:rsid w:val="003726C9"/>
    <w:rsid w:val="00374661"/>
    <w:rsid w:val="00374AFA"/>
    <w:rsid w:val="0037688E"/>
    <w:rsid w:val="00376CC4"/>
    <w:rsid w:val="00377F2B"/>
    <w:rsid w:val="003809B7"/>
    <w:rsid w:val="00381803"/>
    <w:rsid w:val="00381AD9"/>
    <w:rsid w:val="00382685"/>
    <w:rsid w:val="00382D2E"/>
    <w:rsid w:val="003831B5"/>
    <w:rsid w:val="003833E2"/>
    <w:rsid w:val="00383CBF"/>
    <w:rsid w:val="00384211"/>
    <w:rsid w:val="003857B1"/>
    <w:rsid w:val="003859CB"/>
    <w:rsid w:val="0038631D"/>
    <w:rsid w:val="00387CD9"/>
    <w:rsid w:val="00387D98"/>
    <w:rsid w:val="00391146"/>
    <w:rsid w:val="0039180D"/>
    <w:rsid w:val="00391E5A"/>
    <w:rsid w:val="00393A7B"/>
    <w:rsid w:val="00393B51"/>
    <w:rsid w:val="003940A9"/>
    <w:rsid w:val="003945FE"/>
    <w:rsid w:val="00394AE3"/>
    <w:rsid w:val="00394C27"/>
    <w:rsid w:val="00395629"/>
    <w:rsid w:val="00397632"/>
    <w:rsid w:val="00397A22"/>
    <w:rsid w:val="003A057F"/>
    <w:rsid w:val="003A35DE"/>
    <w:rsid w:val="003A368B"/>
    <w:rsid w:val="003A3D0C"/>
    <w:rsid w:val="003A55E2"/>
    <w:rsid w:val="003A65FE"/>
    <w:rsid w:val="003A7D8E"/>
    <w:rsid w:val="003B0C2A"/>
    <w:rsid w:val="003B130E"/>
    <w:rsid w:val="003B1D8D"/>
    <w:rsid w:val="003B296C"/>
    <w:rsid w:val="003B679F"/>
    <w:rsid w:val="003C2E82"/>
    <w:rsid w:val="003C38D2"/>
    <w:rsid w:val="003C3D88"/>
    <w:rsid w:val="003C4C6A"/>
    <w:rsid w:val="003C542B"/>
    <w:rsid w:val="003C6088"/>
    <w:rsid w:val="003C6925"/>
    <w:rsid w:val="003C6F5B"/>
    <w:rsid w:val="003C704B"/>
    <w:rsid w:val="003C7C88"/>
    <w:rsid w:val="003C7DC6"/>
    <w:rsid w:val="003D093B"/>
    <w:rsid w:val="003D1D29"/>
    <w:rsid w:val="003D1E74"/>
    <w:rsid w:val="003D28FF"/>
    <w:rsid w:val="003D38BD"/>
    <w:rsid w:val="003D3F8F"/>
    <w:rsid w:val="003D44ED"/>
    <w:rsid w:val="003D45D9"/>
    <w:rsid w:val="003D4CBC"/>
    <w:rsid w:val="003D5D5C"/>
    <w:rsid w:val="003D7B96"/>
    <w:rsid w:val="003E25C9"/>
    <w:rsid w:val="003E3291"/>
    <w:rsid w:val="003E4A05"/>
    <w:rsid w:val="003E5218"/>
    <w:rsid w:val="003E62A6"/>
    <w:rsid w:val="003E6B63"/>
    <w:rsid w:val="003E6BD1"/>
    <w:rsid w:val="003F00F1"/>
    <w:rsid w:val="003F0752"/>
    <w:rsid w:val="003F08DD"/>
    <w:rsid w:val="003F095C"/>
    <w:rsid w:val="003F26EF"/>
    <w:rsid w:val="003F32EA"/>
    <w:rsid w:val="003F3578"/>
    <w:rsid w:val="003F361B"/>
    <w:rsid w:val="003F47CC"/>
    <w:rsid w:val="003F4E9D"/>
    <w:rsid w:val="003F6C99"/>
    <w:rsid w:val="003F7B60"/>
    <w:rsid w:val="00401095"/>
    <w:rsid w:val="00401627"/>
    <w:rsid w:val="00401A1A"/>
    <w:rsid w:val="00403750"/>
    <w:rsid w:val="00404445"/>
    <w:rsid w:val="00404C20"/>
    <w:rsid w:val="00405C98"/>
    <w:rsid w:val="004072B7"/>
    <w:rsid w:val="004101FC"/>
    <w:rsid w:val="0041060C"/>
    <w:rsid w:val="00410F2A"/>
    <w:rsid w:val="00410FAF"/>
    <w:rsid w:val="004114AA"/>
    <w:rsid w:val="00412095"/>
    <w:rsid w:val="0041237D"/>
    <w:rsid w:val="00412CD1"/>
    <w:rsid w:val="00412DD5"/>
    <w:rsid w:val="004132A9"/>
    <w:rsid w:val="00413F4C"/>
    <w:rsid w:val="00414BA7"/>
    <w:rsid w:val="00415698"/>
    <w:rsid w:val="004156B5"/>
    <w:rsid w:val="00417BE9"/>
    <w:rsid w:val="00420F8D"/>
    <w:rsid w:val="004214B5"/>
    <w:rsid w:val="004222FB"/>
    <w:rsid w:val="004225B5"/>
    <w:rsid w:val="00423ECD"/>
    <w:rsid w:val="004250BA"/>
    <w:rsid w:val="00425389"/>
    <w:rsid w:val="004256E8"/>
    <w:rsid w:val="004267A0"/>
    <w:rsid w:val="00430674"/>
    <w:rsid w:val="00430924"/>
    <w:rsid w:val="004313B2"/>
    <w:rsid w:val="004317DD"/>
    <w:rsid w:val="00431CF0"/>
    <w:rsid w:val="0043214E"/>
    <w:rsid w:val="00437762"/>
    <w:rsid w:val="00437DEC"/>
    <w:rsid w:val="004400E1"/>
    <w:rsid w:val="00440709"/>
    <w:rsid w:val="004409B0"/>
    <w:rsid w:val="004410F2"/>
    <w:rsid w:val="0044176C"/>
    <w:rsid w:val="004426D3"/>
    <w:rsid w:val="004432C4"/>
    <w:rsid w:val="00443E49"/>
    <w:rsid w:val="00444E81"/>
    <w:rsid w:val="004453B9"/>
    <w:rsid w:val="004461E1"/>
    <w:rsid w:val="0044646A"/>
    <w:rsid w:val="004466ED"/>
    <w:rsid w:val="00446898"/>
    <w:rsid w:val="00451372"/>
    <w:rsid w:val="004513E9"/>
    <w:rsid w:val="00451D14"/>
    <w:rsid w:val="00451DDB"/>
    <w:rsid w:val="004527FC"/>
    <w:rsid w:val="00453177"/>
    <w:rsid w:val="0045398A"/>
    <w:rsid w:val="00454225"/>
    <w:rsid w:val="004548E3"/>
    <w:rsid w:val="00455FB6"/>
    <w:rsid w:val="00456855"/>
    <w:rsid w:val="00456AB9"/>
    <w:rsid w:val="00456ABD"/>
    <w:rsid w:val="00457046"/>
    <w:rsid w:val="00457252"/>
    <w:rsid w:val="00457A35"/>
    <w:rsid w:val="004600A5"/>
    <w:rsid w:val="00461435"/>
    <w:rsid w:val="0046481C"/>
    <w:rsid w:val="004658A1"/>
    <w:rsid w:val="00465943"/>
    <w:rsid w:val="0046601C"/>
    <w:rsid w:val="0047000B"/>
    <w:rsid w:val="00470411"/>
    <w:rsid w:val="00470989"/>
    <w:rsid w:val="00472A6B"/>
    <w:rsid w:val="004730CD"/>
    <w:rsid w:val="00474734"/>
    <w:rsid w:val="00474BD6"/>
    <w:rsid w:val="004753EA"/>
    <w:rsid w:val="00477067"/>
    <w:rsid w:val="0047764D"/>
    <w:rsid w:val="00477B0A"/>
    <w:rsid w:val="00482362"/>
    <w:rsid w:val="00483AF6"/>
    <w:rsid w:val="004845BA"/>
    <w:rsid w:val="004851B1"/>
    <w:rsid w:val="00487C38"/>
    <w:rsid w:val="00487EA8"/>
    <w:rsid w:val="00491467"/>
    <w:rsid w:val="00491686"/>
    <w:rsid w:val="00492C3D"/>
    <w:rsid w:val="004935F5"/>
    <w:rsid w:val="00493D52"/>
    <w:rsid w:val="004945C0"/>
    <w:rsid w:val="00495508"/>
    <w:rsid w:val="00496347"/>
    <w:rsid w:val="00497042"/>
    <w:rsid w:val="0049757D"/>
    <w:rsid w:val="004A193D"/>
    <w:rsid w:val="004A25C7"/>
    <w:rsid w:val="004A29C6"/>
    <w:rsid w:val="004A2E72"/>
    <w:rsid w:val="004A339A"/>
    <w:rsid w:val="004A33C5"/>
    <w:rsid w:val="004A3408"/>
    <w:rsid w:val="004A3427"/>
    <w:rsid w:val="004A35EC"/>
    <w:rsid w:val="004A55CE"/>
    <w:rsid w:val="004A63AD"/>
    <w:rsid w:val="004A6CD4"/>
    <w:rsid w:val="004A763F"/>
    <w:rsid w:val="004B0C17"/>
    <w:rsid w:val="004B1146"/>
    <w:rsid w:val="004B5BDD"/>
    <w:rsid w:val="004B5C56"/>
    <w:rsid w:val="004B662A"/>
    <w:rsid w:val="004B79C2"/>
    <w:rsid w:val="004C024F"/>
    <w:rsid w:val="004C19B1"/>
    <w:rsid w:val="004C1A50"/>
    <w:rsid w:val="004C1B3D"/>
    <w:rsid w:val="004C3C1F"/>
    <w:rsid w:val="004C4220"/>
    <w:rsid w:val="004C423E"/>
    <w:rsid w:val="004C69DC"/>
    <w:rsid w:val="004D07AC"/>
    <w:rsid w:val="004D3047"/>
    <w:rsid w:val="004D3105"/>
    <w:rsid w:val="004D35D7"/>
    <w:rsid w:val="004D44E6"/>
    <w:rsid w:val="004D468C"/>
    <w:rsid w:val="004D4F09"/>
    <w:rsid w:val="004D5556"/>
    <w:rsid w:val="004D688A"/>
    <w:rsid w:val="004D7812"/>
    <w:rsid w:val="004D7DBC"/>
    <w:rsid w:val="004D7E27"/>
    <w:rsid w:val="004E15CA"/>
    <w:rsid w:val="004E180E"/>
    <w:rsid w:val="004E35EC"/>
    <w:rsid w:val="004E3AAC"/>
    <w:rsid w:val="004E3F53"/>
    <w:rsid w:val="004E443A"/>
    <w:rsid w:val="004E44BE"/>
    <w:rsid w:val="004E49CF"/>
    <w:rsid w:val="004E7026"/>
    <w:rsid w:val="004E7946"/>
    <w:rsid w:val="004F054E"/>
    <w:rsid w:val="004F16A1"/>
    <w:rsid w:val="004F4D33"/>
    <w:rsid w:val="004F5EEB"/>
    <w:rsid w:val="004F666F"/>
    <w:rsid w:val="004F69A4"/>
    <w:rsid w:val="004F6AAA"/>
    <w:rsid w:val="004F75A8"/>
    <w:rsid w:val="004F77AC"/>
    <w:rsid w:val="004F7EA8"/>
    <w:rsid w:val="0050140C"/>
    <w:rsid w:val="00501FF8"/>
    <w:rsid w:val="00502215"/>
    <w:rsid w:val="00502E02"/>
    <w:rsid w:val="00503002"/>
    <w:rsid w:val="00504332"/>
    <w:rsid w:val="00504E3A"/>
    <w:rsid w:val="00505328"/>
    <w:rsid w:val="005067D2"/>
    <w:rsid w:val="00507566"/>
    <w:rsid w:val="005101D0"/>
    <w:rsid w:val="005101F0"/>
    <w:rsid w:val="0051205B"/>
    <w:rsid w:val="00512076"/>
    <w:rsid w:val="00512C76"/>
    <w:rsid w:val="00512DE6"/>
    <w:rsid w:val="005135C9"/>
    <w:rsid w:val="00513791"/>
    <w:rsid w:val="00513EE1"/>
    <w:rsid w:val="00514286"/>
    <w:rsid w:val="0051455D"/>
    <w:rsid w:val="005145C1"/>
    <w:rsid w:val="005167B7"/>
    <w:rsid w:val="00520BD0"/>
    <w:rsid w:val="00520C44"/>
    <w:rsid w:val="00521558"/>
    <w:rsid w:val="00521C1B"/>
    <w:rsid w:val="00521FA8"/>
    <w:rsid w:val="00521FF6"/>
    <w:rsid w:val="00523056"/>
    <w:rsid w:val="005232C5"/>
    <w:rsid w:val="0052346E"/>
    <w:rsid w:val="005235A4"/>
    <w:rsid w:val="0052607A"/>
    <w:rsid w:val="0052684A"/>
    <w:rsid w:val="00526FB9"/>
    <w:rsid w:val="005277AA"/>
    <w:rsid w:val="005309B4"/>
    <w:rsid w:val="005312BB"/>
    <w:rsid w:val="00531DB4"/>
    <w:rsid w:val="00532778"/>
    <w:rsid w:val="00532B2C"/>
    <w:rsid w:val="0053361C"/>
    <w:rsid w:val="00533812"/>
    <w:rsid w:val="005340B2"/>
    <w:rsid w:val="00534B78"/>
    <w:rsid w:val="0053506B"/>
    <w:rsid w:val="00535AFE"/>
    <w:rsid w:val="00536684"/>
    <w:rsid w:val="00536B9E"/>
    <w:rsid w:val="00536FC0"/>
    <w:rsid w:val="00537646"/>
    <w:rsid w:val="00541677"/>
    <w:rsid w:val="00541D30"/>
    <w:rsid w:val="00542EB6"/>
    <w:rsid w:val="005432E2"/>
    <w:rsid w:val="00543984"/>
    <w:rsid w:val="005450F7"/>
    <w:rsid w:val="00545D29"/>
    <w:rsid w:val="0054671E"/>
    <w:rsid w:val="0054707A"/>
    <w:rsid w:val="005471EA"/>
    <w:rsid w:val="005474F2"/>
    <w:rsid w:val="00551A9F"/>
    <w:rsid w:val="00551FAE"/>
    <w:rsid w:val="005520FF"/>
    <w:rsid w:val="00552BFE"/>
    <w:rsid w:val="00552CD3"/>
    <w:rsid w:val="0055338C"/>
    <w:rsid w:val="00553EF5"/>
    <w:rsid w:val="00554537"/>
    <w:rsid w:val="00555250"/>
    <w:rsid w:val="005567CC"/>
    <w:rsid w:val="005577EC"/>
    <w:rsid w:val="005579A1"/>
    <w:rsid w:val="00557DD1"/>
    <w:rsid w:val="00560272"/>
    <w:rsid w:val="00562FE2"/>
    <w:rsid w:val="00563D15"/>
    <w:rsid w:val="00564533"/>
    <w:rsid w:val="00566FF8"/>
    <w:rsid w:val="0056771B"/>
    <w:rsid w:val="00567FD0"/>
    <w:rsid w:val="00571414"/>
    <w:rsid w:val="005719F3"/>
    <w:rsid w:val="00571C2F"/>
    <w:rsid w:val="00572072"/>
    <w:rsid w:val="00572649"/>
    <w:rsid w:val="005727E0"/>
    <w:rsid w:val="00572C44"/>
    <w:rsid w:val="00573C6F"/>
    <w:rsid w:val="005767CF"/>
    <w:rsid w:val="00576E0E"/>
    <w:rsid w:val="00577099"/>
    <w:rsid w:val="005774DA"/>
    <w:rsid w:val="00583887"/>
    <w:rsid w:val="00583E2C"/>
    <w:rsid w:val="005844A7"/>
    <w:rsid w:val="00584C25"/>
    <w:rsid w:val="005853A4"/>
    <w:rsid w:val="00585418"/>
    <w:rsid w:val="0058575C"/>
    <w:rsid w:val="005857E0"/>
    <w:rsid w:val="00585FD8"/>
    <w:rsid w:val="00586C75"/>
    <w:rsid w:val="0058700F"/>
    <w:rsid w:val="00590646"/>
    <w:rsid w:val="005906D6"/>
    <w:rsid w:val="00591922"/>
    <w:rsid w:val="00593229"/>
    <w:rsid w:val="00594791"/>
    <w:rsid w:val="005955B8"/>
    <w:rsid w:val="00595B50"/>
    <w:rsid w:val="0059630A"/>
    <w:rsid w:val="00596623"/>
    <w:rsid w:val="00596EB2"/>
    <w:rsid w:val="00597102"/>
    <w:rsid w:val="00597843"/>
    <w:rsid w:val="005979E9"/>
    <w:rsid w:val="00597A7A"/>
    <w:rsid w:val="005A0314"/>
    <w:rsid w:val="005A102D"/>
    <w:rsid w:val="005A23B9"/>
    <w:rsid w:val="005A2A02"/>
    <w:rsid w:val="005A422B"/>
    <w:rsid w:val="005A4EA4"/>
    <w:rsid w:val="005A64F7"/>
    <w:rsid w:val="005A7386"/>
    <w:rsid w:val="005A76B0"/>
    <w:rsid w:val="005A7EAB"/>
    <w:rsid w:val="005B05FC"/>
    <w:rsid w:val="005B0DAB"/>
    <w:rsid w:val="005B1B67"/>
    <w:rsid w:val="005B26C5"/>
    <w:rsid w:val="005B3FF4"/>
    <w:rsid w:val="005B432B"/>
    <w:rsid w:val="005B4A70"/>
    <w:rsid w:val="005B530E"/>
    <w:rsid w:val="005B5A68"/>
    <w:rsid w:val="005B6616"/>
    <w:rsid w:val="005B67AE"/>
    <w:rsid w:val="005B7C00"/>
    <w:rsid w:val="005B7E52"/>
    <w:rsid w:val="005B7EB7"/>
    <w:rsid w:val="005B7F47"/>
    <w:rsid w:val="005C020F"/>
    <w:rsid w:val="005C0E52"/>
    <w:rsid w:val="005C1C87"/>
    <w:rsid w:val="005C25DD"/>
    <w:rsid w:val="005C34B9"/>
    <w:rsid w:val="005C3A36"/>
    <w:rsid w:val="005C4729"/>
    <w:rsid w:val="005C5523"/>
    <w:rsid w:val="005C5EF0"/>
    <w:rsid w:val="005C6DB7"/>
    <w:rsid w:val="005C75FA"/>
    <w:rsid w:val="005D02B3"/>
    <w:rsid w:val="005D0B4F"/>
    <w:rsid w:val="005D19DC"/>
    <w:rsid w:val="005D2A4D"/>
    <w:rsid w:val="005D3740"/>
    <w:rsid w:val="005D3A36"/>
    <w:rsid w:val="005D3D54"/>
    <w:rsid w:val="005D46E1"/>
    <w:rsid w:val="005D4DE6"/>
    <w:rsid w:val="005D5C3C"/>
    <w:rsid w:val="005D5F44"/>
    <w:rsid w:val="005D6099"/>
    <w:rsid w:val="005D6F33"/>
    <w:rsid w:val="005D799D"/>
    <w:rsid w:val="005E1036"/>
    <w:rsid w:val="005E250B"/>
    <w:rsid w:val="005E30E2"/>
    <w:rsid w:val="005E3B8F"/>
    <w:rsid w:val="005E3FAF"/>
    <w:rsid w:val="005E4590"/>
    <w:rsid w:val="005E5615"/>
    <w:rsid w:val="005E60BB"/>
    <w:rsid w:val="005E7161"/>
    <w:rsid w:val="005F05EE"/>
    <w:rsid w:val="005F20C7"/>
    <w:rsid w:val="005F22D0"/>
    <w:rsid w:val="005F27D0"/>
    <w:rsid w:val="005F2CAA"/>
    <w:rsid w:val="005F3F1A"/>
    <w:rsid w:val="005F51B4"/>
    <w:rsid w:val="005F5253"/>
    <w:rsid w:val="005F55D0"/>
    <w:rsid w:val="005F5AC8"/>
    <w:rsid w:val="005F6215"/>
    <w:rsid w:val="005F6C9E"/>
    <w:rsid w:val="005F6CC1"/>
    <w:rsid w:val="005F6F6C"/>
    <w:rsid w:val="005F75FA"/>
    <w:rsid w:val="005F7B25"/>
    <w:rsid w:val="006003BB"/>
    <w:rsid w:val="006003FA"/>
    <w:rsid w:val="00600451"/>
    <w:rsid w:val="006016E9"/>
    <w:rsid w:val="006018C4"/>
    <w:rsid w:val="00602918"/>
    <w:rsid w:val="0060344C"/>
    <w:rsid w:val="006034EC"/>
    <w:rsid w:val="0060465A"/>
    <w:rsid w:val="006061EE"/>
    <w:rsid w:val="00606717"/>
    <w:rsid w:val="0060733C"/>
    <w:rsid w:val="00610BBA"/>
    <w:rsid w:val="00610F42"/>
    <w:rsid w:val="00612183"/>
    <w:rsid w:val="006122BB"/>
    <w:rsid w:val="0061389F"/>
    <w:rsid w:val="00613CE4"/>
    <w:rsid w:val="00617BF8"/>
    <w:rsid w:val="00617CB5"/>
    <w:rsid w:val="00617E39"/>
    <w:rsid w:val="006212FF"/>
    <w:rsid w:val="006216C7"/>
    <w:rsid w:val="00622315"/>
    <w:rsid w:val="006223E8"/>
    <w:rsid w:val="00622DA0"/>
    <w:rsid w:val="006239D2"/>
    <w:rsid w:val="0062434B"/>
    <w:rsid w:val="0062447E"/>
    <w:rsid w:val="00625664"/>
    <w:rsid w:val="006257D2"/>
    <w:rsid w:val="00626086"/>
    <w:rsid w:val="006261B7"/>
    <w:rsid w:val="006264D7"/>
    <w:rsid w:val="00626FFC"/>
    <w:rsid w:val="00627091"/>
    <w:rsid w:val="00627BB3"/>
    <w:rsid w:val="006306BD"/>
    <w:rsid w:val="0063192E"/>
    <w:rsid w:val="00633C39"/>
    <w:rsid w:val="0063463C"/>
    <w:rsid w:val="00634C16"/>
    <w:rsid w:val="00634CF6"/>
    <w:rsid w:val="00635154"/>
    <w:rsid w:val="006361F8"/>
    <w:rsid w:val="006365E5"/>
    <w:rsid w:val="00636968"/>
    <w:rsid w:val="00636BB2"/>
    <w:rsid w:val="00637470"/>
    <w:rsid w:val="006374F5"/>
    <w:rsid w:val="00640D1D"/>
    <w:rsid w:val="00642E63"/>
    <w:rsid w:val="00643083"/>
    <w:rsid w:val="00643B12"/>
    <w:rsid w:val="0064538B"/>
    <w:rsid w:val="00645823"/>
    <w:rsid w:val="00645EF4"/>
    <w:rsid w:val="0064724D"/>
    <w:rsid w:val="00647897"/>
    <w:rsid w:val="0065028A"/>
    <w:rsid w:val="00650D71"/>
    <w:rsid w:val="00652459"/>
    <w:rsid w:val="0065246B"/>
    <w:rsid w:val="006526B4"/>
    <w:rsid w:val="0065314B"/>
    <w:rsid w:val="0065347C"/>
    <w:rsid w:val="00653D5E"/>
    <w:rsid w:val="00656181"/>
    <w:rsid w:val="0065790A"/>
    <w:rsid w:val="00660207"/>
    <w:rsid w:val="0066034E"/>
    <w:rsid w:val="00660A09"/>
    <w:rsid w:val="006613BF"/>
    <w:rsid w:val="00661A0B"/>
    <w:rsid w:val="00662379"/>
    <w:rsid w:val="006625F1"/>
    <w:rsid w:val="006626E8"/>
    <w:rsid w:val="00662D47"/>
    <w:rsid w:val="00663202"/>
    <w:rsid w:val="006638E5"/>
    <w:rsid w:val="0066420F"/>
    <w:rsid w:val="0066522B"/>
    <w:rsid w:val="006653E7"/>
    <w:rsid w:val="00665EA4"/>
    <w:rsid w:val="00666A09"/>
    <w:rsid w:val="00670985"/>
    <w:rsid w:val="00670FB1"/>
    <w:rsid w:val="00672FAE"/>
    <w:rsid w:val="0067304C"/>
    <w:rsid w:val="006731F3"/>
    <w:rsid w:val="0067332C"/>
    <w:rsid w:val="006733E5"/>
    <w:rsid w:val="00673758"/>
    <w:rsid w:val="00674C6E"/>
    <w:rsid w:val="00675241"/>
    <w:rsid w:val="006756B6"/>
    <w:rsid w:val="006761CE"/>
    <w:rsid w:val="00676B76"/>
    <w:rsid w:val="006771BD"/>
    <w:rsid w:val="00677579"/>
    <w:rsid w:val="00680805"/>
    <w:rsid w:val="00680D84"/>
    <w:rsid w:val="00681F1D"/>
    <w:rsid w:val="00685F3B"/>
    <w:rsid w:val="006867FE"/>
    <w:rsid w:val="00686DEF"/>
    <w:rsid w:val="00687D03"/>
    <w:rsid w:val="0069003B"/>
    <w:rsid w:val="006939FB"/>
    <w:rsid w:val="00694C0D"/>
    <w:rsid w:val="00695242"/>
    <w:rsid w:val="00696035"/>
    <w:rsid w:val="00696549"/>
    <w:rsid w:val="0069692F"/>
    <w:rsid w:val="00696D40"/>
    <w:rsid w:val="00696E22"/>
    <w:rsid w:val="0069719C"/>
    <w:rsid w:val="00697724"/>
    <w:rsid w:val="00697D3A"/>
    <w:rsid w:val="006A0193"/>
    <w:rsid w:val="006A0516"/>
    <w:rsid w:val="006A09E2"/>
    <w:rsid w:val="006A297A"/>
    <w:rsid w:val="006A4F65"/>
    <w:rsid w:val="006A5034"/>
    <w:rsid w:val="006A506E"/>
    <w:rsid w:val="006A6139"/>
    <w:rsid w:val="006B18DF"/>
    <w:rsid w:val="006B3051"/>
    <w:rsid w:val="006B429A"/>
    <w:rsid w:val="006B526A"/>
    <w:rsid w:val="006B721F"/>
    <w:rsid w:val="006B7A97"/>
    <w:rsid w:val="006C0ED1"/>
    <w:rsid w:val="006C119A"/>
    <w:rsid w:val="006C1BA2"/>
    <w:rsid w:val="006C2D6E"/>
    <w:rsid w:val="006C2E01"/>
    <w:rsid w:val="006C3040"/>
    <w:rsid w:val="006C4081"/>
    <w:rsid w:val="006C51AB"/>
    <w:rsid w:val="006C69B4"/>
    <w:rsid w:val="006C6DEC"/>
    <w:rsid w:val="006C7114"/>
    <w:rsid w:val="006C7366"/>
    <w:rsid w:val="006C769A"/>
    <w:rsid w:val="006C7F22"/>
    <w:rsid w:val="006D0625"/>
    <w:rsid w:val="006D0E7E"/>
    <w:rsid w:val="006D1AB5"/>
    <w:rsid w:val="006D1C10"/>
    <w:rsid w:val="006D3EC2"/>
    <w:rsid w:val="006D41C9"/>
    <w:rsid w:val="006D48EB"/>
    <w:rsid w:val="006D4D8B"/>
    <w:rsid w:val="006D6571"/>
    <w:rsid w:val="006D7AA7"/>
    <w:rsid w:val="006E0134"/>
    <w:rsid w:val="006E0DFA"/>
    <w:rsid w:val="006E1C93"/>
    <w:rsid w:val="006E1D94"/>
    <w:rsid w:val="006E20B4"/>
    <w:rsid w:val="006E23C2"/>
    <w:rsid w:val="006E2473"/>
    <w:rsid w:val="006E3669"/>
    <w:rsid w:val="006E3C08"/>
    <w:rsid w:val="006E46D1"/>
    <w:rsid w:val="006E4C23"/>
    <w:rsid w:val="006E4DA5"/>
    <w:rsid w:val="006E4E37"/>
    <w:rsid w:val="006E5545"/>
    <w:rsid w:val="006E562D"/>
    <w:rsid w:val="006F1882"/>
    <w:rsid w:val="006F4200"/>
    <w:rsid w:val="006F4BE4"/>
    <w:rsid w:val="006F5954"/>
    <w:rsid w:val="006F5957"/>
    <w:rsid w:val="006F6C91"/>
    <w:rsid w:val="00700127"/>
    <w:rsid w:val="007003DE"/>
    <w:rsid w:val="00702498"/>
    <w:rsid w:val="00702A38"/>
    <w:rsid w:val="007047D4"/>
    <w:rsid w:val="00704857"/>
    <w:rsid w:val="00704DB1"/>
    <w:rsid w:val="00704DED"/>
    <w:rsid w:val="0070665D"/>
    <w:rsid w:val="007075E5"/>
    <w:rsid w:val="00707AF4"/>
    <w:rsid w:val="00710338"/>
    <w:rsid w:val="007104E1"/>
    <w:rsid w:val="00711632"/>
    <w:rsid w:val="007122C6"/>
    <w:rsid w:val="007132F7"/>
    <w:rsid w:val="00714040"/>
    <w:rsid w:val="00714D00"/>
    <w:rsid w:val="0071596C"/>
    <w:rsid w:val="00720330"/>
    <w:rsid w:val="0072072D"/>
    <w:rsid w:val="00721233"/>
    <w:rsid w:val="0072126B"/>
    <w:rsid w:val="00721428"/>
    <w:rsid w:val="00721560"/>
    <w:rsid w:val="0072159D"/>
    <w:rsid w:val="007224ED"/>
    <w:rsid w:val="00723CCF"/>
    <w:rsid w:val="007255B1"/>
    <w:rsid w:val="007261F1"/>
    <w:rsid w:val="007267BA"/>
    <w:rsid w:val="00726FB9"/>
    <w:rsid w:val="007274AB"/>
    <w:rsid w:val="00727D8A"/>
    <w:rsid w:val="00731A35"/>
    <w:rsid w:val="007325C3"/>
    <w:rsid w:val="0073287D"/>
    <w:rsid w:val="00732A99"/>
    <w:rsid w:val="00732BBD"/>
    <w:rsid w:val="00733274"/>
    <w:rsid w:val="00734A72"/>
    <w:rsid w:val="00734C56"/>
    <w:rsid w:val="00734F91"/>
    <w:rsid w:val="007354DB"/>
    <w:rsid w:val="007355FD"/>
    <w:rsid w:val="007365F1"/>
    <w:rsid w:val="00737E26"/>
    <w:rsid w:val="00740E34"/>
    <w:rsid w:val="00740FDC"/>
    <w:rsid w:val="00741C98"/>
    <w:rsid w:val="00743F42"/>
    <w:rsid w:val="007444CB"/>
    <w:rsid w:val="0074472E"/>
    <w:rsid w:val="00744C5B"/>
    <w:rsid w:val="0074599C"/>
    <w:rsid w:val="00746702"/>
    <w:rsid w:val="00746D26"/>
    <w:rsid w:val="00747A6F"/>
    <w:rsid w:val="0075030B"/>
    <w:rsid w:val="0075085C"/>
    <w:rsid w:val="0075200D"/>
    <w:rsid w:val="00753417"/>
    <w:rsid w:val="00753B59"/>
    <w:rsid w:val="00754302"/>
    <w:rsid w:val="007555B4"/>
    <w:rsid w:val="007556A3"/>
    <w:rsid w:val="00755C10"/>
    <w:rsid w:val="00755EDC"/>
    <w:rsid w:val="0075681F"/>
    <w:rsid w:val="007602DE"/>
    <w:rsid w:val="0076057B"/>
    <w:rsid w:val="00760AE5"/>
    <w:rsid w:val="0076214C"/>
    <w:rsid w:val="00762450"/>
    <w:rsid w:val="0076277F"/>
    <w:rsid w:val="00762FD9"/>
    <w:rsid w:val="00764DD1"/>
    <w:rsid w:val="00765390"/>
    <w:rsid w:val="0076539C"/>
    <w:rsid w:val="0076602C"/>
    <w:rsid w:val="007674A5"/>
    <w:rsid w:val="00770364"/>
    <w:rsid w:val="00771333"/>
    <w:rsid w:val="0077177C"/>
    <w:rsid w:val="007723D5"/>
    <w:rsid w:val="00773806"/>
    <w:rsid w:val="007769B3"/>
    <w:rsid w:val="007776CA"/>
    <w:rsid w:val="00780177"/>
    <w:rsid w:val="0078038B"/>
    <w:rsid w:val="00780B79"/>
    <w:rsid w:val="00781AAB"/>
    <w:rsid w:val="00781C39"/>
    <w:rsid w:val="0078203B"/>
    <w:rsid w:val="007828CC"/>
    <w:rsid w:val="00782FEF"/>
    <w:rsid w:val="00783049"/>
    <w:rsid w:val="00783A8A"/>
    <w:rsid w:val="0078417B"/>
    <w:rsid w:val="007861CE"/>
    <w:rsid w:val="00786222"/>
    <w:rsid w:val="007862D9"/>
    <w:rsid w:val="00786753"/>
    <w:rsid w:val="00787045"/>
    <w:rsid w:val="0079078D"/>
    <w:rsid w:val="00790AFD"/>
    <w:rsid w:val="00790F1A"/>
    <w:rsid w:val="00791516"/>
    <w:rsid w:val="007918EB"/>
    <w:rsid w:val="00792C96"/>
    <w:rsid w:val="00792D5E"/>
    <w:rsid w:val="0079454D"/>
    <w:rsid w:val="00794ABF"/>
    <w:rsid w:val="00796572"/>
    <w:rsid w:val="007972D9"/>
    <w:rsid w:val="00797AFA"/>
    <w:rsid w:val="00797F4B"/>
    <w:rsid w:val="007A0048"/>
    <w:rsid w:val="007A1211"/>
    <w:rsid w:val="007A126B"/>
    <w:rsid w:val="007A166C"/>
    <w:rsid w:val="007A188C"/>
    <w:rsid w:val="007A1F35"/>
    <w:rsid w:val="007A29E6"/>
    <w:rsid w:val="007A2DF8"/>
    <w:rsid w:val="007A2FD5"/>
    <w:rsid w:val="007A48D7"/>
    <w:rsid w:val="007A68F9"/>
    <w:rsid w:val="007A7604"/>
    <w:rsid w:val="007A7CFB"/>
    <w:rsid w:val="007B125D"/>
    <w:rsid w:val="007B158D"/>
    <w:rsid w:val="007B2033"/>
    <w:rsid w:val="007B2975"/>
    <w:rsid w:val="007B31F7"/>
    <w:rsid w:val="007B3253"/>
    <w:rsid w:val="007B33D2"/>
    <w:rsid w:val="007B3A1C"/>
    <w:rsid w:val="007B4DC3"/>
    <w:rsid w:val="007B6AE9"/>
    <w:rsid w:val="007B6DE8"/>
    <w:rsid w:val="007C0C43"/>
    <w:rsid w:val="007C17C6"/>
    <w:rsid w:val="007C3D13"/>
    <w:rsid w:val="007C5EFC"/>
    <w:rsid w:val="007C776F"/>
    <w:rsid w:val="007C779D"/>
    <w:rsid w:val="007D04E8"/>
    <w:rsid w:val="007D0FC4"/>
    <w:rsid w:val="007D119B"/>
    <w:rsid w:val="007D128A"/>
    <w:rsid w:val="007D17C7"/>
    <w:rsid w:val="007D196E"/>
    <w:rsid w:val="007D2C20"/>
    <w:rsid w:val="007D2C40"/>
    <w:rsid w:val="007D41A5"/>
    <w:rsid w:val="007D51DD"/>
    <w:rsid w:val="007D62CF"/>
    <w:rsid w:val="007D6377"/>
    <w:rsid w:val="007D7120"/>
    <w:rsid w:val="007D72DD"/>
    <w:rsid w:val="007D799A"/>
    <w:rsid w:val="007E130A"/>
    <w:rsid w:val="007E218A"/>
    <w:rsid w:val="007E59D4"/>
    <w:rsid w:val="007E6EAB"/>
    <w:rsid w:val="007E7296"/>
    <w:rsid w:val="007F12CD"/>
    <w:rsid w:val="007F1C24"/>
    <w:rsid w:val="007F2282"/>
    <w:rsid w:val="007F3333"/>
    <w:rsid w:val="007F3706"/>
    <w:rsid w:val="007F3C74"/>
    <w:rsid w:val="007F49DD"/>
    <w:rsid w:val="007F4A8B"/>
    <w:rsid w:val="007F707D"/>
    <w:rsid w:val="007F757C"/>
    <w:rsid w:val="007F75BA"/>
    <w:rsid w:val="007F7D48"/>
    <w:rsid w:val="008009B7"/>
    <w:rsid w:val="00801661"/>
    <w:rsid w:val="0080173B"/>
    <w:rsid w:val="00803D5B"/>
    <w:rsid w:val="008042BC"/>
    <w:rsid w:val="00805DB5"/>
    <w:rsid w:val="008062BD"/>
    <w:rsid w:val="00807935"/>
    <w:rsid w:val="00807F93"/>
    <w:rsid w:val="008108E2"/>
    <w:rsid w:val="00810E0F"/>
    <w:rsid w:val="00811089"/>
    <w:rsid w:val="00812DA6"/>
    <w:rsid w:val="00814674"/>
    <w:rsid w:val="00814678"/>
    <w:rsid w:val="0081505A"/>
    <w:rsid w:val="008159B4"/>
    <w:rsid w:val="00815B82"/>
    <w:rsid w:val="00817841"/>
    <w:rsid w:val="008202DE"/>
    <w:rsid w:val="0082153C"/>
    <w:rsid w:val="00821CA7"/>
    <w:rsid w:val="00821D23"/>
    <w:rsid w:val="008233B0"/>
    <w:rsid w:val="00824D8F"/>
    <w:rsid w:val="00824F31"/>
    <w:rsid w:val="00826B63"/>
    <w:rsid w:val="00826E1D"/>
    <w:rsid w:val="00826EDE"/>
    <w:rsid w:val="00826F90"/>
    <w:rsid w:val="00827095"/>
    <w:rsid w:val="008275CA"/>
    <w:rsid w:val="008300BD"/>
    <w:rsid w:val="00831355"/>
    <w:rsid w:val="008326ED"/>
    <w:rsid w:val="00832A0B"/>
    <w:rsid w:val="00832E3A"/>
    <w:rsid w:val="0083477D"/>
    <w:rsid w:val="008400FE"/>
    <w:rsid w:val="008403BC"/>
    <w:rsid w:val="00841358"/>
    <w:rsid w:val="0084161D"/>
    <w:rsid w:val="00842C36"/>
    <w:rsid w:val="008435BC"/>
    <w:rsid w:val="00844133"/>
    <w:rsid w:val="00847462"/>
    <w:rsid w:val="008506A3"/>
    <w:rsid w:val="00850FCD"/>
    <w:rsid w:val="0085251A"/>
    <w:rsid w:val="00852726"/>
    <w:rsid w:val="008529C4"/>
    <w:rsid w:val="00852AD5"/>
    <w:rsid w:val="00852BEA"/>
    <w:rsid w:val="00852D3F"/>
    <w:rsid w:val="00853144"/>
    <w:rsid w:val="00854F0F"/>
    <w:rsid w:val="00855211"/>
    <w:rsid w:val="00860035"/>
    <w:rsid w:val="00860CBA"/>
    <w:rsid w:val="00861FE8"/>
    <w:rsid w:val="008626E3"/>
    <w:rsid w:val="008632BE"/>
    <w:rsid w:val="00863C21"/>
    <w:rsid w:val="00863EA8"/>
    <w:rsid w:val="00863FF2"/>
    <w:rsid w:val="00864017"/>
    <w:rsid w:val="00864368"/>
    <w:rsid w:val="00865BD0"/>
    <w:rsid w:val="008660BF"/>
    <w:rsid w:val="00866A0C"/>
    <w:rsid w:val="0086763B"/>
    <w:rsid w:val="00867695"/>
    <w:rsid w:val="00867DB1"/>
    <w:rsid w:val="0087228F"/>
    <w:rsid w:val="00874F52"/>
    <w:rsid w:val="00875860"/>
    <w:rsid w:val="0087768F"/>
    <w:rsid w:val="00877F51"/>
    <w:rsid w:val="0088024B"/>
    <w:rsid w:val="008802C1"/>
    <w:rsid w:val="008814BE"/>
    <w:rsid w:val="00882E0F"/>
    <w:rsid w:val="0088545C"/>
    <w:rsid w:val="008855F7"/>
    <w:rsid w:val="00885B7C"/>
    <w:rsid w:val="00885F21"/>
    <w:rsid w:val="00886208"/>
    <w:rsid w:val="00886678"/>
    <w:rsid w:val="008874B0"/>
    <w:rsid w:val="008879CF"/>
    <w:rsid w:val="0089028E"/>
    <w:rsid w:val="00890374"/>
    <w:rsid w:val="008908B3"/>
    <w:rsid w:val="00890A34"/>
    <w:rsid w:val="008911FC"/>
    <w:rsid w:val="008913CF"/>
    <w:rsid w:val="00891708"/>
    <w:rsid w:val="00891AA7"/>
    <w:rsid w:val="00892213"/>
    <w:rsid w:val="008934C7"/>
    <w:rsid w:val="008935EF"/>
    <w:rsid w:val="008951D6"/>
    <w:rsid w:val="0089600B"/>
    <w:rsid w:val="008963F5"/>
    <w:rsid w:val="008976B5"/>
    <w:rsid w:val="008A02B1"/>
    <w:rsid w:val="008A1501"/>
    <w:rsid w:val="008A36DD"/>
    <w:rsid w:val="008A3F5A"/>
    <w:rsid w:val="008A50C8"/>
    <w:rsid w:val="008A5874"/>
    <w:rsid w:val="008A7414"/>
    <w:rsid w:val="008B0984"/>
    <w:rsid w:val="008B1F00"/>
    <w:rsid w:val="008B21DE"/>
    <w:rsid w:val="008B2239"/>
    <w:rsid w:val="008B333D"/>
    <w:rsid w:val="008B47ED"/>
    <w:rsid w:val="008B6323"/>
    <w:rsid w:val="008B6399"/>
    <w:rsid w:val="008B6EDB"/>
    <w:rsid w:val="008C110B"/>
    <w:rsid w:val="008C1F09"/>
    <w:rsid w:val="008C22CA"/>
    <w:rsid w:val="008C2733"/>
    <w:rsid w:val="008C2E7B"/>
    <w:rsid w:val="008C2F0B"/>
    <w:rsid w:val="008C3389"/>
    <w:rsid w:val="008C35F5"/>
    <w:rsid w:val="008C462C"/>
    <w:rsid w:val="008C4831"/>
    <w:rsid w:val="008C6718"/>
    <w:rsid w:val="008D1519"/>
    <w:rsid w:val="008D3C76"/>
    <w:rsid w:val="008D40FE"/>
    <w:rsid w:val="008D429D"/>
    <w:rsid w:val="008D44A6"/>
    <w:rsid w:val="008D5502"/>
    <w:rsid w:val="008D5B86"/>
    <w:rsid w:val="008D6AE9"/>
    <w:rsid w:val="008D6C1D"/>
    <w:rsid w:val="008D6EC7"/>
    <w:rsid w:val="008D792D"/>
    <w:rsid w:val="008E0015"/>
    <w:rsid w:val="008E2CC5"/>
    <w:rsid w:val="008E2E66"/>
    <w:rsid w:val="008E31D4"/>
    <w:rsid w:val="008E3343"/>
    <w:rsid w:val="008E3C9E"/>
    <w:rsid w:val="008E41E4"/>
    <w:rsid w:val="008E440F"/>
    <w:rsid w:val="008E459D"/>
    <w:rsid w:val="008E7754"/>
    <w:rsid w:val="008E7E10"/>
    <w:rsid w:val="008F019A"/>
    <w:rsid w:val="008F2266"/>
    <w:rsid w:val="008F2B6F"/>
    <w:rsid w:val="008F2B87"/>
    <w:rsid w:val="008F2D70"/>
    <w:rsid w:val="008F3F27"/>
    <w:rsid w:val="008F6541"/>
    <w:rsid w:val="008F669A"/>
    <w:rsid w:val="008F66AD"/>
    <w:rsid w:val="008F6AFA"/>
    <w:rsid w:val="008F778B"/>
    <w:rsid w:val="008F7C92"/>
    <w:rsid w:val="008F7D1A"/>
    <w:rsid w:val="00902097"/>
    <w:rsid w:val="00902279"/>
    <w:rsid w:val="00903445"/>
    <w:rsid w:val="009035A2"/>
    <w:rsid w:val="00903CAD"/>
    <w:rsid w:val="00905489"/>
    <w:rsid w:val="009063E7"/>
    <w:rsid w:val="00906A2C"/>
    <w:rsid w:val="00907B36"/>
    <w:rsid w:val="00911D00"/>
    <w:rsid w:val="00911E6D"/>
    <w:rsid w:val="009148B5"/>
    <w:rsid w:val="00914DCE"/>
    <w:rsid w:val="00914E44"/>
    <w:rsid w:val="009169B7"/>
    <w:rsid w:val="009172A2"/>
    <w:rsid w:val="00917F98"/>
    <w:rsid w:val="009232BB"/>
    <w:rsid w:val="00923DFD"/>
    <w:rsid w:val="00924041"/>
    <w:rsid w:val="00924527"/>
    <w:rsid w:val="00924CD1"/>
    <w:rsid w:val="00924DC6"/>
    <w:rsid w:val="0092562D"/>
    <w:rsid w:val="00925D50"/>
    <w:rsid w:val="00925D6B"/>
    <w:rsid w:val="00926352"/>
    <w:rsid w:val="00926BC7"/>
    <w:rsid w:val="00927375"/>
    <w:rsid w:val="009301C6"/>
    <w:rsid w:val="00931291"/>
    <w:rsid w:val="00931961"/>
    <w:rsid w:val="00931AE8"/>
    <w:rsid w:val="00933119"/>
    <w:rsid w:val="009331D5"/>
    <w:rsid w:val="00933D0C"/>
    <w:rsid w:val="00934086"/>
    <w:rsid w:val="009356E6"/>
    <w:rsid w:val="00940860"/>
    <w:rsid w:val="0094096B"/>
    <w:rsid w:val="00942355"/>
    <w:rsid w:val="00942A32"/>
    <w:rsid w:val="00942E66"/>
    <w:rsid w:val="009436DD"/>
    <w:rsid w:val="00944743"/>
    <w:rsid w:val="00944E03"/>
    <w:rsid w:val="009455C7"/>
    <w:rsid w:val="00945A5A"/>
    <w:rsid w:val="00945D37"/>
    <w:rsid w:val="0094601A"/>
    <w:rsid w:val="009476E6"/>
    <w:rsid w:val="00947914"/>
    <w:rsid w:val="0095401B"/>
    <w:rsid w:val="009546FA"/>
    <w:rsid w:val="00954CC7"/>
    <w:rsid w:val="009550FB"/>
    <w:rsid w:val="009601CF"/>
    <w:rsid w:val="00960C5A"/>
    <w:rsid w:val="00960E78"/>
    <w:rsid w:val="00960EB6"/>
    <w:rsid w:val="00960F09"/>
    <w:rsid w:val="00961025"/>
    <w:rsid w:val="00961143"/>
    <w:rsid w:val="00961DC5"/>
    <w:rsid w:val="009621A3"/>
    <w:rsid w:val="00962CC9"/>
    <w:rsid w:val="00963606"/>
    <w:rsid w:val="00963E8A"/>
    <w:rsid w:val="0096523F"/>
    <w:rsid w:val="0096577B"/>
    <w:rsid w:val="009664EC"/>
    <w:rsid w:val="00967069"/>
    <w:rsid w:val="0096732F"/>
    <w:rsid w:val="0096772B"/>
    <w:rsid w:val="009707D3"/>
    <w:rsid w:val="00971956"/>
    <w:rsid w:val="00971AB6"/>
    <w:rsid w:val="00971C84"/>
    <w:rsid w:val="009722EC"/>
    <w:rsid w:val="009745AA"/>
    <w:rsid w:val="009746FD"/>
    <w:rsid w:val="0097581E"/>
    <w:rsid w:val="00977B42"/>
    <w:rsid w:val="009805B6"/>
    <w:rsid w:val="0098082A"/>
    <w:rsid w:val="009812FB"/>
    <w:rsid w:val="00982CA1"/>
    <w:rsid w:val="00983BD8"/>
    <w:rsid w:val="0098486E"/>
    <w:rsid w:val="009851CF"/>
    <w:rsid w:val="0098529B"/>
    <w:rsid w:val="00987241"/>
    <w:rsid w:val="00987B72"/>
    <w:rsid w:val="00987E56"/>
    <w:rsid w:val="00990492"/>
    <w:rsid w:val="00990ACE"/>
    <w:rsid w:val="00991C50"/>
    <w:rsid w:val="00994F6F"/>
    <w:rsid w:val="009953DA"/>
    <w:rsid w:val="00995425"/>
    <w:rsid w:val="009A01A1"/>
    <w:rsid w:val="009A05B4"/>
    <w:rsid w:val="009A1026"/>
    <w:rsid w:val="009A2194"/>
    <w:rsid w:val="009A26DA"/>
    <w:rsid w:val="009A3D54"/>
    <w:rsid w:val="009A5858"/>
    <w:rsid w:val="009A5B9F"/>
    <w:rsid w:val="009A7012"/>
    <w:rsid w:val="009A793D"/>
    <w:rsid w:val="009B07D5"/>
    <w:rsid w:val="009B0E57"/>
    <w:rsid w:val="009B1A3C"/>
    <w:rsid w:val="009B1D19"/>
    <w:rsid w:val="009B1DD2"/>
    <w:rsid w:val="009B2B19"/>
    <w:rsid w:val="009B53B5"/>
    <w:rsid w:val="009B5467"/>
    <w:rsid w:val="009B5A9A"/>
    <w:rsid w:val="009B5BAB"/>
    <w:rsid w:val="009B65FF"/>
    <w:rsid w:val="009B7D88"/>
    <w:rsid w:val="009C1A76"/>
    <w:rsid w:val="009C2218"/>
    <w:rsid w:val="009C2CA9"/>
    <w:rsid w:val="009C2F65"/>
    <w:rsid w:val="009C317F"/>
    <w:rsid w:val="009C45FE"/>
    <w:rsid w:val="009C4B30"/>
    <w:rsid w:val="009C706E"/>
    <w:rsid w:val="009C76CB"/>
    <w:rsid w:val="009D0F9C"/>
    <w:rsid w:val="009D15FF"/>
    <w:rsid w:val="009D2C63"/>
    <w:rsid w:val="009D3830"/>
    <w:rsid w:val="009D3AEF"/>
    <w:rsid w:val="009D3E2F"/>
    <w:rsid w:val="009D3E90"/>
    <w:rsid w:val="009D454F"/>
    <w:rsid w:val="009D46D9"/>
    <w:rsid w:val="009D47FF"/>
    <w:rsid w:val="009E0A7A"/>
    <w:rsid w:val="009E1D49"/>
    <w:rsid w:val="009E24CB"/>
    <w:rsid w:val="009E2F66"/>
    <w:rsid w:val="009E4BB5"/>
    <w:rsid w:val="009E4E14"/>
    <w:rsid w:val="009E5DBE"/>
    <w:rsid w:val="009E6421"/>
    <w:rsid w:val="009E6815"/>
    <w:rsid w:val="009E7148"/>
    <w:rsid w:val="009E7514"/>
    <w:rsid w:val="009F19C3"/>
    <w:rsid w:val="009F27A1"/>
    <w:rsid w:val="009F4180"/>
    <w:rsid w:val="009F5B28"/>
    <w:rsid w:val="009F6C11"/>
    <w:rsid w:val="009F6DBF"/>
    <w:rsid w:val="009F734C"/>
    <w:rsid w:val="009F757B"/>
    <w:rsid w:val="009F7948"/>
    <w:rsid w:val="00A022AC"/>
    <w:rsid w:val="00A022BD"/>
    <w:rsid w:val="00A027F6"/>
    <w:rsid w:val="00A0423C"/>
    <w:rsid w:val="00A05515"/>
    <w:rsid w:val="00A067B2"/>
    <w:rsid w:val="00A07070"/>
    <w:rsid w:val="00A0716B"/>
    <w:rsid w:val="00A0776D"/>
    <w:rsid w:val="00A07E6E"/>
    <w:rsid w:val="00A110CB"/>
    <w:rsid w:val="00A113E7"/>
    <w:rsid w:val="00A126F5"/>
    <w:rsid w:val="00A12D4C"/>
    <w:rsid w:val="00A1304B"/>
    <w:rsid w:val="00A135C1"/>
    <w:rsid w:val="00A139BE"/>
    <w:rsid w:val="00A140FC"/>
    <w:rsid w:val="00A14D57"/>
    <w:rsid w:val="00A150D6"/>
    <w:rsid w:val="00A17DAF"/>
    <w:rsid w:val="00A17E5F"/>
    <w:rsid w:val="00A20D42"/>
    <w:rsid w:val="00A21941"/>
    <w:rsid w:val="00A21A92"/>
    <w:rsid w:val="00A23CD6"/>
    <w:rsid w:val="00A23EFF"/>
    <w:rsid w:val="00A24765"/>
    <w:rsid w:val="00A27232"/>
    <w:rsid w:val="00A27898"/>
    <w:rsid w:val="00A27FE7"/>
    <w:rsid w:val="00A32389"/>
    <w:rsid w:val="00A33149"/>
    <w:rsid w:val="00A34B44"/>
    <w:rsid w:val="00A35282"/>
    <w:rsid w:val="00A37923"/>
    <w:rsid w:val="00A379AB"/>
    <w:rsid w:val="00A4137B"/>
    <w:rsid w:val="00A413FC"/>
    <w:rsid w:val="00A43093"/>
    <w:rsid w:val="00A43AA6"/>
    <w:rsid w:val="00A43DC1"/>
    <w:rsid w:val="00A4595F"/>
    <w:rsid w:val="00A45B82"/>
    <w:rsid w:val="00A47EFB"/>
    <w:rsid w:val="00A50701"/>
    <w:rsid w:val="00A50B67"/>
    <w:rsid w:val="00A50FD4"/>
    <w:rsid w:val="00A522E7"/>
    <w:rsid w:val="00A52889"/>
    <w:rsid w:val="00A53296"/>
    <w:rsid w:val="00A53356"/>
    <w:rsid w:val="00A540FA"/>
    <w:rsid w:val="00A54900"/>
    <w:rsid w:val="00A553B3"/>
    <w:rsid w:val="00A55CFE"/>
    <w:rsid w:val="00A560B4"/>
    <w:rsid w:val="00A562F7"/>
    <w:rsid w:val="00A5672A"/>
    <w:rsid w:val="00A60679"/>
    <w:rsid w:val="00A61072"/>
    <w:rsid w:val="00A62591"/>
    <w:rsid w:val="00A6391F"/>
    <w:rsid w:val="00A6428C"/>
    <w:rsid w:val="00A67B12"/>
    <w:rsid w:val="00A67BF2"/>
    <w:rsid w:val="00A67DE3"/>
    <w:rsid w:val="00A700DC"/>
    <w:rsid w:val="00A70891"/>
    <w:rsid w:val="00A72211"/>
    <w:rsid w:val="00A73EE2"/>
    <w:rsid w:val="00A746A3"/>
    <w:rsid w:val="00A74967"/>
    <w:rsid w:val="00A74B20"/>
    <w:rsid w:val="00A74D3D"/>
    <w:rsid w:val="00A74F9C"/>
    <w:rsid w:val="00A754D8"/>
    <w:rsid w:val="00A76081"/>
    <w:rsid w:val="00A76ED9"/>
    <w:rsid w:val="00A7749D"/>
    <w:rsid w:val="00A8099F"/>
    <w:rsid w:val="00A80F72"/>
    <w:rsid w:val="00A81798"/>
    <w:rsid w:val="00A83A12"/>
    <w:rsid w:val="00A83DE6"/>
    <w:rsid w:val="00A83F83"/>
    <w:rsid w:val="00A84669"/>
    <w:rsid w:val="00A84DA9"/>
    <w:rsid w:val="00A850BE"/>
    <w:rsid w:val="00A8532B"/>
    <w:rsid w:val="00A856C5"/>
    <w:rsid w:val="00A863DD"/>
    <w:rsid w:val="00A90B18"/>
    <w:rsid w:val="00A90C31"/>
    <w:rsid w:val="00A91452"/>
    <w:rsid w:val="00A921F2"/>
    <w:rsid w:val="00A92AC8"/>
    <w:rsid w:val="00A92C53"/>
    <w:rsid w:val="00A932B4"/>
    <w:rsid w:val="00A945C3"/>
    <w:rsid w:val="00A947D5"/>
    <w:rsid w:val="00A94866"/>
    <w:rsid w:val="00A94A8D"/>
    <w:rsid w:val="00A96260"/>
    <w:rsid w:val="00A96EE8"/>
    <w:rsid w:val="00A9720E"/>
    <w:rsid w:val="00A97676"/>
    <w:rsid w:val="00A97CA6"/>
    <w:rsid w:val="00AA0BED"/>
    <w:rsid w:val="00AA1A7B"/>
    <w:rsid w:val="00AA27E6"/>
    <w:rsid w:val="00AA31BC"/>
    <w:rsid w:val="00AA3573"/>
    <w:rsid w:val="00AA37B0"/>
    <w:rsid w:val="00AA3F9B"/>
    <w:rsid w:val="00AA43C0"/>
    <w:rsid w:val="00AA586A"/>
    <w:rsid w:val="00AA66B6"/>
    <w:rsid w:val="00AA7670"/>
    <w:rsid w:val="00AA7EEC"/>
    <w:rsid w:val="00AB0141"/>
    <w:rsid w:val="00AB46F3"/>
    <w:rsid w:val="00AB6555"/>
    <w:rsid w:val="00AC0D28"/>
    <w:rsid w:val="00AC1327"/>
    <w:rsid w:val="00AC1A60"/>
    <w:rsid w:val="00AC21F5"/>
    <w:rsid w:val="00AC424A"/>
    <w:rsid w:val="00AC4702"/>
    <w:rsid w:val="00AC4D7F"/>
    <w:rsid w:val="00AC5213"/>
    <w:rsid w:val="00AC5810"/>
    <w:rsid w:val="00AC5C00"/>
    <w:rsid w:val="00AD20F5"/>
    <w:rsid w:val="00AD210E"/>
    <w:rsid w:val="00AD2370"/>
    <w:rsid w:val="00AD2744"/>
    <w:rsid w:val="00AD4FDE"/>
    <w:rsid w:val="00AD694B"/>
    <w:rsid w:val="00AE2548"/>
    <w:rsid w:val="00AE37B5"/>
    <w:rsid w:val="00AE3B00"/>
    <w:rsid w:val="00AE3BC8"/>
    <w:rsid w:val="00AE42D3"/>
    <w:rsid w:val="00AE4FD7"/>
    <w:rsid w:val="00AE5870"/>
    <w:rsid w:val="00AE627B"/>
    <w:rsid w:val="00AE6B42"/>
    <w:rsid w:val="00AE782E"/>
    <w:rsid w:val="00AE786D"/>
    <w:rsid w:val="00AE7BC9"/>
    <w:rsid w:val="00AF0CED"/>
    <w:rsid w:val="00AF2432"/>
    <w:rsid w:val="00AF31BD"/>
    <w:rsid w:val="00AF3C70"/>
    <w:rsid w:val="00AF470C"/>
    <w:rsid w:val="00AF6438"/>
    <w:rsid w:val="00AF79AE"/>
    <w:rsid w:val="00B00E4A"/>
    <w:rsid w:val="00B0131C"/>
    <w:rsid w:val="00B01F1C"/>
    <w:rsid w:val="00B02BC1"/>
    <w:rsid w:val="00B02D24"/>
    <w:rsid w:val="00B02EA7"/>
    <w:rsid w:val="00B031CB"/>
    <w:rsid w:val="00B04F77"/>
    <w:rsid w:val="00B058B5"/>
    <w:rsid w:val="00B06D2F"/>
    <w:rsid w:val="00B07171"/>
    <w:rsid w:val="00B07173"/>
    <w:rsid w:val="00B07739"/>
    <w:rsid w:val="00B07C8A"/>
    <w:rsid w:val="00B10013"/>
    <w:rsid w:val="00B10E1E"/>
    <w:rsid w:val="00B11E3E"/>
    <w:rsid w:val="00B11F0D"/>
    <w:rsid w:val="00B1217E"/>
    <w:rsid w:val="00B12333"/>
    <w:rsid w:val="00B13A91"/>
    <w:rsid w:val="00B1419C"/>
    <w:rsid w:val="00B15548"/>
    <w:rsid w:val="00B1687F"/>
    <w:rsid w:val="00B20276"/>
    <w:rsid w:val="00B20284"/>
    <w:rsid w:val="00B20963"/>
    <w:rsid w:val="00B21419"/>
    <w:rsid w:val="00B21658"/>
    <w:rsid w:val="00B21A18"/>
    <w:rsid w:val="00B220CF"/>
    <w:rsid w:val="00B24110"/>
    <w:rsid w:val="00B2434A"/>
    <w:rsid w:val="00B24813"/>
    <w:rsid w:val="00B24C1A"/>
    <w:rsid w:val="00B2508D"/>
    <w:rsid w:val="00B258C4"/>
    <w:rsid w:val="00B30AD4"/>
    <w:rsid w:val="00B30FF4"/>
    <w:rsid w:val="00B31AC2"/>
    <w:rsid w:val="00B31AF4"/>
    <w:rsid w:val="00B31EC3"/>
    <w:rsid w:val="00B3233A"/>
    <w:rsid w:val="00B3265D"/>
    <w:rsid w:val="00B32AE3"/>
    <w:rsid w:val="00B34E84"/>
    <w:rsid w:val="00B354FD"/>
    <w:rsid w:val="00B3578A"/>
    <w:rsid w:val="00B37252"/>
    <w:rsid w:val="00B400C5"/>
    <w:rsid w:val="00B41CCB"/>
    <w:rsid w:val="00B46B89"/>
    <w:rsid w:val="00B4765C"/>
    <w:rsid w:val="00B50697"/>
    <w:rsid w:val="00B51BFB"/>
    <w:rsid w:val="00B531F8"/>
    <w:rsid w:val="00B5485C"/>
    <w:rsid w:val="00B54B48"/>
    <w:rsid w:val="00B56E20"/>
    <w:rsid w:val="00B57069"/>
    <w:rsid w:val="00B61D63"/>
    <w:rsid w:val="00B63CA4"/>
    <w:rsid w:val="00B64445"/>
    <w:rsid w:val="00B644CE"/>
    <w:rsid w:val="00B64766"/>
    <w:rsid w:val="00B6478F"/>
    <w:rsid w:val="00B64E75"/>
    <w:rsid w:val="00B66126"/>
    <w:rsid w:val="00B705B5"/>
    <w:rsid w:val="00B70C75"/>
    <w:rsid w:val="00B717DC"/>
    <w:rsid w:val="00B720E3"/>
    <w:rsid w:val="00B727EA"/>
    <w:rsid w:val="00B72F9D"/>
    <w:rsid w:val="00B739A7"/>
    <w:rsid w:val="00B73E0B"/>
    <w:rsid w:val="00B762ED"/>
    <w:rsid w:val="00B77287"/>
    <w:rsid w:val="00B8047C"/>
    <w:rsid w:val="00B80C64"/>
    <w:rsid w:val="00B826D9"/>
    <w:rsid w:val="00B833F4"/>
    <w:rsid w:val="00B85EA8"/>
    <w:rsid w:val="00B85EF8"/>
    <w:rsid w:val="00B8668D"/>
    <w:rsid w:val="00B86D63"/>
    <w:rsid w:val="00B877E8"/>
    <w:rsid w:val="00B902DB"/>
    <w:rsid w:val="00B90445"/>
    <w:rsid w:val="00B90CE7"/>
    <w:rsid w:val="00B91622"/>
    <w:rsid w:val="00B916D2"/>
    <w:rsid w:val="00B951D3"/>
    <w:rsid w:val="00B95A0E"/>
    <w:rsid w:val="00B95ED6"/>
    <w:rsid w:val="00B96215"/>
    <w:rsid w:val="00B96AD3"/>
    <w:rsid w:val="00B97106"/>
    <w:rsid w:val="00B97F02"/>
    <w:rsid w:val="00BA22BB"/>
    <w:rsid w:val="00BA252C"/>
    <w:rsid w:val="00BA2D3F"/>
    <w:rsid w:val="00BA36F9"/>
    <w:rsid w:val="00BA45F4"/>
    <w:rsid w:val="00BA4DE2"/>
    <w:rsid w:val="00BA5B6A"/>
    <w:rsid w:val="00BB04E5"/>
    <w:rsid w:val="00BB146C"/>
    <w:rsid w:val="00BB27C8"/>
    <w:rsid w:val="00BB3868"/>
    <w:rsid w:val="00BB449E"/>
    <w:rsid w:val="00BB5076"/>
    <w:rsid w:val="00BB5138"/>
    <w:rsid w:val="00BB5419"/>
    <w:rsid w:val="00BB578C"/>
    <w:rsid w:val="00BB6398"/>
    <w:rsid w:val="00BB72E5"/>
    <w:rsid w:val="00BB77C6"/>
    <w:rsid w:val="00BC073F"/>
    <w:rsid w:val="00BC206C"/>
    <w:rsid w:val="00BC2C8E"/>
    <w:rsid w:val="00BC4070"/>
    <w:rsid w:val="00BC4506"/>
    <w:rsid w:val="00BC4F53"/>
    <w:rsid w:val="00BC62E6"/>
    <w:rsid w:val="00BC6916"/>
    <w:rsid w:val="00BC6B41"/>
    <w:rsid w:val="00BC784D"/>
    <w:rsid w:val="00BD049D"/>
    <w:rsid w:val="00BD04F0"/>
    <w:rsid w:val="00BD11D3"/>
    <w:rsid w:val="00BD1AD3"/>
    <w:rsid w:val="00BD2170"/>
    <w:rsid w:val="00BD25B3"/>
    <w:rsid w:val="00BD295A"/>
    <w:rsid w:val="00BD3BC3"/>
    <w:rsid w:val="00BD4228"/>
    <w:rsid w:val="00BD46C0"/>
    <w:rsid w:val="00BD5779"/>
    <w:rsid w:val="00BD6483"/>
    <w:rsid w:val="00BD7BDE"/>
    <w:rsid w:val="00BD7C91"/>
    <w:rsid w:val="00BE0C76"/>
    <w:rsid w:val="00BE1033"/>
    <w:rsid w:val="00BE217C"/>
    <w:rsid w:val="00BE25E1"/>
    <w:rsid w:val="00BE405F"/>
    <w:rsid w:val="00BE4129"/>
    <w:rsid w:val="00BE44E8"/>
    <w:rsid w:val="00BE5F2B"/>
    <w:rsid w:val="00BE66CD"/>
    <w:rsid w:val="00BE76E2"/>
    <w:rsid w:val="00BE7E94"/>
    <w:rsid w:val="00BF2121"/>
    <w:rsid w:val="00BF2B61"/>
    <w:rsid w:val="00BF3222"/>
    <w:rsid w:val="00BF4B23"/>
    <w:rsid w:val="00BF60AE"/>
    <w:rsid w:val="00BF6DA5"/>
    <w:rsid w:val="00BF6E09"/>
    <w:rsid w:val="00C0037E"/>
    <w:rsid w:val="00C03817"/>
    <w:rsid w:val="00C03ED8"/>
    <w:rsid w:val="00C07842"/>
    <w:rsid w:val="00C1212A"/>
    <w:rsid w:val="00C12356"/>
    <w:rsid w:val="00C1264A"/>
    <w:rsid w:val="00C1583D"/>
    <w:rsid w:val="00C15EC4"/>
    <w:rsid w:val="00C17027"/>
    <w:rsid w:val="00C1740C"/>
    <w:rsid w:val="00C17609"/>
    <w:rsid w:val="00C17F41"/>
    <w:rsid w:val="00C210D3"/>
    <w:rsid w:val="00C214AB"/>
    <w:rsid w:val="00C24074"/>
    <w:rsid w:val="00C25ADA"/>
    <w:rsid w:val="00C264AB"/>
    <w:rsid w:val="00C26995"/>
    <w:rsid w:val="00C26C5A"/>
    <w:rsid w:val="00C270BC"/>
    <w:rsid w:val="00C27678"/>
    <w:rsid w:val="00C30029"/>
    <w:rsid w:val="00C30504"/>
    <w:rsid w:val="00C31177"/>
    <w:rsid w:val="00C31346"/>
    <w:rsid w:val="00C325B0"/>
    <w:rsid w:val="00C32DDA"/>
    <w:rsid w:val="00C33896"/>
    <w:rsid w:val="00C33F33"/>
    <w:rsid w:val="00C34216"/>
    <w:rsid w:val="00C3460D"/>
    <w:rsid w:val="00C36950"/>
    <w:rsid w:val="00C40703"/>
    <w:rsid w:val="00C41EFC"/>
    <w:rsid w:val="00C42A90"/>
    <w:rsid w:val="00C4452D"/>
    <w:rsid w:val="00C46D89"/>
    <w:rsid w:val="00C47DC3"/>
    <w:rsid w:val="00C51AB1"/>
    <w:rsid w:val="00C52765"/>
    <w:rsid w:val="00C5400C"/>
    <w:rsid w:val="00C54167"/>
    <w:rsid w:val="00C541FB"/>
    <w:rsid w:val="00C54B89"/>
    <w:rsid w:val="00C54EB8"/>
    <w:rsid w:val="00C55465"/>
    <w:rsid w:val="00C560B8"/>
    <w:rsid w:val="00C576C5"/>
    <w:rsid w:val="00C57E71"/>
    <w:rsid w:val="00C60816"/>
    <w:rsid w:val="00C6113C"/>
    <w:rsid w:val="00C61B31"/>
    <w:rsid w:val="00C61F0D"/>
    <w:rsid w:val="00C6260C"/>
    <w:rsid w:val="00C63424"/>
    <w:rsid w:val="00C65D18"/>
    <w:rsid w:val="00C67595"/>
    <w:rsid w:val="00C67DBB"/>
    <w:rsid w:val="00C70298"/>
    <w:rsid w:val="00C7079A"/>
    <w:rsid w:val="00C720E4"/>
    <w:rsid w:val="00C7354A"/>
    <w:rsid w:val="00C745AA"/>
    <w:rsid w:val="00C75F4F"/>
    <w:rsid w:val="00C76EDA"/>
    <w:rsid w:val="00C77265"/>
    <w:rsid w:val="00C7745B"/>
    <w:rsid w:val="00C77E32"/>
    <w:rsid w:val="00C803CE"/>
    <w:rsid w:val="00C8084B"/>
    <w:rsid w:val="00C819F9"/>
    <w:rsid w:val="00C82101"/>
    <w:rsid w:val="00C82BC8"/>
    <w:rsid w:val="00C84015"/>
    <w:rsid w:val="00C85E77"/>
    <w:rsid w:val="00C86B5C"/>
    <w:rsid w:val="00C86C1B"/>
    <w:rsid w:val="00C86E6D"/>
    <w:rsid w:val="00C874F2"/>
    <w:rsid w:val="00C876B1"/>
    <w:rsid w:val="00C8779E"/>
    <w:rsid w:val="00C911D4"/>
    <w:rsid w:val="00C91287"/>
    <w:rsid w:val="00C93521"/>
    <w:rsid w:val="00C93888"/>
    <w:rsid w:val="00C93BB4"/>
    <w:rsid w:val="00C94704"/>
    <w:rsid w:val="00C94D3F"/>
    <w:rsid w:val="00C957D5"/>
    <w:rsid w:val="00C96459"/>
    <w:rsid w:val="00C96E38"/>
    <w:rsid w:val="00C9731B"/>
    <w:rsid w:val="00C97C92"/>
    <w:rsid w:val="00CA0401"/>
    <w:rsid w:val="00CA0A89"/>
    <w:rsid w:val="00CA11F6"/>
    <w:rsid w:val="00CA1229"/>
    <w:rsid w:val="00CA1375"/>
    <w:rsid w:val="00CA179C"/>
    <w:rsid w:val="00CA1938"/>
    <w:rsid w:val="00CA1CB7"/>
    <w:rsid w:val="00CA1CD2"/>
    <w:rsid w:val="00CA37A8"/>
    <w:rsid w:val="00CA4EEB"/>
    <w:rsid w:val="00CA6A3F"/>
    <w:rsid w:val="00CA6B32"/>
    <w:rsid w:val="00CA7C4D"/>
    <w:rsid w:val="00CB0E63"/>
    <w:rsid w:val="00CB1417"/>
    <w:rsid w:val="00CB2777"/>
    <w:rsid w:val="00CB2E1F"/>
    <w:rsid w:val="00CB478B"/>
    <w:rsid w:val="00CB5158"/>
    <w:rsid w:val="00CB5944"/>
    <w:rsid w:val="00CB6D46"/>
    <w:rsid w:val="00CB7161"/>
    <w:rsid w:val="00CB728B"/>
    <w:rsid w:val="00CB735C"/>
    <w:rsid w:val="00CB7D80"/>
    <w:rsid w:val="00CC027E"/>
    <w:rsid w:val="00CC1235"/>
    <w:rsid w:val="00CC1CCD"/>
    <w:rsid w:val="00CC20F9"/>
    <w:rsid w:val="00CC26F5"/>
    <w:rsid w:val="00CC2BB2"/>
    <w:rsid w:val="00CC3911"/>
    <w:rsid w:val="00CC3D51"/>
    <w:rsid w:val="00CC481B"/>
    <w:rsid w:val="00CC66B9"/>
    <w:rsid w:val="00CC6847"/>
    <w:rsid w:val="00CD088F"/>
    <w:rsid w:val="00CD0AD4"/>
    <w:rsid w:val="00CD186C"/>
    <w:rsid w:val="00CD1FC9"/>
    <w:rsid w:val="00CD1FD8"/>
    <w:rsid w:val="00CD2E19"/>
    <w:rsid w:val="00CD3B17"/>
    <w:rsid w:val="00CD3BC9"/>
    <w:rsid w:val="00CD3C59"/>
    <w:rsid w:val="00CD5D78"/>
    <w:rsid w:val="00CD60D5"/>
    <w:rsid w:val="00CD7C9C"/>
    <w:rsid w:val="00CE02C1"/>
    <w:rsid w:val="00CE0432"/>
    <w:rsid w:val="00CE11A9"/>
    <w:rsid w:val="00CE1739"/>
    <w:rsid w:val="00CE1907"/>
    <w:rsid w:val="00CE1BB4"/>
    <w:rsid w:val="00CE2836"/>
    <w:rsid w:val="00CE3A57"/>
    <w:rsid w:val="00CE4FCA"/>
    <w:rsid w:val="00CE6A0A"/>
    <w:rsid w:val="00CE6ADD"/>
    <w:rsid w:val="00CE6F12"/>
    <w:rsid w:val="00CE7E61"/>
    <w:rsid w:val="00CE7ED6"/>
    <w:rsid w:val="00CF0EA2"/>
    <w:rsid w:val="00CF28C2"/>
    <w:rsid w:val="00CF29E3"/>
    <w:rsid w:val="00CF34B8"/>
    <w:rsid w:val="00CF3A2B"/>
    <w:rsid w:val="00CF4957"/>
    <w:rsid w:val="00CF5875"/>
    <w:rsid w:val="00CF648C"/>
    <w:rsid w:val="00CF6FB5"/>
    <w:rsid w:val="00CF6FCE"/>
    <w:rsid w:val="00CF77E7"/>
    <w:rsid w:val="00CF7FDA"/>
    <w:rsid w:val="00D00227"/>
    <w:rsid w:val="00D00B5D"/>
    <w:rsid w:val="00D01634"/>
    <w:rsid w:val="00D01CC0"/>
    <w:rsid w:val="00D022B9"/>
    <w:rsid w:val="00D02DFC"/>
    <w:rsid w:val="00D02FFE"/>
    <w:rsid w:val="00D032F2"/>
    <w:rsid w:val="00D0423D"/>
    <w:rsid w:val="00D04651"/>
    <w:rsid w:val="00D047E5"/>
    <w:rsid w:val="00D049C3"/>
    <w:rsid w:val="00D073F3"/>
    <w:rsid w:val="00D077B7"/>
    <w:rsid w:val="00D07887"/>
    <w:rsid w:val="00D07B61"/>
    <w:rsid w:val="00D07D80"/>
    <w:rsid w:val="00D10178"/>
    <w:rsid w:val="00D101D2"/>
    <w:rsid w:val="00D10A35"/>
    <w:rsid w:val="00D11AFD"/>
    <w:rsid w:val="00D1209F"/>
    <w:rsid w:val="00D12713"/>
    <w:rsid w:val="00D12EC1"/>
    <w:rsid w:val="00D1349A"/>
    <w:rsid w:val="00D138E6"/>
    <w:rsid w:val="00D1440B"/>
    <w:rsid w:val="00D15525"/>
    <w:rsid w:val="00D16CFB"/>
    <w:rsid w:val="00D16DE6"/>
    <w:rsid w:val="00D16F88"/>
    <w:rsid w:val="00D208A6"/>
    <w:rsid w:val="00D213E6"/>
    <w:rsid w:val="00D213F4"/>
    <w:rsid w:val="00D21DAE"/>
    <w:rsid w:val="00D22F77"/>
    <w:rsid w:val="00D2356D"/>
    <w:rsid w:val="00D243A2"/>
    <w:rsid w:val="00D24887"/>
    <w:rsid w:val="00D249E3"/>
    <w:rsid w:val="00D25DF2"/>
    <w:rsid w:val="00D26BAA"/>
    <w:rsid w:val="00D2720E"/>
    <w:rsid w:val="00D273D5"/>
    <w:rsid w:val="00D3008F"/>
    <w:rsid w:val="00D3309D"/>
    <w:rsid w:val="00D3442B"/>
    <w:rsid w:val="00D34D0B"/>
    <w:rsid w:val="00D34DF8"/>
    <w:rsid w:val="00D36006"/>
    <w:rsid w:val="00D36496"/>
    <w:rsid w:val="00D370DD"/>
    <w:rsid w:val="00D40186"/>
    <w:rsid w:val="00D4251F"/>
    <w:rsid w:val="00D4282D"/>
    <w:rsid w:val="00D43B64"/>
    <w:rsid w:val="00D45965"/>
    <w:rsid w:val="00D45A23"/>
    <w:rsid w:val="00D460AC"/>
    <w:rsid w:val="00D46D80"/>
    <w:rsid w:val="00D479A4"/>
    <w:rsid w:val="00D506E1"/>
    <w:rsid w:val="00D50A5E"/>
    <w:rsid w:val="00D50CFD"/>
    <w:rsid w:val="00D528B5"/>
    <w:rsid w:val="00D52E95"/>
    <w:rsid w:val="00D534E2"/>
    <w:rsid w:val="00D56E13"/>
    <w:rsid w:val="00D574D6"/>
    <w:rsid w:val="00D607C2"/>
    <w:rsid w:val="00D61199"/>
    <w:rsid w:val="00D61F40"/>
    <w:rsid w:val="00D622EC"/>
    <w:rsid w:val="00D623AF"/>
    <w:rsid w:val="00D64126"/>
    <w:rsid w:val="00D65953"/>
    <w:rsid w:val="00D65A78"/>
    <w:rsid w:val="00D70853"/>
    <w:rsid w:val="00D70C8E"/>
    <w:rsid w:val="00D726AD"/>
    <w:rsid w:val="00D73633"/>
    <w:rsid w:val="00D73FDF"/>
    <w:rsid w:val="00D75813"/>
    <w:rsid w:val="00D76018"/>
    <w:rsid w:val="00D76083"/>
    <w:rsid w:val="00D7779A"/>
    <w:rsid w:val="00D8040E"/>
    <w:rsid w:val="00D81C5F"/>
    <w:rsid w:val="00D828AC"/>
    <w:rsid w:val="00D83251"/>
    <w:rsid w:val="00D8482F"/>
    <w:rsid w:val="00D85744"/>
    <w:rsid w:val="00D8624B"/>
    <w:rsid w:val="00D863F8"/>
    <w:rsid w:val="00D90682"/>
    <w:rsid w:val="00D90C42"/>
    <w:rsid w:val="00D90FDA"/>
    <w:rsid w:val="00D91844"/>
    <w:rsid w:val="00D943A3"/>
    <w:rsid w:val="00D9614A"/>
    <w:rsid w:val="00D963A5"/>
    <w:rsid w:val="00D97408"/>
    <w:rsid w:val="00D9755B"/>
    <w:rsid w:val="00D9761B"/>
    <w:rsid w:val="00D9780E"/>
    <w:rsid w:val="00DA02B6"/>
    <w:rsid w:val="00DA049C"/>
    <w:rsid w:val="00DA1DE6"/>
    <w:rsid w:val="00DA2F03"/>
    <w:rsid w:val="00DA4E28"/>
    <w:rsid w:val="00DA59B9"/>
    <w:rsid w:val="00DA657E"/>
    <w:rsid w:val="00DA68F6"/>
    <w:rsid w:val="00DA6F72"/>
    <w:rsid w:val="00DB03D9"/>
    <w:rsid w:val="00DB0ED2"/>
    <w:rsid w:val="00DB139A"/>
    <w:rsid w:val="00DB3587"/>
    <w:rsid w:val="00DB4122"/>
    <w:rsid w:val="00DB52EA"/>
    <w:rsid w:val="00DB5BAA"/>
    <w:rsid w:val="00DB6C28"/>
    <w:rsid w:val="00DB7330"/>
    <w:rsid w:val="00DB7BD6"/>
    <w:rsid w:val="00DC01CF"/>
    <w:rsid w:val="00DC0304"/>
    <w:rsid w:val="00DC048F"/>
    <w:rsid w:val="00DC05AA"/>
    <w:rsid w:val="00DC05C9"/>
    <w:rsid w:val="00DC07E6"/>
    <w:rsid w:val="00DC1B77"/>
    <w:rsid w:val="00DC1D64"/>
    <w:rsid w:val="00DC2245"/>
    <w:rsid w:val="00DC23E2"/>
    <w:rsid w:val="00DC3758"/>
    <w:rsid w:val="00DC3B4F"/>
    <w:rsid w:val="00DC5EF3"/>
    <w:rsid w:val="00DD177A"/>
    <w:rsid w:val="00DD1CB4"/>
    <w:rsid w:val="00DD1D88"/>
    <w:rsid w:val="00DD1E12"/>
    <w:rsid w:val="00DD25AF"/>
    <w:rsid w:val="00DD2B5A"/>
    <w:rsid w:val="00DD405A"/>
    <w:rsid w:val="00DD4618"/>
    <w:rsid w:val="00DD63EA"/>
    <w:rsid w:val="00DD7942"/>
    <w:rsid w:val="00DD7C9A"/>
    <w:rsid w:val="00DE0F91"/>
    <w:rsid w:val="00DE1EB2"/>
    <w:rsid w:val="00DE24AA"/>
    <w:rsid w:val="00DE260A"/>
    <w:rsid w:val="00DE3126"/>
    <w:rsid w:val="00DE3142"/>
    <w:rsid w:val="00DE3877"/>
    <w:rsid w:val="00DE48CE"/>
    <w:rsid w:val="00DE4E50"/>
    <w:rsid w:val="00DE4F7E"/>
    <w:rsid w:val="00DE50B8"/>
    <w:rsid w:val="00DE51AF"/>
    <w:rsid w:val="00DE6415"/>
    <w:rsid w:val="00DE6453"/>
    <w:rsid w:val="00DE6A64"/>
    <w:rsid w:val="00DE72F6"/>
    <w:rsid w:val="00DE75CE"/>
    <w:rsid w:val="00DE7B75"/>
    <w:rsid w:val="00DE7D89"/>
    <w:rsid w:val="00DE7DFD"/>
    <w:rsid w:val="00DF0108"/>
    <w:rsid w:val="00DF02CF"/>
    <w:rsid w:val="00DF054C"/>
    <w:rsid w:val="00DF0696"/>
    <w:rsid w:val="00DF2554"/>
    <w:rsid w:val="00DF2587"/>
    <w:rsid w:val="00DF27D5"/>
    <w:rsid w:val="00DF31A7"/>
    <w:rsid w:val="00DF42F2"/>
    <w:rsid w:val="00DF51F1"/>
    <w:rsid w:val="00DF521F"/>
    <w:rsid w:val="00DF5223"/>
    <w:rsid w:val="00DF55D3"/>
    <w:rsid w:val="00DF7250"/>
    <w:rsid w:val="00DF72A5"/>
    <w:rsid w:val="00DF7B48"/>
    <w:rsid w:val="00E00BCE"/>
    <w:rsid w:val="00E02B75"/>
    <w:rsid w:val="00E04341"/>
    <w:rsid w:val="00E04E49"/>
    <w:rsid w:val="00E04F98"/>
    <w:rsid w:val="00E05BBE"/>
    <w:rsid w:val="00E060D6"/>
    <w:rsid w:val="00E06342"/>
    <w:rsid w:val="00E0677E"/>
    <w:rsid w:val="00E07ED7"/>
    <w:rsid w:val="00E10C8D"/>
    <w:rsid w:val="00E1153C"/>
    <w:rsid w:val="00E11A31"/>
    <w:rsid w:val="00E13035"/>
    <w:rsid w:val="00E134B3"/>
    <w:rsid w:val="00E1363E"/>
    <w:rsid w:val="00E13F01"/>
    <w:rsid w:val="00E143C7"/>
    <w:rsid w:val="00E14F4A"/>
    <w:rsid w:val="00E15FF2"/>
    <w:rsid w:val="00E1624F"/>
    <w:rsid w:val="00E20949"/>
    <w:rsid w:val="00E22095"/>
    <w:rsid w:val="00E22B41"/>
    <w:rsid w:val="00E24E70"/>
    <w:rsid w:val="00E25417"/>
    <w:rsid w:val="00E26493"/>
    <w:rsid w:val="00E26FF4"/>
    <w:rsid w:val="00E271C1"/>
    <w:rsid w:val="00E27A27"/>
    <w:rsid w:val="00E27C67"/>
    <w:rsid w:val="00E27CED"/>
    <w:rsid w:val="00E3064D"/>
    <w:rsid w:val="00E33259"/>
    <w:rsid w:val="00E33458"/>
    <w:rsid w:val="00E33C03"/>
    <w:rsid w:val="00E33F1B"/>
    <w:rsid w:val="00E346D4"/>
    <w:rsid w:val="00E34D99"/>
    <w:rsid w:val="00E352DF"/>
    <w:rsid w:val="00E35E4A"/>
    <w:rsid w:val="00E36CA0"/>
    <w:rsid w:val="00E37057"/>
    <w:rsid w:val="00E37C9D"/>
    <w:rsid w:val="00E40836"/>
    <w:rsid w:val="00E4115A"/>
    <w:rsid w:val="00E4185F"/>
    <w:rsid w:val="00E418A7"/>
    <w:rsid w:val="00E41E7D"/>
    <w:rsid w:val="00E425D3"/>
    <w:rsid w:val="00E42FDE"/>
    <w:rsid w:val="00E4395B"/>
    <w:rsid w:val="00E44EE7"/>
    <w:rsid w:val="00E451F1"/>
    <w:rsid w:val="00E45518"/>
    <w:rsid w:val="00E45D67"/>
    <w:rsid w:val="00E50CAC"/>
    <w:rsid w:val="00E52070"/>
    <w:rsid w:val="00E52BA5"/>
    <w:rsid w:val="00E53907"/>
    <w:rsid w:val="00E54872"/>
    <w:rsid w:val="00E54C00"/>
    <w:rsid w:val="00E56697"/>
    <w:rsid w:val="00E60023"/>
    <w:rsid w:val="00E600D6"/>
    <w:rsid w:val="00E605AE"/>
    <w:rsid w:val="00E61031"/>
    <w:rsid w:val="00E613A0"/>
    <w:rsid w:val="00E61705"/>
    <w:rsid w:val="00E61D84"/>
    <w:rsid w:val="00E6235E"/>
    <w:rsid w:val="00E6236E"/>
    <w:rsid w:val="00E64383"/>
    <w:rsid w:val="00E643EB"/>
    <w:rsid w:val="00E64524"/>
    <w:rsid w:val="00E66A14"/>
    <w:rsid w:val="00E674E5"/>
    <w:rsid w:val="00E675D0"/>
    <w:rsid w:val="00E677BE"/>
    <w:rsid w:val="00E702C4"/>
    <w:rsid w:val="00E71EFD"/>
    <w:rsid w:val="00E72CDA"/>
    <w:rsid w:val="00E74412"/>
    <w:rsid w:val="00E74EEC"/>
    <w:rsid w:val="00E74FFA"/>
    <w:rsid w:val="00E757CE"/>
    <w:rsid w:val="00E76FA7"/>
    <w:rsid w:val="00E7763F"/>
    <w:rsid w:val="00E80C4B"/>
    <w:rsid w:val="00E81AB3"/>
    <w:rsid w:val="00E8332B"/>
    <w:rsid w:val="00E8455F"/>
    <w:rsid w:val="00E8721F"/>
    <w:rsid w:val="00E874B4"/>
    <w:rsid w:val="00E90F8A"/>
    <w:rsid w:val="00E9259D"/>
    <w:rsid w:val="00E928D2"/>
    <w:rsid w:val="00E93101"/>
    <w:rsid w:val="00E9313E"/>
    <w:rsid w:val="00E948A5"/>
    <w:rsid w:val="00E95E76"/>
    <w:rsid w:val="00E962F2"/>
    <w:rsid w:val="00E9716E"/>
    <w:rsid w:val="00E977FB"/>
    <w:rsid w:val="00EA0ED1"/>
    <w:rsid w:val="00EA279A"/>
    <w:rsid w:val="00EA2F8B"/>
    <w:rsid w:val="00EA4A86"/>
    <w:rsid w:val="00EA57D0"/>
    <w:rsid w:val="00EA6445"/>
    <w:rsid w:val="00EA70CB"/>
    <w:rsid w:val="00EA71EB"/>
    <w:rsid w:val="00EA7D98"/>
    <w:rsid w:val="00EB21D4"/>
    <w:rsid w:val="00EB2483"/>
    <w:rsid w:val="00EB2758"/>
    <w:rsid w:val="00EB3769"/>
    <w:rsid w:val="00EB3ADA"/>
    <w:rsid w:val="00EB476A"/>
    <w:rsid w:val="00EB5B14"/>
    <w:rsid w:val="00EB683C"/>
    <w:rsid w:val="00EB734F"/>
    <w:rsid w:val="00EB75C2"/>
    <w:rsid w:val="00EC02A2"/>
    <w:rsid w:val="00EC070C"/>
    <w:rsid w:val="00EC0B9D"/>
    <w:rsid w:val="00EC0C9D"/>
    <w:rsid w:val="00EC0E05"/>
    <w:rsid w:val="00EC23BF"/>
    <w:rsid w:val="00EC2D8A"/>
    <w:rsid w:val="00EC3280"/>
    <w:rsid w:val="00EC3E45"/>
    <w:rsid w:val="00EC4359"/>
    <w:rsid w:val="00EC50EF"/>
    <w:rsid w:val="00EC5273"/>
    <w:rsid w:val="00EC65FD"/>
    <w:rsid w:val="00EC7FDD"/>
    <w:rsid w:val="00ED1312"/>
    <w:rsid w:val="00ED3121"/>
    <w:rsid w:val="00ED3E13"/>
    <w:rsid w:val="00ED64EE"/>
    <w:rsid w:val="00EE01D0"/>
    <w:rsid w:val="00EE08D1"/>
    <w:rsid w:val="00EE0E63"/>
    <w:rsid w:val="00EE47B1"/>
    <w:rsid w:val="00EE4B92"/>
    <w:rsid w:val="00EE5274"/>
    <w:rsid w:val="00EE55CB"/>
    <w:rsid w:val="00EE6081"/>
    <w:rsid w:val="00EE6375"/>
    <w:rsid w:val="00EE6C5B"/>
    <w:rsid w:val="00EF05FD"/>
    <w:rsid w:val="00EF1219"/>
    <w:rsid w:val="00EF1B3B"/>
    <w:rsid w:val="00EF231F"/>
    <w:rsid w:val="00EF3B2E"/>
    <w:rsid w:val="00EF4657"/>
    <w:rsid w:val="00EF4AAC"/>
    <w:rsid w:val="00EF4C37"/>
    <w:rsid w:val="00EF5378"/>
    <w:rsid w:val="00EF54AC"/>
    <w:rsid w:val="00EF59F0"/>
    <w:rsid w:val="00F00465"/>
    <w:rsid w:val="00F00719"/>
    <w:rsid w:val="00F00F70"/>
    <w:rsid w:val="00F02FDE"/>
    <w:rsid w:val="00F0440E"/>
    <w:rsid w:val="00F045F2"/>
    <w:rsid w:val="00F05C0C"/>
    <w:rsid w:val="00F05C68"/>
    <w:rsid w:val="00F075A8"/>
    <w:rsid w:val="00F10B41"/>
    <w:rsid w:val="00F113B5"/>
    <w:rsid w:val="00F1154F"/>
    <w:rsid w:val="00F12106"/>
    <w:rsid w:val="00F13231"/>
    <w:rsid w:val="00F149A4"/>
    <w:rsid w:val="00F15307"/>
    <w:rsid w:val="00F15AB4"/>
    <w:rsid w:val="00F15ED8"/>
    <w:rsid w:val="00F164E6"/>
    <w:rsid w:val="00F16DC2"/>
    <w:rsid w:val="00F17346"/>
    <w:rsid w:val="00F178C8"/>
    <w:rsid w:val="00F17B63"/>
    <w:rsid w:val="00F21756"/>
    <w:rsid w:val="00F2296F"/>
    <w:rsid w:val="00F252E5"/>
    <w:rsid w:val="00F26A87"/>
    <w:rsid w:val="00F27049"/>
    <w:rsid w:val="00F308D4"/>
    <w:rsid w:val="00F30CF8"/>
    <w:rsid w:val="00F34292"/>
    <w:rsid w:val="00F35ABF"/>
    <w:rsid w:val="00F362B5"/>
    <w:rsid w:val="00F36B80"/>
    <w:rsid w:val="00F405A9"/>
    <w:rsid w:val="00F41906"/>
    <w:rsid w:val="00F4190E"/>
    <w:rsid w:val="00F41A6F"/>
    <w:rsid w:val="00F41F1A"/>
    <w:rsid w:val="00F4375D"/>
    <w:rsid w:val="00F460F9"/>
    <w:rsid w:val="00F46D04"/>
    <w:rsid w:val="00F4723C"/>
    <w:rsid w:val="00F47F3F"/>
    <w:rsid w:val="00F520A9"/>
    <w:rsid w:val="00F52F66"/>
    <w:rsid w:val="00F534F3"/>
    <w:rsid w:val="00F53AA0"/>
    <w:rsid w:val="00F54B7A"/>
    <w:rsid w:val="00F54D98"/>
    <w:rsid w:val="00F5519F"/>
    <w:rsid w:val="00F55C18"/>
    <w:rsid w:val="00F57471"/>
    <w:rsid w:val="00F57672"/>
    <w:rsid w:val="00F608E2"/>
    <w:rsid w:val="00F61591"/>
    <w:rsid w:val="00F61E95"/>
    <w:rsid w:val="00F63934"/>
    <w:rsid w:val="00F647A2"/>
    <w:rsid w:val="00F64F8E"/>
    <w:rsid w:val="00F66ABB"/>
    <w:rsid w:val="00F7014A"/>
    <w:rsid w:val="00F7062F"/>
    <w:rsid w:val="00F715BA"/>
    <w:rsid w:val="00F72CAC"/>
    <w:rsid w:val="00F7304F"/>
    <w:rsid w:val="00F750A2"/>
    <w:rsid w:val="00F7574E"/>
    <w:rsid w:val="00F76B24"/>
    <w:rsid w:val="00F76B4C"/>
    <w:rsid w:val="00F7719C"/>
    <w:rsid w:val="00F773B6"/>
    <w:rsid w:val="00F7747B"/>
    <w:rsid w:val="00F777F3"/>
    <w:rsid w:val="00F77815"/>
    <w:rsid w:val="00F77B94"/>
    <w:rsid w:val="00F80155"/>
    <w:rsid w:val="00F80F5B"/>
    <w:rsid w:val="00F8118E"/>
    <w:rsid w:val="00F818FA"/>
    <w:rsid w:val="00F84618"/>
    <w:rsid w:val="00F84C34"/>
    <w:rsid w:val="00F8609A"/>
    <w:rsid w:val="00F86B1B"/>
    <w:rsid w:val="00F8764E"/>
    <w:rsid w:val="00F87871"/>
    <w:rsid w:val="00F878C2"/>
    <w:rsid w:val="00F90A8F"/>
    <w:rsid w:val="00F91AB6"/>
    <w:rsid w:val="00F923DE"/>
    <w:rsid w:val="00F938EE"/>
    <w:rsid w:val="00F9423F"/>
    <w:rsid w:val="00F95529"/>
    <w:rsid w:val="00F965F7"/>
    <w:rsid w:val="00F96B8E"/>
    <w:rsid w:val="00F96CC1"/>
    <w:rsid w:val="00F977F7"/>
    <w:rsid w:val="00F97934"/>
    <w:rsid w:val="00FA108E"/>
    <w:rsid w:val="00FA2F73"/>
    <w:rsid w:val="00FA352C"/>
    <w:rsid w:val="00FA3C01"/>
    <w:rsid w:val="00FA3EB0"/>
    <w:rsid w:val="00FA4155"/>
    <w:rsid w:val="00FA4A08"/>
    <w:rsid w:val="00FA4DB9"/>
    <w:rsid w:val="00FA60BF"/>
    <w:rsid w:val="00FA67E6"/>
    <w:rsid w:val="00FA707C"/>
    <w:rsid w:val="00FB13C0"/>
    <w:rsid w:val="00FB204D"/>
    <w:rsid w:val="00FB22A1"/>
    <w:rsid w:val="00FB2CE4"/>
    <w:rsid w:val="00FB3C74"/>
    <w:rsid w:val="00FB4486"/>
    <w:rsid w:val="00FB4BAB"/>
    <w:rsid w:val="00FB4C7F"/>
    <w:rsid w:val="00FB4DFC"/>
    <w:rsid w:val="00FB5308"/>
    <w:rsid w:val="00FB5E23"/>
    <w:rsid w:val="00FB6F40"/>
    <w:rsid w:val="00FB6FB1"/>
    <w:rsid w:val="00FB7CD5"/>
    <w:rsid w:val="00FC057E"/>
    <w:rsid w:val="00FC09B6"/>
    <w:rsid w:val="00FC0E82"/>
    <w:rsid w:val="00FC1C7C"/>
    <w:rsid w:val="00FC1ED9"/>
    <w:rsid w:val="00FC23EF"/>
    <w:rsid w:val="00FC3C5B"/>
    <w:rsid w:val="00FC3DC5"/>
    <w:rsid w:val="00FC692E"/>
    <w:rsid w:val="00FD0635"/>
    <w:rsid w:val="00FD08E7"/>
    <w:rsid w:val="00FD326B"/>
    <w:rsid w:val="00FD4590"/>
    <w:rsid w:val="00FD5416"/>
    <w:rsid w:val="00FD5EDE"/>
    <w:rsid w:val="00FD6FA6"/>
    <w:rsid w:val="00FD7CE2"/>
    <w:rsid w:val="00FE0490"/>
    <w:rsid w:val="00FE14CB"/>
    <w:rsid w:val="00FE224B"/>
    <w:rsid w:val="00FE25D0"/>
    <w:rsid w:val="00FE27E3"/>
    <w:rsid w:val="00FE3E11"/>
    <w:rsid w:val="00FE437E"/>
    <w:rsid w:val="00FE44B9"/>
    <w:rsid w:val="00FE469E"/>
    <w:rsid w:val="00FE5245"/>
    <w:rsid w:val="00FE585E"/>
    <w:rsid w:val="00FE5897"/>
    <w:rsid w:val="00FE5A74"/>
    <w:rsid w:val="00FE6905"/>
    <w:rsid w:val="00FE7D3B"/>
    <w:rsid w:val="00FE7EE4"/>
    <w:rsid w:val="00FF0CE4"/>
    <w:rsid w:val="00FF1496"/>
    <w:rsid w:val="00FF1CE6"/>
    <w:rsid w:val="00FF3293"/>
    <w:rsid w:val="00FF32A1"/>
    <w:rsid w:val="00FF37E9"/>
    <w:rsid w:val="00FF3AB6"/>
    <w:rsid w:val="00FF3FA1"/>
    <w:rsid w:val="00FF5A82"/>
    <w:rsid w:val="00FF5D23"/>
    <w:rsid w:val="00FF604A"/>
    <w:rsid w:val="00FF615D"/>
    <w:rsid w:val="00FF6511"/>
    <w:rsid w:val="00FF7475"/>
    <w:rsid w:val="00FF7D2B"/>
    <w:rsid w:val="011B609E"/>
    <w:rsid w:val="01203AB8"/>
    <w:rsid w:val="015010AA"/>
    <w:rsid w:val="016037E4"/>
    <w:rsid w:val="016A347B"/>
    <w:rsid w:val="018D1D97"/>
    <w:rsid w:val="019C54BA"/>
    <w:rsid w:val="01B11D31"/>
    <w:rsid w:val="01B14C06"/>
    <w:rsid w:val="01BB2247"/>
    <w:rsid w:val="01C20C37"/>
    <w:rsid w:val="01DB7ED5"/>
    <w:rsid w:val="01E21679"/>
    <w:rsid w:val="02497DC5"/>
    <w:rsid w:val="02D72892"/>
    <w:rsid w:val="0313351D"/>
    <w:rsid w:val="03225EBC"/>
    <w:rsid w:val="0331568B"/>
    <w:rsid w:val="03331B52"/>
    <w:rsid w:val="034E123B"/>
    <w:rsid w:val="03AF009C"/>
    <w:rsid w:val="03B22EB7"/>
    <w:rsid w:val="03EE1974"/>
    <w:rsid w:val="03F946A1"/>
    <w:rsid w:val="0498022D"/>
    <w:rsid w:val="04997DAD"/>
    <w:rsid w:val="049B1CA8"/>
    <w:rsid w:val="04C41D07"/>
    <w:rsid w:val="04D47AED"/>
    <w:rsid w:val="04D72BD5"/>
    <w:rsid w:val="04DD0BDE"/>
    <w:rsid w:val="04F211FD"/>
    <w:rsid w:val="04F5163C"/>
    <w:rsid w:val="054144F3"/>
    <w:rsid w:val="05610E93"/>
    <w:rsid w:val="05BF3C09"/>
    <w:rsid w:val="05C11CB3"/>
    <w:rsid w:val="06291F19"/>
    <w:rsid w:val="06311428"/>
    <w:rsid w:val="064B2EFA"/>
    <w:rsid w:val="06986394"/>
    <w:rsid w:val="06B2781F"/>
    <w:rsid w:val="06BC4119"/>
    <w:rsid w:val="06FC4FE2"/>
    <w:rsid w:val="071E1F77"/>
    <w:rsid w:val="07230354"/>
    <w:rsid w:val="078330CF"/>
    <w:rsid w:val="07CB7562"/>
    <w:rsid w:val="08210512"/>
    <w:rsid w:val="08246B9D"/>
    <w:rsid w:val="0841589E"/>
    <w:rsid w:val="08606D2F"/>
    <w:rsid w:val="08A5700D"/>
    <w:rsid w:val="08A950C0"/>
    <w:rsid w:val="08B474F6"/>
    <w:rsid w:val="09320D22"/>
    <w:rsid w:val="094A73A8"/>
    <w:rsid w:val="094F54E0"/>
    <w:rsid w:val="09B252A0"/>
    <w:rsid w:val="09B5355E"/>
    <w:rsid w:val="0A0E7CC3"/>
    <w:rsid w:val="0A8E2340"/>
    <w:rsid w:val="0A9C3FF0"/>
    <w:rsid w:val="0A9D5F75"/>
    <w:rsid w:val="0AAE050B"/>
    <w:rsid w:val="0AFE3D21"/>
    <w:rsid w:val="0B3E34A4"/>
    <w:rsid w:val="0B7D3B65"/>
    <w:rsid w:val="0B861314"/>
    <w:rsid w:val="0BA76028"/>
    <w:rsid w:val="0BF927F0"/>
    <w:rsid w:val="0C1B1C59"/>
    <w:rsid w:val="0C347916"/>
    <w:rsid w:val="0C527C98"/>
    <w:rsid w:val="0C6A6D99"/>
    <w:rsid w:val="0C6D7423"/>
    <w:rsid w:val="0CCC02C9"/>
    <w:rsid w:val="0CDE0DBE"/>
    <w:rsid w:val="0D4268F6"/>
    <w:rsid w:val="0D6047E0"/>
    <w:rsid w:val="0D663D9A"/>
    <w:rsid w:val="0D6D7E7A"/>
    <w:rsid w:val="0D803DE0"/>
    <w:rsid w:val="0D9B25D5"/>
    <w:rsid w:val="0DFF4618"/>
    <w:rsid w:val="0E1606BA"/>
    <w:rsid w:val="0E186C04"/>
    <w:rsid w:val="0E466A71"/>
    <w:rsid w:val="0E817E24"/>
    <w:rsid w:val="0EA65706"/>
    <w:rsid w:val="0EA867EE"/>
    <w:rsid w:val="0EAB79FE"/>
    <w:rsid w:val="0EAE4631"/>
    <w:rsid w:val="0ED938A1"/>
    <w:rsid w:val="0F1F783B"/>
    <w:rsid w:val="0F2332B5"/>
    <w:rsid w:val="0F3672DB"/>
    <w:rsid w:val="0F3B1C50"/>
    <w:rsid w:val="0F4B5006"/>
    <w:rsid w:val="0F6C173D"/>
    <w:rsid w:val="0F723707"/>
    <w:rsid w:val="0F9E1512"/>
    <w:rsid w:val="0FC6545B"/>
    <w:rsid w:val="0FE515BF"/>
    <w:rsid w:val="0FF11AD6"/>
    <w:rsid w:val="10085717"/>
    <w:rsid w:val="1067666B"/>
    <w:rsid w:val="10772246"/>
    <w:rsid w:val="107E6B00"/>
    <w:rsid w:val="10AD2D8F"/>
    <w:rsid w:val="10EC36E3"/>
    <w:rsid w:val="11186A30"/>
    <w:rsid w:val="1120753A"/>
    <w:rsid w:val="11524517"/>
    <w:rsid w:val="116B2378"/>
    <w:rsid w:val="11A67D57"/>
    <w:rsid w:val="11AF6F4A"/>
    <w:rsid w:val="11F0422D"/>
    <w:rsid w:val="1202516B"/>
    <w:rsid w:val="12083555"/>
    <w:rsid w:val="1257497F"/>
    <w:rsid w:val="129E0923"/>
    <w:rsid w:val="129E21C9"/>
    <w:rsid w:val="12C51243"/>
    <w:rsid w:val="12E4191E"/>
    <w:rsid w:val="12E62049"/>
    <w:rsid w:val="12FF1AC9"/>
    <w:rsid w:val="13141D5A"/>
    <w:rsid w:val="13655D82"/>
    <w:rsid w:val="137E513F"/>
    <w:rsid w:val="13A64828"/>
    <w:rsid w:val="13C22CA3"/>
    <w:rsid w:val="13FF40DE"/>
    <w:rsid w:val="141170DE"/>
    <w:rsid w:val="14157701"/>
    <w:rsid w:val="14770F16"/>
    <w:rsid w:val="14935D07"/>
    <w:rsid w:val="14B44CE1"/>
    <w:rsid w:val="14B80346"/>
    <w:rsid w:val="14BE670D"/>
    <w:rsid w:val="14DF4D11"/>
    <w:rsid w:val="14E909DB"/>
    <w:rsid w:val="14F52FE5"/>
    <w:rsid w:val="1510360E"/>
    <w:rsid w:val="15205FE5"/>
    <w:rsid w:val="15AD23FE"/>
    <w:rsid w:val="15AE34DE"/>
    <w:rsid w:val="15F874DA"/>
    <w:rsid w:val="160B0882"/>
    <w:rsid w:val="160F6598"/>
    <w:rsid w:val="16131283"/>
    <w:rsid w:val="161D0F66"/>
    <w:rsid w:val="16337603"/>
    <w:rsid w:val="16A93BC6"/>
    <w:rsid w:val="16EF2001"/>
    <w:rsid w:val="16FA6916"/>
    <w:rsid w:val="17077F2B"/>
    <w:rsid w:val="171447CD"/>
    <w:rsid w:val="175224D1"/>
    <w:rsid w:val="17861225"/>
    <w:rsid w:val="17A61150"/>
    <w:rsid w:val="17DB7F17"/>
    <w:rsid w:val="180065DE"/>
    <w:rsid w:val="18040BE2"/>
    <w:rsid w:val="18512847"/>
    <w:rsid w:val="18562E3A"/>
    <w:rsid w:val="18713064"/>
    <w:rsid w:val="189B6524"/>
    <w:rsid w:val="18B70996"/>
    <w:rsid w:val="18F56459"/>
    <w:rsid w:val="195C76F5"/>
    <w:rsid w:val="196779EF"/>
    <w:rsid w:val="19772B02"/>
    <w:rsid w:val="19791E80"/>
    <w:rsid w:val="19C2772D"/>
    <w:rsid w:val="1A0A1A43"/>
    <w:rsid w:val="1A4E2C79"/>
    <w:rsid w:val="1A5B36E3"/>
    <w:rsid w:val="1A6B0DB0"/>
    <w:rsid w:val="1A6E76E0"/>
    <w:rsid w:val="1A76275D"/>
    <w:rsid w:val="1A8D09B9"/>
    <w:rsid w:val="1AAB2302"/>
    <w:rsid w:val="1AC45552"/>
    <w:rsid w:val="1AE6442F"/>
    <w:rsid w:val="1AE72562"/>
    <w:rsid w:val="1AFD7DD2"/>
    <w:rsid w:val="1B1172A3"/>
    <w:rsid w:val="1B1A3DC2"/>
    <w:rsid w:val="1B3D238A"/>
    <w:rsid w:val="1B6E12C4"/>
    <w:rsid w:val="1B6E40B4"/>
    <w:rsid w:val="1BA77E3C"/>
    <w:rsid w:val="1BE514FB"/>
    <w:rsid w:val="1C0E4FD7"/>
    <w:rsid w:val="1C385A98"/>
    <w:rsid w:val="1C3D7F62"/>
    <w:rsid w:val="1C5B59DF"/>
    <w:rsid w:val="1C720395"/>
    <w:rsid w:val="1CAF2B6F"/>
    <w:rsid w:val="1CC70C64"/>
    <w:rsid w:val="1CCD47D1"/>
    <w:rsid w:val="1CE63000"/>
    <w:rsid w:val="1CF5372F"/>
    <w:rsid w:val="1D0330AF"/>
    <w:rsid w:val="1D4B5AB7"/>
    <w:rsid w:val="1D6F0EAA"/>
    <w:rsid w:val="1DBA2812"/>
    <w:rsid w:val="1DBA5E0C"/>
    <w:rsid w:val="1DE76E77"/>
    <w:rsid w:val="1DE94EAA"/>
    <w:rsid w:val="1DFA622C"/>
    <w:rsid w:val="1E2B7A27"/>
    <w:rsid w:val="1E413DFF"/>
    <w:rsid w:val="1ED26B6B"/>
    <w:rsid w:val="1EDB02C9"/>
    <w:rsid w:val="1EE1004B"/>
    <w:rsid w:val="1F367B57"/>
    <w:rsid w:val="1F403D00"/>
    <w:rsid w:val="1F754312"/>
    <w:rsid w:val="1FB73684"/>
    <w:rsid w:val="1FCB2C57"/>
    <w:rsid w:val="1FE1254C"/>
    <w:rsid w:val="1FF030A7"/>
    <w:rsid w:val="1FFF19CA"/>
    <w:rsid w:val="200118CD"/>
    <w:rsid w:val="204A5E21"/>
    <w:rsid w:val="204D5FEA"/>
    <w:rsid w:val="2092780F"/>
    <w:rsid w:val="20D34741"/>
    <w:rsid w:val="20FB17E4"/>
    <w:rsid w:val="21041B4F"/>
    <w:rsid w:val="212E107B"/>
    <w:rsid w:val="21661111"/>
    <w:rsid w:val="217A22CB"/>
    <w:rsid w:val="219405BB"/>
    <w:rsid w:val="219E55D3"/>
    <w:rsid w:val="21A97F88"/>
    <w:rsid w:val="21B5392E"/>
    <w:rsid w:val="22141A80"/>
    <w:rsid w:val="221A0B49"/>
    <w:rsid w:val="225D46D5"/>
    <w:rsid w:val="22BC414A"/>
    <w:rsid w:val="22EF73B1"/>
    <w:rsid w:val="22F61857"/>
    <w:rsid w:val="231E25BB"/>
    <w:rsid w:val="23474BA1"/>
    <w:rsid w:val="234D5E1B"/>
    <w:rsid w:val="23522A46"/>
    <w:rsid w:val="23956A32"/>
    <w:rsid w:val="23B50BAC"/>
    <w:rsid w:val="23FF13A9"/>
    <w:rsid w:val="24043D2A"/>
    <w:rsid w:val="24085B1D"/>
    <w:rsid w:val="241E5CD3"/>
    <w:rsid w:val="24525E29"/>
    <w:rsid w:val="245E0F97"/>
    <w:rsid w:val="246663ED"/>
    <w:rsid w:val="24671674"/>
    <w:rsid w:val="246D27B7"/>
    <w:rsid w:val="24926765"/>
    <w:rsid w:val="24B659C5"/>
    <w:rsid w:val="24CA7C09"/>
    <w:rsid w:val="24EB5A5A"/>
    <w:rsid w:val="250D6B57"/>
    <w:rsid w:val="250E3F9A"/>
    <w:rsid w:val="25284887"/>
    <w:rsid w:val="25353F9A"/>
    <w:rsid w:val="258157FB"/>
    <w:rsid w:val="25BA0ADA"/>
    <w:rsid w:val="25D4692C"/>
    <w:rsid w:val="25D9195D"/>
    <w:rsid w:val="25F634E8"/>
    <w:rsid w:val="262518DA"/>
    <w:rsid w:val="267D2399"/>
    <w:rsid w:val="268C70C4"/>
    <w:rsid w:val="26C3475A"/>
    <w:rsid w:val="274243CE"/>
    <w:rsid w:val="27513464"/>
    <w:rsid w:val="27617FC1"/>
    <w:rsid w:val="27637980"/>
    <w:rsid w:val="27AA2ECC"/>
    <w:rsid w:val="27C10C81"/>
    <w:rsid w:val="27C6599E"/>
    <w:rsid w:val="287A53A0"/>
    <w:rsid w:val="289D60C5"/>
    <w:rsid w:val="28B5297E"/>
    <w:rsid w:val="290F02E0"/>
    <w:rsid w:val="2942746F"/>
    <w:rsid w:val="294A5EAA"/>
    <w:rsid w:val="296F408E"/>
    <w:rsid w:val="298C278E"/>
    <w:rsid w:val="29F24443"/>
    <w:rsid w:val="29FA4DB3"/>
    <w:rsid w:val="2A6334FF"/>
    <w:rsid w:val="2A814865"/>
    <w:rsid w:val="2AC02B05"/>
    <w:rsid w:val="2AD22063"/>
    <w:rsid w:val="2ADE4A5A"/>
    <w:rsid w:val="2AEB2F44"/>
    <w:rsid w:val="2B580267"/>
    <w:rsid w:val="2B904518"/>
    <w:rsid w:val="2BA44FCF"/>
    <w:rsid w:val="2BF37A45"/>
    <w:rsid w:val="2BF56177"/>
    <w:rsid w:val="2C043729"/>
    <w:rsid w:val="2C446624"/>
    <w:rsid w:val="2C6A192D"/>
    <w:rsid w:val="2CE5167B"/>
    <w:rsid w:val="2CF67B43"/>
    <w:rsid w:val="2D062784"/>
    <w:rsid w:val="2D402581"/>
    <w:rsid w:val="2D564730"/>
    <w:rsid w:val="2D8B3AA8"/>
    <w:rsid w:val="2D8B5555"/>
    <w:rsid w:val="2DAC144D"/>
    <w:rsid w:val="2DCA4A9B"/>
    <w:rsid w:val="2DD12791"/>
    <w:rsid w:val="2DE33931"/>
    <w:rsid w:val="2E0266F3"/>
    <w:rsid w:val="2E6A207C"/>
    <w:rsid w:val="2E9277C7"/>
    <w:rsid w:val="2EB21CA2"/>
    <w:rsid w:val="2EBE3270"/>
    <w:rsid w:val="2EE97D1D"/>
    <w:rsid w:val="2F272951"/>
    <w:rsid w:val="2FED0C50"/>
    <w:rsid w:val="303E3EDB"/>
    <w:rsid w:val="30750BCA"/>
    <w:rsid w:val="308570DA"/>
    <w:rsid w:val="308F2696"/>
    <w:rsid w:val="30AF20B2"/>
    <w:rsid w:val="30C71A99"/>
    <w:rsid w:val="30D67AED"/>
    <w:rsid w:val="30E672E7"/>
    <w:rsid w:val="30EF46A8"/>
    <w:rsid w:val="30F73308"/>
    <w:rsid w:val="30FC068C"/>
    <w:rsid w:val="30FF525B"/>
    <w:rsid w:val="3121636C"/>
    <w:rsid w:val="3128164D"/>
    <w:rsid w:val="31393D0B"/>
    <w:rsid w:val="31471305"/>
    <w:rsid w:val="31552F50"/>
    <w:rsid w:val="317F3A0E"/>
    <w:rsid w:val="318772B5"/>
    <w:rsid w:val="318B1795"/>
    <w:rsid w:val="318D5335"/>
    <w:rsid w:val="31CF708E"/>
    <w:rsid w:val="31D20CB8"/>
    <w:rsid w:val="31DC4B50"/>
    <w:rsid w:val="32025F32"/>
    <w:rsid w:val="32431F1A"/>
    <w:rsid w:val="324C7700"/>
    <w:rsid w:val="324E32ED"/>
    <w:rsid w:val="325A0134"/>
    <w:rsid w:val="32681759"/>
    <w:rsid w:val="32AF1CF9"/>
    <w:rsid w:val="32C55DBE"/>
    <w:rsid w:val="32EA1597"/>
    <w:rsid w:val="33351062"/>
    <w:rsid w:val="334A756F"/>
    <w:rsid w:val="334F51E5"/>
    <w:rsid w:val="33535654"/>
    <w:rsid w:val="335674D7"/>
    <w:rsid w:val="33631731"/>
    <w:rsid w:val="33647109"/>
    <w:rsid w:val="336809E1"/>
    <w:rsid w:val="33785864"/>
    <w:rsid w:val="33AC2E79"/>
    <w:rsid w:val="33D4015C"/>
    <w:rsid w:val="33F702EF"/>
    <w:rsid w:val="33FE4ED8"/>
    <w:rsid w:val="347E7293"/>
    <w:rsid w:val="349E27E5"/>
    <w:rsid w:val="35134CB4"/>
    <w:rsid w:val="353E4ABB"/>
    <w:rsid w:val="353E5DA2"/>
    <w:rsid w:val="358A706E"/>
    <w:rsid w:val="35EF1EC9"/>
    <w:rsid w:val="360266F6"/>
    <w:rsid w:val="36460F99"/>
    <w:rsid w:val="3681649D"/>
    <w:rsid w:val="36914A2B"/>
    <w:rsid w:val="36D9547C"/>
    <w:rsid w:val="36E641B0"/>
    <w:rsid w:val="37135E71"/>
    <w:rsid w:val="37201D86"/>
    <w:rsid w:val="372E2279"/>
    <w:rsid w:val="37340B1D"/>
    <w:rsid w:val="373F4B97"/>
    <w:rsid w:val="37522F6F"/>
    <w:rsid w:val="376F21F9"/>
    <w:rsid w:val="37BA0680"/>
    <w:rsid w:val="37F401F0"/>
    <w:rsid w:val="38050F1D"/>
    <w:rsid w:val="380B3E6A"/>
    <w:rsid w:val="382328E4"/>
    <w:rsid w:val="386A05F6"/>
    <w:rsid w:val="3877602E"/>
    <w:rsid w:val="38821652"/>
    <w:rsid w:val="389D29EF"/>
    <w:rsid w:val="38C77E4D"/>
    <w:rsid w:val="38CB3825"/>
    <w:rsid w:val="38D31EFB"/>
    <w:rsid w:val="38EF1480"/>
    <w:rsid w:val="390B61E4"/>
    <w:rsid w:val="3940251A"/>
    <w:rsid w:val="394967D1"/>
    <w:rsid w:val="395064D7"/>
    <w:rsid w:val="3961079B"/>
    <w:rsid w:val="39636DDD"/>
    <w:rsid w:val="399D7BBA"/>
    <w:rsid w:val="39A968A7"/>
    <w:rsid w:val="39AD0CCC"/>
    <w:rsid w:val="39AF7098"/>
    <w:rsid w:val="39DF4A9D"/>
    <w:rsid w:val="39E4143F"/>
    <w:rsid w:val="3A7F4B06"/>
    <w:rsid w:val="3A977B99"/>
    <w:rsid w:val="3A9C0161"/>
    <w:rsid w:val="3ABF55C9"/>
    <w:rsid w:val="3B07350D"/>
    <w:rsid w:val="3B146949"/>
    <w:rsid w:val="3B494567"/>
    <w:rsid w:val="3B786E57"/>
    <w:rsid w:val="3BA269CE"/>
    <w:rsid w:val="3BF74D73"/>
    <w:rsid w:val="3C1956B5"/>
    <w:rsid w:val="3C470F01"/>
    <w:rsid w:val="3C7E4D09"/>
    <w:rsid w:val="3CB1039E"/>
    <w:rsid w:val="3CBC08FD"/>
    <w:rsid w:val="3CBE7ACF"/>
    <w:rsid w:val="3CCF1E09"/>
    <w:rsid w:val="3D2B5CCA"/>
    <w:rsid w:val="3D346109"/>
    <w:rsid w:val="3D3E7892"/>
    <w:rsid w:val="3D6A0C7C"/>
    <w:rsid w:val="3D6D7A89"/>
    <w:rsid w:val="3D7C1DDE"/>
    <w:rsid w:val="3D9E4EC8"/>
    <w:rsid w:val="3D9E6899"/>
    <w:rsid w:val="3DA84DBE"/>
    <w:rsid w:val="3DC56D68"/>
    <w:rsid w:val="3DE06791"/>
    <w:rsid w:val="3DF937E3"/>
    <w:rsid w:val="3E391C30"/>
    <w:rsid w:val="3E7734E0"/>
    <w:rsid w:val="3E951A15"/>
    <w:rsid w:val="3EAD2E3C"/>
    <w:rsid w:val="3EB968CD"/>
    <w:rsid w:val="3F778C7B"/>
    <w:rsid w:val="3FB67F14"/>
    <w:rsid w:val="3FBA9291"/>
    <w:rsid w:val="3FFC6528"/>
    <w:rsid w:val="402E0FC4"/>
    <w:rsid w:val="405A4613"/>
    <w:rsid w:val="4060397D"/>
    <w:rsid w:val="406552EC"/>
    <w:rsid w:val="40B30B18"/>
    <w:rsid w:val="40CF23D7"/>
    <w:rsid w:val="40D55514"/>
    <w:rsid w:val="411063A8"/>
    <w:rsid w:val="41226AE7"/>
    <w:rsid w:val="413309DD"/>
    <w:rsid w:val="418D1537"/>
    <w:rsid w:val="41BE0FAC"/>
    <w:rsid w:val="41D32337"/>
    <w:rsid w:val="41FF0A67"/>
    <w:rsid w:val="420374D0"/>
    <w:rsid w:val="42064FC2"/>
    <w:rsid w:val="42141E62"/>
    <w:rsid w:val="422741EA"/>
    <w:rsid w:val="42585666"/>
    <w:rsid w:val="425A6597"/>
    <w:rsid w:val="426452A3"/>
    <w:rsid w:val="42AA547C"/>
    <w:rsid w:val="42DD0C8B"/>
    <w:rsid w:val="42F17D06"/>
    <w:rsid w:val="42F46FDC"/>
    <w:rsid w:val="43146368"/>
    <w:rsid w:val="431F2EC4"/>
    <w:rsid w:val="435C38A7"/>
    <w:rsid w:val="43A067A0"/>
    <w:rsid w:val="43AE495E"/>
    <w:rsid w:val="44550E45"/>
    <w:rsid w:val="4489684F"/>
    <w:rsid w:val="44C04B5B"/>
    <w:rsid w:val="44CB58A8"/>
    <w:rsid w:val="44DF7562"/>
    <w:rsid w:val="45235D66"/>
    <w:rsid w:val="452D7DE1"/>
    <w:rsid w:val="454669E0"/>
    <w:rsid w:val="454D291D"/>
    <w:rsid w:val="4565162D"/>
    <w:rsid w:val="45735417"/>
    <w:rsid w:val="45820089"/>
    <w:rsid w:val="458768EA"/>
    <w:rsid w:val="45A9335D"/>
    <w:rsid w:val="45B9610A"/>
    <w:rsid w:val="45C5296F"/>
    <w:rsid w:val="45D93101"/>
    <w:rsid w:val="465F670E"/>
    <w:rsid w:val="46923296"/>
    <w:rsid w:val="469E06AA"/>
    <w:rsid w:val="46A35290"/>
    <w:rsid w:val="46B20870"/>
    <w:rsid w:val="46BA1434"/>
    <w:rsid w:val="46DE2AC4"/>
    <w:rsid w:val="47237081"/>
    <w:rsid w:val="47242D51"/>
    <w:rsid w:val="475C6F0F"/>
    <w:rsid w:val="478550DE"/>
    <w:rsid w:val="479D11C6"/>
    <w:rsid w:val="47E663A7"/>
    <w:rsid w:val="47E81371"/>
    <w:rsid w:val="482E0744"/>
    <w:rsid w:val="48832BE0"/>
    <w:rsid w:val="488F6C58"/>
    <w:rsid w:val="48A1650E"/>
    <w:rsid w:val="48A84BA3"/>
    <w:rsid w:val="48CB0E7D"/>
    <w:rsid w:val="48F514A5"/>
    <w:rsid w:val="493F0230"/>
    <w:rsid w:val="496D1BA9"/>
    <w:rsid w:val="49B22896"/>
    <w:rsid w:val="49CB1BAA"/>
    <w:rsid w:val="49D11EAC"/>
    <w:rsid w:val="49F61ACB"/>
    <w:rsid w:val="49FA28DF"/>
    <w:rsid w:val="4A2D17DA"/>
    <w:rsid w:val="4A4675C3"/>
    <w:rsid w:val="4A4C5208"/>
    <w:rsid w:val="4A8927A6"/>
    <w:rsid w:val="4AC036E8"/>
    <w:rsid w:val="4AC760EA"/>
    <w:rsid w:val="4AD8632C"/>
    <w:rsid w:val="4AEC627C"/>
    <w:rsid w:val="4B1C6B9E"/>
    <w:rsid w:val="4B2C243B"/>
    <w:rsid w:val="4B3B30DB"/>
    <w:rsid w:val="4B421DA5"/>
    <w:rsid w:val="4B4A5785"/>
    <w:rsid w:val="4B790CA2"/>
    <w:rsid w:val="4B98430C"/>
    <w:rsid w:val="4BA74373"/>
    <w:rsid w:val="4BC64573"/>
    <w:rsid w:val="4C16799F"/>
    <w:rsid w:val="4C1C049B"/>
    <w:rsid w:val="4C261585"/>
    <w:rsid w:val="4C2D3A30"/>
    <w:rsid w:val="4CA1354D"/>
    <w:rsid w:val="4CB64798"/>
    <w:rsid w:val="4CF91CC3"/>
    <w:rsid w:val="4D105E11"/>
    <w:rsid w:val="4D3337E2"/>
    <w:rsid w:val="4D3B0F38"/>
    <w:rsid w:val="4D640BC1"/>
    <w:rsid w:val="4D810EB4"/>
    <w:rsid w:val="4DFA07BB"/>
    <w:rsid w:val="4E166581"/>
    <w:rsid w:val="4E427551"/>
    <w:rsid w:val="4E6E3A66"/>
    <w:rsid w:val="4E7061A0"/>
    <w:rsid w:val="4EB03827"/>
    <w:rsid w:val="4EED094E"/>
    <w:rsid w:val="4F041DE6"/>
    <w:rsid w:val="4F5502A8"/>
    <w:rsid w:val="4F9D5310"/>
    <w:rsid w:val="4F9E292E"/>
    <w:rsid w:val="4FA727D4"/>
    <w:rsid w:val="4FFD681F"/>
    <w:rsid w:val="500018BC"/>
    <w:rsid w:val="50011E81"/>
    <w:rsid w:val="50250266"/>
    <w:rsid w:val="504226CA"/>
    <w:rsid w:val="50C64E79"/>
    <w:rsid w:val="50DE6667"/>
    <w:rsid w:val="513C1731"/>
    <w:rsid w:val="514214DC"/>
    <w:rsid w:val="515A0FD2"/>
    <w:rsid w:val="51660888"/>
    <w:rsid w:val="5181579E"/>
    <w:rsid w:val="51A83299"/>
    <w:rsid w:val="52036385"/>
    <w:rsid w:val="52065E75"/>
    <w:rsid w:val="521C656E"/>
    <w:rsid w:val="52224331"/>
    <w:rsid w:val="5227238D"/>
    <w:rsid w:val="523C2BCA"/>
    <w:rsid w:val="52A84307"/>
    <w:rsid w:val="52D198D2"/>
    <w:rsid w:val="52E635B0"/>
    <w:rsid w:val="52EB6EFA"/>
    <w:rsid w:val="536B290F"/>
    <w:rsid w:val="537930FC"/>
    <w:rsid w:val="53AC6653"/>
    <w:rsid w:val="53FA37B7"/>
    <w:rsid w:val="54073BAC"/>
    <w:rsid w:val="54097D48"/>
    <w:rsid w:val="540B7534"/>
    <w:rsid w:val="542B04BF"/>
    <w:rsid w:val="54764ED6"/>
    <w:rsid w:val="548A09C2"/>
    <w:rsid w:val="54F56B06"/>
    <w:rsid w:val="552D6CE0"/>
    <w:rsid w:val="55432854"/>
    <w:rsid w:val="554967A4"/>
    <w:rsid w:val="55ED5354"/>
    <w:rsid w:val="561C34A7"/>
    <w:rsid w:val="5621573C"/>
    <w:rsid w:val="56312D95"/>
    <w:rsid w:val="56723AD9"/>
    <w:rsid w:val="567D5FDA"/>
    <w:rsid w:val="571563F0"/>
    <w:rsid w:val="57323268"/>
    <w:rsid w:val="575213BF"/>
    <w:rsid w:val="577C77EE"/>
    <w:rsid w:val="57B27CEE"/>
    <w:rsid w:val="57E91B79"/>
    <w:rsid w:val="57FB21B7"/>
    <w:rsid w:val="57FB4603"/>
    <w:rsid w:val="58444534"/>
    <w:rsid w:val="58767185"/>
    <w:rsid w:val="588420CA"/>
    <w:rsid w:val="58CE4885"/>
    <w:rsid w:val="58F06C5F"/>
    <w:rsid w:val="58F8777F"/>
    <w:rsid w:val="594B6385"/>
    <w:rsid w:val="59606E1A"/>
    <w:rsid w:val="59610F3C"/>
    <w:rsid w:val="59625723"/>
    <w:rsid w:val="596F3F43"/>
    <w:rsid w:val="597715CC"/>
    <w:rsid w:val="5A1C3AC5"/>
    <w:rsid w:val="5A1C5FBA"/>
    <w:rsid w:val="5A273430"/>
    <w:rsid w:val="5A8B6567"/>
    <w:rsid w:val="5A8D599C"/>
    <w:rsid w:val="5A9304C2"/>
    <w:rsid w:val="5AD602D0"/>
    <w:rsid w:val="5AE96331"/>
    <w:rsid w:val="5AFB0056"/>
    <w:rsid w:val="5B264E92"/>
    <w:rsid w:val="5B6B1EF9"/>
    <w:rsid w:val="5B6F3EF7"/>
    <w:rsid w:val="5B7148DE"/>
    <w:rsid w:val="5B8B6C2C"/>
    <w:rsid w:val="5B9577A4"/>
    <w:rsid w:val="5BB82F9C"/>
    <w:rsid w:val="5BC0067F"/>
    <w:rsid w:val="5BDA7213"/>
    <w:rsid w:val="5BFF5C30"/>
    <w:rsid w:val="5C084598"/>
    <w:rsid w:val="5C0A24CA"/>
    <w:rsid w:val="5C0D1781"/>
    <w:rsid w:val="5C0E6052"/>
    <w:rsid w:val="5C2E5C4B"/>
    <w:rsid w:val="5C62401C"/>
    <w:rsid w:val="5C9B6DBC"/>
    <w:rsid w:val="5CE172C2"/>
    <w:rsid w:val="5D0E6E6F"/>
    <w:rsid w:val="5D27015D"/>
    <w:rsid w:val="5D36061C"/>
    <w:rsid w:val="5D613219"/>
    <w:rsid w:val="5D7003C2"/>
    <w:rsid w:val="5DD32BF7"/>
    <w:rsid w:val="5E0E40DE"/>
    <w:rsid w:val="5E3A7745"/>
    <w:rsid w:val="5E582E8C"/>
    <w:rsid w:val="5E7A5CD0"/>
    <w:rsid w:val="5EB80508"/>
    <w:rsid w:val="5ED60B1C"/>
    <w:rsid w:val="5EDE4267"/>
    <w:rsid w:val="5F5435B3"/>
    <w:rsid w:val="5F5E65E2"/>
    <w:rsid w:val="5F7B4C5E"/>
    <w:rsid w:val="5FBA1C7F"/>
    <w:rsid w:val="60006884"/>
    <w:rsid w:val="602A7314"/>
    <w:rsid w:val="607853FD"/>
    <w:rsid w:val="608B0080"/>
    <w:rsid w:val="608E2C7F"/>
    <w:rsid w:val="60ED2175"/>
    <w:rsid w:val="612F7066"/>
    <w:rsid w:val="61410811"/>
    <w:rsid w:val="615A2F22"/>
    <w:rsid w:val="619E7B58"/>
    <w:rsid w:val="61C2304A"/>
    <w:rsid w:val="61DA389B"/>
    <w:rsid w:val="61F53F91"/>
    <w:rsid w:val="62017CD5"/>
    <w:rsid w:val="62082F3C"/>
    <w:rsid w:val="622938A5"/>
    <w:rsid w:val="62557A45"/>
    <w:rsid w:val="6269266B"/>
    <w:rsid w:val="627C4499"/>
    <w:rsid w:val="628232F6"/>
    <w:rsid w:val="62985900"/>
    <w:rsid w:val="629F4D22"/>
    <w:rsid w:val="62D4771E"/>
    <w:rsid w:val="62D65FCB"/>
    <w:rsid w:val="62DE6B35"/>
    <w:rsid w:val="63836D2F"/>
    <w:rsid w:val="63C9592A"/>
    <w:rsid w:val="63CA7B50"/>
    <w:rsid w:val="63CB6E78"/>
    <w:rsid w:val="63DF6B1A"/>
    <w:rsid w:val="63F9292C"/>
    <w:rsid w:val="64484D7D"/>
    <w:rsid w:val="644A1BF1"/>
    <w:rsid w:val="644C495D"/>
    <w:rsid w:val="64530827"/>
    <w:rsid w:val="647158EB"/>
    <w:rsid w:val="64986E00"/>
    <w:rsid w:val="64B45608"/>
    <w:rsid w:val="64FD39BC"/>
    <w:rsid w:val="65203492"/>
    <w:rsid w:val="6547121B"/>
    <w:rsid w:val="655D7FA1"/>
    <w:rsid w:val="658355A1"/>
    <w:rsid w:val="65BC21E0"/>
    <w:rsid w:val="65CB39C1"/>
    <w:rsid w:val="66032C5F"/>
    <w:rsid w:val="661D72F9"/>
    <w:rsid w:val="664647F4"/>
    <w:rsid w:val="66C82224"/>
    <w:rsid w:val="66DB5EC0"/>
    <w:rsid w:val="66EE6C6C"/>
    <w:rsid w:val="67120469"/>
    <w:rsid w:val="678069F0"/>
    <w:rsid w:val="678B64F1"/>
    <w:rsid w:val="67F307F2"/>
    <w:rsid w:val="685E422D"/>
    <w:rsid w:val="68AA1EC4"/>
    <w:rsid w:val="68C46AF0"/>
    <w:rsid w:val="68D87BAD"/>
    <w:rsid w:val="69403BFF"/>
    <w:rsid w:val="69404428"/>
    <w:rsid w:val="697D3697"/>
    <w:rsid w:val="6A185A1C"/>
    <w:rsid w:val="6A5316ED"/>
    <w:rsid w:val="6A8676FB"/>
    <w:rsid w:val="6AA87672"/>
    <w:rsid w:val="6B293D9A"/>
    <w:rsid w:val="6B4725E3"/>
    <w:rsid w:val="6B7A68DE"/>
    <w:rsid w:val="6BA914A8"/>
    <w:rsid w:val="6BA92274"/>
    <w:rsid w:val="6BDE1078"/>
    <w:rsid w:val="6C2C1B05"/>
    <w:rsid w:val="6C515AE7"/>
    <w:rsid w:val="6C97799E"/>
    <w:rsid w:val="6CA11693"/>
    <w:rsid w:val="6CA6202F"/>
    <w:rsid w:val="6CAC1493"/>
    <w:rsid w:val="6CAD5413"/>
    <w:rsid w:val="6CD7380D"/>
    <w:rsid w:val="6CE10C19"/>
    <w:rsid w:val="6D201119"/>
    <w:rsid w:val="6D4C7925"/>
    <w:rsid w:val="6D5A6403"/>
    <w:rsid w:val="6D5C06AE"/>
    <w:rsid w:val="6D67668E"/>
    <w:rsid w:val="6DED03D4"/>
    <w:rsid w:val="6DF337EC"/>
    <w:rsid w:val="6E0A5936"/>
    <w:rsid w:val="6E2600B5"/>
    <w:rsid w:val="6E473FCD"/>
    <w:rsid w:val="6E612994"/>
    <w:rsid w:val="6EC752B0"/>
    <w:rsid w:val="6ECB6F9F"/>
    <w:rsid w:val="6ED9295C"/>
    <w:rsid w:val="6EF64019"/>
    <w:rsid w:val="6EF750C9"/>
    <w:rsid w:val="6F252AAD"/>
    <w:rsid w:val="6F255735"/>
    <w:rsid w:val="6F4A519B"/>
    <w:rsid w:val="6F64527E"/>
    <w:rsid w:val="6F7A3CC0"/>
    <w:rsid w:val="6FA47EE8"/>
    <w:rsid w:val="6FA973ED"/>
    <w:rsid w:val="6FBB387F"/>
    <w:rsid w:val="7020238E"/>
    <w:rsid w:val="705F3231"/>
    <w:rsid w:val="70607A2D"/>
    <w:rsid w:val="70650505"/>
    <w:rsid w:val="70651D96"/>
    <w:rsid w:val="707304F0"/>
    <w:rsid w:val="70B84AFB"/>
    <w:rsid w:val="70BE7F18"/>
    <w:rsid w:val="70DA6087"/>
    <w:rsid w:val="70F1533B"/>
    <w:rsid w:val="70FA04FB"/>
    <w:rsid w:val="718212CE"/>
    <w:rsid w:val="718F575C"/>
    <w:rsid w:val="719D5C47"/>
    <w:rsid w:val="71D14FAE"/>
    <w:rsid w:val="71D528FA"/>
    <w:rsid w:val="723A6993"/>
    <w:rsid w:val="725620A9"/>
    <w:rsid w:val="72A7693A"/>
    <w:rsid w:val="72B9172D"/>
    <w:rsid w:val="72D12DD4"/>
    <w:rsid w:val="733013C5"/>
    <w:rsid w:val="735E6A2E"/>
    <w:rsid w:val="738E3E5B"/>
    <w:rsid w:val="741B476E"/>
    <w:rsid w:val="74593A1A"/>
    <w:rsid w:val="74C268A7"/>
    <w:rsid w:val="74E035BA"/>
    <w:rsid w:val="74EA3DFA"/>
    <w:rsid w:val="7575450C"/>
    <w:rsid w:val="757A1BBB"/>
    <w:rsid w:val="75914E8A"/>
    <w:rsid w:val="75AF6610"/>
    <w:rsid w:val="75D5241C"/>
    <w:rsid w:val="76000750"/>
    <w:rsid w:val="76020C18"/>
    <w:rsid w:val="76262768"/>
    <w:rsid w:val="762A1EF8"/>
    <w:rsid w:val="769D790F"/>
    <w:rsid w:val="76B03266"/>
    <w:rsid w:val="76C95286"/>
    <w:rsid w:val="77027DA6"/>
    <w:rsid w:val="77232D4C"/>
    <w:rsid w:val="77352528"/>
    <w:rsid w:val="773A3F7D"/>
    <w:rsid w:val="774921A7"/>
    <w:rsid w:val="77493F8A"/>
    <w:rsid w:val="7783749C"/>
    <w:rsid w:val="77937168"/>
    <w:rsid w:val="77FD4F1F"/>
    <w:rsid w:val="78356E3D"/>
    <w:rsid w:val="783A38D3"/>
    <w:rsid w:val="783C76EC"/>
    <w:rsid w:val="78812137"/>
    <w:rsid w:val="78B1091B"/>
    <w:rsid w:val="78B61821"/>
    <w:rsid w:val="78B7156B"/>
    <w:rsid w:val="78CD5BE3"/>
    <w:rsid w:val="78F63C9E"/>
    <w:rsid w:val="793643CF"/>
    <w:rsid w:val="79571192"/>
    <w:rsid w:val="795B5254"/>
    <w:rsid w:val="795FE52D"/>
    <w:rsid w:val="79EB12BD"/>
    <w:rsid w:val="7A3C0679"/>
    <w:rsid w:val="7A6C4DA8"/>
    <w:rsid w:val="7AAC6D0A"/>
    <w:rsid w:val="7ACD41A8"/>
    <w:rsid w:val="7AD674D4"/>
    <w:rsid w:val="7AD735DD"/>
    <w:rsid w:val="7ADB2D19"/>
    <w:rsid w:val="7AEF0BC9"/>
    <w:rsid w:val="7B302FF9"/>
    <w:rsid w:val="7B6F0238"/>
    <w:rsid w:val="7B7A34C4"/>
    <w:rsid w:val="7BA23C69"/>
    <w:rsid w:val="7BB87930"/>
    <w:rsid w:val="7BBC208F"/>
    <w:rsid w:val="7BE90D12"/>
    <w:rsid w:val="7BED1FA7"/>
    <w:rsid w:val="7BFD268B"/>
    <w:rsid w:val="7C5D7A84"/>
    <w:rsid w:val="7C985069"/>
    <w:rsid w:val="7CBB35AB"/>
    <w:rsid w:val="7D010CB5"/>
    <w:rsid w:val="7D2A2F98"/>
    <w:rsid w:val="7D3E4628"/>
    <w:rsid w:val="7D5B7A91"/>
    <w:rsid w:val="7D684F7F"/>
    <w:rsid w:val="7DA92B63"/>
    <w:rsid w:val="7DAE4DB7"/>
    <w:rsid w:val="7DBA3708"/>
    <w:rsid w:val="7DCF4714"/>
    <w:rsid w:val="7DCFA615"/>
    <w:rsid w:val="7DD91E91"/>
    <w:rsid w:val="7DDE6F1F"/>
    <w:rsid w:val="7DEF2E3B"/>
    <w:rsid w:val="7DF05927"/>
    <w:rsid w:val="7DFFA33C"/>
    <w:rsid w:val="7E10659C"/>
    <w:rsid w:val="7E2801E5"/>
    <w:rsid w:val="7E3C152F"/>
    <w:rsid w:val="7E436780"/>
    <w:rsid w:val="7E935395"/>
    <w:rsid w:val="7EBFA113"/>
    <w:rsid w:val="7EF4992D"/>
    <w:rsid w:val="7F571DBD"/>
    <w:rsid w:val="7F6244B6"/>
    <w:rsid w:val="7F7830A3"/>
    <w:rsid w:val="7F7C6557"/>
    <w:rsid w:val="7FAD88CF"/>
    <w:rsid w:val="7FB1091F"/>
    <w:rsid w:val="7FE82B2E"/>
    <w:rsid w:val="7FF80366"/>
    <w:rsid w:val="7FFA444C"/>
    <w:rsid w:val="7FFB2A2C"/>
    <w:rsid w:val="7FFD20D5"/>
    <w:rsid w:val="9AF7605C"/>
    <w:rsid w:val="9FFEF9BC"/>
    <w:rsid w:val="9FFFCA1D"/>
    <w:rsid w:val="B9FF05DA"/>
    <w:rsid w:val="C27F5C58"/>
    <w:rsid w:val="C9A47853"/>
    <w:rsid w:val="D7AE142C"/>
    <w:rsid w:val="D7DF197A"/>
    <w:rsid w:val="DDBF7633"/>
    <w:rsid w:val="EB7FBD9B"/>
    <w:rsid w:val="EF7751D5"/>
    <w:rsid w:val="F3FBF677"/>
    <w:rsid w:val="F4048375"/>
    <w:rsid w:val="FBFFDDD2"/>
    <w:rsid w:val="FCFE354C"/>
    <w:rsid w:val="FD9E9807"/>
    <w:rsid w:val="FF7BCCCF"/>
    <w:rsid w:val="FF9EF8E4"/>
    <w:rsid w:val="FFDEFFEB"/>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name="index 1"/>
    <w:lsdException w:uiPriority="0" w:name="index 2"/>
    <w:lsdException w:uiPriority="0" w:name="index 3"/>
    <w:lsdException w:qFormat="1" w:unhideWhenUsed="0" w:uiPriority="0"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name="toc 4"/>
    <w:lsdException w:qFormat="1" w:unhideWhenUsed="0" w:uiPriority="0" w:name="toc 5"/>
    <w:lsdException w:qFormat="1" w:uiPriority="39" w:name="toc 6"/>
    <w:lsdException w:uiPriority="39" w:name="toc 7"/>
    <w:lsdException w:qFormat="1" w:unhideWhenUsed="0" w:uiPriority="0" w:name="toc 8"/>
    <w:lsdException w:uiPriority="39" w:name="toc 9"/>
    <w:lsdException w:qFormat="1" w:unhideWhenUsed="0" w:uiPriority="0" w:semiHidden="0" w:name="Normal Indent"/>
    <w:lsdException w:qFormat="1" w:uiPriority="99"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nhideWhenUsed="0" w:uiPriority="0" w:semiHidden="0" w:name="caption"/>
    <w:lsdException w:qFormat="1" w:uiPriority="0" w:semiHidden="0" w:name="table of figures"/>
    <w:lsdException w:uiPriority="0" w:name="envelope address"/>
    <w:lsdException w:qFormat="1" w:unhideWhenUsed="0" w:uiPriority="99" w:semiHidden="0" w:name="envelope return"/>
    <w:lsdException w:qFormat="1" w:uiPriority="99" w:semiHidden="0" w:name="footnote reference"/>
    <w:lsdException w:qFormat="1" w:unhideWhenUsed="0" w:uiPriority="99" w:semiHidden="0" w:name="annotation reference"/>
    <w:lsdException w:uiPriority="0" w:name="line number"/>
    <w:lsdException w:qFormat="1" w:unhideWhenUsed="0" w:uiPriority="0" w:semiHidden="0" w:name="page number"/>
    <w:lsdException w:uiPriority="0" w:name="endnote reference"/>
    <w:lsdException w:qFormat="1" w:unhideWhenUsed="0" w:uiPriority="0" w:name="endnote text"/>
    <w:lsdException w:uiPriority="0" w:name="table of authorities"/>
    <w:lsdException w:uiPriority="0" w:name="macro"/>
    <w:lsdException w:uiPriority="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uiPriority="0" w:name="List 5"/>
    <w:lsdException w:qFormat="1" w:unhideWhenUsed="0" w:uiPriority="0" w:semiHidden="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iPriority="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qFormat="1" w:unhideWhenUsed="0" w:uiPriority="0" w:semiHidden="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480" w:firstLineChars="200"/>
    </w:pPr>
    <w:rPr>
      <w:rFonts w:ascii="Times New Roman" w:hAnsi="Times New Roman" w:eastAsia="微软雅黑" w:cs="Times New Roman"/>
      <w:kern w:val="2"/>
      <w:sz w:val="21"/>
      <w:szCs w:val="24"/>
      <w:lang w:val="en-US" w:eastAsia="zh-CN" w:bidi="ar-SA"/>
    </w:rPr>
  </w:style>
  <w:style w:type="paragraph" w:styleId="2">
    <w:name w:val="heading 1"/>
    <w:basedOn w:val="1"/>
    <w:next w:val="1"/>
    <w:link w:val="70"/>
    <w:qFormat/>
    <w:uiPriority w:val="9"/>
    <w:pPr>
      <w:keepNext/>
      <w:keepLines/>
      <w:ind w:firstLine="0" w:firstLineChars="0"/>
      <w:jc w:val="center"/>
      <w:outlineLvl w:val="0"/>
    </w:pPr>
    <w:rPr>
      <w:b/>
      <w:bCs/>
      <w:kern w:val="44"/>
      <w:sz w:val="24"/>
      <w:szCs w:val="44"/>
    </w:rPr>
  </w:style>
  <w:style w:type="paragraph" w:styleId="3">
    <w:name w:val="heading 2"/>
    <w:basedOn w:val="4"/>
    <w:next w:val="1"/>
    <w:link w:val="155"/>
    <w:qFormat/>
    <w:uiPriority w:val="9"/>
    <w:pPr>
      <w:keepNext/>
      <w:adjustRightInd w:val="0"/>
      <w:snapToGrid w:val="0"/>
      <w:textAlignment w:val="baseline"/>
      <w:outlineLvl w:val="1"/>
    </w:pPr>
    <w:rPr>
      <w:rFonts w:ascii="仿宋_GB2312" w:hAnsi="仿宋_GB2312"/>
      <w:b/>
      <w:kern w:val="0"/>
      <w:szCs w:val="20"/>
    </w:rPr>
  </w:style>
  <w:style w:type="paragraph" w:styleId="4">
    <w:name w:val="heading 3"/>
    <w:basedOn w:val="1"/>
    <w:next w:val="1"/>
    <w:link w:val="71"/>
    <w:qFormat/>
    <w:uiPriority w:val="0"/>
    <w:pPr>
      <w:keepNext/>
      <w:keepLines/>
      <w:ind w:firstLine="602"/>
      <w:outlineLvl w:val="2"/>
    </w:pPr>
    <w:rPr>
      <w:rFonts w:ascii="仿宋_GB2312" w:hAnsi="仿宋_GB2312"/>
      <w:bCs/>
      <w:szCs w:val="20"/>
    </w:rPr>
  </w:style>
  <w:style w:type="paragraph" w:styleId="5">
    <w:name w:val="heading 4"/>
    <w:basedOn w:val="1"/>
    <w:next w:val="1"/>
    <w:link w:val="68"/>
    <w:qFormat/>
    <w:uiPriority w:val="0"/>
    <w:pPr>
      <w:keepNext/>
      <w:keepLines/>
      <w:outlineLvl w:val="3"/>
    </w:pPr>
    <w:rPr>
      <w:rFonts w:ascii="等线 Light" w:hAnsi="等线 Light"/>
      <w:b/>
      <w:bCs/>
      <w:szCs w:val="28"/>
    </w:rPr>
  </w:style>
  <w:style w:type="paragraph" w:styleId="6">
    <w:name w:val="heading 5"/>
    <w:basedOn w:val="1"/>
    <w:next w:val="1"/>
    <w:link w:val="150"/>
    <w:qFormat/>
    <w:uiPriority w:val="0"/>
    <w:pPr>
      <w:keepNext/>
      <w:keepLines/>
      <w:outlineLvl w:val="4"/>
    </w:pPr>
    <w:rPr>
      <w:b/>
      <w:bCs/>
      <w:szCs w:val="28"/>
    </w:rPr>
  </w:style>
  <w:style w:type="paragraph" w:styleId="7">
    <w:name w:val="heading 6"/>
    <w:basedOn w:val="1"/>
    <w:next w:val="1"/>
    <w:link w:val="151"/>
    <w:qFormat/>
    <w:uiPriority w:val="0"/>
    <w:pPr>
      <w:keepNext/>
      <w:keepLines/>
      <w:spacing w:before="240" w:after="64" w:line="320" w:lineRule="auto"/>
      <w:outlineLvl w:val="5"/>
    </w:pPr>
    <w:rPr>
      <w:rFonts w:ascii="Arial" w:hAnsi="Arial" w:eastAsia="黑体"/>
      <w:b/>
      <w:bCs/>
      <w:sz w:val="24"/>
      <w:szCs w:val="20"/>
    </w:rPr>
  </w:style>
  <w:style w:type="paragraph" w:styleId="8">
    <w:name w:val="heading 7"/>
    <w:basedOn w:val="1"/>
    <w:next w:val="1"/>
    <w:link w:val="152"/>
    <w:qFormat/>
    <w:uiPriority w:val="0"/>
    <w:pPr>
      <w:keepNext/>
      <w:keepLines/>
      <w:adjustRightInd w:val="0"/>
      <w:spacing w:before="240" w:after="64" w:line="320" w:lineRule="atLeast"/>
      <w:textAlignment w:val="baseline"/>
      <w:outlineLvl w:val="6"/>
    </w:pPr>
    <w:rPr>
      <w:rFonts w:ascii="宋体" w:eastAsia="仿宋_GB2312"/>
      <w:b/>
      <w:kern w:val="0"/>
      <w:sz w:val="24"/>
      <w:szCs w:val="20"/>
    </w:rPr>
  </w:style>
  <w:style w:type="paragraph" w:styleId="9">
    <w:name w:val="heading 8"/>
    <w:basedOn w:val="1"/>
    <w:next w:val="1"/>
    <w:link w:val="153"/>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0">
    <w:name w:val="heading 9"/>
    <w:basedOn w:val="1"/>
    <w:next w:val="1"/>
    <w:link w:val="154"/>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58">
    <w:name w:val="Default Paragraph Font"/>
    <w:semiHidden/>
    <w:unhideWhenUsed/>
    <w:qFormat/>
    <w:uiPriority w:val="1"/>
  </w:style>
  <w:style w:type="table" w:default="1" w:styleId="54">
    <w:name w:val="Normal Table"/>
    <w:semiHidden/>
    <w:unhideWhenUsed/>
    <w:qFormat/>
    <w:uiPriority w:val="99"/>
    <w:tblPr>
      <w:tblCellMar>
        <w:top w:w="0" w:type="dxa"/>
        <w:left w:w="108" w:type="dxa"/>
        <w:bottom w:w="0" w:type="dxa"/>
        <w:right w:w="108" w:type="dxa"/>
      </w:tblCellMar>
    </w:tblPr>
  </w:style>
  <w:style w:type="paragraph" w:styleId="11">
    <w:name w:val="List Number"/>
    <w:basedOn w:val="1"/>
    <w:qFormat/>
    <w:uiPriority w:val="0"/>
    <w:pPr>
      <w:widowControl/>
      <w:numPr>
        <w:ilvl w:val="0"/>
        <w:numId w:val="1"/>
      </w:numPr>
      <w:tabs>
        <w:tab w:val="left" w:pos="454"/>
      </w:tabs>
      <w:spacing w:afterLines="50"/>
      <w:ind w:left="454" w:hanging="284"/>
    </w:pPr>
    <w:rPr>
      <w:kern w:val="0"/>
      <w:sz w:val="24"/>
      <w:szCs w:val="20"/>
    </w:rPr>
  </w:style>
  <w:style w:type="paragraph" w:styleId="12">
    <w:name w:val="Normal Indent"/>
    <w:basedOn w:val="1"/>
    <w:next w:val="13"/>
    <w:link w:val="73"/>
    <w:qFormat/>
    <w:uiPriority w:val="0"/>
    <w:pPr>
      <w:ind w:firstLine="420"/>
    </w:pPr>
    <w:rPr>
      <w:szCs w:val="20"/>
    </w:rPr>
  </w:style>
  <w:style w:type="paragraph" w:styleId="13">
    <w:name w:val="Body Text Indent"/>
    <w:basedOn w:val="1"/>
    <w:next w:val="12"/>
    <w:link w:val="77"/>
    <w:qFormat/>
    <w:uiPriority w:val="99"/>
    <w:pPr>
      <w:spacing w:line="200" w:lineRule="exact"/>
      <w:ind w:firstLine="301"/>
    </w:pPr>
    <w:rPr>
      <w:rFonts w:ascii="宋体" w:hAnsi="Courier New"/>
      <w:spacing w:val="-4"/>
      <w:sz w:val="18"/>
      <w:szCs w:val="20"/>
    </w:rPr>
  </w:style>
  <w:style w:type="paragraph" w:styleId="14">
    <w:name w:val="caption"/>
    <w:basedOn w:val="1"/>
    <w:next w:val="1"/>
    <w:qFormat/>
    <w:uiPriority w:val="0"/>
    <w:pPr>
      <w:spacing w:before="152" w:after="160"/>
    </w:pPr>
    <w:rPr>
      <w:rFonts w:ascii="Arial" w:hAnsi="Arial" w:eastAsia="黑体" w:cs="Arial"/>
      <w:sz w:val="20"/>
      <w:szCs w:val="20"/>
    </w:rPr>
  </w:style>
  <w:style w:type="paragraph" w:styleId="15">
    <w:name w:val="List Bullet"/>
    <w:basedOn w:val="1"/>
    <w:qFormat/>
    <w:uiPriority w:val="0"/>
    <w:pPr>
      <w:widowControl/>
      <w:tabs>
        <w:tab w:val="left" w:pos="900"/>
      </w:tabs>
      <w:spacing w:before="100" w:beforeAutospacing="1" w:afterLines="50" w:afterAutospacing="1"/>
      <w:ind w:left="900" w:hanging="420"/>
    </w:pPr>
    <w:rPr>
      <w:kern w:val="0"/>
      <w:szCs w:val="20"/>
    </w:rPr>
  </w:style>
  <w:style w:type="paragraph" w:styleId="16">
    <w:name w:val="Document Map"/>
    <w:basedOn w:val="1"/>
    <w:link w:val="220"/>
    <w:semiHidden/>
    <w:qFormat/>
    <w:uiPriority w:val="0"/>
    <w:pPr>
      <w:shd w:val="clear" w:color="auto" w:fill="000080"/>
    </w:pPr>
  </w:style>
  <w:style w:type="paragraph" w:styleId="17">
    <w:name w:val="annotation text"/>
    <w:basedOn w:val="1"/>
    <w:link w:val="75"/>
    <w:qFormat/>
    <w:uiPriority w:val="0"/>
  </w:style>
  <w:style w:type="paragraph" w:styleId="18">
    <w:name w:val="Body Text 3"/>
    <w:basedOn w:val="1"/>
    <w:link w:val="76"/>
    <w:qFormat/>
    <w:uiPriority w:val="0"/>
    <w:pPr>
      <w:spacing w:after="120"/>
    </w:pPr>
    <w:rPr>
      <w:sz w:val="16"/>
      <w:szCs w:val="16"/>
    </w:rPr>
  </w:style>
  <w:style w:type="paragraph" w:styleId="19">
    <w:name w:val="Body Text"/>
    <w:basedOn w:val="1"/>
    <w:link w:val="72"/>
    <w:qFormat/>
    <w:uiPriority w:val="0"/>
    <w:pPr>
      <w:spacing w:after="120"/>
    </w:pPr>
  </w:style>
  <w:style w:type="paragraph" w:styleId="20">
    <w:name w:val="List Number 3"/>
    <w:basedOn w:val="1"/>
    <w:qFormat/>
    <w:uiPriority w:val="0"/>
    <w:pPr>
      <w:numPr>
        <w:ilvl w:val="0"/>
        <w:numId w:val="2"/>
      </w:numPr>
    </w:pPr>
  </w:style>
  <w:style w:type="paragraph" w:styleId="21">
    <w:name w:val="List 2"/>
    <w:basedOn w:val="1"/>
    <w:qFormat/>
    <w:uiPriority w:val="0"/>
    <w:pPr>
      <w:ind w:left="566" w:hanging="283"/>
      <w:contextualSpacing/>
    </w:pPr>
  </w:style>
  <w:style w:type="paragraph" w:styleId="22">
    <w:name w:val="Block Text"/>
    <w:basedOn w:val="1"/>
    <w:qFormat/>
    <w:uiPriority w:val="0"/>
    <w:pPr>
      <w:spacing w:before="120"/>
      <w:ind w:left="824" w:right="202" w:firstLine="0" w:firstLineChars="0"/>
      <w:jc w:val="both"/>
    </w:pPr>
    <w:rPr>
      <w:rFonts w:ascii="宋体" w:eastAsia="宋体"/>
      <w:sz w:val="24"/>
      <w:szCs w:val="21"/>
    </w:rPr>
  </w:style>
  <w:style w:type="paragraph" w:styleId="23">
    <w:name w:val="List Bullet 2"/>
    <w:basedOn w:val="1"/>
    <w:qFormat/>
    <w:uiPriority w:val="0"/>
    <w:pPr>
      <w:tabs>
        <w:tab w:val="left" w:pos="360"/>
        <w:tab w:val="left" w:pos="1191"/>
      </w:tabs>
      <w:snapToGrid w:val="0"/>
      <w:ind w:left="482" w:hanging="482" w:hangingChars="200"/>
    </w:pPr>
    <w:rPr>
      <w:b/>
      <w:bCs/>
      <w:sz w:val="24"/>
      <w:szCs w:val="32"/>
    </w:rPr>
  </w:style>
  <w:style w:type="paragraph" w:styleId="24">
    <w:name w:val="index 4"/>
    <w:basedOn w:val="1"/>
    <w:next w:val="1"/>
    <w:qFormat/>
    <w:uiPriority w:val="0"/>
    <w:pPr>
      <w:ind w:left="600" w:leftChars="600"/>
    </w:pPr>
    <w:rPr>
      <w:rFonts w:ascii="Verdana" w:hAnsi="Verdana" w:eastAsia="宋体"/>
      <w:kern w:val="0"/>
      <w:sz w:val="20"/>
      <w:szCs w:val="20"/>
    </w:rPr>
  </w:style>
  <w:style w:type="paragraph" w:styleId="25">
    <w:name w:val="toc 5"/>
    <w:basedOn w:val="1"/>
    <w:next w:val="1"/>
    <w:semiHidden/>
    <w:qFormat/>
    <w:uiPriority w:val="0"/>
    <w:pPr>
      <w:spacing w:afterLines="50"/>
      <w:ind w:left="840"/>
    </w:pPr>
    <w:rPr>
      <w:snapToGrid w:val="0"/>
      <w:kern w:val="0"/>
      <w:sz w:val="18"/>
      <w:szCs w:val="18"/>
    </w:rPr>
  </w:style>
  <w:style w:type="paragraph" w:styleId="26">
    <w:name w:val="toc 3"/>
    <w:basedOn w:val="1"/>
    <w:next w:val="1"/>
    <w:qFormat/>
    <w:uiPriority w:val="39"/>
    <w:pPr>
      <w:tabs>
        <w:tab w:val="right" w:leader="dot" w:pos="8296"/>
      </w:tabs>
    </w:pPr>
    <w:rPr>
      <w:b/>
      <w:bCs/>
      <w:iCs/>
    </w:rPr>
  </w:style>
  <w:style w:type="paragraph" w:styleId="27">
    <w:name w:val="Plain Text"/>
    <w:basedOn w:val="1"/>
    <w:link w:val="80"/>
    <w:qFormat/>
    <w:uiPriority w:val="0"/>
    <w:rPr>
      <w:rFonts w:ascii="宋体" w:hAnsi="Courier New"/>
      <w:szCs w:val="20"/>
    </w:rPr>
  </w:style>
  <w:style w:type="paragraph" w:styleId="28">
    <w:name w:val="toc 8"/>
    <w:basedOn w:val="1"/>
    <w:next w:val="1"/>
    <w:semiHidden/>
    <w:qFormat/>
    <w:uiPriority w:val="0"/>
    <w:pPr>
      <w:spacing w:afterLines="50"/>
      <w:ind w:left="1470"/>
    </w:pPr>
    <w:rPr>
      <w:snapToGrid w:val="0"/>
      <w:kern w:val="0"/>
      <w:sz w:val="18"/>
      <w:szCs w:val="18"/>
    </w:rPr>
  </w:style>
  <w:style w:type="paragraph" w:styleId="29">
    <w:name w:val="Date"/>
    <w:basedOn w:val="1"/>
    <w:next w:val="1"/>
    <w:link w:val="82"/>
    <w:qFormat/>
    <w:uiPriority w:val="0"/>
    <w:pPr>
      <w:ind w:left="2500" w:leftChars="2500"/>
    </w:pPr>
    <w:rPr>
      <w:rFonts w:eastAsia="楷体_GB2312"/>
      <w:sz w:val="32"/>
      <w:szCs w:val="20"/>
    </w:rPr>
  </w:style>
  <w:style w:type="paragraph" w:styleId="30">
    <w:name w:val="Body Text Indent 2"/>
    <w:basedOn w:val="1"/>
    <w:link w:val="83"/>
    <w:qFormat/>
    <w:uiPriority w:val="0"/>
    <w:pPr>
      <w:snapToGrid w:val="0"/>
      <w:ind w:firstLine="542" w:firstLineChars="225"/>
    </w:pPr>
    <w:rPr>
      <w:rFonts w:ascii="仿宋_GB2312" w:hAnsi="宋体"/>
      <w:b/>
      <w:bCs/>
      <w:color w:val="000000"/>
      <w:sz w:val="24"/>
    </w:rPr>
  </w:style>
  <w:style w:type="paragraph" w:styleId="31">
    <w:name w:val="endnote text"/>
    <w:basedOn w:val="1"/>
    <w:link w:val="186"/>
    <w:semiHidden/>
    <w:qFormat/>
    <w:uiPriority w:val="0"/>
    <w:pPr>
      <w:snapToGrid w:val="0"/>
      <w:spacing w:afterLines="50"/>
    </w:pPr>
    <w:rPr>
      <w:rFonts w:ascii="宋体"/>
      <w:snapToGrid w:val="0"/>
      <w:kern w:val="0"/>
      <w:szCs w:val="20"/>
    </w:rPr>
  </w:style>
  <w:style w:type="paragraph" w:styleId="32">
    <w:name w:val="Balloon Text"/>
    <w:basedOn w:val="1"/>
    <w:link w:val="84"/>
    <w:qFormat/>
    <w:uiPriority w:val="0"/>
    <w:rPr>
      <w:sz w:val="18"/>
      <w:szCs w:val="18"/>
    </w:rPr>
  </w:style>
  <w:style w:type="paragraph" w:styleId="33">
    <w:name w:val="footer"/>
    <w:basedOn w:val="1"/>
    <w:link w:val="85"/>
    <w:qFormat/>
    <w:uiPriority w:val="0"/>
    <w:pPr>
      <w:tabs>
        <w:tab w:val="center" w:pos="4153"/>
        <w:tab w:val="right" w:pos="8306"/>
      </w:tabs>
      <w:snapToGrid w:val="0"/>
    </w:pPr>
    <w:rPr>
      <w:sz w:val="18"/>
      <w:szCs w:val="18"/>
    </w:rPr>
  </w:style>
  <w:style w:type="paragraph" w:styleId="34">
    <w:name w:val="envelope return"/>
    <w:basedOn w:val="1"/>
    <w:qFormat/>
    <w:uiPriority w:val="99"/>
    <w:pPr>
      <w:snapToGrid w:val="0"/>
    </w:pPr>
    <w:rPr>
      <w:rFonts w:ascii="Arial" w:hAnsi="Arial" w:cs="Arial"/>
    </w:rPr>
  </w:style>
  <w:style w:type="paragraph" w:styleId="35">
    <w:name w:val="header"/>
    <w:basedOn w:val="1"/>
    <w:link w:val="86"/>
    <w:qFormat/>
    <w:uiPriority w:val="99"/>
    <w:pPr>
      <w:pBdr>
        <w:bottom w:val="single" w:color="auto" w:sz="6" w:space="1"/>
      </w:pBdr>
      <w:tabs>
        <w:tab w:val="center" w:pos="4153"/>
        <w:tab w:val="right" w:pos="8306"/>
      </w:tabs>
      <w:snapToGrid w:val="0"/>
      <w:ind w:firstLine="360"/>
      <w:jc w:val="right"/>
    </w:pPr>
    <w:rPr>
      <w:sz w:val="18"/>
      <w:szCs w:val="18"/>
    </w:rPr>
  </w:style>
  <w:style w:type="paragraph" w:styleId="36">
    <w:name w:val="toc 1"/>
    <w:basedOn w:val="1"/>
    <w:next w:val="1"/>
    <w:qFormat/>
    <w:uiPriority w:val="39"/>
    <w:pPr>
      <w:tabs>
        <w:tab w:val="right" w:leader="dot" w:pos="9060"/>
      </w:tabs>
      <w:spacing w:before="120" w:after="120" w:line="720" w:lineRule="auto"/>
    </w:pPr>
    <w:rPr>
      <w:rFonts w:ascii="仿宋_GB2312" w:eastAsia="仿宋_GB2312"/>
      <w:bCs/>
      <w:caps/>
      <w:color w:val="FF6600"/>
      <w:sz w:val="36"/>
      <w:szCs w:val="36"/>
    </w:rPr>
  </w:style>
  <w:style w:type="paragraph" w:styleId="37">
    <w:name w:val="toc 4"/>
    <w:basedOn w:val="1"/>
    <w:next w:val="1"/>
    <w:semiHidden/>
    <w:qFormat/>
    <w:uiPriority w:val="0"/>
    <w:pPr>
      <w:ind w:left="629"/>
    </w:pPr>
    <w:rPr>
      <w:snapToGrid w:val="0"/>
      <w:kern w:val="0"/>
      <w:szCs w:val="18"/>
    </w:rPr>
  </w:style>
  <w:style w:type="paragraph" w:styleId="38">
    <w:name w:val="Subtitle"/>
    <w:basedOn w:val="1"/>
    <w:next w:val="1"/>
    <w:link w:val="89"/>
    <w:qFormat/>
    <w:uiPriority w:val="0"/>
    <w:pPr>
      <w:spacing w:before="240" w:after="60" w:line="312" w:lineRule="auto"/>
      <w:jc w:val="center"/>
      <w:outlineLvl w:val="1"/>
    </w:pPr>
    <w:rPr>
      <w:rFonts w:ascii="Cambria" w:hAnsi="Cambria"/>
      <w:b/>
      <w:bCs/>
      <w:kern w:val="28"/>
      <w:sz w:val="32"/>
      <w:szCs w:val="32"/>
    </w:rPr>
  </w:style>
  <w:style w:type="paragraph" w:styleId="39">
    <w:name w:val="List"/>
    <w:basedOn w:val="1"/>
    <w:qFormat/>
    <w:uiPriority w:val="0"/>
    <w:pPr>
      <w:ind w:left="283" w:hanging="283"/>
      <w:contextualSpacing/>
    </w:pPr>
  </w:style>
  <w:style w:type="paragraph" w:styleId="40">
    <w:name w:val="footnote text"/>
    <w:basedOn w:val="1"/>
    <w:link w:val="90"/>
    <w:unhideWhenUsed/>
    <w:qFormat/>
    <w:uiPriority w:val="99"/>
    <w:pPr>
      <w:snapToGrid w:val="0"/>
    </w:pPr>
    <w:rPr>
      <w:rFonts w:ascii="Calibri" w:hAnsi="Calibri"/>
      <w:sz w:val="18"/>
    </w:rPr>
  </w:style>
  <w:style w:type="paragraph" w:styleId="41">
    <w:name w:val="toc 6"/>
    <w:basedOn w:val="1"/>
    <w:next w:val="1"/>
    <w:semiHidden/>
    <w:unhideWhenUsed/>
    <w:qFormat/>
    <w:uiPriority w:val="39"/>
    <w:pPr>
      <w:ind w:left="2100" w:leftChars="1000"/>
    </w:pPr>
  </w:style>
  <w:style w:type="paragraph" w:styleId="42">
    <w:name w:val="Body Text Indent 3"/>
    <w:basedOn w:val="1"/>
    <w:link w:val="92"/>
    <w:qFormat/>
    <w:uiPriority w:val="0"/>
    <w:pPr>
      <w:snapToGrid w:val="0"/>
    </w:pPr>
    <w:rPr>
      <w:rFonts w:ascii="仿宋_GB2312" w:hAnsi="宋体" w:eastAsia="仿宋_GB2312"/>
      <w:color w:val="000000"/>
      <w:sz w:val="24"/>
    </w:rPr>
  </w:style>
  <w:style w:type="paragraph" w:styleId="43">
    <w:name w:val="table of figures"/>
    <w:basedOn w:val="1"/>
    <w:next w:val="1"/>
    <w:unhideWhenUsed/>
    <w:qFormat/>
    <w:uiPriority w:val="0"/>
    <w:pPr>
      <w:ind w:left="200" w:leftChars="200" w:hanging="200" w:hangingChars="200"/>
    </w:pPr>
  </w:style>
  <w:style w:type="paragraph" w:styleId="44">
    <w:name w:val="toc 2"/>
    <w:basedOn w:val="1"/>
    <w:next w:val="1"/>
    <w:qFormat/>
    <w:uiPriority w:val="39"/>
    <w:pPr>
      <w:tabs>
        <w:tab w:val="right" w:leader="dot" w:pos="8296"/>
      </w:tabs>
      <w:ind w:left="210"/>
    </w:pPr>
    <w:rPr>
      <w:b/>
      <w:smallCaps/>
    </w:rPr>
  </w:style>
  <w:style w:type="paragraph" w:styleId="45">
    <w:name w:val="Body Text 2"/>
    <w:basedOn w:val="1"/>
    <w:link w:val="95"/>
    <w:qFormat/>
    <w:uiPriority w:val="0"/>
    <w:pPr>
      <w:widowControl/>
      <w:snapToGrid w:val="0"/>
      <w:spacing w:before="50" w:afterLines="50" w:line="400" w:lineRule="exact"/>
    </w:pPr>
    <w:rPr>
      <w:rFonts w:ascii="宋体" w:hAnsi="宋体"/>
      <w:color w:val="000000"/>
      <w:sz w:val="24"/>
    </w:rPr>
  </w:style>
  <w:style w:type="paragraph" w:styleId="46">
    <w:name w:val="HTML Preformatted"/>
    <w:basedOn w:val="1"/>
    <w:link w:val="2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w:hAnsi="Arial" w:cs="Arial"/>
      <w:kern w:val="0"/>
      <w:sz w:val="24"/>
    </w:rPr>
  </w:style>
  <w:style w:type="paragraph" w:styleId="47">
    <w:name w:val="Normal (Web)"/>
    <w:basedOn w:val="1"/>
    <w:link w:val="96"/>
    <w:qFormat/>
    <w:uiPriority w:val="99"/>
    <w:pPr>
      <w:widowControl/>
      <w:spacing w:before="100" w:beforeAutospacing="1" w:after="100" w:afterAutospacing="1"/>
    </w:pPr>
    <w:rPr>
      <w:rFonts w:ascii="宋体" w:hAnsi="宋体"/>
      <w:kern w:val="0"/>
      <w:sz w:val="24"/>
    </w:rPr>
  </w:style>
  <w:style w:type="paragraph" w:styleId="48">
    <w:name w:val="index 1"/>
    <w:basedOn w:val="1"/>
    <w:next w:val="1"/>
    <w:semiHidden/>
    <w:qFormat/>
    <w:uiPriority w:val="0"/>
    <w:rPr>
      <w:szCs w:val="20"/>
    </w:rPr>
  </w:style>
  <w:style w:type="paragraph" w:styleId="49">
    <w:name w:val="Title"/>
    <w:basedOn w:val="1"/>
    <w:next w:val="1"/>
    <w:link w:val="97"/>
    <w:qFormat/>
    <w:uiPriority w:val="0"/>
    <w:pPr>
      <w:spacing w:before="240" w:after="60"/>
      <w:jc w:val="center"/>
      <w:outlineLvl w:val="0"/>
    </w:pPr>
    <w:rPr>
      <w:rFonts w:ascii="Cambria" w:hAnsi="Cambria"/>
      <w:b/>
      <w:bCs/>
      <w:sz w:val="32"/>
      <w:szCs w:val="32"/>
    </w:rPr>
  </w:style>
  <w:style w:type="paragraph" w:styleId="50">
    <w:name w:val="annotation subject"/>
    <w:basedOn w:val="17"/>
    <w:next w:val="17"/>
    <w:link w:val="98"/>
    <w:qFormat/>
    <w:uiPriority w:val="0"/>
    <w:rPr>
      <w:b/>
      <w:bCs/>
    </w:rPr>
  </w:style>
  <w:style w:type="paragraph" w:styleId="51">
    <w:name w:val="Body Text First Indent"/>
    <w:basedOn w:val="19"/>
    <w:next w:val="41"/>
    <w:link w:val="218"/>
    <w:qFormat/>
    <w:uiPriority w:val="0"/>
    <w:pPr>
      <w:ind w:firstLine="200"/>
    </w:pPr>
    <w:rPr>
      <w:rFonts w:asciiTheme="minorHAnsi" w:hAnsiTheme="minorHAnsi" w:eastAsiaTheme="minorEastAsia" w:cstheme="minorBidi"/>
      <w:bCs/>
      <w:sz w:val="24"/>
    </w:rPr>
  </w:style>
  <w:style w:type="paragraph" w:styleId="52">
    <w:name w:val="Body Text First Indent 2"/>
    <w:basedOn w:val="13"/>
    <w:next w:val="53"/>
    <w:link w:val="290"/>
    <w:semiHidden/>
    <w:unhideWhenUsed/>
    <w:qFormat/>
    <w:uiPriority w:val="0"/>
    <w:pPr>
      <w:spacing w:after="120" w:line="360" w:lineRule="auto"/>
      <w:ind w:left="420" w:leftChars="200" w:firstLine="420"/>
    </w:pPr>
    <w:rPr>
      <w:rFonts w:ascii="Times New Roman" w:hAnsi="Times New Roman"/>
      <w:spacing w:val="0"/>
      <w:sz w:val="21"/>
      <w:szCs w:val="24"/>
    </w:rPr>
  </w:style>
  <w:style w:type="paragraph" w:customStyle="1" w:styleId="53">
    <w:name w:val="xl53"/>
    <w:basedOn w:val="1"/>
    <w:qFormat/>
    <w:uiPriority w:val="0"/>
    <w:pPr>
      <w:widowControl/>
      <w:pBdr>
        <w:top w:val="single" w:color="auto" w:sz="4" w:space="0"/>
        <w:left w:val="single" w:color="auto" w:sz="4" w:space="0"/>
        <w:bottom w:val="single" w:color="auto" w:sz="4" w:space="0"/>
        <w:right w:val="single" w:color="auto" w:sz="4" w:space="0"/>
      </w:pBdr>
      <w:shd w:val="clear" w:color="auto" w:fill="808080"/>
      <w:spacing w:before="100" w:beforeAutospacing="1" w:after="100" w:afterAutospacing="1"/>
      <w:jc w:val="right"/>
      <w:textAlignment w:val="center"/>
    </w:pPr>
    <w:rPr>
      <w:rFonts w:ascii="宋体" w:hAnsi="宋体" w:cs="宋体"/>
      <w:kern w:val="0"/>
      <w:sz w:val="18"/>
      <w:szCs w:val="18"/>
    </w:rPr>
  </w:style>
  <w:style w:type="table" w:styleId="55">
    <w:name w:val="Table Grid"/>
    <w:basedOn w:val="5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table" w:styleId="56">
    <w:name w:val="Table Grid 1"/>
    <w:basedOn w:val="5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57">
    <w:name w:val="Table Grid 8"/>
    <w:basedOn w:val="54"/>
    <w:qFormat/>
    <w:uiPriority w:val="0"/>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character" w:styleId="59">
    <w:name w:val="Strong"/>
    <w:qFormat/>
    <w:uiPriority w:val="22"/>
    <w:rPr>
      <w:b/>
      <w:bCs/>
    </w:rPr>
  </w:style>
  <w:style w:type="character" w:styleId="60">
    <w:name w:val="page number"/>
    <w:qFormat/>
    <w:uiPriority w:val="0"/>
  </w:style>
  <w:style w:type="character" w:styleId="61">
    <w:name w:val="FollowedHyperlink"/>
    <w:basedOn w:val="58"/>
    <w:semiHidden/>
    <w:unhideWhenUsed/>
    <w:qFormat/>
    <w:uiPriority w:val="99"/>
    <w:rPr>
      <w:color w:val="954F72" w:themeColor="followedHyperlink"/>
      <w:u w:val="single"/>
      <w14:textFill>
        <w14:solidFill>
          <w14:schemeClr w14:val="folHlink"/>
        </w14:solidFill>
      </w14:textFill>
    </w:rPr>
  </w:style>
  <w:style w:type="character" w:styleId="62">
    <w:name w:val="Hyperlink"/>
    <w:qFormat/>
    <w:uiPriority w:val="99"/>
    <w:rPr>
      <w:color w:val="0000FF"/>
      <w:u w:val="single"/>
    </w:rPr>
  </w:style>
  <w:style w:type="character" w:styleId="63">
    <w:name w:val="annotation reference"/>
    <w:qFormat/>
    <w:uiPriority w:val="99"/>
    <w:rPr>
      <w:sz w:val="21"/>
      <w:szCs w:val="21"/>
    </w:rPr>
  </w:style>
  <w:style w:type="character" w:styleId="64">
    <w:name w:val="footnote reference"/>
    <w:unhideWhenUsed/>
    <w:qFormat/>
    <w:uiPriority w:val="99"/>
    <w:rPr>
      <w:rFonts w:hint="default" w:ascii="Times New Roman"/>
      <w:sz w:val="24"/>
      <w:vertAlign w:val="superscript"/>
    </w:rPr>
  </w:style>
  <w:style w:type="paragraph" w:customStyle="1" w:styleId="65">
    <w:name w:val="表格文字"/>
    <w:basedOn w:val="66"/>
    <w:next w:val="19"/>
    <w:qFormat/>
    <w:uiPriority w:val="0"/>
  </w:style>
  <w:style w:type="paragraph" w:customStyle="1" w:styleId="66">
    <w:name w:val="表格文字（两侧对齐）"/>
    <w:basedOn w:val="1"/>
    <w:qFormat/>
    <w:uiPriority w:val="0"/>
    <w:pPr>
      <w:snapToGrid w:val="0"/>
    </w:pPr>
    <w:rPr>
      <w:rFonts w:eastAsia="宋体"/>
      <w:sz w:val="20"/>
    </w:rPr>
  </w:style>
  <w:style w:type="paragraph" w:customStyle="1" w:styleId="67">
    <w:name w:val="正文1"/>
    <w:basedOn w:val="1"/>
    <w:qFormat/>
    <w:uiPriority w:val="0"/>
    <w:pPr>
      <w:adjustRightInd w:val="0"/>
      <w:spacing w:line="318" w:lineRule="atLeast"/>
      <w:ind w:left="369" w:firstLine="369"/>
      <w:jc w:val="both"/>
      <w:textAlignment w:val="baseline"/>
    </w:pPr>
    <w:rPr>
      <w:rFonts w:ascii="宋体"/>
      <w:szCs w:val="20"/>
    </w:rPr>
  </w:style>
  <w:style w:type="character" w:customStyle="1" w:styleId="68">
    <w:name w:val="标题 4 字符"/>
    <w:link w:val="5"/>
    <w:qFormat/>
    <w:uiPriority w:val="0"/>
    <w:rPr>
      <w:rFonts w:ascii="等线 Light" w:hAnsi="等线 Light" w:eastAsia="微软雅黑" w:cs="Times New Roman"/>
      <w:b/>
      <w:bCs/>
      <w:kern w:val="2"/>
      <w:sz w:val="21"/>
      <w:szCs w:val="28"/>
    </w:rPr>
  </w:style>
  <w:style w:type="paragraph" w:customStyle="1" w:styleId="69">
    <w:name w:val="标准正文"/>
    <w:basedOn w:val="1"/>
    <w:qFormat/>
    <w:uiPriority w:val="0"/>
    <w:pPr>
      <w:ind w:firstLine="200"/>
    </w:pPr>
    <w:rPr>
      <w:sz w:val="24"/>
      <w:szCs w:val="20"/>
    </w:rPr>
  </w:style>
  <w:style w:type="character" w:customStyle="1" w:styleId="70">
    <w:name w:val="标题 1 字符"/>
    <w:basedOn w:val="58"/>
    <w:link w:val="2"/>
    <w:qFormat/>
    <w:uiPriority w:val="9"/>
    <w:rPr>
      <w:rFonts w:eastAsia="微软雅黑"/>
      <w:b/>
      <w:bCs/>
      <w:kern w:val="44"/>
      <w:sz w:val="24"/>
      <w:szCs w:val="44"/>
    </w:rPr>
  </w:style>
  <w:style w:type="character" w:customStyle="1" w:styleId="71">
    <w:name w:val="标题 3 字符"/>
    <w:basedOn w:val="58"/>
    <w:link w:val="4"/>
    <w:qFormat/>
    <w:uiPriority w:val="0"/>
    <w:rPr>
      <w:rFonts w:ascii="仿宋_GB2312" w:hAnsi="仿宋_GB2312" w:eastAsia="微软雅黑"/>
      <w:bCs/>
      <w:kern w:val="2"/>
      <w:sz w:val="21"/>
    </w:rPr>
  </w:style>
  <w:style w:type="character" w:customStyle="1" w:styleId="72">
    <w:name w:val="正文文本 字符"/>
    <w:link w:val="19"/>
    <w:qFormat/>
    <w:uiPriority w:val="0"/>
    <w:rPr>
      <w:kern w:val="2"/>
      <w:sz w:val="21"/>
      <w:szCs w:val="24"/>
    </w:rPr>
  </w:style>
  <w:style w:type="character" w:customStyle="1" w:styleId="73">
    <w:name w:val="正文缩进 字符1"/>
    <w:link w:val="12"/>
    <w:qFormat/>
    <w:uiPriority w:val="0"/>
    <w:rPr>
      <w:kern w:val="2"/>
      <w:sz w:val="21"/>
    </w:rPr>
  </w:style>
  <w:style w:type="paragraph" w:customStyle="1" w:styleId="74">
    <w:name w:val="目录 71"/>
    <w:basedOn w:val="1"/>
    <w:next w:val="1"/>
    <w:unhideWhenUsed/>
    <w:qFormat/>
    <w:uiPriority w:val="39"/>
    <w:pPr>
      <w:ind w:left="2520" w:leftChars="1200"/>
    </w:pPr>
    <w:rPr>
      <w:rFonts w:ascii="Calibri" w:hAnsi="Calibri"/>
      <w:szCs w:val="22"/>
    </w:rPr>
  </w:style>
  <w:style w:type="character" w:customStyle="1" w:styleId="75">
    <w:name w:val="批注文字 字符"/>
    <w:link w:val="17"/>
    <w:qFormat/>
    <w:uiPriority w:val="0"/>
    <w:rPr>
      <w:kern w:val="2"/>
      <w:sz w:val="21"/>
      <w:szCs w:val="24"/>
    </w:rPr>
  </w:style>
  <w:style w:type="character" w:customStyle="1" w:styleId="76">
    <w:name w:val="正文文本 3 字符"/>
    <w:link w:val="18"/>
    <w:qFormat/>
    <w:uiPriority w:val="0"/>
    <w:rPr>
      <w:kern w:val="2"/>
      <w:sz w:val="16"/>
      <w:szCs w:val="16"/>
    </w:rPr>
  </w:style>
  <w:style w:type="character" w:customStyle="1" w:styleId="77">
    <w:name w:val="正文文本缩进 字符"/>
    <w:link w:val="13"/>
    <w:qFormat/>
    <w:uiPriority w:val="99"/>
    <w:rPr>
      <w:rFonts w:ascii="宋体" w:hAnsi="Courier New"/>
      <w:spacing w:val="-4"/>
      <w:kern w:val="2"/>
      <w:sz w:val="18"/>
    </w:rPr>
  </w:style>
  <w:style w:type="paragraph" w:customStyle="1" w:styleId="78">
    <w:name w:val="目录 51"/>
    <w:basedOn w:val="1"/>
    <w:next w:val="1"/>
    <w:unhideWhenUsed/>
    <w:qFormat/>
    <w:uiPriority w:val="39"/>
    <w:pPr>
      <w:ind w:left="1680" w:leftChars="800"/>
    </w:pPr>
    <w:rPr>
      <w:rFonts w:ascii="Calibri" w:hAnsi="Calibri"/>
      <w:szCs w:val="22"/>
    </w:rPr>
  </w:style>
  <w:style w:type="paragraph" w:customStyle="1" w:styleId="79">
    <w:name w:val="目录 31"/>
    <w:basedOn w:val="1"/>
    <w:next w:val="1"/>
    <w:qFormat/>
    <w:uiPriority w:val="39"/>
    <w:pPr>
      <w:ind w:left="840" w:leftChars="400"/>
    </w:pPr>
  </w:style>
  <w:style w:type="character" w:customStyle="1" w:styleId="80">
    <w:name w:val="纯文本 字符"/>
    <w:link w:val="27"/>
    <w:qFormat/>
    <w:uiPriority w:val="0"/>
    <w:rPr>
      <w:rFonts w:ascii="宋体" w:hAnsi="Courier New"/>
      <w:kern w:val="2"/>
      <w:sz w:val="21"/>
    </w:rPr>
  </w:style>
  <w:style w:type="paragraph" w:customStyle="1" w:styleId="81">
    <w:name w:val="目录 81"/>
    <w:basedOn w:val="1"/>
    <w:next w:val="1"/>
    <w:unhideWhenUsed/>
    <w:qFormat/>
    <w:uiPriority w:val="39"/>
    <w:pPr>
      <w:ind w:left="2940" w:leftChars="1400"/>
    </w:pPr>
    <w:rPr>
      <w:rFonts w:ascii="Calibri" w:hAnsi="Calibri"/>
      <w:szCs w:val="22"/>
    </w:rPr>
  </w:style>
  <w:style w:type="character" w:customStyle="1" w:styleId="82">
    <w:name w:val="日期 字符"/>
    <w:link w:val="29"/>
    <w:qFormat/>
    <w:uiPriority w:val="0"/>
    <w:rPr>
      <w:rFonts w:eastAsia="楷体_GB2312"/>
      <w:kern w:val="2"/>
      <w:sz w:val="32"/>
    </w:rPr>
  </w:style>
  <w:style w:type="character" w:customStyle="1" w:styleId="83">
    <w:name w:val="正文文本缩进 2 字符"/>
    <w:link w:val="30"/>
    <w:qFormat/>
    <w:uiPriority w:val="0"/>
    <w:rPr>
      <w:rFonts w:ascii="仿宋_GB2312" w:hAnsi="宋体" w:cs="Arial"/>
      <w:b/>
      <w:bCs/>
      <w:color w:val="000000"/>
      <w:kern w:val="2"/>
      <w:sz w:val="24"/>
      <w:szCs w:val="24"/>
    </w:rPr>
  </w:style>
  <w:style w:type="character" w:customStyle="1" w:styleId="84">
    <w:name w:val="批注框文本 字符"/>
    <w:link w:val="32"/>
    <w:qFormat/>
    <w:uiPriority w:val="0"/>
    <w:rPr>
      <w:kern w:val="2"/>
      <w:sz w:val="18"/>
      <w:szCs w:val="18"/>
    </w:rPr>
  </w:style>
  <w:style w:type="character" w:customStyle="1" w:styleId="85">
    <w:name w:val="页脚 字符1"/>
    <w:link w:val="33"/>
    <w:qFormat/>
    <w:locked/>
    <w:uiPriority w:val="0"/>
    <w:rPr>
      <w:kern w:val="2"/>
      <w:sz w:val="18"/>
      <w:szCs w:val="18"/>
    </w:rPr>
  </w:style>
  <w:style w:type="character" w:customStyle="1" w:styleId="86">
    <w:name w:val="页眉 字符"/>
    <w:link w:val="35"/>
    <w:qFormat/>
    <w:uiPriority w:val="99"/>
    <w:rPr>
      <w:rFonts w:eastAsia="微软雅黑"/>
      <w:kern w:val="2"/>
      <w:sz w:val="18"/>
      <w:szCs w:val="18"/>
    </w:rPr>
  </w:style>
  <w:style w:type="paragraph" w:customStyle="1" w:styleId="87">
    <w:name w:val="目录 11"/>
    <w:basedOn w:val="1"/>
    <w:next w:val="1"/>
    <w:qFormat/>
    <w:uiPriority w:val="39"/>
  </w:style>
  <w:style w:type="paragraph" w:customStyle="1" w:styleId="88">
    <w:name w:val="目录 41"/>
    <w:basedOn w:val="1"/>
    <w:next w:val="1"/>
    <w:unhideWhenUsed/>
    <w:qFormat/>
    <w:uiPriority w:val="39"/>
    <w:pPr>
      <w:ind w:left="1260" w:leftChars="600"/>
    </w:pPr>
    <w:rPr>
      <w:rFonts w:ascii="Calibri" w:hAnsi="Calibri"/>
      <w:szCs w:val="22"/>
    </w:rPr>
  </w:style>
  <w:style w:type="character" w:customStyle="1" w:styleId="89">
    <w:name w:val="副标题 字符"/>
    <w:link w:val="38"/>
    <w:qFormat/>
    <w:uiPriority w:val="0"/>
    <w:rPr>
      <w:rFonts w:ascii="Cambria" w:hAnsi="Cambria"/>
      <w:b/>
      <w:bCs/>
      <w:kern w:val="28"/>
      <w:sz w:val="32"/>
      <w:szCs w:val="32"/>
    </w:rPr>
  </w:style>
  <w:style w:type="character" w:customStyle="1" w:styleId="90">
    <w:name w:val="脚注文本 字符"/>
    <w:link w:val="40"/>
    <w:qFormat/>
    <w:uiPriority w:val="99"/>
    <w:rPr>
      <w:rFonts w:ascii="Calibri" w:hAnsi="Calibri"/>
      <w:kern w:val="2"/>
      <w:sz w:val="18"/>
      <w:szCs w:val="24"/>
    </w:rPr>
  </w:style>
  <w:style w:type="paragraph" w:customStyle="1" w:styleId="91">
    <w:name w:val="目录 61"/>
    <w:basedOn w:val="1"/>
    <w:next w:val="1"/>
    <w:unhideWhenUsed/>
    <w:qFormat/>
    <w:uiPriority w:val="39"/>
    <w:pPr>
      <w:ind w:left="2100" w:leftChars="1000"/>
    </w:pPr>
    <w:rPr>
      <w:rFonts w:ascii="Calibri" w:hAnsi="Calibri"/>
      <w:szCs w:val="22"/>
    </w:rPr>
  </w:style>
  <w:style w:type="character" w:customStyle="1" w:styleId="92">
    <w:name w:val="正文文本缩进 3 字符"/>
    <w:link w:val="42"/>
    <w:qFormat/>
    <w:uiPriority w:val="0"/>
    <w:rPr>
      <w:rFonts w:ascii="仿宋_GB2312" w:hAnsi="宋体" w:eastAsia="仿宋_GB2312"/>
      <w:color w:val="000000"/>
      <w:kern w:val="2"/>
      <w:sz w:val="24"/>
      <w:szCs w:val="24"/>
    </w:rPr>
  </w:style>
  <w:style w:type="paragraph" w:customStyle="1" w:styleId="93">
    <w:name w:val="目录 21"/>
    <w:basedOn w:val="1"/>
    <w:next w:val="1"/>
    <w:qFormat/>
    <w:uiPriority w:val="39"/>
    <w:pPr>
      <w:ind w:left="420" w:leftChars="200"/>
    </w:pPr>
  </w:style>
  <w:style w:type="paragraph" w:customStyle="1" w:styleId="94">
    <w:name w:val="目录 91"/>
    <w:basedOn w:val="1"/>
    <w:next w:val="1"/>
    <w:unhideWhenUsed/>
    <w:qFormat/>
    <w:uiPriority w:val="39"/>
    <w:pPr>
      <w:ind w:left="3360" w:leftChars="1600"/>
    </w:pPr>
    <w:rPr>
      <w:rFonts w:ascii="Calibri" w:hAnsi="Calibri"/>
      <w:szCs w:val="22"/>
    </w:rPr>
  </w:style>
  <w:style w:type="character" w:customStyle="1" w:styleId="95">
    <w:name w:val="正文文本 2 字符"/>
    <w:link w:val="45"/>
    <w:qFormat/>
    <w:uiPriority w:val="0"/>
    <w:rPr>
      <w:rFonts w:ascii="宋体" w:hAnsi="宋体"/>
      <w:color w:val="000000"/>
      <w:kern w:val="2"/>
      <w:sz w:val="24"/>
      <w:szCs w:val="24"/>
    </w:rPr>
  </w:style>
  <w:style w:type="character" w:customStyle="1" w:styleId="96">
    <w:name w:val="普通(网站) 字符"/>
    <w:link w:val="47"/>
    <w:qFormat/>
    <w:locked/>
    <w:uiPriority w:val="99"/>
    <w:rPr>
      <w:rFonts w:ascii="宋体" w:hAnsi="宋体" w:cs="宋体"/>
      <w:sz w:val="24"/>
      <w:szCs w:val="24"/>
    </w:rPr>
  </w:style>
  <w:style w:type="character" w:customStyle="1" w:styleId="97">
    <w:name w:val="标题 字符"/>
    <w:link w:val="49"/>
    <w:qFormat/>
    <w:uiPriority w:val="0"/>
    <w:rPr>
      <w:rFonts w:ascii="Cambria" w:hAnsi="Cambria"/>
      <w:b/>
      <w:bCs/>
      <w:kern w:val="2"/>
      <w:sz w:val="32"/>
      <w:szCs w:val="32"/>
    </w:rPr>
  </w:style>
  <w:style w:type="character" w:customStyle="1" w:styleId="98">
    <w:name w:val="批注主题 字符"/>
    <w:link w:val="50"/>
    <w:qFormat/>
    <w:uiPriority w:val="0"/>
    <w:rPr>
      <w:b/>
      <w:bCs/>
      <w:kern w:val="2"/>
      <w:sz w:val="21"/>
      <w:szCs w:val="24"/>
    </w:rPr>
  </w:style>
  <w:style w:type="paragraph" w:customStyle="1" w:styleId="99">
    <w:name w:val="正文首行缩进1"/>
    <w:basedOn w:val="19"/>
    <w:link w:val="100"/>
    <w:qFormat/>
    <w:uiPriority w:val="0"/>
    <w:pPr>
      <w:ind w:firstLine="420" w:firstLineChars="100"/>
    </w:pPr>
  </w:style>
  <w:style w:type="character" w:customStyle="1" w:styleId="100">
    <w:name w:val="正文首行缩进 Char"/>
    <w:link w:val="99"/>
    <w:qFormat/>
    <w:uiPriority w:val="0"/>
  </w:style>
  <w:style w:type="character" w:customStyle="1" w:styleId="101">
    <w:name w:val="已访问的超链接1"/>
    <w:qFormat/>
    <w:uiPriority w:val="0"/>
    <w:rPr>
      <w:color w:val="800080"/>
      <w:u w:val="single"/>
    </w:rPr>
  </w:style>
  <w:style w:type="character" w:customStyle="1" w:styleId="102">
    <w:name w:val="正文缩进 字符"/>
    <w:qFormat/>
    <w:uiPriority w:val="0"/>
    <w:rPr>
      <w:snapToGrid/>
      <w:kern w:val="0"/>
      <w:sz w:val="24"/>
    </w:rPr>
  </w:style>
  <w:style w:type="character" w:customStyle="1" w:styleId="103">
    <w:name w:val="列表段落 字符1"/>
    <w:link w:val="104"/>
    <w:qFormat/>
    <w:uiPriority w:val="99"/>
    <w:rPr>
      <w:kern w:val="2"/>
      <w:sz w:val="21"/>
      <w:szCs w:val="22"/>
    </w:rPr>
  </w:style>
  <w:style w:type="paragraph" w:styleId="104">
    <w:name w:val="List Paragraph"/>
    <w:basedOn w:val="1"/>
    <w:link w:val="103"/>
    <w:qFormat/>
    <w:uiPriority w:val="99"/>
    <w:pPr>
      <w:ind w:firstLine="420"/>
    </w:pPr>
    <w:rPr>
      <w:szCs w:val="22"/>
    </w:rPr>
  </w:style>
  <w:style w:type="character" w:customStyle="1" w:styleId="105">
    <w:name w:val="列表段落 字符"/>
    <w:qFormat/>
    <w:uiPriority w:val="34"/>
    <w:rPr>
      <w:rFonts w:ascii="Times New Roman" w:hAnsi="Times New Roman" w:eastAsia="宋体" w:cs="Times New Roman"/>
      <w:szCs w:val="24"/>
    </w:rPr>
  </w:style>
  <w:style w:type="character" w:customStyle="1" w:styleId="106">
    <w:name w:val="页脚 字符"/>
    <w:qFormat/>
    <w:uiPriority w:val="99"/>
  </w:style>
  <w:style w:type="character" w:customStyle="1" w:styleId="107">
    <w:name w:val="页眉 Char1"/>
    <w:qFormat/>
    <w:uiPriority w:val="99"/>
    <w:rPr>
      <w:kern w:val="2"/>
      <w:sz w:val="18"/>
      <w:szCs w:val="18"/>
    </w:rPr>
  </w:style>
  <w:style w:type="character" w:customStyle="1" w:styleId="108">
    <w:name w:val="普通文字 Char Char2"/>
    <w:qFormat/>
    <w:uiPriority w:val="0"/>
    <w:rPr>
      <w:rFonts w:ascii="宋体" w:hAnsi="Courier New" w:eastAsia="宋体"/>
      <w:kern w:val="2"/>
      <w:sz w:val="24"/>
      <w:szCs w:val="24"/>
      <w:lang w:val="en-US" w:eastAsia="zh-CN" w:bidi="ar-SA"/>
    </w:rPr>
  </w:style>
  <w:style w:type="character" w:customStyle="1" w:styleId="109">
    <w:name w:val="批注文字 Char"/>
    <w:qFormat/>
    <w:uiPriority w:val="0"/>
    <w:rPr>
      <w:kern w:val="2"/>
      <w:sz w:val="21"/>
      <w:szCs w:val="24"/>
    </w:rPr>
  </w:style>
  <w:style w:type="character" w:customStyle="1" w:styleId="110">
    <w:name w:val="ca-92"/>
    <w:qFormat/>
    <w:uiPriority w:val="0"/>
  </w:style>
  <w:style w:type="character" w:customStyle="1" w:styleId="111">
    <w:name w:val="bookmark-item"/>
    <w:qFormat/>
    <w:uiPriority w:val="0"/>
  </w:style>
  <w:style w:type="character" w:customStyle="1" w:styleId="112">
    <w:name w:val="纯文本 Char3"/>
    <w:qFormat/>
    <w:uiPriority w:val="0"/>
    <w:rPr>
      <w:rFonts w:ascii="宋体" w:hAnsi="Courier New" w:eastAsia="宋体"/>
      <w:kern w:val="2"/>
      <w:sz w:val="24"/>
      <w:szCs w:val="24"/>
      <w:lang w:val="en-US" w:eastAsia="zh-CN" w:bidi="ar-SA"/>
    </w:rPr>
  </w:style>
  <w:style w:type="character" w:customStyle="1" w:styleId="113">
    <w:name w:val="sub"/>
    <w:qFormat/>
    <w:uiPriority w:val="0"/>
  </w:style>
  <w:style w:type="character" w:customStyle="1" w:styleId="114">
    <w:name w:val="纯文本 Char1"/>
    <w:qFormat/>
    <w:uiPriority w:val="0"/>
    <w:rPr>
      <w:rFonts w:ascii="宋体" w:hAnsi="Courier New" w:eastAsia="宋体" w:cs="Times New Roman"/>
      <w:sz w:val="24"/>
      <w:szCs w:val="24"/>
    </w:rPr>
  </w:style>
  <w:style w:type="paragraph" w:customStyle="1" w:styleId="115">
    <w:name w:val="_Style 2"/>
    <w:basedOn w:val="1"/>
    <w:qFormat/>
    <w:uiPriority w:val="0"/>
    <w:pPr>
      <w:adjustRightInd w:val="0"/>
      <w:snapToGrid w:val="0"/>
      <w:ind w:firstLine="420"/>
    </w:pPr>
    <w:rPr>
      <w:rFonts w:ascii="Calibri" w:hAnsi="Calibri"/>
      <w:sz w:val="24"/>
    </w:rPr>
  </w:style>
  <w:style w:type="paragraph" w:customStyle="1" w:styleId="116">
    <w:name w:val="Char Char9 Char Char"/>
    <w:basedOn w:val="1"/>
    <w:qFormat/>
    <w:uiPriority w:val="0"/>
    <w:pPr>
      <w:tabs>
        <w:tab w:val="left" w:pos="360"/>
      </w:tabs>
    </w:pPr>
  </w:style>
  <w:style w:type="paragraph" w:customStyle="1" w:styleId="117">
    <w:name w:val="样式 正文1 + 段前: 0.1 行"/>
    <w:basedOn w:val="1"/>
    <w:qFormat/>
    <w:uiPriority w:val="0"/>
    <w:pPr>
      <w:snapToGrid w:val="0"/>
      <w:spacing w:beforeLines="10" w:line="440" w:lineRule="atLeast"/>
      <w:ind w:firstLine="510"/>
    </w:pPr>
    <w:rPr>
      <w:sz w:val="24"/>
    </w:rPr>
  </w:style>
  <w:style w:type="paragraph" w:customStyle="1" w:styleId="118">
    <w:name w:val="列表段落1"/>
    <w:basedOn w:val="1"/>
    <w:qFormat/>
    <w:uiPriority w:val="0"/>
    <w:pPr>
      <w:ind w:firstLine="420"/>
    </w:pPr>
    <w:rPr>
      <w:szCs w:val="21"/>
    </w:rPr>
  </w:style>
  <w:style w:type="paragraph" w:customStyle="1" w:styleId="119">
    <w:name w:val="列出段落1"/>
    <w:basedOn w:val="1"/>
    <w:link w:val="286"/>
    <w:qFormat/>
    <w:uiPriority w:val="0"/>
    <w:pPr>
      <w:ind w:firstLine="420"/>
    </w:pPr>
    <w:rPr>
      <w:rFonts w:ascii="Calibri" w:hAnsi="Calibri"/>
      <w:szCs w:val="20"/>
    </w:rPr>
  </w:style>
  <w:style w:type="paragraph" w:customStyle="1" w:styleId="120">
    <w:name w:val="Default"/>
    <w:unhideWhenUsed/>
    <w:qFormat/>
    <w:uiPriority w:val="0"/>
    <w:pPr>
      <w:widowControl w:val="0"/>
      <w:autoSpaceDE w:val="0"/>
      <w:autoSpaceDN w:val="0"/>
      <w:adjustRightInd w:val="0"/>
    </w:pPr>
    <w:rPr>
      <w:rFonts w:hint="eastAsia" w:ascii="仿宋" w:hAnsi="Times New Roman" w:eastAsia="仿宋" w:cs="Times New Roman"/>
      <w:color w:val="000000"/>
      <w:sz w:val="24"/>
      <w:lang w:val="en-US" w:eastAsia="zh-CN" w:bidi="ar-SA"/>
    </w:rPr>
  </w:style>
  <w:style w:type="paragraph" w:customStyle="1" w:styleId="121">
    <w:name w:val="正文1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22">
    <w:name w:val="纯文本1"/>
    <w:basedOn w:val="1"/>
    <w:qFormat/>
    <w:uiPriority w:val="0"/>
    <w:pPr>
      <w:adjustRightInd w:val="0"/>
      <w:textAlignment w:val="baseline"/>
    </w:pPr>
    <w:rPr>
      <w:rFonts w:ascii="宋体" w:hAnsi="Courier New" w:eastAsia="楷体_GB2312"/>
      <w:sz w:val="26"/>
      <w:szCs w:val="20"/>
    </w:rPr>
  </w:style>
  <w:style w:type="paragraph" w:customStyle="1" w:styleId="123">
    <w:name w:val="默认段落字体 Para Char Char Char Char Char Char Char Char Char1 Char Char Char Char"/>
    <w:basedOn w:val="1"/>
    <w:qFormat/>
    <w:uiPriority w:val="0"/>
    <w:rPr>
      <w:rFonts w:ascii="Tahoma" w:hAnsi="Tahoma"/>
      <w:sz w:val="24"/>
      <w:szCs w:val="20"/>
    </w:rPr>
  </w:style>
  <w:style w:type="paragraph" w:customStyle="1" w:styleId="124">
    <w:name w:val="表内文字"/>
    <w:basedOn w:val="1"/>
    <w:qFormat/>
    <w:uiPriority w:val="0"/>
    <w:pPr>
      <w:jc w:val="center"/>
    </w:pPr>
    <w:rPr>
      <w:rFonts w:ascii="仿宋_GB2312" w:eastAsia="仿宋_GB2312"/>
      <w:sz w:val="24"/>
    </w:rPr>
  </w:style>
  <w:style w:type="paragraph" w:customStyle="1" w:styleId="125">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126">
    <w:name w:val="1 Char Char Char Char"/>
    <w:basedOn w:val="1"/>
    <w:qFormat/>
    <w:uiPriority w:val="0"/>
    <w:rPr>
      <w:rFonts w:ascii="Tahoma" w:hAnsi="Tahoma"/>
      <w:sz w:val="24"/>
      <w:szCs w:val="20"/>
    </w:rPr>
  </w:style>
  <w:style w:type="paragraph" w:customStyle="1" w:styleId="127">
    <w:name w:val="Char Char Char Char Char Char Char Char Char Char Char Char Char"/>
    <w:basedOn w:val="1"/>
    <w:qFormat/>
    <w:uiPriority w:val="0"/>
    <w:pPr>
      <w:tabs>
        <w:tab w:val="left" w:pos="432"/>
      </w:tabs>
      <w:ind w:left="432" w:hanging="432"/>
    </w:pPr>
    <w:rPr>
      <w:rFonts w:ascii="Tahoma" w:hAnsi="Tahoma"/>
      <w:sz w:val="24"/>
      <w:szCs w:val="20"/>
    </w:rPr>
  </w:style>
  <w:style w:type="paragraph" w:customStyle="1" w:styleId="128">
    <w:name w:val="Char Char Char Char Char Char Char"/>
    <w:basedOn w:val="1"/>
    <w:qFormat/>
    <w:uiPriority w:val="0"/>
    <w:rPr>
      <w:szCs w:val="21"/>
    </w:rPr>
  </w:style>
  <w:style w:type="paragraph" w:customStyle="1" w:styleId="129">
    <w:name w:val="TOC 标题1"/>
    <w:basedOn w:val="2"/>
    <w:next w:val="1"/>
    <w:qFormat/>
    <w:uiPriority w:val="39"/>
    <w:pPr>
      <w:widowControl/>
      <w:spacing w:before="480" w:line="276" w:lineRule="auto"/>
      <w:jc w:val="left"/>
      <w:outlineLvl w:val="9"/>
    </w:pPr>
    <w:rPr>
      <w:rFonts w:ascii="Cambria" w:hAnsi="Cambria"/>
      <w:color w:val="365F91"/>
      <w:kern w:val="0"/>
      <w:sz w:val="28"/>
      <w:szCs w:val="28"/>
    </w:rPr>
  </w:style>
  <w:style w:type="paragraph" w:customStyle="1" w:styleId="130">
    <w:name w:val="正文段"/>
    <w:basedOn w:val="1"/>
    <w:qFormat/>
    <w:uiPriority w:val="0"/>
    <w:pPr>
      <w:widowControl/>
      <w:snapToGrid w:val="0"/>
      <w:spacing w:afterLines="50"/>
      <w:ind w:firstLine="200"/>
    </w:pPr>
    <w:rPr>
      <w:kern w:val="0"/>
      <w:sz w:val="24"/>
      <w:szCs w:val="20"/>
    </w:rPr>
  </w:style>
  <w:style w:type="paragraph" w:customStyle="1" w:styleId="131">
    <w:name w:val="纯文本2"/>
    <w:basedOn w:val="1"/>
    <w:qFormat/>
    <w:uiPriority w:val="0"/>
    <w:pPr>
      <w:adjustRightInd w:val="0"/>
      <w:textAlignment w:val="baseline"/>
    </w:pPr>
    <w:rPr>
      <w:rFonts w:ascii="宋体" w:hAnsi="Courier New" w:eastAsia="楷体_GB2312"/>
      <w:sz w:val="26"/>
      <w:szCs w:val="20"/>
    </w:rPr>
  </w:style>
  <w:style w:type="paragraph" w:customStyle="1" w:styleId="132">
    <w:name w:val="默认段落字体 Para Char Char Char Char"/>
    <w:basedOn w:val="1"/>
    <w:qFormat/>
    <w:uiPriority w:val="0"/>
    <w:rPr>
      <w:rFonts w:ascii="Arial" w:hAnsi="Arial" w:cs="Arial"/>
      <w:szCs w:val="21"/>
    </w:rPr>
  </w:style>
  <w:style w:type="paragraph" w:customStyle="1" w:styleId="133">
    <w:name w:val="_Style 54"/>
    <w:basedOn w:val="1"/>
    <w:qFormat/>
    <w:uiPriority w:val="0"/>
    <w:pPr>
      <w:adjustRightInd w:val="0"/>
      <w:snapToGrid w:val="0"/>
      <w:ind w:firstLine="420"/>
    </w:pPr>
    <w:rPr>
      <w:rFonts w:ascii="Calibri" w:hAnsi="Calibri"/>
      <w:sz w:val="24"/>
    </w:rPr>
  </w:style>
  <w:style w:type="paragraph" w:customStyle="1" w:styleId="134">
    <w:name w:val="CM11"/>
    <w:basedOn w:val="120"/>
    <w:next w:val="120"/>
    <w:unhideWhenUsed/>
    <w:qFormat/>
    <w:uiPriority w:val="99"/>
    <w:pPr>
      <w:spacing w:line="520" w:lineRule="atLeast"/>
    </w:pPr>
  </w:style>
  <w:style w:type="paragraph" w:customStyle="1" w:styleId="135">
    <w:name w:val="WPSOffice手动目录 1"/>
    <w:qFormat/>
    <w:uiPriority w:val="0"/>
    <w:rPr>
      <w:rFonts w:ascii="Times New Roman" w:hAnsi="Times New Roman" w:eastAsia="宋体" w:cs="Times New Roman"/>
      <w:lang w:val="en-US" w:eastAsia="zh-CN" w:bidi="ar-SA"/>
    </w:rPr>
  </w:style>
  <w:style w:type="paragraph" w:customStyle="1" w:styleId="136">
    <w:name w:val="p16"/>
    <w:basedOn w:val="1"/>
    <w:qFormat/>
    <w:uiPriority w:val="0"/>
    <w:pPr>
      <w:widowControl/>
    </w:pPr>
    <w:rPr>
      <w:rFonts w:ascii="宋体" w:hAnsi="宋体" w:cs="宋体"/>
      <w:kern w:val="0"/>
      <w:sz w:val="27"/>
      <w:szCs w:val="27"/>
    </w:rPr>
  </w:style>
  <w:style w:type="paragraph" w:customStyle="1" w:styleId="137">
    <w:name w:val="CM13"/>
    <w:basedOn w:val="120"/>
    <w:next w:val="120"/>
    <w:unhideWhenUsed/>
    <w:qFormat/>
    <w:uiPriority w:val="99"/>
    <w:pPr>
      <w:spacing w:line="520" w:lineRule="atLeast"/>
    </w:pPr>
  </w:style>
  <w:style w:type="paragraph" w:customStyle="1" w:styleId="138">
    <w:name w:val="CM19"/>
    <w:basedOn w:val="120"/>
    <w:next w:val="120"/>
    <w:unhideWhenUsed/>
    <w:qFormat/>
    <w:uiPriority w:val="99"/>
  </w:style>
  <w:style w:type="character" w:customStyle="1" w:styleId="139">
    <w:name w:val="font01"/>
    <w:qFormat/>
    <w:uiPriority w:val="0"/>
    <w:rPr>
      <w:rFonts w:hint="eastAsia" w:ascii="宋体" w:hAnsi="宋体" w:eastAsia="宋体" w:cs="宋体"/>
      <w:color w:val="000000"/>
      <w:sz w:val="21"/>
      <w:szCs w:val="21"/>
      <w:u w:val="none"/>
      <w:vertAlign w:val="superscript"/>
    </w:rPr>
  </w:style>
  <w:style w:type="character" w:customStyle="1" w:styleId="140">
    <w:name w:val="font11"/>
    <w:qFormat/>
    <w:uiPriority w:val="0"/>
    <w:rPr>
      <w:rFonts w:hint="eastAsia" w:ascii="宋体" w:hAnsi="宋体" w:eastAsia="宋体" w:cs="宋体"/>
      <w:color w:val="000000"/>
      <w:sz w:val="21"/>
      <w:szCs w:val="21"/>
      <w:u w:val="none"/>
    </w:rPr>
  </w:style>
  <w:style w:type="paragraph" w:customStyle="1" w:styleId="141">
    <w:name w:val="--规划正文"/>
    <w:basedOn w:val="1"/>
    <w:qFormat/>
    <w:uiPriority w:val="0"/>
    <w:pPr>
      <w:widowControl/>
      <w:suppressAutoHyphens/>
      <w:ind w:firstLine="200"/>
    </w:pPr>
    <w:rPr>
      <w:kern w:val="1"/>
      <w:szCs w:val="20"/>
      <w:lang w:eastAsia="ar-SA"/>
    </w:rPr>
  </w:style>
  <w:style w:type="character" w:customStyle="1" w:styleId="142">
    <w:name w:val="正文首行缩进 2 Char"/>
    <w:link w:val="143"/>
    <w:qFormat/>
    <w:uiPriority w:val="0"/>
    <w:rPr>
      <w:rFonts w:ascii="宋体" w:hAnsi="Courier New"/>
      <w:spacing w:val="-4"/>
      <w:kern w:val="2"/>
      <w:sz w:val="24"/>
    </w:rPr>
  </w:style>
  <w:style w:type="paragraph" w:customStyle="1" w:styleId="143">
    <w:name w:val="正文首行缩进 21"/>
    <w:basedOn w:val="13"/>
    <w:link w:val="142"/>
    <w:unhideWhenUsed/>
    <w:qFormat/>
    <w:uiPriority w:val="0"/>
    <w:pPr>
      <w:spacing w:after="120" w:line="360" w:lineRule="auto"/>
      <w:ind w:left="420" w:leftChars="200" w:firstLine="420"/>
    </w:pPr>
    <w:rPr>
      <w:sz w:val="24"/>
    </w:rPr>
  </w:style>
  <w:style w:type="character" w:customStyle="1" w:styleId="144">
    <w:name w:val="正文首行缩进 2 Char1"/>
    <w:qFormat/>
    <w:uiPriority w:val="0"/>
    <w:rPr>
      <w:rFonts w:ascii="宋体" w:hAnsi="Courier New"/>
      <w:spacing w:val="-4"/>
      <w:kern w:val="2"/>
      <w:sz w:val="21"/>
      <w:szCs w:val="24"/>
    </w:rPr>
  </w:style>
  <w:style w:type="paragraph" w:customStyle="1" w:styleId="145">
    <w:name w:val="正文sl"/>
    <w:basedOn w:val="1"/>
    <w:qFormat/>
    <w:uiPriority w:val="0"/>
    <w:pPr>
      <w:ind w:firstLine="600"/>
    </w:pPr>
    <w:rPr>
      <w:rFonts w:ascii="仿宋_GB2312" w:eastAsia="仿宋_GB2312" w:cs="宋体"/>
      <w:sz w:val="30"/>
      <w:szCs w:val="20"/>
    </w:rPr>
  </w:style>
  <w:style w:type="paragraph" w:customStyle="1" w:styleId="146">
    <w:name w:val="无间隔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7">
    <w:name w:val="fontstyle01"/>
    <w:qFormat/>
    <w:uiPriority w:val="0"/>
    <w:rPr>
      <w:rFonts w:hint="eastAsia" w:ascii="宋体" w:hAnsi="宋体" w:eastAsia="宋体" w:cs="宋体"/>
      <w:color w:val="000000"/>
      <w:sz w:val="24"/>
      <w:szCs w:val="24"/>
    </w:rPr>
  </w:style>
  <w:style w:type="character" w:customStyle="1" w:styleId="148">
    <w:name w:val="inline-comment-marker"/>
    <w:basedOn w:val="58"/>
    <w:qFormat/>
    <w:uiPriority w:val="0"/>
  </w:style>
  <w:style w:type="paragraph" w:customStyle="1" w:styleId="149">
    <w:name w:val="列表段落11"/>
    <w:basedOn w:val="1"/>
    <w:qFormat/>
    <w:uiPriority w:val="34"/>
    <w:pPr>
      <w:widowControl/>
      <w:ind w:firstLine="420"/>
    </w:pPr>
    <w:rPr>
      <w:rFonts w:ascii="宋体" w:hAnsi="宋体" w:cs="宋体"/>
      <w:kern w:val="0"/>
      <w:sz w:val="24"/>
    </w:rPr>
  </w:style>
  <w:style w:type="character" w:customStyle="1" w:styleId="150">
    <w:name w:val="标题 5 字符"/>
    <w:basedOn w:val="58"/>
    <w:link w:val="6"/>
    <w:qFormat/>
    <w:uiPriority w:val="0"/>
    <w:rPr>
      <w:rFonts w:eastAsia="微软雅黑"/>
      <w:b/>
      <w:bCs/>
      <w:kern w:val="2"/>
      <w:sz w:val="21"/>
      <w:szCs w:val="28"/>
    </w:rPr>
  </w:style>
  <w:style w:type="character" w:customStyle="1" w:styleId="151">
    <w:name w:val="标题 6 字符"/>
    <w:basedOn w:val="58"/>
    <w:link w:val="7"/>
    <w:qFormat/>
    <w:uiPriority w:val="0"/>
    <w:rPr>
      <w:rFonts w:ascii="Arial" w:hAnsi="Arial" w:eastAsia="黑体"/>
      <w:b/>
      <w:bCs/>
      <w:kern w:val="2"/>
      <w:sz w:val="24"/>
    </w:rPr>
  </w:style>
  <w:style w:type="character" w:customStyle="1" w:styleId="152">
    <w:name w:val="标题 7 字符"/>
    <w:basedOn w:val="58"/>
    <w:link w:val="8"/>
    <w:qFormat/>
    <w:uiPriority w:val="0"/>
    <w:rPr>
      <w:rFonts w:ascii="宋体" w:eastAsia="仿宋_GB2312"/>
      <w:b/>
      <w:sz w:val="24"/>
    </w:rPr>
  </w:style>
  <w:style w:type="character" w:customStyle="1" w:styleId="153">
    <w:name w:val="标题 8 字符"/>
    <w:basedOn w:val="58"/>
    <w:link w:val="9"/>
    <w:qFormat/>
    <w:uiPriority w:val="0"/>
    <w:rPr>
      <w:rFonts w:ascii="Arial" w:hAnsi="Arial" w:eastAsia="黑体"/>
      <w:sz w:val="24"/>
    </w:rPr>
  </w:style>
  <w:style w:type="character" w:customStyle="1" w:styleId="154">
    <w:name w:val="标题 9 字符"/>
    <w:basedOn w:val="58"/>
    <w:link w:val="10"/>
    <w:qFormat/>
    <w:uiPriority w:val="0"/>
    <w:rPr>
      <w:rFonts w:ascii="Arial" w:hAnsi="Arial" w:eastAsia="黑体"/>
      <w:sz w:val="28"/>
    </w:rPr>
  </w:style>
  <w:style w:type="character" w:customStyle="1" w:styleId="155">
    <w:name w:val="标题 2 字符"/>
    <w:basedOn w:val="58"/>
    <w:link w:val="3"/>
    <w:qFormat/>
    <w:uiPriority w:val="9"/>
    <w:rPr>
      <w:rFonts w:ascii="仿宋_GB2312" w:hAnsi="仿宋_GB2312" w:eastAsia="微软雅黑"/>
      <w:b/>
      <w:sz w:val="21"/>
    </w:rPr>
  </w:style>
  <w:style w:type="character" w:customStyle="1" w:styleId="156">
    <w:name w:val="unnamed11"/>
    <w:qFormat/>
    <w:uiPriority w:val="0"/>
    <w:rPr>
      <w:sz w:val="20"/>
      <w:szCs w:val="20"/>
    </w:rPr>
  </w:style>
  <w:style w:type="character" w:customStyle="1" w:styleId="157">
    <w:name w:val="标题 1 Char Char"/>
    <w:qFormat/>
    <w:uiPriority w:val="0"/>
    <w:rPr>
      <w:rFonts w:eastAsia="宋体"/>
      <w:b/>
      <w:spacing w:val="-2"/>
      <w:sz w:val="24"/>
      <w:lang w:val="en-US" w:eastAsia="zh-CN" w:bidi="ar-SA"/>
    </w:rPr>
  </w:style>
  <w:style w:type="character" w:customStyle="1" w:styleId="158">
    <w:name w:val="line1"/>
    <w:qFormat/>
    <w:uiPriority w:val="0"/>
    <w:rPr>
      <w:u w:val="none"/>
    </w:rPr>
  </w:style>
  <w:style w:type="character" w:customStyle="1" w:styleId="159">
    <w:name w:val="point_normal1"/>
    <w:qFormat/>
    <w:uiPriority w:val="0"/>
    <w:rPr>
      <w:rFonts w:hint="default" w:ascii="Arial" w:hAnsi="Arial" w:cs="Arial"/>
      <w:sz w:val="18"/>
      <w:szCs w:val="18"/>
    </w:rPr>
  </w:style>
  <w:style w:type="character" w:customStyle="1" w:styleId="160">
    <w:name w:val="样式 小四"/>
    <w:qFormat/>
    <w:uiPriority w:val="0"/>
    <w:rPr>
      <w:sz w:val="21"/>
    </w:rPr>
  </w:style>
  <w:style w:type="character" w:customStyle="1" w:styleId="161">
    <w:name w:val="para"/>
    <w:basedOn w:val="58"/>
    <w:qFormat/>
    <w:uiPriority w:val="0"/>
  </w:style>
  <w:style w:type="character" w:customStyle="1" w:styleId="162">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163">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164">
    <w:name w:val="A C"/>
    <w:qFormat/>
    <w:uiPriority w:val="0"/>
    <w:rPr>
      <w:rFonts w:ascii="仿宋_GB2312"/>
      <w:bCs/>
      <w:iCs/>
      <w:sz w:val="24"/>
    </w:rPr>
  </w:style>
  <w:style w:type="character" w:customStyle="1" w:styleId="165">
    <w:name w:val="huide001"/>
    <w:qFormat/>
    <w:uiPriority w:val="0"/>
    <w:rPr>
      <w:rFonts w:hint="default" w:ascii="Arial" w:hAnsi="Arial" w:cs="Arial"/>
      <w:color w:val="666666"/>
      <w:sz w:val="18"/>
      <w:szCs w:val="18"/>
    </w:rPr>
  </w:style>
  <w:style w:type="character" w:customStyle="1" w:styleId="166">
    <w:name w:val="tw4winMark"/>
    <w:qFormat/>
    <w:uiPriority w:val="0"/>
    <w:rPr>
      <w:rFonts w:ascii="Courier New" w:hAnsi="Courier New"/>
      <w:vanish/>
      <w:color w:val="800080"/>
      <w:vertAlign w:val="subscript"/>
    </w:rPr>
  </w:style>
  <w:style w:type="character" w:customStyle="1" w:styleId="167">
    <w:name w:val="tw4winError"/>
    <w:qFormat/>
    <w:uiPriority w:val="0"/>
    <w:rPr>
      <w:rFonts w:ascii="Courier New" w:hAnsi="Courier New"/>
      <w:color w:val="00FF00"/>
      <w:sz w:val="40"/>
    </w:rPr>
  </w:style>
  <w:style w:type="character" w:customStyle="1" w:styleId="168">
    <w:name w:val="tw4winTerm"/>
    <w:qFormat/>
    <w:uiPriority w:val="0"/>
    <w:rPr>
      <w:color w:val="0000FF"/>
    </w:rPr>
  </w:style>
  <w:style w:type="character" w:customStyle="1" w:styleId="169">
    <w:name w:val="tw4winPopup"/>
    <w:qFormat/>
    <w:uiPriority w:val="0"/>
    <w:rPr>
      <w:rFonts w:ascii="Courier New" w:hAnsi="Courier New"/>
      <w:color w:val="008000"/>
    </w:rPr>
  </w:style>
  <w:style w:type="character" w:customStyle="1" w:styleId="170">
    <w:name w:val="tw4winJump"/>
    <w:qFormat/>
    <w:uiPriority w:val="0"/>
    <w:rPr>
      <w:rFonts w:ascii="Courier New" w:hAnsi="Courier New"/>
      <w:color w:val="008080"/>
    </w:rPr>
  </w:style>
  <w:style w:type="character" w:customStyle="1" w:styleId="171">
    <w:name w:val="tw4winExternal"/>
    <w:qFormat/>
    <w:uiPriority w:val="0"/>
    <w:rPr>
      <w:rFonts w:ascii="Courier New" w:hAnsi="Courier New"/>
      <w:color w:val="808080"/>
    </w:rPr>
  </w:style>
  <w:style w:type="character" w:customStyle="1" w:styleId="172">
    <w:name w:val="tw4winInternal"/>
    <w:qFormat/>
    <w:uiPriority w:val="0"/>
    <w:rPr>
      <w:rFonts w:ascii="Courier New" w:hAnsi="Courier New"/>
      <w:color w:val="FF0000"/>
    </w:rPr>
  </w:style>
  <w:style w:type="paragraph" w:customStyle="1" w:styleId="173">
    <w:name w:val="样式 样式 标题 4 + 段后: 0.5 行1"/>
    <w:basedOn w:val="174"/>
    <w:next w:val="31"/>
    <w:qFormat/>
    <w:uiPriority w:val="0"/>
    <w:pPr>
      <w:spacing w:after="120"/>
    </w:pPr>
  </w:style>
  <w:style w:type="paragraph" w:customStyle="1" w:styleId="174">
    <w:name w:val="样式 标题 4 + 段后: 0.5 行"/>
    <w:basedOn w:val="5"/>
    <w:qFormat/>
    <w:uiPriority w:val="0"/>
    <w:pPr>
      <w:keepLines w:val="0"/>
      <w:spacing w:before="120" w:afterLines="50" w:line="240" w:lineRule="auto"/>
    </w:pPr>
    <w:rPr>
      <w:rFonts w:ascii="宋体" w:hAnsi="Times New Roman" w:eastAsia="宋体" w:cs="宋体"/>
      <w:snapToGrid w:val="0"/>
      <w:kern w:val="0"/>
      <w:szCs w:val="20"/>
    </w:rPr>
  </w:style>
  <w:style w:type="paragraph" w:customStyle="1" w:styleId="175">
    <w:name w:val="Bullet1"/>
    <w:basedOn w:val="1"/>
    <w:qFormat/>
    <w:uiPriority w:val="0"/>
    <w:pPr>
      <w:spacing w:afterLines="50"/>
      <w:ind w:left="720" w:hanging="432"/>
    </w:pPr>
    <w:rPr>
      <w:rFonts w:ascii="宋体"/>
      <w:snapToGrid w:val="0"/>
      <w:kern w:val="0"/>
      <w:szCs w:val="20"/>
    </w:rPr>
  </w:style>
  <w:style w:type="paragraph" w:customStyle="1" w:styleId="176">
    <w:name w:val="font5"/>
    <w:basedOn w:val="1"/>
    <w:qFormat/>
    <w:uiPriority w:val="0"/>
    <w:pPr>
      <w:widowControl/>
      <w:spacing w:before="100" w:beforeAutospacing="1" w:after="100" w:afterAutospacing="1"/>
    </w:pPr>
    <w:rPr>
      <w:rFonts w:hint="eastAsia" w:ascii="宋体" w:hAnsi="宋体"/>
      <w:kern w:val="0"/>
      <w:sz w:val="18"/>
      <w:szCs w:val="18"/>
    </w:rPr>
  </w:style>
  <w:style w:type="paragraph" w:customStyle="1" w:styleId="177">
    <w:name w:val="标准标题1"/>
    <w:basedOn w:val="2"/>
    <w:qFormat/>
    <w:uiPriority w:val="0"/>
    <w:pPr>
      <w:pageBreakBefore/>
      <w:tabs>
        <w:tab w:val="left" w:pos="360"/>
        <w:tab w:val="left" w:pos="1080"/>
      </w:tabs>
      <w:ind w:left="425" w:hanging="425"/>
    </w:pPr>
    <w:rPr>
      <w:rFonts w:eastAsia="仿宋_GB2312"/>
      <w:sz w:val="32"/>
    </w:rPr>
  </w:style>
  <w:style w:type="character" w:customStyle="1" w:styleId="178">
    <w:name w:val="脚注文本 Char1"/>
    <w:basedOn w:val="58"/>
    <w:semiHidden/>
    <w:qFormat/>
    <w:uiPriority w:val="99"/>
    <w:rPr>
      <w:rFonts w:ascii="Times New Roman" w:hAnsi="Times New Roman" w:eastAsia="宋体" w:cs="Times New Roman"/>
      <w:sz w:val="18"/>
      <w:szCs w:val="18"/>
    </w:rPr>
  </w:style>
  <w:style w:type="paragraph" w:customStyle="1" w:styleId="179">
    <w:name w:val="样式 标题 2Chapter X.X. Statementh22Header 2l2Level 2 Headhea..."/>
    <w:basedOn w:val="3"/>
    <w:qFormat/>
    <w:uiPriority w:val="0"/>
    <w:pPr>
      <w:tabs>
        <w:tab w:val="left" w:pos="720"/>
      </w:tabs>
      <w:adjustRightInd/>
      <w:snapToGrid/>
      <w:spacing w:afterLines="50" w:line="240" w:lineRule="auto"/>
      <w:textAlignment w:val="auto"/>
    </w:pPr>
    <w:rPr>
      <w:rFonts w:ascii="宋体" w:eastAsia="宋体" w:cs="宋体"/>
      <w:snapToGrid w:val="0"/>
      <w:sz w:val="24"/>
      <w:szCs w:val="24"/>
    </w:rPr>
  </w:style>
  <w:style w:type="paragraph" w:customStyle="1" w:styleId="180">
    <w:name w:val="此正文"/>
    <w:basedOn w:val="1"/>
    <w:qFormat/>
    <w:uiPriority w:val="0"/>
    <w:pPr>
      <w:ind w:firstLine="200"/>
    </w:pPr>
    <w:rPr>
      <w:sz w:val="24"/>
      <w:szCs w:val="20"/>
    </w:rPr>
  </w:style>
  <w:style w:type="paragraph" w:customStyle="1" w:styleId="181">
    <w:name w:val="样式 标题 3Chapter X.X.X"/>
    <w:basedOn w:val="182"/>
    <w:qFormat/>
    <w:uiPriority w:val="0"/>
    <w:pPr>
      <w:tabs>
        <w:tab w:val="left" w:pos="709"/>
      </w:tabs>
      <w:spacing w:after="120"/>
    </w:pPr>
  </w:style>
  <w:style w:type="paragraph" w:customStyle="1" w:styleId="182">
    <w:name w:val="标题 3Chapter X.X.X. + 段后: 0.5 行 + 段后: 0.5 行 + 段后: 0.5 行1"/>
    <w:basedOn w:val="183"/>
    <w:qFormat/>
    <w:uiPriority w:val="0"/>
    <w:pPr>
      <w:tabs>
        <w:tab w:val="left" w:pos="709"/>
      </w:tabs>
    </w:pPr>
  </w:style>
  <w:style w:type="paragraph" w:customStyle="1" w:styleId="183">
    <w:name w:val="样式 样式 标题 3Chapter X.X.X. + 段后: 0.5 行 + 段后: 0.5 行"/>
    <w:basedOn w:val="184"/>
    <w:qFormat/>
    <w:uiPriority w:val="0"/>
    <w:pPr>
      <w:tabs>
        <w:tab w:val="left" w:pos="709"/>
      </w:tabs>
    </w:pPr>
  </w:style>
  <w:style w:type="paragraph" w:customStyle="1" w:styleId="184">
    <w:name w:val="样式 标题 3Chapter X.X.X. + 段后: 0.5 行"/>
    <w:basedOn w:val="4"/>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character" w:customStyle="1" w:styleId="185">
    <w:name w:val="正文文本 Char1"/>
    <w:basedOn w:val="58"/>
    <w:semiHidden/>
    <w:qFormat/>
    <w:uiPriority w:val="99"/>
    <w:rPr>
      <w:rFonts w:ascii="Times New Roman" w:hAnsi="Times New Roman" w:eastAsia="宋体" w:cs="Times New Roman"/>
      <w:szCs w:val="20"/>
    </w:rPr>
  </w:style>
  <w:style w:type="character" w:customStyle="1" w:styleId="186">
    <w:name w:val="尾注文本 字符"/>
    <w:basedOn w:val="58"/>
    <w:link w:val="31"/>
    <w:semiHidden/>
    <w:qFormat/>
    <w:uiPriority w:val="0"/>
    <w:rPr>
      <w:rFonts w:ascii="宋体"/>
      <w:snapToGrid w:val="0"/>
      <w:sz w:val="21"/>
    </w:rPr>
  </w:style>
  <w:style w:type="paragraph" w:customStyle="1" w:styleId="187">
    <w:name w:val="样式 标题 2"/>
    <w:basedOn w:val="3"/>
    <w:next w:val="188"/>
    <w:qFormat/>
    <w:uiPriority w:val="0"/>
    <w:pPr>
      <w:tabs>
        <w:tab w:val="left" w:pos="720"/>
      </w:tabs>
      <w:adjustRightInd/>
      <w:snapToGrid/>
      <w:spacing w:afterLines="50" w:line="240" w:lineRule="auto"/>
      <w:ind w:left="380" w:hanging="380"/>
      <w:textAlignment w:val="auto"/>
    </w:pPr>
    <w:rPr>
      <w:rFonts w:ascii="宋体" w:eastAsia="宋体" w:cs="宋体"/>
      <w:snapToGrid w:val="0"/>
      <w:sz w:val="28"/>
    </w:rPr>
  </w:style>
  <w:style w:type="paragraph" w:customStyle="1" w:styleId="188">
    <w:name w:val="最新标题3"/>
    <w:basedOn w:val="189"/>
    <w:next w:val="190"/>
    <w:qFormat/>
    <w:uiPriority w:val="0"/>
    <w:pPr>
      <w:tabs>
        <w:tab w:val="left" w:pos="709"/>
      </w:tabs>
      <w:spacing w:after="120"/>
    </w:pPr>
  </w:style>
  <w:style w:type="paragraph" w:customStyle="1" w:styleId="189">
    <w:name w:val="样式 标题 3"/>
    <w:basedOn w:val="4"/>
    <w:next w:val="190"/>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0">
    <w:name w:val="最新标题4"/>
    <w:basedOn w:val="191"/>
    <w:next w:val="1"/>
    <w:qFormat/>
    <w:uiPriority w:val="0"/>
    <w:pPr>
      <w:tabs>
        <w:tab w:val="left" w:pos="2100"/>
      </w:tabs>
      <w:spacing w:after="120"/>
      <w:ind w:left="0" w:firstLine="0"/>
    </w:pPr>
  </w:style>
  <w:style w:type="paragraph" w:customStyle="1" w:styleId="191">
    <w:name w:val="样式 标题 4"/>
    <w:basedOn w:val="192"/>
    <w:next w:val="193"/>
    <w:qFormat/>
    <w:uiPriority w:val="0"/>
    <w:pPr>
      <w:tabs>
        <w:tab w:val="left" w:pos="2100"/>
      </w:tabs>
      <w:spacing w:after="50"/>
      <w:ind w:left="2100" w:hanging="420"/>
    </w:pPr>
  </w:style>
  <w:style w:type="paragraph" w:customStyle="1" w:styleId="192">
    <w:name w:val="样式 标题 4Chapter X.X.X.X. + 段后: 0.5 行1"/>
    <w:basedOn w:val="174"/>
    <w:qFormat/>
    <w:uiPriority w:val="0"/>
    <w:pPr>
      <w:spacing w:after="120"/>
    </w:pPr>
  </w:style>
  <w:style w:type="paragraph" w:customStyle="1" w:styleId="193">
    <w:name w:val="样式 正文"/>
    <w:basedOn w:val="1"/>
    <w:next w:val="1"/>
    <w:qFormat/>
    <w:uiPriority w:val="0"/>
    <w:pPr>
      <w:spacing w:afterLines="50"/>
    </w:pPr>
    <w:rPr>
      <w:rFonts w:ascii="宋体" w:cs="宋体"/>
      <w:snapToGrid w:val="0"/>
      <w:kern w:val="0"/>
      <w:szCs w:val="20"/>
    </w:rPr>
  </w:style>
  <w:style w:type="paragraph" w:customStyle="1" w:styleId="194">
    <w:name w:val="样式 标题 2Chapter X.X. Statementh22Header 2l2Level 2 Headhea...1"/>
    <w:basedOn w:val="4"/>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195">
    <w:name w:val="表格标题"/>
    <w:basedOn w:val="196"/>
    <w:qFormat/>
    <w:uiPriority w:val="0"/>
    <w:pPr>
      <w:jc w:val="center"/>
    </w:pPr>
    <w:rPr>
      <w:b/>
      <w:bCs/>
      <w:i/>
      <w:iCs/>
    </w:rPr>
  </w:style>
  <w:style w:type="paragraph" w:customStyle="1" w:styleId="196">
    <w:name w:val="表格内容"/>
    <w:basedOn w:val="19"/>
    <w:qFormat/>
    <w:uiPriority w:val="0"/>
    <w:pPr>
      <w:suppressLineNumbers/>
      <w:suppressAutoHyphens/>
    </w:pPr>
    <w:rPr>
      <w:rFonts w:asciiTheme="minorHAnsi" w:hAnsiTheme="minorHAnsi" w:eastAsiaTheme="minorEastAsia" w:cstheme="minorBidi"/>
      <w:kern w:val="1"/>
      <w:lang w:eastAsia="ar-SA"/>
    </w:rPr>
  </w:style>
  <w:style w:type="paragraph" w:customStyle="1" w:styleId="197">
    <w:name w:val="标准标题3"/>
    <w:basedOn w:val="4"/>
    <w:qFormat/>
    <w:uiPriority w:val="0"/>
    <w:pPr>
      <w:tabs>
        <w:tab w:val="left" w:pos="709"/>
        <w:tab w:val="left" w:pos="1050"/>
      </w:tabs>
      <w:spacing w:line="240" w:lineRule="auto"/>
      <w:ind w:left="-258" w:leftChars="-258" w:firstLine="0" w:firstLineChars="0"/>
    </w:pPr>
    <w:rPr>
      <w:rFonts w:ascii="Times New Roman"/>
      <w:sz w:val="28"/>
      <w:szCs w:val="32"/>
    </w:rPr>
  </w:style>
  <w:style w:type="paragraph" w:customStyle="1" w:styleId="198">
    <w:name w:val="paragraph1"/>
    <w:basedOn w:val="1"/>
    <w:qFormat/>
    <w:uiPriority w:val="0"/>
    <w:pPr>
      <w:spacing w:afterLines="30"/>
      <w:ind w:firstLine="420"/>
    </w:pPr>
    <w:rPr>
      <w:rFonts w:eastAsia="楷体_GB2312"/>
      <w:sz w:val="24"/>
      <w:szCs w:val="20"/>
    </w:rPr>
  </w:style>
  <w:style w:type="paragraph" w:customStyle="1" w:styleId="199">
    <w:name w:val="Char Char Char Char1 Char Char"/>
    <w:basedOn w:val="1"/>
    <w:qFormat/>
    <w:uiPriority w:val="0"/>
    <w:pPr>
      <w:widowControl/>
      <w:spacing w:after="160" w:line="240" w:lineRule="exact"/>
    </w:pPr>
    <w:rPr>
      <w:rFonts w:ascii="Verdana" w:hAnsi="Verdana"/>
      <w:kern w:val="0"/>
      <w:sz w:val="20"/>
      <w:szCs w:val="20"/>
      <w:lang w:eastAsia="en-US"/>
    </w:rPr>
  </w:style>
  <w:style w:type="paragraph" w:customStyle="1" w:styleId="200">
    <w:name w:val="最新标题2"/>
    <w:basedOn w:val="187"/>
    <w:next w:val="188"/>
    <w:qFormat/>
    <w:uiPriority w:val="0"/>
  </w:style>
  <w:style w:type="paragraph" w:customStyle="1" w:styleId="201">
    <w:name w:val="Paragraph2"/>
    <w:basedOn w:val="1"/>
    <w:qFormat/>
    <w:uiPriority w:val="0"/>
    <w:pPr>
      <w:spacing w:before="80" w:afterLines="50"/>
      <w:ind w:left="720"/>
    </w:pPr>
    <w:rPr>
      <w:rFonts w:ascii="宋体"/>
      <w:snapToGrid w:val="0"/>
      <w:color w:val="000000"/>
      <w:kern w:val="0"/>
      <w:szCs w:val="20"/>
      <w:lang w:val="en-AU"/>
    </w:rPr>
  </w:style>
  <w:style w:type="paragraph" w:customStyle="1" w:styleId="202">
    <w:name w:val="样式 样式 正文文本缩进 + 仿宋_GB2312 小四 首行缩进:  0 厘米 行距: 1.5 倍行距 + (中文) 仿宋_GB..."/>
    <w:basedOn w:val="203"/>
    <w:qFormat/>
    <w:uiPriority w:val="0"/>
    <w:pPr>
      <w:ind w:firstLine="480"/>
    </w:pPr>
  </w:style>
  <w:style w:type="paragraph" w:customStyle="1" w:styleId="203">
    <w:name w:val="样式 正文文本缩进 + 仿宋_GB2312 小四 首行缩进:  0 厘米 行距: 1.5 倍行距"/>
    <w:basedOn w:val="13"/>
    <w:qFormat/>
    <w:uiPriority w:val="0"/>
    <w:pPr>
      <w:spacing w:line="360" w:lineRule="auto"/>
      <w:ind w:firstLine="0"/>
    </w:pPr>
    <w:rPr>
      <w:rFonts w:ascii="仿宋_GB2312" w:hAnsi="Times New Roman" w:eastAsia="新宋体"/>
      <w:spacing w:val="0"/>
      <w:sz w:val="24"/>
    </w:rPr>
  </w:style>
  <w:style w:type="paragraph" w:customStyle="1" w:styleId="204">
    <w:name w:val="样式 标题 1 + 段后: 0.5 行"/>
    <w:basedOn w:val="2"/>
    <w:qFormat/>
    <w:uiPriority w:val="0"/>
    <w:pPr>
      <w:keepLines w:val="0"/>
      <w:tabs>
        <w:tab w:val="left" w:pos="360"/>
      </w:tabs>
      <w:spacing w:before="120" w:afterLines="50" w:line="240" w:lineRule="auto"/>
      <w:jc w:val="left"/>
    </w:pPr>
    <w:rPr>
      <w:rFonts w:ascii="宋体" w:cs="宋体"/>
      <w:snapToGrid w:val="0"/>
      <w:kern w:val="0"/>
      <w:sz w:val="28"/>
      <w:szCs w:val="20"/>
    </w:rPr>
  </w:style>
  <w:style w:type="paragraph" w:customStyle="1" w:styleId="205">
    <w:name w:val="Table - Text"/>
    <w:basedOn w:val="1"/>
    <w:qFormat/>
    <w:uiPriority w:val="0"/>
    <w:pPr>
      <w:widowControl/>
      <w:spacing w:before="60" w:afterLines="50"/>
    </w:pPr>
    <w:rPr>
      <w:kern w:val="0"/>
      <w:szCs w:val="20"/>
      <w:lang w:eastAsia="en-US"/>
    </w:rPr>
  </w:style>
  <w:style w:type="paragraph" w:customStyle="1" w:styleId="206">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207">
    <w:name w:val="沈标题四"/>
    <w:basedOn w:val="5"/>
    <w:next w:val="1"/>
    <w:qFormat/>
    <w:uiPriority w:val="0"/>
    <w:pPr>
      <w:keepNext w:val="0"/>
      <w:keepLines w:val="0"/>
      <w:spacing w:line="377" w:lineRule="auto"/>
    </w:pPr>
    <w:rPr>
      <w:rFonts w:ascii="Arial Narrow" w:hAnsi="Arial Narrow" w:eastAsia="方正姚体"/>
      <w:b w:val="0"/>
      <w:sz w:val="24"/>
      <w:szCs w:val="24"/>
    </w:rPr>
  </w:style>
  <w:style w:type="paragraph" w:customStyle="1" w:styleId="208">
    <w:name w:val="S4-L15"/>
    <w:basedOn w:val="1"/>
    <w:qFormat/>
    <w:uiPriority w:val="0"/>
    <w:pPr>
      <w:spacing w:after="120"/>
      <w:ind w:left="720" w:firstLine="392"/>
    </w:pPr>
    <w:rPr>
      <w:szCs w:val="21"/>
      <w:lang w:val="fr-FR"/>
    </w:rPr>
  </w:style>
  <w:style w:type="paragraph" w:customStyle="1" w:styleId="209">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210">
    <w:name w:val="样式 标题 4Chapter X.X.X. + 段后: 0.5 行1 + 段后: 0.5 行"/>
    <w:basedOn w:val="211"/>
    <w:qFormat/>
    <w:uiPriority w:val="0"/>
    <w:rPr>
      <w:szCs w:val="21"/>
    </w:rPr>
  </w:style>
  <w:style w:type="paragraph" w:customStyle="1" w:styleId="211">
    <w:name w:val="样式 标题 4Chapter X.X.X. + 段后: 0.5 行1"/>
    <w:basedOn w:val="5"/>
    <w:next w:val="5"/>
    <w:qFormat/>
    <w:uiPriority w:val="0"/>
    <w:pPr>
      <w:keepLines w:val="0"/>
      <w:spacing w:before="120" w:afterLines="50" w:line="240" w:lineRule="auto"/>
      <w:ind w:left="425" w:hanging="425"/>
    </w:pPr>
    <w:rPr>
      <w:rFonts w:ascii="宋体" w:hAnsi="Times New Roman" w:eastAsia="宋体" w:cs="宋体"/>
      <w:snapToGrid w:val="0"/>
      <w:kern w:val="0"/>
      <w:szCs w:val="20"/>
    </w:rPr>
  </w:style>
  <w:style w:type="paragraph" w:customStyle="1" w:styleId="212">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13">
    <w:name w:val="Table - Col. Head"/>
    <w:basedOn w:val="1"/>
    <w:qFormat/>
    <w:uiPriority w:val="0"/>
    <w:pPr>
      <w:keepNext/>
      <w:widowControl/>
      <w:spacing w:before="60" w:afterLines="50"/>
    </w:pPr>
    <w:rPr>
      <w:rFonts w:ascii="Arial" w:hAnsi="Arial"/>
      <w:b/>
      <w:kern w:val="0"/>
      <w:sz w:val="18"/>
      <w:szCs w:val="20"/>
      <w:lang w:eastAsia="en-US"/>
    </w:rPr>
  </w:style>
  <w:style w:type="paragraph" w:customStyle="1" w:styleId="214">
    <w:name w:val="Paragraph1"/>
    <w:basedOn w:val="1"/>
    <w:qFormat/>
    <w:uiPriority w:val="0"/>
    <w:pPr>
      <w:spacing w:before="80" w:afterLines="50"/>
    </w:pPr>
    <w:rPr>
      <w:rFonts w:ascii="宋体"/>
      <w:snapToGrid w:val="0"/>
      <w:kern w:val="0"/>
      <w:szCs w:val="20"/>
    </w:rPr>
  </w:style>
  <w:style w:type="character" w:customStyle="1" w:styleId="215">
    <w:name w:val="HTML 预设格式 字符"/>
    <w:basedOn w:val="58"/>
    <w:link w:val="46"/>
    <w:qFormat/>
    <w:uiPriority w:val="0"/>
    <w:rPr>
      <w:rFonts w:ascii="Arial" w:hAnsi="Arial" w:cs="Arial"/>
      <w:sz w:val="24"/>
      <w:szCs w:val="24"/>
    </w:rPr>
  </w:style>
  <w:style w:type="paragraph" w:customStyle="1" w:styleId="216">
    <w:name w:val="S4-L15-No"/>
    <w:basedOn w:val="208"/>
    <w:qFormat/>
    <w:uiPriority w:val="0"/>
    <w:pPr>
      <w:tabs>
        <w:tab w:val="left" w:pos="720"/>
      </w:tabs>
      <w:ind w:hanging="720"/>
    </w:pPr>
  </w:style>
  <w:style w:type="paragraph" w:customStyle="1" w:styleId="217">
    <w:name w:val="样式 样式 样式 标题 3Chapter X.X.X. + 段后: 0.5 行 + 段后: 0.5 行 + 段后: 0.5 行"/>
    <w:basedOn w:val="183"/>
    <w:qFormat/>
    <w:uiPriority w:val="0"/>
    <w:pPr>
      <w:spacing w:after="120"/>
    </w:pPr>
  </w:style>
  <w:style w:type="character" w:customStyle="1" w:styleId="218">
    <w:name w:val="正文文本首行缩进 字符"/>
    <w:basedOn w:val="72"/>
    <w:link w:val="51"/>
    <w:semiHidden/>
    <w:qFormat/>
    <w:uiPriority w:val="0"/>
    <w:rPr>
      <w:kern w:val="2"/>
      <w:sz w:val="21"/>
      <w:szCs w:val="24"/>
    </w:rPr>
  </w:style>
  <w:style w:type="paragraph" w:customStyle="1" w:styleId="219">
    <w:name w:val="Paragraph3"/>
    <w:basedOn w:val="1"/>
    <w:qFormat/>
    <w:uiPriority w:val="0"/>
    <w:pPr>
      <w:spacing w:before="80" w:afterLines="50"/>
      <w:ind w:left="1530"/>
    </w:pPr>
    <w:rPr>
      <w:rFonts w:ascii="宋体"/>
      <w:snapToGrid w:val="0"/>
      <w:kern w:val="0"/>
      <w:szCs w:val="20"/>
    </w:rPr>
  </w:style>
  <w:style w:type="character" w:customStyle="1" w:styleId="220">
    <w:name w:val="文档结构图 字符"/>
    <w:basedOn w:val="58"/>
    <w:link w:val="16"/>
    <w:semiHidden/>
    <w:qFormat/>
    <w:uiPriority w:val="0"/>
    <w:rPr>
      <w:kern w:val="2"/>
      <w:sz w:val="21"/>
      <w:szCs w:val="24"/>
      <w:shd w:val="clear" w:color="auto" w:fill="000080"/>
    </w:rPr>
  </w:style>
  <w:style w:type="paragraph" w:customStyle="1" w:styleId="221">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22">
    <w:name w:val="样式 标题 3Chapter X.X.X. + 五号 段后: 0.5 行"/>
    <w:basedOn w:val="4"/>
    <w:qFormat/>
    <w:uiPriority w:val="0"/>
    <w:pPr>
      <w:keepLines w:val="0"/>
      <w:tabs>
        <w:tab w:val="left" w:pos="709"/>
      </w:tabs>
      <w:spacing w:before="120" w:afterLines="50" w:line="240" w:lineRule="auto"/>
      <w:ind w:firstLine="0" w:firstLineChars="0"/>
    </w:pPr>
    <w:rPr>
      <w:rFonts w:ascii="宋体" w:eastAsia="宋体" w:cs="宋体"/>
      <w:snapToGrid w:val="0"/>
      <w:kern w:val="0"/>
    </w:rPr>
  </w:style>
  <w:style w:type="paragraph" w:customStyle="1" w:styleId="223">
    <w:name w:val="huide00"/>
    <w:basedOn w:val="1"/>
    <w:qFormat/>
    <w:uiPriority w:val="0"/>
    <w:pPr>
      <w:widowControl/>
      <w:spacing w:before="100" w:beforeAutospacing="1" w:after="100" w:afterAutospacing="1"/>
    </w:pPr>
    <w:rPr>
      <w:rFonts w:ascii="Arial" w:hAnsi="Arial" w:eastAsia="Arial Unicode MS" w:cs="Arial"/>
      <w:color w:val="666666"/>
      <w:kern w:val="0"/>
      <w:sz w:val="18"/>
      <w:szCs w:val="18"/>
    </w:rPr>
  </w:style>
  <w:style w:type="paragraph" w:customStyle="1" w:styleId="224">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225">
    <w:name w:val="S4-I-L15-U"/>
    <w:basedOn w:val="1"/>
    <w:qFormat/>
    <w:uiPriority w:val="0"/>
    <w:rPr>
      <w:b/>
      <w:i/>
      <w:sz w:val="24"/>
      <w:u w:val="single"/>
    </w:rPr>
  </w:style>
  <w:style w:type="paragraph" w:customStyle="1" w:styleId="226">
    <w:name w:val="InfoBlue"/>
    <w:basedOn w:val="1"/>
    <w:next w:val="19"/>
    <w:qFormat/>
    <w:uiPriority w:val="0"/>
    <w:pPr>
      <w:spacing w:afterLines="50"/>
      <w:ind w:left="720"/>
    </w:pPr>
    <w:rPr>
      <w:rFonts w:ascii="宋体"/>
      <w:i/>
      <w:snapToGrid w:val="0"/>
      <w:color w:val="0000FF"/>
      <w:kern w:val="0"/>
      <w:szCs w:val="20"/>
    </w:rPr>
  </w:style>
  <w:style w:type="paragraph" w:customStyle="1" w:styleId="227">
    <w:name w:val="标准标题2"/>
    <w:basedOn w:val="3"/>
    <w:qFormat/>
    <w:uiPriority w:val="0"/>
    <w:pPr>
      <w:keepLines/>
      <w:tabs>
        <w:tab w:val="left" w:pos="720"/>
      </w:tabs>
      <w:adjustRightInd/>
      <w:snapToGrid/>
      <w:spacing w:before="260" w:after="260"/>
      <w:jc w:val="both"/>
      <w:textAlignment w:val="auto"/>
    </w:pPr>
    <w:rPr>
      <w:rFonts w:ascii="Arial" w:hAnsi="Arial"/>
      <w:kern w:val="2"/>
      <w:sz w:val="28"/>
      <w:szCs w:val="32"/>
    </w:rPr>
  </w:style>
  <w:style w:type="paragraph" w:customStyle="1" w:styleId="228">
    <w:name w:val="样式 左侧:  1 厘米 段后: 0.5 行"/>
    <w:basedOn w:val="1"/>
    <w:qFormat/>
    <w:uiPriority w:val="0"/>
    <w:pPr>
      <w:spacing w:afterLines="50"/>
      <w:ind w:firstLine="425"/>
    </w:pPr>
    <w:rPr>
      <w:rFonts w:ascii="宋体" w:cs="宋体"/>
      <w:snapToGrid w:val="0"/>
      <w:kern w:val="0"/>
      <w:szCs w:val="20"/>
    </w:rPr>
  </w:style>
  <w:style w:type="paragraph" w:customStyle="1" w:styleId="229">
    <w:name w:val="Char Char Char Char Char Char"/>
    <w:basedOn w:val="1"/>
    <w:qFormat/>
    <w:uiPriority w:val="0"/>
    <w:pPr>
      <w:widowControl/>
      <w:spacing w:after="160" w:line="240" w:lineRule="exact"/>
    </w:pPr>
    <w:rPr>
      <w:rFonts w:ascii="Verdana" w:hAnsi="Verdana"/>
      <w:kern w:val="0"/>
      <w:sz w:val="20"/>
      <w:szCs w:val="20"/>
      <w:lang w:eastAsia="en-US"/>
    </w:rPr>
  </w:style>
  <w:style w:type="paragraph" w:customStyle="1" w:styleId="230">
    <w:name w:val="样式7"/>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231">
    <w:name w:val="样式 标题1"/>
    <w:basedOn w:val="204"/>
    <w:next w:val="200"/>
    <w:qFormat/>
    <w:uiPriority w:val="0"/>
    <w:pPr>
      <w:tabs>
        <w:tab w:val="left" w:pos="1140"/>
      </w:tabs>
      <w:spacing w:after="50"/>
      <w:ind w:left="1140" w:hanging="720"/>
    </w:pPr>
    <w:rPr>
      <w:bCs w:val="0"/>
      <w:sz w:val="32"/>
    </w:rPr>
  </w:style>
  <w:style w:type="paragraph" w:customStyle="1" w:styleId="232">
    <w:name w:val="Tabletext"/>
    <w:basedOn w:val="1"/>
    <w:qFormat/>
    <w:uiPriority w:val="0"/>
    <w:pPr>
      <w:keepLines/>
      <w:spacing w:afterLines="50"/>
    </w:pPr>
    <w:rPr>
      <w:rFonts w:ascii="宋体"/>
      <w:snapToGrid w:val="0"/>
      <w:kern w:val="0"/>
      <w:szCs w:val="20"/>
    </w:rPr>
  </w:style>
  <w:style w:type="paragraph" w:customStyle="1" w:styleId="233">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234">
    <w:name w:val="Bullet2"/>
    <w:basedOn w:val="1"/>
    <w:qFormat/>
    <w:uiPriority w:val="0"/>
    <w:pPr>
      <w:spacing w:afterLines="50"/>
      <w:ind w:left="1440" w:hanging="360"/>
    </w:pPr>
    <w:rPr>
      <w:rFonts w:ascii="宋体"/>
      <w:snapToGrid w:val="0"/>
      <w:color w:val="000080"/>
      <w:kern w:val="0"/>
      <w:szCs w:val="20"/>
    </w:rPr>
  </w:style>
  <w:style w:type="paragraph" w:customStyle="1" w:styleId="235">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236">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237">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238">
    <w:name w:val="S4-L15-C"/>
    <w:basedOn w:val="1"/>
    <w:qFormat/>
    <w:uiPriority w:val="0"/>
    <w:pPr>
      <w:spacing w:after="120"/>
      <w:jc w:val="center"/>
    </w:pPr>
    <w:rPr>
      <w:szCs w:val="21"/>
    </w:rPr>
  </w:style>
  <w:style w:type="paragraph" w:customStyle="1" w:styleId="239">
    <w:name w:val="二级项目符号"/>
    <w:basedOn w:val="1"/>
    <w:qFormat/>
    <w:uiPriority w:val="0"/>
    <w:pPr>
      <w:widowControl/>
      <w:tabs>
        <w:tab w:val="left" w:pos="964"/>
      </w:tabs>
      <w:ind w:left="964" w:hanging="482"/>
    </w:pPr>
    <w:rPr>
      <w:kern w:val="0"/>
      <w:sz w:val="24"/>
      <w:szCs w:val="20"/>
    </w:rPr>
  </w:style>
  <w:style w:type="paragraph" w:customStyle="1" w:styleId="240">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character" w:customStyle="1" w:styleId="241">
    <w:name w:val="页脚 Char1"/>
    <w:basedOn w:val="58"/>
    <w:semiHidden/>
    <w:qFormat/>
    <w:uiPriority w:val="99"/>
    <w:rPr>
      <w:rFonts w:ascii="Times New Roman" w:hAnsi="Times New Roman" w:eastAsia="宋体" w:cs="Times New Roman"/>
      <w:sz w:val="18"/>
      <w:szCs w:val="18"/>
    </w:rPr>
  </w:style>
  <w:style w:type="paragraph" w:customStyle="1" w:styleId="242">
    <w:name w:val="样式 样式 标题 4 + 段后: 0.5 行 + 段后: 0.5 行"/>
    <w:basedOn w:val="174"/>
    <w:qFormat/>
    <w:uiPriority w:val="0"/>
  </w:style>
  <w:style w:type="paragraph" w:customStyle="1" w:styleId="243">
    <w:name w:val="Main Title"/>
    <w:basedOn w:val="1"/>
    <w:qFormat/>
    <w:uiPriority w:val="0"/>
    <w:pPr>
      <w:spacing w:before="480" w:afterLines="50"/>
      <w:jc w:val="center"/>
    </w:pPr>
    <w:rPr>
      <w:rFonts w:ascii="宋体"/>
      <w:b/>
      <w:snapToGrid w:val="0"/>
      <w:kern w:val="28"/>
      <w:sz w:val="32"/>
      <w:szCs w:val="20"/>
    </w:rPr>
  </w:style>
  <w:style w:type="paragraph" w:customStyle="1" w:styleId="244">
    <w:name w:val="样式 样式 正文文本缩进 + 仿宋_GB2312 小四 首行缩进:  0 厘米 行距: 1.5 倍行距 + (中文) 仿宋_GB... Char Char"/>
    <w:basedOn w:val="203"/>
    <w:qFormat/>
    <w:uiPriority w:val="0"/>
    <w:pPr>
      <w:ind w:firstLine="480"/>
    </w:pPr>
  </w:style>
  <w:style w:type="paragraph" w:customStyle="1" w:styleId="245">
    <w:name w:val="标题1"/>
    <w:basedOn w:val="27"/>
    <w:qFormat/>
    <w:uiPriority w:val="0"/>
    <w:rPr>
      <w:rFonts w:cstheme="minorBidi"/>
      <w:b/>
      <w:sz w:val="30"/>
      <w:szCs w:val="22"/>
    </w:rPr>
  </w:style>
  <w:style w:type="paragraph" w:customStyle="1" w:styleId="246">
    <w:name w:val="样式 三号 加粗 段后: 0.5 行"/>
    <w:basedOn w:val="1"/>
    <w:qFormat/>
    <w:uiPriority w:val="0"/>
    <w:pPr>
      <w:spacing w:afterLines="50"/>
    </w:pPr>
    <w:rPr>
      <w:rFonts w:ascii="宋体" w:cs="宋体"/>
      <w:b/>
      <w:bCs/>
      <w:snapToGrid w:val="0"/>
      <w:kern w:val="0"/>
      <w:sz w:val="32"/>
      <w:szCs w:val="20"/>
    </w:rPr>
  </w:style>
  <w:style w:type="paragraph" w:customStyle="1" w:styleId="247">
    <w:name w:val="标准有序列表（L1）"/>
    <w:basedOn w:val="12"/>
    <w:qFormat/>
    <w:uiPriority w:val="0"/>
    <w:pPr>
      <w:tabs>
        <w:tab w:val="left" w:pos="0"/>
      </w:tabs>
      <w:ind w:firstLine="0"/>
    </w:pPr>
    <w:rPr>
      <w:rFonts w:ascii="黑体" w:eastAsia="黑体" w:hAnsiTheme="minorHAnsi" w:cstheme="minorBidi"/>
      <w:color w:val="000000"/>
      <w:sz w:val="24"/>
      <w:szCs w:val="22"/>
    </w:rPr>
  </w:style>
  <w:style w:type="paragraph" w:customStyle="1" w:styleId="248">
    <w:name w:val="IBM 正文"/>
    <w:basedOn w:val="1"/>
    <w:qFormat/>
    <w:uiPriority w:val="0"/>
    <w:pPr>
      <w:spacing w:line="360" w:lineRule="atLeast"/>
    </w:pPr>
    <w:rPr>
      <w:sz w:val="24"/>
      <w:szCs w:val="20"/>
    </w:rPr>
  </w:style>
  <w:style w:type="paragraph" w:customStyle="1" w:styleId="249">
    <w:name w:val="text"/>
    <w:basedOn w:val="1"/>
    <w:qFormat/>
    <w:uiPriority w:val="0"/>
    <w:pPr>
      <w:adjustRightInd w:val="0"/>
      <w:spacing w:before="120"/>
      <w:ind w:firstLine="425"/>
      <w:textAlignment w:val="baseline"/>
    </w:pPr>
    <w:rPr>
      <w:rFonts w:ascii="宋体" w:hAnsi="Arial" w:cs="Arial"/>
      <w:bCs/>
      <w:kern w:val="0"/>
      <w:sz w:val="26"/>
      <w:szCs w:val="32"/>
    </w:rPr>
  </w:style>
  <w:style w:type="paragraph" w:customStyle="1" w:styleId="250">
    <w:name w:val="S4-I-U-L15-No-dot"/>
    <w:basedOn w:val="1"/>
    <w:qFormat/>
    <w:uiPriority w:val="0"/>
    <w:pPr>
      <w:tabs>
        <w:tab w:val="left" w:pos="1112"/>
      </w:tabs>
      <w:spacing w:after="120"/>
      <w:ind w:left="1112" w:hanging="420"/>
    </w:pPr>
    <w:rPr>
      <w:i/>
      <w:sz w:val="24"/>
      <w:u w:val="single"/>
    </w:rPr>
  </w:style>
  <w:style w:type="paragraph" w:customStyle="1" w:styleId="251">
    <w:name w:val="Paragraph4"/>
    <w:basedOn w:val="1"/>
    <w:qFormat/>
    <w:uiPriority w:val="0"/>
    <w:pPr>
      <w:spacing w:before="80" w:afterLines="50"/>
      <w:ind w:left="2250"/>
    </w:pPr>
    <w:rPr>
      <w:rFonts w:ascii="宋体"/>
      <w:snapToGrid w:val="0"/>
      <w:kern w:val="0"/>
      <w:szCs w:val="20"/>
    </w:rPr>
  </w:style>
  <w:style w:type="paragraph" w:customStyle="1" w:styleId="252">
    <w:name w:val="样式 标题 1 + 五号1 Char Char Char Char Char Char Char Char Char Char Char Char Char Char Char Char Char"/>
    <w:basedOn w:val="2"/>
    <w:qFormat/>
    <w:uiPriority w:val="0"/>
    <w:pPr>
      <w:tabs>
        <w:tab w:val="left" w:pos="360"/>
      </w:tabs>
      <w:spacing w:line="480" w:lineRule="auto"/>
    </w:pPr>
    <w:rPr>
      <w:sz w:val="21"/>
    </w:rPr>
  </w:style>
  <w:style w:type="paragraph" w:customStyle="1" w:styleId="253">
    <w:name w:val="样式 标题 3Chapter X.X.X. + 段后: 0.5 行1"/>
    <w:basedOn w:val="4"/>
    <w:next w:val="1"/>
    <w:qFormat/>
    <w:uiPriority w:val="0"/>
    <w:pPr>
      <w:keepLines w:val="0"/>
      <w:tabs>
        <w:tab w:val="left" w:pos="709"/>
      </w:tabs>
      <w:spacing w:before="120" w:afterLines="50" w:line="240" w:lineRule="auto"/>
      <w:ind w:firstLine="0" w:firstLineChars="0"/>
    </w:pPr>
    <w:rPr>
      <w:rFonts w:ascii="宋体" w:eastAsia="宋体" w:cs="宋体"/>
      <w:snapToGrid w:val="0"/>
      <w:kern w:val="0"/>
      <w:sz w:val="24"/>
    </w:rPr>
  </w:style>
  <w:style w:type="paragraph" w:customStyle="1" w:styleId="254">
    <w:name w:val="Body"/>
    <w:basedOn w:val="1"/>
    <w:qFormat/>
    <w:uiPriority w:val="0"/>
    <w:pPr>
      <w:widowControl/>
      <w:spacing w:before="120" w:afterLines="50"/>
    </w:pPr>
    <w:rPr>
      <w:rFonts w:ascii="宋体"/>
      <w:snapToGrid w:val="0"/>
      <w:kern w:val="0"/>
      <w:szCs w:val="20"/>
    </w:rPr>
  </w:style>
  <w:style w:type="paragraph" w:customStyle="1" w:styleId="255">
    <w:name w:val="Proposals body"/>
    <w:basedOn w:val="1"/>
    <w:next w:val="1"/>
    <w:qFormat/>
    <w:uiPriority w:val="0"/>
    <w:pPr>
      <w:widowControl/>
    </w:pPr>
    <w:rPr>
      <w:rFonts w:ascii="宋体"/>
      <w:snapToGrid w:val="0"/>
      <w:color w:val="000000"/>
      <w:kern w:val="0"/>
      <w:sz w:val="24"/>
      <w:szCs w:val="20"/>
    </w:rPr>
  </w:style>
  <w:style w:type="paragraph" w:customStyle="1" w:styleId="256">
    <w:name w:val="章正文"/>
    <w:basedOn w:val="1"/>
    <w:qFormat/>
    <w:uiPriority w:val="0"/>
    <w:pPr>
      <w:spacing w:beforeLines="50" w:after="120" w:line="300" w:lineRule="auto"/>
    </w:pPr>
    <w:rPr>
      <w:rFonts w:ascii="Helvetica" w:hAnsi="Helvetica"/>
      <w:kern w:val="0"/>
      <w:sz w:val="24"/>
    </w:rPr>
  </w:style>
  <w:style w:type="paragraph" w:customStyle="1" w:styleId="257">
    <w:name w:val="样式 样式3 + 宋体 五号 Char Char Char"/>
    <w:basedOn w:val="1"/>
    <w:qFormat/>
    <w:uiPriority w:val="0"/>
    <w:pPr>
      <w:keepNext/>
      <w:keepLines/>
      <w:tabs>
        <w:tab w:val="left" w:pos="1050"/>
      </w:tabs>
      <w:ind w:left="1050" w:hanging="450"/>
      <w:outlineLvl w:val="7"/>
    </w:pPr>
    <w:rPr>
      <w:rFonts w:ascii="宋体" w:hAnsi="宋体"/>
      <w:b/>
      <w:bCs/>
    </w:rPr>
  </w:style>
  <w:style w:type="paragraph" w:customStyle="1" w:styleId="258">
    <w:name w:val="样式 标题 2 + 五号"/>
    <w:basedOn w:val="3"/>
    <w:qFormat/>
    <w:uiPriority w:val="0"/>
    <w:pPr>
      <w:keepLines/>
      <w:tabs>
        <w:tab w:val="left" w:pos="720"/>
      </w:tabs>
      <w:adjustRightInd/>
      <w:snapToGrid/>
      <w:spacing w:line="240" w:lineRule="auto"/>
      <w:jc w:val="both"/>
      <w:textAlignment w:val="auto"/>
    </w:pPr>
    <w:rPr>
      <w:rFonts w:ascii="宋体" w:hAnsi="宋体" w:eastAsia="宋体"/>
      <w:kern w:val="2"/>
      <w:szCs w:val="32"/>
    </w:rPr>
  </w:style>
  <w:style w:type="paragraph" w:customStyle="1" w:styleId="259">
    <w:name w:val="样式 标题 1 + 五号"/>
    <w:basedOn w:val="2"/>
    <w:qFormat/>
    <w:uiPriority w:val="0"/>
    <w:pPr>
      <w:tabs>
        <w:tab w:val="left" w:pos="360"/>
      </w:tabs>
      <w:spacing w:line="240" w:lineRule="auto"/>
    </w:pPr>
    <w:rPr>
      <w:sz w:val="32"/>
      <w:szCs w:val="32"/>
    </w:rPr>
  </w:style>
  <w:style w:type="paragraph" w:customStyle="1" w:styleId="260">
    <w:name w:val="文本框内文字"/>
    <w:basedOn w:val="1"/>
    <w:qFormat/>
    <w:uiPriority w:val="0"/>
    <w:pPr>
      <w:spacing w:line="0" w:lineRule="atLeast"/>
    </w:pPr>
    <w:rPr>
      <w:rFonts w:eastAsia="仿宋_GB2312"/>
      <w:sz w:val="22"/>
    </w:rPr>
  </w:style>
  <w:style w:type="paragraph" w:customStyle="1" w:styleId="261">
    <w:name w:val="P1"/>
    <w:basedOn w:val="1"/>
    <w:qFormat/>
    <w:uiPriority w:val="0"/>
    <w:pPr>
      <w:widowControl/>
      <w:spacing w:before="240" w:line="240" w:lineRule="atLeast"/>
    </w:pPr>
    <w:rPr>
      <w:b/>
      <w:kern w:val="0"/>
      <w:szCs w:val="21"/>
      <w:lang w:val="en-AU" w:eastAsia="en-US"/>
    </w:rPr>
  </w:style>
  <w:style w:type="paragraph" w:customStyle="1" w:styleId="262">
    <w:name w:val="最新标题1"/>
    <w:basedOn w:val="231"/>
    <w:next w:val="200"/>
    <w:qFormat/>
    <w:uiPriority w:val="0"/>
    <w:pPr>
      <w:spacing w:after="120"/>
    </w:pPr>
    <w:rPr>
      <w:bCs/>
    </w:rPr>
  </w:style>
  <w:style w:type="paragraph" w:customStyle="1" w:styleId="263">
    <w:name w:val="P2"/>
    <w:basedOn w:val="1"/>
    <w:qFormat/>
    <w:uiPriority w:val="0"/>
    <w:pPr>
      <w:widowControl/>
      <w:spacing w:before="240" w:line="240" w:lineRule="atLeast"/>
      <w:ind w:left="578"/>
    </w:pPr>
    <w:rPr>
      <w:b/>
      <w:kern w:val="0"/>
      <w:szCs w:val="21"/>
      <w:lang w:val="en-AU" w:eastAsia="en-US"/>
    </w:rPr>
  </w:style>
  <w:style w:type="paragraph" w:customStyle="1" w:styleId="264">
    <w:name w:val="Style-正文"/>
    <w:basedOn w:val="1"/>
    <w:qFormat/>
    <w:uiPriority w:val="0"/>
    <w:pPr>
      <w:ind w:firstLine="420"/>
    </w:pPr>
    <w:rPr>
      <w:rFonts w:ascii="宋体" w:hAnsi="宋体"/>
      <w:sz w:val="24"/>
    </w:rPr>
  </w:style>
  <w:style w:type="paragraph" w:customStyle="1" w:styleId="265">
    <w:name w:val="P3"/>
    <w:basedOn w:val="1"/>
    <w:qFormat/>
    <w:uiPriority w:val="0"/>
    <w:pPr>
      <w:widowControl/>
      <w:spacing w:before="240" w:line="240" w:lineRule="atLeast"/>
      <w:ind w:left="1152"/>
    </w:pPr>
    <w:rPr>
      <w:b/>
      <w:kern w:val="0"/>
      <w:szCs w:val="21"/>
      <w:lang w:val="en-AU" w:eastAsia="en-US"/>
    </w:rPr>
  </w:style>
  <w:style w:type="paragraph" w:customStyle="1" w:styleId="266">
    <w:name w:val="Plain Text1"/>
    <w:basedOn w:val="1"/>
    <w:qFormat/>
    <w:uiPriority w:val="0"/>
    <w:pPr>
      <w:autoSpaceDE w:val="0"/>
      <w:autoSpaceDN w:val="0"/>
      <w:adjustRightInd w:val="0"/>
    </w:pPr>
    <w:rPr>
      <w:rFonts w:hint="eastAsia" w:ascii="宋体" w:hAnsi="宋体"/>
      <w:sz w:val="24"/>
      <w:szCs w:val="20"/>
    </w:rPr>
  </w:style>
  <w:style w:type="paragraph" w:customStyle="1" w:styleId="267">
    <w:name w:val="样式　标题4"/>
    <w:basedOn w:val="211"/>
    <w:next w:val="1"/>
    <w:qFormat/>
    <w:uiPriority w:val="0"/>
  </w:style>
  <w:style w:type="paragraph" w:customStyle="1" w:styleId="268">
    <w:name w:val="Blockquote"/>
    <w:basedOn w:val="1"/>
    <w:qFormat/>
    <w:uiPriority w:val="0"/>
    <w:pPr>
      <w:widowControl/>
      <w:spacing w:before="100" w:afterLines="50"/>
      <w:ind w:left="360" w:right="360"/>
    </w:pPr>
    <w:rPr>
      <w:rFonts w:ascii="宋体"/>
      <w:snapToGrid w:val="0"/>
      <w:kern w:val="0"/>
      <w:sz w:val="24"/>
      <w:szCs w:val="20"/>
      <w:lang w:val="en-CA"/>
    </w:rPr>
  </w:style>
  <w:style w:type="paragraph" w:customStyle="1" w:styleId="269">
    <w:name w:val="样式 模板描述"/>
    <w:basedOn w:val="1"/>
    <w:next w:val="193"/>
    <w:qFormat/>
    <w:uiPriority w:val="0"/>
    <w:pPr>
      <w:spacing w:afterLines="50"/>
    </w:pPr>
    <w:rPr>
      <w:rFonts w:ascii="宋体" w:cs="宋体"/>
      <w:i/>
      <w:iCs/>
      <w:snapToGrid w:val="0"/>
      <w:color w:val="0000FF"/>
      <w:kern w:val="0"/>
      <w:szCs w:val="21"/>
    </w:rPr>
  </w:style>
  <w:style w:type="paragraph" w:customStyle="1" w:styleId="270">
    <w:name w:val="Char Char3 Char Char Char Char"/>
    <w:basedOn w:val="1"/>
    <w:qFormat/>
    <w:uiPriority w:val="0"/>
    <w:pPr>
      <w:widowControl/>
      <w:spacing w:after="160"/>
    </w:pPr>
    <w:rPr>
      <w:rFonts w:ascii="Verdana" w:hAnsi="Verdana"/>
      <w:kern w:val="0"/>
      <w:sz w:val="24"/>
      <w:szCs w:val="20"/>
      <w:lang w:eastAsia="en-US"/>
    </w:rPr>
  </w:style>
  <w:style w:type="paragraph" w:customStyle="1" w:styleId="271">
    <w:name w:val="样式2"/>
    <w:basedOn w:val="3"/>
    <w:qFormat/>
    <w:uiPriority w:val="0"/>
    <w:pPr>
      <w:keepLines/>
      <w:tabs>
        <w:tab w:val="left" w:pos="600"/>
        <w:tab w:val="left" w:pos="720"/>
      </w:tabs>
      <w:adjustRightInd/>
      <w:snapToGrid/>
      <w:spacing w:before="260" w:after="260" w:line="416" w:lineRule="auto"/>
      <w:ind w:left="600" w:hanging="600"/>
      <w:jc w:val="both"/>
      <w:textAlignment w:val="auto"/>
    </w:pPr>
    <w:rPr>
      <w:rFonts w:ascii="Arial" w:hAnsi="Arial" w:eastAsia="宋体"/>
      <w:kern w:val="2"/>
      <w:sz w:val="32"/>
      <w:szCs w:val="32"/>
    </w:rPr>
  </w:style>
  <w:style w:type="paragraph" w:customStyle="1" w:styleId="272">
    <w:name w:val="S4-B-L15"/>
    <w:basedOn w:val="1"/>
    <w:qFormat/>
    <w:uiPriority w:val="0"/>
    <w:rPr>
      <w:b/>
      <w:bCs/>
      <w:sz w:val="24"/>
    </w:rPr>
  </w:style>
  <w:style w:type="paragraph" w:customStyle="1" w:styleId="273">
    <w:name w:val="样式 标题 3(A-3)sect1.2.3h3H3level_3PIM 3Level 3 HeadHeading..."/>
    <w:basedOn w:val="4"/>
    <w:qFormat/>
    <w:uiPriority w:val="0"/>
    <w:pPr>
      <w:tabs>
        <w:tab w:val="left" w:pos="709"/>
      </w:tabs>
      <w:spacing w:line="416" w:lineRule="auto"/>
      <w:ind w:firstLine="0" w:firstLineChars="0"/>
    </w:pPr>
    <w:rPr>
      <w:rFonts w:ascii="Arial" w:hAnsi="Arial" w:eastAsia="宋体"/>
      <w:szCs w:val="32"/>
    </w:rPr>
  </w:style>
  <w:style w:type="paragraph" w:customStyle="1" w:styleId="274">
    <w:name w:val="Char Char2"/>
    <w:basedOn w:val="1"/>
    <w:qFormat/>
    <w:uiPriority w:val="0"/>
    <w:rPr>
      <w:rFonts w:ascii="仿宋_GB2312" w:eastAsia="仿宋_GB2312"/>
      <w:b/>
      <w:sz w:val="32"/>
      <w:szCs w:val="32"/>
    </w:rPr>
  </w:style>
  <w:style w:type="paragraph" w:customStyle="1" w:styleId="275">
    <w:name w:val="p0"/>
    <w:basedOn w:val="1"/>
    <w:qFormat/>
    <w:uiPriority w:val="0"/>
    <w:pPr>
      <w:widowControl/>
    </w:pPr>
    <w:rPr>
      <w:kern w:val="0"/>
      <w:szCs w:val="21"/>
    </w:rPr>
  </w:style>
  <w:style w:type="table" w:customStyle="1" w:styleId="276">
    <w:name w:val="网格表 4 - 着色 11"/>
    <w:basedOn w:val="54"/>
    <w:qFormat/>
    <w:uiPriority w:val="49"/>
    <w:tblPr>
      <w:tblBorders>
        <w:top w:val="single" w:color="95B3D7" w:sz="4" w:space="0"/>
        <w:left w:val="single" w:color="95B3D7" w:sz="4" w:space="0"/>
        <w:bottom w:val="single" w:color="95B3D7" w:sz="4" w:space="0"/>
        <w:right w:val="single" w:color="95B3D7" w:sz="4" w:space="0"/>
        <w:insideH w:val="single" w:color="95B3D7" w:sz="4" w:space="0"/>
        <w:insideV w:val="single" w:color="95B3D7" w:sz="4" w:space="0"/>
      </w:tblBorders>
    </w:tblPr>
    <w:tblStylePr w:type="firstRow">
      <w:rPr>
        <w:b/>
        <w:bCs/>
        <w:color w:val="FFFFFF"/>
      </w:rPr>
      <w:tcPr>
        <w:tcBorders>
          <w:top w:val="single" w:color="4F81BD" w:sz="4" w:space="0"/>
          <w:left w:val="single" w:color="4F81BD" w:sz="4" w:space="0"/>
          <w:bottom w:val="single" w:color="4F81BD" w:sz="4" w:space="0"/>
          <w:right w:val="single" w:color="4F81BD" w:sz="4" w:space="0"/>
          <w:insideH w:val="nil"/>
          <w:insideV w:val="nil"/>
        </w:tcBorders>
        <w:shd w:val="clear" w:color="auto" w:fill="4F81BD"/>
      </w:tcPr>
    </w:tblStylePr>
    <w:tblStylePr w:type="lastRow">
      <w:rPr>
        <w:b/>
        <w:bCs/>
      </w:rPr>
      <w:tcPr>
        <w:tcBorders>
          <w:top w:val="double" w:color="4F81BD" w:sz="4" w:space="0"/>
        </w:tcBorders>
      </w:tcPr>
    </w:tblStylePr>
    <w:tblStylePr w:type="firstCol">
      <w:rPr>
        <w:b/>
        <w:bCs/>
      </w:rPr>
    </w:tblStylePr>
    <w:tblStylePr w:type="lastCol">
      <w:rPr>
        <w:b/>
        <w:bCs/>
      </w:rPr>
    </w:tblStylePr>
    <w:tblStylePr w:type="band1Vert">
      <w:tcPr>
        <w:shd w:val="clear" w:color="auto" w:fill="DBE5F1"/>
      </w:tcPr>
    </w:tblStylePr>
    <w:tblStylePr w:type="band1Horz">
      <w:tcPr>
        <w:shd w:val="clear" w:color="auto" w:fill="DBE5F1"/>
      </w:tcPr>
    </w:tblStylePr>
  </w:style>
  <w:style w:type="character" w:customStyle="1" w:styleId="277">
    <w:name w:val="font21"/>
    <w:qFormat/>
    <w:uiPriority w:val="0"/>
    <w:rPr>
      <w:rFonts w:hint="eastAsia" w:ascii="宋体" w:hAnsi="宋体" w:eastAsia="宋体" w:cs="宋体"/>
      <w:color w:val="000000"/>
      <w:sz w:val="24"/>
      <w:szCs w:val="24"/>
      <w:u w:val="none"/>
    </w:rPr>
  </w:style>
  <w:style w:type="paragraph" w:customStyle="1" w:styleId="278">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paragraph" w:customStyle="1" w:styleId="279">
    <w:name w:val="List Paragraph1"/>
    <w:basedOn w:val="1"/>
    <w:qFormat/>
    <w:uiPriority w:val="99"/>
    <w:pPr>
      <w:spacing w:line="240" w:lineRule="auto"/>
      <w:ind w:firstLine="420"/>
      <w:jc w:val="both"/>
    </w:pPr>
    <w:rPr>
      <w:rFonts w:ascii="Calibri" w:hAnsi="Calibri" w:eastAsia="宋体" w:cs="宋体"/>
      <w:szCs w:val="21"/>
    </w:rPr>
  </w:style>
  <w:style w:type="character" w:customStyle="1" w:styleId="280">
    <w:name w:val="NormalCharacter"/>
    <w:qFormat/>
    <w:uiPriority w:val="0"/>
  </w:style>
  <w:style w:type="character" w:customStyle="1" w:styleId="281">
    <w:name w:val="标题 Char3"/>
    <w:qFormat/>
    <w:uiPriority w:val="0"/>
    <w:rPr>
      <w:rFonts w:ascii="Cambria" w:hAnsi="Cambria" w:eastAsia="宋体"/>
      <w:b/>
      <w:bCs/>
      <w:kern w:val="2"/>
      <w:sz w:val="32"/>
      <w:szCs w:val="32"/>
      <w:lang w:bidi="ar-SA"/>
    </w:rPr>
  </w:style>
  <w:style w:type="character" w:customStyle="1" w:styleId="282">
    <w:name w:val="正文缩进 Char2"/>
    <w:qFormat/>
    <w:uiPriority w:val="0"/>
  </w:style>
  <w:style w:type="paragraph" w:customStyle="1" w:styleId="283">
    <w:name w:val="样式 加粗 段前: 7.8 磅 段后: 7.8 磅 行距: 固定值 20 磅"/>
    <w:basedOn w:val="1"/>
    <w:qFormat/>
    <w:uiPriority w:val="0"/>
    <w:pPr>
      <w:spacing w:before="60" w:after="60" w:line="360" w:lineRule="exact"/>
      <w:ind w:firstLine="0" w:firstLineChars="0"/>
      <w:jc w:val="both"/>
    </w:pPr>
    <w:rPr>
      <w:rFonts w:eastAsia="宋体" w:cs="宋体"/>
      <w:b/>
      <w:bCs/>
      <w:spacing w:val="-2"/>
      <w:sz w:val="24"/>
      <w:szCs w:val="20"/>
    </w:rPr>
  </w:style>
  <w:style w:type="character" w:customStyle="1" w:styleId="284">
    <w:name w:val="未处理的提及1"/>
    <w:basedOn w:val="58"/>
    <w:semiHidden/>
    <w:unhideWhenUsed/>
    <w:qFormat/>
    <w:uiPriority w:val="99"/>
    <w:rPr>
      <w:color w:val="605E5C"/>
      <w:shd w:val="clear" w:color="auto" w:fill="E1DFDD"/>
    </w:rPr>
  </w:style>
  <w:style w:type="character" w:customStyle="1" w:styleId="285">
    <w:name w:val="纯文本 字符2"/>
    <w:qFormat/>
    <w:uiPriority w:val="0"/>
    <w:rPr>
      <w:rFonts w:ascii="宋体" w:hAnsi="Courier New" w:eastAsia="宋体" w:cs="Times New Roman"/>
      <w:kern w:val="2"/>
      <w:sz w:val="24"/>
      <w:szCs w:val="24"/>
      <w:lang w:val="en-US" w:eastAsia="zh-CN" w:bidi="ar-SA"/>
    </w:rPr>
  </w:style>
  <w:style w:type="character" w:customStyle="1" w:styleId="286">
    <w:name w:val="List Paragraph Char"/>
    <w:link w:val="119"/>
    <w:qFormat/>
    <w:uiPriority w:val="0"/>
    <w:rPr>
      <w:rFonts w:ascii="Calibri" w:hAnsi="Calibri" w:eastAsia="微软雅黑"/>
      <w:kern w:val="2"/>
      <w:sz w:val="21"/>
    </w:rPr>
  </w:style>
  <w:style w:type="character" w:customStyle="1" w:styleId="287">
    <w:name w:val="正文文本缩进 字符1"/>
    <w:qFormat/>
    <w:uiPriority w:val="0"/>
    <w:rPr>
      <w:rFonts w:ascii="宋体" w:hAnsi="Courier New"/>
      <w:spacing w:val="-4"/>
      <w:kern w:val="2"/>
      <w:sz w:val="18"/>
    </w:rPr>
  </w:style>
  <w:style w:type="paragraph" w:customStyle="1" w:styleId="288">
    <w:name w:val="清單段落"/>
    <w:basedOn w:val="1"/>
    <w:qFormat/>
    <w:uiPriority w:val="0"/>
    <w:pPr>
      <w:spacing w:line="240" w:lineRule="auto"/>
      <w:ind w:left="480" w:leftChars="200" w:firstLine="0" w:firstLineChars="0"/>
      <w:jc w:val="both"/>
    </w:pPr>
    <w:rPr>
      <w:rFonts w:eastAsia="宋体"/>
    </w:rPr>
  </w:style>
  <w:style w:type="character" w:customStyle="1" w:styleId="289">
    <w:name w:val="未处理的提及2"/>
    <w:basedOn w:val="58"/>
    <w:semiHidden/>
    <w:unhideWhenUsed/>
    <w:qFormat/>
    <w:uiPriority w:val="99"/>
    <w:rPr>
      <w:color w:val="605E5C"/>
      <w:shd w:val="clear" w:color="auto" w:fill="E1DFDD"/>
    </w:rPr>
  </w:style>
  <w:style w:type="character" w:customStyle="1" w:styleId="290">
    <w:name w:val="正文文本首行缩进 2 字符"/>
    <w:basedOn w:val="77"/>
    <w:link w:val="52"/>
    <w:semiHidden/>
    <w:qFormat/>
    <w:uiPriority w:val="0"/>
    <w:rPr>
      <w:rFonts w:ascii="宋体" w:hAnsi="Courier New" w:eastAsia="微软雅黑"/>
      <w:spacing w:val="-4"/>
      <w:kern w:val="2"/>
      <w:sz w:val="21"/>
      <w:szCs w:val="24"/>
    </w:rPr>
  </w:style>
  <w:style w:type="character" w:customStyle="1" w:styleId="291">
    <w:name w:val="标书正文 Char"/>
    <w:qFormat/>
    <w:uiPriority w:val="0"/>
    <w:rPr>
      <w:rFonts w:ascii="宋体" w:hAnsi="宋体" w:eastAsia="宋体" w:cs="Times New Roman"/>
      <w:kern w:val="0"/>
      <w:sz w:val="24"/>
      <w:szCs w:val="20"/>
    </w:rPr>
  </w:style>
  <w:style w:type="character" w:customStyle="1" w:styleId="292">
    <w:name w:val="未处理的提及3"/>
    <w:basedOn w:val="58"/>
    <w:semiHidden/>
    <w:unhideWhenUsed/>
    <w:qFormat/>
    <w:uiPriority w:val="99"/>
    <w:rPr>
      <w:color w:val="605E5C"/>
      <w:shd w:val="clear" w:color="auto" w:fill="E1DFDD"/>
    </w:rPr>
  </w:style>
  <w:style w:type="paragraph" w:customStyle="1" w:styleId="293">
    <w:name w:val="正文2"/>
    <w:basedOn w:val="1"/>
    <w:qFormat/>
    <w:uiPriority w:val="0"/>
    <w:pPr>
      <w:spacing w:before="156"/>
      <w:ind w:firstLine="510"/>
      <w:jc w:val="both"/>
    </w:pPr>
    <w:rPr>
      <w:rFonts w:eastAsia="宋体" w:cs="宋体"/>
      <w:sz w:val="24"/>
      <w:szCs w:val="20"/>
    </w:rPr>
  </w:style>
  <w:style w:type="paragraph" w:customStyle="1" w:styleId="294">
    <w:name w:val="纯文本3"/>
    <w:qFormat/>
    <w:uiPriority w:val="0"/>
    <w:pPr>
      <w:widowControl w:val="0"/>
      <w:adjustRightInd w:val="0"/>
      <w:jc w:val="both"/>
      <w:textAlignment w:val="baseline"/>
    </w:pPr>
    <w:rPr>
      <w:rFonts w:ascii="宋体" w:hAnsi="Courier New" w:eastAsia="楷体_GB2312" w:cs="Times New Roman"/>
      <w:kern w:val="2"/>
      <w:sz w:val="26"/>
      <w:lang w:val="en-US" w:eastAsia="zh-CN" w:bidi="ar-SA"/>
    </w:rPr>
  </w:style>
  <w:style w:type="paragraph" w:customStyle="1" w:styleId="295">
    <w:name w:val="部分1"/>
    <w:basedOn w:val="1"/>
    <w:qFormat/>
    <w:uiPriority w:val="0"/>
    <w:pPr>
      <w:keepNext/>
      <w:pageBreakBefore/>
      <w:tabs>
        <w:tab w:val="left" w:pos="720"/>
      </w:tabs>
      <w:ind w:firstLine="0" w:firstLineChars="0"/>
      <w:jc w:val="center"/>
      <w:outlineLvl w:val="0"/>
    </w:pPr>
    <w:rPr>
      <w:rFonts w:eastAsia="黑体" w:cs="宋体"/>
      <w:b/>
      <w:kern w:val="44"/>
      <w:sz w:val="36"/>
      <w:szCs w:val="20"/>
    </w:rPr>
  </w:style>
  <w:style w:type="paragraph" w:customStyle="1" w:styleId="296">
    <w:name w:val="TOC 标题2"/>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297">
    <w:name w:val="修订1"/>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8">
    <w:name w:val="修订2"/>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299">
    <w:name w:val="6级标题"/>
    <w:basedOn w:val="1"/>
    <w:qFormat/>
    <w:uiPriority w:val="0"/>
    <w:pPr>
      <w:keepNext/>
      <w:ind w:left="1151" w:hanging="431"/>
      <w:jc w:val="center"/>
      <w:outlineLvl w:val="5"/>
    </w:pPr>
    <w:rPr>
      <w:rFonts w:ascii="黑体" w:hAnsi="宋体"/>
      <w:b/>
      <w:bCs/>
      <w:sz w:val="24"/>
      <w:szCs w:val="52"/>
    </w:rPr>
  </w:style>
  <w:style w:type="paragraph" w:customStyle="1" w:styleId="300">
    <w:name w:val="TOC 标题3"/>
    <w:basedOn w:val="2"/>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rPr>
  </w:style>
  <w:style w:type="paragraph" w:customStyle="1" w:styleId="301">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02">
    <w:name w:val="修订3"/>
    <w:hidden/>
    <w:unhideWhenUsed/>
    <w:qFormat/>
    <w:uiPriority w:val="99"/>
    <w:rPr>
      <w:rFonts w:ascii="Times New Roman" w:hAnsi="Times New Roman" w:eastAsia="微软雅黑" w:cs="Times New Roman"/>
      <w:kern w:val="2"/>
      <w:sz w:val="21"/>
      <w:szCs w:val="24"/>
      <w:lang w:val="en-US" w:eastAsia="zh-CN" w:bidi="ar-SA"/>
    </w:rPr>
  </w:style>
  <w:style w:type="table" w:customStyle="1" w:styleId="303">
    <w:name w:val="Table Normal"/>
    <w:unhideWhenUsed/>
    <w:qFormat/>
    <w:uiPriority w:val="0"/>
    <w:tblPr>
      <w:tblCellMar>
        <w:top w:w="0" w:type="dxa"/>
        <w:left w:w="0" w:type="dxa"/>
        <w:bottom w:w="0" w:type="dxa"/>
        <w:right w:w="0" w:type="dxa"/>
      </w:tblCellMar>
    </w:tblPr>
  </w:style>
  <w:style w:type="paragraph" w:customStyle="1" w:styleId="304">
    <w:name w:val="Heading #1|1"/>
    <w:basedOn w:val="1"/>
    <w:qFormat/>
    <w:uiPriority w:val="0"/>
    <w:pPr>
      <w:spacing w:after="450"/>
      <w:ind w:firstLine="0"/>
      <w:outlineLvl w:val="0"/>
    </w:pPr>
    <w:rPr>
      <w:rFonts w:ascii="宋体" w:hAnsi="宋体" w:eastAsia="宋体" w:cs="宋体"/>
      <w:color w:val="000000"/>
      <w:kern w:val="0"/>
      <w:sz w:val="38"/>
      <w:szCs w:val="38"/>
      <w:lang w:val="zh-TW" w:eastAsia="zh-TW" w:bidi="zh-TW"/>
    </w:rPr>
  </w:style>
  <w:style w:type="paragraph" w:customStyle="1" w:styleId="305">
    <w:name w:val="Body text|1"/>
    <w:basedOn w:val="1"/>
    <w:qFormat/>
    <w:uiPriority w:val="0"/>
    <w:pPr>
      <w:spacing w:after="80" w:line="341" w:lineRule="auto"/>
      <w:ind w:firstLine="400"/>
    </w:pPr>
    <w:rPr>
      <w:rFonts w:ascii="宋体" w:hAnsi="宋体" w:eastAsia="宋体" w:cs="宋体"/>
      <w:color w:val="000000"/>
      <w:kern w:val="0"/>
      <w:sz w:val="34"/>
      <w:szCs w:val="34"/>
      <w:lang w:val="zh-TW" w:eastAsia="zh-TW" w:bidi="zh-TW"/>
    </w:rPr>
  </w:style>
  <w:style w:type="character" w:customStyle="1" w:styleId="306">
    <w:name w:val="未处理的提及4"/>
    <w:basedOn w:val="58"/>
    <w:semiHidden/>
    <w:unhideWhenUsed/>
    <w:qFormat/>
    <w:uiPriority w:val="99"/>
    <w:rPr>
      <w:color w:val="605E5C"/>
      <w:shd w:val="clear" w:color="auto" w:fill="E1DFDD"/>
    </w:rPr>
  </w:style>
  <w:style w:type="paragraph" w:customStyle="1" w:styleId="307">
    <w:name w:val="_Style 56"/>
    <w:basedOn w:val="1"/>
    <w:qFormat/>
    <w:uiPriority w:val="0"/>
    <w:pPr>
      <w:autoSpaceDE w:val="0"/>
      <w:autoSpaceDN w:val="0"/>
      <w:spacing w:before="139" w:line="240" w:lineRule="auto"/>
      <w:ind w:left="252" w:firstLine="420" w:firstLineChars="0"/>
    </w:pPr>
    <w:rPr>
      <w:rFonts w:ascii="Calibri" w:hAnsi="Calibri" w:eastAsia="宋体"/>
      <w:kern w:val="0"/>
      <w:sz w:val="22"/>
      <w:szCs w:val="22"/>
    </w:rPr>
  </w:style>
  <w:style w:type="paragraph" w:customStyle="1" w:styleId="308">
    <w:name w:val="Table Paragraph"/>
    <w:basedOn w:val="1"/>
    <w:qFormat/>
    <w:uiPriority w:val="0"/>
    <w:pPr>
      <w:autoSpaceDE w:val="0"/>
      <w:autoSpaceDN w:val="0"/>
      <w:spacing w:line="240" w:lineRule="auto"/>
      <w:ind w:firstLine="0" w:firstLineChars="0"/>
    </w:pPr>
    <w:rPr>
      <w:rFonts w:ascii="Calibri" w:hAnsi="Calibri" w:eastAsia="宋体"/>
      <w:kern w:val="0"/>
      <w:sz w:val="22"/>
      <w:szCs w:val="22"/>
    </w:rPr>
  </w:style>
  <w:style w:type="paragraph" w:customStyle="1" w:styleId="309">
    <w:name w:val="Revision"/>
    <w:hidden/>
    <w:unhideWhenUsed/>
    <w:qFormat/>
    <w:uiPriority w:val="99"/>
    <w:rPr>
      <w:rFonts w:ascii="Times New Roman" w:hAnsi="Times New Roman" w:eastAsia="微软雅黑" w:cs="Times New Roman"/>
      <w:kern w:val="2"/>
      <w:sz w:val="21"/>
      <w:szCs w:val="24"/>
      <w:lang w:val="en-US" w:eastAsia="zh-CN" w:bidi="ar-SA"/>
    </w:rPr>
  </w:style>
  <w:style w:type="paragraph" w:customStyle="1" w:styleId="310">
    <w:name w:val="Style11"/>
    <w:basedOn w:val="1"/>
    <w:qFormat/>
    <w:uiPriority w:val="0"/>
    <w:pPr>
      <w:spacing w:line="288" w:lineRule="auto"/>
      <w:ind w:firstLine="560" w:firstLineChars="200"/>
    </w:pPr>
    <w:rPr>
      <w:sz w:val="28"/>
      <w:szCs w:val="32"/>
    </w:rPr>
  </w:style>
  <w:style w:type="paragraph" w:customStyle="1" w:styleId="311">
    <w:name w:val="null3"/>
    <w:hidden/>
    <w:qFormat/>
    <w:uiPriority w:val="0"/>
    <w:rPr>
      <w:rFonts w:hint="eastAsia" w:asciiTheme="minorHAnsi" w:hAnsiTheme="minorHAnsi" w:eastAsiaTheme="minorEastAsia" w:cstheme="minorBidi"/>
      <w:lang w:val="en-US" w:eastAsia="zh-Hans"/>
    </w:rPr>
  </w:style>
  <w:style w:type="paragraph" w:customStyle="1" w:styleId="312">
    <w:name w:val="Table Text"/>
    <w:basedOn w:val="1"/>
    <w:semiHidden/>
    <w:qFormat/>
    <w:uiPriority w:val="0"/>
    <w:rPr>
      <w:rFonts w:ascii="宋体" w:hAnsi="宋体" w:eastAsia="宋体" w:cs="宋体"/>
      <w:sz w:val="22"/>
      <w:szCs w:val="22"/>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2" Type="http://schemas.openxmlformats.org/officeDocument/2006/relationships/fontTable" Target="fontTable.xml"/><Relationship Id="rId31" Type="http://schemas.openxmlformats.org/officeDocument/2006/relationships/numbering" Target="numbering.xml"/><Relationship Id="rId30" Type="http://schemas.openxmlformats.org/officeDocument/2006/relationships/customXml" Target="../customXml/item1.xml"/><Relationship Id="rId3" Type="http://schemas.openxmlformats.org/officeDocument/2006/relationships/footnotes" Target="footnotes.xml"/><Relationship Id="rId29" Type="http://schemas.openxmlformats.org/officeDocument/2006/relationships/image" Target="media/image3.emf"/><Relationship Id="rId28" Type="http://schemas.openxmlformats.org/officeDocument/2006/relationships/oleObject" Target="embeddings/oleObject1.bin"/><Relationship Id="rId27" Type="http://schemas.openxmlformats.org/officeDocument/2006/relationships/image" Target="media/image1.jpeg"/><Relationship Id="rId26" Type="http://schemas.openxmlformats.org/officeDocument/2006/relationships/theme" Target="theme/theme1.xml"/><Relationship Id="rId25" Type="http://schemas.openxmlformats.org/officeDocument/2006/relationships/footer" Target="footer14.xml"/><Relationship Id="rId24" Type="http://schemas.openxmlformats.org/officeDocument/2006/relationships/footer" Target="footer13.xml"/><Relationship Id="rId23" Type="http://schemas.openxmlformats.org/officeDocument/2006/relationships/footer" Target="footer12.xml"/><Relationship Id="rId22" Type="http://schemas.openxmlformats.org/officeDocument/2006/relationships/footer" Target="footer11.xml"/><Relationship Id="rId21" Type="http://schemas.openxmlformats.org/officeDocument/2006/relationships/header" Target="header7.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footer" Target="footer7.xml"/><Relationship Id="rId16" Type="http://schemas.openxmlformats.org/officeDocument/2006/relationships/footer" Target="footer6.xml"/><Relationship Id="rId15" Type="http://schemas.openxmlformats.org/officeDocument/2006/relationships/footer" Target="footer5.xml"/><Relationship Id="rId14" Type="http://schemas.openxmlformats.org/officeDocument/2006/relationships/footer" Target="footer4.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6.xml.rels><?xml version="1.0" encoding="UTF-8" standalone="yes"?>
<Relationships xmlns="http://schemas.openxmlformats.org/package/2006/relationships"><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3083"/>
    <customShpInfo spid="_x0000_s3075"/>
    <customShpInfo spid="_x0000_s3073"/>
    <customShpInfo spid="_x0000_s3078"/>
    <customShpInfo spid="_x0000_s3076"/>
    <customShpInfo spid="_x0000_s1026" textRotate="1"/>
    <customShpInfo spid="_x0000_s3085"/>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Company>MicroWin10.com</Company>
  <Pages>78</Pages>
  <Words>23291</Words>
  <Characters>24878</Characters>
  <Lines>303</Lines>
  <Paragraphs>85</Paragraphs>
  <TotalTime>9</TotalTime>
  <ScaleCrop>false</ScaleCrop>
  <LinksUpToDate>false</LinksUpToDate>
  <CharactersWithSpaces>25278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2023-06-09T01:36:00Z</dcterms:created>
  <dc:creator>微软用户</dc:creator>
  <cp:lastModifiedBy>章大莉</cp:lastModifiedBy>
  <cp:lastPrinted>2025-03-19T07:09:00Z</cp:lastPrinted>
  <dcterms:modified xsi:type="dcterms:W3CDTF">2025-04-01T04:00:48Z</dcterms:modified>
  <dc:title>1</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07BB8EC47D574AE4AE7CADAB3A827065_13</vt:lpwstr>
  </property>
  <property fmtid="{D5CDD505-2E9C-101B-9397-08002B2CF9AE}" pid="4" name="KSOTemplateDocerSaveRecord">
    <vt:lpwstr>eyJoZGlkIjoiMTJlMTYyNTAxYWM3MWI0NzliODIyODNmMjdmN2NhNGEiLCJ1c2VySWQiOiIxMjkzODA4MDU5In0=</vt:lpwstr>
  </property>
</Properties>
</file>