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985F3">
      <w:pPr>
        <w:ind w:left="599" w:leftChars="-202" w:right="-521" w:rightChars="-248" w:hanging="1023" w:hangingChars="142"/>
        <w:jc w:val="center"/>
        <w:outlineLvl w:val="0"/>
        <w:rPr>
          <w:rFonts w:hint="eastAsia" w:ascii="微软雅黑" w:hAnsi="微软雅黑" w:cs="微软雅黑"/>
          <w:b/>
          <w:bCs/>
          <w:color w:val="auto"/>
          <w:sz w:val="72"/>
          <w:szCs w:val="72"/>
          <w:highlight w:val="none"/>
        </w:rPr>
      </w:pPr>
      <w:bookmarkStart w:id="0" w:name="_Toc12262"/>
      <w:bookmarkStart w:id="1" w:name="_Toc24825"/>
      <w:bookmarkStart w:id="2" w:name="_Toc11060"/>
      <w:r>
        <w:rPr>
          <w:rFonts w:hint="eastAsia" w:ascii="微软雅黑" w:hAnsi="微软雅黑" w:cs="微软雅黑"/>
          <w:b/>
          <w:bCs/>
          <w:color w:val="auto"/>
          <w:sz w:val="72"/>
          <w:szCs w:val="72"/>
          <w:highlight w:val="none"/>
        </w:rPr>
        <w:t>政府采购电子交易项目</w:t>
      </w:r>
      <w:bookmarkEnd w:id="0"/>
      <w:bookmarkEnd w:id="1"/>
      <w:bookmarkEnd w:id="2"/>
    </w:p>
    <w:p w14:paraId="46A93E1A">
      <w:pPr>
        <w:pStyle w:val="276"/>
        <w:jc w:val="center"/>
        <w:rPr>
          <w:rFonts w:hint="eastAsia" w:ascii="方正粗黑宋简体" w:hAnsi="方正粗黑宋简体" w:eastAsia="方正粗黑宋简体"/>
          <w:color w:val="auto"/>
          <w:sz w:val="72"/>
          <w:szCs w:val="72"/>
          <w:highlight w:val="none"/>
        </w:rPr>
      </w:pPr>
      <w:r>
        <w:rPr>
          <w:rFonts w:hint="eastAsia" w:ascii="方正粗黑宋简体" w:hAnsi="方正粗黑宋简体" w:eastAsia="方正粗黑宋简体"/>
          <w:color w:val="auto"/>
          <w:sz w:val="72"/>
          <w:szCs w:val="72"/>
          <w:highlight w:val="none"/>
        </w:rPr>
        <w:t>公开招标采购文件</w:t>
      </w:r>
    </w:p>
    <w:p w14:paraId="7859A511">
      <w:pPr>
        <w:pStyle w:val="276"/>
        <w:jc w:val="center"/>
        <w:rPr>
          <w:rFonts w:hint="eastAsia" w:ascii="方正粗黑宋简体" w:hAnsi="方正粗黑宋简体" w:eastAsia="方正粗黑宋简体"/>
          <w:color w:val="auto"/>
          <w:sz w:val="52"/>
          <w:szCs w:val="52"/>
          <w:highlight w:val="none"/>
        </w:rPr>
      </w:pPr>
    </w:p>
    <w:p w14:paraId="03EFB5CB">
      <w:pPr>
        <w:ind w:left="120" w:leftChars="-337" w:right="-804" w:rightChars="-383" w:hanging="828" w:hangingChars="230"/>
        <w:jc w:val="center"/>
        <w:rPr>
          <w:rFonts w:hint="eastAsia" w:ascii="微软雅黑" w:hAnsi="微软雅黑"/>
          <w:b/>
          <w:bCs/>
          <w:color w:val="auto"/>
          <w:sz w:val="36"/>
          <w:szCs w:val="36"/>
          <w:highlight w:val="none"/>
        </w:rPr>
      </w:pPr>
      <w:r>
        <w:rPr>
          <w:rFonts w:ascii="微软雅黑" w:hAnsi="微软雅黑"/>
          <w:b/>
          <w:bCs/>
          <w:color w:val="auto"/>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317EA6F6">
      <w:pPr>
        <w:pStyle w:val="29"/>
        <w:pBdr>
          <w:bottom w:val="thinThickThinMediumGap" w:color="auto" w:sz="18" w:space="1"/>
        </w:pBdr>
        <w:ind w:firstLine="532"/>
        <w:jc w:val="distribute"/>
        <w:rPr>
          <w:rFonts w:hint="eastAsia" w:ascii="微软雅黑" w:hAnsi="微软雅黑"/>
          <w:b/>
          <w:bCs/>
          <w:color w:val="auto"/>
          <w:w w:val="95"/>
          <w:sz w:val="28"/>
          <w:szCs w:val="28"/>
          <w:highlight w:val="none"/>
        </w:rPr>
      </w:pPr>
    </w:p>
    <w:p w14:paraId="4A0A25EF">
      <w:pPr>
        <w:pStyle w:val="29"/>
        <w:pBdr>
          <w:bottom w:val="thinThickThinMediumGap" w:color="auto" w:sz="18" w:space="1"/>
        </w:pBdr>
        <w:ind w:firstLine="0" w:firstLineChars="0"/>
        <w:jc w:val="distribute"/>
        <w:outlineLvl w:val="0"/>
        <w:rPr>
          <w:rFonts w:hint="eastAsia" w:ascii="微软雅黑" w:hAnsi="微软雅黑"/>
          <w:b/>
          <w:bCs/>
          <w:color w:val="auto"/>
          <w:w w:val="95"/>
          <w:sz w:val="28"/>
          <w:szCs w:val="28"/>
          <w:highlight w:val="none"/>
        </w:rPr>
      </w:pPr>
      <w:bookmarkStart w:id="3" w:name="_Toc18138"/>
      <w:bookmarkStart w:id="4" w:name="_Toc31634"/>
      <w:bookmarkStart w:id="5" w:name="_Toc32224"/>
      <w:r>
        <w:rPr>
          <w:rFonts w:hint="eastAsia" w:ascii="微软雅黑" w:hAnsi="微软雅黑"/>
          <w:b/>
          <w:bCs/>
          <w:color w:val="auto"/>
          <w:w w:val="95"/>
          <w:sz w:val="28"/>
          <w:szCs w:val="28"/>
          <w:highlight w:val="none"/>
        </w:rPr>
        <w:t>嘉兴市千秋工程咨询有限公司</w:t>
      </w:r>
      <w:bookmarkEnd w:id="3"/>
      <w:bookmarkEnd w:id="4"/>
      <w:bookmarkEnd w:id="5"/>
    </w:p>
    <w:p w14:paraId="19EA0F30">
      <w:pPr>
        <w:pStyle w:val="29"/>
        <w:pBdr>
          <w:bottom w:val="thinThickThinMediumGap" w:color="auto" w:sz="18" w:space="1"/>
        </w:pBdr>
        <w:ind w:firstLine="0" w:firstLineChars="0"/>
        <w:jc w:val="distribute"/>
        <w:rPr>
          <w:rFonts w:hint="eastAsia" w:ascii="微软雅黑" w:hAnsi="微软雅黑"/>
          <w:b/>
          <w:bCs/>
          <w:color w:val="auto"/>
          <w:w w:val="95"/>
          <w:sz w:val="28"/>
          <w:szCs w:val="28"/>
          <w:highlight w:val="none"/>
        </w:rPr>
      </w:pPr>
      <w:r>
        <w:rPr>
          <w:rFonts w:hint="eastAsia" w:ascii="微软雅黑" w:hAnsi="微软雅黑"/>
          <w:b/>
          <w:bCs/>
          <w:color w:val="auto"/>
          <w:w w:val="95"/>
          <w:sz w:val="28"/>
          <w:szCs w:val="28"/>
          <w:highlight w:val="none"/>
        </w:rPr>
        <w:t>Jiaxing Qianqiu Engineering Consulting Co., Ltd</w:t>
      </w:r>
    </w:p>
    <w:p w14:paraId="6365EC35">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项目名称：</w:t>
      </w:r>
      <w:r>
        <w:rPr>
          <w:rFonts w:hint="eastAsia" w:ascii="微软雅黑" w:hAnsi="微软雅黑"/>
          <w:bCs/>
          <w:color w:val="auto"/>
          <w:w w:val="95"/>
          <w:sz w:val="28"/>
          <w:szCs w:val="28"/>
          <w:highlight w:val="none"/>
          <w:lang w:eastAsia="zh-CN"/>
        </w:rPr>
        <w:t>2025年嘉兴市文化艺术中心秀洲“三馆”融合运营服务项目</w:t>
      </w:r>
    </w:p>
    <w:p w14:paraId="5E1E68B3">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招标编号：</w:t>
      </w:r>
      <w:r>
        <w:rPr>
          <w:rFonts w:hint="eastAsia" w:ascii="微软雅黑" w:hAnsi="微软雅黑"/>
          <w:bCs/>
          <w:color w:val="auto"/>
          <w:w w:val="95"/>
          <w:sz w:val="28"/>
          <w:szCs w:val="28"/>
          <w:highlight w:val="none"/>
          <w:lang w:eastAsia="zh-CN"/>
        </w:rPr>
        <w:t>千秋-JXQQGK（202</w:t>
      </w:r>
      <w:r>
        <w:rPr>
          <w:rFonts w:hint="eastAsia" w:ascii="微软雅黑" w:hAnsi="微软雅黑"/>
          <w:bCs/>
          <w:color w:val="auto"/>
          <w:w w:val="95"/>
          <w:sz w:val="28"/>
          <w:szCs w:val="28"/>
          <w:highlight w:val="none"/>
          <w:lang w:val="en-US" w:eastAsia="zh-CN"/>
        </w:rPr>
        <w:t>5</w:t>
      </w:r>
      <w:r>
        <w:rPr>
          <w:rFonts w:hint="eastAsia" w:ascii="微软雅黑" w:hAnsi="微软雅黑"/>
          <w:bCs/>
          <w:color w:val="auto"/>
          <w:w w:val="95"/>
          <w:sz w:val="28"/>
          <w:szCs w:val="28"/>
          <w:highlight w:val="none"/>
          <w:lang w:eastAsia="zh-CN"/>
        </w:rPr>
        <w:t>）第</w:t>
      </w:r>
      <w:r>
        <w:rPr>
          <w:rFonts w:hint="eastAsia" w:ascii="微软雅黑" w:hAnsi="微软雅黑"/>
          <w:bCs/>
          <w:color w:val="auto"/>
          <w:w w:val="95"/>
          <w:sz w:val="28"/>
          <w:szCs w:val="28"/>
          <w:highlight w:val="none"/>
          <w:lang w:val="en-US" w:eastAsia="zh-CN"/>
        </w:rPr>
        <w:t>03</w:t>
      </w:r>
      <w:r>
        <w:rPr>
          <w:rFonts w:hint="eastAsia" w:ascii="微软雅黑" w:hAnsi="微软雅黑"/>
          <w:bCs/>
          <w:color w:val="auto"/>
          <w:w w:val="95"/>
          <w:sz w:val="28"/>
          <w:szCs w:val="28"/>
          <w:highlight w:val="none"/>
          <w:lang w:eastAsia="zh-CN"/>
        </w:rPr>
        <w:t>号</w:t>
      </w:r>
    </w:p>
    <w:p w14:paraId="4D3A04F0">
      <w:pPr>
        <w:pStyle w:val="29"/>
        <w:ind w:firstLine="0" w:firstLineChars="0"/>
        <w:rPr>
          <w:rFonts w:hint="eastAsia" w:ascii="微软雅黑" w:hAnsi="微软雅黑" w:eastAsia="微软雅黑"/>
          <w:bCs/>
          <w:color w:val="auto"/>
          <w:w w:val="95"/>
          <w:sz w:val="28"/>
          <w:szCs w:val="28"/>
          <w:highlight w:val="none"/>
          <w:lang w:eastAsia="zh-CN"/>
        </w:rPr>
      </w:pPr>
      <w:r>
        <w:rPr>
          <w:rFonts w:hint="eastAsia" w:ascii="微软雅黑" w:hAnsi="微软雅黑"/>
          <w:bCs/>
          <w:color w:val="auto"/>
          <w:w w:val="95"/>
          <w:sz w:val="28"/>
          <w:szCs w:val="28"/>
          <w:highlight w:val="none"/>
        </w:rPr>
        <w:t>采 购 人：</w:t>
      </w:r>
      <w:r>
        <w:rPr>
          <w:rFonts w:hint="eastAsia" w:ascii="微软雅黑" w:hAnsi="微软雅黑"/>
          <w:bCs/>
          <w:color w:val="auto"/>
          <w:w w:val="95"/>
          <w:sz w:val="28"/>
          <w:szCs w:val="28"/>
          <w:highlight w:val="none"/>
          <w:lang w:eastAsia="zh-CN"/>
        </w:rPr>
        <w:t>嘉兴市秀洲区文化和旅游局</w:t>
      </w:r>
    </w:p>
    <w:p w14:paraId="03F95F39">
      <w:pPr>
        <w:pStyle w:val="29"/>
        <w:ind w:firstLine="0" w:firstLineChars="0"/>
        <w:rPr>
          <w:rFonts w:hint="eastAsia" w:ascii="微软雅黑" w:hAnsi="微软雅黑"/>
          <w:bCs/>
          <w:color w:val="auto"/>
          <w:w w:val="95"/>
          <w:sz w:val="28"/>
          <w:szCs w:val="28"/>
          <w:highlight w:val="none"/>
        </w:rPr>
      </w:pPr>
      <w:r>
        <w:rPr>
          <w:rFonts w:hint="eastAsia" w:ascii="微软雅黑" w:hAnsi="微软雅黑"/>
          <w:bCs/>
          <w:color w:val="auto"/>
          <w:w w:val="95"/>
          <w:sz w:val="28"/>
          <w:szCs w:val="28"/>
          <w:highlight w:val="none"/>
        </w:rPr>
        <w:t>代理机构：嘉兴市千秋工程咨询有限公司</w:t>
      </w:r>
    </w:p>
    <w:p w14:paraId="0E3A2CB7">
      <w:pPr>
        <w:pStyle w:val="29"/>
        <w:ind w:firstLine="0" w:firstLineChars="0"/>
        <w:rPr>
          <w:rFonts w:hint="eastAsia" w:ascii="微软雅黑" w:hAnsi="微软雅黑"/>
          <w:b/>
          <w:color w:val="auto"/>
          <w:sz w:val="28"/>
          <w:szCs w:val="28"/>
          <w:highlight w:val="none"/>
        </w:rPr>
      </w:pPr>
      <w:bookmarkStart w:id="6" w:name="_Toc50012812"/>
      <w:r>
        <w:rPr>
          <w:rFonts w:hint="eastAsia" w:ascii="微软雅黑" w:hAnsi="微软雅黑"/>
          <w:bCs/>
          <w:color w:val="auto"/>
          <w:w w:val="95"/>
          <w:sz w:val="28"/>
          <w:szCs w:val="28"/>
          <w:highlight w:val="none"/>
        </w:rPr>
        <w:t>日    期：</w:t>
      </w:r>
      <w:r>
        <w:rPr>
          <w:rFonts w:hint="eastAsia" w:ascii="微软雅黑" w:hAnsi="微软雅黑"/>
          <w:bCs/>
          <w:color w:val="auto"/>
          <w:w w:val="95"/>
          <w:sz w:val="28"/>
          <w:szCs w:val="28"/>
          <w:highlight w:val="none"/>
          <w:lang w:eastAsia="zh-CN"/>
        </w:rPr>
        <w:t>2025年</w:t>
      </w:r>
      <w:r>
        <w:rPr>
          <w:rFonts w:hint="eastAsia" w:ascii="微软雅黑" w:hAnsi="微软雅黑"/>
          <w:bCs/>
          <w:color w:val="auto"/>
          <w:w w:val="95"/>
          <w:sz w:val="28"/>
          <w:szCs w:val="28"/>
          <w:highlight w:val="none"/>
          <w:lang w:val="en-US" w:eastAsia="zh-CN"/>
        </w:rPr>
        <w:t>03</w:t>
      </w:r>
      <w:r>
        <w:rPr>
          <w:rFonts w:hint="eastAsia" w:ascii="微软雅黑" w:hAnsi="微软雅黑"/>
          <w:bCs/>
          <w:color w:val="auto"/>
          <w:w w:val="95"/>
          <w:sz w:val="28"/>
          <w:szCs w:val="28"/>
          <w:highlight w:val="none"/>
        </w:rPr>
        <w:t>月</w:t>
      </w:r>
      <w:r>
        <w:rPr>
          <w:rFonts w:hint="eastAsia" w:ascii="微软雅黑" w:hAnsi="微软雅黑"/>
          <w:bCs/>
          <w:color w:val="auto"/>
          <w:w w:val="95"/>
          <w:sz w:val="28"/>
          <w:szCs w:val="28"/>
          <w:highlight w:val="none"/>
          <w:lang w:val="en-US" w:eastAsia="zh-CN"/>
        </w:rPr>
        <w:t>07</w:t>
      </w:r>
      <w:r>
        <w:rPr>
          <w:rFonts w:hint="eastAsia" w:ascii="微软雅黑" w:hAnsi="微软雅黑"/>
          <w:bCs/>
          <w:color w:val="auto"/>
          <w:w w:val="95"/>
          <w:sz w:val="28"/>
          <w:szCs w:val="28"/>
          <w:highlight w:val="none"/>
        </w:rPr>
        <w:t>日</w:t>
      </w:r>
      <w:bookmarkEnd w:id="6"/>
    </w:p>
    <w:p w14:paraId="0FCA343C">
      <w:pPr>
        <w:pStyle w:val="127"/>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558"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236D289D">
      <w:pPr>
        <w:pStyle w:val="298"/>
        <w:rPr>
          <w:rFonts w:hint="eastAsia"/>
          <w:color w:val="auto"/>
          <w:sz w:val="40"/>
          <w:szCs w:val="40"/>
          <w:highlight w:val="none"/>
        </w:rPr>
      </w:pPr>
    </w:p>
    <w:sdt>
      <w:sdtPr>
        <w:rPr>
          <w:rFonts w:ascii="宋体" w:hAnsi="宋体" w:eastAsia="宋体"/>
          <w:color w:val="auto"/>
          <w:sz w:val="40"/>
          <w:szCs w:val="40"/>
          <w:highlight w:val="none"/>
        </w:rPr>
        <w:id w:val="147478461"/>
        <w15:color w:val="DBDBDB"/>
        <w:docPartObj>
          <w:docPartGallery w:val="Table of Contents"/>
          <w:docPartUnique/>
        </w:docPartObj>
      </w:sdtPr>
      <w:sdtEndPr>
        <w:rPr>
          <w:rFonts w:ascii="宋体" w:hAnsi="宋体" w:eastAsia="宋体"/>
          <w:b/>
          <w:color w:val="auto"/>
          <w:sz w:val="40"/>
          <w:szCs w:val="40"/>
          <w:highlight w:val="none"/>
        </w:rPr>
      </w:sdtEndPr>
      <w:sdtContent>
        <w:p w14:paraId="5AECE87F">
          <w:pPr>
            <w:spacing w:line="240" w:lineRule="auto"/>
            <w:ind w:firstLine="0" w:firstLineChars="0"/>
            <w:jc w:val="center"/>
            <w:rPr>
              <w:color w:val="auto"/>
              <w:sz w:val="40"/>
              <w:szCs w:val="40"/>
              <w:highlight w:val="none"/>
            </w:rPr>
          </w:pPr>
          <w:r>
            <w:rPr>
              <w:rFonts w:ascii="宋体" w:hAnsi="宋体" w:eastAsia="宋体"/>
              <w:color w:val="auto"/>
              <w:sz w:val="40"/>
              <w:szCs w:val="40"/>
              <w:highlight w:val="none"/>
            </w:rPr>
            <w:t>目录</w:t>
          </w:r>
        </w:p>
        <w:p w14:paraId="34EACA39">
          <w:pPr>
            <w:pStyle w:val="133"/>
            <w:tabs>
              <w:tab w:val="right" w:leader="dot" w:pos="8312"/>
            </w:tabs>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11F9125E">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第一章 公开招标采购公告</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_Toc19316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B82D636">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"_Toc30616"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第二章 招标项目要求</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_Toc30616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325E22C7">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"_Toc32265"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第三章 投标人须知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_Toc32265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1D5AAF1">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"_Toc15642" </w:instrText>
          </w:r>
          <w:r>
            <w:rPr>
              <w:color w:val="auto"/>
              <w:highlight w:val="none"/>
            </w:rPr>
            <w:fldChar w:fldCharType="separate"/>
          </w:r>
          <w:r>
            <w:rPr>
              <w:rFonts w:hint="eastAsia" w:ascii="微软雅黑" w:hAnsi="微软雅黑" w:eastAsia="微软雅黑" w:cs="微软雅黑"/>
              <w:bCs/>
              <w:color w:val="auto"/>
              <w:sz w:val="28"/>
              <w:szCs w:val="28"/>
              <w:highlight w:val="none"/>
            </w:rPr>
            <w:t>电子交易注意事项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_Toc15642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18</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4F0BAF5E">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"_Toc9927" </w:instrText>
          </w:r>
          <w:r>
            <w:rPr>
              <w:color w:val="auto"/>
              <w:highlight w:val="none"/>
            </w:rPr>
            <w:fldChar w:fldCharType="separate"/>
          </w:r>
          <w:r>
            <w:rPr>
              <w:rFonts w:hint="eastAsia" w:ascii="微软雅黑" w:hAnsi="微软雅黑" w:eastAsia="微软雅黑" w:cs="微软雅黑"/>
              <w:bCs/>
              <w:color w:val="auto"/>
              <w:sz w:val="28"/>
              <w:szCs w:val="28"/>
              <w:highlight w:val="none"/>
            </w:rPr>
            <w:t>前附表</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_Toc9927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19</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8F3186F">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"_Toc3218" </w:instrText>
          </w:r>
          <w:r>
            <w:rPr>
              <w:color w:val="auto"/>
              <w:highlight w:val="none"/>
            </w:rPr>
            <w:fldChar w:fldCharType="separate"/>
          </w:r>
          <w:r>
            <w:rPr>
              <w:rFonts w:hint="eastAsia" w:ascii="微软雅黑" w:hAnsi="微软雅黑" w:eastAsia="微软雅黑" w:cs="微软雅黑"/>
              <w:bCs/>
              <w:color w:val="auto"/>
              <w:sz w:val="28"/>
              <w:szCs w:val="28"/>
              <w:highlight w:val="none"/>
            </w:rPr>
            <w:t>一、总  则</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_Toc3218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E37EB8C">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"_Toc27754" </w:instrText>
          </w:r>
          <w:r>
            <w:rPr>
              <w:color w:val="auto"/>
              <w:highlight w:val="none"/>
            </w:rPr>
            <w:fldChar w:fldCharType="separate"/>
          </w:r>
          <w:r>
            <w:rPr>
              <w:rFonts w:hint="eastAsia" w:ascii="微软雅黑" w:hAnsi="微软雅黑" w:eastAsia="微软雅黑" w:cs="微软雅黑"/>
              <w:bCs/>
              <w:color w:val="auto"/>
              <w:sz w:val="28"/>
              <w:szCs w:val="28"/>
              <w:highlight w:val="none"/>
            </w:rPr>
            <w:t>二 、招标文件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_Toc27754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6AA3876A">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"_Toc27689" </w:instrText>
          </w:r>
          <w:r>
            <w:rPr>
              <w:color w:val="auto"/>
              <w:highlight w:val="none"/>
            </w:rPr>
            <w:fldChar w:fldCharType="separate"/>
          </w:r>
          <w:r>
            <w:rPr>
              <w:rFonts w:hint="eastAsia" w:ascii="微软雅黑" w:hAnsi="微软雅黑" w:eastAsia="微软雅黑" w:cs="微软雅黑"/>
              <w:bCs/>
              <w:color w:val="auto"/>
              <w:sz w:val="28"/>
              <w:szCs w:val="28"/>
              <w:highlight w:val="none"/>
            </w:rPr>
            <w:t>三、 投标文件的编制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_Toc27689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26</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139F844">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微软雅黑" w:hAnsi="微软雅黑" w:eastAsia="微软雅黑" w:cs="微软雅黑"/>
              <w:bCs/>
              <w:color w:val="auto"/>
              <w:sz w:val="28"/>
              <w:szCs w:val="28"/>
              <w:highlight w:val="none"/>
            </w:rPr>
            <w:t>四、开标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_Toc22083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982C034">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"_Toc18014" </w:instrText>
          </w:r>
          <w:r>
            <w:rPr>
              <w:color w:val="auto"/>
              <w:highlight w:val="none"/>
            </w:rPr>
            <w:fldChar w:fldCharType="separate"/>
          </w:r>
          <w:r>
            <w:rPr>
              <w:rFonts w:hint="eastAsia" w:ascii="微软雅黑" w:hAnsi="微软雅黑" w:eastAsia="微软雅黑" w:cs="微软雅黑"/>
              <w:bCs/>
              <w:color w:val="auto"/>
              <w:sz w:val="28"/>
              <w:szCs w:val="28"/>
              <w:highlight w:val="none"/>
            </w:rPr>
            <w:t>五、评标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_Toc18014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31</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2887B49D">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"_Toc30708" </w:instrText>
          </w:r>
          <w:r>
            <w:rPr>
              <w:color w:val="auto"/>
              <w:highlight w:val="none"/>
            </w:rPr>
            <w:fldChar w:fldCharType="separate"/>
          </w:r>
          <w:r>
            <w:rPr>
              <w:rFonts w:hint="eastAsia" w:ascii="微软雅黑" w:hAnsi="微软雅黑" w:eastAsia="微软雅黑" w:cs="微软雅黑"/>
              <w:bCs/>
              <w:color w:val="auto"/>
              <w:sz w:val="28"/>
              <w:szCs w:val="28"/>
              <w:highlight w:val="none"/>
            </w:rPr>
            <w:t>六、定标</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_Toc30708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EDBC917">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"_Toc4086" </w:instrText>
          </w:r>
          <w:r>
            <w:rPr>
              <w:color w:val="auto"/>
              <w:highlight w:val="none"/>
            </w:rPr>
            <w:fldChar w:fldCharType="separate"/>
          </w:r>
          <w:r>
            <w:rPr>
              <w:rFonts w:hint="eastAsia" w:ascii="微软雅黑" w:hAnsi="微软雅黑" w:eastAsia="微软雅黑" w:cs="微软雅黑"/>
              <w:bCs/>
              <w:color w:val="auto"/>
              <w:sz w:val="28"/>
              <w:szCs w:val="28"/>
              <w:highlight w:val="none"/>
            </w:rPr>
            <w:t>七、合同授予</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_Toc4086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842422B">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"_Toc17646" </w:instrText>
          </w:r>
          <w:r>
            <w:rPr>
              <w:color w:val="auto"/>
              <w:highlight w:val="none"/>
            </w:rPr>
            <w:fldChar w:fldCharType="separate"/>
          </w:r>
          <w:r>
            <w:rPr>
              <w:rFonts w:hint="eastAsia" w:ascii="微软雅黑" w:hAnsi="微软雅黑" w:eastAsia="微软雅黑" w:cs="微软雅黑"/>
              <w:bCs/>
              <w:color w:val="auto"/>
              <w:sz w:val="28"/>
              <w:szCs w:val="28"/>
              <w:highlight w:val="none"/>
            </w:rPr>
            <w:t>八、验收</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_Toc17646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34</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AA8AEA4">
          <w:pPr>
            <w:pStyle w:val="299"/>
            <w:tabs>
              <w:tab w:val="right" w:leader="dot" w:pos="8312"/>
            </w:tabs>
            <w:ind w:left="420"/>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"_Toc9282" </w:instrText>
          </w:r>
          <w:r>
            <w:rPr>
              <w:color w:val="auto"/>
              <w:highlight w:val="none"/>
            </w:rPr>
            <w:fldChar w:fldCharType="separate"/>
          </w:r>
          <w:r>
            <w:rPr>
              <w:rFonts w:hint="eastAsia" w:ascii="微软雅黑" w:hAnsi="微软雅黑" w:eastAsia="微软雅黑" w:cs="微软雅黑"/>
              <w:bCs/>
              <w:color w:val="auto"/>
              <w:sz w:val="28"/>
              <w:szCs w:val="28"/>
              <w:highlight w:val="none"/>
            </w:rPr>
            <w:t>九、招标代理费</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_Toc9282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35</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46C3522">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"_Toc27645" </w:instrText>
          </w:r>
          <w:r>
            <w:rPr>
              <w:color w:val="auto"/>
              <w:highlight w:val="none"/>
            </w:rPr>
            <w:fldChar w:fldCharType="separate"/>
          </w:r>
          <w:r>
            <w:rPr>
              <w:rFonts w:hint="eastAsia" w:ascii="微软雅黑" w:hAnsi="微软雅黑" w:eastAsia="微软雅黑" w:cs="微软雅黑"/>
              <w:bCs/>
              <w:color w:val="auto"/>
              <w:sz w:val="28"/>
              <w:szCs w:val="28"/>
              <w:highlight w:val="none"/>
            </w:rPr>
            <w:t>第四章 评标办法及评分标准</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_Toc27645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37</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7C9137A8">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"_Toc28705" </w:instrText>
          </w:r>
          <w:r>
            <w:rPr>
              <w:color w:val="auto"/>
              <w:highlight w:val="none"/>
            </w:rPr>
            <w:fldChar w:fldCharType="separate"/>
          </w:r>
          <w:r>
            <w:rPr>
              <w:rFonts w:hint="eastAsia" w:ascii="微软雅黑" w:hAnsi="微软雅黑" w:eastAsia="微软雅黑" w:cs="微软雅黑"/>
              <w:bCs/>
              <w:color w:val="auto"/>
              <w:sz w:val="28"/>
              <w:szCs w:val="28"/>
              <w:highlight w:val="none"/>
            </w:rPr>
            <w:t>第五章 采购合同（指引）</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_Toc28705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43</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B567ED4">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"_Toc2506" </w:instrText>
          </w:r>
          <w:r>
            <w:rPr>
              <w:color w:val="auto"/>
              <w:highlight w:val="none"/>
            </w:rPr>
            <w:fldChar w:fldCharType="separate"/>
          </w:r>
          <w:r>
            <w:rPr>
              <w:rFonts w:hint="eastAsia" w:ascii="微软雅黑" w:hAnsi="微软雅黑" w:eastAsia="微软雅黑" w:cs="微软雅黑"/>
              <w:bCs/>
              <w:color w:val="auto"/>
              <w:sz w:val="28"/>
              <w:szCs w:val="28"/>
              <w:highlight w:val="none"/>
            </w:rPr>
            <w:t>第六章 投标文件相关格式</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_Toc2506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49</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5A45D0FA">
          <w:pPr>
            <w:pStyle w:val="133"/>
            <w:tabs>
              <w:tab w:val="right" w:leader="dot" w:pos="8312"/>
            </w:tabs>
            <w:rPr>
              <w:rFonts w:hint="eastAsia" w:ascii="微软雅黑" w:hAnsi="微软雅黑" w:eastAsia="微软雅黑" w:cs="微软雅黑"/>
              <w:bCs/>
              <w:color w:val="auto"/>
              <w:sz w:val="28"/>
              <w:szCs w:val="28"/>
              <w:highlight w:val="none"/>
            </w:rPr>
          </w:pPr>
          <w:r>
            <w:rPr>
              <w:color w:val="auto"/>
              <w:highlight w:val="none"/>
            </w:rPr>
            <w:fldChar w:fldCharType="begin"/>
          </w:r>
          <w:r>
            <w:rPr>
              <w:color w:val="auto"/>
              <w:highlight w:val="none"/>
            </w:rPr>
            <w:instrText xml:space="preserve"> HYPERLINK \l "_Toc13790" </w:instrText>
          </w:r>
          <w:r>
            <w:rPr>
              <w:color w:val="auto"/>
              <w:highlight w:val="none"/>
            </w:rPr>
            <w:fldChar w:fldCharType="separate"/>
          </w:r>
          <w:r>
            <w:rPr>
              <w:rFonts w:hint="eastAsia" w:ascii="微软雅黑" w:hAnsi="微软雅黑" w:eastAsia="微软雅黑" w:cs="微软雅黑"/>
              <w:bCs/>
              <w:color w:val="auto"/>
              <w:sz w:val="28"/>
              <w:szCs w:val="28"/>
              <w:highlight w:val="none"/>
            </w:rPr>
            <w:t>国家统计局关于印发统计上大中小微型企业划分办法的通知</w:t>
          </w:r>
          <w:r>
            <w:rPr>
              <w:rFonts w:hint="eastAsia" w:ascii="微软雅黑" w:hAnsi="微软雅黑" w:eastAsia="微软雅黑" w:cs="微软雅黑"/>
              <w:bCs/>
              <w:color w:val="auto"/>
              <w:sz w:val="28"/>
              <w:szCs w:val="28"/>
              <w:highlight w:val="none"/>
            </w:rPr>
            <w:tab/>
          </w:r>
          <w:r>
            <w:rPr>
              <w:rFonts w:hint="eastAsia" w:ascii="微软雅黑" w:hAnsi="微软雅黑" w:eastAsia="微软雅黑" w:cs="微软雅黑"/>
              <w:bCs/>
              <w:color w:val="auto"/>
              <w:sz w:val="28"/>
              <w:szCs w:val="28"/>
              <w:highlight w:val="none"/>
            </w:rPr>
            <w:fldChar w:fldCharType="begin"/>
          </w:r>
          <w:r>
            <w:rPr>
              <w:rFonts w:hint="eastAsia" w:ascii="微软雅黑" w:hAnsi="微软雅黑" w:eastAsia="微软雅黑" w:cs="微软雅黑"/>
              <w:bCs/>
              <w:color w:val="auto"/>
              <w:sz w:val="28"/>
              <w:szCs w:val="28"/>
              <w:highlight w:val="none"/>
            </w:rPr>
            <w:instrText xml:space="preserve"> PAGEREF _Toc13790 \h </w:instrText>
          </w:r>
          <w:r>
            <w:rPr>
              <w:rFonts w:hint="eastAsia" w:ascii="微软雅黑" w:hAnsi="微软雅黑" w:eastAsia="微软雅黑" w:cs="微软雅黑"/>
              <w:bCs/>
              <w:color w:val="auto"/>
              <w:sz w:val="28"/>
              <w:szCs w:val="28"/>
              <w:highlight w:val="none"/>
            </w:rPr>
            <w:fldChar w:fldCharType="separate"/>
          </w:r>
          <w:r>
            <w:rPr>
              <w:rFonts w:hint="eastAsia" w:ascii="微软雅黑" w:hAnsi="微软雅黑" w:eastAsia="微软雅黑" w:cs="微软雅黑"/>
              <w:bCs/>
              <w:color w:val="auto"/>
              <w:sz w:val="28"/>
              <w:szCs w:val="28"/>
              <w:highlight w:val="none"/>
            </w:rPr>
            <w:t>70</w:t>
          </w:r>
          <w:r>
            <w:rPr>
              <w:rFonts w:hint="eastAsia" w:ascii="微软雅黑" w:hAnsi="微软雅黑" w:eastAsia="微软雅黑" w:cs="微软雅黑"/>
              <w:bCs/>
              <w:color w:val="auto"/>
              <w:sz w:val="28"/>
              <w:szCs w:val="28"/>
              <w:highlight w:val="none"/>
            </w:rPr>
            <w:fldChar w:fldCharType="end"/>
          </w:r>
          <w:r>
            <w:rPr>
              <w:rFonts w:hint="eastAsia" w:ascii="微软雅黑" w:hAnsi="微软雅黑" w:eastAsia="微软雅黑" w:cs="微软雅黑"/>
              <w:bCs/>
              <w:color w:val="auto"/>
              <w:sz w:val="28"/>
              <w:szCs w:val="28"/>
              <w:highlight w:val="none"/>
            </w:rPr>
            <w:fldChar w:fldCharType="end"/>
          </w:r>
        </w:p>
        <w:p w14:paraId="0C221C98">
          <w:pPr>
            <w:pStyle w:val="133"/>
            <w:tabs>
              <w:tab w:val="right" w:leader="dot" w:pos="8312"/>
            </w:tabs>
            <w:rPr>
              <w:b/>
              <w:color w:val="auto"/>
              <w:highlight w:val="none"/>
            </w:rPr>
          </w:pPr>
        </w:p>
        <w:p w14:paraId="2269C600">
          <w:pPr>
            <w:ind w:firstLine="420"/>
            <w:rPr>
              <w:color w:val="auto"/>
              <w:highlight w:val="none"/>
            </w:rPr>
          </w:pPr>
          <w:r>
            <w:rPr>
              <w:b/>
              <w:color w:val="auto"/>
              <w:highlight w:val="none"/>
            </w:rPr>
            <w:fldChar w:fldCharType="end"/>
          </w:r>
        </w:p>
      </w:sdtContent>
    </w:sdt>
    <w:p w14:paraId="6022511A">
      <w:pPr>
        <w:pStyle w:val="2"/>
        <w:numPr>
          <w:ilvl w:val="0"/>
          <w:numId w:val="3"/>
        </w:numPr>
        <w:rPr>
          <w:rStyle w:val="65"/>
          <w:b/>
          <w:bCs/>
          <w:color w:val="auto"/>
          <w:highlight w:val="none"/>
        </w:rPr>
        <w:sectPr>
          <w:headerReference r:id="rId13" w:type="first"/>
          <w:headerReference r:id="rId11" w:type="default"/>
          <w:footerReference r:id="rId14" w:type="default"/>
          <w:headerReference r:id="rId12"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7" w:name="_Toc19316"/>
    </w:p>
    <w:p w14:paraId="1FDC6226">
      <w:pPr>
        <w:pStyle w:val="2"/>
        <w:numPr>
          <w:ilvl w:val="0"/>
          <w:numId w:val="3"/>
        </w:numPr>
        <w:rPr>
          <w:rStyle w:val="65"/>
          <w:b/>
          <w:bCs/>
          <w:color w:val="auto"/>
          <w:highlight w:val="none"/>
        </w:rPr>
      </w:pPr>
      <w:r>
        <w:rPr>
          <w:rStyle w:val="65"/>
          <w:rFonts w:hint="eastAsia"/>
          <w:b/>
          <w:bCs/>
          <w:color w:val="auto"/>
          <w:highlight w:val="none"/>
        </w:rPr>
        <w:t>公开招标采购公告</w:t>
      </w:r>
      <w:bookmarkEnd w:id="7"/>
    </w:p>
    <w:tbl>
      <w:tblPr>
        <w:tblStyle w:val="5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1C79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2E7C4164">
            <w:pPr>
              <w:pStyle w:val="48"/>
              <w:spacing w:before="75" w:beforeAutospacing="0" w:after="75" w:afterAutospacing="0" w:line="276" w:lineRule="auto"/>
              <w:ind w:firstLine="0" w:firstLineChars="0"/>
              <w:jc w:val="both"/>
              <w:rPr>
                <w:rFonts w:hint="eastAsia" w:ascii="微软雅黑" w:hAnsi="微软雅黑" w:cs="Arial"/>
                <w:color w:val="auto"/>
                <w:sz w:val="21"/>
                <w:szCs w:val="21"/>
                <w:highlight w:val="none"/>
              </w:rPr>
            </w:pPr>
            <w:bookmarkStart w:id="8" w:name="_Toc493511541"/>
            <w:bookmarkStart w:id="9" w:name="_Toc177870534"/>
            <w:r>
              <w:rPr>
                <w:rFonts w:hint="eastAsia" w:ascii="微软雅黑" w:hAnsi="微软雅黑" w:cs="Arial"/>
                <w:color w:val="auto"/>
                <w:sz w:val="21"/>
                <w:szCs w:val="21"/>
                <w:highlight w:val="none"/>
              </w:rPr>
              <w:t>项目概况</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p w14:paraId="23735BB7">
            <w:pPr>
              <w:pStyle w:val="48"/>
              <w:spacing w:before="75" w:beforeAutospacing="0" w:after="75" w:afterAutospacing="0" w:line="276" w:lineRule="auto"/>
              <w:ind w:firstLine="420"/>
              <w:rPr>
                <w:rFonts w:hint="eastAsia" w:ascii="微软雅黑" w:hAnsi="微软雅黑" w:cs="Arial"/>
                <w:color w:val="auto"/>
                <w:sz w:val="21"/>
                <w:szCs w:val="21"/>
                <w:highlight w:val="none"/>
              </w:rPr>
            </w:pPr>
            <w:r>
              <w:rPr>
                <w:rFonts w:hint="eastAsia" w:ascii="微软雅黑" w:hAnsi="微软雅黑" w:cs="Arial"/>
                <w:color w:val="auto"/>
                <w:sz w:val="21"/>
                <w:szCs w:val="21"/>
                <w:highlight w:val="none"/>
                <w:lang w:eastAsia="zh-CN"/>
              </w:rPr>
              <w:t>2025年嘉兴市文化艺术中心秀洲“三馆”融合运营服务项目</w:t>
            </w:r>
            <w:r>
              <w:rPr>
                <w:rFonts w:hint="eastAsia" w:ascii="微软雅黑" w:hAnsi="微软雅黑" w:cs="Arial"/>
                <w:color w:val="auto"/>
                <w:sz w:val="21"/>
                <w:szCs w:val="21"/>
                <w:highlight w:val="none"/>
              </w:rPr>
              <w:t>的潜在投标人应在https://www.zcygov.cn获取（下载）招标文件，并于</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lang w:eastAsia="zh-CN"/>
              </w:rPr>
              <w:t>2025年</w:t>
            </w:r>
            <w:r>
              <w:rPr>
                <w:rFonts w:hint="eastAsia" w:ascii="微软雅黑" w:hAnsi="微软雅黑" w:cs="Arial"/>
                <w:color w:val="auto"/>
                <w:sz w:val="21"/>
                <w:szCs w:val="21"/>
                <w:highlight w:val="none"/>
                <w:lang w:val="en-US" w:eastAsia="zh-CN"/>
              </w:rPr>
              <w:t>03</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28</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09</w:t>
            </w:r>
            <w:r>
              <w:rPr>
                <w:rFonts w:hint="eastAsia" w:ascii="微软雅黑" w:hAnsi="微软雅黑" w:cs="Arial"/>
                <w:color w:val="auto"/>
                <w:sz w:val="21"/>
                <w:szCs w:val="21"/>
                <w:highlight w:val="none"/>
                <w:lang w:eastAsia="zh-CN"/>
              </w:rPr>
              <w:t>：</w:t>
            </w:r>
            <w:r>
              <w:rPr>
                <w:rFonts w:hint="eastAsia" w:ascii="微软雅黑" w:hAnsi="微软雅黑" w:cs="Arial"/>
                <w:color w:val="auto"/>
                <w:sz w:val="21"/>
                <w:szCs w:val="21"/>
                <w:highlight w:val="none"/>
                <w:lang w:val="en-US" w:eastAsia="zh-CN"/>
              </w:rPr>
              <w:t>30</w:t>
            </w:r>
            <w:r>
              <w:rPr>
                <w:rFonts w:hint="eastAsia" w:ascii="微软雅黑" w:hAnsi="微软雅黑" w:cs="Arial"/>
                <w:color w:val="auto"/>
                <w:sz w:val="21"/>
                <w:szCs w:val="21"/>
                <w:highlight w:val="none"/>
              </w:rPr>
              <w:t>（北京时间）前递交（上传）投标文件。</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rPr>
              <w:t xml:space="preserve"> </w:t>
            </w:r>
            <w:r>
              <w:rPr>
                <w:rFonts w:ascii="微软雅黑" w:hAnsi="微软雅黑" w:cs="Arial"/>
                <w:color w:val="auto"/>
                <w:sz w:val="21"/>
                <w:szCs w:val="21"/>
                <w:highlight w:val="none"/>
              </w:rPr>
              <w:t> </w:t>
            </w:r>
          </w:p>
        </w:tc>
      </w:tr>
    </w:tbl>
    <w:p w14:paraId="48E11A98">
      <w:pPr>
        <w:widowControl/>
        <w:spacing w:before="255" w:after="255" w:line="300" w:lineRule="atLeast"/>
        <w:ind w:firstLine="0" w:firstLineChars="0"/>
        <w:jc w:val="both"/>
        <w:rPr>
          <w:rFonts w:hint="eastAsia" w:ascii="微软雅黑" w:hAnsi="微软雅黑" w:cs="Arial"/>
          <w:color w:val="auto"/>
          <w:kern w:val="0"/>
          <w:szCs w:val="21"/>
          <w:highlight w:val="none"/>
        </w:rPr>
      </w:pPr>
      <w:r>
        <w:rPr>
          <w:rFonts w:hint="eastAsia" w:ascii="微软雅黑" w:hAnsi="微软雅黑" w:cs="Arial"/>
          <w:b/>
          <w:bCs/>
          <w:color w:val="auto"/>
          <w:kern w:val="0"/>
          <w:szCs w:val="21"/>
          <w:highlight w:val="none"/>
        </w:rPr>
        <w:t>一、项目基本情况</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28DF8562">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采购计划编号：</w:t>
      </w:r>
      <w:r>
        <w:rPr>
          <w:rFonts w:ascii="微软雅黑" w:hAnsi="微软雅黑" w:eastAsia="微软雅黑" w:cs="微软雅黑"/>
          <w:i w:val="0"/>
          <w:iCs w:val="0"/>
          <w:caps w:val="0"/>
          <w:color w:val="auto"/>
          <w:spacing w:val="0"/>
          <w:sz w:val="21"/>
          <w:szCs w:val="21"/>
          <w:highlight w:val="none"/>
          <w:u w:val="none"/>
        </w:rPr>
        <w:fldChar w:fldCharType="begin"/>
      </w:r>
      <w:r>
        <w:rPr>
          <w:rFonts w:ascii="微软雅黑" w:hAnsi="微软雅黑" w:eastAsia="微软雅黑" w:cs="微软雅黑"/>
          <w:i w:val="0"/>
          <w:iCs w:val="0"/>
          <w:caps w:val="0"/>
          <w:color w:val="auto"/>
          <w:spacing w:val="0"/>
          <w:sz w:val="21"/>
          <w:szCs w:val="21"/>
          <w:highlight w:val="none"/>
          <w:u w:val="none"/>
        </w:rPr>
        <w:instrText xml:space="preserve"> HYPERLINK "https://pay.zcygov.cn/purchaseplan_front/" \l "/plan/list/view?id=1000000000015049751&amp;_app_=zcy.procurement" \t "https://www.zcygov.cn/project-center/_procurement_/purchasePlans/_blank" </w:instrText>
      </w:r>
      <w:r>
        <w:rPr>
          <w:rFonts w:ascii="微软雅黑" w:hAnsi="微软雅黑" w:eastAsia="微软雅黑" w:cs="微软雅黑"/>
          <w:i w:val="0"/>
          <w:iCs w:val="0"/>
          <w:caps w:val="0"/>
          <w:color w:val="auto"/>
          <w:spacing w:val="0"/>
          <w:sz w:val="21"/>
          <w:szCs w:val="21"/>
          <w:highlight w:val="none"/>
          <w:u w:val="none"/>
        </w:rPr>
        <w:fldChar w:fldCharType="separate"/>
      </w:r>
      <w:r>
        <w:rPr>
          <w:rFonts w:hint="eastAsia" w:ascii="微软雅黑" w:hAnsi="微软雅黑" w:eastAsia="微软雅黑" w:cs="微软雅黑"/>
          <w:i w:val="0"/>
          <w:iCs w:val="0"/>
          <w:caps w:val="0"/>
          <w:color w:val="auto"/>
          <w:spacing w:val="0"/>
          <w:sz w:val="21"/>
          <w:szCs w:val="21"/>
          <w:highlight w:val="none"/>
          <w:u w:val="none"/>
        </w:rPr>
        <w:fldChar w:fldCharType="end"/>
      </w:r>
      <w:r>
        <w:rPr>
          <w:rFonts w:hint="eastAsia" w:ascii="微软雅黑" w:hAnsi="微软雅黑" w:cs="Calibri"/>
          <w:color w:val="auto"/>
          <w:kern w:val="0"/>
          <w:szCs w:val="21"/>
          <w:highlight w:val="none"/>
        </w:rPr>
        <w:t xml:space="preserve"> </w:t>
      </w:r>
      <w:r>
        <w:rPr>
          <w:rFonts w:ascii="微软雅黑" w:hAnsi="微软雅黑" w:eastAsia="微软雅黑" w:cs="微软雅黑"/>
          <w:i w:val="0"/>
          <w:iCs w:val="0"/>
          <w:caps w:val="0"/>
          <w:spacing w:val="0"/>
          <w:sz w:val="21"/>
          <w:szCs w:val="21"/>
          <w:u w:val="none"/>
          <w:shd w:val="clear" w:fill="EBF4FF"/>
        </w:rPr>
        <w:fldChar w:fldCharType="begin"/>
      </w:r>
      <w:r>
        <w:rPr>
          <w:rFonts w:ascii="微软雅黑" w:hAnsi="微软雅黑" w:eastAsia="微软雅黑" w:cs="微软雅黑"/>
          <w:i w:val="0"/>
          <w:iCs w:val="0"/>
          <w:caps w:val="0"/>
          <w:spacing w:val="0"/>
          <w:sz w:val="21"/>
          <w:szCs w:val="21"/>
          <w:u w:val="none"/>
          <w:shd w:val="clear" w:fill="EBF4FF"/>
        </w:rPr>
        <w:instrText xml:space="preserve"> HYPERLINK "https://pay.zcygov.cn/purchaseplan_front/" \l "/plan/list/view?id=1000000000015407799&amp;_app_=zcy.procurement" \t "https://www.zcygov.cn/project-center/_procurement_/purchasePlans/_blank" </w:instrText>
      </w:r>
      <w:r>
        <w:rPr>
          <w:rFonts w:ascii="微软雅黑" w:hAnsi="微软雅黑" w:eastAsia="微软雅黑" w:cs="微软雅黑"/>
          <w:i w:val="0"/>
          <w:iCs w:val="0"/>
          <w:caps w:val="0"/>
          <w:spacing w:val="0"/>
          <w:sz w:val="21"/>
          <w:szCs w:val="21"/>
          <w:u w:val="none"/>
          <w:shd w:val="clear" w:fill="EBF4FF"/>
        </w:rPr>
        <w:fldChar w:fldCharType="separate"/>
      </w:r>
      <w:r>
        <w:rPr>
          <w:rStyle w:val="62"/>
          <w:rFonts w:hint="eastAsia" w:ascii="微软雅黑" w:hAnsi="微软雅黑" w:eastAsia="微软雅黑" w:cs="微软雅黑"/>
          <w:i w:val="0"/>
          <w:iCs w:val="0"/>
          <w:caps w:val="0"/>
          <w:spacing w:val="0"/>
          <w:sz w:val="21"/>
          <w:szCs w:val="21"/>
          <w:u w:val="none"/>
          <w:shd w:val="clear" w:fill="EBF4FF"/>
        </w:rPr>
        <w:t>临[2025]111号</w:t>
      </w:r>
      <w:r>
        <w:rPr>
          <w:rFonts w:hint="eastAsia" w:ascii="微软雅黑" w:hAnsi="微软雅黑" w:eastAsia="微软雅黑" w:cs="微软雅黑"/>
          <w:i w:val="0"/>
          <w:iCs w:val="0"/>
          <w:caps w:val="0"/>
          <w:spacing w:val="0"/>
          <w:sz w:val="21"/>
          <w:szCs w:val="21"/>
          <w:u w:val="none"/>
          <w:shd w:val="clear" w:fill="EBF4FF"/>
        </w:rPr>
        <w:fldChar w:fldCharType="end"/>
      </w:r>
    </w:p>
    <w:p w14:paraId="51DDBAD2">
      <w:pPr>
        <w:widowControl/>
        <w:spacing w:before="75" w:after="75" w:line="300" w:lineRule="atLeast"/>
        <w:ind w:firstLine="424" w:firstLineChars="202"/>
        <w:rPr>
          <w:rFonts w:hint="eastAsia" w:ascii="微软雅黑" w:hAnsi="微软雅黑" w:eastAsia="微软雅黑" w:cs="Calibri"/>
          <w:color w:val="auto"/>
          <w:kern w:val="0"/>
          <w:szCs w:val="21"/>
          <w:highlight w:val="none"/>
          <w:lang w:eastAsia="zh-CN"/>
        </w:rPr>
      </w:pPr>
      <w:r>
        <w:rPr>
          <w:rFonts w:hint="eastAsia" w:ascii="微软雅黑" w:hAnsi="微软雅黑" w:cs="Calibri"/>
          <w:color w:val="auto"/>
          <w:kern w:val="0"/>
          <w:szCs w:val="21"/>
          <w:highlight w:val="none"/>
        </w:rPr>
        <w:t>项目编号：</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eastAsia="zh-CN"/>
        </w:rPr>
        <w:t>千秋-JXQQGK（202</w:t>
      </w:r>
      <w:r>
        <w:rPr>
          <w:rFonts w:hint="eastAsia" w:ascii="微软雅黑" w:hAnsi="微软雅黑" w:cs="Calibri"/>
          <w:color w:val="auto"/>
          <w:kern w:val="0"/>
          <w:szCs w:val="21"/>
          <w:highlight w:val="none"/>
          <w:lang w:val="en-US" w:eastAsia="zh-CN"/>
        </w:rPr>
        <w:t>5</w:t>
      </w:r>
      <w:r>
        <w:rPr>
          <w:rFonts w:hint="eastAsia" w:ascii="微软雅黑" w:hAnsi="微软雅黑" w:cs="Calibri"/>
          <w:color w:val="auto"/>
          <w:kern w:val="0"/>
          <w:szCs w:val="21"/>
          <w:highlight w:val="none"/>
          <w:lang w:eastAsia="zh-CN"/>
        </w:rPr>
        <w:t>）第</w:t>
      </w:r>
      <w:r>
        <w:rPr>
          <w:rFonts w:hint="eastAsia" w:ascii="微软雅黑" w:hAnsi="微软雅黑" w:cs="Calibri"/>
          <w:color w:val="auto"/>
          <w:kern w:val="0"/>
          <w:szCs w:val="21"/>
          <w:highlight w:val="none"/>
          <w:lang w:val="en-US" w:eastAsia="zh-CN"/>
        </w:rPr>
        <w:t>03</w:t>
      </w:r>
      <w:r>
        <w:rPr>
          <w:rFonts w:hint="eastAsia" w:ascii="微软雅黑" w:hAnsi="微软雅黑" w:cs="Calibri"/>
          <w:color w:val="auto"/>
          <w:kern w:val="0"/>
          <w:szCs w:val="21"/>
          <w:highlight w:val="none"/>
          <w:lang w:eastAsia="zh-CN"/>
        </w:rPr>
        <w:t>号</w:t>
      </w:r>
    </w:p>
    <w:p w14:paraId="0682B28D">
      <w:pPr>
        <w:widowControl/>
        <w:spacing w:before="75" w:after="75" w:line="300" w:lineRule="atLeast"/>
        <w:ind w:firstLine="424" w:firstLineChars="202"/>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项目名称：</w:t>
      </w:r>
      <w:r>
        <w:rPr>
          <w:rFonts w:hint="eastAsia" w:ascii="微软雅黑" w:hAnsi="微软雅黑" w:cs="Arial"/>
          <w:color w:val="auto"/>
          <w:szCs w:val="21"/>
          <w:highlight w:val="none"/>
          <w:lang w:eastAsia="zh-CN"/>
        </w:rPr>
        <w:t>2025年嘉兴市文化艺术中心秀洲“三馆”融合运营服务项目</w:t>
      </w:r>
    </w:p>
    <w:p w14:paraId="7B70F8CE">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采购方式 ：公开招标</w:t>
      </w:r>
    </w:p>
    <w:p w14:paraId="50261208">
      <w:pPr>
        <w:widowControl/>
        <w:spacing w:before="75" w:after="75" w:line="300" w:lineRule="atLeast"/>
        <w:ind w:firstLine="424" w:firstLineChars="202"/>
        <w:rPr>
          <w:rFonts w:hint="default" w:ascii="微软雅黑" w:hAnsi="微软雅黑" w:cs="Calibri"/>
          <w:color w:val="auto"/>
          <w:kern w:val="0"/>
          <w:szCs w:val="21"/>
          <w:highlight w:val="none"/>
          <w:lang w:val="en-US" w:eastAsia="zh-CN"/>
        </w:rPr>
      </w:pPr>
      <w:r>
        <w:rPr>
          <w:rFonts w:hint="eastAsia" w:ascii="微软雅黑" w:hAnsi="微软雅黑" w:cs="Calibri"/>
          <w:color w:val="auto"/>
          <w:kern w:val="0"/>
          <w:szCs w:val="21"/>
          <w:highlight w:val="none"/>
        </w:rPr>
        <w:t>预算金额（元）：</w:t>
      </w:r>
      <w:r>
        <w:rPr>
          <w:rFonts w:hint="eastAsia" w:ascii="微软雅黑" w:hAnsi="微软雅黑" w:cs="Calibri"/>
          <w:color w:val="auto"/>
          <w:kern w:val="0"/>
          <w:szCs w:val="21"/>
          <w:highlight w:val="none"/>
          <w:lang w:val="en-US" w:eastAsia="zh-CN"/>
        </w:rPr>
        <w:t>6000000.00</w:t>
      </w:r>
    </w:p>
    <w:p w14:paraId="1C0905DC">
      <w:pPr>
        <w:widowControl/>
        <w:spacing w:before="75" w:after="75" w:line="300" w:lineRule="atLeast"/>
        <w:ind w:firstLine="424" w:firstLineChars="202"/>
        <w:rPr>
          <w:rFonts w:hint="eastAsia" w:ascii="微软雅黑" w:hAnsi="微软雅黑" w:cs="Calibri"/>
          <w:color w:val="auto"/>
          <w:kern w:val="0"/>
          <w:szCs w:val="21"/>
          <w:highlight w:val="none"/>
        </w:rPr>
      </w:pPr>
      <w:r>
        <w:rPr>
          <w:rFonts w:hint="eastAsia" w:ascii="微软雅黑" w:hAnsi="微软雅黑" w:cs="Calibri"/>
          <w:color w:val="auto"/>
          <w:kern w:val="0"/>
          <w:szCs w:val="21"/>
          <w:highlight w:val="none"/>
        </w:rPr>
        <w:t>最高限价（元）：</w:t>
      </w:r>
      <w:r>
        <w:rPr>
          <w:rFonts w:hint="eastAsia" w:ascii="微软雅黑" w:hAnsi="微软雅黑" w:cs="Calibri"/>
          <w:color w:val="auto"/>
          <w:kern w:val="0"/>
          <w:szCs w:val="21"/>
          <w:highlight w:val="none"/>
          <w:lang w:val="en-US" w:eastAsia="zh-CN"/>
        </w:rPr>
        <w:t>6000000.00</w:t>
      </w:r>
    </w:p>
    <w:p w14:paraId="48F3DD0E">
      <w:pPr>
        <w:widowControl/>
        <w:spacing w:before="75" w:after="75" w:line="300" w:lineRule="atLeast"/>
        <w:ind w:firstLine="424" w:firstLineChars="202"/>
        <w:rPr>
          <w:rFonts w:hint="eastAsia" w:ascii="微软雅黑" w:hAnsi="微软雅黑"/>
          <w:color w:val="auto"/>
          <w:highlight w:val="none"/>
        </w:rPr>
      </w:pPr>
      <w:r>
        <w:rPr>
          <w:rFonts w:hint="eastAsia" w:ascii="微软雅黑" w:hAnsi="微软雅黑"/>
          <w:color w:val="auto"/>
          <w:szCs w:val="21"/>
          <w:highlight w:val="none"/>
        </w:rPr>
        <w:t>采购需求：</w:t>
      </w:r>
      <w:r>
        <w:rPr>
          <w:rFonts w:hint="eastAsia" w:ascii="微软雅黑" w:hAnsi="微软雅黑" w:cs="Arial"/>
          <w:color w:val="auto"/>
          <w:kern w:val="0"/>
          <w:szCs w:val="21"/>
          <w:highlight w:val="none"/>
        </w:rPr>
        <w:t>嘉兴市秀洲区图书馆、秀洲农民画艺术馆、秀洲区非物质文化遗产馆“三馆”融合运营管理服务</w:t>
      </w:r>
      <w:r>
        <w:rPr>
          <w:rFonts w:hint="eastAsia" w:ascii="微软雅黑" w:hAnsi="微软雅黑"/>
          <w:color w:val="auto"/>
          <w:highlight w:val="none"/>
        </w:rPr>
        <w:t>。</w:t>
      </w:r>
    </w:p>
    <w:p w14:paraId="73938524">
      <w:pPr>
        <w:widowControl/>
        <w:spacing w:before="75" w:after="75" w:line="300" w:lineRule="atLeast"/>
        <w:ind w:firstLine="424" w:firstLineChars="202"/>
        <w:rPr>
          <w:rFonts w:hint="eastAsia" w:ascii="微软雅黑" w:hAnsi="微软雅黑"/>
          <w:color w:val="auto"/>
          <w:highlight w:val="none"/>
        </w:rPr>
      </w:pPr>
      <w:r>
        <w:rPr>
          <w:rFonts w:hint="eastAsia" w:ascii="微软雅黑" w:hAnsi="微软雅黑"/>
          <w:color w:val="auto"/>
          <w:highlight w:val="none"/>
        </w:rPr>
        <w:t>合同履约期限：详见招标项目要求。</w:t>
      </w:r>
    </w:p>
    <w:p w14:paraId="43082966">
      <w:pPr>
        <w:spacing w:line="540" w:lineRule="exact"/>
        <w:ind w:firstLine="424" w:firstLineChars="202"/>
        <w:rPr>
          <w:rFonts w:hint="eastAsia" w:ascii="微软雅黑" w:hAnsi="微软雅黑" w:cs="宋体"/>
          <w:color w:val="auto"/>
          <w:highlight w:val="none"/>
        </w:rPr>
      </w:pPr>
      <w:r>
        <w:rPr>
          <w:rFonts w:hint="eastAsia" w:ascii="微软雅黑" w:hAnsi="微软雅黑" w:cs="宋体"/>
          <w:color w:val="auto"/>
          <w:highlight w:val="none"/>
        </w:rPr>
        <w:t>本项目接受联合体投标：</w:t>
      </w:r>
      <w:r>
        <w:rPr>
          <w:rFonts w:hint="eastAsia" w:ascii="微软雅黑" w:hAnsi="微软雅黑" w:cs="宋体"/>
          <w:color w:val="auto"/>
          <w:highlight w:val="none"/>
        </w:rPr>
        <w:sym w:font="Wingdings" w:char="00A8"/>
      </w:r>
      <w:r>
        <w:rPr>
          <w:rFonts w:hint="eastAsia" w:ascii="微软雅黑" w:hAnsi="微软雅黑" w:cs="宋体"/>
          <w:color w:val="auto"/>
          <w:highlight w:val="none"/>
        </w:rPr>
        <w:t>是，</w:t>
      </w:r>
      <w:r>
        <w:rPr>
          <w:rFonts w:hint="eastAsia" w:ascii="微软雅黑" w:hAnsi="微软雅黑" w:cs="宋体"/>
          <w:color w:val="auto"/>
          <w:highlight w:val="none"/>
        </w:rPr>
        <w:sym w:font="Wingdings" w:char="00FE"/>
      </w:r>
      <w:r>
        <w:rPr>
          <w:rFonts w:hint="eastAsia" w:ascii="微软雅黑" w:hAnsi="微软雅黑" w:cs="宋体"/>
          <w:color w:val="auto"/>
          <w:highlight w:val="none"/>
        </w:rPr>
        <w:t>否。</w:t>
      </w:r>
    </w:p>
    <w:p w14:paraId="2274E9A2">
      <w:pPr>
        <w:widowControl/>
        <w:spacing w:before="75" w:after="75" w:line="360" w:lineRule="atLeast"/>
        <w:ind w:firstLine="0" w:firstLineChars="0"/>
        <w:outlineLvl w:val="1"/>
        <w:rPr>
          <w:rFonts w:hint="eastAsia" w:ascii="微软雅黑" w:hAnsi="微软雅黑" w:cs="Arial"/>
          <w:color w:val="auto"/>
          <w:kern w:val="0"/>
          <w:szCs w:val="21"/>
          <w:highlight w:val="none"/>
        </w:rPr>
      </w:pPr>
      <w:bookmarkStart w:id="10" w:name="_Toc32337"/>
      <w:r>
        <w:rPr>
          <w:rFonts w:hint="eastAsia" w:ascii="微软雅黑" w:hAnsi="微软雅黑" w:cs="Arial"/>
          <w:b/>
          <w:bCs/>
          <w:color w:val="auto"/>
          <w:kern w:val="0"/>
          <w:szCs w:val="21"/>
          <w:highlight w:val="none"/>
        </w:rPr>
        <w:t>二、申请人的资格要求：</w:t>
      </w:r>
      <w:bookmarkEnd w:id="10"/>
    </w:p>
    <w:p w14:paraId="2BC32940">
      <w:pPr>
        <w:ind w:firstLine="420"/>
        <w:rPr>
          <w:rFonts w:hint="eastAsia" w:ascii="微软雅黑" w:hAnsi="微软雅黑"/>
          <w:color w:val="auto"/>
          <w:szCs w:val="21"/>
          <w:highlight w:val="none"/>
        </w:rPr>
      </w:pPr>
      <w:r>
        <w:rPr>
          <w:rFonts w:hint="eastAsia" w:ascii="微软雅黑" w:hAnsi="微软雅黑"/>
          <w:color w:val="auto"/>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670DD3A">
      <w:pPr>
        <w:ind w:firstLine="420"/>
        <w:rPr>
          <w:rFonts w:hint="eastAsia" w:ascii="微软雅黑" w:hAnsi="微软雅黑"/>
          <w:color w:val="auto"/>
          <w:szCs w:val="21"/>
          <w:highlight w:val="none"/>
        </w:rPr>
      </w:pPr>
      <w:r>
        <w:rPr>
          <w:rFonts w:hint="eastAsia" w:ascii="微软雅黑" w:hAnsi="微软雅黑"/>
          <w:color w:val="auto"/>
          <w:szCs w:val="21"/>
          <w:highlight w:val="none"/>
        </w:rPr>
        <w:t>2.落实政府采购支持中小企业政策需满足的资格要求：</w:t>
      </w:r>
    </w:p>
    <w:p w14:paraId="3C612995">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2.1 </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无需落实；</w:t>
      </w:r>
    </w:p>
    <w:p w14:paraId="293E7AC7">
      <w:pPr>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2.2</w:t>
      </w: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rPr>
        <w:t>需要落实：</w:t>
      </w:r>
    </w:p>
    <w:p w14:paraId="7AA2ABE1">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2.2.1专门面向中小企业</w:t>
      </w:r>
    </w:p>
    <w:p w14:paraId="0A177B74">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货物全部由符合政策要求的中小企业制造，提供中小企业声明函；</w:t>
      </w:r>
    </w:p>
    <w:p w14:paraId="2B95B5F5">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货物全部由符合政策要求的小微企业制造，提供中小企业声明函；</w:t>
      </w:r>
    </w:p>
    <w:p w14:paraId="6DF6880D">
      <w:pPr>
        <w:ind w:firstLine="840" w:firstLineChars="40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服务全部由符合政策要求的中小企业承接，提供中小企业声明函；</w:t>
      </w:r>
    </w:p>
    <w:p w14:paraId="21996463">
      <w:pPr>
        <w:ind w:firstLine="420"/>
        <w:rPr>
          <w:rFonts w:hint="eastAsia" w:ascii="微软雅黑" w:hAnsi="微软雅黑"/>
          <w:color w:val="auto"/>
          <w:szCs w:val="21"/>
          <w:highlight w:val="none"/>
        </w:rPr>
      </w:pPr>
      <w:r>
        <w:rPr>
          <w:rFonts w:hint="eastAsia" w:ascii="微软雅黑" w:hAnsi="微软雅黑" w:cs="Arial"/>
          <w:color w:val="auto"/>
          <w:kern w:val="0"/>
          <w:szCs w:val="21"/>
          <w:highlight w:val="none"/>
        </w:rPr>
        <w:tab/>
      </w:r>
      <w:r>
        <w:rPr>
          <w:rFonts w:hint="eastAsia" w:ascii="微软雅黑" w:hAnsi="微软雅黑" w:cs="Arial"/>
          <w:color w:val="auto"/>
          <w:kern w:val="0"/>
          <w:szCs w:val="21"/>
          <w:highlight w:val="none"/>
        </w:rPr>
        <w:t xml:space="preserve">  </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服务全部由符合政策要求的小微企业承接，提供中小企业声明函；</w:t>
      </w:r>
    </w:p>
    <w:p w14:paraId="360E9B3D">
      <w:pPr>
        <w:ind w:firstLine="630" w:firstLineChars="300"/>
        <w:rPr>
          <w:rFonts w:hint="eastAsia" w:ascii="微软雅黑" w:hAnsi="微软雅黑"/>
          <w:color w:val="auto"/>
          <w:szCs w:val="21"/>
          <w:highlight w:val="none"/>
        </w:rPr>
      </w:pPr>
      <w:r>
        <w:rPr>
          <w:rFonts w:hint="eastAsia" w:ascii="微软雅黑" w:hAnsi="微软雅黑" w:cs="宋体"/>
          <w:color w:val="auto"/>
          <w:szCs w:val="21"/>
          <w:highlight w:val="none"/>
        </w:rPr>
        <w:t>2.2.2</w:t>
      </w: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olor w:val="auto"/>
          <w:szCs w:val="21"/>
          <w:highlight w:val="none"/>
        </w:rPr>
        <w:t>要求以联合体形式参加，提供联合协议和中小企业声明函，联合协议中中小企业合同金额应当达到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%（不得低于70%）;如果供应商本身提供所有标的均由中小企业制造、承建或承接，视同符合了资格条件，无需再与其他中小企业组成联合体参加政府采购活动，无需提供联合协议；</w:t>
      </w:r>
    </w:p>
    <w:p w14:paraId="208E09DA">
      <w:pPr>
        <w:ind w:firstLine="630" w:firstLineChars="300"/>
        <w:rPr>
          <w:rFonts w:hint="eastAsia" w:ascii="微软雅黑" w:hAnsi="微软雅黑"/>
          <w:color w:val="auto"/>
          <w:szCs w:val="21"/>
          <w:highlight w:val="none"/>
        </w:rPr>
      </w:pPr>
      <w:r>
        <w:rPr>
          <w:rFonts w:hint="eastAsia" w:ascii="微软雅黑" w:hAnsi="微软雅黑"/>
          <w:color w:val="auto"/>
          <w:szCs w:val="21"/>
          <w:highlight w:val="none"/>
        </w:rPr>
        <w:t>2.2.3</w:t>
      </w:r>
      <w:r>
        <w:rPr>
          <w:rFonts w:hint="eastAsia" w:ascii="微软雅黑" w:hAnsi="微软雅黑"/>
          <w:color w:val="auto"/>
          <w:szCs w:val="21"/>
          <w:highlight w:val="none"/>
        </w:rPr>
        <w:sym w:font="Wingdings" w:char="00A8"/>
      </w:r>
      <w:r>
        <w:rPr>
          <w:rFonts w:hint="eastAsia" w:ascii="微软雅黑" w:hAnsi="微软雅黑"/>
          <w:color w:val="auto"/>
          <w:szCs w:val="21"/>
          <w:highlight w:val="none"/>
        </w:rPr>
        <w:t>要求合同分包，提供分包意向协议和中小企业声明函，分包意向协议中中小企业合同金额应当达到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（不得低于40%），其中小微企业合同金额应当达到</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 （不得低于70%）;如果供应商本身提供所有标的均由中小企业制造、承建或承接，视同符合了资格条件，无需再向中小企业分包，无需提供分包意向协议；</w:t>
      </w:r>
    </w:p>
    <w:p w14:paraId="5C5D9D44">
      <w:pPr>
        <w:ind w:firstLine="420"/>
        <w:rPr>
          <w:rFonts w:hint="eastAsia" w:ascii="微软雅黑" w:hAnsi="微软雅黑"/>
          <w:color w:val="auto"/>
          <w:szCs w:val="21"/>
          <w:highlight w:val="none"/>
        </w:rPr>
      </w:pPr>
      <w:r>
        <w:rPr>
          <w:rFonts w:hint="eastAsia" w:ascii="微软雅黑" w:hAnsi="微软雅黑"/>
          <w:color w:val="auto"/>
          <w:szCs w:val="21"/>
          <w:highlight w:val="none"/>
        </w:rPr>
        <w:t>3.本项目的特定资格要求：</w:t>
      </w:r>
      <w:r>
        <w:rPr>
          <w:rFonts w:hint="eastAsia" w:ascii="微软雅黑" w:hAnsi="微软雅黑"/>
          <w:color w:val="auto"/>
          <w:szCs w:val="21"/>
          <w:highlight w:val="none"/>
          <w:u w:val="single"/>
        </w:rPr>
        <w:t xml:space="preserve"> 无</w:t>
      </w:r>
      <w:r>
        <w:rPr>
          <w:rFonts w:ascii="微软雅黑" w:hAnsi="微软雅黑"/>
          <w:color w:val="auto"/>
          <w:szCs w:val="21"/>
          <w:highlight w:val="none"/>
          <w:u w:val="single"/>
        </w:rPr>
        <w:t> </w:t>
      </w:r>
      <w:r>
        <w:rPr>
          <w:rFonts w:hint="eastAsia" w:ascii="微软雅黑" w:hAnsi="微软雅黑"/>
          <w:color w:val="auto"/>
          <w:szCs w:val="21"/>
          <w:highlight w:val="none"/>
        </w:rPr>
        <w:t>；</w:t>
      </w:r>
    </w:p>
    <w:p w14:paraId="15BAA191">
      <w:pPr>
        <w:ind w:firstLine="420"/>
        <w:rPr>
          <w:rFonts w:hint="eastAsia" w:ascii="微软雅黑" w:hAnsi="微软雅黑"/>
          <w:color w:val="auto"/>
          <w:szCs w:val="21"/>
          <w:highlight w:val="none"/>
        </w:rPr>
      </w:pPr>
      <w:r>
        <w:rPr>
          <w:rFonts w:hint="eastAsia" w:ascii="微软雅黑" w:hAnsi="微软雅黑"/>
          <w:color w:val="auto"/>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A8946D">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1" w:name="_Toc14749"/>
      <w:r>
        <w:rPr>
          <w:rFonts w:hint="eastAsia" w:ascii="微软雅黑" w:hAnsi="微软雅黑" w:cs="Arial"/>
          <w:b/>
          <w:bCs/>
          <w:color w:val="auto"/>
          <w:kern w:val="0"/>
          <w:szCs w:val="21"/>
          <w:highlight w:val="none"/>
        </w:rPr>
        <w:t>三、获取招标文件</w:t>
      </w:r>
      <w:r>
        <w:rPr>
          <w:rFonts w:ascii="微软雅黑" w:hAnsi="微软雅黑" w:cs="Calibri"/>
          <w:color w:val="auto"/>
          <w:kern w:val="0"/>
          <w:szCs w:val="21"/>
          <w:highlight w:val="none"/>
        </w:rPr>
        <w:t> </w:t>
      </w:r>
      <w:bookmarkEnd w:id="11"/>
    </w:p>
    <w:p w14:paraId="3AAA56F1">
      <w:pPr>
        <w:spacing w:line="540" w:lineRule="exact"/>
        <w:ind w:firstLine="420"/>
        <w:rPr>
          <w:rFonts w:hint="default" w:ascii="微软雅黑" w:hAnsi="微软雅黑" w:eastAsia="微软雅黑"/>
          <w:color w:val="auto"/>
          <w:highlight w:val="none"/>
          <w:lang w:val="en-US" w:eastAsia="zh-CN"/>
        </w:rPr>
      </w:pPr>
      <w:r>
        <w:rPr>
          <w:rFonts w:hint="eastAsia" w:ascii="微软雅黑" w:hAnsi="微软雅黑" w:cs="Calibri"/>
          <w:color w:val="auto"/>
          <w:kern w:val="0"/>
          <w:szCs w:val="21"/>
          <w:highlight w:val="none"/>
        </w:rPr>
        <w:t> </w:t>
      </w:r>
      <w:r>
        <w:rPr>
          <w:rFonts w:hint="eastAsia" w:ascii="微软雅黑" w:hAnsi="微软雅黑"/>
          <w:color w:val="auto"/>
          <w:highlight w:val="none"/>
        </w:rPr>
        <w:t>时间：</w:t>
      </w:r>
      <w:r>
        <w:rPr>
          <w:rFonts w:hint="eastAsia" w:ascii="微软雅黑" w:hAnsi="微软雅黑"/>
          <w:color w:val="auto"/>
          <w:highlight w:val="none"/>
          <w:lang w:eastAsia="zh-CN"/>
        </w:rPr>
        <w:t>2025年</w:t>
      </w:r>
      <w:r>
        <w:rPr>
          <w:rFonts w:hint="eastAsia" w:ascii="微软雅黑" w:hAnsi="微软雅黑"/>
          <w:color w:val="auto"/>
          <w:highlight w:val="none"/>
          <w:lang w:val="en-US" w:eastAsia="zh-CN"/>
        </w:rPr>
        <w:t>03</w:t>
      </w:r>
      <w:r>
        <w:rPr>
          <w:rFonts w:hint="eastAsia" w:ascii="微软雅黑" w:hAnsi="微软雅黑"/>
          <w:color w:val="auto"/>
          <w:highlight w:val="none"/>
        </w:rPr>
        <w:t>月</w:t>
      </w:r>
      <w:r>
        <w:rPr>
          <w:rFonts w:hint="eastAsia" w:ascii="微软雅黑" w:hAnsi="微软雅黑"/>
          <w:color w:val="auto"/>
          <w:highlight w:val="none"/>
          <w:lang w:val="en-US" w:eastAsia="zh-CN"/>
        </w:rPr>
        <w:t>07</w:t>
      </w:r>
      <w:r>
        <w:rPr>
          <w:rFonts w:hint="eastAsia" w:ascii="微软雅黑" w:hAnsi="微软雅黑"/>
          <w:color w:val="auto"/>
          <w:highlight w:val="none"/>
        </w:rPr>
        <w:t>日至</w:t>
      </w:r>
      <w:r>
        <w:rPr>
          <w:rFonts w:ascii="微软雅黑" w:hAnsi="微软雅黑" w:cs="Arial"/>
          <w:color w:val="auto"/>
          <w:szCs w:val="21"/>
          <w:highlight w:val="none"/>
        </w:rPr>
        <w:t> </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lang w:eastAsia="zh-CN"/>
        </w:rPr>
        <w:t>2025年</w:t>
      </w:r>
      <w:r>
        <w:rPr>
          <w:rFonts w:hint="eastAsia" w:ascii="微软雅黑" w:hAnsi="微软雅黑" w:cs="Arial"/>
          <w:color w:val="auto"/>
          <w:sz w:val="21"/>
          <w:szCs w:val="21"/>
          <w:highlight w:val="none"/>
          <w:lang w:val="en-US" w:eastAsia="zh-CN"/>
        </w:rPr>
        <w:t>03</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28</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09</w:t>
      </w:r>
      <w:r>
        <w:rPr>
          <w:rFonts w:hint="eastAsia" w:ascii="微软雅黑" w:hAnsi="微软雅黑" w:cs="Arial"/>
          <w:color w:val="auto"/>
          <w:sz w:val="21"/>
          <w:szCs w:val="21"/>
          <w:highlight w:val="none"/>
          <w:lang w:eastAsia="zh-CN"/>
        </w:rPr>
        <w:t>：</w:t>
      </w:r>
      <w:r>
        <w:rPr>
          <w:rFonts w:hint="eastAsia" w:ascii="微软雅黑" w:hAnsi="微软雅黑" w:cs="Arial"/>
          <w:color w:val="auto"/>
          <w:sz w:val="21"/>
          <w:szCs w:val="21"/>
          <w:highlight w:val="none"/>
          <w:lang w:val="en-US" w:eastAsia="zh-CN"/>
        </w:rPr>
        <w:t>30</w:t>
      </w:r>
    </w:p>
    <w:p w14:paraId="6950EEAB">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地点（网址）：政采云平台（https://www.zcygov.cn/） </w:t>
      </w:r>
    </w:p>
    <w:p w14:paraId="08989F66">
      <w:pPr>
        <w:spacing w:line="540" w:lineRule="exact"/>
        <w:ind w:firstLine="420"/>
        <w:rPr>
          <w:rFonts w:hint="eastAsia" w:ascii="微软雅黑" w:hAnsi="微软雅黑"/>
          <w:strike/>
          <w:color w:val="auto"/>
          <w:highlight w:val="none"/>
        </w:rPr>
      </w:pPr>
      <w:r>
        <w:rPr>
          <w:rFonts w:hint="eastAsia" w:ascii="微软雅黑" w:hAnsi="微软雅黑" w:cs="宋体"/>
          <w:color w:val="auto"/>
          <w:highlight w:val="none"/>
        </w:rPr>
        <w:t>方式：供应商登录政采云平台https://www.zcygov.cn/在线申请获取招标文件（进入“项目采购”应用，在获取招标文件菜单中选择项目，申请获取招标文件）。</w:t>
      </w:r>
    </w:p>
    <w:p w14:paraId="03F52077">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售价：免费。</w:t>
      </w:r>
    </w:p>
    <w:p w14:paraId="76CF3C46">
      <w:pPr>
        <w:widowControl/>
        <w:spacing w:before="75" w:after="75" w:line="300" w:lineRule="atLeast"/>
        <w:ind w:firstLine="0" w:firstLineChars="0"/>
        <w:outlineLvl w:val="1"/>
        <w:rPr>
          <w:rFonts w:hint="eastAsia" w:ascii="微软雅黑" w:hAnsi="微软雅黑" w:cs="Arial"/>
          <w:color w:val="auto"/>
          <w:kern w:val="0"/>
          <w:szCs w:val="21"/>
          <w:highlight w:val="none"/>
        </w:rPr>
      </w:pPr>
      <w:bookmarkStart w:id="12" w:name="_Toc22530"/>
      <w:r>
        <w:rPr>
          <w:rFonts w:hint="eastAsia" w:ascii="微软雅黑" w:hAnsi="微软雅黑" w:cs="Arial"/>
          <w:b/>
          <w:bCs/>
          <w:color w:val="auto"/>
          <w:kern w:val="0"/>
          <w:szCs w:val="21"/>
          <w:highlight w:val="none"/>
        </w:rPr>
        <w:t>四、提交投标文件截止时间、开标时间和地点</w:t>
      </w:r>
      <w:bookmarkEnd w:id="12"/>
    </w:p>
    <w:p w14:paraId="635230A2">
      <w:pPr>
        <w:spacing w:line="540" w:lineRule="exact"/>
        <w:ind w:firstLine="420"/>
        <w:rPr>
          <w:rFonts w:hint="eastAsia" w:ascii="微软雅黑" w:hAnsi="微软雅黑"/>
          <w:color w:val="auto"/>
          <w:highlight w:val="none"/>
        </w:rPr>
      </w:pPr>
      <w:r>
        <w:rPr>
          <w:rFonts w:ascii="微软雅黑" w:hAnsi="微软雅黑" w:cs="Arial"/>
          <w:color w:val="auto"/>
          <w:sz w:val="21"/>
          <w:szCs w:val="21"/>
          <w:highlight w:val="none"/>
        </w:rPr>
        <w:t>  </w:t>
      </w:r>
      <w:r>
        <w:rPr>
          <w:rFonts w:hint="eastAsia" w:ascii="微软雅黑" w:hAnsi="微软雅黑" w:cs="Arial"/>
          <w:color w:val="auto"/>
          <w:sz w:val="21"/>
          <w:szCs w:val="21"/>
          <w:highlight w:val="none"/>
          <w:lang w:eastAsia="zh-CN"/>
        </w:rPr>
        <w:t>2025年</w:t>
      </w:r>
      <w:r>
        <w:rPr>
          <w:rFonts w:hint="eastAsia" w:ascii="微软雅黑" w:hAnsi="微软雅黑" w:cs="Arial"/>
          <w:color w:val="auto"/>
          <w:sz w:val="21"/>
          <w:szCs w:val="21"/>
          <w:highlight w:val="none"/>
          <w:lang w:val="en-US" w:eastAsia="zh-CN"/>
        </w:rPr>
        <w:t>03</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28</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09</w:t>
      </w:r>
      <w:r>
        <w:rPr>
          <w:rFonts w:hint="eastAsia" w:ascii="微软雅黑" w:hAnsi="微软雅黑" w:cs="Arial"/>
          <w:color w:val="auto"/>
          <w:sz w:val="21"/>
          <w:szCs w:val="21"/>
          <w:highlight w:val="none"/>
          <w:lang w:eastAsia="zh-CN"/>
        </w:rPr>
        <w:t>：</w:t>
      </w:r>
      <w:r>
        <w:rPr>
          <w:rFonts w:hint="eastAsia" w:ascii="微软雅黑" w:hAnsi="微软雅黑" w:cs="Arial"/>
          <w:color w:val="auto"/>
          <w:sz w:val="21"/>
          <w:szCs w:val="21"/>
          <w:highlight w:val="none"/>
          <w:lang w:val="en-US" w:eastAsia="zh-CN"/>
        </w:rPr>
        <w:t>30</w:t>
      </w:r>
      <w:r>
        <w:rPr>
          <w:rFonts w:hint="eastAsia" w:ascii="微软雅黑" w:hAnsi="微软雅黑" w:cs="Arial"/>
          <w:color w:val="auto"/>
          <w:sz w:val="21"/>
          <w:szCs w:val="21"/>
          <w:highlight w:val="none"/>
        </w:rPr>
        <w:t>（北京时间）</w:t>
      </w:r>
    </w:p>
    <w:p w14:paraId="0C9B99A0">
      <w:pPr>
        <w:spacing w:line="540" w:lineRule="exact"/>
        <w:ind w:firstLine="420"/>
        <w:rPr>
          <w:rFonts w:hint="eastAsia" w:ascii="微软雅黑" w:hAnsi="微软雅黑" w:cs="Arial"/>
          <w:color w:val="auto"/>
          <w:kern w:val="0"/>
          <w:szCs w:val="21"/>
          <w:highlight w:val="none"/>
        </w:rPr>
      </w:pPr>
      <w:r>
        <w:rPr>
          <w:rFonts w:hint="eastAsia" w:ascii="微软雅黑" w:hAnsi="微软雅黑"/>
          <w:color w:val="auto"/>
          <w:highlight w:val="none"/>
        </w:rPr>
        <w:t>地点（网址）：政采云平台（https://www.zcygov.cn/）</w:t>
      </w:r>
      <w:r>
        <w:rPr>
          <w:rFonts w:ascii="微软雅黑" w:hAnsi="微软雅黑" w:cs="Calibri"/>
          <w:color w:val="auto"/>
          <w:kern w:val="0"/>
          <w:szCs w:val="21"/>
          <w:highlight w:val="none"/>
        </w:rPr>
        <w:t>  </w:t>
      </w:r>
    </w:p>
    <w:p w14:paraId="6BE5D9FC">
      <w:pPr>
        <w:widowControl/>
        <w:spacing w:before="255" w:after="255" w:line="300" w:lineRule="atLeast"/>
        <w:ind w:firstLine="0" w:firstLineChars="0"/>
        <w:jc w:val="both"/>
        <w:outlineLvl w:val="1"/>
        <w:rPr>
          <w:rFonts w:hint="eastAsia" w:ascii="微软雅黑" w:hAnsi="微软雅黑" w:cs="Arial"/>
          <w:color w:val="auto"/>
          <w:kern w:val="0"/>
          <w:szCs w:val="21"/>
          <w:highlight w:val="none"/>
        </w:rPr>
      </w:pPr>
      <w:bookmarkStart w:id="13" w:name="_Toc26663"/>
      <w:r>
        <w:rPr>
          <w:rFonts w:hint="eastAsia" w:ascii="微软雅黑" w:hAnsi="微软雅黑" w:cs="Arial"/>
          <w:b/>
          <w:bCs/>
          <w:color w:val="auto"/>
          <w:kern w:val="0"/>
          <w:szCs w:val="21"/>
          <w:highlight w:val="none"/>
        </w:rPr>
        <w:t>五、公告期限</w:t>
      </w:r>
      <w:r>
        <w:rPr>
          <w:rFonts w:ascii="微软雅黑" w:hAnsi="微软雅黑" w:cs="Calibri"/>
          <w:color w:val="auto"/>
          <w:kern w:val="0"/>
          <w:szCs w:val="21"/>
          <w:highlight w:val="none"/>
        </w:rPr>
        <w:t> </w:t>
      </w:r>
      <w:bookmarkEnd w:id="13"/>
    </w:p>
    <w:p w14:paraId="00771D70">
      <w:pPr>
        <w:widowControl/>
        <w:spacing w:before="75" w:after="75" w:line="240" w:lineRule="auto"/>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自本公告发布之日起5个工作日。</w:t>
      </w:r>
    </w:p>
    <w:p w14:paraId="46C3B27E">
      <w:pPr>
        <w:widowControl/>
        <w:spacing w:before="255" w:after="255" w:line="300" w:lineRule="atLeast"/>
        <w:ind w:firstLine="0" w:firstLineChars="0"/>
        <w:jc w:val="both"/>
        <w:outlineLvl w:val="1"/>
        <w:rPr>
          <w:rFonts w:hint="eastAsia" w:ascii="微软雅黑" w:hAnsi="微软雅黑" w:cs="Arial"/>
          <w:b/>
          <w:bCs/>
          <w:color w:val="auto"/>
          <w:kern w:val="0"/>
          <w:szCs w:val="21"/>
          <w:highlight w:val="none"/>
        </w:rPr>
      </w:pPr>
      <w:bookmarkStart w:id="14" w:name="_Toc8493"/>
      <w:r>
        <w:rPr>
          <w:rFonts w:hint="eastAsia" w:ascii="微软雅黑" w:hAnsi="微软雅黑" w:cs="Arial"/>
          <w:b/>
          <w:bCs/>
          <w:color w:val="auto"/>
          <w:kern w:val="0"/>
          <w:szCs w:val="21"/>
          <w:highlight w:val="none"/>
        </w:rPr>
        <w:t>六、其他补充事宜</w:t>
      </w:r>
      <w:bookmarkEnd w:id="14"/>
    </w:p>
    <w:p w14:paraId="7A5813CC">
      <w:pPr>
        <w:spacing w:line="540" w:lineRule="exact"/>
        <w:ind w:firstLine="420"/>
        <w:rPr>
          <w:rFonts w:hint="eastAsia" w:ascii="微软雅黑" w:hAnsi="微软雅黑"/>
          <w:color w:val="auto"/>
          <w:highlight w:val="none"/>
        </w:rPr>
      </w:pPr>
      <w:r>
        <w:rPr>
          <w:rFonts w:hint="eastAsia" w:ascii="微软雅黑" w:hAnsi="微软雅黑" w:cs="宋体"/>
          <w:color w:val="auto"/>
          <w:highlight w:val="none"/>
        </w:rPr>
        <w:t>1.</w:t>
      </w:r>
      <w:r>
        <w:rPr>
          <w:rFonts w:hint="eastAsia" w:ascii="微软雅黑" w:hAnsi="微软雅黑"/>
          <w:color w:val="auto"/>
          <w:highlight w:val="none"/>
        </w:rPr>
        <w:t>供应商认为招标文件、采购过程、中标或者成交结果使自己的权益受到损害的，可以在知道或者应知其权益受到损害之日起7个工作日内，</w:t>
      </w:r>
      <w:r>
        <w:rPr>
          <w:rFonts w:hint="eastAsia" w:ascii="微软雅黑" w:hAnsi="微软雅黑" w:cs="宋体"/>
          <w:color w:val="auto"/>
          <w:highlight w:val="none"/>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5E0887">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2.其他事项：</w:t>
      </w:r>
    </w:p>
    <w:p w14:paraId="567BBBF3">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（1）需要落实的政府采购政策：包括节约资源、保护环境、支持创新、促进中小企业发展等。</w:t>
      </w:r>
    </w:p>
    <w:p w14:paraId="32BD5151">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（2）电子招投标的说明：</w:t>
      </w:r>
    </w:p>
    <w:p w14:paraId="04921AC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①电子招投标：本项目以数据电文形式，依托“政府采购云平台（www.zcygov.cn）”进行招投标活动，不接受纸质投标文件；</w:t>
      </w:r>
    </w:p>
    <w:p w14:paraId="650E9551">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cs="宋体"/>
          <w:b/>
          <w:bCs/>
          <w:color w:val="auto"/>
          <w:highlight w:val="none"/>
        </w:rPr>
        <w:t>中标供应商在签订合同前，如不完成注册，视为放弃</w:t>
      </w:r>
      <w:r>
        <w:rPr>
          <w:rFonts w:hint="eastAsia" w:ascii="微软雅黑" w:hAnsi="微软雅黑" w:cs="宋体"/>
          <w:color w:val="auto"/>
          <w:highlight w:val="none"/>
        </w:rPr>
        <w:t>；</w:t>
      </w:r>
    </w:p>
    <w:p w14:paraId="704EBABD">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CA驱动和申领流程</w:t>
      </w:r>
    </w:p>
    <w:p w14:paraId="70A53B3E">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 xml:space="preserve">https://zfcg.czt.zj.gov.cn/bidClientTemplate/2019-05-27/12945.html    </w:t>
      </w:r>
    </w:p>
    <w:p w14:paraId="26C4368A">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注：ＣＡ证书遗失补办、延期、解锁、质保等业务可以在联连客户端上进行操作；使用政采云投标客户端时，建议使用windows7以上且64位的操作系统。</w:t>
      </w:r>
    </w:p>
    <w:p w14:paraId="07239A1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CA证书办理操作视频</w:t>
      </w:r>
    </w:p>
    <w:p w14:paraId="578DB466">
      <w:pPr>
        <w:spacing w:before="120" w:beforeLines="50" w:after="120" w:afterLines="50" w:line="276" w:lineRule="auto"/>
        <w:ind w:firstLine="420"/>
        <w:rPr>
          <w:rStyle w:val="62"/>
          <w:rFonts w:hint="eastAsia" w:ascii="微软雅黑" w:hAnsi="微软雅黑"/>
          <w:color w:val="auto"/>
          <w:szCs w:val="22"/>
          <w:highlight w:val="none"/>
        </w:rPr>
      </w:pPr>
      <w:r>
        <w:rPr>
          <w:rStyle w:val="62"/>
          <w:rFonts w:hint="eastAsia" w:ascii="微软雅黑" w:hAnsi="微软雅黑"/>
          <w:color w:val="auto"/>
          <w:szCs w:val="22"/>
          <w:highlight w:val="none"/>
        </w:rPr>
        <w:t>https://service.zcygov.cn/#/knowledges/UgcbC3EBiyELHE-opz1b/EWqqyXEByNnJ3A2CPyDI</w:t>
      </w:r>
    </w:p>
    <w:p w14:paraId="02C218CF">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CA绑定登录操作视频</w:t>
      </w:r>
    </w:p>
    <w:p w14:paraId="36B4B848">
      <w:pPr>
        <w:spacing w:before="120" w:beforeLines="50" w:after="120" w:afterLines="50" w:line="276" w:lineRule="auto"/>
        <w:ind w:firstLine="420"/>
        <w:rPr>
          <w:rFonts w:hint="eastAsia" w:ascii="微软雅黑" w:hAnsi="微软雅黑"/>
          <w:color w:val="auto"/>
          <w:highlight w:val="none"/>
        </w:rPr>
      </w:pPr>
      <w:r>
        <w:rPr>
          <w:rStyle w:val="62"/>
          <w:rFonts w:hint="eastAsia" w:ascii="微软雅黑" w:hAnsi="微软雅黑"/>
          <w:color w:val="auto"/>
          <w:szCs w:val="22"/>
          <w:highlight w:val="none"/>
        </w:rPr>
        <w:t>https://service.zcygov.cn/#/knowledges/UgcbC3EBiyELHE-opz1b/nAkmyXEBiyELHE-o-983</w:t>
      </w:r>
    </w:p>
    <w:p w14:paraId="78032E94">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③招标文件的获取：使用账号登录或者使用CA登录政采云平台；进入“项目采购”应用，在获取招标文件菜单中选择项目，获取招标文件；</w:t>
      </w:r>
    </w:p>
    <w:p w14:paraId="452556A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④投标文件的制作：在“政采云电子交易客户端”中完成“填写基本信息”、“导入投标文件”、“标书关联”、“标书检查”、“电子签名”、“生成电子标书”等操作；</w:t>
      </w:r>
    </w:p>
    <w:p w14:paraId="316CF038">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 xml:space="preserve">⑤采购人、采购机构将依托政采云平台完成本项目的电子交易活动，平台不接受未按上述方式获取招标文件的供应商进行投标活动； </w:t>
      </w:r>
    </w:p>
    <w:p w14:paraId="0A33E094">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⑥对未按上述方式获取招标文件的供应商对该文件提出的质疑，采购人或采购代理机构将不予处理；</w:t>
      </w:r>
    </w:p>
    <w:p w14:paraId="372BA805">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⑦不提供招标文件纸质版；</w:t>
      </w:r>
    </w:p>
    <w:p w14:paraId="27D81E9F">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⑧投标文件的传输递交：投标供应商在投标截止时间前将加密的投标文件上传至政府采购云平台，同时可在投标截止时间前将政采云平台上最后生成的具备电子签章的备份电子标文件</w:t>
      </w:r>
      <w:r>
        <w:rPr>
          <w:rFonts w:hint="eastAsia" w:ascii="微软雅黑" w:hAnsi="微软雅黑" w:cs="宋体"/>
          <w:b/>
          <w:bCs/>
          <w:color w:val="auto"/>
          <w:highlight w:val="none"/>
          <w:shd w:val="clear" w:color="FFFFFF" w:fill="D9D9D9"/>
          <w:lang w:eastAsia="zh-CN"/>
        </w:rPr>
        <w:t>（</w:t>
      </w:r>
      <w:r>
        <w:rPr>
          <w:rFonts w:hint="eastAsia" w:ascii="微软雅黑" w:hAnsi="微软雅黑" w:cs="宋体"/>
          <w:b/>
          <w:bCs/>
          <w:color w:val="auto"/>
          <w:highlight w:val="none"/>
          <w:shd w:val="clear" w:color="FFFFFF" w:fill="D9D9D9"/>
          <w:lang w:val="en-US" w:eastAsia="zh-CN"/>
        </w:rPr>
        <w:t>非强制要求）</w:t>
      </w:r>
      <w:r>
        <w:rPr>
          <w:rFonts w:hint="eastAsia" w:ascii="微软雅黑" w:hAnsi="微软雅黑" w:cs="宋体"/>
          <w:color w:val="auto"/>
          <w:highlight w:val="none"/>
        </w:rPr>
        <w:t>1份下载至U盘，直接提交或者以</w:t>
      </w:r>
      <w:r>
        <w:rPr>
          <w:rFonts w:hint="eastAsia" w:ascii="微软雅黑" w:hAnsi="微软雅黑" w:cs="宋体"/>
          <w:b/>
          <w:bCs/>
          <w:color w:val="auto"/>
          <w:highlight w:val="none"/>
          <w:u w:val="single"/>
        </w:rPr>
        <w:t>快递</w:t>
      </w:r>
      <w:r>
        <w:rPr>
          <w:rFonts w:hint="eastAsia" w:ascii="微软雅黑" w:hAnsi="微软雅黑" w:cs="宋体"/>
          <w:color w:val="auto"/>
          <w:highlight w:val="none"/>
        </w:rPr>
        <w:t>方式递交【地址：嘉兴市秀洲区新平路299号中禾广场</w:t>
      </w:r>
      <w:r>
        <w:rPr>
          <w:rFonts w:hint="eastAsia" w:ascii="微软雅黑" w:hAnsi="微软雅黑" w:cs="宋体"/>
          <w:color w:val="auto"/>
          <w:highlight w:val="none"/>
          <w:lang w:val="en-US" w:eastAsia="zh-CN"/>
        </w:rPr>
        <w:t>17A楼政府采购办公室</w:t>
      </w:r>
      <w:r>
        <w:rPr>
          <w:rFonts w:hint="eastAsia" w:ascii="微软雅黑" w:hAnsi="微软雅黑" w:cs="宋体"/>
          <w:color w:val="auto"/>
          <w:highlight w:val="none"/>
        </w:rPr>
        <w:t>；收件人：章莉莉；电话：13605735186；快递寄出同时，项目被授权代表须以邮件方式将快递单号、项目名称、公司名称、被授权代表姓名及联系方式等内容（邮件格式为：</w:t>
      </w:r>
      <w:r>
        <w:rPr>
          <w:color w:val="auto"/>
          <w:highlight w:val="none"/>
        </w:rPr>
        <w:fldChar w:fldCharType="begin"/>
      </w:r>
      <w:r>
        <w:rPr>
          <w:color w:val="auto"/>
          <w:highlight w:val="none"/>
        </w:rPr>
        <w:instrText xml:space="preserve"> HYPERLINK "mailto:项目编号+快递单号+公司名称+被授权代表姓名及联系方式）发代理机构联系人邮箱1450912653@qq.com)】" </w:instrText>
      </w:r>
      <w:r>
        <w:rPr>
          <w:color w:val="auto"/>
          <w:highlight w:val="none"/>
        </w:rPr>
        <w:fldChar w:fldCharType="separate"/>
      </w:r>
      <w:r>
        <w:rPr>
          <w:rStyle w:val="62"/>
          <w:rFonts w:hint="eastAsia" w:ascii="微软雅黑" w:hAnsi="微软雅黑" w:cs="宋体"/>
          <w:color w:val="auto"/>
          <w:highlight w:val="none"/>
        </w:rPr>
        <w:t>项目编号+快递单号+公司名称+被授权代表姓名及联系方式）发代理机构联系人邮箱1450912653@qq.com)】</w:t>
      </w:r>
      <w:r>
        <w:rPr>
          <w:rStyle w:val="62"/>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19F317BF">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3BC09D6D">
      <w:pPr>
        <w:spacing w:line="540" w:lineRule="exact"/>
        <w:ind w:firstLine="420"/>
        <w:rPr>
          <w:rFonts w:hint="eastAsia" w:ascii="微软雅黑" w:hAnsi="微软雅黑" w:cs="宋体"/>
          <w:b/>
          <w:bCs/>
          <w:color w:val="auto"/>
          <w:highlight w:val="none"/>
        </w:rPr>
      </w:pPr>
      <w:r>
        <w:rPr>
          <w:rFonts w:hint="eastAsia" w:ascii="微软雅黑" w:hAnsi="微软雅黑" w:cs="宋体"/>
          <w:b/>
          <w:bCs/>
          <w:color w:val="auto"/>
          <w:highlight w:val="none"/>
        </w:rPr>
        <w:t>投标供应商递交的备份投标文件，出现下列情况之一的，将被拒收：</w:t>
      </w:r>
    </w:p>
    <w:p w14:paraId="221F5C4E">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未按规定密封或标记的；</w:t>
      </w:r>
    </w:p>
    <w:p w14:paraId="3EFB6EDA">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由于包装不妥，在送交途中严重破损或失散的；</w:t>
      </w:r>
    </w:p>
    <w:p w14:paraId="78D78B13">
      <w:pPr>
        <w:spacing w:line="540" w:lineRule="exact"/>
        <w:ind w:firstLine="420"/>
        <w:rPr>
          <w:rFonts w:hint="eastAsia" w:ascii="微软雅黑" w:hAnsi="微软雅黑" w:cs="宋体"/>
          <w:color w:val="auto"/>
          <w:highlight w:val="none"/>
        </w:rPr>
      </w:pPr>
      <w:r>
        <w:rPr>
          <w:rFonts w:hint="eastAsia" w:ascii="微软雅黑" w:hAnsi="微软雅黑" w:cs="汉仪大黑简"/>
          <w:color w:val="auto"/>
          <w:highlight w:val="none"/>
        </w:rPr>
        <w:t>·</w:t>
      </w:r>
      <w:r>
        <w:rPr>
          <w:rFonts w:hint="eastAsia" w:ascii="微软雅黑" w:hAnsi="微软雅黑" w:cs="宋体"/>
          <w:color w:val="auto"/>
          <w:highlight w:val="none"/>
        </w:rPr>
        <w:t>超过投标截止时间送达的；</w:t>
      </w:r>
    </w:p>
    <w:p w14:paraId="2A5E9E01">
      <w:pPr>
        <w:spacing w:line="540" w:lineRule="exact"/>
        <w:ind w:firstLine="420"/>
        <w:rPr>
          <w:rFonts w:hint="eastAsia" w:ascii="微软雅黑" w:hAnsi="微软雅黑" w:cs="宋体"/>
          <w:color w:val="auto"/>
          <w:highlight w:val="none"/>
        </w:rPr>
      </w:pPr>
      <w:r>
        <w:rPr>
          <w:rFonts w:hint="eastAsia" w:ascii="微软雅黑" w:hAnsi="微软雅黑"/>
          <w:color w:val="auto"/>
          <w:highlight w:val="none"/>
        </w:rPr>
        <w:t>·快递方式：快递费到付。</w:t>
      </w:r>
    </w:p>
    <w:p w14:paraId="0B25C982">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1840E456">
      <w:pPr>
        <w:spacing w:line="540" w:lineRule="exact"/>
        <w:ind w:firstLine="420"/>
        <w:rPr>
          <w:rFonts w:hint="eastAsia" w:ascii="微软雅黑" w:hAnsi="微软雅黑" w:cs="宋体"/>
          <w:color w:val="auto"/>
          <w:highlight w:val="none"/>
        </w:rPr>
      </w:pPr>
      <w:r>
        <w:rPr>
          <w:rFonts w:hint="eastAsia" w:ascii="微软雅黑" w:hAnsi="微软雅黑" w:cs="宋体"/>
          <w:color w:val="auto"/>
          <w:highlight w:val="none"/>
        </w:rPr>
        <w:t>⑩具体操作指南：详见政采云平台“服务中心-帮助文档-项目采购-操作流程-电子招投标-政府采购项目电子交易管理操作指南-供应商”（浙江省“项目采购电子交易系统/不见面开评标”学习专题：</w:t>
      </w:r>
      <w:r>
        <w:rPr>
          <w:color w:val="auto"/>
          <w:highlight w:val="none"/>
        </w:rPr>
        <w:fldChar w:fldCharType="begin"/>
      </w:r>
      <w:r>
        <w:rPr>
          <w:color w:val="auto"/>
          <w:highlight w:val="none"/>
        </w:rPr>
        <w:instrText xml:space="preserve"> HYPERLINK "https://edu.zcygov.cn/luban/e-biding" </w:instrText>
      </w:r>
      <w:r>
        <w:rPr>
          <w:color w:val="auto"/>
          <w:highlight w:val="none"/>
        </w:rPr>
        <w:fldChar w:fldCharType="separate"/>
      </w:r>
      <w:r>
        <w:rPr>
          <w:rFonts w:hint="eastAsia" w:ascii="微软雅黑" w:hAnsi="微软雅黑" w:cs="宋体"/>
          <w:color w:val="auto"/>
          <w:highlight w:val="none"/>
        </w:rPr>
        <w:t>https://edu.zcygov.cn/luban/e-biding</w:t>
      </w:r>
      <w:r>
        <w:rPr>
          <w:rFonts w:hint="eastAsia" w:ascii="微软雅黑" w:hAnsi="微软雅黑" w:cs="宋体"/>
          <w:color w:val="auto"/>
          <w:highlight w:val="none"/>
        </w:rPr>
        <w:fldChar w:fldCharType="end"/>
      </w:r>
      <w:r>
        <w:rPr>
          <w:rFonts w:hint="eastAsia" w:ascii="微软雅黑" w:hAnsi="微软雅黑" w:cs="宋体"/>
          <w:color w:val="auto"/>
          <w:highlight w:val="none"/>
        </w:rPr>
        <w:t>）。</w:t>
      </w:r>
    </w:p>
    <w:p w14:paraId="0F3D32D0">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3.惠企政策</w:t>
      </w:r>
    </w:p>
    <w:p w14:paraId="27CA6000">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3.1本采购项目，中标供应商与采购人签订的政府采购合同适用于嘉兴市政府采购贷款政策（简称“政采贷”），具体内容可参阅政府采购贷款流程：</w:t>
      </w:r>
    </w:p>
    <w:p w14:paraId="2A97604C">
      <w:pPr>
        <w:spacing w:line="540" w:lineRule="exact"/>
        <w:ind w:firstLine="420"/>
        <w:rPr>
          <w:rFonts w:hint="eastAsia" w:ascii="微软雅黑" w:hAnsi="微软雅黑"/>
          <w:color w:val="auto"/>
          <w:highlight w:val="none"/>
        </w:rPr>
      </w:pPr>
      <w:r>
        <w:rPr>
          <w:rFonts w:hint="eastAsia" w:ascii="微软雅黑" w:hAnsi="微软雅黑"/>
          <w:color w:val="auto"/>
          <w:highlight w:val="none"/>
        </w:rPr>
        <w:t>http://jxszwsjb.jiaxing.gov.cn/zxfw/005001/005001004/20190315/76d484f7-8fac-497f-9359-4df81cc086da.html</w:t>
      </w:r>
    </w:p>
    <w:p w14:paraId="5B58EF5C">
      <w:pPr>
        <w:spacing w:line="540" w:lineRule="exact"/>
        <w:ind w:firstLine="420"/>
        <w:rPr>
          <w:rFonts w:hint="eastAsia" w:ascii="微软雅黑" w:hAnsi="微软雅黑" w:cs="宋体"/>
          <w:color w:val="auto"/>
          <w:sz w:val="24"/>
          <w:highlight w:val="none"/>
        </w:rPr>
      </w:pPr>
      <w:r>
        <w:rPr>
          <w:rFonts w:hint="eastAsia" w:ascii="微软雅黑" w:hAnsi="微软雅黑"/>
          <w:color w:val="auto"/>
          <w:highlight w:val="none"/>
        </w:rPr>
        <w:t>3.2</w:t>
      </w:r>
      <w:r>
        <w:rPr>
          <w:rFonts w:hint="eastAsia" w:ascii="微软雅黑" w:hAnsi="微软雅黑" w:cs="宋体"/>
          <w:color w:val="auto"/>
          <w:highlight w:val="none"/>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2E2A096E">
      <w:pPr>
        <w:widowControl/>
        <w:spacing w:before="255" w:after="255" w:line="480" w:lineRule="atLeast"/>
        <w:ind w:firstLine="0" w:firstLineChars="0"/>
        <w:jc w:val="both"/>
        <w:outlineLvl w:val="1"/>
        <w:rPr>
          <w:rFonts w:hint="eastAsia" w:ascii="微软雅黑" w:hAnsi="微软雅黑" w:cs="Arial"/>
          <w:color w:val="auto"/>
          <w:kern w:val="0"/>
          <w:szCs w:val="21"/>
          <w:highlight w:val="none"/>
        </w:rPr>
      </w:pPr>
      <w:bookmarkStart w:id="15" w:name="_Toc30576"/>
      <w:r>
        <w:rPr>
          <w:rFonts w:hint="eastAsia" w:ascii="微软雅黑" w:hAnsi="微软雅黑" w:cs="Arial"/>
          <w:b/>
          <w:bCs/>
          <w:color w:val="auto"/>
          <w:kern w:val="0"/>
          <w:szCs w:val="21"/>
          <w:highlight w:val="none"/>
        </w:rPr>
        <w:t>七、对本次采购提出询问、质疑、投诉，请按以下方式联系</w:t>
      </w:r>
      <w:bookmarkEnd w:id="15"/>
    </w:p>
    <w:p w14:paraId="68E4CDA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1.采购人信息</w:t>
      </w:r>
    </w:p>
    <w:p w14:paraId="30001FD9">
      <w:pPr>
        <w:widowControl/>
        <w:spacing w:before="75" w:after="75" w:line="300" w:lineRule="atLeast"/>
        <w:ind w:firstLine="330" w:firstLineChars="0"/>
        <w:rPr>
          <w:rFonts w:hint="eastAsia" w:ascii="微软雅黑" w:hAnsi="微软雅黑" w:eastAsia="微软雅黑" w:cs="Arial"/>
          <w:color w:val="auto"/>
          <w:kern w:val="0"/>
          <w:szCs w:val="21"/>
          <w:highlight w:val="none"/>
          <w:lang w:eastAsia="zh-CN"/>
        </w:rPr>
      </w:pPr>
      <w:r>
        <w:rPr>
          <w:rFonts w:hint="eastAsia" w:ascii="微软雅黑" w:hAnsi="微软雅黑" w:cs="Arial"/>
          <w:color w:val="auto"/>
          <w:kern w:val="0"/>
          <w:szCs w:val="21"/>
          <w:highlight w:val="none"/>
        </w:rPr>
        <w:t>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w:t>
      </w:r>
      <w:r>
        <w:rPr>
          <w:rFonts w:hint="eastAsia" w:ascii="微软雅黑" w:hAnsi="微软雅黑" w:cs="Arial"/>
          <w:color w:val="auto"/>
          <w:kern w:val="0"/>
          <w:szCs w:val="21"/>
          <w:highlight w:val="none"/>
          <w:lang w:eastAsia="zh-CN"/>
        </w:rPr>
        <w:t>嘉兴市秀洲区文化和旅游局</w:t>
      </w:r>
    </w:p>
    <w:p w14:paraId="1374B24F">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址：嘉兴市秀洲区大德路368号</w:t>
      </w:r>
      <w:r>
        <w:rPr>
          <w:rFonts w:ascii="微软雅黑" w:hAnsi="微软雅黑" w:cs="Calibri"/>
          <w:color w:val="auto"/>
          <w:kern w:val="0"/>
          <w:szCs w:val="21"/>
          <w:highlight w:val="none"/>
        </w:rPr>
        <w:t> </w:t>
      </w:r>
    </w:p>
    <w:p w14:paraId="0EC88395">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w:t>
      </w:r>
      <w:r>
        <w:rPr>
          <w:rFonts w:hint="eastAsia" w:ascii="微软雅黑" w:hAnsi="微软雅黑" w:cs="Arial"/>
          <w:color w:val="auto"/>
          <w:kern w:val="0"/>
          <w:szCs w:val="21"/>
          <w:highlight w:val="none"/>
          <w:lang w:val="en-US" w:eastAsia="zh-CN"/>
        </w:rPr>
        <w:t>/</w:t>
      </w:r>
      <w:r>
        <w:rPr>
          <w:rFonts w:ascii="微软雅黑" w:hAnsi="微软雅黑" w:cs="Calibri"/>
          <w:color w:val="auto"/>
          <w:kern w:val="0"/>
          <w:szCs w:val="21"/>
          <w:highlight w:val="none"/>
        </w:rPr>
        <w:t>  </w:t>
      </w:r>
    </w:p>
    <w:p w14:paraId="47EE7C40">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项目联系人（询问）：朱潇枫</w:t>
      </w:r>
      <w:r>
        <w:rPr>
          <w:rFonts w:ascii="微软雅黑" w:hAnsi="微软雅黑" w:cs="Calibri"/>
          <w:color w:val="auto"/>
          <w:kern w:val="0"/>
          <w:szCs w:val="21"/>
          <w:highlight w:val="none"/>
        </w:rPr>
        <w:t>  </w:t>
      </w:r>
    </w:p>
    <w:p w14:paraId="188B3439">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项目联系方式（询问）：0573-83616961</w:t>
      </w:r>
      <w:r>
        <w:rPr>
          <w:rFonts w:ascii="微软雅黑" w:hAnsi="微软雅黑" w:cs="Calibri"/>
          <w:color w:val="auto"/>
          <w:kern w:val="0"/>
          <w:szCs w:val="21"/>
          <w:highlight w:val="none"/>
        </w:rPr>
        <w:t> </w:t>
      </w:r>
    </w:p>
    <w:p w14:paraId="0D9637B2">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质疑联系人：郭浩</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EE42E78">
      <w:pPr>
        <w:widowControl/>
        <w:spacing w:before="75" w:after="75" w:line="300" w:lineRule="atLeast"/>
        <w:ind w:firstLine="0" w:firstLineChars="0"/>
        <w:rPr>
          <w:rFonts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质疑联系方式：0573-82720361</w:t>
      </w:r>
      <w:r>
        <w:rPr>
          <w:rFonts w:ascii="微软雅黑" w:hAnsi="微软雅黑" w:cs="Calibri"/>
          <w:color w:val="auto"/>
          <w:kern w:val="0"/>
          <w:szCs w:val="21"/>
          <w:highlight w:val="none"/>
        </w:rPr>
        <w:t> </w:t>
      </w:r>
    </w:p>
    <w:p w14:paraId="1DFF7BA1">
      <w:pPr>
        <w:widowControl/>
        <w:spacing w:before="75" w:after="75" w:line="300" w:lineRule="atLeast"/>
        <w:ind w:firstLine="0" w:firstLineChars="0"/>
        <w:rPr>
          <w:rFonts w:hint="eastAsia" w:ascii="微软雅黑" w:hAnsi="微软雅黑" w:cs="Calibri"/>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34726A0">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2.采购代理机构信息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303A47D0">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名</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称：嘉兴市千秋工程咨询有限公司</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597E3A7">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地</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址：嘉兴市秀洲区新平路299号中禾广场</w:t>
      </w:r>
      <w:r>
        <w:rPr>
          <w:rFonts w:hint="eastAsia" w:ascii="微软雅黑" w:hAnsi="微软雅黑" w:cs="Arial"/>
          <w:color w:val="auto"/>
          <w:kern w:val="0"/>
          <w:szCs w:val="21"/>
          <w:highlight w:val="none"/>
          <w:lang w:val="en-US" w:eastAsia="zh-CN"/>
        </w:rPr>
        <w:t>17A</w:t>
      </w:r>
      <w:r>
        <w:rPr>
          <w:rFonts w:hint="eastAsia" w:ascii="微软雅黑" w:hAnsi="微软雅黑" w:cs="Arial"/>
          <w:color w:val="auto"/>
          <w:kern w:val="0"/>
          <w:szCs w:val="21"/>
          <w:highlight w:val="none"/>
        </w:rPr>
        <w:t>楼</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6BE08CA2">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传</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真：0573-83705013</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2FA0F48">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项目联系人（询问）：章莉莉</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val="en-US" w:eastAsia="zh-CN"/>
        </w:rPr>
        <w:t xml:space="preserve"> 李建良</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8482E0E">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项目联系方式（询问）：0573-83705015 1</w:t>
      </w:r>
      <w:r>
        <w:rPr>
          <w:rFonts w:ascii="微软雅黑" w:hAnsi="微软雅黑" w:cs="Arial"/>
          <w:color w:val="auto"/>
          <w:kern w:val="0"/>
          <w:szCs w:val="21"/>
          <w:highlight w:val="none"/>
        </w:rPr>
        <w:t>3605735186</w:t>
      </w:r>
      <w:r>
        <w:rPr>
          <w:rFonts w:ascii="微软雅黑" w:hAnsi="微软雅黑" w:cs="Calibri"/>
          <w:color w:val="auto"/>
          <w:kern w:val="0"/>
          <w:szCs w:val="21"/>
          <w:highlight w:val="none"/>
        </w:rPr>
        <w:t> </w:t>
      </w:r>
    </w:p>
    <w:p w14:paraId="7D25EF83">
      <w:pPr>
        <w:widowControl/>
        <w:spacing w:before="75" w:after="75" w:line="300" w:lineRule="atLeast"/>
        <w:ind w:firstLine="0" w:firstLineChars="0"/>
        <w:rPr>
          <w:rFonts w:hint="eastAsia" w:ascii="微软雅黑" w:hAnsi="微软雅黑" w:eastAsia="微软雅黑" w:cs="Arial"/>
          <w:color w:val="auto"/>
          <w:kern w:val="0"/>
          <w:szCs w:val="21"/>
          <w:highlight w:val="none"/>
          <w:lang w:val="en-US" w:eastAsia="zh-CN"/>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质疑联系人：项兴戟</w:t>
      </w:r>
      <w:r>
        <w:rPr>
          <w:rFonts w:ascii="微软雅黑" w:hAnsi="微软雅黑" w:cs="Calibri"/>
          <w:color w:val="auto"/>
          <w:kern w:val="0"/>
          <w:szCs w:val="21"/>
          <w:highlight w:val="none"/>
        </w:rPr>
        <w:t> </w:t>
      </w:r>
      <w:r>
        <w:rPr>
          <w:rFonts w:hint="eastAsia" w:ascii="微软雅黑" w:hAnsi="微软雅黑" w:cs="Calibri"/>
          <w:color w:val="auto"/>
          <w:kern w:val="0"/>
          <w:szCs w:val="21"/>
          <w:highlight w:val="none"/>
          <w:lang w:val="en-US" w:eastAsia="zh-CN"/>
        </w:rPr>
        <w:t xml:space="preserve"> 林晨</w:t>
      </w:r>
    </w:p>
    <w:p w14:paraId="1552C42A">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质疑联系方式：0573-83705015 13605738567</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0A9645C1">
      <w:pPr>
        <w:widowControl/>
        <w:spacing w:before="75" w:after="75" w:line="300" w:lineRule="atLeast"/>
        <w:ind w:firstLine="0" w:firstLineChars="0"/>
        <w:rPr>
          <w:rFonts w:hint="eastAsia" w:ascii="微软雅黑" w:hAnsi="微软雅黑" w:cs="Calibri"/>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D98F5D0">
      <w:pPr>
        <w:widowControl/>
        <w:spacing w:before="75" w:after="75" w:line="300" w:lineRule="atLeast"/>
        <w:ind w:firstLine="0" w:firstLineChars="0"/>
        <w:rPr>
          <w:rFonts w:hint="eastAsia" w:ascii="微软雅黑" w:hAnsi="微软雅黑" w:cs="Arial"/>
          <w:color w:val="auto"/>
          <w:kern w:val="0"/>
          <w:szCs w:val="21"/>
          <w:highlight w:val="none"/>
        </w:rPr>
      </w:pP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3.同级政府采购监督管理部门</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7DEA9789">
      <w:pPr>
        <w:spacing w:line="540" w:lineRule="exact"/>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政府采购行政监管及投诉受理部门：嘉兴市秀洲区财政局</w:t>
      </w:r>
    </w:p>
    <w:p w14:paraId="25C6F18F">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    址：/</w:t>
      </w:r>
    </w:p>
    <w:p w14:paraId="0B753C24">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传    真：/</w:t>
      </w:r>
    </w:p>
    <w:p w14:paraId="1F2899CD">
      <w:pPr>
        <w:spacing w:line="540" w:lineRule="exact"/>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联系人 ：宋女士</w:t>
      </w:r>
    </w:p>
    <w:p w14:paraId="4E055D8C">
      <w:pPr>
        <w:spacing w:line="540" w:lineRule="exact"/>
        <w:ind w:firstLine="420"/>
        <w:rPr>
          <w:rFonts w:hint="eastAsia" w:ascii="微软雅黑" w:hAnsi="微软雅黑" w:cs="宋体"/>
          <w:color w:val="auto"/>
          <w:szCs w:val="21"/>
          <w:highlight w:val="none"/>
        </w:rPr>
      </w:pPr>
      <w:r>
        <w:rPr>
          <w:rFonts w:hint="eastAsia" w:ascii="微软雅黑" w:hAnsi="微软雅黑" w:cs="微软雅黑"/>
          <w:color w:val="auto"/>
          <w:kern w:val="0"/>
          <w:szCs w:val="21"/>
          <w:highlight w:val="none"/>
        </w:rPr>
        <w:t>监督投诉电话：0573-82720085</w:t>
      </w:r>
    </w:p>
    <w:p w14:paraId="22FF6E4C">
      <w:pPr>
        <w:ind w:firstLine="420"/>
        <w:rPr>
          <w:rFonts w:hint="eastAsia" w:ascii="微软雅黑" w:hAnsi="微软雅黑"/>
          <w:color w:val="auto"/>
          <w:szCs w:val="21"/>
          <w:highlight w:val="none"/>
        </w:rPr>
      </w:pPr>
      <w:r>
        <w:rPr>
          <w:rFonts w:hint="eastAsia" w:ascii="微软雅黑" w:hAnsi="微软雅黑"/>
          <w:color w:val="auto"/>
          <w:szCs w:val="21"/>
          <w:highlight w:val="none"/>
        </w:rPr>
        <w:t>若对项目采购电子交易系统操作有疑问，可登录政采云（</w:t>
      </w:r>
      <w:r>
        <w:rPr>
          <w:rFonts w:ascii="微软雅黑" w:hAnsi="微软雅黑"/>
          <w:color w:val="auto"/>
          <w:szCs w:val="21"/>
          <w:highlight w:val="none"/>
        </w:rPr>
        <w:t>https://www.zcygov.cn/），点击右侧咨询小采，获取采小蜜智能服务管家帮助，或拨打政</w:t>
      </w:r>
      <w:r>
        <w:rPr>
          <w:rFonts w:hint="eastAsia" w:ascii="微软雅黑" w:hAnsi="微软雅黑"/>
          <w:color w:val="auto"/>
          <w:szCs w:val="21"/>
          <w:highlight w:val="none"/>
        </w:rPr>
        <w:t>采云服务热线95763</w:t>
      </w:r>
      <w:r>
        <w:rPr>
          <w:rFonts w:ascii="微软雅黑" w:hAnsi="微软雅黑"/>
          <w:color w:val="auto"/>
          <w:szCs w:val="21"/>
          <w:highlight w:val="none"/>
        </w:rPr>
        <w:t>获取热线服务帮助。</w:t>
      </w:r>
    </w:p>
    <w:p w14:paraId="7732E9FE">
      <w:pPr>
        <w:ind w:firstLine="420"/>
        <w:rPr>
          <w:rFonts w:hint="eastAsia" w:ascii="微软雅黑" w:hAnsi="微软雅黑" w:cs="Arial"/>
          <w:color w:val="auto"/>
          <w:kern w:val="0"/>
          <w:szCs w:val="21"/>
          <w:highlight w:val="none"/>
        </w:rPr>
      </w:pPr>
      <w:r>
        <w:rPr>
          <w:rFonts w:ascii="微软雅黑" w:hAnsi="微软雅黑"/>
          <w:color w:val="auto"/>
          <w:szCs w:val="21"/>
          <w:highlight w:val="none"/>
        </w:rPr>
        <w:t>CA问题联系电话（人工）：</w:t>
      </w:r>
      <w:r>
        <w:rPr>
          <w:rFonts w:hint="eastAsia" w:ascii="微软雅黑" w:hAnsi="微软雅黑"/>
          <w:color w:val="auto"/>
          <w:szCs w:val="21"/>
          <w:highlight w:val="none"/>
        </w:rPr>
        <w:t>汇信</w:t>
      </w:r>
      <w:r>
        <w:rPr>
          <w:rFonts w:ascii="微软雅黑" w:hAnsi="微软雅黑"/>
          <w:color w:val="auto"/>
          <w:szCs w:val="21"/>
          <w:highlight w:val="none"/>
        </w:rPr>
        <w:t>CA 400-888-4636；天谷CA 400-087-8198。</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r>
        <w:rPr>
          <w:rFonts w:hint="eastAsia" w:ascii="微软雅黑" w:hAnsi="微软雅黑" w:cs="Arial"/>
          <w:color w:val="auto"/>
          <w:kern w:val="0"/>
          <w:szCs w:val="21"/>
          <w:highlight w:val="none"/>
        </w:rPr>
        <w:t xml:space="preserve"> </w:t>
      </w:r>
      <w:r>
        <w:rPr>
          <w:rFonts w:ascii="微软雅黑" w:hAnsi="微软雅黑" w:cs="Calibri"/>
          <w:color w:val="auto"/>
          <w:kern w:val="0"/>
          <w:szCs w:val="21"/>
          <w:highlight w:val="none"/>
        </w:rPr>
        <w:t> </w:t>
      </w:r>
    </w:p>
    <w:p w14:paraId="65D05148">
      <w:pPr>
        <w:pStyle w:val="2"/>
        <w:rPr>
          <w:rStyle w:val="65"/>
          <w:b/>
          <w:bCs/>
          <w:color w:val="auto"/>
          <w:highlight w:val="none"/>
        </w:rPr>
        <w:sectPr>
          <w:footerReference r:id="rId15" w:type="default"/>
          <w:pgSz w:w="11906" w:h="16838"/>
          <w:pgMar w:top="1474" w:right="1797" w:bottom="1247" w:left="1797" w:header="851" w:footer="851" w:gutter="0"/>
          <w:pgBorders>
            <w:top w:val="none" w:sz="0" w:space="0"/>
            <w:left w:val="none" w:sz="0" w:space="0"/>
            <w:bottom w:val="none" w:sz="0" w:space="0"/>
            <w:right w:val="none" w:sz="0" w:space="0"/>
          </w:pgBorders>
          <w:pgNumType w:fmt="decimal" w:start="1"/>
          <w:cols w:space="720" w:num="1"/>
          <w:docGrid w:linePitch="312" w:charSpace="0"/>
        </w:sectPr>
      </w:pPr>
      <w:bookmarkStart w:id="16" w:name="_Toc5875"/>
    </w:p>
    <w:p w14:paraId="0AE6A6B2">
      <w:pPr>
        <w:pStyle w:val="2"/>
        <w:numPr>
          <w:ilvl w:val="0"/>
          <w:numId w:val="3"/>
        </w:numPr>
        <w:rPr>
          <w:rStyle w:val="65"/>
          <w:b/>
          <w:bCs/>
          <w:color w:val="auto"/>
          <w:highlight w:val="none"/>
        </w:rPr>
      </w:pPr>
      <w:r>
        <w:rPr>
          <w:rStyle w:val="65"/>
          <w:rFonts w:hint="eastAsia"/>
          <w:b/>
          <w:bCs/>
          <w:color w:val="auto"/>
          <w:highlight w:val="none"/>
        </w:rPr>
        <w:t xml:space="preserve">  </w:t>
      </w:r>
      <w:bookmarkStart w:id="17" w:name="_Toc30616"/>
      <w:r>
        <w:rPr>
          <w:rStyle w:val="65"/>
          <w:rFonts w:hint="eastAsia"/>
          <w:b/>
          <w:bCs/>
          <w:color w:val="auto"/>
          <w:highlight w:val="none"/>
        </w:rPr>
        <w:t>招标项目要求</w:t>
      </w:r>
      <w:bookmarkEnd w:id="8"/>
      <w:bookmarkEnd w:id="16"/>
      <w:bookmarkEnd w:id="17"/>
    </w:p>
    <w:p w14:paraId="096D9765">
      <w:pPr>
        <w:pStyle w:val="102"/>
        <w:numPr>
          <w:ilvl w:val="0"/>
          <w:numId w:val="4"/>
        </w:numPr>
        <w:ind w:left="0" w:firstLine="420"/>
        <w:outlineLvl w:val="1"/>
        <w:rPr>
          <w:rFonts w:ascii="微软雅黑" w:hAnsi="微软雅黑" w:cs="微软雅黑"/>
          <w:b/>
          <w:bCs/>
          <w:color w:val="auto"/>
          <w:szCs w:val="21"/>
          <w:highlight w:val="none"/>
        </w:rPr>
      </w:pPr>
      <w:bookmarkStart w:id="18" w:name="_Toc19683"/>
      <w:bookmarkStart w:id="19" w:name="_Toc493511542"/>
      <w:r>
        <w:rPr>
          <w:rFonts w:hint="eastAsia" w:ascii="微软雅黑" w:hAnsi="微软雅黑" w:cs="微软雅黑"/>
          <w:b/>
          <w:bCs/>
          <w:color w:val="auto"/>
          <w:szCs w:val="21"/>
          <w:highlight w:val="none"/>
        </w:rPr>
        <w:t>项目概况</w:t>
      </w:r>
    </w:p>
    <w:p w14:paraId="15EC02F2">
      <w:pPr>
        <w:pStyle w:val="102"/>
        <w:numPr>
          <w:ilvl w:val="3"/>
          <w:numId w:val="5"/>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基本情况</w:t>
      </w:r>
    </w:p>
    <w:p w14:paraId="184ECF70">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嘉兴市文化艺术中心是嘉兴市“百年百项”重大项目、嘉兴市区“十大标志工程”之一，于2019年8月开工，2021年竣工投入使用。</w:t>
      </w:r>
    </w:p>
    <w:p w14:paraId="318E7276">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本项目包括秀洲区图书馆（11650平方米）、秀洲农民画艺术馆</w:t>
      </w:r>
      <w:r>
        <w:rPr>
          <w:rFonts w:hint="eastAsia" w:ascii="微软雅黑" w:hAnsi="微软雅黑" w:cs="仿宋"/>
          <w:color w:val="auto"/>
          <w:kern w:val="0"/>
          <w:szCs w:val="21"/>
          <w:highlight w:val="none"/>
          <w:lang w:val="en-US" w:eastAsia="zh-CN"/>
        </w:rPr>
        <w:t>3200</w:t>
      </w:r>
      <w:r>
        <w:rPr>
          <w:rFonts w:hint="eastAsia" w:ascii="微软雅黑" w:hAnsi="微软雅黑" w:cs="仿宋"/>
          <w:color w:val="auto"/>
          <w:kern w:val="0"/>
          <w:szCs w:val="21"/>
          <w:highlight w:val="none"/>
        </w:rPr>
        <w:t>平方米、秀洲区非遗馆（800平方米）（以下简称“三馆”）总建筑面积约</w:t>
      </w:r>
      <w:r>
        <w:rPr>
          <w:rFonts w:hint="eastAsia" w:ascii="微软雅黑" w:hAnsi="微软雅黑" w:cs="仿宋"/>
          <w:color w:val="auto"/>
          <w:kern w:val="0"/>
          <w:szCs w:val="21"/>
          <w:highlight w:val="none"/>
          <w:lang w:val="en-US" w:eastAsia="zh-CN"/>
        </w:rPr>
        <w:t>16400</w:t>
      </w:r>
      <w:r>
        <w:rPr>
          <w:rFonts w:hint="eastAsia" w:ascii="微软雅黑" w:hAnsi="微软雅黑" w:cs="仿宋"/>
          <w:color w:val="auto"/>
          <w:kern w:val="0"/>
          <w:szCs w:val="21"/>
          <w:highlight w:val="none"/>
        </w:rPr>
        <w:t>多平方米，占整个艺术中心项目近三分之一体量，于2021年9月正式开馆。</w:t>
      </w:r>
    </w:p>
    <w:p w14:paraId="37634F87">
      <w:pPr>
        <w:pStyle w:val="102"/>
        <w:numPr>
          <w:ilvl w:val="3"/>
          <w:numId w:val="5"/>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服务期限</w:t>
      </w:r>
    </w:p>
    <w:p w14:paraId="413585F6">
      <w:pPr>
        <w:ind w:firstLine="420"/>
        <w:rPr>
          <w:rFonts w:ascii="微软雅黑" w:hAnsi="微软雅黑" w:cs="仿宋"/>
          <w:color w:val="auto"/>
          <w:kern w:val="0"/>
          <w:szCs w:val="21"/>
          <w:highlight w:val="none"/>
        </w:rPr>
      </w:pPr>
      <w:r>
        <w:rPr>
          <w:rFonts w:hint="eastAsia" w:ascii="微软雅黑" w:hAnsi="微软雅黑" w:cs="微软雅黑"/>
          <w:color w:val="auto"/>
          <w:szCs w:val="21"/>
          <w:highlight w:val="none"/>
        </w:rPr>
        <w:t>自合同签订之日起一年， 服务期满后根据中标供应商的工作情况、采购单位满意度情况，综合考虑是否续签合同（按浙财采监〔2021〕2号《浙江省财政厅关于进一步规范政府购买服务采购管理的通知》的有关规定续签合同）</w:t>
      </w:r>
      <w:r>
        <w:rPr>
          <w:rFonts w:hint="eastAsia" w:ascii="微软雅黑" w:hAnsi="微软雅黑" w:cs="仿宋"/>
          <w:color w:val="auto"/>
          <w:kern w:val="0"/>
          <w:szCs w:val="21"/>
          <w:highlight w:val="none"/>
        </w:rPr>
        <w:t>。</w:t>
      </w:r>
    </w:p>
    <w:p w14:paraId="4F51738D">
      <w:pPr>
        <w:pStyle w:val="102"/>
        <w:numPr>
          <w:ilvl w:val="0"/>
          <w:numId w:val="4"/>
        </w:numPr>
        <w:ind w:left="0" w:firstLine="420"/>
        <w:outlineLvl w:val="1"/>
        <w:rPr>
          <w:rFonts w:ascii="微软雅黑" w:hAnsi="微软雅黑" w:cs="微软雅黑"/>
          <w:b/>
          <w:bCs/>
          <w:color w:val="auto"/>
          <w:szCs w:val="21"/>
          <w:highlight w:val="none"/>
        </w:rPr>
      </w:pPr>
      <w:r>
        <w:rPr>
          <w:rFonts w:hint="eastAsia" w:ascii="微软雅黑" w:hAnsi="微软雅黑" w:cs="微软雅黑"/>
          <w:b/>
          <w:color w:val="auto"/>
          <w:szCs w:val="21"/>
          <w:highlight w:val="none"/>
        </w:rPr>
        <w:t>服务要求</w:t>
      </w:r>
    </w:p>
    <w:p w14:paraId="42AD3158">
      <w:pPr>
        <w:pStyle w:val="102"/>
        <w:numPr>
          <w:ilvl w:val="3"/>
          <w:numId w:val="6"/>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总体要求</w:t>
      </w:r>
    </w:p>
    <w:p w14:paraId="2277686A">
      <w:pPr>
        <w:ind w:firstLine="420"/>
        <w:rPr>
          <w:rFonts w:ascii="微软雅黑" w:hAnsi="微软雅黑"/>
          <w:color w:val="auto"/>
          <w:szCs w:val="21"/>
          <w:highlight w:val="none"/>
        </w:rPr>
      </w:pPr>
      <w:r>
        <w:rPr>
          <w:rFonts w:hint="eastAsia" w:ascii="微软雅黑" w:hAnsi="微软雅黑" w:cs="仿宋"/>
          <w:color w:val="auto"/>
          <w:kern w:val="0"/>
          <w:szCs w:val="21"/>
          <w:highlight w:val="none"/>
        </w:rPr>
        <w:t>根据省文旅厅提出的文旅融合的要求，集中发挥嘉兴市文化艺术中心的区位和功能优势，围绕该中心打造为文旅融合的样板、城市文化的地标、城市开放的窗口几大目标定位来开展三馆的运营管理，保障“三馆”融合又独具特色，最终打造文旅复合式公共文化服务样本。</w:t>
      </w:r>
    </w:p>
    <w:p w14:paraId="43E700DF">
      <w:pPr>
        <w:pStyle w:val="102"/>
        <w:numPr>
          <w:ilvl w:val="3"/>
          <w:numId w:val="6"/>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基本要求</w:t>
      </w:r>
    </w:p>
    <w:p w14:paraId="3006EA7A">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秀洲区图书馆以全国公共图书馆评估标准的区（县）级公共图书馆一级馆评估定级标准和上级主管部门年度目标任务为考核依据，并逐年提升服务效益。</w:t>
      </w:r>
    </w:p>
    <w:p w14:paraId="49D8AAED">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秀洲农民画艺术馆参照</w:t>
      </w:r>
      <w:r>
        <w:rPr>
          <w:rFonts w:ascii="微软雅黑" w:hAnsi="微软雅黑" w:cs="Calibri"/>
          <w:color w:val="auto"/>
          <w:kern w:val="0"/>
          <w:szCs w:val="21"/>
          <w:highlight w:val="none"/>
        </w:rPr>
        <w:t> </w:t>
      </w:r>
      <w:r>
        <w:rPr>
          <w:rFonts w:hint="eastAsia" w:ascii="微软雅黑" w:hAnsi="微软雅黑" w:cs="仿宋"/>
          <w:color w:val="auto"/>
          <w:kern w:val="0"/>
          <w:szCs w:val="21"/>
          <w:highlight w:val="none"/>
        </w:rPr>
        <w:t>浙江省地方标准 DB33/T 2229—2019 公共美术馆设置与服务规范；</w:t>
      </w:r>
    </w:p>
    <w:p w14:paraId="10A7EB3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秀洲区非遗馆按采购单位要求执行，如果项目实施过程中有新出台的国家或浙江省地方标准的，按标准执行。</w:t>
      </w:r>
    </w:p>
    <w:p w14:paraId="01DBEC3C">
      <w:pPr>
        <w:pStyle w:val="102"/>
        <w:numPr>
          <w:ilvl w:val="0"/>
          <w:numId w:val="4"/>
        </w:numPr>
        <w:ind w:left="0" w:firstLine="420"/>
        <w:outlineLvl w:val="1"/>
        <w:rPr>
          <w:rFonts w:ascii="微软雅黑" w:hAnsi="微软雅黑" w:cs="微软雅黑"/>
          <w:b/>
          <w:bCs/>
          <w:color w:val="auto"/>
          <w:szCs w:val="21"/>
          <w:highlight w:val="none"/>
        </w:rPr>
      </w:pPr>
      <w:r>
        <w:rPr>
          <w:rFonts w:hint="eastAsia" w:ascii="微软雅黑" w:hAnsi="微软雅黑" w:cs="微软雅黑"/>
          <w:b/>
          <w:bCs/>
          <w:color w:val="auto"/>
          <w:szCs w:val="21"/>
          <w:highlight w:val="none"/>
        </w:rPr>
        <w:t>服务内容</w:t>
      </w:r>
    </w:p>
    <w:p w14:paraId="3D34DC5B">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负责秀洲三馆的运营、开放服务工作。依照上级关于基本公共文化服务的有关法律法规，遵循公平、公正、效益原则，免费开放服务原则，关注特殊群体原则，提高服务质量原则，保障公共文化的基本服务项目齐全，充分满足公众需求，创建服务品牌，积极开拓创新，提升秀洲区文化形象，扩大三馆的社会影响力和号召力。坚持专业化、精细化管理，力争把三馆建设成为浙江省一流的区（县）级公共文化场馆，探索出台具有秀洲特色的多场馆融合社会化运营标准体系。</w:t>
      </w:r>
    </w:p>
    <w:p w14:paraId="5368D938">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日常管理及运行服务</w:t>
      </w:r>
    </w:p>
    <w:p w14:paraId="612E40F5">
      <w:pPr>
        <w:ind w:firstLine="420"/>
        <w:rPr>
          <w:rFonts w:ascii="微软雅黑" w:hAnsi="微软雅黑" w:cs="仿宋"/>
          <w:color w:val="auto"/>
          <w:szCs w:val="21"/>
          <w:highlight w:val="none"/>
        </w:rPr>
      </w:pPr>
      <w:r>
        <w:rPr>
          <w:rFonts w:hint="eastAsia" w:ascii="微软雅黑" w:hAnsi="微软雅黑" w:cs="仿宋"/>
          <w:color w:val="auto"/>
          <w:kern w:val="0"/>
          <w:szCs w:val="21"/>
          <w:highlight w:val="none"/>
        </w:rPr>
        <w:t>中标供应商负责“三馆”基本服务，</w:t>
      </w:r>
      <w:r>
        <w:rPr>
          <w:rFonts w:hint="eastAsia" w:ascii="微软雅黑" w:hAnsi="微软雅黑" w:cs="微软雅黑"/>
          <w:color w:val="auto"/>
          <w:kern w:val="0"/>
          <w:szCs w:val="21"/>
          <w:highlight w:val="none"/>
        </w:rPr>
        <w:t>▲</w:t>
      </w:r>
      <w:r>
        <w:rPr>
          <w:rFonts w:hint="eastAsia" w:ascii="微软雅黑" w:hAnsi="微软雅黑" w:cs="仿宋"/>
          <w:color w:val="auto"/>
          <w:kern w:val="0"/>
          <w:szCs w:val="21"/>
          <w:highlight w:val="none"/>
        </w:rPr>
        <w:t>每周开馆时间不少于 72小时，</w:t>
      </w:r>
      <w:r>
        <w:rPr>
          <w:rFonts w:hint="eastAsia" w:ascii="微软雅黑" w:hAnsi="微软雅黑" w:cs="仿宋"/>
          <w:color w:val="auto"/>
          <w:szCs w:val="21"/>
          <w:highlight w:val="none"/>
        </w:rPr>
        <w:t>每周各馆开馆时间以本馆一周整体开馆的小时数为依据，提交材料可标注阅览室、借阅部门及冬夏不同的开放小时数，以其公示的具体开放时间及执行情况作为佐证材料。周六、日，法定节假日必须开放。如节假日遇周一，不再作调整馆休。</w:t>
      </w:r>
    </w:p>
    <w:p w14:paraId="2A7ED66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提供三馆资产管理和场馆管理服务；日常运营档案材料收集整理、工作目标任务的管理；免费开放各项服务、读者服务以及专业服务等全部服务性工作。</w:t>
      </w:r>
    </w:p>
    <w:p w14:paraId="166D25B1">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公益活动策划执行服务</w:t>
      </w:r>
    </w:p>
    <w:p w14:paraId="1857478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中标供应商需根据地域和“三馆”人群的特点，积极开展具有区域特色的活动，打造并运营具有秀洲“三馆”特色的各类活动品牌，提高秀洲“三馆”的社会关注度与支持度。</w:t>
      </w:r>
    </w:p>
    <w:p w14:paraId="778CCAD5">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活动场次不少于400场，详见下列列表：</w:t>
      </w:r>
    </w:p>
    <w:tbl>
      <w:tblPr>
        <w:tblStyle w:val="54"/>
        <w:tblW w:w="93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2857"/>
        <w:gridCol w:w="5514"/>
      </w:tblGrid>
      <w:tr w14:paraId="35DC2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31716A68">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序号</w:t>
            </w:r>
          </w:p>
        </w:tc>
        <w:tc>
          <w:tcPr>
            <w:tcW w:w="2857" w:type="dxa"/>
            <w:vAlign w:val="center"/>
          </w:tcPr>
          <w:p w14:paraId="13C5401B">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活动内容</w:t>
            </w:r>
          </w:p>
        </w:tc>
        <w:tc>
          <w:tcPr>
            <w:tcW w:w="5514" w:type="dxa"/>
            <w:vAlign w:val="center"/>
          </w:tcPr>
          <w:p w14:paraId="24416ED2">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活动要求</w:t>
            </w:r>
          </w:p>
        </w:tc>
      </w:tr>
      <w:tr w14:paraId="7B802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4EEC80D3">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w:t>
            </w:r>
          </w:p>
        </w:tc>
        <w:tc>
          <w:tcPr>
            <w:tcW w:w="2857" w:type="dxa"/>
            <w:vAlign w:val="center"/>
          </w:tcPr>
          <w:p w14:paraId="3BEC1164">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合同期内馆外阅读推广活动不少于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86</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次</w:t>
            </w:r>
          </w:p>
        </w:tc>
        <w:tc>
          <w:tcPr>
            <w:tcW w:w="5514" w:type="dxa"/>
            <w:vAlign w:val="center"/>
          </w:tcPr>
          <w:p w14:paraId="2AF8C765">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馆外阅读推广服务指在智慧书房、礼堂书屋、流动服务点、馆外自助图书馆、企业、社区、学校等开展活动。</w:t>
            </w:r>
          </w:p>
        </w:tc>
      </w:tr>
      <w:tr w14:paraId="0B98D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1AE9090B">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2</w:t>
            </w:r>
          </w:p>
        </w:tc>
        <w:tc>
          <w:tcPr>
            <w:tcW w:w="2857" w:type="dxa"/>
            <w:vAlign w:val="center"/>
          </w:tcPr>
          <w:p w14:paraId="6F4CCFF1">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合同期内开展阅读推广活动不少于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260</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17AA47D1">
            <w:pPr>
              <w:ind w:firstLine="0" w:firstLineChars="0"/>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推广活动线上线下同时举办的计1场，依照满意图书馆考评要求、公共图书馆一级馆评估要求规划各类活动场次，包含讲座、培训、展览、特殊人群服务等。</w:t>
            </w:r>
            <w:r>
              <w:rPr>
                <w:rFonts w:hint="eastAsia" w:ascii="微软雅黑" w:hAnsi="微软雅黑" w:cs="仿宋"/>
                <w:color w:val="auto"/>
                <w:szCs w:val="21"/>
                <w:highlight w:val="none"/>
                <w:lang w:eastAsia="zh-CN"/>
              </w:rPr>
              <w:t>为推动秀洲三馆整体社会效益，要求在合同期内农民画馆开展不少于</w:t>
            </w:r>
            <w:r>
              <w:rPr>
                <w:rFonts w:hint="eastAsia" w:ascii="微软雅黑" w:hAnsi="微软雅黑" w:cs="仿宋"/>
                <w:color w:val="auto"/>
                <w:szCs w:val="21"/>
                <w:highlight w:val="none"/>
                <w:lang w:val="en-US" w:eastAsia="zh-CN"/>
              </w:rPr>
              <w:t>24场，非遗馆开展不少于24场。</w:t>
            </w:r>
          </w:p>
        </w:tc>
      </w:tr>
      <w:tr w14:paraId="4ADE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947" w:type="dxa"/>
            <w:vAlign w:val="center"/>
          </w:tcPr>
          <w:p w14:paraId="10BE2861">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3</w:t>
            </w:r>
          </w:p>
        </w:tc>
        <w:tc>
          <w:tcPr>
            <w:tcW w:w="2857" w:type="dxa"/>
            <w:vAlign w:val="center"/>
          </w:tcPr>
          <w:p w14:paraId="13F1E6F8">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合同期内开展非遗推广活动年开展次数不少于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30</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512E17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ascii="微软雅黑" w:hAnsi="微软雅黑" w:cs="仿宋"/>
                <w:color w:val="auto"/>
                <w:szCs w:val="21"/>
                <w:highlight w:val="none"/>
              </w:rPr>
            </w:pPr>
            <w:r>
              <w:rPr>
                <w:rFonts w:hint="eastAsia" w:ascii="微软雅黑" w:hAnsi="微软雅黑" w:cs="仿宋"/>
                <w:color w:val="auto"/>
                <w:szCs w:val="21"/>
                <w:highlight w:val="none"/>
              </w:rPr>
              <w:t>非遗推广活动是指农民画艺术馆和非遗馆的宣传推广</w:t>
            </w:r>
            <w:r>
              <w:rPr>
                <w:rFonts w:hint="eastAsia" w:ascii="微软雅黑" w:hAnsi="微软雅黑" w:cs="仿宋"/>
                <w:color w:val="auto"/>
                <w:szCs w:val="21"/>
                <w:highlight w:val="none"/>
                <w:lang w:eastAsia="zh-CN"/>
              </w:rPr>
              <w:t>及展陈</w:t>
            </w:r>
            <w:r>
              <w:rPr>
                <w:rFonts w:hint="eastAsia" w:ascii="微软雅黑" w:hAnsi="微软雅黑" w:cs="仿宋"/>
                <w:color w:val="auto"/>
                <w:szCs w:val="21"/>
                <w:highlight w:val="none"/>
              </w:rPr>
              <w:t>活动，其中具有一定推广意义和社会影响力的各类活动</w:t>
            </w:r>
            <w:r>
              <w:rPr>
                <w:rFonts w:hint="eastAsia" w:ascii="微软雅黑" w:hAnsi="微软雅黑" w:cs="仿宋"/>
                <w:color w:val="auto"/>
                <w:szCs w:val="21"/>
                <w:highlight w:val="none"/>
                <w:lang w:eastAsia="zh-CN"/>
              </w:rPr>
              <w:t>及展陈</w:t>
            </w:r>
            <w:r>
              <w:rPr>
                <w:rFonts w:hint="eastAsia" w:ascii="微软雅黑" w:hAnsi="微软雅黑" w:cs="仿宋"/>
                <w:color w:val="auto"/>
                <w:szCs w:val="21"/>
                <w:highlight w:val="none"/>
              </w:rPr>
              <w:t>不少于</w:t>
            </w:r>
            <w:r>
              <w:rPr>
                <w:rFonts w:hint="default" w:ascii="微软雅黑" w:hAnsi="微软雅黑" w:cs="仿宋"/>
                <w:color w:val="auto"/>
                <w:szCs w:val="21"/>
                <w:highlight w:val="none"/>
                <w:lang w:eastAsia="zh-CN"/>
              </w:rPr>
              <w:t>18</w:t>
            </w:r>
            <w:r>
              <w:rPr>
                <w:rFonts w:hint="eastAsia" w:ascii="微软雅黑" w:hAnsi="微软雅黑" w:cs="仿宋"/>
                <w:color w:val="auto"/>
                <w:szCs w:val="21"/>
                <w:highlight w:val="none"/>
              </w:rPr>
              <w:t>场，其中农民画馆</w:t>
            </w:r>
            <w:r>
              <w:rPr>
                <w:rFonts w:hint="eastAsia" w:ascii="微软雅黑" w:hAnsi="微软雅黑" w:cs="仿宋"/>
                <w:color w:val="auto"/>
                <w:szCs w:val="21"/>
                <w:highlight w:val="none"/>
                <w:lang w:eastAsia="zh-CN"/>
              </w:rPr>
              <w:t>活动</w:t>
            </w:r>
            <w:r>
              <w:rPr>
                <w:rFonts w:hint="eastAsia" w:ascii="微软雅黑" w:hAnsi="微软雅黑" w:cs="仿宋"/>
                <w:color w:val="auto"/>
                <w:szCs w:val="21"/>
                <w:highlight w:val="none"/>
              </w:rPr>
              <w:t>不少于</w:t>
            </w:r>
            <w:r>
              <w:rPr>
                <w:rFonts w:hint="default" w:ascii="微软雅黑" w:hAnsi="微软雅黑" w:cs="仿宋"/>
                <w:color w:val="auto"/>
                <w:szCs w:val="21"/>
                <w:highlight w:val="none"/>
                <w:lang w:eastAsia="zh-CN"/>
              </w:rPr>
              <w:t>7</w:t>
            </w:r>
            <w:r>
              <w:rPr>
                <w:rFonts w:hint="eastAsia" w:ascii="微软雅黑" w:hAnsi="微软雅黑" w:cs="仿宋"/>
                <w:color w:val="auto"/>
                <w:szCs w:val="21"/>
                <w:highlight w:val="none"/>
              </w:rPr>
              <w:t>场</w:t>
            </w:r>
            <w:r>
              <w:rPr>
                <w:rFonts w:hint="default" w:ascii="微软雅黑" w:hAnsi="微软雅黑" w:cs="仿宋"/>
                <w:color w:val="auto"/>
                <w:szCs w:val="21"/>
                <w:highlight w:val="none"/>
              </w:rPr>
              <w:t>，</w:t>
            </w:r>
            <w:r>
              <w:rPr>
                <w:rFonts w:hint="eastAsia" w:ascii="微软雅黑" w:hAnsi="微软雅黑" w:cs="仿宋"/>
                <w:color w:val="auto"/>
                <w:szCs w:val="21"/>
                <w:highlight w:val="none"/>
                <w:lang w:eastAsia="zh-CN"/>
              </w:rPr>
              <w:t>引入展陈不少于</w:t>
            </w:r>
            <w:r>
              <w:rPr>
                <w:rFonts w:hint="eastAsia" w:ascii="微软雅黑" w:hAnsi="微软雅黑" w:cs="仿宋"/>
                <w:color w:val="auto"/>
                <w:szCs w:val="21"/>
                <w:highlight w:val="none"/>
                <w:lang w:val="en-US" w:eastAsia="zh-CN"/>
              </w:rPr>
              <w:t>4场，策展要求贴近现代生活，关注社会热点，包括但不限于当代艺术、时尚潮玩、传统创新等，要求一季度一次或半年两次，一年总共完成展陈不少于4场次；非遗馆组织不少于7场围绕节假日有质量的宣传活动；</w:t>
            </w:r>
            <w:r>
              <w:rPr>
                <w:rFonts w:hint="default" w:ascii="微软雅黑" w:hAnsi="微软雅黑" w:cs="仿宋"/>
                <w:color w:val="auto"/>
                <w:szCs w:val="21"/>
                <w:highlight w:val="none"/>
                <w:lang w:eastAsia="zh-CN"/>
              </w:rPr>
              <w:t>18</w:t>
            </w:r>
            <w:r>
              <w:rPr>
                <w:rFonts w:hint="eastAsia" w:ascii="微软雅黑" w:hAnsi="微软雅黑" w:cs="仿宋"/>
                <w:color w:val="auto"/>
                <w:szCs w:val="21"/>
                <w:highlight w:val="none"/>
                <w:lang w:val="en-US" w:eastAsia="zh-CN"/>
              </w:rPr>
              <w:t>场活动和展陈</w:t>
            </w:r>
            <w:r>
              <w:rPr>
                <w:rFonts w:hint="eastAsia" w:ascii="微软雅黑" w:hAnsi="微软雅黑" w:cs="仿宋"/>
                <w:color w:val="auto"/>
                <w:szCs w:val="21"/>
                <w:highlight w:val="none"/>
              </w:rPr>
              <w:t>实地参与总人数不少于</w:t>
            </w:r>
            <w:r>
              <w:rPr>
                <w:rFonts w:hint="eastAsia" w:ascii="微软雅黑" w:hAnsi="微软雅黑" w:cs="仿宋"/>
                <w:color w:val="auto"/>
                <w:szCs w:val="21"/>
                <w:highlight w:val="none"/>
                <w:lang w:val="en-US" w:eastAsia="zh-CN"/>
              </w:rPr>
              <w:t>80000</w:t>
            </w:r>
            <w:r>
              <w:rPr>
                <w:rFonts w:hint="eastAsia" w:ascii="微软雅黑" w:hAnsi="微软雅黑" w:cs="仿宋"/>
                <w:color w:val="auto"/>
                <w:szCs w:val="21"/>
                <w:highlight w:val="none"/>
              </w:rPr>
              <w:t>人次。</w:t>
            </w:r>
          </w:p>
        </w:tc>
      </w:tr>
      <w:tr w14:paraId="0E870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2AF9A385">
            <w:pPr>
              <w:ind w:firstLine="0" w:firstLineChars="0"/>
              <w:jc w:val="both"/>
              <w:rPr>
                <w:rFonts w:ascii="微软雅黑" w:hAnsi="微软雅黑" w:cs="仿宋"/>
                <w:color w:val="auto"/>
                <w:szCs w:val="21"/>
                <w:highlight w:val="none"/>
              </w:rPr>
            </w:pPr>
            <w:r>
              <w:rPr>
                <w:rFonts w:hint="eastAsia" w:ascii="微软雅黑" w:hAnsi="微软雅黑" w:cs="仿宋"/>
                <w:color w:val="auto"/>
                <w:szCs w:val="21"/>
                <w:highlight w:val="none"/>
              </w:rPr>
              <w:t>4</w:t>
            </w:r>
          </w:p>
        </w:tc>
        <w:tc>
          <w:tcPr>
            <w:tcW w:w="2857" w:type="dxa"/>
            <w:vAlign w:val="center"/>
          </w:tcPr>
          <w:p w14:paraId="45013B22">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合同期内开展文旅融合活动，年开展次数不少于</w:t>
            </w:r>
            <w:r>
              <w:rPr>
                <w:rFonts w:hint="eastAsia" w:ascii="微软雅黑" w:hAnsi="微软雅黑" w:cs="仿宋"/>
                <w:color w:val="auto"/>
                <w:szCs w:val="21"/>
                <w:highlight w:val="none"/>
                <w:lang w:val="en-US" w:eastAsia="zh-CN"/>
              </w:rPr>
              <w:t>（</w:t>
            </w:r>
            <w:r>
              <w:rPr>
                <w:rFonts w:hint="eastAsia" w:ascii="微软雅黑" w:hAnsi="微软雅黑" w:cs="仿宋"/>
                <w:color w:val="auto"/>
                <w:szCs w:val="21"/>
                <w:highlight w:val="none"/>
              </w:rPr>
              <w:t>24</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场</w:t>
            </w:r>
          </w:p>
        </w:tc>
        <w:tc>
          <w:tcPr>
            <w:tcW w:w="5514" w:type="dxa"/>
            <w:vAlign w:val="center"/>
          </w:tcPr>
          <w:p w14:paraId="7420C0F9">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文旅融合活动是指结合秀洲特色开展的各类活动</w:t>
            </w:r>
            <w:r>
              <w:rPr>
                <w:rFonts w:hint="eastAsia" w:ascii="微软雅黑" w:hAnsi="微软雅黑" w:cs="仿宋"/>
                <w:color w:val="auto"/>
                <w:szCs w:val="21"/>
                <w:highlight w:val="none"/>
                <w:lang w:eastAsia="zh-CN"/>
              </w:rPr>
              <w:t>或承办省级文旅活动</w:t>
            </w:r>
            <w:r>
              <w:rPr>
                <w:rFonts w:hint="eastAsia" w:ascii="微软雅黑" w:hAnsi="微软雅黑" w:cs="仿宋"/>
                <w:color w:val="auto"/>
                <w:szCs w:val="21"/>
                <w:highlight w:val="none"/>
              </w:rPr>
              <w:t>，其中</w:t>
            </w:r>
            <w:r>
              <w:rPr>
                <w:rFonts w:hint="eastAsia" w:ascii="微软雅黑" w:hAnsi="微软雅黑" w:cs="仿宋"/>
                <w:color w:val="auto"/>
                <w:szCs w:val="21"/>
                <w:highlight w:val="none"/>
                <w:lang w:eastAsia="zh-CN"/>
              </w:rPr>
              <w:t>线下</w:t>
            </w:r>
            <w:r>
              <w:rPr>
                <w:rFonts w:hint="eastAsia" w:ascii="微软雅黑" w:hAnsi="微软雅黑" w:cs="仿宋"/>
                <w:color w:val="auto"/>
                <w:szCs w:val="21"/>
                <w:highlight w:val="none"/>
              </w:rPr>
              <w:t>特大型活动不少于</w:t>
            </w:r>
            <w:r>
              <w:rPr>
                <w:rFonts w:hint="eastAsia" w:ascii="微软雅黑" w:hAnsi="微软雅黑" w:cs="仿宋"/>
                <w:color w:val="auto"/>
                <w:szCs w:val="21"/>
                <w:highlight w:val="none"/>
                <w:lang w:val="en-US" w:eastAsia="zh-CN"/>
              </w:rPr>
              <w:t>5</w:t>
            </w:r>
            <w:r>
              <w:rPr>
                <w:rFonts w:hint="eastAsia" w:ascii="微软雅黑" w:hAnsi="微软雅黑" w:cs="仿宋"/>
                <w:color w:val="auto"/>
                <w:szCs w:val="21"/>
                <w:highlight w:val="none"/>
              </w:rPr>
              <w:t>场</w:t>
            </w:r>
            <w:r>
              <w:rPr>
                <w:rFonts w:hint="eastAsia" w:ascii="微软雅黑" w:hAnsi="微软雅黑" w:cs="仿宋"/>
                <w:color w:val="auto"/>
                <w:szCs w:val="21"/>
                <w:highlight w:val="none"/>
                <w:lang w:eastAsia="zh-CN"/>
              </w:rPr>
              <w:t>，可包括承办一场</w:t>
            </w:r>
            <w:r>
              <w:rPr>
                <w:rFonts w:hint="eastAsia" w:ascii="微软雅黑" w:hAnsi="微软雅黑" w:cs="仿宋"/>
                <w:color w:val="auto"/>
                <w:szCs w:val="21"/>
                <w:highlight w:val="none"/>
                <w:lang w:val="en-US" w:eastAsia="zh-CN"/>
              </w:rPr>
              <w:t>2025年</w:t>
            </w:r>
            <w:r>
              <w:rPr>
                <w:rFonts w:hint="eastAsia" w:ascii="微软雅黑" w:hAnsi="微软雅黑" w:cs="仿宋"/>
                <w:color w:val="auto"/>
                <w:szCs w:val="21"/>
                <w:highlight w:val="none"/>
                <w:lang w:eastAsia="zh-CN"/>
              </w:rPr>
              <w:t>省级公共文化活动</w:t>
            </w:r>
            <w:r>
              <w:rPr>
                <w:rFonts w:hint="eastAsia" w:ascii="微软雅黑" w:hAnsi="微软雅黑" w:cs="仿宋"/>
                <w:color w:val="auto"/>
                <w:kern w:val="0"/>
                <w:szCs w:val="21"/>
                <w:highlight w:val="none"/>
                <w:lang w:val="en-US" w:eastAsia="zh-CN"/>
              </w:rPr>
              <w:t>【</w:t>
            </w:r>
            <w:r>
              <w:rPr>
                <w:rFonts w:hint="eastAsia" w:ascii="微软雅黑" w:hAnsi="微软雅黑" w:cs="仿宋"/>
                <w:b/>
                <w:bCs/>
                <w:color w:val="auto"/>
                <w:kern w:val="0"/>
                <w:szCs w:val="21"/>
                <w:highlight w:val="none"/>
                <w:lang w:val="en-US" w:eastAsia="zh-CN"/>
              </w:rPr>
              <w:t>该5场活动总费用不少于50万元（结算时提供有效证明材料，须经甲方验收，不含本馆内人力资源费用）</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szCs w:val="21"/>
                <w:highlight w:val="none"/>
              </w:rPr>
              <w:t>，该</w:t>
            </w:r>
            <w:r>
              <w:rPr>
                <w:rFonts w:hint="eastAsia" w:ascii="微软雅黑" w:hAnsi="微软雅黑" w:cs="仿宋"/>
                <w:color w:val="auto"/>
                <w:szCs w:val="21"/>
                <w:highlight w:val="none"/>
                <w:lang w:val="en-US" w:eastAsia="zh-CN"/>
              </w:rPr>
              <w:t>5</w:t>
            </w:r>
            <w:r>
              <w:rPr>
                <w:rFonts w:hint="eastAsia" w:ascii="微软雅黑" w:hAnsi="微软雅黑" w:cs="仿宋"/>
                <w:color w:val="auto"/>
                <w:szCs w:val="21"/>
                <w:highlight w:val="none"/>
              </w:rPr>
              <w:t>场活动总人数不少于</w:t>
            </w:r>
            <w:r>
              <w:rPr>
                <w:rFonts w:hint="eastAsia" w:ascii="微软雅黑" w:hAnsi="微软雅黑" w:cs="仿宋"/>
                <w:color w:val="auto"/>
                <w:szCs w:val="21"/>
                <w:highlight w:val="none"/>
                <w:lang w:val="en-US" w:eastAsia="zh-CN"/>
              </w:rPr>
              <w:t>1</w:t>
            </w:r>
            <w:r>
              <w:rPr>
                <w:rFonts w:hint="eastAsia" w:ascii="微软雅黑" w:hAnsi="微软雅黑" w:cs="仿宋"/>
                <w:color w:val="auto"/>
                <w:szCs w:val="21"/>
                <w:highlight w:val="none"/>
              </w:rPr>
              <w:t>0000人次。</w:t>
            </w:r>
          </w:p>
        </w:tc>
      </w:tr>
    </w:tbl>
    <w:p w14:paraId="049068A0">
      <w:pPr>
        <w:ind w:firstLine="630" w:firstLineChars="300"/>
        <w:rPr>
          <w:rFonts w:hint="eastAsia"/>
          <w:color w:val="auto"/>
          <w:highlight w:val="none"/>
          <w:lang w:val="en-US" w:eastAsia="zh-CN"/>
        </w:rPr>
      </w:pPr>
      <w:r>
        <w:rPr>
          <w:rFonts w:hint="eastAsia" w:ascii="微软雅黑" w:hAnsi="微软雅黑" w:cs="仿宋"/>
          <w:color w:val="auto"/>
          <w:kern w:val="0"/>
          <w:szCs w:val="21"/>
          <w:highlight w:val="none"/>
        </w:rPr>
        <w:t>每月完成量不少于</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30</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场，合同期内总数不少于招标文件要求，形式包括但不限于：讲座、培训、展览等社会教育活动、文旅融合活动和全民阅读推广活动。线下活动不少于</w:t>
      </w:r>
      <w:r>
        <w:rPr>
          <w:rFonts w:hint="eastAsia" w:ascii="微软雅黑" w:hAnsi="微软雅黑" w:cs="仿宋"/>
          <w:b w:val="0"/>
          <w:bCs w:val="0"/>
          <w:color w:val="auto"/>
          <w:kern w:val="0"/>
          <w:szCs w:val="21"/>
          <w:highlight w:val="none"/>
          <w:lang w:val="en-US" w:eastAsia="zh-CN"/>
        </w:rPr>
        <w:t>90%</w:t>
      </w:r>
      <w:r>
        <w:rPr>
          <w:rFonts w:hint="eastAsia" w:ascii="微软雅黑" w:hAnsi="微软雅黑" w:cs="仿宋"/>
          <w:b w:val="0"/>
          <w:bCs w:val="0"/>
          <w:color w:val="auto"/>
          <w:kern w:val="0"/>
          <w:szCs w:val="21"/>
          <w:highlight w:val="none"/>
        </w:rPr>
        <w:t>，活动</w:t>
      </w:r>
      <w:r>
        <w:rPr>
          <w:rFonts w:hint="eastAsia" w:ascii="微软雅黑" w:hAnsi="微软雅黑" w:cs="仿宋"/>
          <w:color w:val="auto"/>
          <w:kern w:val="0"/>
          <w:szCs w:val="21"/>
          <w:highlight w:val="none"/>
        </w:rPr>
        <w:t>参与人数不少于</w:t>
      </w:r>
      <w:r>
        <w:rPr>
          <w:rFonts w:hint="eastAsia" w:ascii="微软雅黑" w:hAnsi="微软雅黑" w:cs="仿宋"/>
          <w:color w:val="auto"/>
          <w:kern w:val="0"/>
          <w:szCs w:val="21"/>
          <w:highlight w:val="none"/>
          <w:lang w:val="en-US" w:eastAsia="zh-CN"/>
        </w:rPr>
        <w:t>70</w:t>
      </w:r>
      <w:r>
        <w:rPr>
          <w:rFonts w:hint="eastAsia" w:ascii="微软雅黑" w:hAnsi="微软雅黑" w:cs="仿宋"/>
          <w:color w:val="auto"/>
          <w:kern w:val="0"/>
          <w:szCs w:val="21"/>
          <w:highlight w:val="none"/>
        </w:rPr>
        <w:t>万人次（含线上），线上活动形式应含有读者互动环节，所有活动均需在“浙里文化圈”及省级文化数字平台发布。</w:t>
      </w:r>
    </w:p>
    <w:p w14:paraId="6CD87666">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每个活动要在采购单位认可情况下实施，要有策划方案、推广方式、实施过程和活动效果（信息、总结、活动签到表或能证明活动人数的照片等材料）。</w:t>
      </w:r>
    </w:p>
    <w:p w14:paraId="053AE156">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新媒体运营服务</w:t>
      </w:r>
    </w:p>
    <w:p w14:paraId="0D33947A">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为了扩大秀洲“三馆”在读者群体中的知名度和影响力，中标供应商需根据采购单位要求，运营微信公众号</w:t>
      </w:r>
      <w:r>
        <w:rPr>
          <w:rFonts w:hint="eastAsia" w:ascii="微软雅黑" w:hAnsi="微软雅黑" w:cs="仿宋"/>
          <w:b/>
          <w:bCs/>
          <w:color w:val="auto"/>
          <w:kern w:val="0"/>
          <w:szCs w:val="21"/>
          <w:highlight w:val="none"/>
        </w:rPr>
        <w:t>（年度微信公众号不少于300条，原创信息不少于90%）</w:t>
      </w:r>
      <w:r>
        <w:rPr>
          <w:rFonts w:hint="eastAsia" w:ascii="微软雅黑" w:hAnsi="微软雅黑" w:cs="仿宋"/>
          <w:color w:val="auto"/>
          <w:kern w:val="0"/>
          <w:szCs w:val="21"/>
          <w:highlight w:val="none"/>
        </w:rPr>
        <w:t>、视频号</w:t>
      </w:r>
      <w:r>
        <w:rPr>
          <w:rFonts w:hint="eastAsia" w:ascii="微软雅黑" w:hAnsi="微软雅黑" w:cs="仿宋"/>
          <w:b/>
          <w:bCs/>
          <w:color w:val="auto"/>
          <w:kern w:val="0"/>
          <w:szCs w:val="21"/>
          <w:highlight w:val="none"/>
        </w:rPr>
        <w:t>（年度视频号原创创作不少于52条，内容根据馆方要求拍摄制作）；</w:t>
      </w:r>
      <w:r>
        <w:rPr>
          <w:rFonts w:hint="eastAsia" w:ascii="微软雅黑" w:hAnsi="微软雅黑" w:cs="仿宋"/>
          <w:color w:val="auto"/>
          <w:kern w:val="0"/>
          <w:szCs w:val="21"/>
          <w:highlight w:val="none"/>
        </w:rPr>
        <w:t>负责抖音、微博、哔哩哔哩、喜马拉雅等新媒体平台（渠道不少于运营</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个）宣传渠道的运营。同时通过各馆网站、微信公众号平台、微博等渠道，向读者展示秀洲三馆最新动态和各类公开信息，并能够与读者进行及时互动，了解读者需求及回复。</w:t>
      </w:r>
    </w:p>
    <w:p w14:paraId="2FC64358">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送书下乡</w:t>
      </w:r>
    </w:p>
    <w:p w14:paraId="60AC7564">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中标供应商需完成送书下乡不少于2万册次，设置送书下乡专用帐号。</w:t>
      </w:r>
    </w:p>
    <w:p w14:paraId="792F1C82">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书刊宣传</w:t>
      </w:r>
    </w:p>
    <w:p w14:paraId="0E0D3D75">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年书刊宣传不少于24次1200册，利用直观形式、书目形式、群众活动等形式向读者宣传书刊资料。</w:t>
      </w:r>
    </w:p>
    <w:p w14:paraId="265794B1">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 xml:space="preserve"> “三馆”文创产品开发设计服务</w:t>
      </w:r>
    </w:p>
    <w:p w14:paraId="270A85D4">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中标供应商需结合秀洲三馆特色及秀洲本土文化，开发设计3类三馆文创产品，每类不少于4款产品，同时按甲方要求提供不少于</w:t>
      </w:r>
      <w:r>
        <w:rPr>
          <w:rFonts w:hint="eastAsia" w:ascii="微软雅黑" w:hAnsi="微软雅黑" w:cs="仿宋"/>
          <w:color w:val="auto"/>
          <w:kern w:val="0"/>
          <w:szCs w:val="21"/>
          <w:highlight w:val="none"/>
          <w:lang w:val="en-US" w:eastAsia="zh-CN"/>
        </w:rPr>
        <w:t>3类</w:t>
      </w:r>
      <w:r>
        <w:rPr>
          <w:rFonts w:hint="eastAsia" w:ascii="微软雅黑" w:hAnsi="微软雅黑" w:cs="仿宋"/>
          <w:color w:val="auto"/>
          <w:kern w:val="0"/>
          <w:szCs w:val="21"/>
          <w:highlight w:val="none"/>
        </w:rPr>
        <w:t>产品落地及</w:t>
      </w:r>
      <w:r>
        <w:rPr>
          <w:rFonts w:hint="eastAsia" w:ascii="微软雅黑" w:hAnsi="微软雅黑" w:cs="仿宋"/>
          <w:color w:val="auto"/>
          <w:kern w:val="0"/>
          <w:szCs w:val="21"/>
          <w:highlight w:val="none"/>
          <w:lang w:eastAsia="zh-CN"/>
        </w:rPr>
        <w:t>共</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00份的制作。</w:t>
      </w:r>
    </w:p>
    <w:p w14:paraId="32413AAF">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宣传推广服务</w:t>
      </w:r>
    </w:p>
    <w:p w14:paraId="0E8EA469">
      <w:pPr>
        <w:ind w:firstLine="420"/>
        <w:rPr>
          <w:rFonts w:ascii="微软雅黑" w:hAnsi="微软雅黑" w:cs="仿宋"/>
          <w:color w:val="auto"/>
          <w:szCs w:val="21"/>
          <w:highlight w:val="none"/>
        </w:rPr>
      </w:pPr>
      <w:r>
        <w:rPr>
          <w:rFonts w:hint="eastAsia" w:ascii="微软雅黑" w:hAnsi="微软雅黑" w:cs="仿宋"/>
          <w:color w:val="auto"/>
          <w:szCs w:val="21"/>
          <w:highlight w:val="none"/>
        </w:rPr>
        <w:t>中标供应商需结合运营成效，合同期内在市级及以上主流媒体上发布秀洲“三馆”相关宣传报道不少于</w:t>
      </w:r>
      <w:r>
        <w:rPr>
          <w:rFonts w:hint="eastAsia" w:ascii="微软雅黑" w:hAnsi="微软雅黑" w:cs="仿宋"/>
          <w:color w:val="auto"/>
          <w:szCs w:val="21"/>
          <w:highlight w:val="none"/>
          <w:lang w:val="en-US" w:eastAsia="zh-CN"/>
        </w:rPr>
        <w:t>40</w:t>
      </w:r>
      <w:r>
        <w:rPr>
          <w:rFonts w:hint="eastAsia" w:ascii="微软雅黑" w:hAnsi="微软雅黑" w:cs="仿宋"/>
          <w:color w:val="auto"/>
          <w:szCs w:val="21"/>
          <w:highlight w:val="none"/>
        </w:rPr>
        <w:t>篇，其中省级及以上不少于</w:t>
      </w:r>
      <w:r>
        <w:rPr>
          <w:rFonts w:hint="eastAsia" w:ascii="微软雅黑" w:hAnsi="微软雅黑" w:cs="仿宋"/>
          <w:color w:val="auto"/>
          <w:szCs w:val="21"/>
          <w:highlight w:val="none"/>
          <w:lang w:val="en-US" w:eastAsia="zh-CN"/>
        </w:rPr>
        <w:t>20</w:t>
      </w:r>
      <w:r>
        <w:rPr>
          <w:rFonts w:hint="eastAsia" w:ascii="微软雅黑" w:hAnsi="微软雅黑" w:cs="仿宋"/>
          <w:color w:val="auto"/>
          <w:szCs w:val="21"/>
          <w:highlight w:val="none"/>
        </w:rPr>
        <w:t>篇，同内容宣传报道只计1次，按最高级别计。</w:t>
      </w:r>
    </w:p>
    <w:p w14:paraId="185DD4A2">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专项工作组织及创新服务</w:t>
      </w:r>
    </w:p>
    <w:p w14:paraId="2AE395EB">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中标供应商需协助完成不少于1项市级及以上创新项目申报创建</w:t>
      </w:r>
      <w:r>
        <w:rPr>
          <w:rFonts w:hint="eastAsia" w:ascii="微软雅黑" w:hAnsi="微软雅黑" w:cs="仿宋"/>
          <w:b/>
          <w:bCs/>
          <w:color w:val="auto"/>
          <w:szCs w:val="21"/>
          <w:highlight w:val="none"/>
          <w:lang w:eastAsia="zh-CN"/>
        </w:rPr>
        <w:t>；</w:t>
      </w:r>
    </w:p>
    <w:p w14:paraId="15736132">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引进并承办不少于一场省级及以上的专业学术研讨会</w:t>
      </w:r>
      <w:r>
        <w:rPr>
          <w:rFonts w:hint="eastAsia" w:ascii="微软雅黑" w:hAnsi="微软雅黑" w:cs="仿宋"/>
          <w:b/>
          <w:bCs/>
          <w:color w:val="auto"/>
          <w:szCs w:val="21"/>
          <w:highlight w:val="none"/>
          <w:lang w:eastAsia="zh-CN"/>
        </w:rPr>
        <w:t>【参与人数不少于</w:t>
      </w:r>
      <w:r>
        <w:rPr>
          <w:rFonts w:hint="eastAsia" w:ascii="微软雅黑" w:hAnsi="微软雅黑" w:cs="仿宋"/>
          <w:b/>
          <w:bCs/>
          <w:color w:val="auto"/>
          <w:szCs w:val="21"/>
          <w:highlight w:val="none"/>
          <w:lang w:val="en-US" w:eastAsia="zh-CN"/>
        </w:rPr>
        <w:t>100人（不含本馆人员）】；</w:t>
      </w:r>
    </w:p>
    <w:p w14:paraId="79E55784">
      <w:pPr>
        <w:pStyle w:val="102"/>
        <w:numPr>
          <w:ilvl w:val="0"/>
          <w:numId w:val="8"/>
        </w:numPr>
        <w:tabs>
          <w:tab w:val="left" w:pos="0"/>
        </w:tabs>
        <w:ind w:left="0" w:leftChars="0" w:firstLine="420" w:firstLineChars="200"/>
        <w:rPr>
          <w:rFonts w:hint="eastAsia" w:ascii="微软雅黑" w:hAnsi="微软雅黑" w:cs="仿宋"/>
          <w:b/>
          <w:bCs/>
          <w:color w:val="auto"/>
          <w:szCs w:val="21"/>
          <w:highlight w:val="none"/>
        </w:rPr>
      </w:pPr>
      <w:r>
        <w:rPr>
          <w:rFonts w:hint="eastAsia" w:ascii="微软雅黑" w:hAnsi="微软雅黑" w:cs="仿宋"/>
          <w:b/>
          <w:bCs/>
          <w:color w:val="auto"/>
          <w:szCs w:val="21"/>
          <w:highlight w:val="none"/>
        </w:rPr>
        <w:t>组办地市级及以上公共文化场馆的学术会议等业务交流活动不少于</w:t>
      </w:r>
      <w:r>
        <w:rPr>
          <w:rFonts w:hint="eastAsia" w:ascii="微软雅黑" w:hAnsi="微软雅黑" w:cs="仿宋"/>
          <w:b/>
          <w:bCs/>
          <w:color w:val="auto"/>
          <w:szCs w:val="21"/>
          <w:highlight w:val="none"/>
          <w:lang w:val="en-US" w:eastAsia="zh-CN"/>
        </w:rPr>
        <w:t>2</w:t>
      </w:r>
      <w:r>
        <w:rPr>
          <w:rFonts w:hint="eastAsia" w:ascii="微软雅黑" w:hAnsi="微软雅黑" w:cs="仿宋"/>
          <w:b/>
          <w:bCs/>
          <w:color w:val="auto"/>
          <w:szCs w:val="21"/>
          <w:highlight w:val="none"/>
        </w:rPr>
        <w:t>次</w:t>
      </w:r>
      <w:r>
        <w:rPr>
          <w:rFonts w:hint="eastAsia" w:ascii="微软雅黑" w:hAnsi="微软雅黑" w:cs="仿宋"/>
          <w:b/>
          <w:bCs/>
          <w:color w:val="auto"/>
          <w:szCs w:val="21"/>
          <w:highlight w:val="none"/>
          <w:lang w:eastAsia="zh-CN"/>
        </w:rPr>
        <w:t>。</w:t>
      </w:r>
    </w:p>
    <w:p w14:paraId="139F3AC0">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学术理论研究</w:t>
      </w:r>
    </w:p>
    <w:p w14:paraId="3D0CC5F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在公开出版的刊物上发表公共文化类的相关论文不低于</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篇（署名单位须含本项目三馆之一）。论文须发表在有ISSN号的连续出版物或有ISBN号的中国图书馆学会年会论文集和国际会议论文集等正规出版物上。</w:t>
      </w:r>
    </w:p>
    <w:p w14:paraId="7B2C2A80">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总分馆体系设计</w:t>
      </w:r>
    </w:p>
    <w:p w14:paraId="5F86021D">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中标供应商需协助主管部门对秀洲区图书馆总分馆体系进行优化设计，提出可实施的秀洲区图书馆总分馆体系运营方案，并完成总分馆体系相关工作，开展相关的</w:t>
      </w:r>
      <w:r>
        <w:rPr>
          <w:rFonts w:hint="eastAsia" w:ascii="微软雅黑" w:hAnsi="微软雅黑" w:cs="仿宋"/>
          <w:color w:val="auto"/>
          <w:kern w:val="0"/>
          <w:szCs w:val="21"/>
          <w:highlight w:val="none"/>
          <w:lang w:val="en-US" w:eastAsia="zh-CN"/>
        </w:rPr>
        <w:t>总分馆建设、</w:t>
      </w:r>
      <w:r>
        <w:rPr>
          <w:rFonts w:hint="eastAsia" w:ascii="微软雅黑" w:hAnsi="微软雅黑" w:cs="仿宋"/>
          <w:color w:val="auto"/>
          <w:kern w:val="0"/>
          <w:szCs w:val="21"/>
          <w:highlight w:val="none"/>
        </w:rPr>
        <w:t>资源服务和阅读推广活动。</w:t>
      </w:r>
    </w:p>
    <w:p w14:paraId="2AEFF342">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专家顾问团队</w:t>
      </w:r>
    </w:p>
    <w:p w14:paraId="61C5A89E">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中标供应商在合同期内应不少于</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次的聘请专家顾问团队服务，顾问团队每次不少于3名专家，特别是计划总结或创新项目申报、创建等工作中提出建设性意见，服务形式包括但不仅限于培训会、研讨会、实地指导调研会。</w:t>
      </w:r>
    </w:p>
    <w:p w14:paraId="55B9E43E">
      <w:pPr>
        <w:numPr>
          <w:ilvl w:val="0"/>
          <w:numId w:val="7"/>
        </w:numPr>
        <w:ind w:firstLine="420"/>
        <w:jc w:val="both"/>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合理化建议</w:t>
      </w:r>
    </w:p>
    <w:p w14:paraId="31FACA5E">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中标供应商根据本项目实施目标，提出针对本项目的合理化建议。</w:t>
      </w:r>
    </w:p>
    <w:p w14:paraId="23AC3728">
      <w:pPr>
        <w:pStyle w:val="102"/>
        <w:numPr>
          <w:ilvl w:val="0"/>
          <w:numId w:val="4"/>
        </w:numPr>
        <w:ind w:left="0" w:firstLine="420"/>
        <w:outlineLvl w:val="1"/>
        <w:rPr>
          <w:rFonts w:ascii="微软雅黑" w:hAnsi="微软雅黑" w:cs="仿宋"/>
          <w:b/>
          <w:bCs/>
          <w:color w:val="auto"/>
          <w:kern w:val="0"/>
          <w:szCs w:val="21"/>
          <w:highlight w:val="none"/>
        </w:rPr>
      </w:pPr>
      <w:r>
        <w:rPr>
          <w:rFonts w:hint="eastAsia" w:ascii="微软雅黑" w:hAnsi="微软雅黑" w:cs="仿宋"/>
          <w:b/>
          <w:color w:val="auto"/>
          <w:kern w:val="0"/>
          <w:szCs w:val="21"/>
          <w:highlight w:val="none"/>
        </w:rPr>
        <w:t>项目实施人员配备要求</w:t>
      </w:r>
    </w:p>
    <w:p w14:paraId="4E7F626D">
      <w:pPr>
        <w:pStyle w:val="102"/>
        <w:tabs>
          <w:tab w:val="left" w:pos="0"/>
        </w:tabs>
        <w:rPr>
          <w:rFonts w:ascii="微软雅黑" w:hAnsi="微软雅黑" w:cs="微软雅黑"/>
          <w:b/>
          <w:bCs/>
          <w:color w:val="auto"/>
          <w:kern w:val="0"/>
          <w:szCs w:val="21"/>
          <w:highlight w:val="none"/>
        </w:rPr>
      </w:pPr>
      <w:r>
        <w:rPr>
          <w:rFonts w:hint="eastAsia" w:ascii="微软雅黑" w:hAnsi="微软雅黑" w:cs="微软雅黑"/>
          <w:color w:val="auto"/>
          <w:kern w:val="0"/>
          <w:szCs w:val="21"/>
          <w:highlight w:val="none"/>
        </w:rPr>
        <w:t>▲</w:t>
      </w:r>
      <w:r>
        <w:rPr>
          <w:rFonts w:hint="eastAsia" w:ascii="微软雅黑" w:hAnsi="微软雅黑" w:cs="微软雅黑"/>
          <w:b/>
          <w:bCs/>
          <w:color w:val="auto"/>
          <w:kern w:val="0"/>
          <w:szCs w:val="21"/>
          <w:highlight w:val="none"/>
        </w:rPr>
        <w:t>本项目人员配置不少于</w:t>
      </w:r>
      <w:r>
        <w:rPr>
          <w:rFonts w:hint="eastAsia" w:ascii="微软雅黑" w:hAnsi="微软雅黑" w:cs="微软雅黑"/>
          <w:b/>
          <w:bCs/>
          <w:color w:val="auto"/>
          <w:kern w:val="0"/>
          <w:szCs w:val="21"/>
          <w:highlight w:val="none"/>
          <w:lang w:val="en-US" w:eastAsia="zh-CN"/>
        </w:rPr>
        <w:t>45</w:t>
      </w:r>
      <w:r>
        <w:rPr>
          <w:rFonts w:hint="eastAsia" w:ascii="微软雅黑" w:hAnsi="微软雅黑" w:cs="微软雅黑"/>
          <w:b/>
          <w:bCs/>
          <w:color w:val="auto"/>
          <w:kern w:val="0"/>
          <w:szCs w:val="21"/>
          <w:highlight w:val="none"/>
        </w:rPr>
        <w:t>人；均须</w:t>
      </w:r>
      <w:r>
        <w:rPr>
          <w:rFonts w:hint="eastAsia" w:ascii="微软雅黑" w:hAnsi="微软雅黑" w:cs="微软雅黑"/>
          <w:b/>
          <w:bCs/>
          <w:color w:val="auto"/>
          <w:kern w:val="0"/>
          <w:szCs w:val="21"/>
          <w:highlight w:val="none"/>
          <w:shd w:val="clear" w:color="auto" w:fill="FFFFFF"/>
          <w:lang w:bidi="ar"/>
        </w:rPr>
        <w:t>具有大专</w:t>
      </w:r>
      <w:r>
        <w:rPr>
          <w:rFonts w:hint="eastAsia" w:ascii="微软雅黑" w:hAnsi="微软雅黑" w:cs="微软雅黑"/>
          <w:b/>
          <w:bCs/>
          <w:color w:val="auto"/>
          <w:kern w:val="0"/>
          <w:szCs w:val="21"/>
          <w:highlight w:val="none"/>
          <w:shd w:val="clear" w:color="auto" w:fill="FFFFFF"/>
          <w:lang w:eastAsia="zh-CN" w:bidi="ar"/>
        </w:rPr>
        <w:t>及</w:t>
      </w:r>
      <w:r>
        <w:rPr>
          <w:rFonts w:hint="eastAsia" w:ascii="微软雅黑" w:hAnsi="微软雅黑" w:cs="微软雅黑"/>
          <w:b/>
          <w:bCs/>
          <w:color w:val="auto"/>
          <w:kern w:val="0"/>
          <w:szCs w:val="21"/>
          <w:highlight w:val="none"/>
          <w:shd w:val="clear" w:color="auto" w:fill="FFFFFF"/>
          <w:lang w:bidi="ar"/>
        </w:rPr>
        <w:t>以上文化程度和相应的专业知识，所有项目实施人员中标单位须在中标结果公示后30日内到位。</w:t>
      </w:r>
      <w:r>
        <w:rPr>
          <w:rFonts w:hint="eastAsia" w:ascii="微软雅黑" w:hAnsi="微软雅黑" w:cs="微软雅黑"/>
          <w:b/>
          <w:bCs/>
          <w:color w:val="auto"/>
          <w:kern w:val="0"/>
          <w:szCs w:val="21"/>
          <w:highlight w:val="none"/>
        </w:rPr>
        <w:t>投标供应商需在投标文件中提供承诺书，并承诺如达不到上述要求的，采购单位将上报相关行政部门，由相关行政部门依法对投标供应商作出相关处理或处罚，并保留依法追究相关损失的权力。</w:t>
      </w:r>
    </w:p>
    <w:p w14:paraId="49E8BC59">
      <w:pPr>
        <w:pStyle w:val="102"/>
        <w:numPr>
          <w:ilvl w:val="0"/>
          <w:numId w:val="9"/>
        </w:numPr>
        <w:tabs>
          <w:tab w:val="left" w:pos="0"/>
        </w:tabs>
        <w:ind w:left="0" w:firstLine="420"/>
        <w:outlineLvl w:val="2"/>
        <w:rPr>
          <w:rFonts w:ascii="微软雅黑" w:hAnsi="微软雅黑" w:cs="微软雅黑"/>
          <w:b/>
          <w:bCs/>
          <w:color w:val="auto"/>
          <w:kern w:val="0"/>
          <w:szCs w:val="21"/>
          <w:highlight w:val="none"/>
        </w:rPr>
      </w:pPr>
      <w:r>
        <w:rPr>
          <w:rFonts w:hint="eastAsia" w:ascii="微软雅黑" w:hAnsi="微软雅黑" w:cs="微软雅黑"/>
          <w:b/>
          <w:bCs/>
          <w:color w:val="auto"/>
          <w:kern w:val="0"/>
          <w:szCs w:val="21"/>
          <w:highlight w:val="none"/>
        </w:rPr>
        <w:t>各岗位配置要求</w:t>
      </w:r>
    </w:p>
    <w:p w14:paraId="56DE017C">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lang w:eastAsia="zh-CN"/>
        </w:rPr>
        <w:t>三馆总负责人</w:t>
      </w:r>
      <w:r>
        <w:rPr>
          <w:rFonts w:hint="eastAsia" w:ascii="微软雅黑" w:hAnsi="微软雅黑" w:cs="微软雅黑"/>
          <w:color w:val="auto"/>
          <w:kern w:val="0"/>
          <w:szCs w:val="21"/>
          <w:highlight w:val="none"/>
        </w:rPr>
        <w:t>：人数不少于1人，具有相关专业中级以上职称，负责整体项目整合运营管理；</w:t>
      </w:r>
    </w:p>
    <w:p w14:paraId="0876C547">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lang w:eastAsia="zh-CN"/>
        </w:rPr>
        <w:t>分馆管理负责人</w:t>
      </w:r>
      <w:r>
        <w:rPr>
          <w:rFonts w:hint="eastAsia" w:ascii="微软雅黑" w:hAnsi="微软雅黑" w:cs="微软雅黑"/>
          <w:color w:val="auto"/>
          <w:kern w:val="0"/>
          <w:szCs w:val="21"/>
          <w:highlight w:val="none"/>
        </w:rPr>
        <w:t>：人数设置不少于2人</w:t>
      </w:r>
      <w:r>
        <w:rPr>
          <w:rFonts w:hint="eastAsia" w:ascii="微软雅黑" w:hAnsi="微软雅黑" w:cs="微软雅黑"/>
          <w:b w:val="0"/>
          <w:bCs w:val="0"/>
          <w:color w:val="auto"/>
          <w:kern w:val="0"/>
          <w:szCs w:val="21"/>
          <w:highlight w:val="none"/>
        </w:rPr>
        <w:t>，具有</w:t>
      </w:r>
      <w:r>
        <w:rPr>
          <w:rFonts w:hint="eastAsia" w:ascii="微软雅黑" w:hAnsi="微软雅黑" w:cs="微软雅黑"/>
          <w:color w:val="auto"/>
          <w:kern w:val="0"/>
          <w:szCs w:val="21"/>
          <w:highlight w:val="none"/>
        </w:rPr>
        <w:t>相应的文化水平、专业知识和组织管理能力，负责各分馆的工作管理；</w:t>
      </w:r>
      <w:r>
        <w:rPr>
          <w:rFonts w:hint="eastAsia" w:ascii="微软雅黑" w:hAnsi="微软雅黑" w:cs="微软雅黑"/>
          <w:b/>
          <w:bCs/>
          <w:color w:val="auto"/>
          <w:kern w:val="0"/>
          <w:szCs w:val="21"/>
          <w:highlight w:val="none"/>
        </w:rPr>
        <w:t>▲ 其中分管图书馆工作的</w:t>
      </w:r>
      <w:r>
        <w:rPr>
          <w:rFonts w:hint="eastAsia" w:ascii="微软雅黑" w:hAnsi="微软雅黑" w:cs="微软雅黑"/>
          <w:color w:val="auto"/>
          <w:kern w:val="0"/>
          <w:szCs w:val="21"/>
          <w:highlight w:val="none"/>
          <w:lang w:eastAsia="zh-CN"/>
        </w:rPr>
        <w:t>分馆管理负责人</w:t>
      </w:r>
      <w:r>
        <w:rPr>
          <w:rFonts w:hint="eastAsia" w:ascii="微软雅黑" w:hAnsi="微软雅黑" w:cs="微软雅黑"/>
          <w:b/>
          <w:bCs/>
          <w:color w:val="auto"/>
          <w:kern w:val="0"/>
          <w:szCs w:val="21"/>
          <w:highlight w:val="none"/>
        </w:rPr>
        <w:t>根据《浙江省公共图书馆管理办法》规定应当由具有中级以上专业技术职务任职资格的人员担任。</w:t>
      </w:r>
    </w:p>
    <w:p w14:paraId="55411CC6">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部门管理服务：人数设置不少于</w:t>
      </w:r>
      <w:r>
        <w:rPr>
          <w:rFonts w:hint="eastAsia" w:ascii="微软雅黑" w:hAnsi="微软雅黑" w:cs="微软雅黑"/>
          <w:color w:val="auto"/>
          <w:kern w:val="0"/>
          <w:szCs w:val="21"/>
          <w:highlight w:val="none"/>
          <w:lang w:val="en-US" w:eastAsia="zh-CN"/>
        </w:rPr>
        <w:t>6</w:t>
      </w:r>
      <w:r>
        <w:rPr>
          <w:rFonts w:hint="eastAsia" w:ascii="微软雅黑" w:hAnsi="微软雅黑" w:cs="微软雅黑"/>
          <w:color w:val="auto"/>
          <w:kern w:val="0"/>
          <w:szCs w:val="21"/>
          <w:highlight w:val="none"/>
        </w:rPr>
        <w:t>人，项目内各部门管理人员应具备项目统筹管理能力，能够把握基础服务工作的发展趋势，承担部门日常管理与部门业务活动的组织管理工作；</w:t>
      </w:r>
    </w:p>
    <w:p w14:paraId="09DCA7E0">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品牌运营服务：人数设置不少于</w:t>
      </w:r>
      <w:r>
        <w:rPr>
          <w:rFonts w:hint="eastAsia" w:ascii="微软雅黑" w:hAnsi="微软雅黑" w:cs="微软雅黑"/>
          <w:color w:val="auto"/>
          <w:kern w:val="0"/>
          <w:szCs w:val="21"/>
          <w:highlight w:val="none"/>
          <w:lang w:val="en-US" w:eastAsia="zh-CN"/>
        </w:rPr>
        <w:t>5</w:t>
      </w:r>
      <w:r>
        <w:rPr>
          <w:rFonts w:hint="eastAsia" w:ascii="微软雅黑" w:hAnsi="微软雅黑" w:cs="微软雅黑"/>
          <w:color w:val="auto"/>
          <w:kern w:val="0"/>
          <w:szCs w:val="21"/>
          <w:highlight w:val="none"/>
        </w:rPr>
        <w:t>人，开展各类品牌活动，具备读者活动、宣传推广、新媒体运营等业务知识；</w:t>
      </w:r>
    </w:p>
    <w:p w14:paraId="58E5326D">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展览策划服务：人数设置不少于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人，熟悉展览业务流程，具备策划各类展览的综合能力和协调沟通能力；</w:t>
      </w:r>
    </w:p>
    <w:p w14:paraId="289034CA">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网络技术服务：人数设置不少于2人，熟练应用馆内相关系统及设备，协助维护馆内设备设施。为读者提供技术服务。具有计算机及软件应用相关知识，应具备大学本科及以上学历，有相关工作经验，具备完成本职工作所需的基础知识与业务技能；</w:t>
      </w:r>
    </w:p>
    <w:p w14:paraId="41EEBA88">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文献资源服务：人数设置不少于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 xml:space="preserve">人，根据图书馆馆藏规划，开展图书馆馆藏建设工作，做好图书采访、编目等工作； </w:t>
      </w:r>
    </w:p>
    <w:p w14:paraId="083F9B38">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地方文献兼参考咨询服务：人数设置不少于</w:t>
      </w:r>
      <w:r>
        <w:rPr>
          <w:rFonts w:hint="eastAsia" w:ascii="微软雅黑" w:hAnsi="微软雅黑" w:cs="微软雅黑"/>
          <w:color w:val="auto"/>
          <w:kern w:val="0"/>
          <w:szCs w:val="21"/>
          <w:highlight w:val="none"/>
          <w:lang w:val="en-US" w:eastAsia="zh-CN"/>
        </w:rPr>
        <w:t>2</w:t>
      </w:r>
      <w:r>
        <w:rPr>
          <w:rFonts w:hint="eastAsia" w:ascii="微软雅黑" w:hAnsi="微软雅黑" w:cs="微软雅黑"/>
          <w:color w:val="auto"/>
          <w:kern w:val="0"/>
          <w:szCs w:val="21"/>
          <w:highlight w:val="none"/>
        </w:rPr>
        <w:t>人，开展地方文献建设工作，包括地方文献采集、整理、保存等，提供图书馆参考咨询服务，完善参考咨询服务制度和服务规范。</w:t>
      </w:r>
    </w:p>
    <w:p w14:paraId="6E6B7F83">
      <w:pPr>
        <w:pStyle w:val="102"/>
        <w:numPr>
          <w:ilvl w:val="1"/>
          <w:numId w:val="9"/>
        </w:numPr>
        <w:tabs>
          <w:tab w:val="left" w:pos="0"/>
        </w:tabs>
        <w:ind w:left="0" w:firstLine="420"/>
        <w:rPr>
          <w:rFonts w:ascii="微软雅黑" w:hAnsi="微软雅黑" w:cs="微软雅黑"/>
          <w:color w:val="auto"/>
          <w:kern w:val="0"/>
          <w:szCs w:val="21"/>
          <w:highlight w:val="none"/>
        </w:rPr>
      </w:pPr>
      <w:r>
        <w:rPr>
          <w:rFonts w:hint="eastAsia" w:ascii="微软雅黑" w:hAnsi="微软雅黑" w:cs="微软雅黑"/>
          <w:color w:val="auto"/>
          <w:kern w:val="0"/>
          <w:szCs w:val="21"/>
          <w:highlight w:val="none"/>
        </w:rPr>
        <w:t>基础服务：人数设置不少于</w:t>
      </w:r>
      <w:r>
        <w:rPr>
          <w:rFonts w:hint="eastAsia" w:ascii="微软雅黑" w:hAnsi="微软雅黑" w:cs="微软雅黑"/>
          <w:color w:val="auto"/>
          <w:kern w:val="0"/>
          <w:szCs w:val="21"/>
          <w:highlight w:val="none"/>
          <w:lang w:val="en-US" w:eastAsia="zh-CN"/>
        </w:rPr>
        <w:t>23</w:t>
      </w:r>
      <w:r>
        <w:rPr>
          <w:rFonts w:hint="eastAsia" w:ascii="微软雅黑" w:hAnsi="微软雅黑" w:cs="微软雅黑"/>
          <w:color w:val="auto"/>
          <w:kern w:val="0"/>
          <w:szCs w:val="21"/>
          <w:highlight w:val="none"/>
        </w:rPr>
        <w:t>人，作为三馆基础服务工作的主体，开展图书馆流通服务工作、农民画馆和非遗馆导览工作，做好服务台读者咨询、读者辅导、文献推荐、文献咨询、场馆讲解、志愿者管理等基本业务工作。</w:t>
      </w:r>
    </w:p>
    <w:p w14:paraId="0E20ACCF">
      <w:pPr>
        <w:pStyle w:val="102"/>
        <w:numPr>
          <w:ilvl w:val="0"/>
          <w:numId w:val="4"/>
        </w:numPr>
        <w:ind w:left="0" w:firstLine="420"/>
        <w:outlineLvl w:val="1"/>
        <w:rPr>
          <w:rFonts w:ascii="微软雅黑" w:hAnsi="微软雅黑" w:cs="仿宋"/>
          <w:b/>
          <w:color w:val="auto"/>
          <w:kern w:val="0"/>
          <w:szCs w:val="21"/>
          <w:highlight w:val="none"/>
        </w:rPr>
      </w:pPr>
      <w:r>
        <w:rPr>
          <w:rFonts w:hint="eastAsia" w:ascii="微软雅黑" w:hAnsi="微软雅黑" w:cs="仿宋"/>
          <w:b/>
          <w:color w:val="auto"/>
          <w:kern w:val="0"/>
          <w:szCs w:val="21"/>
          <w:highlight w:val="none"/>
        </w:rPr>
        <w:t>其它服务相关要求</w:t>
      </w:r>
    </w:p>
    <w:p w14:paraId="101D05EC">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管理体系要求</w:t>
      </w:r>
    </w:p>
    <w:p w14:paraId="6509FF0F">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针对三馆融合运营，建立具有科学性、专业性、可行性的管理体系。</w:t>
      </w:r>
    </w:p>
    <w:p w14:paraId="2D90102B">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礼仪要求</w:t>
      </w:r>
    </w:p>
    <w:p w14:paraId="28754F6B">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公共文化场馆是公共文化服务体系的重要组成部分，也是精神文明建设的重要窗口之一，是宣传先进文化、提高全民素质、服务大众的基地。工作人员应树立良好的对外服务形象，遵循适当的礼仪规范，倡导文明服务、礼貌服务，提升服务意识和水平，高质量地开展服务工作。</w:t>
      </w:r>
    </w:p>
    <w:p w14:paraId="08DE83FC">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项目实施人员培训</w:t>
      </w:r>
    </w:p>
    <w:p w14:paraId="39B95297">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为保证服务品质，中标供应商需定期邀请省、市公共文化场馆或行业内的专家对项目实施人员进行专业度和服务相关的培训，馆员业务培训不少于120学时；中标供应商必须招聘优秀人才开展相关服务，组织进行专业培训，考评考核通过后才能录用；鼓励员工参与公共文化场馆相关技术职称评定。</w:t>
      </w:r>
    </w:p>
    <w:p w14:paraId="4985DA65">
      <w:pPr>
        <w:pStyle w:val="102"/>
        <w:ind w:firstLine="426"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参加地市级及以上公共文化场馆的学术会议、业务培训等业务交流活动不少于</w:t>
      </w:r>
      <w:r>
        <w:rPr>
          <w:rFonts w:hint="eastAsia" w:ascii="微软雅黑" w:hAnsi="微软雅黑" w:cs="仿宋"/>
          <w:color w:val="auto"/>
          <w:szCs w:val="21"/>
          <w:highlight w:val="none"/>
          <w:lang w:val="en-US" w:eastAsia="zh-CN"/>
        </w:rPr>
        <w:t>6</w:t>
      </w:r>
      <w:r>
        <w:rPr>
          <w:rFonts w:hint="eastAsia" w:ascii="微软雅黑" w:hAnsi="微软雅黑" w:cs="仿宋"/>
          <w:color w:val="auto"/>
          <w:szCs w:val="21"/>
          <w:highlight w:val="none"/>
        </w:rPr>
        <w:t>次，其中全国性不少于</w:t>
      </w:r>
      <w:r>
        <w:rPr>
          <w:rFonts w:hint="eastAsia" w:ascii="微软雅黑" w:hAnsi="微软雅黑" w:cs="仿宋"/>
          <w:color w:val="auto"/>
          <w:szCs w:val="21"/>
          <w:highlight w:val="none"/>
          <w:lang w:val="en-US" w:eastAsia="zh-CN"/>
        </w:rPr>
        <w:t>3</w:t>
      </w:r>
      <w:r>
        <w:rPr>
          <w:rFonts w:hint="eastAsia" w:ascii="微软雅黑" w:hAnsi="微软雅黑" w:cs="仿宋"/>
          <w:color w:val="auto"/>
          <w:szCs w:val="21"/>
          <w:highlight w:val="none"/>
        </w:rPr>
        <w:t>次，全省性不少于</w:t>
      </w:r>
      <w:r>
        <w:rPr>
          <w:rFonts w:hint="eastAsia" w:ascii="微软雅黑" w:hAnsi="微软雅黑" w:cs="仿宋"/>
          <w:color w:val="auto"/>
          <w:szCs w:val="21"/>
          <w:highlight w:val="none"/>
          <w:lang w:val="en-US" w:eastAsia="zh-CN"/>
        </w:rPr>
        <w:t>3</w:t>
      </w:r>
      <w:r>
        <w:rPr>
          <w:rFonts w:hint="eastAsia" w:ascii="微软雅黑" w:hAnsi="微软雅黑" w:cs="仿宋"/>
          <w:color w:val="auto"/>
          <w:szCs w:val="21"/>
          <w:highlight w:val="none"/>
        </w:rPr>
        <w:t>次。</w:t>
      </w:r>
    </w:p>
    <w:p w14:paraId="6A7CAF3C">
      <w:pPr>
        <w:pStyle w:val="102"/>
        <w:ind w:firstLine="426" w:firstLineChars="0"/>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eastAsia="zh-CN"/>
        </w:rPr>
        <w:t>要求运营单位培养不少于</w:t>
      </w:r>
      <w:r>
        <w:rPr>
          <w:rFonts w:hint="eastAsia" w:ascii="微软雅黑" w:hAnsi="微软雅黑" w:cs="仿宋"/>
          <w:color w:val="auto"/>
          <w:szCs w:val="21"/>
          <w:highlight w:val="none"/>
          <w:lang w:val="en-US" w:eastAsia="zh-CN"/>
        </w:rPr>
        <w:t>3名秀洲“三馆”综合讲解员，并保证合同期内至少1名人员不出嘉兴本市级，要求女性。</w:t>
      </w:r>
    </w:p>
    <w:p w14:paraId="477E44C2">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稳定本项目实施人员措施</w:t>
      </w:r>
    </w:p>
    <w:p w14:paraId="5B9B9A1F">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中标供应商应采取保证项目实施人员团队稳定的各项措施，包括建立人力资源工资标准制度</w:t>
      </w:r>
      <w:r>
        <w:rPr>
          <w:rFonts w:hint="eastAsia" w:ascii="微软雅黑" w:hAnsi="微软雅黑" w:cs="仿宋"/>
          <w:b/>
          <w:bCs/>
          <w:color w:val="auto"/>
          <w:kern w:val="0"/>
          <w:szCs w:val="21"/>
          <w:highlight w:val="none"/>
        </w:rPr>
        <w:t>【本项目投标供应商须在投标文件中承诺人力资源</w:t>
      </w:r>
      <w:r>
        <w:rPr>
          <w:rFonts w:hint="eastAsia" w:ascii="微软雅黑" w:hAnsi="微软雅黑" w:cs="仿宋"/>
          <w:b/>
          <w:bCs/>
          <w:color w:val="auto"/>
          <w:kern w:val="0"/>
          <w:szCs w:val="21"/>
          <w:highlight w:val="none"/>
          <w:lang w:eastAsia="zh-CN"/>
        </w:rPr>
        <w:t>费用【包括管理层（三馆总负责人、分馆管理负责人）】</w:t>
      </w:r>
      <w:r>
        <w:rPr>
          <w:rFonts w:hint="eastAsia" w:ascii="微软雅黑" w:hAnsi="微软雅黑" w:cs="仿宋"/>
          <w:b/>
          <w:bCs/>
          <w:color w:val="auto"/>
          <w:kern w:val="0"/>
          <w:szCs w:val="21"/>
          <w:highlight w:val="none"/>
        </w:rPr>
        <w:t>的占比合同金额情况，采购单位根据中标供应商承诺函每季验收，如发现有虚假承诺情况的，采购单位将上报相关行政部门，中标供应商接受行政部门的处罚，采购单位同时保留追究相关损失的权力。】</w:t>
      </w:r>
      <w:r>
        <w:rPr>
          <w:rFonts w:hint="eastAsia" w:ascii="微软雅黑" w:hAnsi="微软雅黑" w:cs="仿宋"/>
          <w:color w:val="auto"/>
          <w:kern w:val="0"/>
          <w:szCs w:val="21"/>
          <w:highlight w:val="none"/>
        </w:rPr>
        <w:t>建立完整的考核体系、奖惩机制等，做好保障员工利益，保证项目团队稳定工作。</w:t>
      </w:r>
    </w:p>
    <w:p w14:paraId="3992BA83">
      <w:pPr>
        <w:pStyle w:val="102"/>
        <w:numPr>
          <w:ilvl w:val="3"/>
          <w:numId w:val="10"/>
        </w:numPr>
        <w:ind w:left="0" w:firstLine="426" w:firstLineChars="0"/>
        <w:outlineLvl w:val="2"/>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中标供应商连续三个月考核低于60分或发生严重事故造成恶劣社会影响的，采购单位有权终止本项目合同，并上报相关部门。</w:t>
      </w:r>
    </w:p>
    <w:p w14:paraId="0DA8C81D">
      <w:pPr>
        <w:pStyle w:val="102"/>
        <w:numPr>
          <w:ilvl w:val="0"/>
          <w:numId w:val="4"/>
        </w:numPr>
        <w:ind w:left="0" w:firstLine="420"/>
        <w:outlineLvl w:val="1"/>
        <w:rPr>
          <w:rFonts w:ascii="微软雅黑" w:hAnsi="微软雅黑" w:cs="微软雅黑"/>
          <w:b/>
          <w:color w:val="auto"/>
          <w:szCs w:val="21"/>
          <w:highlight w:val="none"/>
        </w:rPr>
      </w:pPr>
      <w:r>
        <w:rPr>
          <w:rFonts w:hint="eastAsia" w:ascii="微软雅黑" w:hAnsi="微软雅黑" w:cs="仿宋"/>
          <w:b/>
          <w:color w:val="auto"/>
          <w:kern w:val="0"/>
          <w:szCs w:val="21"/>
          <w:highlight w:val="none"/>
        </w:rPr>
        <w:t>检查、考核</w:t>
      </w:r>
    </w:p>
    <w:p w14:paraId="5A6856CA">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采购单位按照约定的考核办法及奖惩措施进行考核（考核标准详见附件）；</w:t>
      </w:r>
    </w:p>
    <w:p w14:paraId="3472C479">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采购单位结合新特点和行业颁布的最新标准，采购单位有修改考核标准的权利；</w:t>
      </w:r>
    </w:p>
    <w:p w14:paraId="5152012E">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中标供应商应认真按照约定的质量标准进行项目实施，随时接受采购单位的检查和考核，为检查和考核提供便利条件。</w:t>
      </w:r>
    </w:p>
    <w:p w14:paraId="45D04E60">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考核费用</w:t>
      </w:r>
    </w:p>
    <w:p w14:paraId="144B6824">
      <w:pPr>
        <w:pStyle w:val="18"/>
        <w:rPr>
          <w:rFonts w:ascii="微软雅黑" w:hAnsi="微软雅黑" w:cs="仿宋"/>
          <w:color w:val="auto"/>
          <w:kern w:val="0"/>
          <w:szCs w:val="21"/>
          <w:highlight w:val="none"/>
        </w:rPr>
      </w:pPr>
      <w:r>
        <w:rPr>
          <w:rFonts w:hint="eastAsia"/>
          <w:color w:val="auto"/>
          <w:highlight w:val="none"/>
          <w:lang w:eastAsia="zh-CN"/>
        </w:rPr>
        <w:t>合同总金额的</w:t>
      </w:r>
      <w:r>
        <w:rPr>
          <w:rFonts w:hint="eastAsia"/>
          <w:color w:val="auto"/>
          <w:highlight w:val="none"/>
          <w:lang w:val="en-US" w:eastAsia="zh-CN"/>
        </w:rPr>
        <w:t>10%作为考核费用，其中考核费用的35%作为项目量化指标考核【</w:t>
      </w:r>
      <w:r>
        <w:rPr>
          <w:rFonts w:hint="eastAsia" w:ascii="微软雅黑" w:hAnsi="微软雅黑" w:cs="仿宋"/>
          <w:color w:val="auto"/>
          <w:kern w:val="0"/>
          <w:szCs w:val="21"/>
          <w:highlight w:val="none"/>
        </w:rPr>
        <w:t>量化考核指标（详见附</w:t>
      </w:r>
      <w:r>
        <w:rPr>
          <w:rFonts w:hint="eastAsia" w:ascii="微软雅黑" w:hAnsi="微软雅黑" w:cs="仿宋"/>
          <w:color w:val="auto"/>
          <w:kern w:val="0"/>
          <w:szCs w:val="21"/>
          <w:highlight w:val="none"/>
          <w:lang w:eastAsia="zh-CN"/>
        </w:rPr>
        <w:t>件</w:t>
      </w:r>
      <w:r>
        <w:rPr>
          <w:rFonts w:hint="eastAsia" w:ascii="微软雅黑" w:hAnsi="微软雅黑" w:cs="仿宋"/>
          <w:color w:val="auto"/>
          <w:kern w:val="0"/>
          <w:szCs w:val="21"/>
          <w:highlight w:val="none"/>
        </w:rPr>
        <w:t>1）】</w:t>
      </w:r>
      <w:r>
        <w:rPr>
          <w:rFonts w:hint="eastAsia" w:ascii="微软雅黑" w:hAnsi="微软雅黑" w:cs="仿宋"/>
          <w:color w:val="auto"/>
          <w:kern w:val="0"/>
          <w:szCs w:val="21"/>
          <w:highlight w:val="none"/>
          <w:lang w:eastAsia="zh-CN"/>
        </w:rPr>
        <w:t>，考核费用的</w:t>
      </w:r>
      <w:r>
        <w:rPr>
          <w:rFonts w:hint="eastAsia" w:ascii="微软雅黑" w:hAnsi="微软雅黑" w:cs="仿宋"/>
          <w:color w:val="auto"/>
          <w:kern w:val="0"/>
          <w:szCs w:val="21"/>
          <w:highlight w:val="none"/>
          <w:lang w:val="en-US" w:eastAsia="zh-CN"/>
        </w:rPr>
        <w:t>33%作为项目结算考核费用，其余为日常考核【日常考核指标（</w:t>
      </w:r>
      <w:r>
        <w:rPr>
          <w:rFonts w:hint="eastAsia" w:ascii="微软雅黑" w:hAnsi="微软雅黑" w:cs="仿宋"/>
          <w:color w:val="auto"/>
          <w:kern w:val="0"/>
          <w:szCs w:val="21"/>
          <w:highlight w:val="none"/>
        </w:rPr>
        <w:t>详见附</w:t>
      </w:r>
      <w:r>
        <w:rPr>
          <w:rFonts w:hint="eastAsia" w:ascii="微软雅黑" w:hAnsi="微软雅黑" w:cs="仿宋"/>
          <w:color w:val="auto"/>
          <w:kern w:val="0"/>
          <w:szCs w:val="21"/>
          <w:highlight w:val="none"/>
          <w:lang w:eastAsia="zh-CN"/>
        </w:rPr>
        <w:t>件</w:t>
      </w:r>
      <w:r>
        <w:rPr>
          <w:rFonts w:hint="eastAsia" w:ascii="微软雅黑" w:hAnsi="微软雅黑" w:cs="仿宋"/>
          <w:color w:val="auto"/>
          <w:kern w:val="0"/>
          <w:szCs w:val="21"/>
          <w:highlight w:val="none"/>
          <w:lang w:val="en-US" w:eastAsia="zh-CN"/>
        </w:rPr>
        <w:t>2-1，附件2-2）</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费用，日常考核费用按月均分。</w:t>
      </w:r>
    </w:p>
    <w:p w14:paraId="78958C4E">
      <w:pPr>
        <w:pStyle w:val="102"/>
        <w:numPr>
          <w:ilvl w:val="0"/>
          <w:numId w:val="11"/>
        </w:numPr>
        <w:ind w:left="0" w:firstLine="420"/>
        <w:outlineLvl w:val="2"/>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考核方式</w:t>
      </w:r>
    </w:p>
    <w:p w14:paraId="3884E66E">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日常考核</w:t>
      </w:r>
    </w:p>
    <w:p w14:paraId="298CC5BB">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由采购单位进行考核，不定时不定期不定数量进行考核，所有考核扣分均计入月考核分值。</w:t>
      </w:r>
    </w:p>
    <w:p w14:paraId="1DC7F248">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考核100分为基本分（考核内容详见附件2</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w:t>
      </w:r>
      <w:r>
        <w:rPr>
          <w:rFonts w:hint="eastAsia" w:ascii="微软雅黑" w:hAnsi="微软雅黑" w:cs="仿宋"/>
          <w:color w:val="auto"/>
          <w:kern w:val="0"/>
          <w:szCs w:val="21"/>
          <w:highlight w:val="none"/>
          <w:lang w:eastAsia="zh-CN"/>
        </w:rPr>
        <w:t>附件</w:t>
      </w:r>
      <w:r>
        <w:rPr>
          <w:rFonts w:hint="eastAsia" w:ascii="微软雅黑" w:hAnsi="微软雅黑" w:cs="仿宋"/>
          <w:color w:val="auto"/>
          <w:kern w:val="0"/>
          <w:szCs w:val="21"/>
          <w:highlight w:val="none"/>
          <w:lang w:val="en-US" w:eastAsia="zh-CN"/>
        </w:rPr>
        <w:t>2-2</w:t>
      </w:r>
      <w:r>
        <w:rPr>
          <w:rFonts w:hint="eastAsia" w:ascii="微软雅黑" w:hAnsi="微软雅黑" w:cs="仿宋"/>
          <w:color w:val="auto"/>
          <w:kern w:val="0"/>
          <w:szCs w:val="21"/>
          <w:highlight w:val="none"/>
        </w:rPr>
        <w:t>）。</w:t>
      </w:r>
    </w:p>
    <w:p w14:paraId="50B9B96B">
      <w:pPr>
        <w:ind w:firstLine="539" w:firstLineChars="257"/>
        <w:rPr>
          <w:rFonts w:ascii="微软雅黑" w:hAnsi="微软雅黑" w:cs="微软雅黑"/>
          <w:color w:val="auto"/>
          <w:szCs w:val="21"/>
          <w:highlight w:val="none"/>
        </w:rPr>
      </w:pPr>
      <w:r>
        <w:rPr>
          <w:rFonts w:hint="eastAsia" w:ascii="微软雅黑" w:hAnsi="微软雅黑" w:cs="微软雅黑"/>
          <w:color w:val="auto"/>
          <w:szCs w:val="21"/>
          <w:highlight w:val="none"/>
        </w:rPr>
        <w:t>采购单位根据每次考核情况进行汇总打分，得出中标供应商当月考核分，考核分与当月项目经费挂钩。汇总采用100分制，95分（含）为优秀分，当考评分为95分（含）以上，按实核发当月考核经费；95分至85分（含），每分扣</w:t>
      </w:r>
      <w:r>
        <w:rPr>
          <w:rFonts w:hint="eastAsia" w:ascii="微软雅黑" w:hAnsi="微软雅黑" w:cs="微软雅黑"/>
          <w:color w:val="auto"/>
          <w:szCs w:val="21"/>
          <w:highlight w:val="none"/>
          <w:lang w:val="en-US" w:eastAsia="zh-CN"/>
        </w:rPr>
        <w:t>600</w:t>
      </w:r>
      <w:r>
        <w:rPr>
          <w:rFonts w:hint="eastAsia" w:ascii="微软雅黑" w:hAnsi="微软雅黑" w:cs="微软雅黑"/>
          <w:color w:val="auto"/>
          <w:szCs w:val="21"/>
          <w:highlight w:val="none"/>
        </w:rPr>
        <w:t>.00元；85分至75分（含）每分扣</w:t>
      </w:r>
      <w:r>
        <w:rPr>
          <w:rFonts w:hint="eastAsia" w:ascii="微软雅黑" w:hAnsi="微软雅黑" w:cs="微软雅黑"/>
          <w:color w:val="auto"/>
          <w:szCs w:val="21"/>
          <w:highlight w:val="none"/>
          <w:lang w:val="en-US" w:eastAsia="zh-CN"/>
        </w:rPr>
        <w:t>1200</w:t>
      </w:r>
      <w:r>
        <w:rPr>
          <w:rFonts w:hint="eastAsia" w:ascii="微软雅黑" w:hAnsi="微软雅黑" w:cs="微软雅黑"/>
          <w:color w:val="auto"/>
          <w:szCs w:val="21"/>
          <w:highlight w:val="none"/>
        </w:rPr>
        <w:t>.00元；当考核分低于75分，每降低1分，扣当月考核经费</w:t>
      </w:r>
      <w:r>
        <w:rPr>
          <w:rFonts w:hint="eastAsia" w:ascii="微软雅黑" w:hAnsi="微软雅黑" w:cs="微软雅黑"/>
          <w:color w:val="auto"/>
          <w:szCs w:val="21"/>
          <w:highlight w:val="none"/>
          <w:lang w:val="en-US" w:eastAsia="zh-CN"/>
        </w:rPr>
        <w:t>3000</w:t>
      </w:r>
      <w:r>
        <w:rPr>
          <w:rFonts w:hint="eastAsia" w:ascii="微软雅黑" w:hAnsi="微软雅黑" w:cs="微软雅黑"/>
          <w:color w:val="auto"/>
          <w:szCs w:val="21"/>
          <w:highlight w:val="none"/>
        </w:rPr>
        <w:t>.00元，并要求限期整改，未及时整改，将在下月考核中翻倍扣分。</w:t>
      </w:r>
      <w:r>
        <w:rPr>
          <w:rFonts w:hint="eastAsia"/>
          <w:color w:val="auto"/>
          <w:highlight w:val="none"/>
          <w:lang w:eastAsia="zh-CN"/>
        </w:rPr>
        <w:t>按累进制计算【例：中标单位当月得分</w:t>
      </w:r>
      <w:r>
        <w:rPr>
          <w:rFonts w:hint="eastAsia"/>
          <w:color w:val="auto"/>
          <w:highlight w:val="none"/>
          <w:lang w:val="en-US" w:eastAsia="zh-CN"/>
        </w:rPr>
        <w:t>72分，扣款金额=10*600.00+10*1200.00+3*3000.00=27000.00】</w:t>
      </w:r>
    </w:p>
    <w:p w14:paraId="1848E595">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项目量化指标考核（详见附件1）</w:t>
      </w:r>
    </w:p>
    <w:p w14:paraId="4E834CEA">
      <w:pPr>
        <w:ind w:firstLine="539" w:firstLineChars="257"/>
        <w:rPr>
          <w:rFonts w:ascii="微软雅黑" w:hAnsi="微软雅黑" w:cs="微软雅黑"/>
          <w:color w:val="auto"/>
          <w:szCs w:val="21"/>
          <w:highlight w:val="none"/>
        </w:rPr>
      </w:pPr>
      <w:r>
        <w:rPr>
          <w:rFonts w:hint="eastAsia" w:ascii="微软雅黑" w:hAnsi="微软雅黑" w:cs="微软雅黑"/>
          <w:color w:val="auto"/>
          <w:szCs w:val="21"/>
          <w:highlight w:val="none"/>
        </w:rPr>
        <w:t>项目实施完成后，由采购单位对项目进行一次性量化指标考核，</w:t>
      </w:r>
      <w:r>
        <w:rPr>
          <w:rFonts w:hint="eastAsia" w:ascii="微软雅黑" w:hAnsi="微软雅黑" w:cs="微软雅黑"/>
          <w:color w:val="auto"/>
          <w:szCs w:val="21"/>
          <w:highlight w:val="none"/>
          <w:lang w:eastAsia="zh-CN"/>
        </w:rPr>
        <w:t>按量化指考核得分比率进行扣款（例：总扣款比率</w:t>
      </w:r>
      <w:r>
        <w:rPr>
          <w:rFonts w:hint="eastAsia" w:ascii="微软雅黑" w:hAnsi="微软雅黑" w:cs="微软雅黑"/>
          <w:color w:val="auto"/>
          <w:szCs w:val="21"/>
          <w:highlight w:val="none"/>
          <w:lang w:val="en-US" w:eastAsia="zh-CN"/>
        </w:rPr>
        <w:t>90%的，扣款金额=90%*中标金额*10%*35%）</w:t>
      </w:r>
      <w:r>
        <w:rPr>
          <w:rFonts w:hint="eastAsia" w:ascii="微软雅黑" w:hAnsi="微软雅黑" w:cs="微软雅黑"/>
          <w:color w:val="auto"/>
          <w:szCs w:val="21"/>
          <w:highlight w:val="none"/>
          <w:lang w:eastAsia="zh-CN"/>
        </w:rPr>
        <w:t>，</w:t>
      </w:r>
      <w:r>
        <w:rPr>
          <w:rFonts w:hint="eastAsia" w:ascii="微软雅黑" w:hAnsi="微软雅黑" w:cs="微软雅黑"/>
          <w:color w:val="auto"/>
          <w:szCs w:val="21"/>
          <w:highlight w:val="none"/>
        </w:rPr>
        <w:t>扣完为止。</w:t>
      </w:r>
    </w:p>
    <w:p w14:paraId="684EEE01">
      <w:pPr>
        <w:pStyle w:val="102"/>
        <w:numPr>
          <w:ilvl w:val="1"/>
          <w:numId w:val="11"/>
        </w:numPr>
        <w:ind w:left="0" w:firstLine="420" w:firstLineChars="0"/>
        <w:outlineLvl w:val="3"/>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项目结算考核</w:t>
      </w:r>
    </w:p>
    <w:p w14:paraId="64D7BD32">
      <w:pPr>
        <w:pStyle w:val="102"/>
        <w:ind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由采购单位组织相关单位或外部相关行业专家考核。</w:t>
      </w:r>
    </w:p>
    <w:p w14:paraId="6CFCC2DA">
      <w:pPr>
        <w:pStyle w:val="102"/>
        <w:numPr>
          <w:ilvl w:val="0"/>
          <w:numId w:val="0"/>
        </w:numPr>
        <w:ind w:firstLine="420" w:firstLineChars="20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按国家一级图书馆评分标准等规范进行考核，其中采购单位承担的指标项不计入考核总分值。评分分值达总分值的95%及以上的支付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50%；</w:t>
      </w:r>
      <w:r>
        <w:rPr>
          <w:rFonts w:hint="eastAsia" w:ascii="微软雅黑" w:hAnsi="微软雅黑" w:cs="仿宋"/>
          <w:color w:val="auto"/>
          <w:kern w:val="0"/>
          <w:szCs w:val="21"/>
          <w:highlight w:val="none"/>
        </w:rPr>
        <w:t>90%（含）至95%的支付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40%</w:t>
      </w:r>
      <w:r>
        <w:rPr>
          <w:rFonts w:hint="eastAsia" w:ascii="微软雅黑" w:hAnsi="微软雅黑" w:cs="仿宋"/>
          <w:color w:val="auto"/>
          <w:kern w:val="0"/>
          <w:szCs w:val="21"/>
          <w:highlight w:val="none"/>
        </w:rPr>
        <w:t>，85%（含）至90%的支付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35%</w:t>
      </w:r>
      <w:r>
        <w:rPr>
          <w:rFonts w:hint="eastAsia" w:ascii="微软雅黑" w:hAnsi="微软雅黑" w:cs="仿宋"/>
          <w:color w:val="auto"/>
          <w:kern w:val="0"/>
          <w:szCs w:val="21"/>
          <w:highlight w:val="none"/>
        </w:rPr>
        <w:t>，80%（含）至85%的支付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30%</w:t>
      </w:r>
      <w:r>
        <w:rPr>
          <w:rFonts w:hint="eastAsia" w:ascii="微软雅黑" w:hAnsi="微软雅黑" w:cs="仿宋"/>
          <w:color w:val="auto"/>
          <w:kern w:val="0"/>
          <w:szCs w:val="21"/>
          <w:highlight w:val="none"/>
        </w:rPr>
        <w:t>，75%（含）至80%的支付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25%</w:t>
      </w:r>
      <w:r>
        <w:rPr>
          <w:rFonts w:hint="eastAsia" w:ascii="微软雅黑" w:hAnsi="微软雅黑" w:cs="仿宋"/>
          <w:color w:val="auto"/>
          <w:kern w:val="0"/>
          <w:szCs w:val="21"/>
          <w:highlight w:val="none"/>
        </w:rPr>
        <w:t>，70%（含）至75%的支付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20%</w:t>
      </w:r>
      <w:r>
        <w:rPr>
          <w:rFonts w:hint="eastAsia" w:ascii="微软雅黑" w:hAnsi="微软雅黑" w:cs="仿宋"/>
          <w:color w:val="auto"/>
          <w:kern w:val="0"/>
          <w:szCs w:val="21"/>
          <w:highlight w:val="none"/>
        </w:rPr>
        <w:t>，65%（含）至75%的支付</w:t>
      </w:r>
      <w:r>
        <w:rPr>
          <w:rFonts w:hint="eastAsia" w:ascii="微软雅黑" w:hAnsi="微软雅黑" w:cs="仿宋"/>
          <w:color w:val="auto"/>
          <w:kern w:val="0"/>
          <w:szCs w:val="21"/>
          <w:highlight w:val="none"/>
          <w:lang w:eastAsia="zh-CN"/>
        </w:rPr>
        <w:t>项目结算指标考核费用的</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，65%以下不支付本费用。</w:t>
      </w:r>
    </w:p>
    <w:p w14:paraId="6FADE248">
      <w:pPr>
        <w:pStyle w:val="102"/>
        <w:numPr>
          <w:ilvl w:val="2"/>
          <w:numId w:val="11"/>
        </w:numPr>
        <w:ind w:left="0"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根据中标供应商服务、管理等方面有所创新的，形成区域品牌，得到市级及以上推广或作为经验交流。其中获得国家级的支付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50%</w:t>
      </w:r>
      <w:r>
        <w:rPr>
          <w:rFonts w:hint="eastAsia" w:ascii="微软雅黑" w:hAnsi="微软雅黑" w:cs="仿宋"/>
          <w:color w:val="auto"/>
          <w:kern w:val="0"/>
          <w:szCs w:val="21"/>
          <w:highlight w:val="none"/>
        </w:rPr>
        <w:t>，省级的支付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30%</w:t>
      </w:r>
      <w:r>
        <w:rPr>
          <w:rFonts w:hint="eastAsia" w:ascii="微软雅黑" w:hAnsi="微软雅黑" w:cs="仿宋"/>
          <w:color w:val="auto"/>
          <w:kern w:val="0"/>
          <w:szCs w:val="21"/>
          <w:highlight w:val="none"/>
        </w:rPr>
        <w:t>，市级的支付</w:t>
      </w:r>
      <w:r>
        <w:rPr>
          <w:rFonts w:hint="eastAsia" w:ascii="微软雅黑" w:hAnsi="微软雅黑" w:cs="仿宋"/>
          <w:color w:val="auto"/>
          <w:kern w:val="0"/>
          <w:szCs w:val="21"/>
          <w:highlight w:val="none"/>
          <w:lang w:eastAsia="zh-CN"/>
        </w:rPr>
        <w:t>项目结算指标考核费用</w:t>
      </w:r>
      <w:r>
        <w:rPr>
          <w:rFonts w:hint="eastAsia" w:ascii="微软雅黑" w:hAnsi="微软雅黑" w:cs="仿宋"/>
          <w:color w:val="auto"/>
          <w:kern w:val="0"/>
          <w:szCs w:val="21"/>
          <w:highlight w:val="none"/>
          <w:lang w:val="en-US" w:eastAsia="zh-CN"/>
        </w:rPr>
        <w:t>20%</w:t>
      </w:r>
      <w:r>
        <w:rPr>
          <w:rFonts w:hint="eastAsia" w:ascii="微软雅黑" w:hAnsi="微软雅黑" w:cs="仿宋"/>
          <w:color w:val="auto"/>
          <w:kern w:val="0"/>
          <w:szCs w:val="21"/>
          <w:highlight w:val="none"/>
        </w:rPr>
        <w:t>。未实现上述要求的不支付本费用。</w:t>
      </w:r>
    </w:p>
    <w:p w14:paraId="0D6745FF">
      <w:pPr>
        <w:pStyle w:val="102"/>
        <w:numPr>
          <w:ilvl w:val="2"/>
          <w:numId w:val="11"/>
        </w:numPr>
        <w:ind w:left="0" w:firstLine="420"/>
        <w:rPr>
          <w:rFonts w:ascii="微软雅黑" w:hAnsi="微软雅黑" w:cs="微软雅黑"/>
          <w:b/>
          <w:color w:val="auto"/>
          <w:szCs w:val="21"/>
          <w:highlight w:val="none"/>
        </w:rPr>
      </w:pPr>
      <w:r>
        <w:rPr>
          <w:rFonts w:hint="eastAsia" w:ascii="微软雅黑" w:hAnsi="微软雅黑" w:cs="微软雅黑"/>
          <w:b/>
          <w:color w:val="auto"/>
          <w:szCs w:val="21"/>
          <w:highlight w:val="none"/>
        </w:rPr>
        <w:t>其他要求</w:t>
      </w:r>
    </w:p>
    <w:p w14:paraId="53733B06">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微软雅黑"/>
          <w:color w:val="auto"/>
          <w:kern w:val="0"/>
          <w:szCs w:val="21"/>
          <w:highlight w:val="none"/>
        </w:rPr>
        <w:t>▲</w:t>
      </w:r>
      <w:r>
        <w:rPr>
          <w:rFonts w:hint="eastAsia" w:ascii="微软雅黑" w:hAnsi="微软雅黑" w:cs="仿宋"/>
          <w:color w:val="auto"/>
          <w:kern w:val="0"/>
          <w:szCs w:val="21"/>
          <w:highlight w:val="none"/>
        </w:rPr>
        <w:t>各分馆</w:t>
      </w:r>
      <w:r>
        <w:rPr>
          <w:rFonts w:hint="eastAsia" w:ascii="微软雅黑" w:hAnsi="微软雅黑" w:cs="仿宋"/>
          <w:strike w:val="0"/>
          <w:dstrike w:val="0"/>
          <w:color w:val="auto"/>
          <w:kern w:val="0"/>
          <w:szCs w:val="21"/>
          <w:highlight w:val="none"/>
          <w:lang w:eastAsia="zh-CN"/>
        </w:rPr>
        <w:t>管理负责人</w:t>
      </w:r>
      <w:r>
        <w:rPr>
          <w:rFonts w:hint="eastAsia" w:ascii="微软雅黑" w:hAnsi="微软雅黑" w:cs="仿宋"/>
          <w:color w:val="auto"/>
          <w:kern w:val="0"/>
          <w:szCs w:val="21"/>
          <w:highlight w:val="none"/>
        </w:rPr>
        <w:t>每周在秀洲三馆实地工作时间不少于40小时，周末、节假日保证1名</w:t>
      </w:r>
      <w:r>
        <w:rPr>
          <w:rFonts w:hint="eastAsia" w:ascii="微软雅黑" w:hAnsi="微软雅黑" w:cs="仿宋"/>
          <w:strike w:val="0"/>
          <w:dstrike w:val="0"/>
          <w:color w:val="auto"/>
          <w:kern w:val="0"/>
          <w:szCs w:val="21"/>
          <w:highlight w:val="none"/>
          <w:lang w:eastAsia="zh-CN"/>
        </w:rPr>
        <w:t>管理负责人</w:t>
      </w:r>
      <w:r>
        <w:rPr>
          <w:rFonts w:hint="eastAsia" w:ascii="微软雅黑" w:hAnsi="微软雅黑" w:cs="仿宋"/>
          <w:color w:val="auto"/>
          <w:kern w:val="0"/>
          <w:szCs w:val="21"/>
          <w:highlight w:val="none"/>
          <w:lang w:eastAsia="zh-CN"/>
        </w:rPr>
        <w:t>（总馆负责人</w:t>
      </w:r>
      <w:r>
        <w:rPr>
          <w:rFonts w:hint="eastAsia" w:ascii="微软雅黑" w:hAnsi="微软雅黑" w:cs="仿宋"/>
          <w:color w:val="auto"/>
          <w:kern w:val="0"/>
          <w:szCs w:val="21"/>
          <w:highlight w:val="none"/>
        </w:rPr>
        <w:t>或各分馆</w:t>
      </w:r>
      <w:r>
        <w:rPr>
          <w:rFonts w:hint="eastAsia" w:ascii="微软雅黑" w:hAnsi="微软雅黑" w:cs="仿宋"/>
          <w:color w:val="auto"/>
          <w:kern w:val="0"/>
          <w:szCs w:val="21"/>
          <w:highlight w:val="none"/>
          <w:lang w:eastAsia="zh-CN"/>
        </w:rPr>
        <w:t>管理负责人</w:t>
      </w:r>
      <w:r>
        <w:rPr>
          <w:rFonts w:hint="eastAsia" w:ascii="微软雅黑" w:hAnsi="微软雅黑" w:cs="仿宋"/>
          <w:color w:val="auto"/>
          <w:kern w:val="0"/>
          <w:szCs w:val="21"/>
          <w:highlight w:val="none"/>
        </w:rPr>
        <w:t>）驻秀洲三馆；</w:t>
      </w:r>
    </w:p>
    <w:p w14:paraId="71DA0D5A">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中标供应商人员配置数量按服务项目内容合理配置，投标文件中须详细描述岗位配置方案；</w:t>
      </w:r>
    </w:p>
    <w:p w14:paraId="2490A650">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所有项目实施人员学历按岗位要求配备；</w:t>
      </w:r>
    </w:p>
    <w:p w14:paraId="7448AB88">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所有项目实施人员均需经过采购单位审核后方可入职</w:t>
      </w:r>
      <w:r>
        <w:rPr>
          <w:rFonts w:hint="eastAsia" w:ascii="微软雅黑" w:hAnsi="微软雅黑" w:cs="仿宋"/>
          <w:b/>
          <w:bCs/>
          <w:color w:val="auto"/>
          <w:kern w:val="0"/>
          <w:szCs w:val="21"/>
          <w:highlight w:val="none"/>
        </w:rPr>
        <w:t>；项目实施人员劳动合同、聘用合同需向采购单位备案，中标供应商中途不得更换项目实施人员，必须更换的，须报采购单位</w:t>
      </w:r>
      <w:r>
        <w:rPr>
          <w:rFonts w:hint="eastAsia" w:ascii="微软雅黑" w:hAnsi="微软雅黑" w:cs="仿宋"/>
          <w:b/>
          <w:bCs/>
          <w:color w:val="auto"/>
          <w:kern w:val="0"/>
          <w:szCs w:val="21"/>
          <w:highlight w:val="none"/>
          <w:lang w:eastAsia="zh-CN"/>
        </w:rPr>
        <w:t>备案</w:t>
      </w:r>
      <w:r>
        <w:rPr>
          <w:rFonts w:hint="eastAsia" w:ascii="微软雅黑" w:hAnsi="微软雅黑" w:cs="仿宋"/>
          <w:b/>
          <w:bCs/>
          <w:color w:val="auto"/>
          <w:kern w:val="0"/>
          <w:szCs w:val="21"/>
          <w:highlight w:val="none"/>
        </w:rPr>
        <w:t>，更换人员资质（学历、职称等）不得低于</w:t>
      </w:r>
      <w:r>
        <w:rPr>
          <w:rFonts w:hint="eastAsia" w:ascii="微软雅黑" w:hAnsi="微软雅黑" w:cs="仿宋"/>
          <w:b/>
          <w:bCs/>
          <w:color w:val="auto"/>
          <w:kern w:val="0"/>
          <w:szCs w:val="21"/>
          <w:highlight w:val="none"/>
          <w:lang w:eastAsia="zh-CN"/>
        </w:rPr>
        <w:t>招标</w:t>
      </w:r>
      <w:r>
        <w:rPr>
          <w:rFonts w:hint="eastAsia" w:ascii="微软雅黑" w:hAnsi="微软雅黑" w:cs="仿宋"/>
          <w:b/>
          <w:bCs/>
          <w:color w:val="auto"/>
          <w:kern w:val="0"/>
          <w:szCs w:val="21"/>
          <w:highlight w:val="none"/>
        </w:rPr>
        <w:t>要求，更换人员须无缝对接更换岗位，并经采购单位审核，验收过程中发生人员缺岗的，按每人每工作日</w:t>
      </w:r>
      <w:r>
        <w:rPr>
          <w:rFonts w:hint="eastAsia" w:ascii="微软雅黑" w:hAnsi="微软雅黑" w:cs="仿宋"/>
          <w:b/>
          <w:bCs/>
          <w:color w:val="auto"/>
          <w:kern w:val="0"/>
          <w:szCs w:val="21"/>
          <w:highlight w:val="none"/>
          <w:lang w:val="en-US" w:eastAsia="zh-CN"/>
        </w:rPr>
        <w:t>3</w:t>
      </w:r>
      <w:r>
        <w:rPr>
          <w:rFonts w:hint="eastAsia" w:ascii="微软雅黑" w:hAnsi="微软雅黑" w:cs="仿宋"/>
          <w:b/>
          <w:bCs/>
          <w:color w:val="auto"/>
          <w:kern w:val="0"/>
          <w:szCs w:val="21"/>
          <w:highlight w:val="none"/>
        </w:rPr>
        <w:t>00.00元从支付款中扣除。</w:t>
      </w:r>
    </w:p>
    <w:p w14:paraId="5DF3069D">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default" w:ascii="微软雅黑" w:hAnsi="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eastAsia="zh-CN"/>
        </w:rPr>
        <w:t>三馆总负责人项目实施过程中不能更换，如必须更换的，须报</w:t>
      </w:r>
      <w:r>
        <w:rPr>
          <w:rFonts w:hint="eastAsia" w:ascii="微软雅黑" w:hAnsi="微软雅黑" w:cs="仿宋"/>
          <w:b/>
          <w:bCs/>
          <w:color w:val="auto"/>
          <w:kern w:val="0"/>
          <w:szCs w:val="21"/>
          <w:highlight w:val="none"/>
        </w:rPr>
        <w:t>采购单位，更换人员资质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1500.00元从支付款中扣除，并限期改正，如果超过30天未达到要求的，则按每人每工作日3000.00元从支付款中扣除，并且采购单位有权按不诚信履约报相关行政主管部门，终止合同。</w:t>
      </w:r>
    </w:p>
    <w:p w14:paraId="169FA932">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eastAsia" w:ascii="微软雅黑" w:hAnsi="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eastAsia="zh-CN"/>
        </w:rPr>
        <w:t>分馆管理负责人项目实施过程中不能更换，如必须更换的，须报</w:t>
      </w:r>
      <w:r>
        <w:rPr>
          <w:rFonts w:hint="eastAsia" w:ascii="微软雅黑" w:hAnsi="微软雅黑" w:cs="仿宋"/>
          <w:b/>
          <w:bCs/>
          <w:color w:val="auto"/>
          <w:kern w:val="0"/>
          <w:szCs w:val="21"/>
          <w:highlight w:val="none"/>
        </w:rPr>
        <w:t>采购单位，更换人员资质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1000.00元从支付款中扣除。并限期改正，如果超过30天未达到要求的，则按每人每工作日2000.00元从支付款中扣除，并且采购单位有权按不诚信履约报相关行政主管部门，终止合同。</w:t>
      </w:r>
    </w:p>
    <w:p w14:paraId="40506557">
      <w:pPr>
        <w:pStyle w:val="102"/>
        <w:keepNext w:val="0"/>
        <w:keepLines w:val="0"/>
        <w:pageBreakBefore w:val="0"/>
        <w:widowControl w:val="0"/>
        <w:numPr>
          <w:ilvl w:val="0"/>
          <w:numId w:val="0"/>
        </w:numPr>
        <w:tabs>
          <w:tab w:val="left" w:pos="0"/>
        </w:tabs>
        <w:kinsoku/>
        <w:wordWrap/>
        <w:overflowPunct/>
        <w:topLinePunct w:val="0"/>
        <w:autoSpaceDE/>
        <w:autoSpaceDN/>
        <w:bidi w:val="0"/>
        <w:adjustRightInd/>
        <w:snapToGrid/>
        <w:ind w:left="0" w:leftChars="0" w:firstLine="420" w:firstLineChars="200"/>
        <w:textAlignment w:val="auto"/>
        <w:rPr>
          <w:rFonts w:hint="eastAsia" w:eastAsia="微软雅黑"/>
          <w:color w:val="auto"/>
          <w:highlight w:val="none"/>
          <w:lang w:eastAsia="zh-CN"/>
        </w:rPr>
      </w:pPr>
      <w:r>
        <w:rPr>
          <w:rFonts w:hint="eastAsia" w:ascii="微软雅黑" w:hAnsi="微软雅黑" w:cs="仿宋"/>
          <w:b/>
          <w:bCs/>
          <w:color w:val="auto"/>
          <w:kern w:val="0"/>
          <w:szCs w:val="21"/>
          <w:highlight w:val="none"/>
          <w:lang w:val="en-US" w:eastAsia="zh-CN"/>
        </w:rPr>
        <w:t>项目主管级以上人员项目实施过程中不得随意更换，</w:t>
      </w:r>
      <w:r>
        <w:rPr>
          <w:rFonts w:hint="eastAsia" w:ascii="微软雅黑" w:hAnsi="微软雅黑" w:cs="仿宋"/>
          <w:b/>
          <w:bCs/>
          <w:color w:val="auto"/>
          <w:kern w:val="0"/>
          <w:szCs w:val="21"/>
          <w:highlight w:val="none"/>
          <w:lang w:eastAsia="zh-CN"/>
        </w:rPr>
        <w:t>如必须更换的，须报</w:t>
      </w:r>
      <w:r>
        <w:rPr>
          <w:rFonts w:hint="eastAsia" w:ascii="微软雅黑" w:hAnsi="微软雅黑" w:cs="仿宋"/>
          <w:b/>
          <w:bCs/>
          <w:color w:val="auto"/>
          <w:kern w:val="0"/>
          <w:szCs w:val="21"/>
          <w:highlight w:val="none"/>
        </w:rPr>
        <w:t>采购单位</w:t>
      </w:r>
      <w:r>
        <w:rPr>
          <w:rFonts w:hint="eastAsia" w:ascii="微软雅黑" w:hAnsi="微软雅黑" w:cs="仿宋"/>
          <w:b/>
          <w:bCs/>
          <w:color w:val="auto"/>
          <w:kern w:val="0"/>
          <w:szCs w:val="21"/>
          <w:highlight w:val="none"/>
          <w:lang w:eastAsia="zh-CN"/>
        </w:rPr>
        <w:t>同意</w:t>
      </w:r>
      <w:r>
        <w:rPr>
          <w:rFonts w:hint="eastAsia" w:ascii="微软雅黑" w:hAnsi="微软雅黑" w:cs="仿宋"/>
          <w:b/>
          <w:bCs/>
          <w:color w:val="auto"/>
          <w:kern w:val="0"/>
          <w:szCs w:val="21"/>
          <w:highlight w:val="none"/>
        </w:rPr>
        <w:t>，更换人员资质</w:t>
      </w:r>
      <w:r>
        <w:rPr>
          <w:rFonts w:hint="eastAsia" w:ascii="微软雅黑" w:hAnsi="微软雅黑" w:cs="仿宋"/>
          <w:b/>
          <w:bCs/>
          <w:color w:val="auto"/>
          <w:kern w:val="0"/>
          <w:szCs w:val="21"/>
          <w:highlight w:val="none"/>
          <w:lang w:eastAsia="zh-CN"/>
        </w:rPr>
        <w:t>不得低于中标单位投标文件中关于该人员的资历。如达不到的，则按每人每工作日</w:t>
      </w:r>
      <w:r>
        <w:rPr>
          <w:rFonts w:hint="eastAsia" w:ascii="微软雅黑" w:hAnsi="微软雅黑" w:cs="仿宋"/>
          <w:b/>
          <w:bCs/>
          <w:color w:val="auto"/>
          <w:kern w:val="0"/>
          <w:szCs w:val="21"/>
          <w:highlight w:val="none"/>
          <w:lang w:val="en-US" w:eastAsia="zh-CN"/>
        </w:rPr>
        <w:t>500.00元从支付款中扣除。并限期改正，如果超过30天未达到要求的，则按每人每工作日2000.00元从支付款中扣除，并且采购单位有权按不诚信履约报相关行政主管部门，终止合同。</w:t>
      </w:r>
    </w:p>
    <w:p w14:paraId="21FC80BA">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对于不符合工作条件的项目实施人员（不仅限于岗位不称职，不匹配），采购单位有权要求中标供应商更换人员；所有项目实施人员劳动合同、聘用合同需向采购单位备案；</w:t>
      </w:r>
    </w:p>
    <w:p w14:paraId="6BF06B4D">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所有项目实施人员均需培训后才能上岗，按国家规定办理相关手续及相关合格的证照；</w:t>
      </w:r>
    </w:p>
    <w:p w14:paraId="6D2CAD2A">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中标供应商针对本项目的实施人员必须按《劳动法》有关规定签订劳动合同并办理各类保险及承担相应的法律责任；</w:t>
      </w:r>
    </w:p>
    <w:p w14:paraId="0F1BCCBA">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项目实施程中因中标供应商工作人员过失造成他人的人身事故或任何财产损失事故的，由中标供应商负责处理及承担一切责任，采购单位不承担任何责任；</w:t>
      </w:r>
    </w:p>
    <w:p w14:paraId="040D4BD0">
      <w:pPr>
        <w:pStyle w:val="102"/>
        <w:numPr>
          <w:ilvl w:val="3"/>
          <w:numId w:val="12"/>
        </w:numPr>
        <w:tabs>
          <w:tab w:val="left" w:pos="0"/>
        </w:tabs>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中标供应商与项目实施人员发生任何纠纷，均由中标供应商自行处理，采购单位不承担任何责任；</w:t>
      </w:r>
    </w:p>
    <w:p w14:paraId="5B6DF124">
      <w:pPr>
        <w:pStyle w:val="102"/>
        <w:numPr>
          <w:ilvl w:val="3"/>
          <w:numId w:val="12"/>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中标供应商应做好相应储备人员的招聘、培训及交接等工作，避免出现岗位空缺；</w:t>
      </w:r>
    </w:p>
    <w:p w14:paraId="71196037">
      <w:pPr>
        <w:pStyle w:val="102"/>
        <w:numPr>
          <w:ilvl w:val="3"/>
          <w:numId w:val="12"/>
        </w:numPr>
        <w:ind w:left="0" w:firstLine="426"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在本服务项目进行过程中及项目完成后，中标供应商需配合采购单位共同完成上级相关部门对本项目的审计、绩效考核等，并向采购单位提供所需相关材料。</w:t>
      </w:r>
    </w:p>
    <w:p w14:paraId="317C6127">
      <w:pPr>
        <w:pStyle w:val="102"/>
        <w:numPr>
          <w:ilvl w:val="3"/>
          <w:numId w:val="12"/>
        </w:numPr>
        <w:ind w:left="0" w:firstLine="426" w:firstLineChars="0"/>
        <w:rPr>
          <w:rFonts w:ascii="微软雅黑" w:hAnsi="微软雅黑" w:cs="仿宋"/>
          <w:b/>
          <w:bCs/>
          <w:color w:val="auto"/>
          <w:kern w:val="0"/>
          <w:szCs w:val="21"/>
          <w:highlight w:val="none"/>
        </w:rPr>
      </w:pPr>
      <w:r>
        <w:rPr>
          <w:rFonts w:hint="eastAsia" w:ascii="微软雅黑" w:hAnsi="微软雅黑" w:cs="仿宋"/>
          <w:b/>
          <w:bCs/>
          <w:color w:val="auto"/>
          <w:szCs w:val="21"/>
          <w:highlight w:val="none"/>
        </w:rPr>
        <w:t>中标供应商须承担用于本项目实施的办公费用、图书馆期刊（一年4期）或图书馆通讯（一年6期）、月报、通讯费用、培训费、差旅费、工作服等费用以及与本项目实施相关的日常流通耗材。</w:t>
      </w:r>
    </w:p>
    <w:p w14:paraId="1D1B06E9">
      <w:pPr>
        <w:pStyle w:val="102"/>
        <w:numPr>
          <w:ilvl w:val="3"/>
          <w:numId w:val="12"/>
        </w:numPr>
        <w:ind w:left="0" w:firstLine="426" w:firstLineChars="0"/>
        <w:rPr>
          <w:rFonts w:ascii="微软雅黑" w:hAnsi="微软雅黑" w:cs="仿宋"/>
          <w:b/>
          <w:bCs/>
          <w:color w:val="auto"/>
          <w:kern w:val="0"/>
          <w:szCs w:val="21"/>
          <w:highlight w:val="none"/>
        </w:rPr>
      </w:pPr>
      <w:r>
        <w:rPr>
          <w:rFonts w:hint="eastAsia" w:ascii="微软雅黑" w:hAnsi="微软雅黑" w:cs="仿宋"/>
          <w:b/>
          <w:bCs/>
          <w:color w:val="auto"/>
          <w:szCs w:val="21"/>
          <w:highlight w:val="none"/>
        </w:rPr>
        <w:t>本项目用于项目实施的办公场所由采购单位承担，包含办公桌椅、电脑、打印机等办公设备以及水、电、物业费用。中标供应商不允许在办公场所处理或用于非本项目实施的其它事项。</w:t>
      </w:r>
    </w:p>
    <w:p w14:paraId="630BFD10">
      <w:pPr>
        <w:pStyle w:val="102"/>
        <w:numPr>
          <w:ilvl w:val="3"/>
          <w:numId w:val="12"/>
        </w:numPr>
        <w:ind w:left="0" w:firstLine="426" w:firstLineChars="0"/>
        <w:rPr>
          <w:rFonts w:hint="default" w:ascii="微软雅黑" w:hAnsi="微软雅黑" w:cs="仿宋"/>
          <w:b/>
          <w:bCs/>
          <w:color w:val="auto"/>
          <w:szCs w:val="21"/>
          <w:highlight w:val="none"/>
          <w:lang w:val="en-US"/>
        </w:rPr>
      </w:pPr>
      <w:r>
        <w:rPr>
          <w:rFonts w:hint="eastAsia" w:ascii="微软雅黑" w:hAnsi="微软雅黑" w:cs="仿宋"/>
          <w:b/>
          <w:bCs/>
          <w:color w:val="auto"/>
          <w:szCs w:val="21"/>
          <w:highlight w:val="none"/>
        </w:rPr>
        <w:t>省级及以上的专业学术研讨会</w:t>
      </w:r>
      <w:r>
        <w:rPr>
          <w:rFonts w:hint="eastAsia" w:ascii="微软雅黑" w:hAnsi="微软雅黑" w:cs="仿宋"/>
          <w:b/>
          <w:bCs/>
          <w:color w:val="auto"/>
          <w:szCs w:val="21"/>
          <w:highlight w:val="none"/>
          <w:lang w:eastAsia="zh-CN"/>
        </w:rPr>
        <w:t>【参与人数不少于</w:t>
      </w:r>
      <w:r>
        <w:rPr>
          <w:rFonts w:hint="eastAsia" w:ascii="微软雅黑" w:hAnsi="微软雅黑" w:cs="仿宋"/>
          <w:b/>
          <w:bCs/>
          <w:color w:val="auto"/>
          <w:szCs w:val="21"/>
          <w:highlight w:val="none"/>
          <w:lang w:val="en-US" w:eastAsia="zh-CN"/>
        </w:rPr>
        <w:t>100人（不含本馆人员）】未完成的，扣除项目合同费用的2%。</w:t>
      </w:r>
    </w:p>
    <w:p w14:paraId="5F6824F2">
      <w:pPr>
        <w:pStyle w:val="102"/>
        <w:numPr>
          <w:ilvl w:val="3"/>
          <w:numId w:val="12"/>
        </w:numPr>
        <w:ind w:left="0" w:firstLine="426"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投标供应商需在投标文件中提供方案总体的方案（包括本项目</w:t>
      </w:r>
      <w:r>
        <w:rPr>
          <w:rFonts w:hint="eastAsia" w:ascii="微软雅黑" w:hAnsi="微软雅黑" w:cs="仿宋"/>
          <w:b w:val="0"/>
          <w:bCs w:val="0"/>
          <w:color w:val="auto"/>
          <w:kern w:val="0"/>
          <w:szCs w:val="21"/>
          <w:highlight w:val="none"/>
          <w:lang w:val="en-US" w:eastAsia="zh-CN"/>
        </w:rPr>
        <w:t>总体的理解</w:t>
      </w:r>
      <w:r>
        <w:rPr>
          <w:rFonts w:hint="eastAsia" w:ascii="微软雅黑" w:hAnsi="微软雅黑" w:cs="仿宋"/>
          <w:b w:val="0"/>
          <w:bCs w:val="0"/>
          <w:color w:val="auto"/>
          <w:kern w:val="0"/>
          <w:szCs w:val="21"/>
          <w:highlight w:val="none"/>
        </w:rPr>
        <w:t>、</w:t>
      </w:r>
      <w:r>
        <w:rPr>
          <w:rFonts w:hint="eastAsia" w:ascii="微软雅黑" w:hAnsi="微软雅黑" w:cs="仿宋"/>
          <w:color w:val="auto"/>
          <w:kern w:val="0"/>
          <w:szCs w:val="21"/>
          <w:highlight w:val="none"/>
        </w:rPr>
        <w:t>本项目</w:t>
      </w:r>
      <w:r>
        <w:rPr>
          <w:rFonts w:hint="eastAsia" w:ascii="微软雅黑" w:hAnsi="微软雅黑" w:cs="仿宋"/>
          <w:b/>
          <w:bCs/>
          <w:color w:val="auto"/>
          <w:kern w:val="0"/>
          <w:szCs w:val="21"/>
          <w:highlight w:val="none"/>
          <w:lang w:val="en-US" w:eastAsia="zh-CN"/>
        </w:rPr>
        <w:t>[</w:t>
      </w:r>
      <w:r>
        <w:rPr>
          <w:rFonts w:hint="eastAsia" w:ascii="微软雅黑" w:hAnsi="微软雅黑" w:cs="仿宋"/>
          <w:color w:val="auto"/>
          <w:kern w:val="0"/>
          <w:szCs w:val="21"/>
          <w:highlight w:val="none"/>
          <w:lang w:val="en-US" w:eastAsia="zh-CN"/>
        </w:rPr>
        <w:t>三馆</w:t>
      </w:r>
      <w:r>
        <w:rPr>
          <w:rFonts w:hint="eastAsia" w:ascii="微软雅黑" w:hAnsi="微软雅黑" w:cs="仿宋"/>
          <w:b/>
          <w:bCs/>
          <w:color w:val="auto"/>
          <w:kern w:val="0"/>
          <w:szCs w:val="21"/>
          <w:highlight w:val="none"/>
          <w:lang w:val="en-US" w:eastAsia="zh-CN"/>
        </w:rPr>
        <w:t>]</w:t>
      </w:r>
      <w:r>
        <w:rPr>
          <w:rFonts w:hint="eastAsia" w:ascii="微软雅黑" w:hAnsi="微软雅黑" w:cs="仿宋"/>
          <w:color w:val="auto"/>
          <w:kern w:val="0"/>
          <w:szCs w:val="21"/>
          <w:highlight w:val="none"/>
          <w:lang w:val="en-US" w:eastAsia="zh-CN"/>
        </w:rPr>
        <w:t>及融合运营情况的分析及阐述</w:t>
      </w:r>
      <w:r>
        <w:rPr>
          <w:rFonts w:hint="eastAsia" w:ascii="微软雅黑" w:hAnsi="微软雅黑" w:cs="仿宋"/>
          <w:b w:val="0"/>
          <w:bCs w:val="0"/>
          <w:color w:val="auto"/>
          <w:kern w:val="0"/>
          <w:szCs w:val="21"/>
          <w:highlight w:val="none"/>
        </w:rPr>
        <w:t>、项目实施方案、</w:t>
      </w:r>
      <w:r>
        <w:rPr>
          <w:rFonts w:hint="eastAsia" w:ascii="微软雅黑" w:hAnsi="微软雅黑" w:cs="仿宋"/>
          <w:color w:val="auto"/>
          <w:kern w:val="0"/>
          <w:szCs w:val="21"/>
          <w:highlight w:val="none"/>
        </w:rPr>
        <w:t>针对本项目的组织机构设置</w:t>
      </w:r>
      <w:r>
        <w:rPr>
          <w:rFonts w:hint="eastAsia" w:ascii="微软雅黑" w:hAnsi="微软雅黑" w:cs="仿宋"/>
          <w:b w:val="0"/>
          <w:bCs w:val="0"/>
          <w:color w:val="auto"/>
          <w:kern w:val="0"/>
          <w:szCs w:val="21"/>
          <w:highlight w:val="none"/>
        </w:rPr>
        <w:t>、进驻人员</w:t>
      </w:r>
      <w:r>
        <w:rPr>
          <w:rFonts w:hint="eastAsia" w:ascii="微软雅黑" w:hAnsi="微软雅黑" w:cs="仿宋"/>
          <w:b w:val="0"/>
          <w:bCs w:val="0"/>
          <w:color w:val="auto"/>
          <w:kern w:val="0"/>
          <w:szCs w:val="21"/>
          <w:highlight w:val="none"/>
          <w:lang w:val="en-US" w:eastAsia="zh-CN"/>
        </w:rPr>
        <w:t>和</w:t>
      </w:r>
      <w:r>
        <w:rPr>
          <w:rFonts w:hint="eastAsia" w:ascii="微软雅黑" w:hAnsi="微软雅黑" w:cs="仿宋"/>
          <w:b w:val="0"/>
          <w:bCs w:val="0"/>
          <w:color w:val="auto"/>
          <w:kern w:val="0"/>
          <w:szCs w:val="21"/>
          <w:highlight w:val="none"/>
        </w:rPr>
        <w:t>专业服务人员配备情况、专家顾问团队情况、人力资源费用投入</w:t>
      </w:r>
      <w:r>
        <w:rPr>
          <w:rFonts w:hint="eastAsia" w:ascii="微软雅黑" w:hAnsi="微软雅黑" w:cs="仿宋"/>
          <w:b w:val="0"/>
          <w:bCs w:val="0"/>
          <w:color w:val="auto"/>
          <w:kern w:val="0"/>
          <w:szCs w:val="21"/>
          <w:highlight w:val="none"/>
          <w:lang w:val="en-US" w:eastAsia="zh-CN"/>
        </w:rPr>
        <w:t>及合理化建议</w:t>
      </w:r>
      <w:r>
        <w:rPr>
          <w:rFonts w:hint="eastAsia" w:ascii="微软雅黑" w:hAnsi="微软雅黑" w:cs="仿宋"/>
          <w:b w:val="0"/>
          <w:bCs w:val="0"/>
          <w:color w:val="auto"/>
          <w:kern w:val="0"/>
          <w:szCs w:val="21"/>
          <w:highlight w:val="none"/>
        </w:rPr>
        <w:t>。供应商需提供综合实力</w:t>
      </w:r>
      <w:r>
        <w:rPr>
          <w:rFonts w:hint="eastAsia" w:ascii="微软雅黑" w:hAnsi="微软雅黑" w:cs="仿宋"/>
          <w:b w:val="0"/>
          <w:bCs w:val="0"/>
          <w:color w:val="auto"/>
          <w:kern w:val="0"/>
          <w:szCs w:val="21"/>
          <w:highlight w:val="none"/>
          <w:lang w:val="en-US" w:eastAsia="zh-CN"/>
        </w:rPr>
        <w:t>情况，奖项</w:t>
      </w:r>
      <w:r>
        <w:rPr>
          <w:rFonts w:hint="eastAsia" w:ascii="微软雅黑" w:hAnsi="微软雅黑" w:cs="仿宋"/>
          <w:b w:val="0"/>
          <w:bCs w:val="0"/>
          <w:color w:val="auto"/>
          <w:kern w:val="0"/>
          <w:szCs w:val="21"/>
          <w:highlight w:val="none"/>
        </w:rPr>
        <w:t>及业绩的相关证明材料</w:t>
      </w:r>
      <w:r>
        <w:rPr>
          <w:rFonts w:hint="eastAsia" w:ascii="微软雅黑" w:hAnsi="微软雅黑" w:cs="仿宋"/>
          <w:b/>
          <w:bCs/>
          <w:color w:val="auto"/>
          <w:kern w:val="0"/>
          <w:szCs w:val="21"/>
          <w:highlight w:val="none"/>
        </w:rPr>
        <w:t>。</w:t>
      </w:r>
    </w:p>
    <w:p w14:paraId="6629C3A0">
      <w:pPr>
        <w:pStyle w:val="102"/>
        <w:numPr>
          <w:ilvl w:val="0"/>
          <w:numId w:val="4"/>
        </w:numPr>
        <w:ind w:left="0" w:firstLine="420"/>
        <w:outlineLvl w:val="1"/>
        <w:rPr>
          <w:rFonts w:ascii="微软雅黑" w:hAnsi="微软雅黑" w:cs="微软雅黑"/>
          <w:bCs/>
          <w:color w:val="auto"/>
          <w:szCs w:val="21"/>
          <w:highlight w:val="none"/>
        </w:rPr>
      </w:pPr>
      <w:r>
        <w:rPr>
          <w:rFonts w:hint="eastAsia" w:ascii="微软雅黑" w:hAnsi="微软雅黑" w:cs="微软雅黑"/>
          <w:b/>
          <w:color w:val="auto"/>
          <w:szCs w:val="21"/>
          <w:highlight w:val="none"/>
        </w:rPr>
        <w:t>付款方式</w:t>
      </w:r>
    </w:p>
    <w:p w14:paraId="71C984FD">
      <w:pPr>
        <w:numPr>
          <w:ilvl w:val="1"/>
          <w:numId w:val="13"/>
        </w:numPr>
        <w:ind w:left="0" w:firstLine="420" w:firstLineChars="0"/>
        <w:rPr>
          <w:rFonts w:ascii="微软雅黑" w:hAnsi="微软雅黑" w:cs="微软雅黑"/>
          <w:color w:val="auto"/>
          <w:szCs w:val="21"/>
          <w:highlight w:val="none"/>
        </w:rPr>
      </w:pPr>
      <w:r>
        <w:rPr>
          <w:rFonts w:hint="eastAsia" w:ascii="微软雅黑" w:hAnsi="微软雅黑" w:cs="微软雅黑"/>
          <w:color w:val="auto"/>
          <w:szCs w:val="21"/>
          <w:highlight w:val="none"/>
        </w:rPr>
        <w:t>预付款政策告知</w:t>
      </w:r>
    </w:p>
    <w:p w14:paraId="2361C4D7">
      <w:pPr>
        <w:ind w:firstLine="420"/>
        <w:rPr>
          <w:rFonts w:ascii="微软雅黑" w:hAnsi="微软雅黑" w:cs="微软雅黑"/>
          <w:color w:val="auto"/>
          <w:szCs w:val="21"/>
          <w:highlight w:val="none"/>
        </w:rPr>
      </w:pPr>
      <w:r>
        <w:rPr>
          <w:rFonts w:hint="eastAsia" w:ascii="微软雅黑" w:hAnsi="微软雅黑" w:cs="微软雅黑"/>
          <w:color w:val="auto"/>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采购单位式采购的，预付款从其相关规定。</w:t>
      </w:r>
    </w:p>
    <w:p w14:paraId="3C50D4C4">
      <w:pPr>
        <w:numPr>
          <w:ilvl w:val="1"/>
          <w:numId w:val="13"/>
        </w:numPr>
        <w:ind w:left="0" w:firstLine="420" w:firstLineChars="0"/>
        <w:rPr>
          <w:rFonts w:hint="eastAsia" w:ascii="微软雅黑" w:hAnsi="微软雅黑" w:cs="微软雅黑"/>
          <w:b w:val="0"/>
          <w:bCs w:val="0"/>
          <w:color w:val="auto"/>
          <w:szCs w:val="21"/>
          <w:highlight w:val="none"/>
        </w:rPr>
      </w:pPr>
      <w:r>
        <w:rPr>
          <w:rFonts w:hint="eastAsia" w:ascii="微软雅黑" w:hAnsi="微软雅黑" w:cs="微软雅黑"/>
          <w:b w:val="0"/>
          <w:bCs w:val="0"/>
          <w:color w:val="auto"/>
          <w:szCs w:val="21"/>
          <w:highlight w:val="none"/>
        </w:rPr>
        <w:t>项目进度款：</w:t>
      </w:r>
    </w:p>
    <w:p w14:paraId="1D111FCF">
      <w:pPr>
        <w:ind w:firstLine="420"/>
        <w:rPr>
          <w:rFonts w:ascii="微软雅黑" w:hAnsi="微软雅黑"/>
          <w:b/>
          <w:bCs/>
          <w:color w:val="auto"/>
          <w:szCs w:val="21"/>
          <w:highlight w:val="none"/>
        </w:rPr>
      </w:pPr>
      <w:r>
        <w:rPr>
          <w:rFonts w:hint="eastAsia" w:ascii="微软雅黑" w:hAnsi="微软雅黑"/>
          <w:b/>
          <w:bCs/>
          <w:color w:val="auto"/>
          <w:szCs w:val="21"/>
          <w:highlight w:val="none"/>
        </w:rPr>
        <w:t>按月分摊项目</w:t>
      </w:r>
      <w:r>
        <w:rPr>
          <w:rFonts w:hint="eastAsia" w:ascii="微软雅黑" w:hAnsi="微软雅黑"/>
          <w:b/>
          <w:bCs/>
          <w:color w:val="auto"/>
          <w:szCs w:val="21"/>
          <w:highlight w:val="none"/>
          <w:lang w:eastAsia="zh-CN"/>
        </w:rPr>
        <w:t>日常</w:t>
      </w:r>
      <w:r>
        <w:rPr>
          <w:rFonts w:hint="eastAsia" w:ascii="微软雅黑" w:hAnsi="微软雅黑"/>
          <w:b/>
          <w:bCs/>
          <w:color w:val="auto"/>
          <w:szCs w:val="21"/>
          <w:highlight w:val="none"/>
        </w:rPr>
        <w:t>服务费</w:t>
      </w:r>
      <w:r>
        <w:rPr>
          <w:rFonts w:hint="eastAsia" w:ascii="微软雅黑" w:hAnsi="微软雅黑"/>
          <w:b/>
          <w:bCs/>
          <w:color w:val="auto"/>
          <w:szCs w:val="21"/>
          <w:highlight w:val="none"/>
          <w:lang w:eastAsia="zh-CN"/>
        </w:rPr>
        <w:t>（合同金额扣除结算考核费用、量化指标考核费用以及省级及以上的专业学术研讨会考核费用）</w:t>
      </w:r>
      <w:r>
        <w:rPr>
          <w:rFonts w:hint="eastAsia" w:ascii="微软雅黑" w:hAnsi="微软雅黑"/>
          <w:b/>
          <w:bCs/>
          <w:color w:val="auto"/>
          <w:szCs w:val="21"/>
          <w:highlight w:val="none"/>
        </w:rPr>
        <w:t>，</w:t>
      </w:r>
      <w:r>
        <w:rPr>
          <w:rFonts w:hint="eastAsia" w:ascii="微软雅黑" w:hAnsi="微软雅黑"/>
          <w:b/>
          <w:bCs/>
          <w:color w:val="auto"/>
          <w:szCs w:val="21"/>
          <w:highlight w:val="none"/>
          <w:lang w:eastAsia="zh-CN"/>
        </w:rPr>
        <w:t>日常</w:t>
      </w:r>
      <w:r>
        <w:rPr>
          <w:rFonts w:hint="eastAsia" w:ascii="微软雅黑" w:hAnsi="微软雅黑"/>
          <w:b/>
          <w:bCs/>
          <w:color w:val="auto"/>
          <w:szCs w:val="21"/>
          <w:highlight w:val="none"/>
        </w:rPr>
        <w:t>服务费用每月验收、考核（日常考核）结算一次，中标供应商提交项目月度验收报告、采购单位根据</w:t>
      </w:r>
      <w:r>
        <w:rPr>
          <w:rFonts w:hint="eastAsia" w:ascii="微软雅黑" w:hAnsi="微软雅黑"/>
          <w:b/>
          <w:bCs/>
          <w:color w:val="auto"/>
          <w:szCs w:val="21"/>
          <w:highlight w:val="none"/>
          <w:lang w:eastAsia="zh-CN"/>
        </w:rPr>
        <w:t>验收及</w:t>
      </w:r>
      <w:r>
        <w:rPr>
          <w:rFonts w:hint="eastAsia" w:ascii="微软雅黑" w:hAnsi="微软雅黑"/>
          <w:b/>
          <w:bCs/>
          <w:color w:val="auto"/>
          <w:szCs w:val="21"/>
          <w:highlight w:val="none"/>
        </w:rPr>
        <w:t>日常考核结果，计算应付</w:t>
      </w:r>
      <w:r>
        <w:rPr>
          <w:rFonts w:hint="eastAsia" w:ascii="微软雅黑" w:hAnsi="微软雅黑"/>
          <w:b/>
          <w:bCs/>
          <w:color w:val="auto"/>
          <w:szCs w:val="21"/>
          <w:highlight w:val="none"/>
          <w:lang w:eastAsia="zh-CN"/>
        </w:rPr>
        <w:t>日常</w:t>
      </w:r>
      <w:r>
        <w:rPr>
          <w:rFonts w:hint="eastAsia" w:ascii="微软雅黑" w:hAnsi="微软雅黑"/>
          <w:b/>
          <w:bCs/>
          <w:color w:val="auto"/>
          <w:szCs w:val="21"/>
          <w:highlight w:val="none"/>
        </w:rPr>
        <w:t>服务费用，中标供应商开据正规发票，采购单位收到发票后以银行转帐方式向中标供应商支付。</w:t>
      </w:r>
    </w:p>
    <w:p w14:paraId="52CABBF3">
      <w:pPr>
        <w:ind w:firstLine="420"/>
        <w:rPr>
          <w:rFonts w:hint="default" w:ascii="微软雅黑" w:hAnsi="微软雅黑"/>
          <w:color w:val="auto"/>
          <w:szCs w:val="21"/>
          <w:highlight w:val="none"/>
          <w:lang w:val="en-US" w:eastAsia="zh-CN"/>
        </w:rPr>
      </w:pPr>
      <w:r>
        <w:rPr>
          <w:rFonts w:hint="eastAsia" w:ascii="微软雅黑" w:hAnsi="微软雅黑"/>
          <w:b/>
          <w:bCs/>
          <w:color w:val="auto"/>
          <w:szCs w:val="21"/>
          <w:highlight w:val="none"/>
          <w:lang w:eastAsia="zh-CN"/>
        </w:rPr>
        <w:t>完成项目量化指标考核、项目结算以及其它考核后</w:t>
      </w:r>
      <w:r>
        <w:rPr>
          <w:rFonts w:hint="eastAsia" w:ascii="微软雅黑" w:hAnsi="微软雅黑"/>
          <w:b/>
          <w:bCs/>
          <w:color w:val="auto"/>
          <w:szCs w:val="21"/>
          <w:highlight w:val="none"/>
        </w:rPr>
        <w:t>，采购单位按考核结果支付相应费用，中标供应商开据正规发票，采购单位收到发票后以银行转帐方式向中标供应商支付。</w:t>
      </w:r>
    </w:p>
    <w:p w14:paraId="34410DA0">
      <w:pPr>
        <w:ind w:firstLine="420"/>
        <w:rPr>
          <w:rFonts w:hint="eastAsia" w:ascii="微软雅黑" w:hAnsi="微软雅黑"/>
          <w:color w:val="auto"/>
          <w:szCs w:val="21"/>
          <w:highlight w:val="none"/>
        </w:rPr>
        <w:sectPr>
          <w:headerReference r:id="rId17" w:type="first"/>
          <w:footerReference r:id="rId18" w:type="default"/>
          <w:headerReference r:id="rId16"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4173FA5C">
      <w:pPr>
        <w:pStyle w:val="2"/>
        <w:numPr>
          <w:ilvl w:val="0"/>
          <w:numId w:val="3"/>
        </w:numPr>
        <w:rPr>
          <w:rStyle w:val="65"/>
          <w:b/>
          <w:bCs/>
          <w:color w:val="auto"/>
          <w:highlight w:val="none"/>
        </w:rPr>
      </w:pPr>
      <w:r>
        <w:rPr>
          <w:rStyle w:val="65"/>
          <w:rFonts w:hint="eastAsia"/>
          <w:b/>
          <w:bCs/>
          <w:color w:val="auto"/>
          <w:highlight w:val="none"/>
        </w:rPr>
        <w:t xml:space="preserve">  </w:t>
      </w:r>
      <w:bookmarkStart w:id="20" w:name="_Toc32265"/>
      <w:r>
        <w:rPr>
          <w:rStyle w:val="65"/>
          <w:rFonts w:hint="eastAsia"/>
          <w:b/>
          <w:bCs/>
          <w:color w:val="auto"/>
          <w:highlight w:val="none"/>
        </w:rPr>
        <w:t>投标人须知</w:t>
      </w:r>
      <w:bookmarkEnd w:id="9"/>
      <w:bookmarkEnd w:id="18"/>
      <w:bookmarkEnd w:id="19"/>
      <w:bookmarkEnd w:id="20"/>
    </w:p>
    <w:p w14:paraId="30E7BD01">
      <w:pPr>
        <w:pStyle w:val="3"/>
        <w:ind w:firstLine="420"/>
        <w:jc w:val="center"/>
        <w:rPr>
          <w:rFonts w:hint="eastAsia"/>
          <w:color w:val="auto"/>
          <w:highlight w:val="none"/>
        </w:rPr>
      </w:pPr>
      <w:bookmarkStart w:id="21" w:name="_Toc15642"/>
      <w:bookmarkStart w:id="22" w:name="_Toc177870535"/>
      <w:bookmarkStart w:id="23" w:name="_Toc493511543"/>
      <w:r>
        <w:rPr>
          <w:rFonts w:hint="eastAsia"/>
          <w:color w:val="auto"/>
          <w:highlight w:val="none"/>
        </w:rPr>
        <w:t>电子交易注意事项</w:t>
      </w:r>
      <w:bookmarkEnd w:id="21"/>
    </w:p>
    <w:p w14:paraId="115F417C">
      <w:pPr>
        <w:ind w:firstLine="210" w:firstLineChars="10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政府采购项目电子交易活动适用《浙江省政府采购项目电子交易管理暂行办法》，现将相关注意事项告知如下：</w:t>
      </w:r>
    </w:p>
    <w:p w14:paraId="7C280FA8">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代理机构按照招标文件规定的时间通过电子交易平台组织开标、开启投标文件，所有供应商均应当准时在线参加，直至评审结束。</w:t>
      </w:r>
    </w:p>
    <w:p w14:paraId="0726AB4A">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 xml:space="preserve"> 投标文件未按时解密，供应商如提供备份投标文件的，以符合要求的备份投标文件作为依据，否则视为投标文件撤回。投标文件已按时解密的，备份投标文件自动失效。</w:t>
      </w:r>
    </w:p>
    <w:p w14:paraId="544D777A">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采购过程中出现以下情形，导致电子交易平台无法正常运行，或者无法保证电子交易的公平、公正和安全时，代理机构可中止电子交易活动：</w:t>
      </w:r>
    </w:p>
    <w:p w14:paraId="2C12768D">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（一）电子交易平台发生故障而无法登录访问的。</w:t>
      </w:r>
    </w:p>
    <w:p w14:paraId="00876E50">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（二）电子交易平台应用或数据库出现错误，不能进行正常操作的。</w:t>
      </w:r>
    </w:p>
    <w:p w14:paraId="0C27F874">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（三）电子交易平台发现严重安全漏洞，有潜在泄密危险的。</w:t>
      </w:r>
    </w:p>
    <w:p w14:paraId="7589C152">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（四）病毒发作导致不能进行正常操作的。 </w:t>
      </w:r>
    </w:p>
    <w:p w14:paraId="26B02693">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（五）其他无法保证电子交易的公平、公正和安全的情况。</w:t>
      </w:r>
    </w:p>
    <w:p w14:paraId="1121CEFF">
      <w:pPr>
        <w:pStyle w:val="48"/>
        <w:spacing w:beforeAutospacing="0" w:after="120" w:afterAutospacing="0"/>
        <w:ind w:firstLine="420"/>
        <w:rPr>
          <w:rFonts w:hint="eastAsia" w:ascii="微软雅黑" w:hAnsi="微软雅黑"/>
          <w:color w:val="auto"/>
          <w:kern w:val="2"/>
          <w:sz w:val="21"/>
          <w:szCs w:val="21"/>
          <w:highlight w:val="none"/>
        </w:rPr>
      </w:pPr>
      <w:r>
        <w:rPr>
          <w:rFonts w:hint="eastAsia" w:ascii="微软雅黑" w:hAnsi="微软雅黑"/>
          <w:color w:val="auto"/>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505EBC25">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pPr>
      <w:r>
        <w:rPr>
          <w:rFonts w:hint="eastAsia" w:ascii="微软雅黑" w:hAnsi="微软雅黑"/>
          <w:color w:val="auto"/>
          <w:szCs w:val="21"/>
          <w:highlight w:val="none"/>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12E1C340">
      <w:pPr>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微软雅黑" w:hAnsi="微软雅黑"/>
          <w:color w:val="auto"/>
          <w:szCs w:val="21"/>
          <w:highlight w:val="none"/>
        </w:rPr>
        <w:sectPr>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0199D24A">
      <w:pPr>
        <w:ind w:left="238" w:firstLine="420"/>
        <w:jc w:val="center"/>
        <w:outlineLvl w:val="1"/>
        <w:rPr>
          <w:rFonts w:hint="eastAsia" w:ascii="微软雅黑" w:hAnsi="微软雅黑"/>
          <w:b/>
          <w:color w:val="auto"/>
          <w:szCs w:val="21"/>
          <w:highlight w:val="none"/>
        </w:rPr>
      </w:pPr>
      <w:bookmarkStart w:id="24" w:name="_Toc9927"/>
      <w:r>
        <w:rPr>
          <w:rFonts w:hint="eastAsia" w:ascii="微软雅黑" w:hAnsi="微软雅黑"/>
          <w:b/>
          <w:color w:val="auto"/>
          <w:szCs w:val="21"/>
          <w:highlight w:val="none"/>
        </w:rPr>
        <w:t>前附表</w:t>
      </w:r>
      <w:bookmarkEnd w:id="22"/>
      <w:bookmarkEnd w:id="23"/>
      <w:bookmarkEnd w:id="24"/>
    </w:p>
    <w:tbl>
      <w:tblPr>
        <w:tblStyle w:val="54"/>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670"/>
        <w:gridCol w:w="6268"/>
      </w:tblGrid>
      <w:tr w14:paraId="13316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145580C">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序号</w:t>
            </w:r>
          </w:p>
        </w:tc>
        <w:tc>
          <w:tcPr>
            <w:tcW w:w="1670" w:type="dxa"/>
            <w:tcBorders>
              <w:top w:val="single" w:color="000000" w:sz="8" w:space="0"/>
              <w:left w:val="single" w:color="auto" w:sz="4" w:space="0"/>
              <w:bottom w:val="single" w:color="000000" w:sz="8" w:space="0"/>
              <w:right w:val="single" w:color="000000" w:sz="8" w:space="0"/>
            </w:tcBorders>
            <w:vAlign w:val="center"/>
          </w:tcPr>
          <w:p w14:paraId="194124FF">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事项</w:t>
            </w:r>
          </w:p>
        </w:tc>
        <w:tc>
          <w:tcPr>
            <w:tcW w:w="6268" w:type="dxa"/>
            <w:tcBorders>
              <w:top w:val="single" w:color="000000" w:sz="8" w:space="0"/>
              <w:left w:val="single" w:color="000000" w:sz="2" w:space="0"/>
              <w:bottom w:val="single" w:color="000000" w:sz="8" w:space="0"/>
              <w:right w:val="single" w:color="000000" w:sz="8" w:space="0"/>
            </w:tcBorders>
            <w:vAlign w:val="center"/>
          </w:tcPr>
          <w:p w14:paraId="17B7D547">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本项目的特别规定</w:t>
            </w:r>
          </w:p>
        </w:tc>
      </w:tr>
      <w:tr w14:paraId="7899F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7CB86C">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1</w:t>
            </w:r>
          </w:p>
        </w:tc>
        <w:tc>
          <w:tcPr>
            <w:tcW w:w="1670" w:type="dxa"/>
            <w:tcBorders>
              <w:top w:val="single" w:color="000000" w:sz="8" w:space="0"/>
              <w:left w:val="single" w:color="auto" w:sz="4" w:space="0"/>
              <w:bottom w:val="single" w:color="000000" w:sz="8" w:space="0"/>
              <w:right w:val="single" w:color="000000" w:sz="8" w:space="0"/>
            </w:tcBorders>
            <w:vAlign w:val="center"/>
          </w:tcPr>
          <w:p w14:paraId="33A72CCF">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项目名称</w:t>
            </w:r>
          </w:p>
        </w:tc>
        <w:tc>
          <w:tcPr>
            <w:tcW w:w="6268" w:type="dxa"/>
            <w:tcBorders>
              <w:top w:val="single" w:color="000000" w:sz="8" w:space="0"/>
              <w:left w:val="single" w:color="000000" w:sz="2" w:space="0"/>
              <w:bottom w:val="single" w:color="000000" w:sz="8" w:space="0"/>
              <w:right w:val="single" w:color="000000" w:sz="8" w:space="0"/>
            </w:tcBorders>
            <w:vAlign w:val="center"/>
          </w:tcPr>
          <w:p w14:paraId="13BC4EA9">
            <w:pPr>
              <w:snapToGrid w:val="0"/>
              <w:spacing w:line="240" w:lineRule="auto"/>
              <w:ind w:firstLine="0" w:firstLineChars="0"/>
              <w:jc w:val="center"/>
              <w:rPr>
                <w:rFonts w:hint="eastAsia" w:ascii="微软雅黑" w:hAnsi="微软雅黑" w:eastAsia="微软雅黑" w:cs="仿宋_GB2312"/>
                <w:b/>
                <w:color w:val="auto"/>
                <w:szCs w:val="21"/>
                <w:highlight w:val="none"/>
                <w:lang w:eastAsia="zh-CN"/>
              </w:rPr>
            </w:pPr>
            <w:r>
              <w:rPr>
                <w:rFonts w:hint="eastAsia"/>
                <w:color w:val="auto"/>
                <w:highlight w:val="none"/>
                <w:lang w:eastAsia="zh-CN"/>
              </w:rPr>
              <w:t>2025年嘉兴市文化艺术中心秀洲“三馆”融合运营服务项目</w:t>
            </w:r>
          </w:p>
        </w:tc>
      </w:tr>
      <w:tr w14:paraId="391C4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25DDE0D">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2</w:t>
            </w:r>
          </w:p>
        </w:tc>
        <w:tc>
          <w:tcPr>
            <w:tcW w:w="1670" w:type="dxa"/>
            <w:tcBorders>
              <w:top w:val="single" w:color="000000" w:sz="8" w:space="0"/>
              <w:left w:val="single" w:color="auto" w:sz="4" w:space="0"/>
              <w:bottom w:val="single" w:color="000000" w:sz="8" w:space="0"/>
              <w:right w:val="single" w:color="000000" w:sz="8" w:space="0"/>
            </w:tcBorders>
            <w:vAlign w:val="center"/>
          </w:tcPr>
          <w:p w14:paraId="14B90286">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采购内容</w:t>
            </w:r>
          </w:p>
        </w:tc>
        <w:tc>
          <w:tcPr>
            <w:tcW w:w="6268" w:type="dxa"/>
            <w:tcBorders>
              <w:top w:val="single" w:color="000000" w:sz="8" w:space="0"/>
              <w:left w:val="single" w:color="000000" w:sz="2" w:space="0"/>
              <w:bottom w:val="single" w:color="000000" w:sz="8" w:space="0"/>
              <w:right w:val="single" w:color="000000" w:sz="8" w:space="0"/>
            </w:tcBorders>
            <w:vAlign w:val="center"/>
          </w:tcPr>
          <w:p w14:paraId="3B14F0D3">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详见第二章</w:t>
            </w:r>
          </w:p>
        </w:tc>
      </w:tr>
      <w:tr w14:paraId="77364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612F0D4">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3</w:t>
            </w:r>
          </w:p>
        </w:tc>
        <w:tc>
          <w:tcPr>
            <w:tcW w:w="1670" w:type="dxa"/>
            <w:tcBorders>
              <w:top w:val="single" w:color="000000" w:sz="8" w:space="0"/>
              <w:left w:val="single" w:color="auto" w:sz="4" w:space="0"/>
              <w:bottom w:val="single" w:color="000000" w:sz="8" w:space="0"/>
              <w:right w:val="single" w:color="000000" w:sz="8" w:space="0"/>
            </w:tcBorders>
            <w:vAlign w:val="center"/>
          </w:tcPr>
          <w:p w14:paraId="2E2BA619">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报价要求</w:t>
            </w:r>
          </w:p>
        </w:tc>
        <w:tc>
          <w:tcPr>
            <w:tcW w:w="6268" w:type="dxa"/>
            <w:tcBorders>
              <w:top w:val="single" w:color="000000" w:sz="8" w:space="0"/>
              <w:left w:val="single" w:color="000000" w:sz="2" w:space="0"/>
              <w:bottom w:val="single" w:color="000000" w:sz="8" w:space="0"/>
              <w:right w:val="single" w:color="000000" w:sz="8" w:space="0"/>
            </w:tcBorders>
            <w:vAlign w:val="center"/>
          </w:tcPr>
          <w:p w14:paraId="5199DE4D">
            <w:pPr>
              <w:spacing w:line="240" w:lineRule="auto"/>
              <w:ind w:firstLine="0" w:firstLineChars="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65A5B229">
            <w:pPr>
              <w:spacing w:line="240" w:lineRule="auto"/>
              <w:ind w:firstLine="0" w:firstLineChars="0"/>
              <w:rPr>
                <w:rFonts w:hint="eastAsia" w:ascii="微软雅黑" w:hAnsi="微软雅黑"/>
                <w:color w:val="auto"/>
                <w:szCs w:val="21"/>
                <w:highlight w:val="none"/>
              </w:rPr>
            </w:pPr>
          </w:p>
        </w:tc>
      </w:tr>
      <w:tr w14:paraId="2F39F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95DFAC9">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4</w:t>
            </w:r>
          </w:p>
        </w:tc>
        <w:tc>
          <w:tcPr>
            <w:tcW w:w="1670" w:type="dxa"/>
            <w:tcBorders>
              <w:top w:val="single" w:color="000000" w:sz="8" w:space="0"/>
              <w:left w:val="single" w:color="auto" w:sz="4" w:space="0"/>
              <w:bottom w:val="single" w:color="000000" w:sz="8" w:space="0"/>
              <w:right w:val="single" w:color="000000" w:sz="8" w:space="0"/>
            </w:tcBorders>
            <w:vAlign w:val="center"/>
          </w:tcPr>
          <w:p w14:paraId="2AF75EFA">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分包</w:t>
            </w:r>
          </w:p>
        </w:tc>
        <w:tc>
          <w:tcPr>
            <w:tcW w:w="6268" w:type="dxa"/>
            <w:tcBorders>
              <w:top w:val="single" w:color="000000" w:sz="8" w:space="0"/>
              <w:left w:val="single" w:color="000000" w:sz="2" w:space="0"/>
              <w:bottom w:val="single" w:color="000000" w:sz="8" w:space="0"/>
              <w:right w:val="single" w:color="000000" w:sz="8" w:space="0"/>
            </w:tcBorders>
            <w:vAlign w:val="center"/>
          </w:tcPr>
          <w:p w14:paraId="2DE8EE09">
            <w:pPr>
              <w:spacing w:line="240" w:lineRule="auto"/>
              <w:ind w:firstLine="0" w:firstLineChars="0"/>
              <w:rPr>
                <w:rFonts w:hint="eastAsia" w:ascii="微软雅黑" w:hAnsi="微软雅黑" w:cs="仿宋_GB2312"/>
                <w:color w:val="auto"/>
                <w:szCs w:val="21"/>
                <w:highlight w:val="none"/>
              </w:rPr>
            </w:pPr>
            <w:r>
              <w:rPr>
                <w:rFonts w:ascii="微软雅黑" w:hAnsi="微软雅黑" w:cs="Arial"/>
                <w:color w:val="auto"/>
                <w:kern w:val="0"/>
                <w:szCs w:val="21"/>
                <w:highlight w:val="none"/>
              </w:rPr>
              <w:sym w:font="Wingdings" w:char="00A8"/>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A同意将非主体、非关键性的</w:t>
            </w:r>
            <w:r>
              <w:rPr>
                <w:rFonts w:hint="eastAsia" w:ascii="微软雅黑" w:hAnsi="微软雅黑" w:cs="宋体"/>
                <w:color w:val="auto"/>
                <w:szCs w:val="21"/>
                <w:highlight w:val="none"/>
                <w:u w:val="single"/>
                <w:lang w:val="zh-CN"/>
              </w:rPr>
              <w:t xml:space="preserve">             </w:t>
            </w:r>
            <w:r>
              <w:rPr>
                <w:rFonts w:hint="eastAsia" w:ascii="微软雅黑" w:hAnsi="微软雅黑" w:cs="宋体"/>
                <w:color w:val="auto"/>
                <w:szCs w:val="21"/>
                <w:highlight w:val="none"/>
                <w:lang w:val="zh-CN"/>
              </w:rPr>
              <w:t>工作分包。</w:t>
            </w: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s="宋体"/>
                <w:color w:val="auto"/>
                <w:szCs w:val="21"/>
                <w:highlight w:val="none"/>
                <w:lang w:val="zh-CN"/>
              </w:rPr>
              <w:t>B不同意分包。</w:t>
            </w:r>
          </w:p>
        </w:tc>
      </w:tr>
      <w:tr w14:paraId="06E704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E35DAF2">
            <w:pPr>
              <w:snapToGrid w:val="0"/>
              <w:spacing w:line="240" w:lineRule="auto"/>
              <w:ind w:firstLine="0" w:firstLineChars="0"/>
              <w:jc w:val="center"/>
              <w:rPr>
                <w:rFonts w:hint="eastAsia" w:ascii="微软雅黑" w:hAnsi="微软雅黑" w:cs="仿宋_GB2312"/>
                <w:color w:val="auto"/>
                <w:szCs w:val="21"/>
                <w:highlight w:val="none"/>
              </w:rPr>
            </w:pPr>
          </w:p>
          <w:p w14:paraId="7B589B36">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5</w:t>
            </w:r>
          </w:p>
        </w:tc>
        <w:tc>
          <w:tcPr>
            <w:tcW w:w="1670" w:type="dxa"/>
            <w:tcBorders>
              <w:top w:val="single" w:color="000000" w:sz="8" w:space="0"/>
              <w:left w:val="single" w:color="auto" w:sz="4" w:space="0"/>
              <w:bottom w:val="single" w:color="000000" w:sz="8" w:space="0"/>
              <w:right w:val="single" w:color="000000" w:sz="8" w:space="0"/>
            </w:tcBorders>
            <w:vAlign w:val="center"/>
          </w:tcPr>
          <w:p w14:paraId="3BA039FC">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开标前答疑会或现场踏勘</w:t>
            </w:r>
          </w:p>
        </w:tc>
        <w:tc>
          <w:tcPr>
            <w:tcW w:w="6268" w:type="dxa"/>
            <w:tcBorders>
              <w:top w:val="single" w:color="000000" w:sz="8" w:space="0"/>
              <w:left w:val="single" w:color="000000" w:sz="2" w:space="0"/>
              <w:bottom w:val="single" w:color="000000" w:sz="8" w:space="0"/>
              <w:right w:val="single" w:color="000000" w:sz="8" w:space="0"/>
            </w:tcBorders>
            <w:vAlign w:val="center"/>
          </w:tcPr>
          <w:p w14:paraId="1A8AA008">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A不组织。</w:t>
            </w:r>
          </w:p>
          <w:p w14:paraId="6CC97F66">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B组织，时间：</w:t>
            </w:r>
            <w:r>
              <w:rPr>
                <w:rFonts w:ascii="微软雅黑" w:hAnsi="微软雅黑"/>
                <w:color w:val="auto"/>
                <w:szCs w:val="21"/>
                <w:highlight w:val="none"/>
                <w:u w:val="single"/>
              </w:rPr>
              <w:t xml:space="preserve">      </w:t>
            </w:r>
            <w:r>
              <w:rPr>
                <w:rFonts w:ascii="微软雅黑" w:hAnsi="微软雅黑"/>
                <w:color w:val="auto"/>
                <w:szCs w:val="21"/>
                <w:highlight w:val="none"/>
              </w:rPr>
              <w:t>,</w:t>
            </w:r>
            <w:r>
              <w:rPr>
                <w:rFonts w:hint="eastAsia" w:ascii="微软雅黑" w:hAnsi="微软雅黑" w:cs="宋体"/>
                <w:color w:val="auto"/>
                <w:szCs w:val="21"/>
                <w:highlight w:val="none"/>
                <w:lang w:val="zh-CN"/>
              </w:rPr>
              <w:t>地点：</w:t>
            </w:r>
            <w:r>
              <w:rPr>
                <w:rFonts w:hint="eastAsia" w:ascii="微软雅黑" w:hAnsi="微软雅黑" w:cs="宋体"/>
                <w:color w:val="auto"/>
                <w:szCs w:val="21"/>
                <w:highlight w:val="none"/>
                <w:u w:val="single"/>
              </w:rPr>
              <w:t>嘉兴市**区**路**号**室</w:t>
            </w:r>
            <w:r>
              <w:rPr>
                <w:rFonts w:hint="eastAsia" w:ascii="微软雅黑" w:hAnsi="微软雅黑" w:cs="宋体"/>
                <w:color w:val="auto"/>
                <w:szCs w:val="21"/>
                <w:highlight w:val="none"/>
                <w:lang w:val="zh-CN"/>
              </w:rPr>
              <w:t>，联系人：</w:t>
            </w:r>
            <w:r>
              <w:rPr>
                <w:rFonts w:ascii="微软雅黑" w:hAnsi="微软雅黑"/>
                <w:color w:val="auto"/>
                <w:szCs w:val="21"/>
                <w:highlight w:val="none"/>
                <w:u w:val="single"/>
              </w:rPr>
              <w:t xml:space="preserve">      </w:t>
            </w:r>
            <w:r>
              <w:rPr>
                <w:rFonts w:hint="eastAsia" w:ascii="微软雅黑" w:hAnsi="微软雅黑"/>
                <w:color w:val="auto"/>
                <w:szCs w:val="21"/>
                <w:highlight w:val="none"/>
              </w:rPr>
              <w:t>，</w:t>
            </w:r>
            <w:r>
              <w:rPr>
                <w:rFonts w:hint="eastAsia" w:ascii="微软雅黑" w:hAnsi="微软雅黑" w:cs="宋体"/>
                <w:color w:val="auto"/>
                <w:szCs w:val="21"/>
                <w:highlight w:val="none"/>
                <w:lang w:val="zh-CN"/>
              </w:rPr>
              <w:t>联系方式：</w:t>
            </w:r>
            <w:r>
              <w:rPr>
                <w:rFonts w:ascii="微软雅黑" w:hAnsi="微软雅黑"/>
                <w:color w:val="auto"/>
                <w:szCs w:val="21"/>
                <w:highlight w:val="none"/>
                <w:u w:val="single"/>
              </w:rPr>
              <w:t xml:space="preserve">      </w:t>
            </w:r>
            <w:r>
              <w:rPr>
                <w:rFonts w:hint="eastAsia" w:ascii="微软雅黑" w:hAnsi="微软雅黑"/>
                <w:color w:val="auto"/>
                <w:szCs w:val="21"/>
                <w:highlight w:val="none"/>
              </w:rPr>
              <w:t>。</w:t>
            </w:r>
          </w:p>
          <w:p w14:paraId="3364575B">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ascii="微软雅黑" w:hAnsi="微软雅黑" w:cs="Arial"/>
                <w:color w:val="auto"/>
                <w:kern w:val="0"/>
                <w:szCs w:val="21"/>
                <w:highlight w:val="none"/>
              </w:rPr>
              <w:t xml:space="preserve"> </w:t>
            </w:r>
            <w:r>
              <w:rPr>
                <w:rFonts w:hint="eastAsia" w:ascii="微软雅黑" w:hAnsi="微软雅黑"/>
                <w:color w:val="auto"/>
                <w:szCs w:val="21"/>
                <w:highlight w:val="none"/>
                <w:lang w:val="zh-CN"/>
              </w:rPr>
              <w:t>本项目须</w:t>
            </w:r>
            <w:r>
              <w:rPr>
                <w:rFonts w:hint="eastAsia" w:ascii="微软雅黑" w:hAnsi="微软雅黑"/>
                <w:color w:val="auto"/>
                <w:szCs w:val="21"/>
                <w:highlight w:val="none"/>
                <w:lang w:val="en-US" w:eastAsia="zh-CN"/>
              </w:rPr>
              <w:t>自行</w:t>
            </w:r>
            <w:r>
              <w:rPr>
                <w:rFonts w:hint="eastAsia" w:ascii="微软雅黑" w:hAnsi="微软雅黑"/>
                <w:color w:val="auto"/>
                <w:szCs w:val="21"/>
                <w:highlight w:val="none"/>
                <w:lang w:val="zh-CN"/>
              </w:rPr>
              <w:t>进行现场踏勘（招标文件中不能详细表述的不可预见费用、招标需求等，投标供应商需通过现场踏勘后考虑在最终报价内，否则后果由中标供应商自负）</w:t>
            </w:r>
            <w:r>
              <w:rPr>
                <w:rFonts w:hint="eastAsia" w:ascii="微软雅黑" w:hAnsi="微软雅黑"/>
                <w:color w:val="auto"/>
                <w:szCs w:val="21"/>
                <w:highlight w:val="none"/>
                <w:lang w:val="en-US" w:eastAsia="zh-CN"/>
              </w:rPr>
              <w:t>联系人及电话同采购方联系及电话。</w:t>
            </w:r>
          </w:p>
        </w:tc>
      </w:tr>
      <w:tr w14:paraId="57696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E1530C4">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6</w:t>
            </w:r>
          </w:p>
        </w:tc>
        <w:tc>
          <w:tcPr>
            <w:tcW w:w="1670" w:type="dxa"/>
            <w:tcBorders>
              <w:top w:val="single" w:color="000000" w:sz="8" w:space="0"/>
              <w:left w:val="single" w:color="auto" w:sz="4" w:space="0"/>
              <w:bottom w:val="single" w:color="000000" w:sz="8" w:space="0"/>
              <w:right w:val="single" w:color="000000" w:sz="8" w:space="0"/>
            </w:tcBorders>
            <w:vAlign w:val="center"/>
          </w:tcPr>
          <w:p w14:paraId="65F1159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投标</w:t>
            </w:r>
            <w:r>
              <w:rPr>
                <w:rFonts w:hint="eastAsia" w:ascii="微软雅黑" w:hAnsi="微软雅黑" w:cs="仿宋_GB2312"/>
                <w:b/>
                <w:color w:val="auto"/>
                <w:szCs w:val="21"/>
                <w:highlight w:val="none"/>
                <w:lang w:val="zh-CN"/>
              </w:rPr>
              <w:t>文件组成</w:t>
            </w:r>
          </w:p>
        </w:tc>
        <w:tc>
          <w:tcPr>
            <w:tcW w:w="6268" w:type="dxa"/>
            <w:tcBorders>
              <w:top w:val="single" w:color="000000" w:sz="8" w:space="0"/>
              <w:left w:val="single" w:color="000000" w:sz="2" w:space="0"/>
              <w:bottom w:val="single" w:color="000000" w:sz="8" w:space="0"/>
              <w:right w:val="single" w:color="000000" w:sz="8" w:space="0"/>
            </w:tcBorders>
            <w:vAlign w:val="center"/>
          </w:tcPr>
          <w:p w14:paraId="0022D7D5">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color w:val="auto"/>
                <w:szCs w:val="21"/>
                <w:highlight w:val="none"/>
                <w:lang w:val="zh-CN"/>
              </w:rPr>
              <w:t>电子</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文件和备份</w:t>
            </w:r>
            <w:r>
              <w:rPr>
                <w:rFonts w:hint="eastAsia" w:ascii="微软雅黑" w:hAnsi="微软雅黑"/>
                <w:color w:val="auto"/>
                <w:szCs w:val="21"/>
                <w:highlight w:val="none"/>
              </w:rPr>
              <w:t>投标</w:t>
            </w:r>
            <w:r>
              <w:rPr>
                <w:rFonts w:hint="eastAsia" w:ascii="微软雅黑" w:hAnsi="微软雅黑"/>
                <w:color w:val="auto"/>
                <w:szCs w:val="21"/>
                <w:highlight w:val="none"/>
                <w:lang w:val="zh-CN"/>
              </w:rPr>
              <w:t>文件均由</w:t>
            </w:r>
            <w:r>
              <w:rPr>
                <w:rFonts w:hint="eastAsia" w:ascii="微软雅黑" w:hAnsi="微软雅黑"/>
                <w:color w:val="auto"/>
                <w:szCs w:val="21"/>
                <w:highlight w:val="none"/>
              </w:rPr>
              <w:t>资格</w:t>
            </w:r>
            <w:r>
              <w:rPr>
                <w:rFonts w:hint="eastAsia" w:ascii="微软雅黑" w:hAnsi="微软雅黑"/>
                <w:color w:val="auto"/>
                <w:szCs w:val="21"/>
                <w:highlight w:val="none"/>
                <w:lang w:val="zh-CN"/>
              </w:rPr>
              <w:t>文件、</w:t>
            </w:r>
            <w:r>
              <w:rPr>
                <w:rFonts w:hint="eastAsia" w:ascii="微软雅黑" w:hAnsi="微软雅黑"/>
                <w:color w:val="auto"/>
                <w:szCs w:val="21"/>
                <w:highlight w:val="none"/>
              </w:rPr>
              <w:t>商务</w:t>
            </w:r>
            <w:r>
              <w:rPr>
                <w:rFonts w:hint="eastAsia" w:ascii="微软雅黑" w:hAnsi="微软雅黑"/>
                <w:color w:val="auto"/>
                <w:szCs w:val="21"/>
                <w:highlight w:val="none"/>
                <w:lang w:val="zh-CN"/>
              </w:rPr>
              <w:t>技术文件及投标报价文件</w:t>
            </w:r>
            <w:r>
              <w:rPr>
                <w:rFonts w:hint="eastAsia" w:ascii="微软雅黑" w:hAnsi="微软雅黑"/>
                <w:color w:val="auto"/>
                <w:szCs w:val="21"/>
                <w:highlight w:val="none"/>
              </w:rPr>
              <w:t>三</w:t>
            </w:r>
            <w:r>
              <w:rPr>
                <w:rFonts w:hint="eastAsia" w:ascii="微软雅黑" w:hAnsi="微软雅黑"/>
                <w:color w:val="auto"/>
                <w:szCs w:val="21"/>
                <w:highlight w:val="none"/>
                <w:lang w:val="zh-CN"/>
              </w:rPr>
              <w:t>部分组成。</w:t>
            </w:r>
          </w:p>
        </w:tc>
      </w:tr>
      <w:tr w14:paraId="49125D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EF6461">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7</w:t>
            </w:r>
          </w:p>
        </w:tc>
        <w:tc>
          <w:tcPr>
            <w:tcW w:w="1670" w:type="dxa"/>
            <w:tcBorders>
              <w:top w:val="single" w:color="000000" w:sz="8" w:space="0"/>
              <w:left w:val="single" w:color="auto" w:sz="4" w:space="0"/>
              <w:bottom w:val="single" w:color="000000" w:sz="8" w:space="0"/>
              <w:right w:val="single" w:color="000000" w:sz="8" w:space="0"/>
            </w:tcBorders>
            <w:vAlign w:val="center"/>
          </w:tcPr>
          <w:p w14:paraId="03C0E33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lang w:val="zh-CN"/>
              </w:rPr>
              <w:t>开标时间及地点</w:t>
            </w:r>
          </w:p>
        </w:tc>
        <w:tc>
          <w:tcPr>
            <w:tcW w:w="6268" w:type="dxa"/>
            <w:tcBorders>
              <w:top w:val="single" w:color="000000" w:sz="8" w:space="0"/>
              <w:left w:val="single" w:color="000000" w:sz="2" w:space="0"/>
              <w:bottom w:val="single" w:color="000000" w:sz="8" w:space="0"/>
              <w:right w:val="single" w:color="000000" w:sz="8" w:space="0"/>
            </w:tcBorders>
            <w:vAlign w:val="center"/>
          </w:tcPr>
          <w:p w14:paraId="60404C66">
            <w:pPr>
              <w:spacing w:line="540" w:lineRule="exact"/>
              <w:ind w:left="0" w:leftChars="0" w:firstLine="0" w:firstLineChars="0"/>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rPr>
              <w:t>时间：</w:t>
            </w:r>
            <w:r>
              <w:rPr>
                <w:rFonts w:ascii="微软雅黑" w:hAnsi="微软雅黑" w:cs="Arial"/>
                <w:color w:val="auto"/>
                <w:sz w:val="21"/>
                <w:szCs w:val="21"/>
                <w:highlight w:val="none"/>
              </w:rPr>
              <w:t> </w:t>
            </w:r>
            <w:r>
              <w:rPr>
                <w:rFonts w:hint="eastAsia" w:ascii="微软雅黑" w:hAnsi="微软雅黑" w:cs="Arial"/>
                <w:color w:val="auto"/>
                <w:sz w:val="21"/>
                <w:szCs w:val="21"/>
                <w:highlight w:val="none"/>
                <w:lang w:eastAsia="zh-CN"/>
              </w:rPr>
              <w:t>2025年</w:t>
            </w:r>
            <w:r>
              <w:rPr>
                <w:rFonts w:hint="eastAsia" w:ascii="微软雅黑" w:hAnsi="微软雅黑" w:cs="Arial"/>
                <w:color w:val="auto"/>
                <w:sz w:val="21"/>
                <w:szCs w:val="21"/>
                <w:highlight w:val="none"/>
                <w:lang w:val="en-US" w:eastAsia="zh-CN"/>
              </w:rPr>
              <w:t>03</w:t>
            </w:r>
            <w:r>
              <w:rPr>
                <w:rFonts w:hint="eastAsia" w:ascii="微软雅黑" w:hAnsi="微软雅黑" w:cs="Arial"/>
                <w:color w:val="auto"/>
                <w:sz w:val="21"/>
                <w:szCs w:val="21"/>
                <w:highlight w:val="none"/>
              </w:rPr>
              <w:t>月</w:t>
            </w:r>
            <w:r>
              <w:rPr>
                <w:rFonts w:hint="eastAsia" w:ascii="微软雅黑" w:hAnsi="微软雅黑" w:cs="Arial"/>
                <w:color w:val="auto"/>
                <w:sz w:val="21"/>
                <w:szCs w:val="21"/>
                <w:highlight w:val="none"/>
                <w:lang w:val="en-US" w:eastAsia="zh-CN"/>
              </w:rPr>
              <w:t>28</w:t>
            </w:r>
            <w:r>
              <w:rPr>
                <w:rFonts w:hint="eastAsia" w:ascii="微软雅黑" w:hAnsi="微软雅黑" w:cs="Arial"/>
                <w:color w:val="auto"/>
                <w:sz w:val="21"/>
                <w:szCs w:val="21"/>
                <w:highlight w:val="none"/>
              </w:rPr>
              <w:t>日</w:t>
            </w:r>
            <w:r>
              <w:rPr>
                <w:rFonts w:hint="eastAsia" w:ascii="微软雅黑" w:hAnsi="微软雅黑" w:cs="Arial"/>
                <w:color w:val="auto"/>
                <w:sz w:val="21"/>
                <w:szCs w:val="21"/>
                <w:highlight w:val="none"/>
                <w:lang w:val="en-US" w:eastAsia="zh-CN"/>
              </w:rPr>
              <w:t>09</w:t>
            </w:r>
            <w:r>
              <w:rPr>
                <w:rFonts w:hint="eastAsia" w:ascii="微软雅黑" w:hAnsi="微软雅黑" w:cs="Arial"/>
                <w:color w:val="auto"/>
                <w:sz w:val="21"/>
                <w:szCs w:val="21"/>
                <w:highlight w:val="none"/>
                <w:lang w:eastAsia="zh-CN"/>
              </w:rPr>
              <w:t>：</w:t>
            </w:r>
            <w:r>
              <w:rPr>
                <w:rFonts w:hint="eastAsia" w:ascii="微软雅黑" w:hAnsi="微软雅黑" w:cs="Arial"/>
                <w:color w:val="auto"/>
                <w:sz w:val="21"/>
                <w:szCs w:val="21"/>
                <w:highlight w:val="none"/>
                <w:lang w:val="en-US" w:eastAsia="zh-CN"/>
              </w:rPr>
              <w:t>30</w:t>
            </w:r>
            <w:r>
              <w:rPr>
                <w:rFonts w:hint="eastAsia" w:ascii="微软雅黑" w:hAnsi="微软雅黑" w:cs="Arial"/>
                <w:color w:val="auto"/>
                <w:szCs w:val="21"/>
                <w:highlight w:val="none"/>
                <w:lang w:val="en-US" w:eastAsia="zh-CN"/>
              </w:rPr>
              <w:t xml:space="preserve"> </w:t>
            </w:r>
            <w:r>
              <w:rPr>
                <w:rFonts w:hint="eastAsia" w:ascii="微软雅黑" w:hAnsi="微软雅黑" w:cs="Arial"/>
                <w:color w:val="auto"/>
                <w:sz w:val="21"/>
                <w:szCs w:val="21"/>
                <w:highlight w:val="none"/>
              </w:rPr>
              <w:t>（北京时间）</w:t>
            </w:r>
            <w:r>
              <w:rPr>
                <w:rFonts w:hint="eastAsia" w:ascii="微软雅黑" w:hAnsi="微软雅黑" w:cs="Arial"/>
                <w:color w:val="auto"/>
                <w:szCs w:val="21"/>
                <w:highlight w:val="none"/>
                <w:lang w:val="en-US" w:eastAsia="zh-CN"/>
              </w:rPr>
              <w:t xml:space="preserve">   </w:t>
            </w:r>
          </w:p>
          <w:p w14:paraId="68CB7A99">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地点：政采云平台</w:t>
            </w:r>
          </w:p>
          <w:p w14:paraId="7D08B239">
            <w:pPr>
              <w:snapToGrid w:val="0"/>
              <w:spacing w:line="240" w:lineRule="auto"/>
              <w:ind w:firstLine="0" w:firstLineChars="0"/>
              <w:rPr>
                <w:rFonts w:hint="eastAsia" w:ascii="微软雅黑" w:hAnsi="微软雅黑"/>
                <w:color w:val="auto"/>
                <w:szCs w:val="21"/>
                <w:highlight w:val="none"/>
                <w:lang w:val="zh-CN"/>
              </w:rPr>
            </w:pPr>
            <w:r>
              <w:rPr>
                <w:rFonts w:hint="eastAsia" w:ascii="微软雅黑" w:hAnsi="微软雅黑"/>
                <w:b/>
                <w:bCs/>
                <w:color w:val="auto"/>
                <w:szCs w:val="21"/>
                <w:highlight w:val="none"/>
                <w:u w:val="single"/>
                <w:lang w:val="zh-CN"/>
              </w:rPr>
              <w:t>供应商无需到开标现场，但须准时在线参加，直至评审结束。</w:t>
            </w:r>
          </w:p>
        </w:tc>
      </w:tr>
      <w:tr w14:paraId="68ACA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8FDE64">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8</w:t>
            </w:r>
          </w:p>
        </w:tc>
        <w:tc>
          <w:tcPr>
            <w:tcW w:w="1670" w:type="dxa"/>
            <w:tcBorders>
              <w:top w:val="single" w:color="000000" w:sz="8" w:space="0"/>
              <w:left w:val="single" w:color="000000" w:sz="2" w:space="0"/>
              <w:bottom w:val="single" w:color="000000" w:sz="8" w:space="0"/>
              <w:right w:val="single" w:color="000000" w:sz="8" w:space="0"/>
            </w:tcBorders>
            <w:vAlign w:val="center"/>
          </w:tcPr>
          <w:p w14:paraId="650F7CA8">
            <w:pPr>
              <w:snapToGrid w:val="0"/>
              <w:spacing w:line="240" w:lineRule="auto"/>
              <w:ind w:firstLine="0" w:firstLineChars="0"/>
              <w:jc w:val="center"/>
              <w:rPr>
                <w:rFonts w:hint="eastAsia" w:ascii="微软雅黑" w:hAnsi="微软雅黑" w:cs="仿宋_GB2312"/>
                <w:bCs/>
                <w:color w:val="auto"/>
                <w:szCs w:val="21"/>
                <w:highlight w:val="none"/>
              </w:rPr>
            </w:pPr>
            <w:r>
              <w:rPr>
                <w:rFonts w:hint="eastAsia" w:ascii="微软雅黑" w:hAnsi="微软雅黑" w:cs="仿宋_GB2312"/>
                <w:b/>
                <w:color w:val="auto"/>
                <w:szCs w:val="21"/>
                <w:highlight w:val="none"/>
              </w:rPr>
              <w:t>方案讲解演示</w:t>
            </w:r>
          </w:p>
        </w:tc>
        <w:tc>
          <w:tcPr>
            <w:tcW w:w="6268" w:type="dxa"/>
            <w:tcBorders>
              <w:top w:val="single" w:color="000000" w:sz="8" w:space="0"/>
              <w:left w:val="single" w:color="000000" w:sz="2" w:space="0"/>
              <w:bottom w:val="single" w:color="000000" w:sz="8" w:space="0"/>
              <w:right w:val="single" w:color="000000" w:sz="8" w:space="0"/>
            </w:tcBorders>
            <w:vAlign w:val="center"/>
          </w:tcPr>
          <w:p w14:paraId="450C2C85">
            <w:pPr>
              <w:snapToGrid w:val="0"/>
              <w:spacing w:line="240" w:lineRule="auto"/>
              <w:ind w:firstLine="0" w:firstLineChars="0"/>
              <w:rPr>
                <w:rFonts w:hint="eastAsia" w:ascii="微软雅黑" w:hAnsi="微软雅黑"/>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A不组织。</w:t>
            </w:r>
          </w:p>
          <w:p w14:paraId="301277E6">
            <w:pPr>
              <w:spacing w:line="240" w:lineRule="auto"/>
              <w:ind w:firstLine="0" w:firstLineChars="0"/>
              <w:rPr>
                <w:rFonts w:hint="eastAsia" w:ascii="微软雅黑" w:hAnsi="微软雅黑" w:cs="宋体"/>
                <w:color w:val="auto"/>
                <w:szCs w:val="21"/>
                <w:highlight w:val="none"/>
                <w:lang w:val="zh-CN"/>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B组织。</w:t>
            </w:r>
          </w:p>
          <w:p w14:paraId="202EBA4A">
            <w:pPr>
              <w:pStyle w:val="52"/>
              <w:ind w:firstLine="0" w:firstLineChars="0"/>
              <w:rPr>
                <w:rFonts w:hint="eastAsia" w:ascii="微软雅黑" w:hAnsi="微软雅黑" w:eastAsia="微软雅黑"/>
                <w:color w:val="auto"/>
                <w:sz w:val="21"/>
                <w:szCs w:val="21"/>
                <w:highlight w:val="none"/>
                <w:lang w:val="zh-CN"/>
              </w:rPr>
            </w:pPr>
            <w:r>
              <w:rPr>
                <w:rFonts w:hint="eastAsia" w:ascii="微软雅黑" w:hAnsi="微软雅黑" w:eastAsia="微软雅黑" w:cs="宋体"/>
                <w:color w:val="auto"/>
                <w:kern w:val="0"/>
                <w:sz w:val="21"/>
                <w:szCs w:val="21"/>
                <w:highlight w:val="none"/>
              </w:rPr>
              <w:t>演示视频由各供应商自行录制讲解视频（时间控制在15分钟以内），制作成MP4、AVI等常规格式存入U盘并密封后，在投标截至前快递或直接送达至招标代理机构。</w:t>
            </w:r>
          </w:p>
        </w:tc>
      </w:tr>
      <w:tr w14:paraId="28CCEA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3BA45EE">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9</w:t>
            </w:r>
          </w:p>
        </w:tc>
        <w:tc>
          <w:tcPr>
            <w:tcW w:w="1670" w:type="dxa"/>
            <w:tcBorders>
              <w:top w:val="single" w:color="000000" w:sz="8" w:space="0"/>
              <w:left w:val="single" w:color="000000" w:sz="2" w:space="0"/>
              <w:bottom w:val="single" w:color="000000" w:sz="8" w:space="0"/>
              <w:right w:val="single" w:color="000000" w:sz="8" w:space="0"/>
            </w:tcBorders>
            <w:vAlign w:val="center"/>
          </w:tcPr>
          <w:p w14:paraId="67BA28E4">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是否允许采购进口产品</w:t>
            </w:r>
          </w:p>
        </w:tc>
        <w:tc>
          <w:tcPr>
            <w:tcW w:w="6268" w:type="dxa"/>
            <w:tcBorders>
              <w:top w:val="single" w:color="000000" w:sz="8" w:space="0"/>
              <w:left w:val="single" w:color="000000" w:sz="2" w:space="0"/>
              <w:bottom w:val="single" w:color="000000" w:sz="8" w:space="0"/>
              <w:right w:val="single" w:color="000000" w:sz="8" w:space="0"/>
            </w:tcBorders>
            <w:vAlign w:val="center"/>
          </w:tcPr>
          <w:p w14:paraId="798FD5FD">
            <w:pPr>
              <w:spacing w:line="240" w:lineRule="auto"/>
              <w:ind w:firstLine="0" w:firstLineChars="0"/>
              <w:rPr>
                <w:rFonts w:hint="eastAsia" w:ascii="微软雅黑" w:hAnsi="微软雅黑" w:cs="Arial"/>
                <w:color w:val="auto"/>
                <w:kern w:val="0"/>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本项目不允许采购进口产品。</w:t>
            </w:r>
          </w:p>
          <w:p w14:paraId="39BE2E16">
            <w:pPr>
              <w:spacing w:line="240" w:lineRule="auto"/>
              <w:ind w:firstLine="0" w:firstLineChars="0"/>
              <w:rPr>
                <w:rFonts w:hint="eastAsia" w:ascii="微软雅黑" w:hAnsi="微软雅黑"/>
                <w:color w:val="auto"/>
                <w:szCs w:val="21"/>
                <w:highlight w:val="none"/>
              </w:rPr>
            </w:pPr>
            <w:r>
              <w:rPr>
                <w:rFonts w:ascii="Segoe UI Symbol" w:hAnsi="Segoe UI Symbol" w:cs="Segoe UI Symbol"/>
                <w:color w:val="auto"/>
                <w:kern w:val="0"/>
                <w:szCs w:val="21"/>
                <w:highlight w:val="none"/>
              </w:rPr>
              <w:t>☐</w:t>
            </w:r>
            <w:r>
              <w:rPr>
                <w:rFonts w:hint="eastAsia" w:ascii="微软雅黑" w:hAnsi="微软雅黑" w:cs="宋体"/>
                <w:color w:val="auto"/>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865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179CCED">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10</w:t>
            </w:r>
          </w:p>
        </w:tc>
        <w:tc>
          <w:tcPr>
            <w:tcW w:w="1670" w:type="dxa"/>
            <w:tcBorders>
              <w:top w:val="single" w:color="000000" w:sz="8" w:space="0"/>
              <w:left w:val="single" w:color="000000" w:sz="2" w:space="0"/>
              <w:bottom w:val="single" w:color="000000" w:sz="8" w:space="0"/>
              <w:right w:val="single" w:color="000000" w:sz="8" w:space="0"/>
            </w:tcBorders>
            <w:vAlign w:val="center"/>
          </w:tcPr>
          <w:p w14:paraId="3752056E">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项目属性与核心产品</w:t>
            </w:r>
          </w:p>
        </w:tc>
        <w:tc>
          <w:tcPr>
            <w:tcW w:w="6268" w:type="dxa"/>
            <w:tcBorders>
              <w:top w:val="single" w:color="000000" w:sz="8" w:space="0"/>
              <w:left w:val="single" w:color="000000" w:sz="2" w:space="0"/>
              <w:bottom w:val="single" w:color="000000" w:sz="8" w:space="0"/>
              <w:right w:val="single" w:color="000000" w:sz="8" w:space="0"/>
            </w:tcBorders>
            <w:vAlign w:val="center"/>
          </w:tcPr>
          <w:p w14:paraId="7A451B29">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A8"/>
            </w:r>
            <w:r>
              <w:rPr>
                <w:rFonts w:hint="eastAsia" w:ascii="微软雅黑" w:hAnsi="微软雅黑" w:cs="宋体"/>
                <w:color w:val="auto"/>
                <w:szCs w:val="21"/>
                <w:highlight w:val="none"/>
                <w:lang w:val="zh-CN"/>
              </w:rPr>
              <w:t>A货物类，核心产品为：</w:t>
            </w:r>
            <w:r>
              <w:rPr>
                <w:rFonts w:hint="eastAsia" w:ascii="微软雅黑" w:hAnsi="微软雅黑" w:cs="宋体"/>
                <w:color w:val="auto"/>
                <w:kern w:val="0"/>
                <w:szCs w:val="21"/>
                <w:highlight w:val="none"/>
                <w:u w:val="single"/>
              </w:rPr>
              <w:t xml:space="preserve">       </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w:t>
            </w:r>
          </w:p>
          <w:p w14:paraId="3E2A9A9A">
            <w:pPr>
              <w:spacing w:line="240" w:lineRule="auto"/>
              <w:ind w:firstLine="0" w:firstLineChars="0"/>
              <w:rPr>
                <w:rFonts w:hint="eastAsia" w:ascii="微软雅黑" w:hAnsi="微软雅黑"/>
                <w:color w:val="auto"/>
                <w:szCs w:val="21"/>
                <w:highlight w:val="none"/>
              </w:rPr>
            </w:pPr>
            <w:r>
              <w:rPr>
                <w:rFonts w:ascii="微软雅黑" w:hAnsi="微软雅黑" w:cs="Arial"/>
                <w:color w:val="auto"/>
                <w:kern w:val="0"/>
                <w:szCs w:val="21"/>
                <w:highlight w:val="none"/>
              </w:rPr>
              <w:sym w:font="Wingdings" w:char="00FE"/>
            </w:r>
            <w:r>
              <w:rPr>
                <w:rFonts w:hint="eastAsia" w:ascii="微软雅黑" w:hAnsi="微软雅黑" w:cs="宋体"/>
                <w:color w:val="auto"/>
                <w:szCs w:val="21"/>
                <w:highlight w:val="none"/>
                <w:lang w:val="zh-CN"/>
              </w:rPr>
              <w:t>B服务类。</w:t>
            </w:r>
          </w:p>
        </w:tc>
      </w:tr>
      <w:tr w14:paraId="0C7E40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4558485">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11</w:t>
            </w:r>
          </w:p>
        </w:tc>
        <w:tc>
          <w:tcPr>
            <w:tcW w:w="1670" w:type="dxa"/>
            <w:tcBorders>
              <w:top w:val="single" w:color="000000" w:sz="8" w:space="0"/>
              <w:left w:val="single" w:color="000000" w:sz="2" w:space="0"/>
              <w:bottom w:val="single" w:color="000000" w:sz="8" w:space="0"/>
              <w:right w:val="single" w:color="000000" w:sz="8" w:space="0"/>
            </w:tcBorders>
            <w:vAlign w:val="center"/>
          </w:tcPr>
          <w:p w14:paraId="42624751">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采购标的对应的中小企业划分标准所属行业</w:t>
            </w:r>
          </w:p>
        </w:tc>
        <w:tc>
          <w:tcPr>
            <w:tcW w:w="6268" w:type="dxa"/>
            <w:tcBorders>
              <w:top w:val="single" w:color="000000" w:sz="8" w:space="0"/>
              <w:left w:val="single" w:color="000000" w:sz="2" w:space="0"/>
              <w:bottom w:val="single" w:color="000000" w:sz="8" w:space="0"/>
              <w:right w:val="single" w:color="000000" w:sz="8" w:space="0"/>
            </w:tcBorders>
            <w:vAlign w:val="center"/>
          </w:tcPr>
          <w:p w14:paraId="30795B4E">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cs="宋体"/>
                <w:color w:val="auto"/>
                <w:szCs w:val="21"/>
                <w:highlight w:val="none"/>
                <w:lang w:val="zh-CN"/>
              </w:rPr>
              <w:t>标的：</w:t>
            </w:r>
            <w:r>
              <w:rPr>
                <w:rFonts w:hint="eastAsia" w:ascii="微软雅黑" w:hAnsi="微软雅黑" w:cs="微软雅黑"/>
                <w:bCs/>
                <w:color w:val="auto"/>
                <w:szCs w:val="21"/>
                <w:highlight w:val="none"/>
                <w:u w:val="single"/>
                <w:lang w:val="en-US" w:eastAsia="zh-CN"/>
              </w:rPr>
              <w:t>运营服务</w:t>
            </w:r>
            <w:r>
              <w:rPr>
                <w:rFonts w:hint="eastAsia" w:ascii="微软雅黑" w:hAnsi="微软雅黑" w:cs="Arial"/>
                <w:color w:val="auto"/>
                <w:kern w:val="0"/>
                <w:szCs w:val="21"/>
                <w:highlight w:val="none"/>
                <w:u w:val="single"/>
              </w:rPr>
              <w:t xml:space="preserve"> </w:t>
            </w:r>
            <w:r>
              <w:rPr>
                <w:rFonts w:hint="eastAsia" w:ascii="微软雅黑" w:hAnsi="微软雅黑" w:cs="Arial"/>
                <w:color w:val="auto"/>
                <w:kern w:val="0"/>
                <w:szCs w:val="21"/>
                <w:highlight w:val="none"/>
              </w:rPr>
              <w:t>，</w:t>
            </w:r>
            <w:r>
              <w:rPr>
                <w:rFonts w:hint="eastAsia" w:ascii="微软雅黑" w:hAnsi="微软雅黑" w:cs="宋体"/>
                <w:color w:val="auto"/>
                <w:szCs w:val="21"/>
                <w:highlight w:val="none"/>
                <w:lang w:val="zh-CN"/>
              </w:rPr>
              <w:t>属于</w:t>
            </w:r>
            <w:r>
              <w:rPr>
                <w:rFonts w:hint="eastAsia" w:ascii="微软雅黑" w:hAnsi="微软雅黑" w:cs="微软雅黑"/>
                <w:bCs/>
                <w:color w:val="auto"/>
                <w:szCs w:val="21"/>
                <w:highlight w:val="none"/>
                <w:u w:val="single"/>
                <w:lang w:val="en-US" w:eastAsia="zh-CN"/>
              </w:rPr>
              <w:t>其他未列明</w:t>
            </w:r>
            <w:r>
              <w:rPr>
                <w:rFonts w:hint="eastAsia" w:ascii="微软雅黑" w:hAnsi="微软雅黑" w:cs="宋体"/>
                <w:color w:val="auto"/>
                <w:szCs w:val="21"/>
                <w:highlight w:val="none"/>
                <w:lang w:val="zh-CN"/>
              </w:rPr>
              <w:t>行业；</w:t>
            </w:r>
          </w:p>
        </w:tc>
      </w:tr>
      <w:tr w14:paraId="6BEED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4DAD2B9">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12</w:t>
            </w:r>
          </w:p>
        </w:tc>
        <w:tc>
          <w:tcPr>
            <w:tcW w:w="1670" w:type="dxa"/>
            <w:tcBorders>
              <w:top w:val="single" w:color="000000" w:sz="8" w:space="0"/>
              <w:left w:val="single" w:color="000000" w:sz="2" w:space="0"/>
              <w:bottom w:val="single" w:color="000000" w:sz="8" w:space="0"/>
              <w:right w:val="single" w:color="000000" w:sz="8" w:space="0"/>
            </w:tcBorders>
            <w:vAlign w:val="center"/>
          </w:tcPr>
          <w:p w14:paraId="14D056B3">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节能产品、环境标志产品</w:t>
            </w:r>
          </w:p>
        </w:tc>
        <w:tc>
          <w:tcPr>
            <w:tcW w:w="6268" w:type="dxa"/>
            <w:tcBorders>
              <w:top w:val="single" w:color="000000" w:sz="8" w:space="0"/>
              <w:left w:val="single" w:color="000000" w:sz="2" w:space="0"/>
              <w:bottom w:val="single" w:color="000000" w:sz="8" w:space="0"/>
              <w:right w:val="single" w:color="000000" w:sz="8" w:space="0"/>
            </w:tcBorders>
            <w:vAlign w:val="center"/>
          </w:tcPr>
          <w:p w14:paraId="4F639F0A">
            <w:pPr>
              <w:snapToGrid w:val="0"/>
              <w:spacing w:line="240" w:lineRule="auto"/>
              <w:ind w:firstLine="0" w:firstLineChars="0"/>
              <w:rPr>
                <w:rFonts w:hint="eastAsia" w:ascii="微软雅黑" w:hAnsi="微软雅黑"/>
                <w:color w:val="auto"/>
                <w:szCs w:val="21"/>
                <w:highlight w:val="none"/>
              </w:rPr>
            </w:pPr>
            <w:r>
              <w:rPr>
                <w:rFonts w:hint="eastAsia" w:ascii="微软雅黑" w:hAnsi="微软雅黑"/>
                <w:snapToGrid w:val="0"/>
                <w:color w:val="auto"/>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0B08C2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trPr>
        <w:tc>
          <w:tcPr>
            <w:tcW w:w="629" w:type="dxa"/>
            <w:tcBorders>
              <w:left w:val="single" w:color="000000" w:sz="8" w:space="0"/>
              <w:right w:val="single" w:color="000000" w:sz="2" w:space="0"/>
            </w:tcBorders>
            <w:vAlign w:val="center"/>
          </w:tcPr>
          <w:p w14:paraId="0AEDAF59">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13</w:t>
            </w:r>
          </w:p>
        </w:tc>
        <w:tc>
          <w:tcPr>
            <w:tcW w:w="1670" w:type="dxa"/>
            <w:tcBorders>
              <w:left w:val="single" w:color="000000" w:sz="2" w:space="0"/>
              <w:right w:val="single" w:color="000000" w:sz="8" w:space="0"/>
            </w:tcBorders>
            <w:vAlign w:val="center"/>
          </w:tcPr>
          <w:p w14:paraId="33D153C5">
            <w:pPr>
              <w:snapToGrid w:val="0"/>
              <w:spacing w:line="240" w:lineRule="auto"/>
              <w:ind w:firstLine="0" w:firstLineChars="0"/>
              <w:jc w:val="center"/>
              <w:rPr>
                <w:rFonts w:hint="eastAsia" w:ascii="微软雅黑" w:hAnsi="微软雅黑"/>
                <w:color w:val="auto"/>
                <w:szCs w:val="21"/>
                <w:highlight w:val="none"/>
              </w:rPr>
            </w:pPr>
            <w:r>
              <w:rPr>
                <w:rFonts w:hint="eastAsia" w:ascii="微软雅黑" w:hAnsi="微软雅黑" w:cs="仿宋_GB2312"/>
                <w:b/>
                <w:color w:val="auto"/>
                <w:szCs w:val="21"/>
                <w:highlight w:val="none"/>
              </w:rPr>
              <w:t>评标结果公告及中标通知书</w:t>
            </w:r>
          </w:p>
        </w:tc>
        <w:tc>
          <w:tcPr>
            <w:tcW w:w="6268" w:type="dxa"/>
            <w:tcBorders>
              <w:top w:val="single" w:color="000000" w:sz="8" w:space="0"/>
              <w:left w:val="single" w:color="000000" w:sz="2" w:space="0"/>
              <w:bottom w:val="single" w:color="000000" w:sz="8" w:space="0"/>
              <w:right w:val="single" w:color="000000" w:sz="8" w:space="0"/>
            </w:tcBorders>
            <w:vAlign w:val="center"/>
          </w:tcPr>
          <w:p w14:paraId="233D44F0">
            <w:pPr>
              <w:autoSpaceDE w:val="0"/>
              <w:autoSpaceDN w:val="0"/>
              <w:snapToGrid w:val="0"/>
              <w:spacing w:line="240" w:lineRule="auto"/>
              <w:ind w:firstLine="0" w:firstLineChars="0"/>
              <w:textAlignment w:val="bottom"/>
              <w:rPr>
                <w:rFonts w:hint="eastAsia" w:ascii="微软雅黑" w:hAnsi="微软雅黑"/>
                <w:color w:val="auto"/>
                <w:szCs w:val="21"/>
                <w:highlight w:val="none"/>
              </w:rPr>
            </w:pPr>
            <w:r>
              <w:rPr>
                <w:rFonts w:hint="eastAsia" w:ascii="微软雅黑" w:hAnsi="微软雅黑"/>
                <w:color w:val="auto"/>
                <w:szCs w:val="21"/>
                <w:highlight w:val="none"/>
              </w:rPr>
              <w:t>评标结束后2个工作日内，评标结果公告于浙江政府采购网(http://www.zjzfcg.gov.cn/new/)</w:t>
            </w:r>
          </w:p>
          <w:p w14:paraId="64429655">
            <w:pPr>
              <w:autoSpaceDE w:val="0"/>
              <w:autoSpaceDN w:val="0"/>
              <w:snapToGrid w:val="0"/>
              <w:spacing w:line="240" w:lineRule="auto"/>
              <w:ind w:firstLine="0" w:firstLineChars="0"/>
              <w:textAlignment w:val="bottom"/>
              <w:rPr>
                <w:rFonts w:hint="eastAsia" w:ascii="微软雅黑" w:hAnsi="微软雅黑"/>
                <w:snapToGrid w:val="0"/>
                <w:color w:val="auto"/>
                <w:kern w:val="28"/>
                <w:szCs w:val="21"/>
                <w:highlight w:val="none"/>
              </w:rPr>
            </w:pPr>
            <w:r>
              <w:rPr>
                <w:rFonts w:hint="eastAsia" w:ascii="微软雅黑" w:hAnsi="微软雅黑"/>
                <w:color w:val="auto"/>
                <w:kern w:val="0"/>
                <w:szCs w:val="21"/>
                <w:highlight w:val="none"/>
              </w:rPr>
              <w:t>中标公告期限为1个工作日</w:t>
            </w:r>
            <w:r>
              <w:rPr>
                <w:rFonts w:hint="eastAsia" w:ascii="微软雅黑" w:hAnsi="微软雅黑" w:cs="宋体"/>
                <w:b/>
                <w:bCs/>
                <w:color w:val="auto"/>
                <w:szCs w:val="21"/>
                <w:highlight w:val="none"/>
              </w:rPr>
              <w:t>（中标供应商为小微企业的，其中小企业声明函将随中标结果同时公告）</w:t>
            </w:r>
            <w:r>
              <w:rPr>
                <w:rFonts w:hint="eastAsia" w:ascii="微软雅黑" w:hAnsi="微软雅黑"/>
                <w:color w:val="auto"/>
                <w:kern w:val="0"/>
                <w:szCs w:val="21"/>
                <w:highlight w:val="none"/>
              </w:rPr>
              <w:t>。在公告中标结果的同时，代理机构在政采云系统向中标供应商发出中标通知书。</w:t>
            </w:r>
          </w:p>
        </w:tc>
      </w:tr>
      <w:tr w14:paraId="2D6404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D4DCC13">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14</w:t>
            </w:r>
          </w:p>
        </w:tc>
        <w:tc>
          <w:tcPr>
            <w:tcW w:w="1670" w:type="dxa"/>
            <w:tcBorders>
              <w:top w:val="single" w:color="000000" w:sz="8" w:space="0"/>
              <w:left w:val="single" w:color="000000" w:sz="2" w:space="0"/>
              <w:bottom w:val="single" w:color="000000" w:sz="8" w:space="0"/>
              <w:right w:val="single" w:color="000000" w:sz="8" w:space="0"/>
            </w:tcBorders>
            <w:vAlign w:val="center"/>
          </w:tcPr>
          <w:p w14:paraId="3E4BEE2A">
            <w:pPr>
              <w:autoSpaceDE w:val="0"/>
              <w:autoSpaceDN w:val="0"/>
              <w:snapToGrid w:val="0"/>
              <w:spacing w:line="240" w:lineRule="auto"/>
              <w:ind w:firstLine="0" w:firstLineChars="0"/>
              <w:jc w:val="center"/>
              <w:textAlignment w:val="bottom"/>
              <w:rPr>
                <w:rFonts w:hint="eastAsia" w:ascii="微软雅黑" w:hAnsi="微软雅黑"/>
                <w:color w:val="auto"/>
                <w:kern w:val="0"/>
                <w:szCs w:val="21"/>
                <w:highlight w:val="none"/>
              </w:rPr>
            </w:pPr>
            <w:r>
              <w:rPr>
                <w:rFonts w:hint="eastAsia" w:ascii="微软雅黑" w:hAnsi="微软雅黑" w:cs="仿宋_GB2312"/>
                <w:b/>
                <w:color w:val="auto"/>
                <w:szCs w:val="21"/>
                <w:highlight w:val="none"/>
              </w:rPr>
              <w:t>履约保证金</w:t>
            </w:r>
          </w:p>
        </w:tc>
        <w:tc>
          <w:tcPr>
            <w:tcW w:w="6268" w:type="dxa"/>
            <w:tcBorders>
              <w:top w:val="single" w:color="000000" w:sz="8" w:space="0"/>
              <w:left w:val="single" w:color="000000" w:sz="2" w:space="0"/>
              <w:bottom w:val="single" w:color="000000" w:sz="8" w:space="0"/>
              <w:right w:val="single" w:color="000000" w:sz="8" w:space="0"/>
            </w:tcBorders>
            <w:vAlign w:val="center"/>
          </w:tcPr>
          <w:p w14:paraId="6A12C968">
            <w:pPr>
              <w:spacing w:line="240" w:lineRule="auto"/>
              <w:ind w:firstLine="0" w:firstLineChars="0"/>
              <w:rPr>
                <w:rFonts w:hint="eastAsia" w:ascii="微软雅黑" w:hAnsi="微软雅黑"/>
                <w:color w:val="auto"/>
                <w:kern w:val="0"/>
                <w:szCs w:val="21"/>
                <w:highlight w:val="none"/>
              </w:rPr>
            </w:pPr>
            <w:r>
              <w:rPr>
                <w:rFonts w:hint="eastAsia" w:ascii="微软雅黑" w:hAnsi="微软雅黑" w:cs="宋体"/>
                <w:color w:val="auto"/>
                <w:szCs w:val="21"/>
                <w:highlight w:val="none"/>
                <w:lang w:val="zh-CN"/>
              </w:rPr>
              <w:t>无</w:t>
            </w:r>
            <w:r>
              <w:rPr>
                <w:rFonts w:hint="eastAsia" w:ascii="微软雅黑" w:hAnsi="微软雅黑"/>
                <w:color w:val="auto"/>
                <w:szCs w:val="21"/>
                <w:highlight w:val="none"/>
              </w:rPr>
              <w:t>。</w:t>
            </w:r>
          </w:p>
        </w:tc>
      </w:tr>
      <w:tr w14:paraId="5FBE9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0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EBC4451">
            <w:pPr>
              <w:snapToGrid w:val="0"/>
              <w:spacing w:line="240" w:lineRule="auto"/>
              <w:ind w:firstLine="0" w:firstLineChars="0"/>
              <w:jc w:val="center"/>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15</w:t>
            </w:r>
          </w:p>
        </w:tc>
        <w:tc>
          <w:tcPr>
            <w:tcW w:w="1670" w:type="dxa"/>
            <w:tcBorders>
              <w:top w:val="single" w:color="000000" w:sz="8" w:space="0"/>
              <w:left w:val="single" w:color="000000" w:sz="2" w:space="0"/>
              <w:bottom w:val="single" w:color="000000" w:sz="8" w:space="0"/>
              <w:right w:val="single" w:color="000000" w:sz="8" w:space="0"/>
            </w:tcBorders>
            <w:vAlign w:val="center"/>
          </w:tcPr>
          <w:p w14:paraId="161CA99F">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签订合同时间</w:t>
            </w:r>
          </w:p>
        </w:tc>
        <w:tc>
          <w:tcPr>
            <w:tcW w:w="6268" w:type="dxa"/>
            <w:tcBorders>
              <w:top w:val="single" w:color="000000" w:sz="8" w:space="0"/>
              <w:left w:val="single" w:color="000000" w:sz="2" w:space="0"/>
              <w:bottom w:val="single" w:color="000000" w:sz="8" w:space="0"/>
              <w:right w:val="single" w:color="000000" w:sz="8" w:space="0"/>
            </w:tcBorders>
            <w:vAlign w:val="center"/>
          </w:tcPr>
          <w:p w14:paraId="061D91B7">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rPr>
              <w:t>中标通知书发出后30日内。</w:t>
            </w:r>
            <w:r>
              <w:rPr>
                <w:rFonts w:hint="eastAsia" w:ascii="微软雅黑" w:hAnsi="微软雅黑"/>
                <w:color w:val="auto"/>
                <w:kern w:val="0"/>
                <w:szCs w:val="21"/>
                <w:highlight w:val="none"/>
              </w:rPr>
              <w:t>建议采购人在对采购结果质疑期（自采购结果公告之日起七个工作日）后与中标供应商签订政府采购合同。</w:t>
            </w:r>
          </w:p>
        </w:tc>
      </w:tr>
      <w:tr w14:paraId="09390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74EDB59">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16</w:t>
            </w:r>
          </w:p>
        </w:tc>
        <w:tc>
          <w:tcPr>
            <w:tcW w:w="1670" w:type="dxa"/>
            <w:tcBorders>
              <w:top w:val="single" w:color="000000" w:sz="8" w:space="0"/>
              <w:left w:val="single" w:color="000000" w:sz="2" w:space="0"/>
              <w:bottom w:val="single" w:color="000000" w:sz="8" w:space="0"/>
              <w:right w:val="single" w:color="000000" w:sz="8" w:space="0"/>
            </w:tcBorders>
            <w:vAlign w:val="center"/>
          </w:tcPr>
          <w:p w14:paraId="7B52E07D">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合同公告</w:t>
            </w:r>
          </w:p>
        </w:tc>
        <w:tc>
          <w:tcPr>
            <w:tcW w:w="6268" w:type="dxa"/>
            <w:tcBorders>
              <w:top w:val="single" w:color="000000" w:sz="8" w:space="0"/>
              <w:left w:val="single" w:color="000000" w:sz="2" w:space="0"/>
              <w:bottom w:val="single" w:color="000000" w:sz="8" w:space="0"/>
              <w:right w:val="single" w:color="000000" w:sz="8" w:space="0"/>
            </w:tcBorders>
            <w:vAlign w:val="center"/>
          </w:tcPr>
          <w:p w14:paraId="3ABBA70B">
            <w:pPr>
              <w:autoSpaceDE w:val="0"/>
              <w:autoSpaceDN w:val="0"/>
              <w:snapToGrid w:val="0"/>
              <w:spacing w:line="240" w:lineRule="auto"/>
              <w:ind w:firstLine="0" w:firstLineChars="0"/>
              <w:textAlignment w:val="bottom"/>
              <w:rPr>
                <w:rFonts w:hint="eastAsia" w:ascii="微软雅黑" w:hAnsi="微软雅黑"/>
                <w:color w:val="auto"/>
                <w:szCs w:val="21"/>
                <w:highlight w:val="none"/>
              </w:rPr>
            </w:pPr>
            <w:r>
              <w:rPr>
                <w:rFonts w:hint="eastAsia" w:ascii="微软雅黑" w:hAnsi="微软雅黑"/>
                <w:color w:val="auto"/>
                <w:szCs w:val="21"/>
                <w:highlight w:val="none"/>
              </w:rPr>
              <w:t>本项目政府采购合同将于签订之日起2个工作日内发布于浙江政府采购网，但政府采购合同中涉及国家秘密、商业秘密的内容除外。</w:t>
            </w:r>
          </w:p>
        </w:tc>
      </w:tr>
      <w:tr w14:paraId="1A508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5C69E58">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17</w:t>
            </w:r>
          </w:p>
        </w:tc>
        <w:tc>
          <w:tcPr>
            <w:tcW w:w="1670" w:type="dxa"/>
            <w:tcBorders>
              <w:top w:val="single" w:color="000000" w:sz="8" w:space="0"/>
              <w:left w:val="single" w:color="000000" w:sz="2" w:space="0"/>
              <w:bottom w:val="single" w:color="000000" w:sz="8" w:space="0"/>
              <w:right w:val="single" w:color="000000" w:sz="8" w:space="0"/>
            </w:tcBorders>
            <w:vAlign w:val="center"/>
          </w:tcPr>
          <w:p w14:paraId="28DD7205">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本项目预算金额</w:t>
            </w:r>
          </w:p>
        </w:tc>
        <w:tc>
          <w:tcPr>
            <w:tcW w:w="6268" w:type="dxa"/>
            <w:tcBorders>
              <w:top w:val="single" w:color="000000" w:sz="8" w:space="0"/>
              <w:left w:val="single" w:color="000000" w:sz="2" w:space="0"/>
              <w:bottom w:val="single" w:color="000000" w:sz="8" w:space="0"/>
              <w:right w:val="single" w:color="000000" w:sz="8" w:space="0"/>
            </w:tcBorders>
            <w:vAlign w:val="center"/>
          </w:tcPr>
          <w:p w14:paraId="685FC98E">
            <w:pPr>
              <w:spacing w:line="240" w:lineRule="auto"/>
              <w:ind w:firstLine="0" w:firstLineChars="0"/>
              <w:rPr>
                <w:rFonts w:hint="eastAsia" w:ascii="微软雅黑" w:hAnsi="微软雅黑"/>
                <w:strike/>
                <w:color w:val="auto"/>
                <w:kern w:val="28"/>
                <w:szCs w:val="21"/>
                <w:highlight w:val="none"/>
              </w:rPr>
            </w:pPr>
            <w:r>
              <w:rPr>
                <w:rFonts w:hint="eastAsia" w:ascii="微软雅黑" w:hAnsi="微软雅黑"/>
                <w:color w:val="auto"/>
                <w:szCs w:val="21"/>
                <w:highlight w:val="none"/>
                <w:lang w:val="en-US" w:eastAsia="zh-CN"/>
              </w:rPr>
              <w:t>预算金额为</w:t>
            </w:r>
            <w:r>
              <w:rPr>
                <w:rFonts w:hint="eastAsia" w:ascii="微软雅黑" w:hAnsi="微软雅黑"/>
                <w:color w:val="auto"/>
                <w:szCs w:val="21"/>
                <w:highlight w:val="none"/>
              </w:rPr>
              <w:t>人民币</w:t>
            </w:r>
            <w:r>
              <w:rPr>
                <w:rFonts w:hint="eastAsia" w:ascii="微软雅黑" w:hAnsi="微软雅黑" w:cs="Calibri"/>
                <w:color w:val="auto"/>
                <w:kern w:val="0"/>
                <w:szCs w:val="21"/>
                <w:highlight w:val="none"/>
                <w:lang w:val="en-US" w:eastAsia="zh-CN"/>
              </w:rPr>
              <w:t>6000000.00</w:t>
            </w:r>
            <w:r>
              <w:rPr>
                <w:rFonts w:ascii="微软雅黑" w:hAnsi="微软雅黑"/>
                <w:color w:val="auto"/>
                <w:szCs w:val="21"/>
                <w:highlight w:val="none"/>
              </w:rPr>
              <w:t>元</w:t>
            </w:r>
            <w:r>
              <w:rPr>
                <w:rFonts w:hint="eastAsia" w:ascii="微软雅黑" w:hAnsi="微软雅黑"/>
                <w:color w:val="auto"/>
                <w:szCs w:val="21"/>
                <w:highlight w:val="none"/>
                <w:lang w:eastAsia="zh-CN"/>
              </w:rPr>
              <w:t>。</w:t>
            </w:r>
            <w:r>
              <w:rPr>
                <w:rFonts w:hint="eastAsia" w:ascii="微软雅黑" w:hAnsi="微软雅黑"/>
                <w:color w:val="auto"/>
                <w:szCs w:val="21"/>
                <w:highlight w:val="none"/>
                <w:lang w:val="en-US" w:eastAsia="zh-CN"/>
              </w:rPr>
              <w:t>上限价</w:t>
            </w:r>
            <w:r>
              <w:rPr>
                <w:rFonts w:hint="eastAsia" w:ascii="微软雅黑" w:hAnsi="微软雅黑"/>
                <w:color w:val="auto"/>
                <w:szCs w:val="21"/>
                <w:highlight w:val="none"/>
              </w:rPr>
              <w:t>为人民币</w:t>
            </w:r>
            <w:r>
              <w:rPr>
                <w:rFonts w:hint="eastAsia" w:ascii="微软雅黑" w:hAnsi="微软雅黑" w:cs="Calibri"/>
                <w:color w:val="auto"/>
                <w:kern w:val="0"/>
                <w:szCs w:val="21"/>
                <w:highlight w:val="none"/>
                <w:lang w:val="en-US" w:eastAsia="zh-CN"/>
              </w:rPr>
              <w:t>6000000.00</w:t>
            </w:r>
            <w:r>
              <w:rPr>
                <w:rFonts w:ascii="微软雅黑" w:hAnsi="微软雅黑"/>
                <w:color w:val="auto"/>
                <w:szCs w:val="21"/>
                <w:highlight w:val="none"/>
              </w:rPr>
              <w:t>元</w:t>
            </w:r>
            <w:r>
              <w:rPr>
                <w:rFonts w:hint="eastAsia" w:ascii="微软雅黑" w:hAnsi="微软雅黑"/>
                <w:color w:val="auto"/>
                <w:kern w:val="0"/>
                <w:szCs w:val="21"/>
                <w:highlight w:val="none"/>
              </w:rPr>
              <w:t>；</w:t>
            </w:r>
            <w:r>
              <w:rPr>
                <w:rFonts w:hint="eastAsia" w:ascii="微软雅黑" w:hAnsi="微软雅黑"/>
                <w:color w:val="auto"/>
                <w:szCs w:val="21"/>
                <w:highlight w:val="none"/>
              </w:rPr>
              <w:t>超</w:t>
            </w:r>
            <w:r>
              <w:rPr>
                <w:rFonts w:hint="eastAsia" w:ascii="微软雅黑" w:hAnsi="微软雅黑"/>
                <w:color w:val="auto"/>
                <w:szCs w:val="21"/>
                <w:highlight w:val="none"/>
                <w:lang w:val="en-US" w:eastAsia="zh-CN"/>
              </w:rPr>
              <w:t>上限</w:t>
            </w:r>
            <w:r>
              <w:rPr>
                <w:rFonts w:hint="eastAsia" w:ascii="微软雅黑" w:hAnsi="微软雅黑"/>
                <w:color w:val="auto"/>
                <w:szCs w:val="21"/>
                <w:highlight w:val="none"/>
              </w:rPr>
              <w:t>价的投标文件无效。</w:t>
            </w:r>
          </w:p>
        </w:tc>
      </w:tr>
      <w:tr w14:paraId="5DFC1B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2BC1CA6">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1</w:t>
            </w:r>
            <w:r>
              <w:rPr>
                <w:rFonts w:hint="eastAsia" w:ascii="微软雅黑" w:hAnsi="微软雅黑" w:cs="仿宋_GB2312"/>
                <w:color w:val="auto"/>
                <w:szCs w:val="21"/>
                <w:highlight w:val="none"/>
                <w:lang w:val="en-US" w:eastAsia="zh-CN"/>
              </w:rPr>
              <w:t>8</w:t>
            </w:r>
          </w:p>
        </w:tc>
        <w:tc>
          <w:tcPr>
            <w:tcW w:w="1670" w:type="dxa"/>
            <w:tcBorders>
              <w:top w:val="single" w:color="000000" w:sz="8" w:space="0"/>
              <w:left w:val="single" w:color="000000" w:sz="2" w:space="0"/>
              <w:bottom w:val="single" w:color="000000" w:sz="8" w:space="0"/>
              <w:right w:val="single" w:color="000000" w:sz="8" w:space="0"/>
            </w:tcBorders>
            <w:vAlign w:val="center"/>
          </w:tcPr>
          <w:p w14:paraId="7C5EC786">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投标文件有效期</w:t>
            </w:r>
          </w:p>
        </w:tc>
        <w:tc>
          <w:tcPr>
            <w:tcW w:w="6268" w:type="dxa"/>
            <w:tcBorders>
              <w:top w:val="single" w:color="000000" w:sz="8" w:space="0"/>
              <w:left w:val="single" w:color="000000" w:sz="2" w:space="0"/>
              <w:bottom w:val="single" w:color="000000" w:sz="8" w:space="0"/>
              <w:right w:val="single" w:color="000000" w:sz="8" w:space="0"/>
            </w:tcBorders>
            <w:vAlign w:val="center"/>
          </w:tcPr>
          <w:p w14:paraId="1C0749A1">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color w:val="auto"/>
                <w:szCs w:val="21"/>
                <w:highlight w:val="none"/>
                <w:u w:val="single"/>
              </w:rPr>
              <w:t>90</w:t>
            </w:r>
            <w:r>
              <w:rPr>
                <w:rFonts w:hint="eastAsia" w:ascii="微软雅黑" w:hAnsi="微软雅黑"/>
                <w:color w:val="auto"/>
                <w:szCs w:val="21"/>
                <w:highlight w:val="none"/>
              </w:rPr>
              <w:t>天</w:t>
            </w:r>
          </w:p>
        </w:tc>
      </w:tr>
      <w:tr w14:paraId="1BCD9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8F8D82F">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1</w:t>
            </w:r>
            <w:r>
              <w:rPr>
                <w:rFonts w:hint="eastAsia" w:ascii="微软雅黑" w:hAnsi="微软雅黑" w:cs="仿宋_GB2312"/>
                <w:color w:val="auto"/>
                <w:szCs w:val="21"/>
                <w:highlight w:val="none"/>
                <w:lang w:val="en-US" w:eastAsia="zh-CN"/>
              </w:rPr>
              <w:t>9</w:t>
            </w:r>
          </w:p>
        </w:tc>
        <w:tc>
          <w:tcPr>
            <w:tcW w:w="1670" w:type="dxa"/>
            <w:tcBorders>
              <w:top w:val="single" w:color="000000" w:sz="8" w:space="0"/>
              <w:left w:val="single" w:color="000000" w:sz="2" w:space="0"/>
              <w:bottom w:val="single" w:color="000000" w:sz="8" w:space="0"/>
              <w:right w:val="single" w:color="000000" w:sz="8" w:space="0"/>
            </w:tcBorders>
            <w:vAlign w:val="center"/>
          </w:tcPr>
          <w:p w14:paraId="48B5FB9A">
            <w:pPr>
              <w:snapToGrid w:val="0"/>
              <w:spacing w:line="240" w:lineRule="auto"/>
              <w:ind w:firstLine="0" w:firstLineChars="0"/>
              <w:jc w:val="center"/>
              <w:rPr>
                <w:rFonts w:hint="eastAsia" w:ascii="微软雅黑" w:hAnsi="微软雅黑" w:cs="仿宋_GB2312"/>
                <w:b/>
                <w:color w:val="auto"/>
                <w:szCs w:val="21"/>
                <w:highlight w:val="none"/>
              </w:rPr>
            </w:pPr>
            <w:r>
              <w:rPr>
                <w:rFonts w:hint="eastAsia" w:ascii="微软雅黑" w:hAnsi="微软雅黑" w:cs="仿宋_GB2312"/>
                <w:b/>
                <w:color w:val="auto"/>
                <w:szCs w:val="21"/>
                <w:highlight w:val="none"/>
              </w:rPr>
              <w:t>中小企业预留份额情况</w:t>
            </w:r>
          </w:p>
        </w:tc>
        <w:tc>
          <w:tcPr>
            <w:tcW w:w="6268" w:type="dxa"/>
            <w:tcBorders>
              <w:top w:val="single" w:color="000000" w:sz="8" w:space="0"/>
              <w:left w:val="single" w:color="000000" w:sz="2" w:space="0"/>
              <w:bottom w:val="single" w:color="000000" w:sz="8" w:space="0"/>
              <w:right w:val="single" w:color="000000" w:sz="8" w:space="0"/>
            </w:tcBorders>
            <w:vAlign w:val="center"/>
          </w:tcPr>
          <w:p w14:paraId="1CED8151">
            <w:pPr>
              <w:spacing w:line="240" w:lineRule="auto"/>
              <w:ind w:firstLine="0" w:firstLineChars="0"/>
              <w:rPr>
                <w:rFonts w:hint="eastAsia" w:ascii="微软雅黑" w:hAnsi="微软雅黑" w:cs="Arial"/>
                <w:color w:val="auto"/>
                <w:kern w:val="0"/>
                <w:szCs w:val="21"/>
                <w:highlight w:val="none"/>
              </w:rPr>
            </w:pPr>
            <w:r>
              <w:rPr>
                <w:rFonts w:hint="eastAsia" w:ascii="宋体" w:hAnsi="宋体"/>
                <w:color w:val="auto"/>
                <w:highlight w:val="none"/>
              </w:rPr>
              <w:t>根据《政府采购促进中小企业发展管理办法》财库〔2020〕46号文件的规定，本项目属于预留份额专门面向中小企业采购的项目。</w:t>
            </w:r>
          </w:p>
        </w:tc>
      </w:tr>
      <w:tr w14:paraId="7AABF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E7BC705">
            <w:pPr>
              <w:snapToGrid w:val="0"/>
              <w:spacing w:line="240" w:lineRule="auto"/>
              <w:ind w:firstLine="0" w:firstLineChars="0"/>
              <w:jc w:val="center"/>
              <w:rPr>
                <w:rFonts w:hint="default"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lang w:val="en-US" w:eastAsia="zh-CN"/>
              </w:rPr>
              <w:t>20</w:t>
            </w:r>
          </w:p>
        </w:tc>
        <w:tc>
          <w:tcPr>
            <w:tcW w:w="1670" w:type="dxa"/>
            <w:tcBorders>
              <w:top w:val="single" w:color="000000" w:sz="8" w:space="0"/>
              <w:left w:val="single" w:color="000000" w:sz="2" w:space="0"/>
              <w:bottom w:val="single" w:color="000000" w:sz="8" w:space="0"/>
              <w:right w:val="single" w:color="000000" w:sz="8" w:space="0"/>
            </w:tcBorders>
            <w:vAlign w:val="center"/>
          </w:tcPr>
          <w:p w14:paraId="3C23AA61">
            <w:pPr>
              <w:tabs>
                <w:tab w:val="center" w:pos="954"/>
                <w:tab w:val="right" w:pos="1787"/>
              </w:tabs>
              <w:snapToGrid w:val="0"/>
              <w:spacing w:line="240" w:lineRule="auto"/>
              <w:ind w:firstLine="0" w:firstLineChars="0"/>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ab/>
            </w:r>
            <w:r>
              <w:rPr>
                <w:rFonts w:hint="eastAsia" w:ascii="微软雅黑" w:hAnsi="微软雅黑" w:cs="仿宋_GB2312"/>
                <w:b/>
                <w:color w:val="auto"/>
                <w:szCs w:val="21"/>
                <w:highlight w:val="none"/>
              </w:rPr>
              <w:t>政策优惠</w:t>
            </w:r>
            <w:r>
              <w:rPr>
                <w:rFonts w:hint="eastAsia" w:ascii="微软雅黑" w:hAnsi="微软雅黑" w:cs="仿宋_GB2312"/>
                <w:b/>
                <w:color w:val="auto"/>
                <w:szCs w:val="21"/>
                <w:highlight w:val="none"/>
              </w:rPr>
              <w:tab/>
            </w:r>
          </w:p>
        </w:tc>
        <w:tc>
          <w:tcPr>
            <w:tcW w:w="6268" w:type="dxa"/>
            <w:tcBorders>
              <w:top w:val="single" w:color="000000" w:sz="8" w:space="0"/>
              <w:left w:val="single" w:color="000000" w:sz="2" w:space="0"/>
              <w:bottom w:val="single" w:color="000000" w:sz="8" w:space="0"/>
              <w:right w:val="single" w:color="000000" w:sz="8" w:space="0"/>
            </w:tcBorders>
            <w:vAlign w:val="center"/>
          </w:tcPr>
          <w:p w14:paraId="0BA164AA">
            <w:pPr>
              <w:autoSpaceDE w:val="0"/>
              <w:autoSpaceDN w:val="0"/>
              <w:snapToGrid w:val="0"/>
              <w:spacing w:line="240" w:lineRule="auto"/>
              <w:ind w:firstLine="0" w:firstLineChars="0"/>
              <w:textAlignment w:val="bottom"/>
              <w:rPr>
                <w:rFonts w:hint="eastAsia" w:ascii="微软雅黑" w:hAnsi="微软雅黑" w:cs="宋体"/>
                <w:snapToGrid w:val="0"/>
                <w:color w:val="auto"/>
                <w:kern w:val="0"/>
                <w:szCs w:val="21"/>
                <w:highlight w:val="none"/>
              </w:rPr>
            </w:pPr>
            <w:r>
              <w:rPr>
                <w:rFonts w:hint="eastAsia" w:ascii="微软雅黑" w:hAnsi="微软雅黑"/>
                <w:color w:val="auto"/>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color w:val="auto"/>
                <w:szCs w:val="21"/>
                <w:highlight w:val="none"/>
                <w:lang w:val="en"/>
              </w:rPr>
              <w:t>投标报价给予</w:t>
            </w:r>
            <w:r>
              <w:rPr>
                <w:rFonts w:hint="eastAsia" w:ascii="微软雅黑" w:hAnsi="微软雅黑"/>
                <w:color w:val="auto"/>
                <w:szCs w:val="21"/>
                <w:highlight w:val="none"/>
                <w:lang w:val="en-US" w:eastAsia="zh-CN"/>
              </w:rPr>
              <w:t>1</w:t>
            </w:r>
            <w:r>
              <w:rPr>
                <w:rFonts w:ascii="微软雅黑" w:hAnsi="微软雅黑"/>
                <w:color w:val="auto"/>
                <w:szCs w:val="21"/>
                <w:highlight w:val="none"/>
                <w:lang w:val="en"/>
              </w:rPr>
              <w:t>0%的扣除</w:t>
            </w:r>
            <w:r>
              <w:rPr>
                <w:rFonts w:hint="eastAsia" w:ascii="微软雅黑" w:hAnsi="微软雅黑"/>
                <w:color w:val="auto"/>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color w:val="auto"/>
                <w:szCs w:val="21"/>
                <w:highlight w:val="none"/>
                <w:lang w:val="en"/>
              </w:rPr>
              <w:t>6</w:t>
            </w:r>
            <w:r>
              <w:rPr>
                <w:rFonts w:hint="eastAsia" w:ascii="微软雅黑" w:hAnsi="微软雅黑"/>
                <w:color w:val="auto"/>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52469E6A">
            <w:pPr>
              <w:tabs>
                <w:tab w:val="left" w:pos="3870"/>
                <w:tab w:val="left" w:pos="4085"/>
              </w:tabs>
              <w:snapToGrid w:val="0"/>
              <w:spacing w:line="240" w:lineRule="auto"/>
              <w:ind w:firstLine="0" w:firstLineChars="0"/>
              <w:rPr>
                <w:rFonts w:hint="eastAsia" w:ascii="微软雅黑" w:hAnsi="微软雅黑"/>
                <w:snapToGrid w:val="0"/>
                <w:color w:val="auto"/>
                <w:kern w:val="0"/>
                <w:szCs w:val="21"/>
                <w:highlight w:val="none"/>
              </w:rPr>
            </w:pPr>
            <w:r>
              <w:rPr>
                <w:rFonts w:hint="eastAsia" w:ascii="微软雅黑" w:hAnsi="微软雅黑"/>
                <w:snapToGrid w:val="0"/>
                <w:color w:val="auto"/>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5FF30EF1">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3.监狱企业同视为小型、微型企业，享受中小企业政策扶持。</w:t>
            </w:r>
          </w:p>
        </w:tc>
      </w:tr>
      <w:tr w14:paraId="559AF8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A4B4862">
            <w:pPr>
              <w:snapToGrid w:val="0"/>
              <w:spacing w:line="240" w:lineRule="auto"/>
              <w:ind w:firstLine="0" w:firstLineChars="0"/>
              <w:jc w:val="center"/>
              <w:rPr>
                <w:rFonts w:hint="eastAsia" w:ascii="微软雅黑" w:hAnsi="微软雅黑" w:eastAsia="微软雅黑" w:cs="仿宋_GB2312"/>
                <w:color w:val="auto"/>
                <w:szCs w:val="21"/>
                <w:highlight w:val="none"/>
                <w:lang w:val="en-US" w:eastAsia="zh-CN"/>
              </w:rPr>
            </w:pPr>
            <w:r>
              <w:rPr>
                <w:rFonts w:hint="eastAsia" w:ascii="微软雅黑" w:hAnsi="微软雅黑" w:cs="仿宋_GB2312"/>
                <w:color w:val="auto"/>
                <w:szCs w:val="21"/>
                <w:highlight w:val="none"/>
              </w:rPr>
              <w:t>2</w:t>
            </w:r>
            <w:r>
              <w:rPr>
                <w:rFonts w:hint="eastAsia" w:ascii="微软雅黑" w:hAnsi="微软雅黑" w:cs="仿宋_GB2312"/>
                <w:color w:val="auto"/>
                <w:szCs w:val="21"/>
                <w:highlight w:val="none"/>
                <w:lang w:val="en-US" w:eastAsia="zh-CN"/>
              </w:rPr>
              <w:t>1</w:t>
            </w:r>
          </w:p>
        </w:tc>
        <w:tc>
          <w:tcPr>
            <w:tcW w:w="1670" w:type="dxa"/>
            <w:tcBorders>
              <w:top w:val="single" w:color="000000" w:sz="8" w:space="0"/>
              <w:left w:val="single" w:color="000000" w:sz="2" w:space="0"/>
              <w:bottom w:val="single" w:color="000000" w:sz="8" w:space="0"/>
              <w:right w:val="single" w:color="000000" w:sz="8" w:space="0"/>
            </w:tcBorders>
            <w:vAlign w:val="center"/>
          </w:tcPr>
          <w:p w14:paraId="611F6382">
            <w:pPr>
              <w:snapToGrid w:val="0"/>
              <w:spacing w:line="240" w:lineRule="auto"/>
              <w:ind w:firstLine="0" w:firstLineChars="0"/>
              <w:jc w:val="center"/>
              <w:rPr>
                <w:rFonts w:hint="eastAsia" w:ascii="微软雅黑" w:hAnsi="微软雅黑" w:cs="仿宋_GB2312"/>
                <w:b/>
                <w:strike/>
                <w:color w:val="auto"/>
                <w:szCs w:val="21"/>
                <w:highlight w:val="none"/>
              </w:rPr>
            </w:pPr>
            <w:r>
              <w:rPr>
                <w:rFonts w:hint="eastAsia" w:ascii="微软雅黑" w:hAnsi="微软雅黑" w:cs="仿宋_GB2312"/>
                <w:b/>
                <w:color w:val="auto"/>
                <w:szCs w:val="21"/>
                <w:highlight w:val="none"/>
              </w:rPr>
              <w:t>特别说明</w:t>
            </w:r>
          </w:p>
        </w:tc>
        <w:tc>
          <w:tcPr>
            <w:tcW w:w="6268" w:type="dxa"/>
            <w:tcBorders>
              <w:top w:val="single" w:color="000000" w:sz="8" w:space="0"/>
              <w:left w:val="single" w:color="000000" w:sz="2" w:space="0"/>
              <w:bottom w:val="single" w:color="000000" w:sz="8" w:space="0"/>
              <w:right w:val="single" w:color="000000" w:sz="8" w:space="0"/>
            </w:tcBorders>
            <w:vAlign w:val="center"/>
          </w:tcPr>
          <w:p w14:paraId="346650A3">
            <w:pPr>
              <w:autoSpaceDE w:val="0"/>
              <w:autoSpaceDN w:val="0"/>
              <w:snapToGrid w:val="0"/>
              <w:spacing w:line="240" w:lineRule="auto"/>
              <w:ind w:firstLine="0" w:firstLineChars="0"/>
              <w:textAlignment w:val="bottom"/>
              <w:rPr>
                <w:rFonts w:hint="eastAsia" w:ascii="微软雅黑" w:hAnsi="微软雅黑"/>
                <w:strike/>
                <w:color w:val="auto"/>
                <w:kern w:val="28"/>
                <w:szCs w:val="21"/>
                <w:highlight w:val="none"/>
              </w:rPr>
            </w:pPr>
            <w:r>
              <w:rPr>
                <w:rFonts w:hint="eastAsia" w:ascii="微软雅黑" w:hAnsi="微软雅黑"/>
                <w:snapToGrid w:val="0"/>
                <w:color w:val="auto"/>
                <w:kern w:val="0"/>
                <w:szCs w:val="21"/>
                <w:highlight w:val="none"/>
              </w:rPr>
              <w:t>本招标文件的解释权属于采购人</w:t>
            </w:r>
          </w:p>
        </w:tc>
      </w:tr>
    </w:tbl>
    <w:p w14:paraId="0C3E4E87">
      <w:pPr>
        <w:pStyle w:val="3"/>
        <w:spacing w:line="500" w:lineRule="exact"/>
        <w:ind w:firstLine="420"/>
        <w:rPr>
          <w:rFonts w:hint="eastAsia" w:ascii="微软雅黑" w:hAnsi="微软雅黑"/>
          <w:color w:val="auto"/>
          <w:szCs w:val="21"/>
          <w:highlight w:val="none"/>
        </w:rPr>
      </w:pPr>
      <w:bookmarkStart w:id="25" w:name="_Toc493511580"/>
      <w:bookmarkStart w:id="26" w:name="_Toc177870536"/>
      <w:bookmarkStart w:id="27" w:name="_Toc3218"/>
      <w:r>
        <w:rPr>
          <w:rFonts w:hint="eastAsia" w:ascii="微软雅黑" w:hAnsi="微软雅黑"/>
          <w:color w:val="auto"/>
          <w:szCs w:val="21"/>
          <w:highlight w:val="none"/>
        </w:rPr>
        <w:t>一、总  则</w:t>
      </w:r>
      <w:bookmarkEnd w:id="25"/>
      <w:bookmarkEnd w:id="26"/>
      <w:bookmarkEnd w:id="27"/>
    </w:p>
    <w:p w14:paraId="78EF52BC">
      <w:pPr>
        <w:snapToGrid w:val="0"/>
        <w:ind w:firstLine="412" w:firstLineChars="196"/>
        <w:outlineLvl w:val="2"/>
        <w:rPr>
          <w:rFonts w:hint="eastAsia" w:ascii="微软雅黑" w:hAnsi="微软雅黑"/>
          <w:b/>
          <w:color w:val="auto"/>
          <w:szCs w:val="21"/>
          <w:highlight w:val="none"/>
        </w:rPr>
      </w:pPr>
      <w:bookmarkStart w:id="28" w:name="_Toc169015114"/>
      <w:bookmarkStart w:id="29" w:name="_Toc164943190"/>
      <w:bookmarkStart w:id="30" w:name="_Toc397670948"/>
      <w:bookmarkStart w:id="31" w:name="_Toc397670919"/>
      <w:bookmarkStart w:id="32" w:name="_Toc177870544"/>
      <w:bookmarkStart w:id="33" w:name="_Toc493511613"/>
      <w:r>
        <w:rPr>
          <w:rFonts w:hint="eastAsia" w:ascii="微软雅黑" w:hAnsi="微软雅黑"/>
          <w:b/>
          <w:color w:val="auto"/>
          <w:szCs w:val="21"/>
          <w:highlight w:val="none"/>
        </w:rPr>
        <w:t>（一）适用范围</w:t>
      </w:r>
      <w:bookmarkEnd w:id="28"/>
      <w:bookmarkEnd w:id="29"/>
    </w:p>
    <w:p w14:paraId="405C0BC1">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本招标文件适用于该项目的招标、投标、评标、定标、验收、合同履约、付款等行为（法律、法规另有规定的，从其规定）。</w:t>
      </w:r>
    </w:p>
    <w:p w14:paraId="440BC431">
      <w:pPr>
        <w:snapToGrid w:val="0"/>
        <w:ind w:firstLine="309" w:firstLineChars="147"/>
        <w:outlineLvl w:val="2"/>
        <w:rPr>
          <w:rFonts w:hint="eastAsia" w:ascii="微软雅黑" w:hAnsi="微软雅黑"/>
          <w:b/>
          <w:color w:val="auto"/>
          <w:szCs w:val="21"/>
          <w:highlight w:val="none"/>
        </w:rPr>
      </w:pPr>
      <w:bookmarkStart w:id="34" w:name="_Toc169015115"/>
      <w:bookmarkStart w:id="35" w:name="_Toc164943191"/>
      <w:r>
        <w:rPr>
          <w:rFonts w:hint="eastAsia" w:ascii="微软雅黑" w:hAnsi="微软雅黑"/>
          <w:b/>
          <w:color w:val="auto"/>
          <w:szCs w:val="21"/>
          <w:highlight w:val="none"/>
        </w:rPr>
        <w:t>（二）定义</w:t>
      </w:r>
      <w:bookmarkEnd w:id="34"/>
      <w:bookmarkEnd w:id="35"/>
    </w:p>
    <w:p w14:paraId="75C2636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w:t>
      </w:r>
      <w:r>
        <w:rPr>
          <w:rFonts w:hint="eastAsia" w:ascii="微软雅黑" w:hAnsi="微软雅黑" w:cs="宋体"/>
          <w:color w:val="auto"/>
          <w:szCs w:val="21"/>
          <w:highlight w:val="none"/>
        </w:rPr>
        <w:t>“采购人”系指招标公告中载明的本项目的采购人。</w:t>
      </w:r>
    </w:p>
    <w:p w14:paraId="27253947">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2.“采购代理机构”系指招标公告中载明的本项目的采购代理机构</w:t>
      </w:r>
    </w:p>
    <w:p w14:paraId="438C9089">
      <w:pPr>
        <w:snapToGrid w:val="0"/>
        <w:ind w:firstLine="420"/>
        <w:rPr>
          <w:rFonts w:hint="eastAsia" w:ascii="微软雅黑" w:hAnsi="微软雅黑" w:cs="宋体"/>
          <w:color w:val="auto"/>
          <w:szCs w:val="21"/>
          <w:highlight w:val="none"/>
        </w:rPr>
      </w:pPr>
      <w:r>
        <w:rPr>
          <w:rFonts w:hint="eastAsia" w:ascii="微软雅黑" w:hAnsi="微软雅黑"/>
          <w:color w:val="auto"/>
          <w:szCs w:val="21"/>
          <w:highlight w:val="none"/>
        </w:rPr>
        <w:t>3.“供应商”</w:t>
      </w:r>
      <w:r>
        <w:rPr>
          <w:rFonts w:hint="eastAsia" w:ascii="微软雅黑" w:hAnsi="微软雅黑" w:cs="宋体"/>
          <w:color w:val="auto"/>
          <w:szCs w:val="21"/>
          <w:highlight w:val="none"/>
        </w:rPr>
        <w:t>系指是指响应招标、参加投标竞争的法人、其他组织或者自然人。</w:t>
      </w:r>
    </w:p>
    <w:p w14:paraId="173AF569">
      <w:pPr>
        <w:snapToGrid w:val="0"/>
        <w:ind w:firstLine="420"/>
        <w:rPr>
          <w:rFonts w:hint="eastAsia" w:ascii="微软雅黑" w:hAnsi="微软雅黑"/>
          <w:color w:val="auto"/>
          <w:szCs w:val="21"/>
          <w:highlight w:val="none"/>
        </w:rPr>
      </w:pPr>
      <w:r>
        <w:rPr>
          <w:rFonts w:hint="eastAsia" w:ascii="微软雅黑" w:hAnsi="微软雅黑" w:cs="宋体"/>
          <w:color w:val="auto"/>
          <w:szCs w:val="21"/>
          <w:highlight w:val="none"/>
        </w:rPr>
        <w:t>4.“负责人”系指法人企业的法定负责人，或其他组织为法律、行政法规规定代表单位行使职权的主要负责人，或自然人本人。</w:t>
      </w:r>
    </w:p>
    <w:p w14:paraId="76E67A72">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5.“产品”系指供方按招标文件规定，须向采购人提供的一切设备、保险、税金、备品备件、工具、手册及其他有关技术资料和材料。</w:t>
      </w:r>
    </w:p>
    <w:p w14:paraId="55254E27">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6.“服务”系指招标文件规定投标供应商须承担的安装、调试、技术协助、校准、培训、技术指导以及其他类似的义务。</w:t>
      </w:r>
    </w:p>
    <w:p w14:paraId="39F85CFA">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7.“项目”系指投标供应商按招标文件规定向采购人提供的产品和服务。</w:t>
      </w:r>
    </w:p>
    <w:p w14:paraId="27CDA2B3">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8.“书面形式”包括信函、传真、电报等。</w:t>
      </w:r>
    </w:p>
    <w:p w14:paraId="5C6DFF5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9.“电子签名”系指数据电文中以电子形式所含、所附用于识别签名人身份并表明签名人认可其中内容的数据；“公章”系指单位法定名称章。</w:t>
      </w:r>
    </w:p>
    <w:p w14:paraId="416968A6">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10.“电子交易平台”是指本项目政府采购活动所依托的政府采购云平台（https://www.zcygov.cn/）。</w:t>
      </w:r>
    </w:p>
    <w:p w14:paraId="7F9D02EA">
      <w:pPr>
        <w:snapToGrid w:val="0"/>
        <w:ind w:left="210" w:leftChars="100" w:firstLine="210" w:firstLineChars="100"/>
        <w:rPr>
          <w:rFonts w:hint="eastAsia" w:ascii="微软雅黑" w:hAnsi="微软雅黑" w:cs="宋体"/>
          <w:color w:val="auto"/>
          <w:szCs w:val="21"/>
          <w:highlight w:val="none"/>
        </w:rPr>
      </w:pPr>
      <w:r>
        <w:rPr>
          <w:rFonts w:hint="eastAsia" w:ascii="微软雅黑" w:hAnsi="微软雅黑"/>
          <w:color w:val="auto"/>
          <w:szCs w:val="21"/>
          <w:highlight w:val="none"/>
        </w:rPr>
        <w:t>11.“▲”系指实质性要求条款，不满足实行性要求条款的投标文件无效。“★”系指产品采购项目中核心产品。“</w:t>
      </w:r>
      <w:r>
        <w:rPr>
          <w:rFonts w:ascii="微软雅黑" w:hAnsi="微软雅黑" w:cs="Arial"/>
          <w:color w:val="auto"/>
          <w:kern w:val="0"/>
          <w:szCs w:val="21"/>
          <w:highlight w:val="none"/>
        </w:rPr>
        <w:t></w:t>
      </w:r>
      <w:r>
        <w:rPr>
          <w:rFonts w:hint="eastAsia" w:ascii="微软雅黑" w:hAnsi="微软雅黑"/>
          <w:color w:val="auto"/>
          <w:szCs w:val="21"/>
          <w:highlight w:val="none"/>
        </w:rPr>
        <w:t>”</w:t>
      </w:r>
      <w:r>
        <w:rPr>
          <w:rFonts w:ascii="微软雅黑" w:hAnsi="微软雅黑"/>
          <w:color w:val="auto"/>
          <w:szCs w:val="21"/>
          <w:highlight w:val="none"/>
        </w:rPr>
        <w:t xml:space="preserve"> </w:t>
      </w:r>
      <w:r>
        <w:rPr>
          <w:rFonts w:hint="eastAsia" w:ascii="微软雅黑" w:hAnsi="微软雅黑" w:cs="宋体"/>
          <w:color w:val="auto"/>
          <w:szCs w:val="21"/>
          <w:highlight w:val="none"/>
        </w:rPr>
        <w:t>系指适用本项目的要求，“</w:t>
      </w:r>
      <w:r>
        <w:rPr>
          <w:rFonts w:hint="eastAsia" w:ascii="微软雅黑" w:hAnsi="微软雅黑" w:cs="宋体"/>
          <w:color w:val="auto"/>
          <w:szCs w:val="21"/>
          <w:highlight w:val="none"/>
        </w:rPr>
        <w:sym w:font="Wingdings" w:char="00A8"/>
      </w:r>
      <w:r>
        <w:rPr>
          <w:rFonts w:hint="eastAsia" w:ascii="微软雅黑" w:hAnsi="微软雅黑" w:cs="宋体"/>
          <w:color w:val="auto"/>
          <w:szCs w:val="21"/>
          <w:highlight w:val="none"/>
        </w:rPr>
        <w:t>” 系指不适用本项目的要求。</w:t>
      </w:r>
    </w:p>
    <w:bookmarkEnd w:id="30"/>
    <w:bookmarkEnd w:id="31"/>
    <w:p w14:paraId="73707FF1">
      <w:pPr>
        <w:snapToGrid w:val="0"/>
        <w:ind w:firstLine="412" w:firstLineChars="196"/>
        <w:outlineLvl w:val="2"/>
        <w:rPr>
          <w:rFonts w:hint="eastAsia" w:ascii="微软雅黑" w:hAnsi="微软雅黑"/>
          <w:b/>
          <w:color w:val="auto"/>
          <w:szCs w:val="21"/>
          <w:highlight w:val="none"/>
        </w:rPr>
      </w:pPr>
      <w:bookmarkStart w:id="36" w:name="_Toc164943192"/>
      <w:bookmarkStart w:id="37" w:name="_Toc169015116"/>
      <w:bookmarkStart w:id="38" w:name="_Toc397670920"/>
      <w:bookmarkStart w:id="39" w:name="_Toc397670949"/>
      <w:r>
        <w:rPr>
          <w:rFonts w:hint="eastAsia" w:ascii="微软雅黑" w:hAnsi="微软雅黑"/>
          <w:b/>
          <w:color w:val="auto"/>
          <w:szCs w:val="21"/>
          <w:highlight w:val="none"/>
        </w:rPr>
        <w:t>（三）采购方式</w:t>
      </w:r>
      <w:bookmarkEnd w:id="36"/>
      <w:bookmarkEnd w:id="37"/>
    </w:p>
    <w:p w14:paraId="2C83341C">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本次招标采用公开采购方式进行。</w:t>
      </w:r>
    </w:p>
    <w:bookmarkEnd w:id="38"/>
    <w:bookmarkEnd w:id="39"/>
    <w:p w14:paraId="3E0AA8F2">
      <w:pPr>
        <w:snapToGrid w:val="0"/>
        <w:spacing w:before="120" w:beforeLines="50"/>
        <w:ind w:firstLine="412" w:firstLineChars="196"/>
        <w:outlineLvl w:val="2"/>
        <w:rPr>
          <w:rFonts w:hint="eastAsia" w:ascii="微软雅黑" w:hAnsi="微软雅黑"/>
          <w:b/>
          <w:color w:val="auto"/>
          <w:szCs w:val="21"/>
          <w:highlight w:val="none"/>
        </w:rPr>
      </w:pPr>
      <w:bookmarkStart w:id="40" w:name="_Toc397670921"/>
      <w:bookmarkStart w:id="41" w:name="_Toc169015117"/>
      <w:bookmarkStart w:id="42" w:name="_Toc164943193"/>
      <w:bookmarkStart w:id="43" w:name="_Toc397670950"/>
      <w:r>
        <w:rPr>
          <w:rFonts w:hint="eastAsia" w:ascii="微软雅黑" w:hAnsi="微软雅黑"/>
          <w:b/>
          <w:color w:val="auto"/>
          <w:szCs w:val="21"/>
          <w:highlight w:val="none"/>
        </w:rPr>
        <w:t>（四）投标费用</w:t>
      </w:r>
      <w:bookmarkEnd w:id="40"/>
      <w:bookmarkEnd w:id="41"/>
      <w:bookmarkEnd w:id="42"/>
      <w:bookmarkEnd w:id="43"/>
    </w:p>
    <w:p w14:paraId="7A75A689">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不论投标结果如何，投标供应商均应自行承担所有与投标有关的全部费用（招标文件有相反规定除外）。</w:t>
      </w:r>
    </w:p>
    <w:p w14:paraId="1A8E2E18">
      <w:pPr>
        <w:snapToGrid w:val="0"/>
        <w:spacing w:before="120" w:beforeLines="50"/>
        <w:ind w:firstLine="412" w:firstLineChars="196"/>
        <w:outlineLvl w:val="2"/>
        <w:rPr>
          <w:rFonts w:hint="eastAsia" w:ascii="微软雅黑" w:hAnsi="微软雅黑" w:cs="宋体"/>
          <w:b/>
          <w:color w:val="auto"/>
          <w:szCs w:val="21"/>
          <w:highlight w:val="none"/>
        </w:rPr>
      </w:pPr>
      <w:bookmarkStart w:id="44" w:name="_Toc164943194"/>
      <w:bookmarkStart w:id="45" w:name="_Toc169015118"/>
      <w:r>
        <w:rPr>
          <w:rFonts w:hint="eastAsia" w:ascii="微软雅黑" w:hAnsi="微软雅黑" w:cs="宋体"/>
          <w:b/>
          <w:color w:val="auto"/>
          <w:szCs w:val="21"/>
          <w:highlight w:val="none"/>
        </w:rPr>
        <w:t>（五）相关政府采购政策</w:t>
      </w:r>
      <w:bookmarkEnd w:id="44"/>
      <w:bookmarkEnd w:id="45"/>
    </w:p>
    <w:p w14:paraId="1DC701F6">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984638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2.支持绿色发展</w:t>
      </w:r>
    </w:p>
    <w:p w14:paraId="6BAC0BC7">
      <w:pPr>
        <w:snapToGrid w:val="0"/>
        <w:ind w:firstLine="420"/>
        <w:rPr>
          <w:rFonts w:hint="eastAsia" w:ascii="微软雅黑" w:hAnsi="微软雅黑"/>
          <w:b/>
          <w:color w:val="auto"/>
          <w:szCs w:val="21"/>
          <w:highlight w:val="none"/>
        </w:rPr>
      </w:pPr>
      <w:r>
        <w:rPr>
          <w:rFonts w:hint="eastAsia" w:ascii="微软雅黑" w:hAnsi="微软雅黑" w:cs="宋体"/>
          <w:color w:val="auto"/>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ascii="微软雅黑" w:hAnsi="微软雅黑"/>
          <w:color w:val="auto"/>
          <w:szCs w:val="21"/>
          <w:highlight w:val="none"/>
        </w:rPr>
        <w:t>▲</w:t>
      </w:r>
      <w:r>
        <w:rPr>
          <w:rFonts w:hint="eastAsia" w:ascii="微软雅黑" w:hAnsi="微软雅黑"/>
          <w:b/>
          <w:color w:val="auto"/>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18A8A86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 修缮、装修类项目采购建材的，采购人应将绿色建筑和绿色建材性能、指标等作为实质性条件纳入招标文件和合同。</w:t>
      </w:r>
    </w:p>
    <w:p w14:paraId="76B39D2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0504DFA">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3.支持中小企业发展</w:t>
      </w:r>
    </w:p>
    <w:p w14:paraId="3149754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672556C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符合中小企业划分标准的个体工商户，在政府采购活动中视同中小企业。</w:t>
      </w:r>
    </w:p>
    <w:p w14:paraId="3C5CB5F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3.2在政府采购活动中，投标供应商提供的货物、工程或者服务符合下列情形的，享受中小企业扶持政策：</w:t>
      </w:r>
    </w:p>
    <w:p w14:paraId="353B507D">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3.2.1在货物采购项目中，货物由中小企业制造，即货物由中小企业生产且使用该中小企业商号或者注册商标；</w:t>
      </w:r>
    </w:p>
    <w:p w14:paraId="292C4BB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3.2.2在工程采购项目中，工程由中小企业承建，即工程施工单位为中小企业；</w:t>
      </w:r>
    </w:p>
    <w:p w14:paraId="19497DA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3.2.3在服务采购项目中，服务由中小企业承接，即提供服务的人员为中小企业依照《中华人民共和国劳动合同法》订立劳动合同的从业人员。</w:t>
      </w:r>
    </w:p>
    <w:p w14:paraId="486E707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在货物采购项目中，投标供应商提供的货物既有中小企业制造货物，也有大型企业制造货物的，不享受中小企业扶持政策。</w:t>
      </w:r>
    </w:p>
    <w:p w14:paraId="6333549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以联合体形式参加政府采购活动，联合体各方均为中小企业的，联合体视同中小企业。其中，联合体各方均为小微企业的，联合体视同小微企业。</w:t>
      </w:r>
    </w:p>
    <w:p w14:paraId="2DAF8C7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3.3符合《关于促进残疾人就业政府采购政策的通知》（财库〔2017〕141号）规定的条件并提供《残疾人福利性单位声明函》（附件1）的残疾人福利性单位视同小型、微型企业；</w:t>
      </w:r>
    </w:p>
    <w:p w14:paraId="32E1CD0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476A4307">
      <w:pPr>
        <w:snapToGrid w:val="0"/>
        <w:ind w:firstLine="420"/>
        <w:rPr>
          <w:rFonts w:hint="eastAsia" w:ascii="微软雅黑" w:hAnsi="微软雅黑"/>
          <w:b/>
          <w:bCs/>
          <w:color w:val="auto"/>
          <w:szCs w:val="21"/>
          <w:highlight w:val="none"/>
        </w:rPr>
      </w:pPr>
      <w:r>
        <w:rPr>
          <w:rFonts w:hint="eastAsia" w:ascii="微软雅黑" w:hAnsi="微软雅黑" w:cs="宋体"/>
          <w:color w:val="auto"/>
          <w:szCs w:val="21"/>
          <w:highlight w:val="none"/>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b/>
          <w:bCs/>
          <w:color w:val="auto"/>
          <w:szCs w:val="21"/>
          <w:highlight w:val="none"/>
        </w:rPr>
        <w:t>声明内容不实的，属于提供虚假材料谋取中标、成交的，依法承担法律责任。</w:t>
      </w:r>
    </w:p>
    <w:p w14:paraId="5C89DA4F">
      <w:pPr>
        <w:snapToGrid w:val="0"/>
        <w:ind w:firstLine="420"/>
        <w:rPr>
          <w:rFonts w:hint="eastAsia" w:ascii="微软雅黑" w:hAnsi="微软雅黑"/>
          <w:b/>
          <w:strike/>
          <w:color w:val="auto"/>
          <w:szCs w:val="21"/>
          <w:highlight w:val="none"/>
        </w:rPr>
      </w:pPr>
      <w:r>
        <w:rPr>
          <w:rFonts w:hint="eastAsia" w:ascii="微软雅黑" w:hAnsi="微软雅黑" w:cs="宋体"/>
          <w:color w:val="auto"/>
          <w:szCs w:val="21"/>
          <w:highlight w:val="none"/>
        </w:rPr>
        <w:t>3.6中小企业享受扶持政策获得政府采购合同的，小微企业不得将合同分包给大中型企业，中型企业不得将合同分包给大型企业。</w:t>
      </w:r>
    </w:p>
    <w:p w14:paraId="35797F1F">
      <w:pPr>
        <w:snapToGrid w:val="0"/>
        <w:ind w:firstLine="412" w:firstLineChars="196"/>
        <w:outlineLvl w:val="2"/>
        <w:rPr>
          <w:rFonts w:hint="eastAsia" w:ascii="微软雅黑" w:hAnsi="微软雅黑"/>
          <w:b/>
          <w:color w:val="auto"/>
          <w:szCs w:val="21"/>
          <w:highlight w:val="none"/>
        </w:rPr>
      </w:pPr>
      <w:bookmarkStart w:id="46" w:name="_Toc169015119"/>
      <w:bookmarkStart w:id="47" w:name="_Toc164943195"/>
      <w:r>
        <w:rPr>
          <w:rFonts w:hint="eastAsia" w:ascii="微软雅黑" w:hAnsi="微软雅黑"/>
          <w:b/>
          <w:color w:val="auto"/>
          <w:szCs w:val="21"/>
          <w:highlight w:val="none"/>
        </w:rPr>
        <w:t>（六）特别说明：</w:t>
      </w:r>
      <w:bookmarkEnd w:id="46"/>
      <w:bookmarkEnd w:id="47"/>
    </w:p>
    <w:p w14:paraId="1713D825">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7B06AB56">
      <w:pPr>
        <w:pStyle w:val="29"/>
        <w:snapToGrid w:val="0"/>
        <w:ind w:left="2" w:leftChars="1"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48E7CF8A">
      <w:pPr>
        <w:pStyle w:val="29"/>
        <w:snapToGrid w:val="0"/>
        <w:ind w:left="2" w:leftChars="1" w:firstLine="420"/>
        <w:rPr>
          <w:rFonts w:hint="eastAsia" w:ascii="微软雅黑" w:hAnsi="微软雅黑"/>
          <w:color w:val="auto"/>
          <w:szCs w:val="21"/>
          <w:highlight w:val="none"/>
        </w:rPr>
      </w:pPr>
      <w:r>
        <w:rPr>
          <w:rFonts w:hint="eastAsia" w:ascii="微软雅黑" w:hAnsi="微软雅黑" w:cs="宋体"/>
          <w:color w:val="auto"/>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6CEB635A">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2.投标供应商投标所使用的资格、信誉、荣誉、业绩与企业认证必须为本法人所拥有。投标供应商投标所使用的采购项目实施人员必须为本法人员工（或必须为本法人或控股投标供应商正式员工）。</w:t>
      </w:r>
    </w:p>
    <w:p w14:paraId="2090C048">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3.投标供应商应仔细阅读招标文件的所有内容，按照招标文件的要求提交投标文件，并对所提供的全部资料的真实性承担法律责任。</w:t>
      </w:r>
    </w:p>
    <w:p w14:paraId="6E442E4D">
      <w:pPr>
        <w:pStyle w:val="29"/>
        <w:snapToGrid w:val="0"/>
        <w:spacing w:before="120" w:after="120"/>
        <w:ind w:left="2" w:leftChars="1" w:firstLine="420"/>
        <w:rPr>
          <w:rFonts w:hint="eastAsia" w:ascii="微软雅黑" w:hAnsi="微软雅黑"/>
          <w:color w:val="auto"/>
          <w:szCs w:val="21"/>
          <w:highlight w:val="none"/>
        </w:rPr>
      </w:pPr>
      <w:r>
        <w:rPr>
          <w:rFonts w:hint="eastAsia" w:ascii="微软雅黑" w:hAnsi="微软雅黑"/>
          <w:color w:val="auto"/>
          <w:szCs w:val="21"/>
          <w:highlight w:val="none"/>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01116DC2">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（七）质疑和投诉</w:t>
      </w:r>
    </w:p>
    <w:p w14:paraId="6545EBB8">
      <w:pPr>
        <w:ind w:firstLine="420"/>
        <w:rPr>
          <w:rFonts w:hint="eastAsia" w:ascii="微软雅黑" w:hAnsi="微软雅黑"/>
          <w:color w:val="auto"/>
          <w:szCs w:val="21"/>
          <w:highlight w:val="none"/>
        </w:rPr>
      </w:pPr>
      <w:r>
        <w:rPr>
          <w:rFonts w:hint="eastAsia" w:ascii="微软雅黑" w:hAnsi="微软雅黑"/>
          <w:color w:val="auto"/>
          <w:szCs w:val="21"/>
          <w:highlight w:val="none"/>
        </w:rPr>
        <w:t>1.质疑和投诉应当满足《政府采购质疑和投诉办法》（中华人民共和国财政部令第94号）要求。</w:t>
      </w:r>
    </w:p>
    <w:p w14:paraId="729C0756">
      <w:pPr>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1708B5E9">
      <w:pPr>
        <w:ind w:firstLine="420"/>
        <w:rPr>
          <w:rFonts w:hint="eastAsia" w:ascii="微软雅黑" w:hAnsi="微软雅黑"/>
          <w:color w:val="auto"/>
          <w:szCs w:val="21"/>
          <w:highlight w:val="none"/>
        </w:rPr>
      </w:pPr>
      <w:r>
        <w:rPr>
          <w:rFonts w:hint="eastAsia" w:ascii="微软雅黑" w:hAnsi="微软雅黑"/>
          <w:color w:val="auto"/>
          <w:szCs w:val="21"/>
          <w:highlight w:val="none"/>
        </w:rPr>
        <w:t>3.供应商须在法定质疑期内一次性提出针对同一采购程序环节的质疑。</w:t>
      </w:r>
    </w:p>
    <w:p w14:paraId="17E7B043">
      <w:pPr>
        <w:ind w:firstLine="420"/>
        <w:rPr>
          <w:rFonts w:hint="eastAsia" w:ascii="微软雅黑" w:hAnsi="微软雅黑"/>
          <w:color w:val="auto"/>
          <w:szCs w:val="21"/>
          <w:highlight w:val="none"/>
        </w:rPr>
      </w:pPr>
      <w:r>
        <w:rPr>
          <w:rFonts w:hint="eastAsia" w:ascii="微软雅黑" w:hAnsi="微软雅黑"/>
          <w:color w:val="auto"/>
          <w:szCs w:val="21"/>
          <w:highlight w:val="none"/>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1361C743">
      <w:pPr>
        <w:pStyle w:val="3"/>
        <w:spacing w:line="500" w:lineRule="exact"/>
        <w:ind w:firstLine="420"/>
        <w:rPr>
          <w:rFonts w:hint="eastAsia" w:ascii="微软雅黑" w:hAnsi="微软雅黑"/>
          <w:color w:val="auto"/>
          <w:szCs w:val="21"/>
          <w:highlight w:val="none"/>
        </w:rPr>
      </w:pPr>
      <w:bookmarkStart w:id="48" w:name="_Toc27754"/>
      <w:r>
        <w:rPr>
          <w:rFonts w:hint="eastAsia" w:ascii="微软雅黑" w:hAnsi="微软雅黑"/>
          <w:color w:val="auto"/>
          <w:szCs w:val="21"/>
          <w:highlight w:val="none"/>
        </w:rPr>
        <w:t>二 、招标文件</w:t>
      </w:r>
      <w:bookmarkEnd w:id="32"/>
      <w:bookmarkEnd w:id="33"/>
      <w:bookmarkEnd w:id="48"/>
    </w:p>
    <w:p w14:paraId="5BF312B3">
      <w:pPr>
        <w:snapToGrid w:val="0"/>
        <w:ind w:firstLine="412" w:firstLineChars="196"/>
        <w:rPr>
          <w:rFonts w:hint="eastAsia" w:ascii="微软雅黑" w:hAnsi="微软雅黑"/>
          <w:b/>
          <w:color w:val="auto"/>
          <w:szCs w:val="21"/>
          <w:highlight w:val="none"/>
        </w:rPr>
      </w:pPr>
      <w:bookmarkStart w:id="49" w:name="_Toc493511630"/>
      <w:bookmarkStart w:id="50" w:name="_Toc177870545"/>
      <w:r>
        <w:rPr>
          <w:rFonts w:hint="eastAsia" w:ascii="微软雅黑" w:hAnsi="微软雅黑"/>
          <w:b/>
          <w:color w:val="auto"/>
          <w:szCs w:val="21"/>
          <w:highlight w:val="none"/>
        </w:rPr>
        <w:t>（一）招标文件的构成。本招标文件由以下部分组成：</w:t>
      </w:r>
    </w:p>
    <w:p w14:paraId="6438D4C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1.招标公告</w:t>
      </w:r>
    </w:p>
    <w:p w14:paraId="526102AE">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2.招标需求</w:t>
      </w:r>
    </w:p>
    <w:p w14:paraId="380709D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3.投标供应商须知</w:t>
      </w:r>
    </w:p>
    <w:p w14:paraId="057BC15A">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4.评标办法及标准</w:t>
      </w:r>
    </w:p>
    <w:p w14:paraId="2EA3FD1C">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5.合同主要条款</w:t>
      </w:r>
    </w:p>
    <w:p w14:paraId="4B2BECBB">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6.投标文件格式</w:t>
      </w:r>
    </w:p>
    <w:p w14:paraId="14A9D5A0">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7.本项目招标文件的澄清、答复、修改、补充的内容</w:t>
      </w:r>
    </w:p>
    <w:p w14:paraId="5AF15A5E">
      <w:pPr>
        <w:snapToGrid w:val="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（二）投标供应商的风险</w:t>
      </w:r>
    </w:p>
    <w:p w14:paraId="11CD9AB3">
      <w:pPr>
        <w:pStyle w:val="43"/>
        <w:ind w:firstLine="424" w:firstLineChars="20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70853DB7">
      <w:pPr>
        <w:pStyle w:val="291"/>
        <w:snapToGrid w:val="0"/>
        <w:spacing w:before="0"/>
        <w:ind w:left="480" w:firstLine="0" w:firstLineChars="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（三）招标文件的澄清与修改</w:t>
      </w:r>
    </w:p>
    <w:p w14:paraId="3C309092">
      <w:pPr>
        <w:pStyle w:val="291"/>
        <w:snapToGrid w:val="0"/>
        <w:spacing w:before="0"/>
        <w:ind w:left="480" w:firstLine="0" w:firstLineChars="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w:t>
      </w:r>
      <w:r>
        <w:rPr>
          <w:rFonts w:hint="eastAsia" w:ascii="微软雅黑" w:hAnsi="微软雅黑" w:eastAsia="微软雅黑"/>
          <w:color w:val="auto"/>
          <w:sz w:val="21"/>
          <w:szCs w:val="21"/>
          <w:highlight w:val="none"/>
        </w:rPr>
        <w:t>投标供应商应认真阅读本招标文件，发现其中有误或有不合理要求的，可</w:t>
      </w:r>
    </w:p>
    <w:p w14:paraId="29D1DFB0">
      <w:pPr>
        <w:pStyle w:val="291"/>
        <w:snapToGrid w:val="0"/>
        <w:spacing w:before="0"/>
        <w:ind w:firstLine="0" w:firstLineChars="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2764CBA1">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2.招标文件澄清或者修改的内容为招标文件的组成部分。当招标文件与澄清或者修改就同一内容的表述不一致时，以最后发出的书面文件为准。</w:t>
      </w:r>
    </w:p>
    <w:p w14:paraId="3250ACD0">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3.对招标文件的澄清、答复、修改或补充都应该通过代理机构以法定形式发布，采购人非通过本机构，不得擅自澄清、答复、修改或补充招标文件。</w:t>
      </w:r>
    </w:p>
    <w:p w14:paraId="43E5B231">
      <w:pPr>
        <w:pStyle w:val="3"/>
        <w:spacing w:line="500" w:lineRule="exact"/>
        <w:ind w:firstLine="420"/>
        <w:rPr>
          <w:rFonts w:hint="eastAsia" w:ascii="微软雅黑" w:hAnsi="微软雅黑"/>
          <w:color w:val="auto"/>
          <w:szCs w:val="21"/>
          <w:highlight w:val="none"/>
        </w:rPr>
      </w:pPr>
      <w:bookmarkStart w:id="51" w:name="_Toc27689"/>
      <w:r>
        <w:rPr>
          <w:rFonts w:hint="eastAsia" w:ascii="微软雅黑" w:hAnsi="微软雅黑"/>
          <w:color w:val="auto"/>
          <w:szCs w:val="21"/>
          <w:highlight w:val="none"/>
        </w:rPr>
        <w:t>三、 投标文件的编制</w:t>
      </w:r>
      <w:bookmarkEnd w:id="49"/>
      <w:bookmarkEnd w:id="50"/>
      <w:bookmarkEnd w:id="51"/>
    </w:p>
    <w:p w14:paraId="38128E66">
      <w:pPr>
        <w:ind w:firstLine="420"/>
        <w:rPr>
          <w:rFonts w:hint="eastAsia" w:ascii="微软雅黑" w:hAnsi="微软雅黑"/>
          <w:b/>
          <w:bCs/>
          <w:color w:val="auto"/>
          <w:szCs w:val="21"/>
          <w:highlight w:val="none"/>
        </w:rPr>
      </w:pPr>
      <w:bookmarkStart w:id="52" w:name="_Toc14074"/>
      <w:bookmarkStart w:id="53" w:name="_Toc21392"/>
      <w:bookmarkStart w:id="54" w:name="_Toc406402988"/>
      <w:bookmarkStart w:id="55" w:name="_Toc406402944"/>
      <w:bookmarkStart w:id="56" w:name="_Toc532218225"/>
      <w:bookmarkStart w:id="57" w:name="_Toc33535369"/>
      <w:bookmarkStart w:id="58" w:name="_Toc493511751"/>
      <w:r>
        <w:rPr>
          <w:rFonts w:hint="eastAsia" w:ascii="微软雅黑" w:hAnsi="微软雅黑"/>
          <w:b/>
          <w:bCs/>
          <w:color w:val="auto"/>
          <w:szCs w:val="21"/>
          <w:highlight w:val="none"/>
        </w:rPr>
        <w:t>本项目所涉投标文件格式请详见第六章，未给出的格式请自拟。商务、资信及其他及技术文件中不得出现报价，否则投标文件将被视为无效。</w:t>
      </w:r>
    </w:p>
    <w:p w14:paraId="4F65264F">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33ECEA72">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路径：浙江省“项目采购电子交易系统/不见面开评标”学习专题-操作指南-供应商</w:t>
      </w:r>
    </w:p>
    <w:p w14:paraId="6753CF80">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网址：</w:t>
      </w:r>
      <w:r>
        <w:rPr>
          <w:color w:val="auto"/>
          <w:highlight w:val="none"/>
        </w:rPr>
        <w:fldChar w:fldCharType="begin"/>
      </w:r>
      <w:r>
        <w:rPr>
          <w:color w:val="auto"/>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color w:val="auto"/>
          <w:highlight w:val="none"/>
        </w:rPr>
        <w:fldChar w:fldCharType="separate"/>
      </w:r>
      <w:r>
        <w:rPr>
          <w:rFonts w:hint="eastAsia" w:ascii="微软雅黑" w:hAnsi="微软雅黑"/>
          <w:b/>
          <w:bCs/>
          <w:color w:val="auto"/>
          <w:szCs w:val="21"/>
          <w:highlight w:val="none"/>
        </w:rPr>
        <w:t>https://edu.zcygov.cn/luban/e-biding</w:t>
      </w:r>
      <w:r>
        <w:rPr>
          <w:rFonts w:hint="eastAsia" w:ascii="微软雅黑" w:hAnsi="微软雅黑"/>
          <w:b/>
          <w:bCs/>
          <w:color w:val="auto"/>
          <w:szCs w:val="21"/>
          <w:highlight w:val="none"/>
        </w:rPr>
        <w:fldChar w:fldCharType="end"/>
      </w:r>
    </w:p>
    <w:p w14:paraId="25D23633">
      <w:pPr>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总体要求：</w:t>
      </w:r>
    </w:p>
    <w:p w14:paraId="18E35ECF">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4998ED76">
      <w:pPr>
        <w:ind w:firstLine="420"/>
        <w:rPr>
          <w:rFonts w:hint="eastAsia" w:ascii="微软雅黑" w:hAnsi="微软雅黑"/>
          <w:color w:val="auto"/>
          <w:szCs w:val="21"/>
          <w:highlight w:val="none"/>
        </w:rPr>
      </w:pPr>
      <w:r>
        <w:rPr>
          <w:rFonts w:hint="eastAsia" w:ascii="微软雅黑" w:hAnsi="微软雅黑"/>
          <w:color w:val="auto"/>
          <w:szCs w:val="21"/>
          <w:highlight w:val="none"/>
        </w:rPr>
        <w:t>2.投标文件及供应商与采购有关的来往通知，函件和文件均应使用中文。</w:t>
      </w:r>
    </w:p>
    <w:p w14:paraId="02B59C2E">
      <w:pPr>
        <w:ind w:firstLine="420"/>
        <w:rPr>
          <w:rFonts w:hint="eastAsia" w:ascii="微软雅黑" w:hAnsi="微软雅黑"/>
          <w:b/>
          <w:color w:val="auto"/>
          <w:szCs w:val="21"/>
          <w:highlight w:val="none"/>
          <w:u w:val="single"/>
        </w:rPr>
      </w:pPr>
      <w:r>
        <w:rPr>
          <w:rFonts w:hint="eastAsia" w:ascii="微软雅黑" w:hAnsi="微软雅黑"/>
          <w:color w:val="auto"/>
          <w:szCs w:val="21"/>
          <w:highlight w:val="none"/>
        </w:rPr>
        <w:t>3.供应商应按本文件中提供的文件格式、内容和要求制作投标文件</w:t>
      </w:r>
      <w:r>
        <w:rPr>
          <w:rFonts w:hint="eastAsia" w:ascii="微软雅黑" w:hAnsi="微软雅黑"/>
          <w:b/>
          <w:color w:val="auto"/>
          <w:szCs w:val="21"/>
          <w:highlight w:val="none"/>
        </w:rPr>
        <w:t>。</w:t>
      </w:r>
    </w:p>
    <w:p w14:paraId="38C318FE">
      <w:pPr>
        <w:pStyle w:val="5"/>
        <w:ind w:firstLine="420"/>
        <w:rPr>
          <w:rFonts w:hint="eastAsia" w:ascii="微软雅黑" w:hAnsi="微软雅黑"/>
          <w:b/>
          <w:bCs w:val="0"/>
          <w:color w:val="auto"/>
          <w:szCs w:val="21"/>
          <w:highlight w:val="none"/>
        </w:rPr>
      </w:pPr>
      <w:bookmarkStart w:id="59" w:name="_Toc164943198"/>
      <w:bookmarkStart w:id="60" w:name="_Toc169015122"/>
      <w:r>
        <w:rPr>
          <w:rFonts w:hint="eastAsia" w:ascii="微软雅黑" w:hAnsi="微软雅黑"/>
          <w:b/>
          <w:bCs w:val="0"/>
          <w:color w:val="auto"/>
          <w:szCs w:val="21"/>
          <w:highlight w:val="none"/>
        </w:rPr>
        <w:t>（一）投标文件的组成</w:t>
      </w:r>
      <w:bookmarkEnd w:id="52"/>
      <w:bookmarkEnd w:id="53"/>
      <w:bookmarkEnd w:id="59"/>
      <w:bookmarkEnd w:id="60"/>
    </w:p>
    <w:p w14:paraId="4CE28A29">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电子投标文件和备份投标文件均由</w:t>
      </w:r>
      <w:r>
        <w:rPr>
          <w:rFonts w:hint="eastAsia" w:ascii="微软雅黑" w:hAnsi="微软雅黑" w:cs="宋体"/>
          <w:color w:val="auto"/>
          <w:szCs w:val="21"/>
          <w:highlight w:val="none"/>
          <w:lang w:val="zh-CN"/>
        </w:rPr>
        <w:t>资格文件、商务技术文件、报价</w:t>
      </w:r>
      <w:r>
        <w:rPr>
          <w:rFonts w:hint="eastAsia" w:ascii="微软雅黑" w:hAnsi="微软雅黑"/>
          <w:color w:val="auto"/>
          <w:szCs w:val="21"/>
          <w:highlight w:val="none"/>
        </w:rPr>
        <w:t>文件三部分组成。投标文件中所须加盖公章部分均采用CA签章。</w:t>
      </w:r>
    </w:p>
    <w:bookmarkEnd w:id="54"/>
    <w:bookmarkEnd w:id="55"/>
    <w:bookmarkEnd w:id="56"/>
    <w:p w14:paraId="60AABE79">
      <w:pPr>
        <w:snapToGrid w:val="0"/>
        <w:ind w:firstLine="412" w:firstLineChars="196"/>
        <w:outlineLvl w:val="2"/>
        <w:rPr>
          <w:rFonts w:hint="eastAsia" w:ascii="微软雅黑" w:hAnsi="微软雅黑"/>
          <w:b/>
          <w:color w:val="auto"/>
          <w:szCs w:val="21"/>
          <w:highlight w:val="none"/>
        </w:rPr>
      </w:pPr>
      <w:bookmarkStart w:id="61" w:name="_Toc164943199"/>
      <w:bookmarkStart w:id="62" w:name="_Toc169015123"/>
      <w:r>
        <w:rPr>
          <w:rFonts w:hint="eastAsia" w:ascii="微软雅黑" w:hAnsi="微软雅黑"/>
          <w:b/>
          <w:color w:val="auto"/>
          <w:szCs w:val="21"/>
          <w:highlight w:val="none"/>
        </w:rPr>
        <w:t>（二）</w:t>
      </w:r>
      <w:r>
        <w:rPr>
          <w:rFonts w:hint="eastAsia" w:ascii="微软雅黑" w:hAnsi="微软雅黑" w:cs="宋体"/>
          <w:b/>
          <w:bCs/>
          <w:color w:val="auto"/>
          <w:szCs w:val="21"/>
          <w:highlight w:val="none"/>
        </w:rPr>
        <w:t>投标文件的编制</w:t>
      </w:r>
      <w:bookmarkEnd w:id="61"/>
      <w:bookmarkEnd w:id="62"/>
    </w:p>
    <w:p w14:paraId="765D54CC">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lang w:val="zh-CN"/>
        </w:rPr>
        <w:t>1</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27A0F1DA">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2</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6FC817D7">
      <w:pPr>
        <w:snapToGrid w:val="0"/>
        <w:ind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lang w:val="zh-CN"/>
        </w:rPr>
        <w:t>3</w:t>
      </w:r>
      <w:r>
        <w:rPr>
          <w:rFonts w:hint="eastAsia" w:ascii="微软雅黑" w:hAnsi="微软雅黑" w:cs="宋体"/>
          <w:color w:val="auto"/>
          <w:szCs w:val="21"/>
          <w:highlight w:val="none"/>
        </w:rPr>
        <w:t>.</w:t>
      </w:r>
      <w:r>
        <w:rPr>
          <w:rFonts w:hint="eastAsia" w:ascii="微软雅黑" w:hAnsi="微软雅黑" w:cs="宋体"/>
          <w:color w:val="auto"/>
          <w:szCs w:val="21"/>
          <w:highlight w:val="none"/>
          <w:lang w:val="zh-CN"/>
        </w:rPr>
        <w:t>使用“政采云电子交易客户端”需要提前申领CA数字证书，申领流程请自行前往“浙江政府采购网-下载专区-电子交易客户端-CA驱动和申领流程”进行查阅。</w:t>
      </w:r>
    </w:p>
    <w:p w14:paraId="6109D939">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4.投标文件按照招标文件要求进行签署、盖章。</w:t>
      </w:r>
    </w:p>
    <w:p w14:paraId="725AD482">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5.为确保网上操作合法、有效和安全，投标供应商应当在投标截止时间前完成在“政府采购云平台”的身份认证，确保在电子投标过程中能够对相关数据电文进行加密和使用电子签名。</w:t>
      </w:r>
    </w:p>
    <w:p w14:paraId="463C51FB">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6.招标文件对投标文件签署、盖章的要求适用于电子签名。</w:t>
      </w:r>
    </w:p>
    <w:p w14:paraId="40AA7BD1">
      <w:pPr>
        <w:snapToGrid w:val="0"/>
        <w:ind w:firstLine="412" w:firstLineChars="196"/>
        <w:outlineLvl w:val="2"/>
        <w:rPr>
          <w:rFonts w:hint="eastAsia" w:ascii="微软雅黑" w:hAnsi="微软雅黑"/>
          <w:b/>
          <w:color w:val="auto"/>
          <w:szCs w:val="21"/>
          <w:highlight w:val="none"/>
        </w:rPr>
      </w:pPr>
      <w:bookmarkStart w:id="63" w:name="_Toc164943200"/>
      <w:bookmarkStart w:id="64" w:name="_Toc406402990"/>
      <w:bookmarkStart w:id="65" w:name="_Toc406402946"/>
      <w:bookmarkStart w:id="66" w:name="_Toc532218227"/>
      <w:bookmarkStart w:id="67" w:name="_Toc169015124"/>
      <w:bookmarkStart w:id="68" w:name="_Toc402963084"/>
      <w:bookmarkStart w:id="69" w:name="_Toc385854100"/>
      <w:bookmarkStart w:id="70" w:name="_Toc385854146"/>
      <w:bookmarkStart w:id="71" w:name="_Toc402963117"/>
      <w:r>
        <w:rPr>
          <w:rFonts w:hint="eastAsia" w:ascii="微软雅黑" w:hAnsi="微软雅黑"/>
          <w:b/>
          <w:color w:val="auto"/>
          <w:szCs w:val="21"/>
          <w:highlight w:val="none"/>
        </w:rPr>
        <w:t>（三）投标文件的语言及计量</w:t>
      </w:r>
      <w:bookmarkEnd w:id="63"/>
      <w:bookmarkEnd w:id="64"/>
      <w:bookmarkEnd w:id="65"/>
      <w:bookmarkEnd w:id="66"/>
      <w:bookmarkEnd w:id="67"/>
      <w:bookmarkEnd w:id="68"/>
      <w:bookmarkEnd w:id="69"/>
      <w:bookmarkEnd w:id="70"/>
      <w:bookmarkEnd w:id="71"/>
    </w:p>
    <w:p w14:paraId="0F11042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0AAC7E48">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2.投标计量单位，招标文件已有明确规定的，使用招标文件规定的计量单位；招标文件没有规定的，应采用中华人民共和国法定计量单位（货币单位：人民币元），否则视同未响应。</w:t>
      </w:r>
    </w:p>
    <w:p w14:paraId="30801E2B">
      <w:pPr>
        <w:pStyle w:val="291"/>
        <w:spacing w:before="0"/>
        <w:ind w:firstLine="420"/>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（四）投标文件的提交、补充、修改、撤回</w:t>
      </w:r>
    </w:p>
    <w:p w14:paraId="6762C0C8">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4B11A3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2.电子交易平台收到投标文件，将妥善保存并即时向供应商发出确认回执通知。在投标截止时间前，除供应商补充、修改或者撤回投标文件外，任何单位和个人不得解密或提取投标文件。</w:t>
      </w:r>
    </w:p>
    <w:p w14:paraId="27271B00">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3.采购人、采购机构可以视情况延长投标文件提交的截止时间。在上述情况下，采购机构与投标供应商以前在投标截止期方面的全部权利、责任和义务，将适用于延长至新的投标截止期。</w:t>
      </w:r>
    </w:p>
    <w:p w14:paraId="4EF85E1C">
      <w:pPr>
        <w:snapToGrid w:val="0"/>
        <w:ind w:firstLine="412" w:firstLineChars="196"/>
        <w:outlineLvl w:val="2"/>
        <w:rPr>
          <w:rFonts w:hint="eastAsia" w:ascii="微软雅黑" w:hAnsi="微软雅黑"/>
          <w:b/>
          <w:color w:val="auto"/>
          <w:szCs w:val="21"/>
          <w:highlight w:val="none"/>
        </w:rPr>
      </w:pPr>
      <w:bookmarkStart w:id="72" w:name="_Toc385854147"/>
      <w:bookmarkStart w:id="73" w:name="_Toc385854101"/>
      <w:bookmarkStart w:id="74" w:name="_Toc532218228"/>
      <w:bookmarkStart w:id="75" w:name="_Toc406402991"/>
      <w:bookmarkStart w:id="76" w:name="_Toc169015125"/>
      <w:bookmarkStart w:id="77" w:name="_Toc406402947"/>
      <w:bookmarkStart w:id="78" w:name="_Toc402963118"/>
      <w:bookmarkStart w:id="79" w:name="_Toc402963085"/>
      <w:bookmarkStart w:id="80" w:name="_Toc164943201"/>
      <w:r>
        <w:rPr>
          <w:rFonts w:hint="eastAsia" w:ascii="微软雅黑" w:hAnsi="微软雅黑"/>
          <w:b/>
          <w:color w:val="auto"/>
          <w:szCs w:val="21"/>
          <w:highlight w:val="none"/>
        </w:rPr>
        <w:t>（五）投标报价</w:t>
      </w:r>
      <w:bookmarkEnd w:id="72"/>
      <w:bookmarkEnd w:id="73"/>
      <w:bookmarkEnd w:id="74"/>
      <w:bookmarkEnd w:id="75"/>
      <w:bookmarkEnd w:id="76"/>
      <w:bookmarkEnd w:id="77"/>
      <w:bookmarkEnd w:id="78"/>
      <w:bookmarkEnd w:id="79"/>
      <w:bookmarkEnd w:id="80"/>
    </w:p>
    <w:p w14:paraId="62E4483D">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1.投标报价应按招标文件中相关附表格式填写。</w:t>
      </w:r>
    </w:p>
    <w:p w14:paraId="52542E2B">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2.投标报价是履行合同的最终价格，有关本项目实施所涉及的一切费用均计入报价;</w:t>
      </w:r>
    </w:p>
    <w:p w14:paraId="5DEC35A0">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3.投标文件只允许有一个报价，有选择的报价将不予接受。</w:t>
      </w:r>
    </w:p>
    <w:p w14:paraId="48714FEB">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4.采购人将以合同形式有偿取得货物或服务,不接受投标人给予的赠品、回扣或者与采购无关的其他商品、服务。</w:t>
      </w:r>
    </w:p>
    <w:p w14:paraId="6A94F939">
      <w:pPr>
        <w:tabs>
          <w:tab w:val="left" w:pos="525"/>
        </w:tabs>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5.投标文件只允许有一个报价，有选择的或有条件的报价将不予接受。</w:t>
      </w:r>
    </w:p>
    <w:p w14:paraId="6124D968">
      <w:pPr>
        <w:snapToGrid w:val="0"/>
        <w:ind w:firstLine="412" w:firstLineChars="196"/>
        <w:outlineLvl w:val="2"/>
        <w:rPr>
          <w:rFonts w:hint="eastAsia" w:ascii="微软雅黑" w:hAnsi="微软雅黑"/>
          <w:b/>
          <w:color w:val="auto"/>
          <w:szCs w:val="21"/>
          <w:highlight w:val="none"/>
        </w:rPr>
      </w:pPr>
      <w:bookmarkStart w:id="81" w:name="_Toc169015126"/>
      <w:bookmarkStart w:id="82" w:name="_Toc164943202"/>
      <w:r>
        <w:rPr>
          <w:rFonts w:hint="eastAsia" w:ascii="微软雅黑" w:hAnsi="微软雅黑"/>
          <w:b/>
          <w:color w:val="auto"/>
          <w:szCs w:val="21"/>
          <w:highlight w:val="none"/>
        </w:rPr>
        <w:t>（六）投标文件的有效期</w:t>
      </w:r>
      <w:bookmarkEnd w:id="81"/>
      <w:bookmarkEnd w:id="82"/>
    </w:p>
    <w:p w14:paraId="400D5A0E">
      <w:pPr>
        <w:pStyle w:val="14"/>
        <w:numPr>
          <w:ilvl w:val="0"/>
          <w:numId w:val="0"/>
        </w:numPr>
        <w:tabs>
          <w:tab w:val="left" w:pos="360"/>
        </w:tabs>
        <w:snapToGrid w:val="0"/>
        <w:spacing w:after="120"/>
        <w:ind w:left="420" w:leftChars="200"/>
        <w:rPr>
          <w:rFonts w:hint="eastAsia" w:ascii="微软雅黑" w:hAnsi="微软雅黑"/>
          <w:color w:val="auto"/>
          <w:sz w:val="21"/>
          <w:szCs w:val="21"/>
          <w:highlight w:val="none"/>
        </w:rPr>
      </w:pPr>
      <w:r>
        <w:rPr>
          <w:rFonts w:hint="eastAsia" w:ascii="微软雅黑" w:hAnsi="微软雅黑"/>
          <w:color w:val="auto"/>
          <w:sz w:val="21"/>
          <w:szCs w:val="21"/>
          <w:highlight w:val="none"/>
        </w:rPr>
        <w:t>1.自投标截止日起</w:t>
      </w:r>
      <w:r>
        <w:rPr>
          <w:rFonts w:hint="eastAsia" w:ascii="微软雅黑" w:hAnsi="微软雅黑"/>
          <w:color w:val="auto"/>
          <w:sz w:val="21"/>
          <w:szCs w:val="21"/>
          <w:highlight w:val="none"/>
          <w:u w:val="single"/>
        </w:rPr>
        <w:t>90</w:t>
      </w:r>
      <w:r>
        <w:rPr>
          <w:rFonts w:hint="eastAsia" w:ascii="微软雅黑" w:hAnsi="微软雅黑"/>
          <w:color w:val="auto"/>
          <w:sz w:val="21"/>
          <w:szCs w:val="21"/>
          <w:highlight w:val="none"/>
        </w:rPr>
        <w:t>天投标文件应保持有效。有效期不足的投标文件将被拒绝。</w:t>
      </w:r>
    </w:p>
    <w:p w14:paraId="0121FBD1">
      <w:pPr>
        <w:pStyle w:val="14"/>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r>
        <w:rPr>
          <w:rFonts w:hint="eastAsia" w:ascii="微软雅黑" w:hAnsi="微软雅黑"/>
          <w:color w:val="auto"/>
          <w:sz w:val="21"/>
          <w:szCs w:val="21"/>
          <w:highlight w:val="none"/>
        </w:rPr>
        <w:t>2.在特殊情况下，采购人可与投标供应商协商延长投标书的有效期，这种要求和答复均以书面形式进行。</w:t>
      </w:r>
    </w:p>
    <w:p w14:paraId="5D643F36">
      <w:pPr>
        <w:pStyle w:val="14"/>
        <w:numPr>
          <w:ilvl w:val="0"/>
          <w:numId w:val="0"/>
        </w:numPr>
        <w:tabs>
          <w:tab w:val="left" w:pos="360"/>
        </w:tabs>
        <w:snapToGrid w:val="0"/>
        <w:spacing w:after="120"/>
        <w:ind w:firstLine="420" w:firstLineChars="200"/>
        <w:rPr>
          <w:rFonts w:hint="eastAsia" w:ascii="微软雅黑" w:hAnsi="微软雅黑"/>
          <w:color w:val="auto"/>
          <w:sz w:val="21"/>
          <w:szCs w:val="21"/>
          <w:highlight w:val="none"/>
        </w:rPr>
      </w:pPr>
      <w:bookmarkStart w:id="83" w:name="_Toc385854149"/>
      <w:bookmarkStart w:id="84" w:name="_Toc402963087"/>
      <w:bookmarkStart w:id="85" w:name="_Toc532218229"/>
      <w:bookmarkStart w:id="86" w:name="_Toc406402949"/>
      <w:bookmarkStart w:id="87" w:name="_Toc406402993"/>
      <w:bookmarkStart w:id="88" w:name="_Toc402963120"/>
      <w:bookmarkStart w:id="89" w:name="_Toc385854103"/>
      <w:r>
        <w:rPr>
          <w:rFonts w:hint="eastAsia" w:ascii="微软雅黑" w:hAnsi="微软雅黑"/>
          <w:color w:val="auto"/>
          <w:sz w:val="21"/>
          <w:szCs w:val="21"/>
          <w:highlight w:val="none"/>
        </w:rPr>
        <w:t>3.中标供应商的投标文件自开标之日起至合同履行完毕止均应保持有效。</w:t>
      </w:r>
      <w:bookmarkEnd w:id="83"/>
      <w:bookmarkEnd w:id="84"/>
      <w:bookmarkEnd w:id="85"/>
      <w:bookmarkEnd w:id="86"/>
      <w:bookmarkEnd w:id="87"/>
      <w:bookmarkEnd w:id="88"/>
      <w:bookmarkEnd w:id="89"/>
    </w:p>
    <w:p w14:paraId="6F240A3C">
      <w:pPr>
        <w:pStyle w:val="291"/>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sz w:val="21"/>
          <w:szCs w:val="21"/>
          <w:highlight w:val="none"/>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070ADA5F">
      <w:pPr>
        <w:snapToGrid w:val="0"/>
        <w:ind w:firstLine="420"/>
        <w:outlineLvl w:val="2"/>
        <w:rPr>
          <w:rFonts w:hint="eastAsia" w:ascii="微软雅黑" w:hAnsi="微软雅黑"/>
          <w:b/>
          <w:color w:val="auto"/>
          <w:szCs w:val="21"/>
          <w:highlight w:val="none"/>
        </w:rPr>
      </w:pPr>
      <w:bookmarkStart w:id="90" w:name="_Toc164943203"/>
      <w:bookmarkStart w:id="91" w:name="_Toc169015127"/>
      <w:r>
        <w:rPr>
          <w:rFonts w:hint="eastAsia" w:ascii="微软雅黑" w:hAnsi="微软雅黑"/>
          <w:b/>
          <w:color w:val="auto"/>
          <w:szCs w:val="21"/>
          <w:highlight w:val="none"/>
        </w:rPr>
        <w:t>（七）投标无效的情形</w:t>
      </w:r>
      <w:bookmarkEnd w:id="90"/>
      <w:bookmarkEnd w:id="91"/>
    </w:p>
    <w:p w14:paraId="0684B471">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14C165BA">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2.仅提交备份投标文件，没有在电子交易平台传输递交投标文件的。</w:t>
      </w:r>
    </w:p>
    <w:p w14:paraId="0991F976">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3.没有通过资格审查的，投标文件将被视为无效。</w:t>
      </w:r>
    </w:p>
    <w:p w14:paraId="173957CE">
      <w:pPr>
        <w:snapToGrid w:val="0"/>
        <w:spacing w:line="480" w:lineRule="exac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4.在符合性审查和商务评审时，如发现下列情形之一的，投标文件将被视为无效：</w:t>
      </w:r>
    </w:p>
    <w:p w14:paraId="5693147B">
      <w:pPr>
        <w:snapToGrid w:val="0"/>
        <w:spacing w:line="480" w:lineRule="exact"/>
        <w:ind w:firstLine="411" w:firstLineChars="196"/>
        <w:rPr>
          <w:rFonts w:hint="eastAsia" w:ascii="微软雅黑" w:hAnsi="微软雅黑"/>
          <w:color w:val="auto"/>
          <w:szCs w:val="21"/>
          <w:highlight w:val="none"/>
        </w:rPr>
      </w:pPr>
      <w:r>
        <w:rPr>
          <w:rFonts w:hint="eastAsia" w:ascii="微软雅黑" w:hAnsi="微软雅黑"/>
          <w:bCs/>
          <w:color w:val="auto"/>
          <w:szCs w:val="21"/>
          <w:highlight w:val="none"/>
        </w:rPr>
        <w:t>4.1</w:t>
      </w:r>
      <w:r>
        <w:rPr>
          <w:rFonts w:hint="eastAsia" w:ascii="微软雅黑" w:hAnsi="微软雅黑"/>
          <w:color w:val="auto"/>
          <w:szCs w:val="21"/>
          <w:highlight w:val="none"/>
        </w:rPr>
        <w:t>电子投标文件未按规定要求提供电子签章的。</w:t>
      </w:r>
    </w:p>
    <w:p w14:paraId="1AAA022B">
      <w:pPr>
        <w:snapToGrid w:val="0"/>
        <w:spacing w:line="480" w:lineRule="exact"/>
        <w:ind w:firstLine="420"/>
        <w:rPr>
          <w:rFonts w:hint="eastAsia" w:ascii="微软雅黑" w:hAnsi="微软雅黑"/>
          <w:bCs/>
          <w:color w:val="auto"/>
          <w:szCs w:val="21"/>
          <w:highlight w:val="none"/>
        </w:rPr>
      </w:pPr>
      <w:r>
        <w:rPr>
          <w:rFonts w:hint="eastAsia" w:ascii="微软雅黑" w:hAnsi="微软雅黑"/>
          <w:color w:val="auto"/>
          <w:szCs w:val="21"/>
          <w:highlight w:val="none"/>
        </w:rPr>
        <w:t>4.2</w:t>
      </w:r>
      <w:r>
        <w:rPr>
          <w:rFonts w:hint="eastAsia" w:ascii="微软雅黑" w:hAnsi="微软雅黑"/>
          <w:bCs/>
          <w:color w:val="auto"/>
          <w:szCs w:val="21"/>
          <w:highlight w:val="none"/>
        </w:rPr>
        <w:t>在资信商务技术文件中出现报价的。</w:t>
      </w:r>
    </w:p>
    <w:p w14:paraId="677C6DFF">
      <w:pPr>
        <w:snapToGrid w:val="0"/>
        <w:spacing w:line="48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4.3未按要求对资格文件进行承诺，或虚假承诺的。</w:t>
      </w:r>
    </w:p>
    <w:p w14:paraId="2626C016">
      <w:pPr>
        <w:snapToGrid w:val="0"/>
        <w:spacing w:line="480" w:lineRule="exact"/>
        <w:ind w:firstLine="411" w:firstLineChars="196"/>
        <w:rPr>
          <w:rFonts w:hint="eastAsia" w:ascii="微软雅黑" w:hAnsi="微软雅黑"/>
          <w:bCs/>
          <w:color w:val="auto"/>
          <w:kern w:val="0"/>
          <w:szCs w:val="21"/>
          <w:highlight w:val="none"/>
        </w:rPr>
      </w:pPr>
      <w:r>
        <w:rPr>
          <w:rFonts w:hint="eastAsia" w:ascii="微软雅黑" w:hAnsi="微软雅黑"/>
          <w:color w:val="auto"/>
          <w:szCs w:val="21"/>
          <w:highlight w:val="none"/>
        </w:rPr>
        <w:t>4.4未</w:t>
      </w:r>
      <w:r>
        <w:rPr>
          <w:rFonts w:hint="eastAsia" w:ascii="微软雅黑" w:hAnsi="微软雅黑"/>
          <w:bCs/>
          <w:color w:val="auto"/>
          <w:kern w:val="0"/>
          <w:szCs w:val="21"/>
          <w:highlight w:val="none"/>
        </w:rPr>
        <w:t>提供法定代表人授权委托书、投标函或者填写项目不齐全的。</w:t>
      </w:r>
    </w:p>
    <w:p w14:paraId="05C07CD3">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4.5投标文件格式不规范、项目不齐全或者内容虚假的。</w:t>
      </w:r>
    </w:p>
    <w:p w14:paraId="5BD7CB1F">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4.6投标文件的实质性内容未使用中文表述、意思表述不明确、前后矛盾或者使用计量单位不符合招标文件要求的（经评标委员会认定并允许其当场更正的笔误除外）。</w:t>
      </w:r>
    </w:p>
    <w:p w14:paraId="30886EFC">
      <w:pPr>
        <w:pStyle w:val="21"/>
        <w:snapToGrid w:val="0"/>
        <w:spacing w:after="120" w:line="480" w:lineRule="exact"/>
        <w:ind w:firstLine="395" w:firstLineChars="196"/>
        <w:rPr>
          <w:rFonts w:hint="eastAsia" w:ascii="微软雅黑" w:hAnsi="微软雅黑"/>
          <w:snapToGrid w:val="0"/>
          <w:color w:val="auto"/>
          <w:sz w:val="21"/>
          <w:szCs w:val="21"/>
          <w:highlight w:val="none"/>
        </w:rPr>
      </w:pPr>
      <w:r>
        <w:rPr>
          <w:rFonts w:hint="eastAsia" w:ascii="微软雅黑" w:hAnsi="微软雅黑"/>
          <w:color w:val="auto"/>
          <w:sz w:val="21"/>
          <w:szCs w:val="21"/>
          <w:highlight w:val="none"/>
        </w:rPr>
        <w:t>4.7</w:t>
      </w:r>
      <w:r>
        <w:rPr>
          <w:rFonts w:hint="eastAsia" w:ascii="微软雅黑" w:hAnsi="微软雅黑"/>
          <w:snapToGrid w:val="0"/>
          <w:color w:val="auto"/>
          <w:sz w:val="21"/>
          <w:szCs w:val="21"/>
          <w:highlight w:val="none"/>
        </w:rPr>
        <w:t>投标有效期、服务承诺等商务条款不能满足招标文件要求的。</w:t>
      </w:r>
    </w:p>
    <w:p w14:paraId="5CA95EDA">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4.8未实质性响应招标文件要求或者投标文件有采购人不能接受的附加条件的。</w:t>
      </w:r>
    </w:p>
    <w:p w14:paraId="02E2A870">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4.9不符合本招标文件中的实质性要求条款。</w:t>
      </w:r>
    </w:p>
    <w:p w14:paraId="6525231F">
      <w:pPr>
        <w:pStyle w:val="21"/>
        <w:snapToGrid w:val="0"/>
        <w:spacing w:after="120" w:line="360" w:lineRule="auto"/>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5.在技术评审时，如发现下列情形之一的，投标文件将被视为无效：</w:t>
      </w:r>
    </w:p>
    <w:p w14:paraId="06D0E249">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5.1未提供或未如实提供投标货物的技术参数，或者投标文件标明的响应或偏离与事实不符或虚假投标的。</w:t>
      </w:r>
    </w:p>
    <w:p w14:paraId="04B1F58F">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5.2</w:t>
      </w:r>
      <w:r>
        <w:rPr>
          <w:rFonts w:hint="eastAsia" w:ascii="微软雅黑" w:hAnsi="微软雅黑"/>
          <w:snapToGrid w:val="0"/>
          <w:color w:val="auto"/>
          <w:sz w:val="21"/>
          <w:szCs w:val="21"/>
          <w:highlight w:val="none"/>
        </w:rPr>
        <w:t>明显不符合招标文件要求的规格型号、质量标准，或者与</w:t>
      </w:r>
      <w:r>
        <w:rPr>
          <w:rFonts w:hint="eastAsia" w:ascii="微软雅黑" w:hAnsi="微软雅黑"/>
          <w:color w:val="auto"/>
          <w:sz w:val="21"/>
          <w:szCs w:val="21"/>
          <w:highlight w:val="none"/>
        </w:rPr>
        <w:t>招标文件中标“▲”的技术指标、主要功能项目发生实质性偏离的。</w:t>
      </w:r>
    </w:p>
    <w:p w14:paraId="5391D285">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snapToGrid w:val="0"/>
          <w:color w:val="auto"/>
          <w:sz w:val="21"/>
          <w:szCs w:val="21"/>
          <w:highlight w:val="none"/>
        </w:rPr>
        <w:t>5.3</w:t>
      </w:r>
      <w:r>
        <w:rPr>
          <w:rFonts w:hint="eastAsia" w:ascii="微软雅黑" w:hAnsi="微软雅黑"/>
          <w:color w:val="auto"/>
          <w:sz w:val="21"/>
          <w:szCs w:val="21"/>
          <w:highlight w:val="none"/>
        </w:rPr>
        <w:t>投标技术方案不明确，存在一个或一个以上备选（替代）投标方案的。</w:t>
      </w:r>
    </w:p>
    <w:p w14:paraId="411BE36E">
      <w:pPr>
        <w:pStyle w:val="21"/>
        <w:snapToGrid w:val="0"/>
        <w:spacing w:after="120" w:line="480" w:lineRule="exact"/>
        <w:ind w:firstLine="396" w:firstLineChars="196"/>
        <w:rPr>
          <w:rFonts w:hint="eastAsia" w:ascii="微软雅黑" w:hAnsi="微软雅黑"/>
          <w:b/>
          <w:bCs/>
          <w:color w:val="auto"/>
          <w:sz w:val="21"/>
          <w:szCs w:val="21"/>
          <w:highlight w:val="none"/>
        </w:rPr>
      </w:pPr>
      <w:r>
        <w:rPr>
          <w:rFonts w:hint="eastAsia" w:ascii="微软雅黑" w:hAnsi="微软雅黑"/>
          <w:b/>
          <w:bCs/>
          <w:color w:val="auto"/>
          <w:sz w:val="21"/>
          <w:szCs w:val="21"/>
          <w:highlight w:val="none"/>
        </w:rPr>
        <w:t>6.在报价评审时，如发现下列情形之一的，投标文件将被视为无效：</w:t>
      </w:r>
    </w:p>
    <w:p w14:paraId="2451A6D9">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6.1未按要求提供《开标一览表》。</w:t>
      </w:r>
    </w:p>
    <w:p w14:paraId="7D32CB35">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6.2未采用人民币报价或者未按照招标文件标明的币种报价的。</w:t>
      </w:r>
    </w:p>
    <w:p w14:paraId="2DA6CE29">
      <w:pPr>
        <w:pStyle w:val="21"/>
        <w:snapToGrid w:val="0"/>
        <w:spacing w:after="120"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6.3报价超出最高限价的。</w:t>
      </w:r>
    </w:p>
    <w:p w14:paraId="6C56BE79">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 xml:space="preserve">6.4投标报价具有选择性，或者开标价格与投标文件承诺的优惠（折扣）价格不一致的。   </w:t>
      </w:r>
    </w:p>
    <w:p w14:paraId="0D5668B4">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6DE5852F">
      <w:pPr>
        <w:ind w:firstLine="404"/>
        <w:rPr>
          <w:rFonts w:hint="eastAsia" w:ascii="微软雅黑" w:hAnsi="微软雅黑"/>
          <w:color w:val="auto"/>
          <w:spacing w:val="-4"/>
          <w:kern w:val="0"/>
          <w:szCs w:val="21"/>
          <w:highlight w:val="none"/>
        </w:rPr>
      </w:pPr>
      <w:r>
        <w:rPr>
          <w:rFonts w:hint="eastAsia" w:ascii="微软雅黑" w:hAnsi="微软雅黑"/>
          <w:color w:val="auto"/>
          <w:spacing w:val="-4"/>
          <w:kern w:val="0"/>
          <w:szCs w:val="21"/>
          <w:highlight w:val="none"/>
        </w:rPr>
        <w:t xml:space="preserve">6.6报价一经涂改，应在涂改处加盖单位公章或者由法定代表人或被授权人签字（或盖章），否则其投标作无效标处理；   </w:t>
      </w:r>
    </w:p>
    <w:p w14:paraId="3C367D1F">
      <w:pPr>
        <w:numPr>
          <w:ilvl w:val="0"/>
          <w:numId w:val="0"/>
        </w:numPr>
        <w:ind w:left="0" w:leftChars="0" w:firstLine="420" w:firstLineChars="200"/>
        <w:rPr>
          <w:rFonts w:ascii="微软雅黑" w:hAnsi="微软雅黑" w:cs="Arial"/>
          <w:color w:val="auto"/>
          <w:kern w:val="0"/>
          <w:szCs w:val="21"/>
          <w:highlight w:val="none"/>
        </w:rPr>
      </w:pPr>
      <w:r>
        <w:rPr>
          <w:rFonts w:hint="eastAsia" w:ascii="微软雅黑" w:hAnsi="微软雅黑" w:cs="宋体"/>
          <w:b/>
          <w:bCs/>
          <w:color w:val="auto"/>
          <w:szCs w:val="21"/>
          <w:highlight w:val="none"/>
          <w:lang w:val="en-US" w:eastAsia="zh-CN"/>
        </w:rPr>
        <w:t>7.</w:t>
      </w:r>
      <w:r>
        <w:rPr>
          <w:rFonts w:hint="eastAsia" w:ascii="微软雅黑" w:hAnsi="微软雅黑" w:cs="宋体"/>
          <w:b/>
          <w:bCs/>
          <w:color w:val="auto"/>
          <w:szCs w:val="21"/>
          <w:highlight w:val="none"/>
        </w:rPr>
        <w:t>投标供应商有恶意串通、妨碍其他投标供应商的竞争行为、损害采购人或者其他投标供应商的合法权益情形的，投标文</w:t>
      </w:r>
      <w:r>
        <w:rPr>
          <w:rFonts w:hint="eastAsia" w:ascii="微软雅黑" w:hAnsi="微软雅黑"/>
          <w:b/>
          <w:bCs/>
          <w:color w:val="auto"/>
          <w:szCs w:val="21"/>
          <w:highlight w:val="none"/>
        </w:rPr>
        <w:t>件将被视为无效</w:t>
      </w:r>
      <w:r>
        <w:rPr>
          <w:rFonts w:ascii="微软雅黑" w:hAnsi="微软雅黑" w:cs="Arial"/>
          <w:color w:val="auto"/>
          <w:kern w:val="0"/>
          <w:szCs w:val="21"/>
          <w:highlight w:val="none"/>
        </w:rPr>
        <w:t>；</w:t>
      </w:r>
    </w:p>
    <w:p w14:paraId="1A4D765F">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除政府采购法律法规规章规定的属于恶意串通、视为串通投标情形外，在不影响公平竞争的前提下，采购人在采购文件中可以明确规定参与同一个采购包（标段）的供应商存在下列情形之一的，其投标（响应）文件无效：(1）不同供应商的电子投标（响应）文件上传计算机的网卡 MAC 地址、 CPU 序列号和硬盘序列号等硬件信息相同的；(2）上传的电子投标（响应）文件若出现使用本项目其他投标（响应）供应商的数字证书加息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14:paraId="549CF582">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在资格审查过程中，如发现本系统供应商有采购文件约定的上述情形，采购人、采购代理机构应当根据采购文件认定其投标（响应）无效，并书面报告本级财政部门；在评审过程中，发现供应商有采购文件约定的上述情形的，评审小组应当根据采购文件认定其投标（响应）无效，评审报告应详细记录相关情况，评审结束后由采购代理机构或采购人书面报告本级财政部门</w:t>
      </w:r>
      <w:r>
        <w:rPr>
          <w:rFonts w:hint="eastAsia" w:ascii="微软雅黑" w:hAnsi="微软雅黑"/>
          <w:color w:val="auto"/>
          <w:sz w:val="21"/>
          <w:szCs w:val="21"/>
          <w:highlight w:val="none"/>
          <w:lang w:eastAsia="zh-CN"/>
        </w:rPr>
        <w:t>。</w:t>
      </w:r>
      <w:r>
        <w:rPr>
          <w:rFonts w:hint="eastAsia" w:ascii="微软雅黑" w:hAnsi="微软雅黑"/>
          <w:color w:val="auto"/>
          <w:sz w:val="21"/>
          <w:szCs w:val="21"/>
          <w:highlight w:val="none"/>
        </w:rPr>
        <w:t xml:space="preserve"> </w:t>
      </w:r>
    </w:p>
    <w:p w14:paraId="571EE423">
      <w:pPr>
        <w:pStyle w:val="21"/>
        <w:snapToGrid w:val="0"/>
        <w:spacing w:after="120" w:line="480" w:lineRule="exact"/>
        <w:ind w:firstLine="396" w:firstLineChars="196"/>
        <w:rPr>
          <w:rFonts w:hint="eastAsia" w:ascii="微软雅黑" w:hAnsi="微软雅黑"/>
          <w:color w:val="auto"/>
          <w:sz w:val="21"/>
          <w:szCs w:val="21"/>
          <w:highlight w:val="none"/>
        </w:rPr>
      </w:pPr>
      <w:r>
        <w:rPr>
          <w:rFonts w:hint="eastAsia" w:ascii="微软雅黑" w:hAnsi="微软雅黑"/>
          <w:b/>
          <w:bCs/>
          <w:color w:val="auto"/>
          <w:sz w:val="21"/>
          <w:szCs w:val="21"/>
          <w:highlight w:val="none"/>
        </w:rPr>
        <w:t>8.法律、法规、规章（适用本市的）及省级以上规范性文件（适用本市的）规定的其他无效情形。</w:t>
      </w:r>
      <w:r>
        <w:rPr>
          <w:rFonts w:hint="eastAsia" w:ascii="微软雅黑" w:hAnsi="微软雅黑"/>
          <w:color w:val="auto"/>
          <w:sz w:val="21"/>
          <w:szCs w:val="21"/>
          <w:highlight w:val="none"/>
        </w:rPr>
        <w:t xml:space="preserve">                                                                                    </w:t>
      </w:r>
    </w:p>
    <w:p w14:paraId="2BC6E669">
      <w:pPr>
        <w:pStyle w:val="21"/>
        <w:snapToGrid w:val="0"/>
        <w:spacing w:after="120" w:line="480" w:lineRule="exact"/>
        <w:ind w:firstLine="404"/>
        <w:rPr>
          <w:rFonts w:hint="eastAsia" w:ascii="微软雅黑" w:hAnsi="微软雅黑"/>
          <w:b/>
          <w:color w:val="auto"/>
          <w:sz w:val="21"/>
          <w:szCs w:val="21"/>
          <w:highlight w:val="none"/>
        </w:rPr>
      </w:pPr>
      <w:r>
        <w:rPr>
          <w:rFonts w:hint="eastAsia" w:ascii="微软雅黑" w:hAnsi="微软雅黑"/>
          <w:b/>
          <w:color w:val="auto"/>
          <w:sz w:val="21"/>
          <w:szCs w:val="21"/>
          <w:highlight w:val="none"/>
        </w:rPr>
        <w:t>9.被拒绝的投标文件为无效。</w:t>
      </w:r>
    </w:p>
    <w:p w14:paraId="530D9B96">
      <w:pPr>
        <w:pStyle w:val="21"/>
        <w:snapToGrid w:val="0"/>
        <w:spacing w:after="120" w:line="480" w:lineRule="exact"/>
        <w:ind w:firstLine="202" w:firstLineChars="100"/>
        <w:rPr>
          <w:rFonts w:hint="eastAsia" w:ascii="微软雅黑" w:hAnsi="微软雅黑"/>
          <w:b/>
          <w:color w:val="auto"/>
          <w:sz w:val="21"/>
          <w:szCs w:val="21"/>
          <w:highlight w:val="none"/>
        </w:rPr>
      </w:pPr>
      <w:r>
        <w:rPr>
          <w:rFonts w:hint="eastAsia" w:ascii="微软雅黑" w:hAnsi="微软雅黑"/>
          <w:b/>
          <w:color w:val="auto"/>
          <w:sz w:val="21"/>
          <w:szCs w:val="21"/>
          <w:highlight w:val="none"/>
        </w:rPr>
        <w:t>（八）废标的情形</w:t>
      </w:r>
    </w:p>
    <w:p w14:paraId="54F74FE0">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根据《中华人民共和国政府采购法》第三十六条之规定，在采购中，出现下列情形之一的，应予废标：</w:t>
      </w:r>
    </w:p>
    <w:p w14:paraId="28809FFB">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1.符合专业条件的供应商或者对招标文件作实质响应的供应商不足3家的；</w:t>
      </w:r>
    </w:p>
    <w:p w14:paraId="4E4DD971">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2.出现影响采购公正的违法、违规行为的；</w:t>
      </w:r>
    </w:p>
    <w:p w14:paraId="0D0B0A4F">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3.投标供应商的报价均超过了采购预算，采购人不能支付的；</w:t>
      </w:r>
    </w:p>
    <w:p w14:paraId="20B67167">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4.因重大变故，采购任务取消的。</w:t>
      </w:r>
    </w:p>
    <w:p w14:paraId="1A216ACA">
      <w:pPr>
        <w:pStyle w:val="21"/>
        <w:snapToGrid w:val="0"/>
        <w:spacing w:after="120" w:line="480" w:lineRule="exact"/>
        <w:ind w:firstLine="404"/>
        <w:rPr>
          <w:rFonts w:hint="eastAsia" w:ascii="微软雅黑" w:hAnsi="微软雅黑"/>
          <w:color w:val="auto"/>
          <w:sz w:val="21"/>
          <w:szCs w:val="21"/>
          <w:highlight w:val="none"/>
        </w:rPr>
      </w:pPr>
      <w:r>
        <w:rPr>
          <w:rFonts w:hint="eastAsia" w:ascii="微软雅黑" w:hAnsi="微软雅黑"/>
          <w:color w:val="auto"/>
          <w:sz w:val="21"/>
          <w:szCs w:val="21"/>
          <w:highlight w:val="none"/>
        </w:rPr>
        <w:t>废标后，采购机构应当将废标理由通知所有投标供应商。</w:t>
      </w:r>
    </w:p>
    <w:p w14:paraId="3EC70C77">
      <w:pPr>
        <w:pStyle w:val="3"/>
        <w:spacing w:line="500" w:lineRule="exact"/>
        <w:ind w:firstLine="420"/>
        <w:rPr>
          <w:rFonts w:hint="eastAsia" w:ascii="微软雅黑" w:hAnsi="微软雅黑"/>
          <w:color w:val="auto"/>
          <w:szCs w:val="21"/>
          <w:highlight w:val="none"/>
        </w:rPr>
      </w:pPr>
      <w:bookmarkStart w:id="92" w:name="_Toc22083"/>
      <w:r>
        <w:rPr>
          <w:rFonts w:hint="eastAsia" w:ascii="微软雅黑" w:hAnsi="微软雅黑"/>
          <w:color w:val="auto"/>
          <w:szCs w:val="21"/>
          <w:highlight w:val="none"/>
        </w:rPr>
        <w:t>四、开标</w:t>
      </w:r>
      <w:bookmarkEnd w:id="57"/>
      <w:bookmarkEnd w:id="92"/>
    </w:p>
    <w:p w14:paraId="01E64EE5">
      <w:pPr>
        <w:pStyle w:val="21"/>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1.本项目实行电子开评标，供应商无需到开标现场，但须准时在线参加，直至评审结束。投标供应商不足3家的，不得开标。</w:t>
      </w:r>
    </w:p>
    <w:p w14:paraId="658EEC94">
      <w:pPr>
        <w:pStyle w:val="21"/>
        <w:snapToGrid w:val="0"/>
        <w:spacing w:line="480" w:lineRule="exact"/>
        <w:ind w:firstLine="395" w:firstLineChars="196"/>
        <w:rPr>
          <w:rFonts w:hint="eastAsia" w:ascii="微软雅黑" w:hAnsi="微软雅黑"/>
          <w:color w:val="auto"/>
          <w:sz w:val="21"/>
          <w:szCs w:val="21"/>
          <w:highlight w:val="none"/>
        </w:rPr>
      </w:pPr>
      <w:r>
        <w:rPr>
          <w:rFonts w:hint="eastAsia" w:ascii="微软雅黑" w:hAnsi="微软雅黑"/>
          <w:color w:val="auto"/>
          <w:sz w:val="21"/>
          <w:szCs w:val="21"/>
          <w:highlight w:val="none"/>
        </w:rPr>
        <w:t>2.投标截止时间后的半小时内，由各供应商自行对电子投标文件进行解密请各供应商务必在规定时间内完成电子投标文件的解密工作；开启报价环节，供应商须在15分钟内在系统里CA签字确认。</w:t>
      </w:r>
    </w:p>
    <w:p w14:paraId="20BBD6EB">
      <w:pPr>
        <w:pStyle w:val="21"/>
        <w:snapToGrid w:val="0"/>
        <w:spacing w:line="480" w:lineRule="exact"/>
        <w:ind w:firstLine="395" w:firstLineChars="196"/>
        <w:rPr>
          <w:rFonts w:hint="eastAsia" w:ascii="微软雅黑" w:hAnsi="微软雅黑" w:cs="宋体"/>
          <w:color w:val="auto"/>
          <w:kern w:val="0"/>
          <w:sz w:val="21"/>
          <w:szCs w:val="21"/>
          <w:highlight w:val="none"/>
          <w:shd w:val="pct10" w:color="auto" w:fill="FFFFFF"/>
        </w:rPr>
      </w:pPr>
      <w:r>
        <w:rPr>
          <w:rFonts w:hint="eastAsia" w:ascii="微软雅黑" w:hAnsi="微软雅黑"/>
          <w:color w:val="auto"/>
          <w:sz w:val="21"/>
          <w:szCs w:val="21"/>
          <w:highlight w:val="none"/>
        </w:rPr>
        <w:t>3.投标文件未按时解密，投标供应商提供了备份投标文件的，以备份投标文件作为依据，否则视为投标文件撤回。投标文件已按时解密的，备份投标文件自动失效。</w:t>
      </w:r>
    </w:p>
    <w:p w14:paraId="0B47DAF5">
      <w:pPr>
        <w:pStyle w:val="3"/>
        <w:spacing w:line="500" w:lineRule="exact"/>
        <w:ind w:firstLine="420"/>
        <w:rPr>
          <w:rFonts w:hint="eastAsia" w:ascii="微软雅黑" w:hAnsi="微软雅黑"/>
          <w:color w:val="auto"/>
          <w:szCs w:val="21"/>
          <w:highlight w:val="none"/>
        </w:rPr>
      </w:pPr>
      <w:bookmarkStart w:id="93" w:name="_Toc18014"/>
      <w:bookmarkStart w:id="94" w:name="_Toc33535370"/>
      <w:r>
        <w:rPr>
          <w:rFonts w:hint="eastAsia" w:ascii="微软雅黑" w:hAnsi="微软雅黑"/>
          <w:color w:val="auto"/>
          <w:szCs w:val="21"/>
          <w:highlight w:val="none"/>
        </w:rPr>
        <w:t>五、评标</w:t>
      </w:r>
      <w:bookmarkEnd w:id="93"/>
      <w:bookmarkEnd w:id="94"/>
      <w:bookmarkStart w:id="281" w:name="_GoBack"/>
      <w:bookmarkEnd w:id="281"/>
    </w:p>
    <w:p w14:paraId="13D93993">
      <w:pPr>
        <w:pStyle w:val="29"/>
        <w:snapToGrid w:val="0"/>
        <w:spacing w:before="120" w:after="120"/>
        <w:ind w:left="689" w:leftChars="228" w:hanging="210" w:hangingChars="100"/>
        <w:rPr>
          <w:rFonts w:hint="eastAsia" w:ascii="微软雅黑" w:hAnsi="微软雅黑"/>
          <w:b/>
          <w:color w:val="auto"/>
          <w:szCs w:val="21"/>
          <w:highlight w:val="none"/>
        </w:rPr>
      </w:pPr>
      <w:bookmarkStart w:id="95" w:name="_Toc33535371"/>
      <w:r>
        <w:rPr>
          <w:rFonts w:hint="eastAsia" w:ascii="微软雅黑" w:hAnsi="微软雅黑"/>
          <w:b/>
          <w:color w:val="auto"/>
          <w:szCs w:val="21"/>
          <w:highlight w:val="none"/>
        </w:rPr>
        <w:t>（一）组建评标委员会</w:t>
      </w:r>
    </w:p>
    <w:p w14:paraId="1926BAC1">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评标委员会由采购人代表和评审专家组成，政府采购评审专家</w:t>
      </w:r>
      <w:r>
        <w:rPr>
          <w:rFonts w:hint="eastAsia" w:ascii="微软雅黑" w:hAnsi="微软雅黑"/>
          <w:color w:val="auto"/>
          <w:szCs w:val="21"/>
          <w:highlight w:val="none"/>
          <w:u w:val="single"/>
          <w:lang w:val="en-US" w:eastAsia="zh-CN"/>
        </w:rPr>
        <w:t xml:space="preserve"> 4 </w:t>
      </w:r>
      <w:r>
        <w:rPr>
          <w:rFonts w:hint="eastAsia" w:ascii="微软雅黑" w:hAnsi="微软雅黑"/>
          <w:color w:val="auto"/>
          <w:szCs w:val="21"/>
          <w:highlight w:val="none"/>
        </w:rPr>
        <w:t>人和采购人代表</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u w:val="single"/>
          <w:lang w:val="en-US" w:eastAsia="zh-CN"/>
        </w:rPr>
        <w:t xml:space="preserve">1 </w:t>
      </w:r>
      <w:r>
        <w:rPr>
          <w:rFonts w:hint="eastAsia" w:ascii="微软雅黑" w:hAnsi="微软雅黑"/>
          <w:color w:val="auto"/>
          <w:szCs w:val="21"/>
          <w:highlight w:val="none"/>
        </w:rPr>
        <w:t>人，共</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u w:val="single"/>
          <w:lang w:val="en-US" w:eastAsia="zh-CN"/>
        </w:rPr>
        <w:t>5</w:t>
      </w:r>
      <w:r>
        <w:rPr>
          <w:rFonts w:hint="eastAsia" w:ascii="微软雅黑" w:hAnsi="微软雅黑"/>
          <w:color w:val="auto"/>
          <w:szCs w:val="21"/>
          <w:highlight w:val="none"/>
          <w:u w:val="single"/>
        </w:rPr>
        <w:t xml:space="preserve"> </w:t>
      </w:r>
      <w:r>
        <w:rPr>
          <w:rFonts w:hint="eastAsia" w:ascii="微软雅黑" w:hAnsi="微软雅黑"/>
          <w:color w:val="auto"/>
          <w:szCs w:val="21"/>
          <w:highlight w:val="none"/>
        </w:rPr>
        <w:t>人组成。</w:t>
      </w:r>
    </w:p>
    <w:p w14:paraId="593F8832">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评标委员会负责具体评标事务，并独立履行下列职责：</w:t>
      </w:r>
    </w:p>
    <w:p w14:paraId="784E91FF">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1.审查、评价投标文件是否符合招标文件的商务、技术等实质性要求。</w:t>
      </w:r>
    </w:p>
    <w:p w14:paraId="0EC626A4">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2.要求投标供应商对投标文件有关事项做出澄清或者说明。</w:t>
      </w:r>
    </w:p>
    <w:p w14:paraId="39C1C944">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3.对投标文件进行比较和评价。</w:t>
      </w:r>
    </w:p>
    <w:p w14:paraId="762CA52F">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4.确定中标供应商名单，以及根据采购人委托直接确定中标供应商。</w:t>
      </w:r>
    </w:p>
    <w:p w14:paraId="3AAB00C4">
      <w:pPr>
        <w:widowControl/>
        <w:shd w:val="clear" w:color="auto" w:fill="FFFFFF"/>
        <w:ind w:firstLine="420"/>
        <w:rPr>
          <w:rFonts w:hint="eastAsia" w:ascii="微软雅黑" w:hAnsi="微软雅黑"/>
          <w:color w:val="auto"/>
          <w:kern w:val="0"/>
          <w:szCs w:val="21"/>
          <w:highlight w:val="none"/>
        </w:rPr>
      </w:pPr>
      <w:r>
        <w:rPr>
          <w:rFonts w:hint="eastAsia" w:ascii="微软雅黑" w:hAnsi="微软雅黑"/>
          <w:color w:val="auto"/>
          <w:kern w:val="0"/>
          <w:szCs w:val="21"/>
          <w:highlight w:val="none"/>
        </w:rPr>
        <w:t>5.向采购人、代理机构或者有关部门报告评标中发现的违法行为。</w:t>
      </w:r>
    </w:p>
    <w:p w14:paraId="6FCEF232">
      <w:pPr>
        <w:widowControl/>
        <w:shd w:val="clear" w:color="auto" w:fill="FFFFFF"/>
        <w:ind w:firstLine="420"/>
        <w:rPr>
          <w:rFonts w:hint="eastAsia" w:ascii="微软雅黑" w:hAnsi="微软雅黑"/>
          <w:b/>
          <w:color w:val="auto"/>
          <w:kern w:val="0"/>
          <w:szCs w:val="21"/>
          <w:highlight w:val="none"/>
        </w:rPr>
      </w:pPr>
      <w:r>
        <w:rPr>
          <w:rFonts w:hint="eastAsia" w:ascii="微软雅黑" w:hAnsi="微软雅黑"/>
          <w:b/>
          <w:color w:val="auto"/>
          <w:kern w:val="0"/>
          <w:szCs w:val="21"/>
          <w:highlight w:val="none"/>
        </w:rPr>
        <w:t>除除采购人代表及所派纪检监察人员、评标现场组织人员外，采购人的其他工作人员以及与评标工作无关的人员不得进入评标现场。</w:t>
      </w:r>
    </w:p>
    <w:p w14:paraId="4E3F27D8">
      <w:pPr>
        <w:pStyle w:val="29"/>
        <w:snapToGrid w:val="0"/>
        <w:spacing w:before="120" w:after="120"/>
        <w:ind w:left="689" w:leftChars="228" w:hanging="210" w:hangingChars="100"/>
        <w:rPr>
          <w:rFonts w:hint="eastAsia" w:ascii="微软雅黑" w:hAnsi="微软雅黑"/>
          <w:b/>
          <w:color w:val="auto"/>
          <w:szCs w:val="21"/>
          <w:highlight w:val="none"/>
        </w:rPr>
      </w:pPr>
      <w:r>
        <w:rPr>
          <w:rFonts w:hint="eastAsia" w:ascii="微软雅黑" w:hAnsi="微软雅黑"/>
          <w:b/>
          <w:color w:val="auto"/>
          <w:szCs w:val="21"/>
          <w:highlight w:val="none"/>
        </w:rPr>
        <w:t>（二）评标的方式</w:t>
      </w:r>
    </w:p>
    <w:p w14:paraId="6FB4BDC6">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本项目采用不公开方式评标，评标的依据为招标文件和投标文件。</w:t>
      </w:r>
    </w:p>
    <w:p w14:paraId="7B306F80">
      <w:pPr>
        <w:pStyle w:val="29"/>
        <w:snapToGrid w:val="0"/>
        <w:spacing w:before="120" w:after="120"/>
        <w:ind w:left="689" w:leftChars="228" w:hanging="210" w:hangingChars="100"/>
        <w:rPr>
          <w:rFonts w:hint="eastAsia" w:ascii="微软雅黑" w:hAnsi="微软雅黑"/>
          <w:b/>
          <w:bCs/>
          <w:color w:val="auto"/>
          <w:szCs w:val="21"/>
          <w:highlight w:val="none"/>
        </w:rPr>
      </w:pPr>
      <w:r>
        <w:rPr>
          <w:rFonts w:hint="eastAsia" w:ascii="微软雅黑" w:hAnsi="微软雅黑"/>
          <w:b/>
          <w:color w:val="auto"/>
          <w:szCs w:val="21"/>
          <w:highlight w:val="none"/>
        </w:rPr>
        <w:t>（三）</w:t>
      </w:r>
      <w:r>
        <w:rPr>
          <w:rFonts w:hint="eastAsia" w:ascii="微软雅黑" w:hAnsi="微软雅黑"/>
          <w:b/>
          <w:bCs/>
          <w:color w:val="auto"/>
          <w:szCs w:val="21"/>
          <w:highlight w:val="none"/>
        </w:rPr>
        <w:t>评标程序</w:t>
      </w:r>
    </w:p>
    <w:p w14:paraId="72E6B082">
      <w:pPr>
        <w:pStyle w:val="29"/>
        <w:snapToGrid w:val="0"/>
        <w:spacing w:before="120" w:after="120"/>
        <w:ind w:firstLine="420"/>
        <w:rPr>
          <w:rFonts w:hint="eastAsia" w:ascii="微软雅黑" w:hAnsi="微软雅黑"/>
          <w:bCs/>
          <w:color w:val="auto"/>
          <w:szCs w:val="21"/>
          <w:highlight w:val="none"/>
        </w:rPr>
      </w:pPr>
      <w:r>
        <w:rPr>
          <w:rFonts w:hint="eastAsia" w:ascii="微软雅黑" w:hAnsi="微软雅黑"/>
          <w:bCs/>
          <w:color w:val="auto"/>
          <w:szCs w:val="21"/>
          <w:highlight w:val="none"/>
        </w:rPr>
        <w:t>采购人可以在评标前说明项目背景和采购需求，说明内容不得含有歧视性、倾向性意见，不得超出招标文件所述范围。说明应当提交书面材料，并随招标文件一并存档。</w:t>
      </w:r>
    </w:p>
    <w:p w14:paraId="638140E1">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1.形式审查</w:t>
      </w:r>
    </w:p>
    <w:p w14:paraId="612D52BD">
      <w:pPr>
        <w:snapToGrid w:val="0"/>
        <w:ind w:firstLine="420"/>
        <w:rPr>
          <w:rFonts w:hint="eastAsia" w:ascii="微软雅黑" w:hAnsi="微软雅黑" w:cs="宋体"/>
          <w:bCs/>
          <w:color w:val="auto"/>
          <w:szCs w:val="21"/>
          <w:highlight w:val="none"/>
        </w:rPr>
      </w:pPr>
      <w:r>
        <w:rPr>
          <w:rFonts w:hint="eastAsia" w:ascii="微软雅黑" w:hAnsi="微软雅黑"/>
          <w:bCs/>
          <w:color w:val="auto"/>
          <w:szCs w:val="21"/>
          <w:highlight w:val="none"/>
        </w:rPr>
        <w:t>1.1形式审查包括资格审查（除符合性审查以外的关于投标供应商资格条件等内容）和符合性审查，即对投标供应商的资格和投标文件的完整性、合法性等</w:t>
      </w:r>
      <w:r>
        <w:rPr>
          <w:rFonts w:hint="eastAsia" w:ascii="微软雅黑" w:hAnsi="微软雅黑" w:cs="宋体"/>
          <w:bCs/>
          <w:color w:val="auto"/>
          <w:szCs w:val="21"/>
          <w:highlight w:val="none"/>
        </w:rPr>
        <w:t>进行审查。投标文件形式审查未通过的投标供应商，其投标文件将不再评审。合格投标供应商不足3家的，不再评标。</w:t>
      </w:r>
    </w:p>
    <w:p w14:paraId="2E826D4F">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1.2信用信息查询</w:t>
      </w:r>
    </w:p>
    <w:p w14:paraId="6C863826">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1.2.1信用信息查询渠道及截止时间：采购人将通过“信用中国”网站(www.creditchina.gov.cn)、中国政府采购网(www.ccgp.gov.cn)渠道查询投标供应商投标截止时间当天的信用记录。</w:t>
      </w:r>
    </w:p>
    <w:p w14:paraId="1F4D8E5B">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1.2.2信用信息查询记录和证据留存的具体方式：现场查询的投标供应商的信用记录、查询结果经确认后将与招标文件一起存档。</w:t>
      </w:r>
    </w:p>
    <w:p w14:paraId="7352B785">
      <w:pPr>
        <w:snapToGrid w:val="0"/>
        <w:ind w:firstLine="420"/>
        <w:rPr>
          <w:rFonts w:hint="eastAsia" w:ascii="微软雅黑" w:hAnsi="微软雅黑" w:cs="宋体"/>
          <w:bCs/>
          <w:color w:val="auto"/>
          <w:szCs w:val="21"/>
          <w:highlight w:val="none"/>
        </w:rPr>
      </w:pPr>
      <w:r>
        <w:rPr>
          <w:rFonts w:hint="eastAsia" w:ascii="微软雅黑" w:hAnsi="微软雅黑" w:cs="宋体"/>
          <w:bCs/>
          <w:color w:val="auto"/>
          <w:szCs w:val="21"/>
          <w:highlight w:val="none"/>
        </w:rPr>
        <w:t>1.2.3信用信息的使用规则：经查询列入失信被执行人名单、重大税收违法案件当事人名单、政府采购严重违法失信行为记录名单的投标供应商将被拒绝参与政府采购活动。</w:t>
      </w:r>
    </w:p>
    <w:p w14:paraId="754E4E5C">
      <w:pPr>
        <w:snapToGrid w:val="0"/>
        <w:ind w:firstLine="420"/>
        <w:rPr>
          <w:rFonts w:hint="eastAsia" w:ascii="微软雅黑" w:hAnsi="微软雅黑"/>
          <w:color w:val="auto"/>
          <w:szCs w:val="21"/>
          <w:highlight w:val="none"/>
        </w:rPr>
      </w:pPr>
      <w:r>
        <w:rPr>
          <w:rFonts w:hint="eastAsia" w:ascii="微软雅黑" w:hAnsi="微软雅黑" w:cs="宋体"/>
          <w:bCs/>
          <w:color w:val="auto"/>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B3EE88">
      <w:pPr>
        <w:snapToGrid w:val="0"/>
        <w:ind w:firstLine="412" w:firstLineChars="196"/>
        <w:rPr>
          <w:rFonts w:hint="eastAsia" w:ascii="微软雅黑" w:hAnsi="微软雅黑"/>
          <w:b/>
          <w:bCs/>
          <w:color w:val="auto"/>
          <w:szCs w:val="21"/>
          <w:highlight w:val="none"/>
        </w:rPr>
      </w:pPr>
      <w:r>
        <w:rPr>
          <w:rFonts w:hint="eastAsia" w:ascii="微软雅黑" w:hAnsi="微软雅黑"/>
          <w:b/>
          <w:bCs/>
          <w:color w:val="auto"/>
          <w:szCs w:val="21"/>
          <w:highlight w:val="none"/>
        </w:rPr>
        <w:t>2.实质审查</w:t>
      </w:r>
    </w:p>
    <w:p w14:paraId="44427D13">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2.1评标委员会审查投标文件的实质性内容是否符合招标文件的实质性要求。</w:t>
      </w:r>
    </w:p>
    <w:p w14:paraId="4E8E39F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2.2评标委员会将根据投标供应商的投标文件进行审查、核对，如有疑问，将对投标供应商进行询标，投标供应商要向评标委员会澄清有关问题，并最终以书面形式进行答复。</w:t>
      </w:r>
    </w:p>
    <w:p w14:paraId="278D432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询标时，投标供应商代表未到场或者拒绝澄清或者澄清的内容改变了投标文件的实质性内容的，评标委员会有权对该投标文件做出不利于投标供应商的评判。</w:t>
      </w:r>
    </w:p>
    <w:p w14:paraId="06B2BBAF">
      <w:pPr>
        <w:snapToGrid w:val="0"/>
        <w:ind w:firstLine="420"/>
        <w:rPr>
          <w:rFonts w:hint="eastAsia" w:ascii="微软雅黑" w:hAnsi="微软雅黑"/>
          <w:strike/>
          <w:color w:val="auto"/>
          <w:szCs w:val="21"/>
          <w:highlight w:val="none"/>
        </w:rPr>
      </w:pPr>
      <w:r>
        <w:rPr>
          <w:rFonts w:hint="eastAsia" w:ascii="微软雅黑" w:hAnsi="微软雅黑" w:cs="Arial"/>
          <w:color w:val="auto"/>
          <w:kern w:val="0"/>
          <w:szCs w:val="21"/>
          <w:highlight w:val="none"/>
        </w:rPr>
        <w:t>2.3</w:t>
      </w:r>
      <w:r>
        <w:rPr>
          <w:rFonts w:hint="eastAsia" w:ascii="微软雅黑" w:hAnsi="微软雅黑"/>
          <w:color w:val="auto"/>
          <w:szCs w:val="21"/>
          <w:highlight w:val="none"/>
        </w:rPr>
        <w:t>评标委员会各成员应当独立对每个投标供应商的商务和技术文件进行评价，并汇总商务技术得分情况。</w:t>
      </w:r>
    </w:p>
    <w:p w14:paraId="3526D8DC">
      <w:pPr>
        <w:pStyle w:val="3"/>
        <w:ind w:firstLine="420"/>
        <w:rPr>
          <w:rFonts w:hint="eastAsia" w:ascii="微软雅黑" w:hAnsi="微软雅黑" w:cs="宋体"/>
          <w:bCs/>
          <w:color w:val="auto"/>
          <w:kern w:val="2"/>
          <w:szCs w:val="21"/>
          <w:highlight w:val="none"/>
        </w:rPr>
      </w:pPr>
      <w:bookmarkStart w:id="96" w:name="_Toc169015130"/>
      <w:bookmarkStart w:id="97" w:name="_Toc164943206"/>
      <w:bookmarkStart w:id="98" w:name="_Toc27524"/>
      <w:r>
        <w:rPr>
          <w:rFonts w:hint="eastAsia" w:ascii="微软雅黑" w:hAnsi="微软雅黑" w:cs="宋体"/>
          <w:bCs/>
          <w:color w:val="auto"/>
          <w:kern w:val="2"/>
          <w:szCs w:val="21"/>
          <w:highlight w:val="none"/>
        </w:rPr>
        <w:t>3.报价审查</w:t>
      </w:r>
      <w:bookmarkEnd w:id="96"/>
      <w:bookmarkEnd w:id="97"/>
      <w:bookmarkEnd w:id="98"/>
    </w:p>
    <w:p w14:paraId="0179841D">
      <w:pPr>
        <w:pStyle w:val="29"/>
        <w:snapToGrid w:val="0"/>
        <w:spacing w:before="120" w:after="120"/>
        <w:ind w:left="689" w:leftChars="228" w:hanging="210" w:hangingChars="100"/>
        <w:rPr>
          <w:rFonts w:hint="eastAsia" w:ascii="微软雅黑" w:hAnsi="微软雅黑"/>
          <w:color w:val="auto"/>
          <w:szCs w:val="21"/>
          <w:highlight w:val="none"/>
        </w:rPr>
      </w:pPr>
      <w:r>
        <w:rPr>
          <w:rFonts w:hint="eastAsia" w:ascii="微软雅黑" w:hAnsi="微软雅黑"/>
          <w:color w:val="auto"/>
          <w:szCs w:val="21"/>
          <w:highlight w:val="none"/>
        </w:rPr>
        <w:t>(1)投标文件报价如果出现计算或表达上的错误，修正错误的原则如下：</w:t>
      </w:r>
    </w:p>
    <w:p w14:paraId="79BFE28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1.1报价</w:t>
      </w:r>
      <w:r>
        <w:rPr>
          <w:rFonts w:hint="eastAsia" w:ascii="微软雅黑" w:hAnsi="微软雅黑"/>
          <w:color w:val="auto"/>
          <w:kern w:val="0"/>
          <w:szCs w:val="21"/>
          <w:highlight w:val="none"/>
        </w:rPr>
        <w:t>以开标一览表为准。</w:t>
      </w:r>
    </w:p>
    <w:p w14:paraId="209AA5F6">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1.2投标文件的大写金额和小写金额不一致的，以大写金额为准。</w:t>
      </w:r>
    </w:p>
    <w:p w14:paraId="0D5F1B1D">
      <w:pPr>
        <w:pStyle w:val="291"/>
        <w:spacing w:before="0"/>
        <w:ind w:firstLine="420"/>
        <w:rPr>
          <w:rFonts w:hint="eastAsia" w:ascii="微软雅黑" w:hAnsi="微软雅黑" w:eastAsia="微软雅黑"/>
          <w:color w:val="auto"/>
          <w:sz w:val="21"/>
          <w:szCs w:val="21"/>
          <w:highlight w:val="none"/>
        </w:rPr>
      </w:pPr>
      <w:r>
        <w:rPr>
          <w:rFonts w:hint="eastAsia" w:ascii="微软雅黑" w:hAnsi="微软雅黑" w:eastAsia="微软雅黑" w:cs="Times New Roman"/>
          <w:color w:val="auto"/>
          <w:kern w:val="0"/>
          <w:sz w:val="21"/>
          <w:szCs w:val="21"/>
          <w:highlight w:val="none"/>
        </w:rPr>
        <w:t>1.3总</w:t>
      </w:r>
      <w:r>
        <w:rPr>
          <w:rFonts w:hint="eastAsia" w:ascii="微软雅黑" w:hAnsi="微软雅黑" w:eastAsia="微软雅黑"/>
          <w:color w:val="auto"/>
          <w:sz w:val="21"/>
          <w:szCs w:val="21"/>
          <w:highlight w:val="none"/>
        </w:rPr>
        <w:t>价金额与按单价汇总金额不一致的，以单价金额计算结果为准。</w:t>
      </w:r>
    </w:p>
    <w:p w14:paraId="3F44BCF5">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s="仿宋"/>
          <w:color w:val="auto"/>
          <w:kern w:val="0"/>
          <w:szCs w:val="21"/>
          <w:highlight w:val="none"/>
        </w:rPr>
        <w:t>1.4</w:t>
      </w:r>
      <w:r>
        <w:rPr>
          <w:rFonts w:hint="eastAsia" w:ascii="微软雅黑" w:hAnsi="微软雅黑"/>
          <w:color w:val="auto"/>
          <w:szCs w:val="21"/>
          <w:highlight w:val="none"/>
        </w:rPr>
        <w:t>对不同文字文本投标文件的解释发生异议的，以中文文本为准。</w:t>
      </w:r>
    </w:p>
    <w:p w14:paraId="12ECE0DC">
      <w:pPr>
        <w:pStyle w:val="29"/>
        <w:snapToGrid w:val="0"/>
        <w:spacing w:before="120" w:after="120"/>
        <w:ind w:firstLine="420"/>
        <w:rPr>
          <w:rFonts w:hint="eastAsia" w:ascii="微软雅黑" w:hAnsi="微软雅黑"/>
          <w:b/>
          <w:bCs/>
          <w:color w:val="auto"/>
          <w:szCs w:val="21"/>
          <w:highlight w:val="none"/>
        </w:rPr>
      </w:pPr>
      <w:r>
        <w:rPr>
          <w:rFonts w:hint="eastAsia" w:ascii="微软雅黑" w:hAnsi="微软雅黑"/>
          <w:b/>
          <w:bCs/>
          <w:color w:val="auto"/>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4729FC64">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(2)评标委员会根据合格供应商报价得出得分汇总。</w:t>
      </w:r>
    </w:p>
    <w:p w14:paraId="053AE333">
      <w:pPr>
        <w:pStyle w:val="3"/>
        <w:ind w:firstLine="420"/>
        <w:rPr>
          <w:rFonts w:hint="eastAsia" w:ascii="微软雅黑" w:hAnsi="微软雅黑" w:cs="宋体"/>
          <w:bCs/>
          <w:color w:val="auto"/>
          <w:kern w:val="2"/>
          <w:szCs w:val="21"/>
          <w:highlight w:val="none"/>
        </w:rPr>
      </w:pPr>
      <w:bookmarkStart w:id="99" w:name="_Toc169015131"/>
      <w:bookmarkStart w:id="100" w:name="_Toc164943207"/>
      <w:bookmarkStart w:id="101" w:name="_Toc22943"/>
      <w:r>
        <w:rPr>
          <w:rFonts w:hint="eastAsia" w:ascii="微软雅黑" w:hAnsi="微软雅黑" w:cs="宋体"/>
          <w:bCs/>
          <w:color w:val="auto"/>
          <w:kern w:val="2"/>
          <w:szCs w:val="21"/>
          <w:highlight w:val="none"/>
        </w:rPr>
        <w:t>4.比较和推荐</w:t>
      </w:r>
      <w:bookmarkEnd w:id="99"/>
      <w:bookmarkEnd w:id="100"/>
      <w:bookmarkEnd w:id="101"/>
    </w:p>
    <w:p w14:paraId="6E9EBFD3">
      <w:pPr>
        <w:snapToGrid w:val="0"/>
        <w:ind w:firstLine="420"/>
        <w:rPr>
          <w:rFonts w:hint="eastAsia" w:ascii="微软雅黑" w:hAnsi="微软雅黑" w:cs="Arial"/>
          <w:color w:val="auto"/>
          <w:kern w:val="0"/>
          <w:szCs w:val="21"/>
          <w:highlight w:val="none"/>
        </w:rPr>
      </w:pPr>
      <w:r>
        <w:rPr>
          <w:rFonts w:hint="eastAsia" w:ascii="微软雅黑" w:hAnsi="微软雅黑"/>
          <w:color w:val="auto"/>
          <w:szCs w:val="21"/>
          <w:highlight w:val="none"/>
        </w:rPr>
        <w:t>评标委员会按评标原则推荐中标供应商同时起草评标报告。</w:t>
      </w:r>
    </w:p>
    <w:p w14:paraId="12AF3337">
      <w:pPr>
        <w:snapToGrid w:val="0"/>
        <w:ind w:firstLine="420"/>
        <w:rPr>
          <w:rFonts w:hint="eastAsia" w:ascii="微软雅黑" w:hAnsi="微软雅黑"/>
          <w:b/>
          <w:color w:val="auto"/>
          <w:szCs w:val="21"/>
          <w:highlight w:val="none"/>
        </w:rPr>
      </w:pPr>
      <w:r>
        <w:rPr>
          <w:rFonts w:hint="eastAsia" w:ascii="微软雅黑" w:hAnsi="微软雅黑"/>
          <w:b/>
          <w:color w:val="auto"/>
          <w:szCs w:val="21"/>
          <w:highlight w:val="none"/>
        </w:rPr>
        <w:t>（四）澄清问题的形式</w:t>
      </w:r>
    </w:p>
    <w:p w14:paraId="5FD56BC6">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对投标文件中含义不明确、同类问题表述不一致或者有明显文字和计算错误的内容，评标委员会可要求供应商作出必要的澄清、说明或者纠正。</w:t>
      </w:r>
    </w:p>
    <w:p w14:paraId="7A61DEB2">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319ED2F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2.如果供应商代表拒绝或未按评标委员会要求在“政采云”平台作出在线回复且无其他有效回复方式的，评标委员会可以对其作出无效标处理。</w:t>
      </w:r>
    </w:p>
    <w:p w14:paraId="3549A552">
      <w:pPr>
        <w:pStyle w:val="29"/>
        <w:tabs>
          <w:tab w:val="left" w:pos="630"/>
        </w:tabs>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（五）评标原则和评标办法</w:t>
      </w:r>
    </w:p>
    <w:p w14:paraId="66E546C7">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30E5BCAB">
      <w:pPr>
        <w:pStyle w:val="29"/>
        <w:snapToGrid w:val="0"/>
        <w:spacing w:before="120" w:after="120"/>
        <w:ind w:firstLine="420"/>
        <w:rPr>
          <w:rFonts w:hint="eastAsia" w:ascii="微软雅黑" w:hAnsi="微软雅黑"/>
          <w:color w:val="auto"/>
          <w:szCs w:val="21"/>
          <w:highlight w:val="none"/>
        </w:rPr>
      </w:pPr>
      <w:r>
        <w:rPr>
          <w:rFonts w:hint="eastAsia" w:ascii="微软雅黑" w:hAnsi="微软雅黑"/>
          <w:color w:val="auto"/>
          <w:szCs w:val="21"/>
          <w:highlight w:val="none"/>
        </w:rPr>
        <w:t>2.评标办法。本项目评标办法是 综合评分法，具体评标内容及评分标准等详见《第四章：评标办法及评分标准》。</w:t>
      </w:r>
    </w:p>
    <w:p w14:paraId="6C2B7EB9">
      <w:pPr>
        <w:pStyle w:val="29"/>
        <w:snapToGrid w:val="0"/>
        <w:spacing w:before="120" w:after="120"/>
        <w:ind w:firstLine="412" w:firstLineChars="196"/>
        <w:rPr>
          <w:rFonts w:hint="eastAsia" w:ascii="微软雅黑" w:hAnsi="微软雅黑"/>
          <w:b/>
          <w:color w:val="auto"/>
          <w:szCs w:val="21"/>
          <w:highlight w:val="none"/>
        </w:rPr>
      </w:pPr>
      <w:r>
        <w:rPr>
          <w:rFonts w:hint="eastAsia" w:ascii="微软雅黑" w:hAnsi="微软雅黑"/>
          <w:b/>
          <w:color w:val="auto"/>
          <w:szCs w:val="21"/>
          <w:highlight w:val="none"/>
        </w:rPr>
        <w:t>（六）评标过程的监控</w:t>
      </w:r>
    </w:p>
    <w:p w14:paraId="5DCB50B2">
      <w:pPr>
        <w:pStyle w:val="3"/>
        <w:spacing w:line="500" w:lineRule="exact"/>
        <w:ind w:firstLine="420"/>
        <w:rPr>
          <w:rFonts w:hint="eastAsia" w:ascii="微软雅黑" w:hAnsi="微软雅黑"/>
          <w:color w:val="auto"/>
          <w:szCs w:val="21"/>
          <w:highlight w:val="none"/>
        </w:rPr>
      </w:pPr>
      <w:bookmarkStart w:id="102" w:name="_Toc169015132"/>
      <w:bookmarkStart w:id="103" w:name="_Toc31962"/>
      <w:bookmarkStart w:id="104" w:name="_Toc164943208"/>
      <w:r>
        <w:rPr>
          <w:rFonts w:hint="eastAsia" w:ascii="微软雅黑" w:hAnsi="微软雅黑"/>
          <w:color w:val="auto"/>
          <w:szCs w:val="21"/>
          <w:highlight w:val="none"/>
        </w:rPr>
        <w:t>本项目评标过程实行全程录音、录像监控。投标供应商在评标过程中所进行的试图影响评标结果的不公正活动，可能导致其投标被拒绝</w:t>
      </w:r>
      <w:bookmarkEnd w:id="102"/>
      <w:bookmarkEnd w:id="103"/>
      <w:bookmarkEnd w:id="104"/>
    </w:p>
    <w:p w14:paraId="09524786">
      <w:pPr>
        <w:pStyle w:val="3"/>
        <w:spacing w:line="500" w:lineRule="exact"/>
        <w:ind w:firstLine="420"/>
        <w:rPr>
          <w:rFonts w:hint="eastAsia" w:ascii="微软雅黑" w:hAnsi="微软雅黑"/>
          <w:color w:val="auto"/>
          <w:szCs w:val="21"/>
          <w:highlight w:val="none"/>
        </w:rPr>
      </w:pPr>
      <w:bookmarkStart w:id="105" w:name="_Toc30708"/>
      <w:r>
        <w:rPr>
          <w:rFonts w:hint="eastAsia" w:ascii="微软雅黑" w:hAnsi="微软雅黑"/>
          <w:color w:val="auto"/>
          <w:szCs w:val="21"/>
          <w:highlight w:val="none"/>
        </w:rPr>
        <w:t>六、定标</w:t>
      </w:r>
      <w:bookmarkEnd w:id="95"/>
      <w:bookmarkEnd w:id="105"/>
    </w:p>
    <w:p w14:paraId="1DD2B34D">
      <w:pPr>
        <w:pStyle w:val="29"/>
        <w:snapToGrid w:val="0"/>
        <w:spacing w:before="120" w:after="120"/>
        <w:ind w:firstLine="412" w:firstLineChars="196"/>
        <w:rPr>
          <w:rFonts w:hint="eastAsia" w:hAnsi="宋体"/>
          <w:b/>
          <w:bCs/>
          <w:color w:val="auto"/>
          <w:highlight w:val="none"/>
        </w:rPr>
      </w:pPr>
      <w:bookmarkStart w:id="106" w:name="_Toc33535372"/>
      <w:r>
        <w:rPr>
          <w:rFonts w:hint="eastAsia" w:hAnsi="宋体"/>
          <w:b/>
          <w:bCs/>
          <w:color w:val="auto"/>
          <w:highlight w:val="none"/>
        </w:rPr>
        <w:t>确定中标供应商：本项目由采购人确定中标供应商。</w:t>
      </w:r>
    </w:p>
    <w:p w14:paraId="34E677CC">
      <w:pPr>
        <w:snapToGrid w:val="0"/>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1.代理机构在评标结束后2个工作日内将评标报告交采购人确认，同时在发布招标公告的网站上对评标结果进行公告。</w:t>
      </w:r>
    </w:p>
    <w:p w14:paraId="704E865C">
      <w:pPr>
        <w:snapToGrid w:val="0"/>
        <w:spacing w:line="360" w:lineRule="auto"/>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2.投标供应商对评标结果无异议的，采购人应在收到评标报告后5个工作日内对评标结果进行确认。如有投标供应商对评标结果提出质疑的，采购人可在质疑处理完毕后确定中标供应商。</w:t>
      </w:r>
    </w:p>
    <w:p w14:paraId="7AB58838">
      <w:pPr>
        <w:snapToGrid w:val="0"/>
        <w:spacing w:line="360" w:lineRule="auto"/>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3.在公告中标结果的同时，代理机构在政采云系统向中标供应商发出中标通知书。</w:t>
      </w:r>
    </w:p>
    <w:p w14:paraId="29F4CC5C">
      <w:pPr>
        <w:pStyle w:val="3"/>
        <w:spacing w:line="360" w:lineRule="auto"/>
        <w:ind w:firstLine="420"/>
        <w:rPr>
          <w:rFonts w:hint="eastAsia" w:ascii="微软雅黑" w:hAnsi="微软雅黑"/>
          <w:color w:val="auto"/>
          <w:szCs w:val="21"/>
          <w:highlight w:val="none"/>
        </w:rPr>
      </w:pPr>
      <w:bookmarkStart w:id="107" w:name="_Toc4086"/>
      <w:r>
        <w:rPr>
          <w:rFonts w:hint="eastAsia" w:ascii="微软雅黑" w:hAnsi="微软雅黑"/>
          <w:color w:val="auto"/>
          <w:szCs w:val="21"/>
          <w:highlight w:val="none"/>
        </w:rPr>
        <w:t>七、合同授予</w:t>
      </w:r>
      <w:bookmarkEnd w:id="106"/>
      <w:bookmarkEnd w:id="107"/>
    </w:p>
    <w:p w14:paraId="01003981">
      <w:pPr>
        <w:snapToGrid w:val="0"/>
        <w:spacing w:line="360" w:lineRule="auto"/>
        <w:ind w:firstLine="420"/>
        <w:rPr>
          <w:rFonts w:hint="eastAsia" w:ascii="微软雅黑" w:hAnsi="微软雅黑"/>
          <w:color w:val="auto"/>
          <w:highlight w:val="none"/>
        </w:rPr>
      </w:pPr>
      <w:r>
        <w:rPr>
          <w:rFonts w:hint="eastAsia" w:ascii="微软雅黑" w:hAnsi="微软雅黑"/>
          <w:color w:val="auto"/>
          <w:highlight w:val="none"/>
        </w:rPr>
        <w:t>1.采购人与中标供应商应当在《中标通知书》发出之日起30日内签订政府采购合同。</w:t>
      </w:r>
    </w:p>
    <w:p w14:paraId="15481E0C">
      <w:pPr>
        <w:snapToGrid w:val="0"/>
        <w:spacing w:line="360" w:lineRule="auto"/>
        <w:ind w:firstLine="420"/>
        <w:rPr>
          <w:rFonts w:hint="eastAsia" w:ascii="微软雅黑" w:hAnsi="微软雅黑"/>
          <w:color w:val="auto"/>
          <w:highlight w:val="none"/>
        </w:rPr>
      </w:pPr>
      <w:r>
        <w:rPr>
          <w:rFonts w:hint="eastAsia" w:ascii="微软雅黑" w:hAnsi="微软雅黑"/>
          <w:color w:val="auto"/>
          <w:highlight w:val="none"/>
        </w:rPr>
        <w:t>２.中标供应商拖延、拒签合同的，将被取消中标资格，并报监督管理部门依法处理。</w:t>
      </w:r>
    </w:p>
    <w:p w14:paraId="1E8A1B1E">
      <w:pPr>
        <w:pStyle w:val="3"/>
        <w:spacing w:line="360" w:lineRule="auto"/>
        <w:ind w:firstLine="420"/>
        <w:rPr>
          <w:rFonts w:hint="eastAsia" w:ascii="微软雅黑" w:hAnsi="微软雅黑"/>
          <w:color w:val="auto"/>
          <w:szCs w:val="21"/>
          <w:highlight w:val="none"/>
        </w:rPr>
      </w:pPr>
      <w:bookmarkStart w:id="108" w:name="_Toc17646"/>
      <w:r>
        <w:rPr>
          <w:rFonts w:hint="eastAsia" w:ascii="微软雅黑" w:hAnsi="微软雅黑"/>
          <w:color w:val="auto"/>
          <w:szCs w:val="21"/>
          <w:highlight w:val="none"/>
        </w:rPr>
        <w:t>八、验收</w:t>
      </w:r>
      <w:bookmarkEnd w:id="108"/>
    </w:p>
    <w:p w14:paraId="76A1C8E0">
      <w:pPr>
        <w:snapToGrid w:val="0"/>
        <w:spacing w:line="360" w:lineRule="auto"/>
        <w:ind w:firstLine="420"/>
        <w:rPr>
          <w:rFonts w:hint="eastAsia" w:ascii="微软雅黑" w:hAnsi="微软雅黑" w:cs="宋体"/>
          <w:color w:val="auto"/>
          <w:highlight w:val="none"/>
        </w:rPr>
      </w:pPr>
      <w:r>
        <w:rPr>
          <w:rFonts w:hint="eastAsia" w:ascii="微软雅黑" w:hAnsi="微软雅黑" w:cs="宋体"/>
          <w:color w:val="auto"/>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1AEBDA">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2.采购人可以邀请参加本项目的其他投标供应商或者第三方机构参与验收。参与验收的投标供应商或者第三方机构的意见作为验收书的参考资料一并存档。</w:t>
      </w:r>
    </w:p>
    <w:p w14:paraId="0D4E5014">
      <w:pPr>
        <w:snapToGrid w:val="0"/>
        <w:ind w:firstLine="420"/>
        <w:rPr>
          <w:rFonts w:hint="eastAsia" w:ascii="微软雅黑" w:hAnsi="微软雅黑" w:cs="宋体"/>
          <w:color w:val="auto"/>
          <w:highlight w:val="none"/>
        </w:rPr>
      </w:pPr>
      <w:r>
        <w:rPr>
          <w:rFonts w:hint="eastAsia" w:ascii="微软雅黑" w:hAnsi="微软雅黑" w:cs="宋体"/>
          <w:color w:val="auto"/>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87A6451">
      <w:pPr>
        <w:snapToGrid w:val="0"/>
        <w:ind w:firstLine="420"/>
        <w:rPr>
          <w:color w:val="auto"/>
          <w:highlight w:val="none"/>
        </w:rPr>
      </w:pPr>
      <w:r>
        <w:rPr>
          <w:rFonts w:hint="eastAsia" w:ascii="微软雅黑" w:hAnsi="微软雅黑" w:cs="宋体"/>
          <w:color w:val="auto"/>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09" w:name="_Hlt74729768"/>
      <w:bookmarkEnd w:id="109"/>
      <w:bookmarkStart w:id="110" w:name="_Hlt74707468"/>
      <w:bookmarkEnd w:id="110"/>
      <w:bookmarkStart w:id="111" w:name="_Hlt75236290"/>
      <w:bookmarkEnd w:id="111"/>
      <w:bookmarkStart w:id="112" w:name="_Hlt75236011"/>
      <w:bookmarkEnd w:id="112"/>
      <w:bookmarkStart w:id="113" w:name="_Hlt68072998"/>
      <w:bookmarkEnd w:id="113"/>
      <w:bookmarkStart w:id="114" w:name="_Hlt74730295"/>
      <w:bookmarkEnd w:id="114"/>
      <w:bookmarkStart w:id="115" w:name="_Hlt75236101"/>
      <w:bookmarkEnd w:id="115"/>
      <w:bookmarkStart w:id="116" w:name="_Hlt68072990"/>
      <w:bookmarkEnd w:id="116"/>
      <w:bookmarkStart w:id="117" w:name="_Hlt68403820"/>
      <w:bookmarkEnd w:id="117"/>
      <w:bookmarkStart w:id="118" w:name="_Hlt68057669"/>
      <w:bookmarkEnd w:id="118"/>
      <w:bookmarkStart w:id="119" w:name="_Hlt68073093"/>
      <w:bookmarkEnd w:id="119"/>
      <w:bookmarkStart w:id="120" w:name="_Hlt74714665"/>
      <w:bookmarkEnd w:id="120"/>
      <w:r>
        <w:rPr>
          <w:rFonts w:hint="eastAsia" w:ascii="微软雅黑" w:hAnsi="微软雅黑" w:cs="宋体"/>
          <w:color w:val="auto"/>
          <w:highlight w:val="none"/>
        </w:rPr>
        <w:t>部门。</w:t>
      </w:r>
    </w:p>
    <w:p w14:paraId="137EF93E">
      <w:pPr>
        <w:pStyle w:val="3"/>
        <w:spacing w:line="500" w:lineRule="exact"/>
        <w:ind w:firstLine="420"/>
        <w:rPr>
          <w:rFonts w:hint="eastAsia" w:ascii="微软雅黑" w:hAnsi="微软雅黑"/>
          <w:color w:val="auto"/>
          <w:szCs w:val="21"/>
          <w:highlight w:val="none"/>
        </w:rPr>
      </w:pPr>
      <w:bookmarkStart w:id="121" w:name="_Toc9282"/>
      <w:r>
        <w:rPr>
          <w:rFonts w:hint="eastAsia" w:ascii="微软雅黑" w:hAnsi="微软雅黑"/>
          <w:color w:val="auto"/>
          <w:szCs w:val="21"/>
          <w:highlight w:val="none"/>
        </w:rPr>
        <w:t>九、招标代理费</w:t>
      </w:r>
      <w:bookmarkEnd w:id="58"/>
      <w:bookmarkEnd w:id="121"/>
    </w:p>
    <w:p w14:paraId="7FE0CCEB">
      <w:pPr>
        <w:spacing w:line="500" w:lineRule="exact"/>
        <w:ind w:firstLine="420"/>
        <w:rPr>
          <w:rFonts w:hint="eastAsia" w:ascii="微软雅黑" w:hAnsi="微软雅黑"/>
          <w:color w:val="auto"/>
          <w:szCs w:val="21"/>
          <w:highlight w:val="none"/>
        </w:rPr>
      </w:pPr>
      <w:bookmarkStart w:id="122" w:name="_Toc493511752"/>
      <w:r>
        <w:rPr>
          <w:rFonts w:hint="eastAsia" w:ascii="微软雅黑" w:hAnsi="微软雅黑"/>
          <w:color w:val="auto"/>
          <w:szCs w:val="21"/>
          <w:highlight w:val="none"/>
        </w:rPr>
        <w:t>1、根据“国家发展和改革委员会办公厅《关于招标代理服务收费有关问题的通知》（发改办价格【2003】857号、财库【2018】2号第十五条）”规定，招标代理机构向中标人收取招标代理服务费。</w:t>
      </w:r>
    </w:p>
    <w:p w14:paraId="55567957">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2、中标人应在收取《中标通知书》时向采购代理机构交纳招标代理服务费，服务费的收费标准按浙价服〔2003〕77号文规定计算</w:t>
      </w:r>
      <w:bookmarkEnd w:id="122"/>
    </w:p>
    <w:tbl>
      <w:tblPr>
        <w:tblStyle w:val="54"/>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14A78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0EDE9BC3">
            <w:pPr>
              <w:spacing w:line="500" w:lineRule="exact"/>
              <w:ind w:firstLine="420"/>
              <w:rPr>
                <w:rFonts w:hint="eastAsia" w:ascii="微软雅黑" w:hAnsi="微软雅黑"/>
                <w:color w:val="auto"/>
                <w:szCs w:val="21"/>
                <w:highlight w:val="none"/>
              </w:rPr>
            </w:pPr>
            <w:bookmarkStart w:id="123" w:name="_Toc493511753"/>
            <w:r>
              <w:rPr>
                <w:rFonts w:hint="eastAsia" w:ascii="微软雅黑" w:hAnsi="微软雅黑"/>
                <w:color w:val="auto"/>
                <w:szCs w:val="21"/>
                <w:highlight w:val="none"/>
              </w:rPr>
              <w:t>中标金额（万元）</w:t>
            </w:r>
            <w:bookmarkEnd w:id="123"/>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7814256E">
            <w:pPr>
              <w:spacing w:line="500" w:lineRule="exact"/>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2B4DDD4C">
            <w:pPr>
              <w:spacing w:line="500" w:lineRule="exact"/>
              <w:ind w:firstLine="0" w:firstLineChars="0"/>
              <w:rPr>
                <w:rFonts w:hint="eastAsia" w:ascii="微软雅黑" w:hAnsi="微软雅黑"/>
                <w:color w:val="auto"/>
                <w:szCs w:val="21"/>
                <w:highlight w:val="none"/>
              </w:rPr>
            </w:pPr>
            <w:bookmarkStart w:id="124" w:name="_Toc493511754"/>
            <w:r>
              <w:rPr>
                <w:rFonts w:hint="eastAsia" w:ascii="微软雅黑" w:hAnsi="微软雅黑"/>
                <w:color w:val="auto"/>
                <w:szCs w:val="21"/>
                <w:highlight w:val="none"/>
              </w:rPr>
              <w:t>服务类招标收费费率</w:t>
            </w:r>
            <w:bookmarkEnd w:id="124"/>
          </w:p>
        </w:tc>
      </w:tr>
      <w:tr w14:paraId="60E94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5C28819D">
            <w:pPr>
              <w:spacing w:line="500" w:lineRule="exact"/>
              <w:ind w:firstLine="420"/>
              <w:rPr>
                <w:rFonts w:hint="eastAsia" w:ascii="微软雅黑" w:hAnsi="微软雅黑"/>
                <w:color w:val="auto"/>
                <w:szCs w:val="21"/>
                <w:highlight w:val="none"/>
              </w:rPr>
            </w:pPr>
            <w:bookmarkStart w:id="125" w:name="_Toc493511755"/>
            <w:r>
              <w:rPr>
                <w:rFonts w:hint="eastAsia" w:ascii="微软雅黑" w:hAnsi="微软雅黑"/>
                <w:color w:val="auto"/>
                <w:szCs w:val="21"/>
                <w:highlight w:val="none"/>
              </w:rPr>
              <w:t>100以下</w:t>
            </w:r>
            <w:bookmarkEnd w:id="125"/>
          </w:p>
        </w:tc>
        <w:tc>
          <w:tcPr>
            <w:tcW w:w="2160" w:type="dxa"/>
            <w:tcBorders>
              <w:top w:val="single" w:color="auto" w:sz="6" w:space="0"/>
              <w:left w:val="single" w:color="auto" w:sz="6" w:space="0"/>
              <w:bottom w:val="single" w:color="auto" w:sz="6" w:space="0"/>
              <w:right w:val="single" w:color="auto" w:sz="6" w:space="0"/>
            </w:tcBorders>
          </w:tcPr>
          <w:p w14:paraId="0FE994D9">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6CAED41B">
            <w:pPr>
              <w:spacing w:line="500" w:lineRule="exact"/>
              <w:ind w:firstLine="420"/>
              <w:rPr>
                <w:rFonts w:hint="eastAsia" w:ascii="微软雅黑" w:hAnsi="微软雅黑"/>
                <w:color w:val="auto"/>
                <w:szCs w:val="21"/>
                <w:highlight w:val="none"/>
              </w:rPr>
            </w:pPr>
            <w:bookmarkStart w:id="126" w:name="_Toc493511756"/>
            <w:r>
              <w:rPr>
                <w:rFonts w:hint="eastAsia" w:ascii="微软雅黑" w:hAnsi="微软雅黑"/>
                <w:color w:val="auto"/>
                <w:szCs w:val="21"/>
                <w:highlight w:val="none"/>
              </w:rPr>
              <w:t>1.5％</w:t>
            </w:r>
            <w:bookmarkEnd w:id="126"/>
          </w:p>
        </w:tc>
      </w:tr>
      <w:tr w14:paraId="330002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36B72143">
            <w:pPr>
              <w:spacing w:line="500" w:lineRule="exact"/>
              <w:ind w:firstLine="420"/>
              <w:rPr>
                <w:rFonts w:hint="eastAsia" w:ascii="微软雅黑" w:hAnsi="微软雅黑"/>
                <w:color w:val="auto"/>
                <w:szCs w:val="21"/>
                <w:highlight w:val="none"/>
              </w:rPr>
            </w:pPr>
            <w:bookmarkStart w:id="127" w:name="_Toc493511757"/>
            <w:r>
              <w:rPr>
                <w:rFonts w:hint="eastAsia" w:ascii="微软雅黑" w:hAnsi="微软雅黑"/>
                <w:color w:val="auto"/>
                <w:szCs w:val="21"/>
                <w:highlight w:val="none"/>
              </w:rPr>
              <w:t>100-500</w:t>
            </w:r>
            <w:bookmarkEnd w:id="127"/>
          </w:p>
        </w:tc>
        <w:tc>
          <w:tcPr>
            <w:tcW w:w="2160" w:type="dxa"/>
            <w:tcBorders>
              <w:top w:val="single" w:color="auto" w:sz="6" w:space="0"/>
              <w:left w:val="single" w:color="auto" w:sz="6" w:space="0"/>
              <w:bottom w:val="single" w:color="auto" w:sz="6" w:space="0"/>
              <w:right w:val="single" w:color="auto" w:sz="6" w:space="0"/>
            </w:tcBorders>
          </w:tcPr>
          <w:p w14:paraId="11848016">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43E215B4">
            <w:pPr>
              <w:spacing w:line="500" w:lineRule="exact"/>
              <w:ind w:firstLine="420"/>
              <w:rPr>
                <w:rFonts w:hint="eastAsia" w:ascii="微软雅黑" w:hAnsi="微软雅黑"/>
                <w:color w:val="auto"/>
                <w:szCs w:val="21"/>
                <w:highlight w:val="none"/>
              </w:rPr>
            </w:pPr>
            <w:bookmarkStart w:id="128" w:name="_Toc493511758"/>
            <w:r>
              <w:rPr>
                <w:rFonts w:hint="eastAsia" w:ascii="微软雅黑" w:hAnsi="微软雅黑"/>
                <w:color w:val="auto"/>
                <w:szCs w:val="21"/>
                <w:highlight w:val="none"/>
              </w:rPr>
              <w:t>0.8％</w:t>
            </w:r>
            <w:bookmarkEnd w:id="128"/>
          </w:p>
        </w:tc>
      </w:tr>
      <w:tr w14:paraId="201BE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7ED2C7B2">
            <w:pPr>
              <w:spacing w:line="500" w:lineRule="exact"/>
              <w:ind w:firstLine="420"/>
              <w:rPr>
                <w:rFonts w:hint="eastAsia" w:ascii="微软雅黑" w:hAnsi="微软雅黑"/>
                <w:color w:val="auto"/>
                <w:szCs w:val="21"/>
                <w:highlight w:val="none"/>
              </w:rPr>
            </w:pPr>
            <w:bookmarkStart w:id="129" w:name="_Toc493511759"/>
            <w:r>
              <w:rPr>
                <w:rFonts w:hint="eastAsia" w:ascii="微软雅黑" w:hAnsi="微软雅黑"/>
                <w:color w:val="auto"/>
                <w:szCs w:val="21"/>
                <w:highlight w:val="none"/>
              </w:rPr>
              <w:t>500-1000</w:t>
            </w:r>
            <w:bookmarkEnd w:id="129"/>
          </w:p>
        </w:tc>
        <w:tc>
          <w:tcPr>
            <w:tcW w:w="2160" w:type="dxa"/>
            <w:tcBorders>
              <w:top w:val="single" w:color="auto" w:sz="6" w:space="0"/>
              <w:left w:val="single" w:color="auto" w:sz="6" w:space="0"/>
              <w:bottom w:val="single" w:color="auto" w:sz="6" w:space="0"/>
              <w:right w:val="single" w:color="auto" w:sz="6" w:space="0"/>
            </w:tcBorders>
          </w:tcPr>
          <w:p w14:paraId="748E04AC">
            <w:pPr>
              <w:spacing w:line="500" w:lineRule="exact"/>
              <w:ind w:firstLine="420"/>
              <w:rPr>
                <w:rFonts w:hint="eastAsia" w:ascii="微软雅黑" w:hAnsi="微软雅黑"/>
                <w:color w:val="auto"/>
                <w:szCs w:val="21"/>
                <w:highlight w:val="none"/>
              </w:rPr>
            </w:pPr>
            <w:r>
              <w:rPr>
                <w:rFonts w:hint="eastAsia" w:ascii="微软雅黑" w:hAnsi="微软雅黑"/>
                <w:color w:val="auto"/>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5E54A554">
            <w:pPr>
              <w:spacing w:line="500" w:lineRule="exact"/>
              <w:ind w:firstLine="420"/>
              <w:rPr>
                <w:rFonts w:hint="eastAsia" w:ascii="微软雅黑" w:hAnsi="微软雅黑"/>
                <w:color w:val="auto"/>
                <w:szCs w:val="21"/>
                <w:highlight w:val="none"/>
              </w:rPr>
            </w:pPr>
            <w:bookmarkStart w:id="130" w:name="_Toc493511760"/>
            <w:r>
              <w:rPr>
                <w:rFonts w:hint="eastAsia" w:ascii="微软雅黑" w:hAnsi="微软雅黑"/>
                <w:color w:val="auto"/>
                <w:szCs w:val="21"/>
                <w:highlight w:val="none"/>
              </w:rPr>
              <w:t>0.45％</w:t>
            </w:r>
            <w:bookmarkEnd w:id="130"/>
          </w:p>
        </w:tc>
      </w:tr>
    </w:tbl>
    <w:p w14:paraId="36EE2445">
      <w:pPr>
        <w:spacing w:line="500" w:lineRule="exact"/>
        <w:ind w:firstLine="420"/>
        <w:rPr>
          <w:rFonts w:hint="eastAsia" w:ascii="微软雅黑" w:hAnsi="微软雅黑"/>
          <w:color w:val="auto"/>
          <w:szCs w:val="21"/>
          <w:highlight w:val="none"/>
        </w:rPr>
      </w:pPr>
      <w:bookmarkStart w:id="131" w:name="_Toc493511761"/>
      <w:r>
        <w:rPr>
          <w:rFonts w:hint="eastAsia" w:ascii="微软雅黑" w:hAnsi="微软雅黑"/>
          <w:color w:val="auto"/>
          <w:szCs w:val="21"/>
          <w:highlight w:val="none"/>
        </w:rPr>
        <w:t>例如：某项目服务类招标代理业务中标金额为900万元，计算中标服务费收费额如下：</w:t>
      </w:r>
      <w:bookmarkEnd w:id="131"/>
    </w:p>
    <w:p w14:paraId="7B518BBF">
      <w:pPr>
        <w:spacing w:line="500" w:lineRule="exact"/>
        <w:ind w:firstLine="420"/>
        <w:rPr>
          <w:rFonts w:hint="eastAsia" w:ascii="微软雅黑" w:hAnsi="微软雅黑"/>
          <w:color w:val="auto"/>
          <w:szCs w:val="21"/>
          <w:highlight w:val="none"/>
        </w:rPr>
      </w:pPr>
      <w:bookmarkStart w:id="132" w:name="_Toc493511762"/>
      <w:r>
        <w:rPr>
          <w:rFonts w:hint="eastAsia" w:ascii="微软雅黑" w:hAnsi="微软雅黑"/>
          <w:color w:val="auto"/>
          <w:szCs w:val="21"/>
          <w:highlight w:val="none"/>
        </w:rPr>
        <w:t>100万元 × 1.5% = 1.5万元</w:t>
      </w:r>
      <w:bookmarkEnd w:id="132"/>
    </w:p>
    <w:p w14:paraId="5DEBD086">
      <w:pPr>
        <w:spacing w:line="500" w:lineRule="exact"/>
        <w:ind w:firstLine="420"/>
        <w:rPr>
          <w:rFonts w:hint="eastAsia" w:ascii="微软雅黑" w:hAnsi="微软雅黑"/>
          <w:color w:val="auto"/>
          <w:szCs w:val="21"/>
          <w:highlight w:val="none"/>
        </w:rPr>
      </w:pPr>
      <w:bookmarkStart w:id="133" w:name="_Toc493511763"/>
      <w:r>
        <w:rPr>
          <w:rFonts w:hint="eastAsia" w:ascii="微软雅黑" w:hAnsi="微软雅黑"/>
          <w:color w:val="auto"/>
          <w:szCs w:val="21"/>
          <w:highlight w:val="none"/>
        </w:rPr>
        <w:t>（500-100）万元 × 0.8% = 3.2万元</w:t>
      </w:r>
      <w:bookmarkEnd w:id="133"/>
    </w:p>
    <w:p w14:paraId="3201C43B">
      <w:pPr>
        <w:spacing w:line="500" w:lineRule="exact"/>
        <w:ind w:firstLine="420"/>
        <w:rPr>
          <w:rFonts w:hint="eastAsia" w:ascii="微软雅黑" w:hAnsi="微软雅黑"/>
          <w:color w:val="auto"/>
          <w:szCs w:val="21"/>
          <w:highlight w:val="none"/>
        </w:rPr>
      </w:pPr>
      <w:bookmarkStart w:id="134" w:name="_Toc493511764"/>
      <w:r>
        <w:rPr>
          <w:rFonts w:hint="eastAsia" w:ascii="微软雅黑" w:hAnsi="微软雅黑"/>
          <w:color w:val="auto"/>
          <w:szCs w:val="21"/>
          <w:highlight w:val="none"/>
        </w:rPr>
        <w:t>（900-500）万元×0.45% = 1.8万元</w:t>
      </w:r>
      <w:bookmarkEnd w:id="134"/>
    </w:p>
    <w:p w14:paraId="57959AC2">
      <w:pPr>
        <w:spacing w:line="500" w:lineRule="exact"/>
        <w:ind w:firstLine="420"/>
        <w:rPr>
          <w:rFonts w:hint="eastAsia" w:ascii="微软雅黑" w:hAnsi="微软雅黑"/>
          <w:color w:val="auto"/>
          <w:szCs w:val="21"/>
          <w:highlight w:val="none"/>
        </w:rPr>
      </w:pPr>
      <w:bookmarkStart w:id="135" w:name="_Toc493511765"/>
      <w:r>
        <w:rPr>
          <w:rFonts w:hint="eastAsia" w:ascii="微软雅黑" w:hAnsi="微软雅黑"/>
          <w:color w:val="auto"/>
          <w:szCs w:val="21"/>
          <w:highlight w:val="none"/>
        </w:rPr>
        <w:t>计收费 = 1.5万元 + 3.2万元+1.8万元 = 6.5万元</w:t>
      </w:r>
      <w:bookmarkEnd w:id="135"/>
    </w:p>
    <w:p w14:paraId="2367B01C">
      <w:pPr>
        <w:spacing w:line="500" w:lineRule="exact"/>
        <w:ind w:firstLine="420"/>
        <w:rPr>
          <w:rFonts w:hint="eastAsia" w:ascii="微软雅黑" w:hAnsi="微软雅黑"/>
          <w:color w:val="auto"/>
          <w:szCs w:val="21"/>
          <w:highlight w:val="none"/>
        </w:rPr>
      </w:pPr>
      <w:bookmarkStart w:id="136" w:name="_Toc493511766"/>
      <w:r>
        <w:rPr>
          <w:rFonts w:ascii="微软雅黑" w:hAnsi="微软雅黑"/>
          <w:color w:val="auto"/>
          <w:szCs w:val="21"/>
          <w:highlight w:val="none"/>
        </w:rPr>
        <w:t>3、</w:t>
      </w:r>
      <w:bookmarkEnd w:id="136"/>
      <w:r>
        <w:rPr>
          <w:rFonts w:hint="eastAsia" w:ascii="微软雅黑" w:hAnsi="微软雅黑" w:cs="微软雅黑"/>
          <w:color w:val="auto"/>
          <w:szCs w:val="21"/>
          <w:highlight w:val="none"/>
        </w:rPr>
        <w:t>本项目以服务类招标收费标准的70%收取中标服务费，对于招标代理服务费不足5000元的按5000元计取招标代理服务费</w:t>
      </w:r>
      <w:r>
        <w:rPr>
          <w:rFonts w:hint="eastAsia" w:ascii="微软雅黑" w:hAnsi="微软雅黑"/>
          <w:color w:val="auto"/>
          <w:szCs w:val="21"/>
          <w:highlight w:val="none"/>
        </w:rPr>
        <w:t>。</w:t>
      </w:r>
    </w:p>
    <w:p w14:paraId="3196A561">
      <w:pPr>
        <w:spacing w:line="500" w:lineRule="exact"/>
        <w:ind w:firstLine="420"/>
        <w:rPr>
          <w:rFonts w:hint="eastAsia" w:ascii="微软雅黑" w:hAnsi="微软雅黑"/>
          <w:color w:val="auto"/>
          <w:szCs w:val="21"/>
          <w:highlight w:val="none"/>
        </w:rPr>
      </w:pPr>
      <w:bookmarkStart w:id="137" w:name="_Toc493511767"/>
      <w:r>
        <w:rPr>
          <w:rFonts w:hint="eastAsia" w:ascii="微软雅黑" w:hAnsi="微软雅黑"/>
          <w:color w:val="auto"/>
          <w:szCs w:val="21"/>
          <w:highlight w:val="none"/>
        </w:rPr>
        <w:t>4、服务费的货币为人民币。</w:t>
      </w:r>
      <w:bookmarkEnd w:id="137"/>
    </w:p>
    <w:p w14:paraId="168F6112">
      <w:pPr>
        <w:spacing w:line="500" w:lineRule="exact"/>
        <w:ind w:firstLine="420"/>
        <w:rPr>
          <w:rFonts w:hint="eastAsia" w:ascii="微软雅黑" w:hAnsi="微软雅黑"/>
          <w:color w:val="auto"/>
          <w:szCs w:val="21"/>
          <w:highlight w:val="none"/>
        </w:rPr>
      </w:pPr>
      <w:bookmarkStart w:id="138" w:name="_Toc493511768"/>
      <w:r>
        <w:rPr>
          <w:rFonts w:hint="eastAsia" w:ascii="微软雅黑" w:hAnsi="微软雅黑"/>
          <w:color w:val="auto"/>
          <w:szCs w:val="21"/>
          <w:highlight w:val="none"/>
        </w:rPr>
        <w:t>5、服务费支付方式：一次性以银行划账、电汇、汇票或支票的形式支付。</w:t>
      </w:r>
      <w:bookmarkEnd w:id="138"/>
    </w:p>
    <w:p w14:paraId="380E28AB">
      <w:pPr>
        <w:spacing w:line="500" w:lineRule="exact"/>
        <w:ind w:firstLine="420"/>
        <w:rPr>
          <w:rFonts w:hint="eastAsia" w:ascii="微软雅黑" w:hAnsi="微软雅黑"/>
          <w:color w:val="auto"/>
          <w:szCs w:val="21"/>
          <w:highlight w:val="none"/>
        </w:rPr>
      </w:pPr>
      <w:bookmarkStart w:id="139" w:name="_Toc493511769"/>
      <w:r>
        <w:rPr>
          <w:rFonts w:hint="eastAsia" w:ascii="微软雅黑" w:hAnsi="微软雅黑"/>
          <w:color w:val="auto"/>
          <w:szCs w:val="21"/>
          <w:highlight w:val="none"/>
        </w:rPr>
        <w:t>6、服务费以银行划账方式按下列要求提交：</w:t>
      </w:r>
      <w:bookmarkEnd w:id="139"/>
    </w:p>
    <w:p w14:paraId="7A33183D">
      <w:pPr>
        <w:spacing w:line="500" w:lineRule="exact"/>
        <w:ind w:firstLine="420"/>
        <w:rPr>
          <w:rFonts w:hint="eastAsia" w:ascii="微软雅黑" w:hAnsi="微软雅黑"/>
          <w:color w:val="auto"/>
          <w:szCs w:val="21"/>
          <w:highlight w:val="none"/>
        </w:rPr>
      </w:pPr>
      <w:bookmarkStart w:id="140" w:name="_Toc493511770"/>
      <w:r>
        <w:rPr>
          <w:rFonts w:hint="eastAsia" w:ascii="微软雅黑" w:hAnsi="微软雅黑"/>
          <w:color w:val="auto"/>
          <w:szCs w:val="21"/>
          <w:highlight w:val="none"/>
        </w:rPr>
        <w:t>收款人：嘉兴市千秋工程咨询有限公司</w:t>
      </w:r>
      <w:bookmarkEnd w:id="140"/>
    </w:p>
    <w:p w14:paraId="090204B5">
      <w:pPr>
        <w:spacing w:line="500" w:lineRule="exact"/>
        <w:ind w:firstLine="420"/>
        <w:rPr>
          <w:rFonts w:hint="eastAsia" w:ascii="微软雅黑" w:hAnsi="微软雅黑"/>
          <w:color w:val="auto"/>
          <w:szCs w:val="21"/>
          <w:highlight w:val="none"/>
        </w:rPr>
      </w:pPr>
      <w:bookmarkStart w:id="141" w:name="_Toc493511771"/>
      <w:r>
        <w:rPr>
          <w:rFonts w:hint="eastAsia" w:ascii="微软雅黑" w:hAnsi="微软雅黑"/>
          <w:color w:val="auto"/>
          <w:szCs w:val="21"/>
          <w:highlight w:val="none"/>
        </w:rPr>
        <w:t>户名：嘉兴市千秋工程咨询有限公司</w:t>
      </w:r>
      <w:bookmarkEnd w:id="141"/>
    </w:p>
    <w:p w14:paraId="48BB8758">
      <w:pPr>
        <w:spacing w:line="500" w:lineRule="exact"/>
        <w:ind w:firstLine="420"/>
        <w:rPr>
          <w:rFonts w:hint="eastAsia" w:ascii="微软雅黑" w:hAnsi="微软雅黑"/>
          <w:color w:val="auto"/>
          <w:szCs w:val="21"/>
          <w:highlight w:val="none"/>
        </w:rPr>
      </w:pPr>
      <w:bookmarkStart w:id="142" w:name="_Toc493511772"/>
      <w:r>
        <w:rPr>
          <w:rFonts w:hint="eastAsia" w:ascii="微软雅黑" w:hAnsi="微软雅黑"/>
          <w:color w:val="auto"/>
          <w:szCs w:val="21"/>
          <w:highlight w:val="none"/>
        </w:rPr>
        <w:t>开户银行：交通银行嘉兴分行</w:t>
      </w:r>
      <w:bookmarkEnd w:id="142"/>
    </w:p>
    <w:p w14:paraId="462D4EDF">
      <w:pPr>
        <w:spacing w:line="500" w:lineRule="exact"/>
        <w:ind w:firstLine="420"/>
        <w:rPr>
          <w:rFonts w:hint="eastAsia" w:ascii="微软雅黑" w:hAnsi="微软雅黑"/>
          <w:color w:val="auto"/>
          <w:szCs w:val="21"/>
          <w:highlight w:val="none"/>
        </w:rPr>
      </w:pPr>
      <w:bookmarkStart w:id="143" w:name="_Toc493511773"/>
      <w:r>
        <w:rPr>
          <w:rFonts w:hint="eastAsia" w:ascii="微软雅黑" w:hAnsi="微软雅黑"/>
          <w:color w:val="auto"/>
          <w:szCs w:val="21"/>
          <w:highlight w:val="none"/>
        </w:rPr>
        <w:t>账号：334601000018170160050</w:t>
      </w:r>
      <w:bookmarkEnd w:id="143"/>
    </w:p>
    <w:p w14:paraId="4975FB65">
      <w:pPr>
        <w:pStyle w:val="102"/>
        <w:numPr>
          <w:ilvl w:val="0"/>
          <w:numId w:val="15"/>
        </w:numPr>
        <w:spacing w:line="500" w:lineRule="exact"/>
        <w:ind w:firstLineChars="0"/>
        <w:rPr>
          <w:rFonts w:hint="eastAsia" w:ascii="微软雅黑" w:hAnsi="微软雅黑"/>
          <w:color w:val="auto"/>
          <w:szCs w:val="21"/>
          <w:highlight w:val="none"/>
        </w:rPr>
      </w:pPr>
      <w:bookmarkStart w:id="144" w:name="_Toc493511775"/>
      <w:r>
        <w:rPr>
          <w:rFonts w:hint="eastAsia" w:ascii="微软雅黑" w:hAnsi="微软雅黑"/>
          <w:color w:val="auto"/>
          <w:szCs w:val="21"/>
          <w:highlight w:val="none"/>
        </w:rPr>
        <w:t>服务费不在投标报价中单列。</w:t>
      </w:r>
      <w:bookmarkEnd w:id="144"/>
    </w:p>
    <w:p w14:paraId="18FF1D05">
      <w:pPr>
        <w:pStyle w:val="50"/>
        <w:spacing w:before="0" w:after="0"/>
        <w:ind w:firstLine="640"/>
        <w:outlineLvl w:val="9"/>
        <w:rPr>
          <w:rFonts w:hint="eastAsia" w:ascii="微软雅黑" w:hAnsi="微软雅黑"/>
          <w:color w:val="auto"/>
          <w:highlight w:val="none"/>
        </w:rPr>
        <w:sectPr>
          <w:footerReference r:id="rId20" w:type="first"/>
          <w:footerReference r:id="rId19" w:type="default"/>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45" w:name="_Toc25435"/>
      <w:bookmarkStart w:id="146" w:name="_Toc493511776"/>
      <w:bookmarkStart w:id="147" w:name="_Toc177870559"/>
      <w:bookmarkStart w:id="148" w:name="_Toc170792807"/>
      <w:bookmarkStart w:id="149" w:name="_Toc493511826"/>
      <w:bookmarkStart w:id="150" w:name="_Toc416422800"/>
      <w:bookmarkStart w:id="151" w:name="_Toc170792802"/>
      <w:bookmarkStart w:id="152" w:name="_Toc417992896"/>
    </w:p>
    <w:p w14:paraId="309AD436">
      <w:pPr>
        <w:pStyle w:val="2"/>
        <w:numPr>
          <w:ilvl w:val="0"/>
          <w:numId w:val="3"/>
        </w:numPr>
        <w:rPr>
          <w:rStyle w:val="65"/>
          <w:b/>
          <w:bCs/>
          <w:color w:val="auto"/>
          <w:highlight w:val="none"/>
        </w:rPr>
      </w:pPr>
      <w:bookmarkStart w:id="153" w:name="_Toc27645"/>
      <w:r>
        <w:rPr>
          <w:rStyle w:val="65"/>
          <w:rFonts w:hint="eastAsia"/>
          <w:b/>
          <w:bCs/>
          <w:color w:val="auto"/>
          <w:highlight w:val="none"/>
        </w:rPr>
        <w:t>评标办法及评分标准</w:t>
      </w:r>
      <w:bookmarkEnd w:id="145"/>
      <w:bookmarkEnd w:id="146"/>
      <w:bookmarkEnd w:id="153"/>
    </w:p>
    <w:p w14:paraId="0BE308BE">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为公正、公平、科学地选择中标供应商，根据《中华人民共和国政府采购法》等有关法律法规的规定，并结合本项目的实际，制定本办法。</w:t>
      </w:r>
    </w:p>
    <w:p w14:paraId="479A2921">
      <w:pPr>
        <w:spacing w:line="600" w:lineRule="exact"/>
        <w:ind w:firstLine="420"/>
        <w:rPr>
          <w:rFonts w:hint="eastAsia" w:ascii="微软雅黑" w:hAnsi="微软雅黑"/>
          <w:color w:val="auto"/>
          <w:szCs w:val="21"/>
          <w:highlight w:val="none"/>
        </w:rPr>
      </w:pPr>
      <w:r>
        <w:rPr>
          <w:rFonts w:hint="eastAsia" w:ascii="宋体" w:hAnsi="宋体"/>
          <w:color w:val="auto"/>
          <w:highlight w:val="none"/>
        </w:rPr>
        <w:t>本办法适用于本项目的评标</w:t>
      </w:r>
      <w:r>
        <w:rPr>
          <w:rFonts w:hint="eastAsia" w:ascii="微软雅黑" w:hAnsi="微软雅黑"/>
          <w:color w:val="auto"/>
          <w:szCs w:val="21"/>
          <w:highlight w:val="none"/>
        </w:rPr>
        <w:t>。</w:t>
      </w:r>
    </w:p>
    <w:bookmarkEnd w:id="147"/>
    <w:bookmarkEnd w:id="148"/>
    <w:p w14:paraId="24D27CE6">
      <w:pPr>
        <w:pStyle w:val="3"/>
        <w:ind w:firstLine="420"/>
        <w:rPr>
          <w:rFonts w:hint="eastAsia" w:ascii="微软雅黑" w:hAnsi="微软雅黑"/>
          <w:b w:val="0"/>
          <w:color w:val="auto"/>
          <w:szCs w:val="21"/>
          <w:highlight w:val="none"/>
        </w:rPr>
      </w:pPr>
      <w:bookmarkStart w:id="154" w:name="_Toc597"/>
      <w:r>
        <w:rPr>
          <w:rFonts w:hint="eastAsia" w:ascii="微软雅黑" w:hAnsi="微软雅黑"/>
          <w:color w:val="auto"/>
          <w:szCs w:val="21"/>
          <w:highlight w:val="none"/>
        </w:rPr>
        <w:t>一、总则</w:t>
      </w:r>
      <w:bookmarkEnd w:id="154"/>
    </w:p>
    <w:p w14:paraId="7172DE34">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438CDADF">
      <w:pPr>
        <w:spacing w:before="120" w:beforeLines="50" w:after="120" w:afterLines="50"/>
        <w:ind w:firstLine="420"/>
        <w:rPr>
          <w:rFonts w:hint="eastAsia" w:ascii="宋体" w:hAnsi="宋体"/>
          <w:color w:val="auto"/>
          <w:highlight w:val="none"/>
        </w:rPr>
      </w:pPr>
      <w:r>
        <w:rPr>
          <w:rFonts w:hint="eastAsia" w:ascii="宋体" w:hAnsi="宋体"/>
          <w:color w:val="auto"/>
          <w:highlight w:val="none"/>
        </w:rPr>
        <w:t>供应商评标综合得分=价格分+技术分+资信及其他分</w:t>
      </w:r>
    </w:p>
    <w:p w14:paraId="3D6E3ED9">
      <w:pPr>
        <w:pStyle w:val="3"/>
        <w:ind w:firstLine="420"/>
        <w:rPr>
          <w:rFonts w:hint="eastAsia" w:ascii="微软雅黑" w:hAnsi="微软雅黑"/>
          <w:b w:val="0"/>
          <w:color w:val="auto"/>
          <w:szCs w:val="21"/>
          <w:highlight w:val="none"/>
        </w:rPr>
      </w:pPr>
      <w:bookmarkStart w:id="155" w:name="_Toc23206"/>
      <w:r>
        <w:rPr>
          <w:rFonts w:hint="eastAsia" w:ascii="微软雅黑" w:hAnsi="微软雅黑"/>
          <w:color w:val="auto"/>
          <w:szCs w:val="21"/>
          <w:highlight w:val="none"/>
        </w:rPr>
        <w:t>二、评标内容及标准</w:t>
      </w:r>
      <w:bookmarkEnd w:id="155"/>
    </w:p>
    <w:p w14:paraId="7D028B29">
      <w:pPr>
        <w:pStyle w:val="21"/>
        <w:spacing w:before="120" w:beforeLines="50" w:after="120" w:afterLines="50" w:line="360" w:lineRule="auto"/>
        <w:ind w:firstLine="404"/>
        <w:rPr>
          <w:rFonts w:hint="eastAsia" w:ascii="微软雅黑" w:hAnsi="微软雅黑"/>
          <w:b/>
          <w:bCs/>
          <w:color w:val="auto"/>
          <w:sz w:val="21"/>
          <w:szCs w:val="21"/>
          <w:highlight w:val="none"/>
        </w:rPr>
      </w:pPr>
      <w:r>
        <w:rPr>
          <w:rFonts w:hint="eastAsia" w:ascii="微软雅黑" w:hAnsi="微软雅黑"/>
          <w:b/>
          <w:color w:val="auto"/>
          <w:sz w:val="21"/>
          <w:szCs w:val="21"/>
          <w:highlight w:val="none"/>
        </w:rPr>
        <w:t>（一）</w:t>
      </w:r>
      <w:r>
        <w:rPr>
          <w:rFonts w:hint="eastAsia" w:ascii="微软雅黑" w:hAnsi="微软雅黑"/>
          <w:b/>
          <w:bCs/>
          <w:color w:val="auto"/>
          <w:sz w:val="21"/>
          <w:szCs w:val="21"/>
          <w:highlight w:val="none"/>
        </w:rPr>
        <w:t>价格分（</w:t>
      </w:r>
      <w:r>
        <w:rPr>
          <w:rFonts w:hint="eastAsia" w:ascii="微软雅黑" w:hAnsi="微软雅黑"/>
          <w:b/>
          <w:bCs/>
          <w:color w:val="auto"/>
          <w:sz w:val="21"/>
          <w:szCs w:val="21"/>
          <w:highlight w:val="none"/>
          <w:lang w:val="en-US" w:eastAsia="zh-CN"/>
        </w:rPr>
        <w:t>15</w:t>
      </w:r>
      <w:r>
        <w:rPr>
          <w:rFonts w:hint="eastAsia" w:ascii="微软雅黑" w:hAnsi="微软雅黑"/>
          <w:b/>
          <w:bCs/>
          <w:color w:val="auto"/>
          <w:sz w:val="21"/>
          <w:szCs w:val="21"/>
          <w:highlight w:val="none"/>
        </w:rPr>
        <w:t>分）</w:t>
      </w:r>
    </w:p>
    <w:p w14:paraId="20E443C8">
      <w:pPr>
        <w:pStyle w:val="21"/>
        <w:spacing w:before="120" w:beforeLines="50" w:after="120" w:afterLines="50" w:line="360" w:lineRule="auto"/>
        <w:ind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1.价格分采用低价优先法计算，即满足招标文件要求且投标价格最低的投标报价为评标基准价，其他供应商的价格分按照下列公式计算：</w:t>
      </w:r>
    </w:p>
    <w:p w14:paraId="10BC8829">
      <w:pPr>
        <w:spacing w:before="120" w:beforeLines="50" w:after="120" w:afterLines="50"/>
        <w:ind w:firstLine="420"/>
        <w:rPr>
          <w:rFonts w:hint="eastAsia" w:ascii="微软雅黑" w:hAnsi="微软雅黑"/>
          <w:color w:val="auto"/>
          <w:szCs w:val="21"/>
          <w:highlight w:val="none"/>
        </w:rPr>
      </w:pPr>
      <w:r>
        <w:rPr>
          <w:rFonts w:hint="eastAsia" w:ascii="微软雅黑" w:hAnsi="微软雅黑"/>
          <w:color w:val="auto"/>
          <w:szCs w:val="21"/>
          <w:highlight w:val="none"/>
        </w:rPr>
        <w:t>价格分=（评标基准价/投标报价）×</w:t>
      </w:r>
      <w:r>
        <w:rPr>
          <w:rFonts w:hint="eastAsia" w:ascii="微软雅黑" w:hAnsi="微软雅黑"/>
          <w:color w:val="auto"/>
          <w:szCs w:val="21"/>
          <w:highlight w:val="none"/>
          <w:lang w:val="en-US" w:eastAsia="zh-CN"/>
        </w:rPr>
        <w:t>15</w:t>
      </w:r>
      <w:r>
        <w:rPr>
          <w:rFonts w:hint="eastAsia" w:ascii="微软雅黑" w:hAnsi="微软雅黑"/>
          <w:color w:val="auto"/>
          <w:szCs w:val="21"/>
          <w:highlight w:val="none"/>
        </w:rPr>
        <w:t>%×100</w:t>
      </w:r>
    </w:p>
    <w:p w14:paraId="0AF941F8">
      <w:pPr>
        <w:pStyle w:val="21"/>
        <w:spacing w:before="120" w:beforeLines="50" w:after="120" w:afterLines="50" w:line="360" w:lineRule="auto"/>
        <w:ind w:firstLine="404"/>
        <w:rPr>
          <w:rFonts w:hint="eastAsia" w:ascii="微软雅黑" w:hAnsi="微软雅黑"/>
          <w:bCs/>
          <w:color w:val="auto"/>
          <w:sz w:val="21"/>
          <w:szCs w:val="21"/>
          <w:highlight w:val="none"/>
        </w:rPr>
      </w:pPr>
      <w:r>
        <w:rPr>
          <w:rFonts w:hint="eastAsia" w:ascii="微软雅黑" w:hAnsi="微软雅黑"/>
          <w:bCs/>
          <w:color w:val="auto"/>
          <w:sz w:val="21"/>
          <w:szCs w:val="21"/>
          <w:highlight w:val="none"/>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6209E33">
      <w:pPr>
        <w:numPr>
          <w:ilvl w:val="0"/>
          <w:numId w:val="16"/>
        </w:numPr>
        <w:tabs>
          <w:tab w:val="left" w:pos="3870"/>
          <w:tab w:val="left" w:pos="4085"/>
        </w:tabs>
        <w:snapToGrid w:val="0"/>
        <w:ind w:firstLine="420"/>
        <w:outlineLvl w:val="1"/>
        <w:rPr>
          <w:rFonts w:hint="eastAsia" w:ascii="微软雅黑" w:hAnsi="微软雅黑" w:cs="微软雅黑"/>
          <w:b/>
          <w:bCs/>
          <w:color w:val="auto"/>
          <w:szCs w:val="21"/>
          <w:highlight w:val="none"/>
        </w:rPr>
      </w:pPr>
      <w:bookmarkStart w:id="156" w:name="_Toc5085"/>
      <w:r>
        <w:rPr>
          <w:rFonts w:hint="eastAsia" w:ascii="微软雅黑" w:hAnsi="微软雅黑" w:cs="微软雅黑"/>
          <w:b/>
          <w:color w:val="auto"/>
          <w:szCs w:val="21"/>
          <w:highlight w:val="none"/>
        </w:rPr>
        <w:t>技术分</w:t>
      </w:r>
      <w:r>
        <w:rPr>
          <w:rFonts w:hint="eastAsia" w:ascii="微软雅黑" w:hAnsi="微软雅黑" w:cs="微软雅黑"/>
          <w:b/>
          <w:bCs/>
          <w:color w:val="auto"/>
          <w:szCs w:val="21"/>
          <w:highlight w:val="none"/>
        </w:rPr>
        <w:t>：</w:t>
      </w:r>
      <w:bookmarkEnd w:id="156"/>
    </w:p>
    <w:tbl>
      <w:tblPr>
        <w:tblStyle w:val="54"/>
        <w:tblW w:w="9569" w:type="dxa"/>
        <w:tblInd w:w="-180" w:type="dxa"/>
        <w:tblLayout w:type="fixed"/>
        <w:tblCellMar>
          <w:top w:w="0" w:type="dxa"/>
          <w:left w:w="108" w:type="dxa"/>
          <w:bottom w:w="0" w:type="dxa"/>
          <w:right w:w="108" w:type="dxa"/>
        </w:tblCellMar>
      </w:tblPr>
      <w:tblGrid>
        <w:gridCol w:w="676"/>
        <w:gridCol w:w="1276"/>
        <w:gridCol w:w="6104"/>
        <w:gridCol w:w="747"/>
        <w:gridCol w:w="766"/>
      </w:tblGrid>
      <w:tr w14:paraId="3344B2BA">
        <w:tblPrEx>
          <w:tblCellMar>
            <w:top w:w="0" w:type="dxa"/>
            <w:left w:w="108" w:type="dxa"/>
            <w:bottom w:w="0" w:type="dxa"/>
            <w:right w:w="108" w:type="dxa"/>
          </w:tblCellMar>
        </w:tblPrEx>
        <w:trPr>
          <w:trHeight w:val="90" w:hRule="atLeast"/>
        </w:trPr>
        <w:tc>
          <w:tcPr>
            <w:tcW w:w="676" w:type="dxa"/>
            <w:tcBorders>
              <w:top w:val="single" w:color="000000" w:sz="8" w:space="0"/>
              <w:left w:val="single" w:color="000000" w:sz="8" w:space="0"/>
              <w:bottom w:val="single" w:color="000000" w:sz="4" w:space="0"/>
              <w:right w:val="single" w:color="000000" w:sz="4" w:space="0"/>
            </w:tcBorders>
            <w:shd w:val="clear" w:color="auto" w:fill="DAE3F3" w:themeFill="accent1" w:themeFillTint="32"/>
            <w:vAlign w:val="center"/>
          </w:tcPr>
          <w:p w14:paraId="2C9FF729">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序号</w:t>
            </w:r>
          </w:p>
        </w:tc>
        <w:tc>
          <w:tcPr>
            <w:tcW w:w="1276" w:type="dxa"/>
            <w:tcBorders>
              <w:top w:val="single" w:color="000000" w:sz="8" w:space="0"/>
              <w:left w:val="single" w:color="000000" w:sz="4" w:space="0"/>
              <w:bottom w:val="single" w:color="000000" w:sz="4" w:space="0"/>
              <w:right w:val="single" w:color="000000" w:sz="4" w:space="0"/>
            </w:tcBorders>
            <w:shd w:val="clear" w:color="auto" w:fill="DAE3F3" w:themeFill="accent1" w:themeFillTint="32"/>
            <w:vAlign w:val="center"/>
          </w:tcPr>
          <w:p w14:paraId="3CAF32C8">
            <w:pPr>
              <w:widowControl/>
              <w:spacing w:line="240" w:lineRule="auto"/>
              <w:ind w:firstLine="0" w:firstLineChars="0"/>
              <w:jc w:val="center"/>
              <w:rPr>
                <w:rFonts w:hint="eastAsia"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项目</w:t>
            </w:r>
          </w:p>
        </w:tc>
        <w:tc>
          <w:tcPr>
            <w:tcW w:w="6104" w:type="dxa"/>
            <w:tcBorders>
              <w:top w:val="single" w:color="000000" w:sz="8" w:space="0"/>
              <w:left w:val="single" w:color="000000" w:sz="4" w:space="0"/>
              <w:bottom w:val="single" w:color="000000" w:sz="4" w:space="0"/>
              <w:right w:val="single" w:color="000000" w:sz="4" w:space="0"/>
            </w:tcBorders>
            <w:shd w:val="clear" w:color="auto" w:fill="DAE3F3" w:themeFill="accent1" w:themeFillTint="32"/>
            <w:vAlign w:val="center"/>
          </w:tcPr>
          <w:p w14:paraId="1DDFF79A">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评审内容</w:t>
            </w:r>
          </w:p>
        </w:tc>
        <w:tc>
          <w:tcPr>
            <w:tcW w:w="747" w:type="dxa"/>
            <w:tcBorders>
              <w:top w:val="single" w:color="000000" w:sz="8" w:space="0"/>
              <w:left w:val="single" w:color="000000" w:sz="4" w:space="0"/>
              <w:bottom w:val="single" w:color="000000" w:sz="4" w:space="0"/>
              <w:right w:val="single" w:color="000000" w:sz="8" w:space="0"/>
            </w:tcBorders>
            <w:shd w:val="clear" w:color="auto" w:fill="DAE3F3" w:themeFill="accent1" w:themeFillTint="32"/>
            <w:vAlign w:val="center"/>
          </w:tcPr>
          <w:p w14:paraId="2376523C">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最高分值</w:t>
            </w:r>
          </w:p>
        </w:tc>
        <w:tc>
          <w:tcPr>
            <w:tcW w:w="766" w:type="dxa"/>
            <w:tcBorders>
              <w:top w:val="single" w:color="000000" w:sz="8" w:space="0"/>
              <w:left w:val="single" w:color="000000" w:sz="4" w:space="0"/>
              <w:bottom w:val="single" w:color="000000" w:sz="4" w:space="0"/>
              <w:right w:val="single" w:color="000000" w:sz="8" w:space="0"/>
            </w:tcBorders>
            <w:shd w:val="clear" w:color="auto" w:fill="DAE3F3" w:themeFill="accent1" w:themeFillTint="32"/>
            <w:vAlign w:val="center"/>
          </w:tcPr>
          <w:p w14:paraId="294ABAAC">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评分</w:t>
            </w:r>
          </w:p>
          <w:p w14:paraId="6DCCC7E1">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属性</w:t>
            </w:r>
          </w:p>
        </w:tc>
      </w:tr>
      <w:tr w14:paraId="1709EA10">
        <w:tblPrEx>
          <w:tblCellMar>
            <w:top w:w="0" w:type="dxa"/>
            <w:left w:w="108" w:type="dxa"/>
            <w:bottom w:w="0" w:type="dxa"/>
            <w:right w:w="108" w:type="dxa"/>
          </w:tblCellMar>
        </w:tblPrEx>
        <w:trPr>
          <w:trHeight w:val="530" w:hRule="atLeast"/>
        </w:trPr>
        <w:tc>
          <w:tcPr>
            <w:tcW w:w="676" w:type="dxa"/>
            <w:tcBorders>
              <w:top w:val="single" w:color="000000" w:sz="4" w:space="0"/>
              <w:left w:val="single" w:color="000000" w:sz="8" w:space="0"/>
              <w:right w:val="single" w:color="000000" w:sz="4" w:space="0"/>
            </w:tcBorders>
            <w:vAlign w:val="center"/>
          </w:tcPr>
          <w:p w14:paraId="6BEDEE52">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w:t>
            </w:r>
          </w:p>
        </w:tc>
        <w:tc>
          <w:tcPr>
            <w:tcW w:w="1276" w:type="dxa"/>
            <w:tcBorders>
              <w:top w:val="single" w:color="000000" w:sz="4" w:space="0"/>
              <w:left w:val="single" w:color="000000" w:sz="4" w:space="0"/>
              <w:right w:val="single" w:color="000000" w:sz="4" w:space="0"/>
            </w:tcBorders>
            <w:vAlign w:val="center"/>
          </w:tcPr>
          <w:p w14:paraId="3346A428">
            <w:pPr>
              <w:widowControl/>
              <w:spacing w:line="240" w:lineRule="auto"/>
              <w:ind w:firstLine="0" w:firstLineChars="0"/>
              <w:rPr>
                <w:rFonts w:hint="eastAsia"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针对本项目</w:t>
            </w:r>
            <w:r>
              <w:rPr>
                <w:rFonts w:hint="eastAsia" w:ascii="微软雅黑" w:hAnsi="微软雅黑" w:cs="仿宋"/>
                <w:color w:val="auto"/>
                <w:kern w:val="0"/>
                <w:szCs w:val="21"/>
                <w:highlight w:val="none"/>
                <w:lang w:val="en-US" w:eastAsia="zh-CN"/>
              </w:rPr>
              <w:t>总体</w:t>
            </w:r>
            <w:r>
              <w:rPr>
                <w:rFonts w:hint="eastAsia" w:ascii="微软雅黑" w:hAnsi="微软雅黑" w:cs="仿宋"/>
                <w:color w:val="auto"/>
                <w:kern w:val="0"/>
                <w:szCs w:val="21"/>
                <w:highlight w:val="none"/>
              </w:rPr>
              <w:t>的理解</w:t>
            </w:r>
            <w:r>
              <w:rPr>
                <w:rFonts w:hint="eastAsia" w:ascii="微软雅黑" w:hAnsi="微软雅黑" w:cs="仿宋"/>
                <w:color w:val="auto"/>
                <w:kern w:val="0"/>
                <w:szCs w:val="21"/>
                <w:highlight w:val="none"/>
                <w:lang w:val="en-US" w:eastAsia="zh-CN"/>
              </w:rPr>
              <w:t>情况</w:t>
            </w:r>
          </w:p>
        </w:tc>
        <w:tc>
          <w:tcPr>
            <w:tcW w:w="6104" w:type="dxa"/>
            <w:tcBorders>
              <w:top w:val="single" w:color="000000" w:sz="4" w:space="0"/>
              <w:left w:val="single" w:color="000000" w:sz="4" w:space="0"/>
              <w:bottom w:val="single" w:color="auto" w:sz="4" w:space="0"/>
              <w:right w:val="single" w:color="000000" w:sz="4" w:space="0"/>
            </w:tcBorders>
            <w:vAlign w:val="center"/>
          </w:tcPr>
          <w:p w14:paraId="3AFE5DA5">
            <w:pPr>
              <w:widowControl/>
              <w:numPr>
                <w:ilvl w:val="0"/>
                <w:numId w:val="0"/>
              </w:numPr>
              <w:spacing w:line="240" w:lineRule="auto"/>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lang w:val="en-US" w:eastAsia="zh-CN"/>
              </w:rPr>
              <w:t>投标供应商根据自行</w:t>
            </w:r>
            <w:r>
              <w:rPr>
                <w:rFonts w:hint="eastAsia" w:ascii="微软雅黑" w:hAnsi="微软雅黑" w:cs="仿宋"/>
                <w:color w:val="auto"/>
                <w:kern w:val="0"/>
                <w:szCs w:val="21"/>
                <w:highlight w:val="none"/>
                <w:lang w:val="zh-CN"/>
              </w:rPr>
              <w:t>踏勘</w:t>
            </w:r>
            <w:r>
              <w:rPr>
                <w:rFonts w:hint="eastAsia" w:ascii="微软雅黑" w:hAnsi="微软雅黑" w:cs="仿宋"/>
                <w:color w:val="auto"/>
                <w:kern w:val="0"/>
                <w:szCs w:val="21"/>
                <w:highlight w:val="none"/>
                <w:lang w:val="en-US" w:eastAsia="zh-CN"/>
              </w:rPr>
              <w:t>后作出</w:t>
            </w:r>
            <w:r>
              <w:rPr>
                <w:rFonts w:hint="eastAsia" w:ascii="微软雅黑" w:hAnsi="微软雅黑" w:cs="仿宋"/>
                <w:color w:val="auto"/>
                <w:kern w:val="0"/>
                <w:szCs w:val="21"/>
                <w:highlight w:val="none"/>
              </w:rPr>
              <w:t>对该行业的特征、意义的理解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管理需求的理解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本项目实现目标的理解</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根据理解情况</w:t>
            </w:r>
            <w:r>
              <w:rPr>
                <w:rFonts w:hint="eastAsia" w:ascii="微软雅黑" w:hAnsi="微软雅黑" w:cs="微软雅黑"/>
                <w:color w:val="auto"/>
                <w:szCs w:val="21"/>
                <w:highlight w:val="none"/>
              </w:rPr>
              <w:t>是否与采购需求符合性或匹配度进行打分</w:t>
            </w:r>
            <w:r>
              <w:rPr>
                <w:rFonts w:hint="eastAsia" w:ascii="微软雅黑" w:hAnsi="微软雅黑" w:cs="仿宋"/>
                <w:color w:val="auto"/>
                <w:kern w:val="0"/>
                <w:szCs w:val="21"/>
                <w:highlight w:val="none"/>
              </w:rPr>
              <w:t>：</w:t>
            </w:r>
          </w:p>
          <w:p w14:paraId="78E16C21">
            <w:pPr>
              <w:widowControl/>
              <w:numPr>
                <w:ilvl w:val="0"/>
                <w:numId w:val="0"/>
              </w:numPr>
              <w:spacing w:line="240" w:lineRule="auto"/>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理解透彻，完全符合本项目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分；基本符合得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val="en-US" w:eastAsia="zh-CN"/>
              </w:rPr>
              <w:t>；</w:t>
            </w:r>
            <w:r>
              <w:rPr>
                <w:rFonts w:hint="eastAsia" w:ascii="微软雅黑" w:hAnsi="微软雅黑" w:cs="仿宋"/>
                <w:color w:val="auto"/>
                <w:kern w:val="0"/>
                <w:szCs w:val="21"/>
                <w:highlight w:val="none"/>
              </w:rPr>
              <w:t>没有完</w:t>
            </w:r>
            <w:r>
              <w:rPr>
                <w:rFonts w:hint="eastAsia" w:ascii="微软雅黑" w:hAnsi="微软雅黑" w:cs="仿宋"/>
                <w:color w:val="auto"/>
                <w:kern w:val="0"/>
                <w:szCs w:val="21"/>
                <w:highlight w:val="none"/>
                <w:lang w:val="en-US" w:eastAsia="zh-CN"/>
              </w:rPr>
              <w:t>全</w:t>
            </w:r>
            <w:r>
              <w:rPr>
                <w:rFonts w:hint="eastAsia" w:ascii="微软雅黑" w:hAnsi="微软雅黑" w:cs="仿宋"/>
                <w:color w:val="auto"/>
                <w:kern w:val="0"/>
                <w:szCs w:val="21"/>
                <w:highlight w:val="none"/>
              </w:rPr>
              <w:t>理解，</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分；没有不得分</w:t>
            </w:r>
            <w:r>
              <w:rPr>
                <w:rFonts w:hint="eastAsia" w:ascii="微软雅黑" w:hAnsi="微软雅黑" w:cs="仿宋"/>
                <w:color w:val="auto"/>
                <w:kern w:val="0"/>
                <w:szCs w:val="21"/>
                <w:highlight w:val="none"/>
                <w:lang w:eastAsia="zh-CN"/>
              </w:rPr>
              <w:t>。</w:t>
            </w:r>
          </w:p>
        </w:tc>
        <w:tc>
          <w:tcPr>
            <w:tcW w:w="747" w:type="dxa"/>
            <w:tcBorders>
              <w:top w:val="single" w:color="000000" w:sz="4" w:space="0"/>
              <w:left w:val="single" w:color="000000" w:sz="4" w:space="0"/>
              <w:bottom w:val="single" w:color="auto" w:sz="4" w:space="0"/>
              <w:right w:val="single" w:color="000000" w:sz="8" w:space="0"/>
            </w:tcBorders>
            <w:vAlign w:val="center"/>
          </w:tcPr>
          <w:p w14:paraId="5C57F84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auto" w:sz="4" w:space="0"/>
              <w:right w:val="single" w:color="000000" w:sz="8" w:space="0"/>
            </w:tcBorders>
            <w:vAlign w:val="center"/>
          </w:tcPr>
          <w:p w14:paraId="625CF62F">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0FD3E86E">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right w:val="single" w:color="000000" w:sz="4" w:space="0"/>
            </w:tcBorders>
            <w:vAlign w:val="center"/>
          </w:tcPr>
          <w:p w14:paraId="6BBBA830">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1276" w:type="dxa"/>
            <w:vMerge w:val="restart"/>
            <w:tcBorders>
              <w:top w:val="single" w:color="auto" w:sz="4" w:space="0"/>
              <w:left w:val="single" w:color="000000" w:sz="4" w:space="0"/>
              <w:right w:val="single" w:color="000000" w:sz="4" w:space="0"/>
            </w:tcBorders>
            <w:vAlign w:val="center"/>
          </w:tcPr>
          <w:p w14:paraId="23DCBB97">
            <w:pPr>
              <w:widowControl/>
              <w:spacing w:line="240" w:lineRule="auto"/>
              <w:ind w:firstLine="0" w:firstLineChars="0"/>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投标供应商根据自行</w:t>
            </w:r>
            <w:r>
              <w:rPr>
                <w:rFonts w:hint="eastAsia" w:ascii="微软雅黑" w:hAnsi="微软雅黑" w:cs="仿宋"/>
                <w:color w:val="auto"/>
                <w:kern w:val="0"/>
                <w:szCs w:val="21"/>
                <w:highlight w:val="none"/>
                <w:lang w:val="zh-CN"/>
              </w:rPr>
              <w:t>踏勘</w:t>
            </w:r>
            <w:r>
              <w:rPr>
                <w:rFonts w:hint="eastAsia" w:ascii="微软雅黑" w:hAnsi="微软雅黑" w:cs="仿宋"/>
                <w:color w:val="auto"/>
                <w:kern w:val="0"/>
                <w:szCs w:val="21"/>
                <w:highlight w:val="none"/>
                <w:lang w:val="en-US" w:eastAsia="zh-CN"/>
              </w:rPr>
              <w:t>后，</w:t>
            </w:r>
            <w:r>
              <w:rPr>
                <w:rFonts w:hint="eastAsia" w:ascii="微软雅黑" w:hAnsi="微软雅黑" w:cs="仿宋"/>
                <w:color w:val="auto"/>
                <w:kern w:val="0"/>
                <w:szCs w:val="21"/>
                <w:highlight w:val="none"/>
              </w:rPr>
              <w:t>针对本项目</w:t>
            </w:r>
            <w:r>
              <w:rPr>
                <w:rFonts w:hint="eastAsia" w:ascii="微软雅黑" w:hAnsi="微软雅黑" w:cs="仿宋"/>
                <w:color w:val="auto"/>
                <w:kern w:val="0"/>
                <w:szCs w:val="21"/>
                <w:highlight w:val="none"/>
                <w:lang w:val="en-US" w:eastAsia="zh-CN"/>
              </w:rPr>
              <w:t>（三馆）及融合运营情况的分析及阐述</w:t>
            </w:r>
          </w:p>
        </w:tc>
        <w:tc>
          <w:tcPr>
            <w:tcW w:w="6104" w:type="dxa"/>
            <w:tcBorders>
              <w:top w:val="single" w:color="000000" w:sz="4" w:space="0"/>
              <w:left w:val="single" w:color="000000" w:sz="4" w:space="0"/>
              <w:bottom w:val="single" w:color="auto" w:sz="4" w:space="0"/>
              <w:right w:val="single" w:color="000000" w:sz="4" w:space="0"/>
            </w:tcBorders>
            <w:vAlign w:val="center"/>
          </w:tcPr>
          <w:p w14:paraId="16506C11">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（1）对图书馆的了解，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000000" w:sz="4" w:space="0"/>
              <w:left w:val="single" w:color="000000" w:sz="4" w:space="0"/>
              <w:bottom w:val="single" w:color="auto" w:sz="4" w:space="0"/>
              <w:right w:val="single" w:color="000000" w:sz="8" w:space="0"/>
            </w:tcBorders>
            <w:vAlign w:val="center"/>
          </w:tcPr>
          <w:p w14:paraId="61FE4DC2">
            <w:pPr>
              <w:spacing w:line="240" w:lineRule="auto"/>
              <w:ind w:firstLine="0" w:firstLineChars="0"/>
              <w:jc w:val="center"/>
              <w:rPr>
                <w:rFonts w:hint="default" w:ascii="微软雅黑" w:hAnsi="微软雅黑" w:cs="仿宋"/>
                <w:color w:val="auto"/>
                <w:szCs w:val="21"/>
                <w:highlight w:val="none"/>
                <w:lang w:val="en-US"/>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auto" w:sz="4" w:space="0"/>
              <w:right w:val="single" w:color="000000" w:sz="8" w:space="0"/>
            </w:tcBorders>
            <w:vAlign w:val="center"/>
          </w:tcPr>
          <w:p w14:paraId="69C95C10">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6FE286BD">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409C7F70">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w:t>
            </w:r>
          </w:p>
        </w:tc>
        <w:tc>
          <w:tcPr>
            <w:tcW w:w="1276" w:type="dxa"/>
            <w:vMerge w:val="continue"/>
            <w:tcBorders>
              <w:left w:val="single" w:color="000000" w:sz="4" w:space="0"/>
              <w:right w:val="single" w:color="000000" w:sz="4" w:space="0"/>
            </w:tcBorders>
            <w:vAlign w:val="center"/>
          </w:tcPr>
          <w:p w14:paraId="02A9FB20">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338089BA">
            <w:pPr>
              <w:widowControl/>
              <w:spacing w:line="240" w:lineRule="auto"/>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2</w:t>
            </w:r>
            <w:r>
              <w:rPr>
                <w:rFonts w:hint="eastAsia" w:ascii="微软雅黑" w:hAnsi="微软雅黑" w:cs="仿宋"/>
                <w:color w:val="auto"/>
                <w:kern w:val="0"/>
                <w:szCs w:val="21"/>
                <w:highlight w:val="none"/>
              </w:rPr>
              <w:t>）对非遗馆的了解，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auto" w:sz="4" w:space="0"/>
              <w:right w:val="single" w:color="000000" w:sz="8" w:space="0"/>
            </w:tcBorders>
            <w:vAlign w:val="center"/>
          </w:tcPr>
          <w:p w14:paraId="5EC30744">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auto" w:sz="4" w:space="0"/>
              <w:right w:val="single" w:color="000000" w:sz="8" w:space="0"/>
            </w:tcBorders>
            <w:vAlign w:val="center"/>
          </w:tcPr>
          <w:p w14:paraId="4E8E511F">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3B0F7D58">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0B32A5CE">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4</w:t>
            </w:r>
          </w:p>
        </w:tc>
        <w:tc>
          <w:tcPr>
            <w:tcW w:w="1276" w:type="dxa"/>
            <w:vMerge w:val="continue"/>
            <w:tcBorders>
              <w:left w:val="single" w:color="000000" w:sz="4" w:space="0"/>
              <w:right w:val="single" w:color="000000" w:sz="4" w:space="0"/>
            </w:tcBorders>
            <w:vAlign w:val="center"/>
          </w:tcPr>
          <w:p w14:paraId="0704B3A7">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40DFA4A0">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）对农民画艺术馆的了解，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auto" w:sz="4" w:space="0"/>
              <w:right w:val="single" w:color="000000" w:sz="8" w:space="0"/>
            </w:tcBorders>
            <w:vAlign w:val="center"/>
          </w:tcPr>
          <w:p w14:paraId="62177BB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auto" w:sz="4" w:space="0"/>
              <w:right w:val="single" w:color="000000" w:sz="8" w:space="0"/>
            </w:tcBorders>
            <w:vAlign w:val="center"/>
          </w:tcPr>
          <w:p w14:paraId="7177C8EA">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4CF9FD35">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auto" w:sz="4" w:space="0"/>
              <w:right w:val="single" w:color="000000" w:sz="4" w:space="0"/>
            </w:tcBorders>
            <w:vAlign w:val="center"/>
          </w:tcPr>
          <w:p w14:paraId="624CD245">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w:t>
            </w:r>
          </w:p>
        </w:tc>
        <w:tc>
          <w:tcPr>
            <w:tcW w:w="1276" w:type="dxa"/>
            <w:vMerge w:val="continue"/>
            <w:tcBorders>
              <w:left w:val="single" w:color="000000" w:sz="4" w:space="0"/>
              <w:bottom w:val="single" w:color="auto" w:sz="4" w:space="0"/>
              <w:right w:val="single" w:color="000000" w:sz="4" w:space="0"/>
            </w:tcBorders>
            <w:vAlign w:val="center"/>
          </w:tcPr>
          <w:p w14:paraId="15F13D29">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000000" w:sz="4" w:space="0"/>
              <w:right w:val="single" w:color="000000" w:sz="4" w:space="0"/>
            </w:tcBorders>
            <w:vAlign w:val="center"/>
          </w:tcPr>
          <w:p w14:paraId="453DB47B">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4</w:t>
            </w:r>
            <w:r>
              <w:rPr>
                <w:rFonts w:hint="eastAsia" w:ascii="微软雅黑" w:hAnsi="微软雅黑" w:cs="仿宋"/>
                <w:color w:val="auto"/>
                <w:kern w:val="0"/>
                <w:szCs w:val="21"/>
                <w:highlight w:val="none"/>
              </w:rPr>
              <w:t>）对三馆融合运营的了解，</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r>
              <w:rPr>
                <w:rFonts w:hint="eastAsia" w:ascii="微软雅黑" w:hAnsi="微软雅黑" w:cs="仿宋"/>
                <w:color w:val="auto"/>
                <w:kern w:val="0"/>
                <w:szCs w:val="21"/>
                <w:highlight w:val="none"/>
              </w:rPr>
              <w:t>根据投标供应商的详细阐述，完全符合本项目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分；，基本符合得1分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不能</w:t>
            </w:r>
            <w:r>
              <w:rPr>
                <w:rFonts w:hint="eastAsia" w:ascii="微软雅黑" w:hAnsi="微软雅黑" w:cs="仿宋"/>
                <w:color w:val="auto"/>
                <w:kern w:val="0"/>
                <w:szCs w:val="21"/>
                <w:highlight w:val="none"/>
              </w:rPr>
              <w:t>完全符合本项目</w:t>
            </w:r>
            <w:r>
              <w:rPr>
                <w:rFonts w:hint="eastAsia" w:ascii="微软雅黑" w:hAnsi="微软雅黑" w:cs="仿宋"/>
                <w:color w:val="auto"/>
                <w:kern w:val="0"/>
                <w:szCs w:val="21"/>
                <w:highlight w:val="none"/>
                <w:lang w:val="en-US" w:eastAsia="zh-CN"/>
              </w:rPr>
              <w:t>采购需求，</w:t>
            </w:r>
            <w:r>
              <w:rPr>
                <w:rFonts w:hint="eastAsia" w:ascii="微软雅黑" w:hAnsi="微软雅黑" w:cs="仿宋"/>
                <w:color w:val="auto"/>
                <w:kern w:val="0"/>
                <w:szCs w:val="21"/>
                <w:highlight w:val="none"/>
              </w:rPr>
              <w:t>有欠缺的得0.5分；没有不得分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auto" w:sz="4" w:space="0"/>
              <w:left w:val="single" w:color="000000" w:sz="4" w:space="0"/>
              <w:bottom w:val="single" w:color="000000" w:sz="4" w:space="0"/>
              <w:right w:val="single" w:color="000000" w:sz="8" w:space="0"/>
            </w:tcBorders>
            <w:vAlign w:val="center"/>
          </w:tcPr>
          <w:p w14:paraId="3B5428A7">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auto" w:sz="4" w:space="0"/>
              <w:left w:val="single" w:color="000000" w:sz="4" w:space="0"/>
              <w:bottom w:val="single" w:color="000000" w:sz="4" w:space="0"/>
              <w:right w:val="single" w:color="000000" w:sz="8" w:space="0"/>
            </w:tcBorders>
            <w:vAlign w:val="center"/>
          </w:tcPr>
          <w:p w14:paraId="595DBBB3">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13F46E95">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right w:val="single" w:color="000000" w:sz="4" w:space="0"/>
            </w:tcBorders>
            <w:shd w:val="clear" w:color="auto" w:fill="auto"/>
            <w:vAlign w:val="center"/>
          </w:tcPr>
          <w:p w14:paraId="4DABC067">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6</w:t>
            </w:r>
          </w:p>
        </w:tc>
        <w:tc>
          <w:tcPr>
            <w:tcW w:w="1276" w:type="dxa"/>
            <w:vMerge w:val="restart"/>
            <w:tcBorders>
              <w:top w:val="single" w:color="auto" w:sz="4" w:space="0"/>
              <w:left w:val="single" w:color="000000" w:sz="4" w:space="0"/>
              <w:right w:val="single" w:color="000000" w:sz="4" w:space="0"/>
            </w:tcBorders>
            <w:shd w:val="clear" w:color="auto" w:fill="FFFFFF"/>
            <w:vAlign w:val="center"/>
          </w:tcPr>
          <w:p w14:paraId="3B462CE8">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b w:val="0"/>
                <w:bCs w:val="0"/>
                <w:color w:val="auto"/>
                <w:kern w:val="0"/>
                <w:szCs w:val="21"/>
                <w:highlight w:val="none"/>
              </w:rPr>
              <w:t>项目实施方案</w:t>
            </w:r>
          </w:p>
        </w:tc>
        <w:tc>
          <w:tcPr>
            <w:tcW w:w="6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FB64F">
            <w:pPr>
              <w:widowControl/>
              <w:numPr>
                <w:ilvl w:val="0"/>
                <w:numId w:val="17"/>
              </w:numPr>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总项目运营方案，</w:t>
            </w:r>
            <w:r>
              <w:rPr>
                <w:rFonts w:hint="eastAsia" w:ascii="微软雅黑" w:hAnsi="微软雅黑" w:cs="微软雅黑"/>
                <w:color w:val="auto"/>
                <w:szCs w:val="21"/>
                <w:highlight w:val="none"/>
              </w:rPr>
              <w:t>是否与采购需求符合性或匹配度进行打分</w:t>
            </w:r>
            <w:r>
              <w:rPr>
                <w:rFonts w:hint="eastAsia" w:ascii="微软雅黑" w:hAnsi="微软雅黑" w:cs="微软雅黑"/>
                <w:color w:val="auto"/>
                <w:szCs w:val="21"/>
                <w:highlight w:val="none"/>
                <w:lang w:eastAsia="zh-CN"/>
              </w:rPr>
              <w:t>：</w:t>
            </w:r>
          </w:p>
          <w:p w14:paraId="6864D4F9">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根据投标供应商针对本项目的总体运营方案全面、详细、周到，全面符合项目实施要求的得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 总体运营方案基本达到符合项目实施要求的得</w:t>
            </w:r>
            <w:r>
              <w:rPr>
                <w:rFonts w:hint="eastAsia" w:ascii="微软雅黑" w:hAnsi="微软雅黑" w:cs="仿宋"/>
                <w:color w:val="auto"/>
                <w:kern w:val="0"/>
                <w:szCs w:val="21"/>
                <w:highlight w:val="none"/>
                <w:lang w:val="en-US" w:eastAsia="zh-CN"/>
              </w:rPr>
              <w:t>1.2</w:t>
            </w:r>
            <w:r>
              <w:rPr>
                <w:rFonts w:hint="eastAsia" w:ascii="微软雅黑" w:hAnsi="微软雅黑" w:cs="仿宋"/>
                <w:color w:val="auto"/>
                <w:kern w:val="0"/>
                <w:szCs w:val="21"/>
                <w:highlight w:val="none"/>
              </w:rPr>
              <w:t>分； 总体运营方案有缺陷，不够完整的，但基础服务可以达到项目实施要求的得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分；总营运方案有缺陷，明显影响项目即定目标实现的</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得0.5分；</w:t>
            </w:r>
            <w:r>
              <w:rPr>
                <w:rFonts w:hint="eastAsia" w:ascii="微软雅黑" w:hAnsi="微软雅黑" w:cs="仿宋"/>
                <w:color w:val="auto"/>
                <w:kern w:val="0"/>
                <w:szCs w:val="21"/>
                <w:highlight w:val="none"/>
              </w:rPr>
              <w:t>没有不得分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 xml:space="preserve"> </w:t>
            </w:r>
          </w:p>
        </w:tc>
        <w:tc>
          <w:tcPr>
            <w:tcW w:w="747" w:type="dxa"/>
            <w:tcBorders>
              <w:top w:val="single" w:color="000000" w:sz="4" w:space="0"/>
              <w:left w:val="single" w:color="000000" w:sz="4" w:space="0"/>
              <w:bottom w:val="single" w:color="auto" w:sz="4" w:space="0"/>
              <w:right w:val="single" w:color="000000" w:sz="8" w:space="0"/>
            </w:tcBorders>
            <w:vAlign w:val="center"/>
          </w:tcPr>
          <w:p w14:paraId="040B9411">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766" w:type="dxa"/>
            <w:tcBorders>
              <w:top w:val="single" w:color="000000" w:sz="4" w:space="0"/>
              <w:left w:val="single" w:color="000000" w:sz="4" w:space="0"/>
              <w:bottom w:val="single" w:color="000000" w:sz="4" w:space="0"/>
              <w:right w:val="single" w:color="000000" w:sz="8" w:space="0"/>
            </w:tcBorders>
            <w:vAlign w:val="center"/>
          </w:tcPr>
          <w:p w14:paraId="44511729">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38C6E24D">
        <w:tblPrEx>
          <w:tblCellMar>
            <w:top w:w="0" w:type="dxa"/>
            <w:left w:w="108" w:type="dxa"/>
            <w:bottom w:w="0" w:type="dxa"/>
            <w:right w:w="108" w:type="dxa"/>
          </w:tblCellMar>
        </w:tblPrEx>
        <w:trPr>
          <w:trHeight w:val="90" w:hRule="atLeast"/>
        </w:trPr>
        <w:tc>
          <w:tcPr>
            <w:tcW w:w="67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DF035B4">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7</w:t>
            </w:r>
          </w:p>
        </w:tc>
        <w:tc>
          <w:tcPr>
            <w:tcW w:w="1276" w:type="dxa"/>
            <w:vMerge w:val="continue"/>
            <w:tcBorders>
              <w:left w:val="single" w:color="000000" w:sz="4" w:space="0"/>
              <w:right w:val="single" w:color="000000" w:sz="4" w:space="0"/>
            </w:tcBorders>
            <w:shd w:val="clear" w:color="auto" w:fill="FFFFFF"/>
            <w:vAlign w:val="center"/>
          </w:tcPr>
          <w:p w14:paraId="449D6487">
            <w:pPr>
              <w:widowControl/>
              <w:spacing w:line="240" w:lineRule="auto"/>
              <w:ind w:firstLine="0" w:firstLineChars="0"/>
              <w:rPr>
                <w:rFonts w:hint="eastAsia" w:ascii="微软雅黑" w:hAnsi="微软雅黑" w:cs="仿宋"/>
                <w:b/>
                <w:bCs/>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8F441">
            <w:pPr>
              <w:widowControl/>
              <w:numPr>
                <w:ilvl w:val="0"/>
                <w:numId w:val="17"/>
              </w:numPr>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各项具体实施方案</w:t>
            </w:r>
            <w:r>
              <w:rPr>
                <w:rFonts w:hint="eastAsia" w:ascii="微软雅黑" w:hAnsi="微软雅黑" w:cs="仿宋"/>
                <w:color w:val="auto"/>
                <w:kern w:val="0"/>
                <w:szCs w:val="21"/>
                <w:highlight w:val="none"/>
                <w:lang w:eastAsia="zh-CN"/>
              </w:rPr>
              <w:t>，</w:t>
            </w:r>
            <w:r>
              <w:rPr>
                <w:rFonts w:hint="eastAsia" w:ascii="微软雅黑" w:hAnsi="微软雅黑" w:cs="微软雅黑"/>
                <w:color w:val="auto"/>
                <w:szCs w:val="21"/>
                <w:highlight w:val="none"/>
              </w:rPr>
              <w:t>是否与采购需求符合性或匹配度进行打分</w:t>
            </w:r>
            <w:r>
              <w:rPr>
                <w:rFonts w:hint="eastAsia" w:ascii="微软雅黑" w:hAnsi="微软雅黑" w:cs="仿宋"/>
                <w:color w:val="auto"/>
                <w:kern w:val="0"/>
                <w:szCs w:val="21"/>
                <w:highlight w:val="none"/>
              </w:rPr>
              <w:t>：</w:t>
            </w:r>
          </w:p>
          <w:p w14:paraId="22EA1DEB">
            <w:pPr>
              <w:widowControl/>
              <w:spacing w:line="240" w:lineRule="auto"/>
              <w:ind w:firstLine="0" w:firstLineChars="0"/>
              <w:rPr>
                <w:rFonts w:hint="eastAsia"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日常管理方案：</w:t>
            </w:r>
            <w:r>
              <w:rPr>
                <w:rFonts w:hint="eastAsia" w:ascii="微软雅黑" w:hAnsi="微软雅黑" w:cs="仿宋"/>
                <w:color w:val="auto"/>
                <w:kern w:val="0"/>
                <w:szCs w:val="21"/>
                <w:highlight w:val="none"/>
              </w:rPr>
              <w:t>根据投标供应商针对本项目的日常管理方案全面、详细、周到完全满足项目实施要求的得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有明显缺陷，影响项目即定目标实施的，本项不得分；</w:t>
            </w:r>
          </w:p>
          <w:p w14:paraId="3D9128BE">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公益活动策划执行服务方案：</w:t>
            </w:r>
            <w:r>
              <w:rPr>
                <w:rFonts w:hint="eastAsia" w:ascii="微软雅黑" w:hAnsi="微软雅黑" w:cs="仿宋"/>
                <w:color w:val="auto"/>
                <w:kern w:val="0"/>
                <w:szCs w:val="21"/>
                <w:highlight w:val="none"/>
              </w:rPr>
              <w:t>根据投标供应商针对本项目的公益活动策划执行服务方案全面、详细、周到，完全满足项目实施要求的得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有明显缺陷，影响项目即定目标实施的，本项不得分；</w:t>
            </w:r>
          </w:p>
          <w:p w14:paraId="02EF8B08">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新媒体运营服务方案：</w:t>
            </w:r>
            <w:r>
              <w:rPr>
                <w:rFonts w:hint="eastAsia" w:ascii="微软雅黑" w:hAnsi="微软雅黑" w:cs="仿宋"/>
                <w:color w:val="auto"/>
                <w:kern w:val="0"/>
                <w:szCs w:val="21"/>
                <w:highlight w:val="none"/>
              </w:rPr>
              <w:t>根据投标供应商针对本项目的新媒体运营服务方案全面、详细、周到，完全满足项目实施要求的得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 不够详细、周到，但基本能达到项目实施要求的得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 xml:space="preserve">分； 有明显缺陷，影响项目即定目标实施的，本项不得分； </w:t>
            </w:r>
          </w:p>
          <w:p w14:paraId="4B311867">
            <w:pPr>
              <w:widowControl/>
              <w:spacing w:line="240" w:lineRule="auto"/>
              <w:ind w:firstLine="0" w:firstLineChars="0"/>
              <w:rPr>
                <w:rFonts w:hint="eastAsia" w:ascii="微软雅黑" w:hAnsi="微软雅黑" w:eastAsia="微软雅黑" w:cs="仿宋"/>
                <w:b/>
                <w:bCs/>
                <w:color w:val="auto"/>
                <w:kern w:val="0"/>
                <w:szCs w:val="21"/>
                <w:highlight w:val="none"/>
                <w:lang w:eastAsia="zh-CN"/>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“三馆”文创产品开发设计服务方案：</w:t>
            </w:r>
            <w:r>
              <w:rPr>
                <w:rFonts w:hint="eastAsia" w:ascii="微软雅黑" w:hAnsi="微软雅黑" w:cs="仿宋"/>
                <w:color w:val="auto"/>
                <w:kern w:val="0"/>
                <w:szCs w:val="21"/>
                <w:highlight w:val="none"/>
              </w:rPr>
              <w:t>根据投标供应商针对本项目的三馆”文创产品开发设计服务方案全面、详细、周到，完全满足项目实施要求的得2分； 不够详细、周到，但基本能达到项目实施要求的得1分； 有明显缺陷，影响项目即定目标实施的，本项不得分</w:t>
            </w:r>
            <w:r>
              <w:rPr>
                <w:rFonts w:hint="eastAsia" w:ascii="微软雅黑" w:hAnsi="微软雅黑" w:cs="仿宋"/>
                <w:color w:val="auto"/>
                <w:kern w:val="0"/>
                <w:szCs w:val="21"/>
                <w:highlight w:val="none"/>
                <w:lang w:eastAsia="zh-CN"/>
              </w:rPr>
              <w:t>；</w:t>
            </w:r>
          </w:p>
          <w:p w14:paraId="3E9F7900">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学术理论研究方案：</w:t>
            </w:r>
            <w:r>
              <w:rPr>
                <w:rFonts w:hint="eastAsia" w:ascii="微软雅黑" w:hAnsi="微软雅黑" w:cs="仿宋"/>
                <w:color w:val="auto"/>
                <w:kern w:val="0"/>
                <w:szCs w:val="21"/>
                <w:highlight w:val="none"/>
              </w:rPr>
              <w:t>根据投标供应商针对本项目的学术理论研究方案全面、详细、周到，完全满足项目实施要求的得2分； 不够详细、周到，但基本能达到项目实施要求的得1分； 有明显缺陷，影响项目即定目标实施的，本项不得分；</w:t>
            </w:r>
          </w:p>
          <w:p w14:paraId="1DF10821">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总分馆体系设计方案</w:t>
            </w:r>
            <w:r>
              <w:rPr>
                <w:rFonts w:hint="eastAsia" w:ascii="微软雅黑" w:hAnsi="微软雅黑" w:cs="仿宋"/>
                <w:color w:val="auto"/>
                <w:kern w:val="0"/>
                <w:szCs w:val="21"/>
                <w:highlight w:val="none"/>
              </w:rPr>
              <w:t>：根据投标供应商针对本项目的总分馆体系设计方案全面、详细、周到，完全满足项目实施要求的得2分； 不够详细、周到，但基本能达到项目实施要求的得1分； 有明显缺陷，影响项目即定目标实施的，本项不得分；</w:t>
            </w:r>
          </w:p>
          <w:p w14:paraId="6A955F82">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创新方案设计：</w:t>
            </w:r>
            <w:r>
              <w:rPr>
                <w:rFonts w:hint="eastAsia" w:ascii="微软雅黑" w:hAnsi="微软雅黑" w:cs="仿宋"/>
                <w:color w:val="auto"/>
                <w:kern w:val="0"/>
                <w:szCs w:val="21"/>
                <w:highlight w:val="none"/>
              </w:rPr>
              <w:t>根据投标供应商针对本项目</w:t>
            </w:r>
            <w:r>
              <w:rPr>
                <w:rFonts w:hint="eastAsia" w:ascii="微软雅黑" w:hAnsi="微软雅黑" w:cs="仿宋"/>
                <w:b w:val="0"/>
                <w:bCs w:val="0"/>
                <w:color w:val="auto"/>
                <w:kern w:val="0"/>
                <w:szCs w:val="21"/>
                <w:highlight w:val="none"/>
              </w:rPr>
              <w:t>的创新方案设计全</w:t>
            </w:r>
            <w:r>
              <w:rPr>
                <w:rFonts w:hint="eastAsia" w:ascii="微软雅黑" w:hAnsi="微软雅黑" w:cs="仿宋"/>
                <w:color w:val="auto"/>
                <w:kern w:val="0"/>
                <w:szCs w:val="21"/>
                <w:highlight w:val="none"/>
              </w:rPr>
              <w:t>面、详细、周到，完全满足实施要求的得2分； 不够详细、周到，但基本能达到项目实施要求的得1分； 有明显缺陷，影响项目即定目标实施的，本项不得分；</w:t>
            </w:r>
          </w:p>
          <w:p w14:paraId="4C4730A8">
            <w:pPr>
              <w:widowControl/>
              <w:spacing w:line="240" w:lineRule="auto"/>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cs="仿宋"/>
                <w:b/>
                <w:bCs/>
                <w:color w:val="auto"/>
                <w:kern w:val="0"/>
                <w:szCs w:val="21"/>
                <w:highlight w:val="none"/>
              </w:rPr>
              <w:t>宣传服务方案：</w:t>
            </w:r>
            <w:r>
              <w:rPr>
                <w:rFonts w:hint="eastAsia" w:ascii="微软雅黑" w:hAnsi="微软雅黑" w:cs="仿宋"/>
                <w:color w:val="auto"/>
                <w:kern w:val="0"/>
                <w:szCs w:val="21"/>
                <w:highlight w:val="none"/>
              </w:rPr>
              <w:t>根据投标供应商针对本项目</w:t>
            </w:r>
            <w:r>
              <w:rPr>
                <w:rFonts w:hint="eastAsia" w:ascii="微软雅黑" w:hAnsi="微软雅黑" w:cs="仿宋"/>
                <w:b w:val="0"/>
                <w:bCs w:val="0"/>
                <w:color w:val="auto"/>
                <w:kern w:val="0"/>
                <w:szCs w:val="21"/>
                <w:highlight w:val="none"/>
              </w:rPr>
              <w:t>的宣传服务方案全</w:t>
            </w:r>
            <w:r>
              <w:rPr>
                <w:rFonts w:hint="eastAsia" w:ascii="微软雅黑" w:hAnsi="微软雅黑" w:cs="仿宋"/>
                <w:color w:val="auto"/>
                <w:kern w:val="0"/>
                <w:szCs w:val="21"/>
                <w:highlight w:val="none"/>
              </w:rPr>
              <w:t>面、详细、周到，完全满足项目实施要求的得2分； 不够详细、周到，但基本能达到项目实施要求的得1分； 有明显缺陷，影响项目即定目标实施的，本项不得分</w:t>
            </w:r>
            <w:r>
              <w:rPr>
                <w:rFonts w:hint="eastAsia" w:ascii="微软雅黑" w:hAnsi="微软雅黑" w:cs="仿宋"/>
                <w:color w:val="auto"/>
                <w:kern w:val="0"/>
                <w:szCs w:val="21"/>
                <w:highlight w:val="none"/>
                <w:lang w:eastAsia="zh-CN"/>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020EC8F8">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16</w:t>
            </w:r>
          </w:p>
        </w:tc>
        <w:tc>
          <w:tcPr>
            <w:tcW w:w="766" w:type="dxa"/>
            <w:tcBorders>
              <w:top w:val="single" w:color="000000" w:sz="4" w:space="0"/>
              <w:left w:val="single" w:color="000000" w:sz="4" w:space="0"/>
              <w:bottom w:val="single" w:color="000000" w:sz="4" w:space="0"/>
              <w:right w:val="single" w:color="000000" w:sz="8" w:space="0"/>
            </w:tcBorders>
            <w:vAlign w:val="center"/>
          </w:tcPr>
          <w:p w14:paraId="50710E8C">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CC60B68">
        <w:tblPrEx>
          <w:tblCellMar>
            <w:top w:w="0" w:type="dxa"/>
            <w:left w:w="108" w:type="dxa"/>
            <w:bottom w:w="0" w:type="dxa"/>
            <w:right w:w="108" w:type="dxa"/>
          </w:tblCellMar>
        </w:tblPrEx>
        <w:trPr>
          <w:trHeight w:val="2246" w:hRule="atLeast"/>
        </w:trPr>
        <w:tc>
          <w:tcPr>
            <w:tcW w:w="676" w:type="dxa"/>
            <w:tcBorders>
              <w:top w:val="single" w:color="000000" w:sz="4" w:space="0"/>
              <w:left w:val="single" w:color="000000" w:sz="8" w:space="0"/>
              <w:bottom w:val="single" w:color="auto" w:sz="4" w:space="0"/>
              <w:right w:val="single" w:color="000000" w:sz="4" w:space="0"/>
            </w:tcBorders>
            <w:shd w:val="clear" w:color="auto" w:fill="auto"/>
            <w:vAlign w:val="center"/>
          </w:tcPr>
          <w:p w14:paraId="54C88F69">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8</w:t>
            </w:r>
          </w:p>
        </w:tc>
        <w:tc>
          <w:tcPr>
            <w:tcW w:w="1276" w:type="dxa"/>
            <w:vMerge w:val="continue"/>
            <w:tcBorders>
              <w:left w:val="single" w:color="000000" w:sz="4" w:space="0"/>
              <w:right w:val="single" w:color="000000" w:sz="4" w:space="0"/>
            </w:tcBorders>
            <w:shd w:val="clear" w:color="auto" w:fill="FFFFFF"/>
            <w:vAlign w:val="center"/>
          </w:tcPr>
          <w:p w14:paraId="1958FBD2">
            <w:pPr>
              <w:widowControl/>
              <w:spacing w:line="240" w:lineRule="auto"/>
              <w:ind w:firstLine="0" w:firstLineChars="0"/>
              <w:rPr>
                <w:rFonts w:hint="eastAsia" w:ascii="微软雅黑" w:hAnsi="微软雅黑" w:cs="仿宋"/>
                <w:b/>
                <w:bCs/>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AD9BCB5">
            <w:pPr>
              <w:widowControl/>
              <w:spacing w:line="240" w:lineRule="auto"/>
              <w:ind w:firstLine="0" w:firstLineChars="0"/>
              <w:rPr>
                <w:rFonts w:hint="eastAsia" w:ascii="微软雅黑" w:hAnsi="微软雅黑" w:cs="微软雅黑"/>
                <w:b/>
                <w:bCs/>
                <w:color w:val="auto"/>
                <w:kern w:val="0"/>
                <w:szCs w:val="21"/>
                <w:highlight w:val="none"/>
                <w:lang w:val="en-US" w:eastAsia="zh-CN"/>
              </w:rPr>
            </w:pPr>
            <w:r>
              <w:rPr>
                <w:rFonts w:hint="eastAsia" w:ascii="微软雅黑" w:hAnsi="微软雅黑" w:cs="微软雅黑"/>
                <w:b/>
                <w:bCs/>
                <w:color w:val="auto"/>
                <w:kern w:val="0"/>
                <w:szCs w:val="21"/>
                <w:highlight w:val="none"/>
                <w:lang w:val="en-US" w:eastAsia="zh-CN"/>
              </w:rPr>
              <w:t>投标供应商需提供招标文件中要求的不少于400场的每项活动内容均不少于70%场次【一共4项活动内容，以活动内容最少场次百分比计】的详细方案（包括宣传方案、活动方案、预期目标以及效果图）</w:t>
            </w:r>
          </w:p>
          <w:p w14:paraId="180F570F">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eastAsia" w:ascii="微软雅黑" w:hAnsi="微软雅黑" w:eastAsia="微软雅黑" w:cs="微软雅黑"/>
                <w:b/>
                <w:bCs/>
                <w:color w:val="auto"/>
                <w:kern w:val="0"/>
                <w:szCs w:val="21"/>
                <w:highlight w:val="none"/>
                <w:lang w:eastAsia="zh-CN"/>
              </w:rPr>
              <w:t>◈</w:t>
            </w:r>
            <w:r>
              <w:rPr>
                <w:rFonts w:hint="eastAsia" w:ascii="微软雅黑" w:hAnsi="微软雅黑" w:eastAsia="微软雅黑" w:cs="仿宋"/>
                <w:b/>
                <w:bCs/>
                <w:color w:val="auto"/>
                <w:kern w:val="0"/>
                <w:sz w:val="21"/>
                <w:szCs w:val="21"/>
                <w:highlight w:val="none"/>
                <w:lang w:val="en-US" w:eastAsia="zh-CN" w:bidi="ar-SA"/>
              </w:rPr>
              <w:t>宣传方案：</w:t>
            </w:r>
            <w:r>
              <w:rPr>
                <w:rFonts w:hint="eastAsia" w:ascii="微软雅黑" w:hAnsi="微软雅黑" w:eastAsia="微软雅黑" w:cs="仿宋"/>
                <w:b w:val="0"/>
                <w:bCs w:val="0"/>
                <w:color w:val="auto"/>
                <w:kern w:val="0"/>
                <w:sz w:val="21"/>
                <w:szCs w:val="21"/>
                <w:highlight w:val="none"/>
                <w:lang w:val="en-US" w:eastAsia="zh-CN" w:bidi="ar-SA"/>
              </w:rPr>
              <w:t>全面、详细、周到，完全满足</w:t>
            </w:r>
            <w:r>
              <w:rPr>
                <w:rFonts w:hint="eastAsia" w:ascii="微软雅黑" w:hAnsi="微软雅黑" w:cs="仿宋"/>
                <w:b w:val="0"/>
                <w:bCs w:val="0"/>
                <w:color w:val="auto"/>
                <w:kern w:val="0"/>
                <w:sz w:val="21"/>
                <w:szCs w:val="21"/>
                <w:highlight w:val="none"/>
                <w:lang w:val="en-US" w:eastAsia="zh-CN" w:bidi="ar-SA"/>
              </w:rPr>
              <w:t>并优于</w:t>
            </w:r>
            <w:r>
              <w:rPr>
                <w:rFonts w:hint="eastAsia" w:ascii="微软雅黑" w:hAnsi="微软雅黑" w:eastAsia="微软雅黑" w:cs="仿宋"/>
                <w:b w:val="0"/>
                <w:bCs w:val="0"/>
                <w:color w:val="auto"/>
                <w:kern w:val="0"/>
                <w:sz w:val="21"/>
                <w:szCs w:val="21"/>
                <w:highlight w:val="none"/>
                <w:lang w:val="en-US" w:eastAsia="zh-CN" w:bidi="ar-SA"/>
              </w:rPr>
              <w:t>项目实施要求的得</w:t>
            </w:r>
            <w:r>
              <w:rPr>
                <w:rFonts w:hint="eastAsia" w:ascii="微软雅黑" w:hAnsi="微软雅黑" w:cs="仿宋"/>
                <w:b w:val="0"/>
                <w:bCs w:val="0"/>
                <w:color w:val="auto"/>
                <w:kern w:val="0"/>
                <w:sz w:val="21"/>
                <w:szCs w:val="21"/>
                <w:highlight w:val="none"/>
                <w:lang w:val="en-US" w:eastAsia="zh-CN" w:bidi="ar-SA"/>
              </w:rPr>
              <w:t>5</w:t>
            </w:r>
            <w:r>
              <w:rPr>
                <w:rFonts w:hint="eastAsia" w:ascii="微软雅黑" w:hAnsi="微软雅黑" w:eastAsia="微软雅黑" w:cs="仿宋"/>
                <w:b w:val="0"/>
                <w:bCs w:val="0"/>
                <w:color w:val="auto"/>
                <w:kern w:val="0"/>
                <w:sz w:val="21"/>
                <w:szCs w:val="21"/>
                <w:highlight w:val="none"/>
                <w:lang w:val="en-US" w:eastAsia="zh-CN" w:bidi="ar-SA"/>
              </w:rPr>
              <w:t xml:space="preserve">分； </w:t>
            </w:r>
            <w:r>
              <w:rPr>
                <w:rFonts w:hint="eastAsia" w:ascii="微软雅黑" w:hAnsi="微软雅黑" w:cs="仿宋"/>
                <w:b w:val="0"/>
                <w:bCs w:val="0"/>
                <w:color w:val="auto"/>
                <w:kern w:val="0"/>
                <w:sz w:val="21"/>
                <w:szCs w:val="21"/>
                <w:highlight w:val="none"/>
                <w:lang w:val="en-US" w:eastAsia="zh-CN" w:bidi="ar-SA"/>
              </w:rPr>
              <w:t>满足项目实施要求的得4分； 方案有缺陷，</w:t>
            </w:r>
            <w:r>
              <w:rPr>
                <w:rFonts w:hint="eastAsia" w:ascii="微软雅黑" w:hAnsi="微软雅黑" w:eastAsia="微软雅黑" w:cs="仿宋"/>
                <w:b w:val="0"/>
                <w:bCs w:val="0"/>
                <w:color w:val="auto"/>
                <w:kern w:val="0"/>
                <w:sz w:val="21"/>
                <w:szCs w:val="21"/>
                <w:highlight w:val="none"/>
                <w:lang w:val="en-US" w:eastAsia="zh-CN" w:bidi="ar-SA"/>
              </w:rPr>
              <w:t>不够</w:t>
            </w:r>
            <w:r>
              <w:rPr>
                <w:rFonts w:hint="eastAsia" w:ascii="微软雅黑" w:hAnsi="微软雅黑" w:cs="仿宋"/>
                <w:b w:val="0"/>
                <w:bCs w:val="0"/>
                <w:color w:val="auto"/>
                <w:kern w:val="0"/>
                <w:sz w:val="21"/>
                <w:szCs w:val="21"/>
                <w:highlight w:val="none"/>
                <w:lang w:val="en-US" w:eastAsia="zh-CN" w:bidi="ar-SA"/>
              </w:rPr>
              <w:t>完整，但基本能满足项目实施要求的得3分；</w:t>
            </w:r>
            <w:r>
              <w:rPr>
                <w:rFonts w:hint="eastAsia" w:ascii="微软雅黑" w:hAnsi="微软雅黑" w:eastAsia="微软雅黑" w:cs="仿宋"/>
                <w:b w:val="0"/>
                <w:bCs w:val="0"/>
                <w:color w:val="auto"/>
                <w:kern w:val="0"/>
                <w:sz w:val="21"/>
                <w:szCs w:val="21"/>
                <w:highlight w:val="none"/>
                <w:lang w:val="en-US" w:eastAsia="zh-CN" w:bidi="ar-SA"/>
              </w:rPr>
              <w:t xml:space="preserve"> 有明显缺陷，</w:t>
            </w:r>
            <w:r>
              <w:rPr>
                <w:rFonts w:hint="eastAsia" w:ascii="微软雅黑" w:hAnsi="微软雅黑" w:cs="仿宋"/>
                <w:b w:val="0"/>
                <w:bCs w:val="0"/>
                <w:color w:val="auto"/>
                <w:kern w:val="0"/>
                <w:sz w:val="21"/>
                <w:szCs w:val="21"/>
                <w:highlight w:val="none"/>
                <w:lang w:val="en-US" w:eastAsia="zh-CN" w:bidi="ar-SA"/>
              </w:rPr>
              <w:t>有可能</w:t>
            </w:r>
            <w:r>
              <w:rPr>
                <w:rFonts w:hint="eastAsia" w:ascii="微软雅黑" w:hAnsi="微软雅黑" w:eastAsia="微软雅黑" w:cs="仿宋"/>
                <w:b w:val="0"/>
                <w:bCs w:val="0"/>
                <w:color w:val="auto"/>
                <w:kern w:val="0"/>
                <w:sz w:val="21"/>
                <w:szCs w:val="21"/>
                <w:highlight w:val="none"/>
                <w:lang w:val="en-US" w:eastAsia="zh-CN" w:bidi="ar-SA"/>
              </w:rPr>
              <w:t>影响项目即定目标实施的</w:t>
            </w:r>
            <w:r>
              <w:rPr>
                <w:rFonts w:hint="eastAsia" w:ascii="微软雅黑" w:hAnsi="微软雅黑" w:cs="仿宋"/>
                <w:b w:val="0"/>
                <w:bCs w:val="0"/>
                <w:color w:val="auto"/>
                <w:kern w:val="0"/>
                <w:sz w:val="21"/>
                <w:szCs w:val="21"/>
                <w:highlight w:val="none"/>
                <w:lang w:val="en-US" w:eastAsia="zh-CN" w:bidi="ar-SA"/>
              </w:rPr>
              <w:t>得2分；其余不得分； 【提供的活动宣传方案少于上述80%场次，大于或等于50%的，本项最高得2分，少于50%的 ,本项不得分。】</w:t>
            </w:r>
          </w:p>
          <w:p w14:paraId="2F7C7505">
            <w:pPr>
              <w:pStyle w:val="2"/>
              <w:spacing w:line="240" w:lineRule="auto"/>
              <w:jc w:val="left"/>
              <w:rPr>
                <w:rFonts w:hint="eastAsia" w:ascii="Times New Roman" w:hAnsi="Times New Roman" w:eastAsia="微软雅黑" w:cs="Times New Roman"/>
                <w:b/>
                <w:bCs/>
                <w:color w:val="auto"/>
                <w:kern w:val="2"/>
                <w:sz w:val="21"/>
                <w:szCs w:val="24"/>
                <w:highlight w:val="none"/>
                <w:lang w:val="en-US" w:eastAsia="zh-CN" w:bidi="ar-SA"/>
              </w:rPr>
            </w:pPr>
            <w:r>
              <w:rPr>
                <w:rFonts w:hint="eastAsia" w:ascii="微软雅黑" w:hAnsi="微软雅黑" w:eastAsia="微软雅黑" w:cs="微软雅黑"/>
                <w:b/>
                <w:bCs/>
                <w:color w:val="auto"/>
                <w:kern w:val="0"/>
                <w:szCs w:val="21"/>
                <w:highlight w:val="none"/>
                <w:lang w:eastAsia="zh-CN"/>
              </w:rPr>
              <w:t>◈</w:t>
            </w:r>
            <w:r>
              <w:rPr>
                <w:rFonts w:hint="eastAsia" w:ascii="Times New Roman" w:hAnsi="Times New Roman" w:eastAsia="微软雅黑" w:cs="Times New Roman"/>
                <w:b/>
                <w:bCs/>
                <w:color w:val="auto"/>
                <w:kern w:val="2"/>
                <w:sz w:val="21"/>
                <w:szCs w:val="24"/>
                <w:highlight w:val="none"/>
                <w:lang w:val="en-US" w:eastAsia="zh-CN" w:bidi="ar-SA"/>
              </w:rPr>
              <w:t>活动方案：</w:t>
            </w:r>
          </w:p>
          <w:p w14:paraId="4C10F23B">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default" w:ascii="Calibri" w:hAnsi="Calibri" w:eastAsia="微软雅黑" w:cs="Calibri"/>
                <w:b w:val="0"/>
                <w:bCs w:val="0"/>
                <w:color w:val="auto"/>
                <w:kern w:val="2"/>
                <w:sz w:val="21"/>
                <w:szCs w:val="24"/>
                <w:highlight w:val="none"/>
                <w:lang w:val="en-US" w:eastAsia="zh-CN" w:bidi="ar-SA"/>
              </w:rPr>
              <w:t>①</w:t>
            </w:r>
            <w:r>
              <w:rPr>
                <w:rFonts w:hint="eastAsia" w:ascii="Calibri" w:hAnsi="Calibri" w:cs="Calibri"/>
                <w:b w:val="0"/>
                <w:bCs w:val="0"/>
                <w:color w:val="auto"/>
                <w:kern w:val="2"/>
                <w:sz w:val="21"/>
                <w:szCs w:val="24"/>
                <w:highlight w:val="none"/>
                <w:lang w:val="en-US" w:eastAsia="zh-CN" w:bidi="ar-SA"/>
              </w:rPr>
              <w:t>各场活动方案</w:t>
            </w:r>
            <w:r>
              <w:rPr>
                <w:rFonts w:hint="eastAsia" w:ascii="Times New Roman" w:hAnsi="Times New Roman" w:eastAsia="微软雅黑" w:cs="Times New Roman"/>
                <w:b w:val="0"/>
                <w:bCs w:val="0"/>
                <w:color w:val="auto"/>
                <w:kern w:val="2"/>
                <w:sz w:val="21"/>
                <w:szCs w:val="24"/>
                <w:highlight w:val="none"/>
                <w:lang w:val="en-US" w:eastAsia="zh-CN" w:bidi="ar-SA"/>
              </w:rPr>
              <w:t>全</w:t>
            </w:r>
            <w:r>
              <w:rPr>
                <w:rFonts w:hint="eastAsia" w:ascii="微软雅黑" w:hAnsi="微软雅黑" w:eastAsia="微软雅黑" w:cs="仿宋"/>
                <w:b w:val="0"/>
                <w:bCs w:val="0"/>
                <w:color w:val="auto"/>
                <w:kern w:val="0"/>
                <w:sz w:val="21"/>
                <w:szCs w:val="21"/>
                <w:highlight w:val="none"/>
                <w:lang w:val="en-US" w:eastAsia="zh-CN" w:bidi="ar-SA"/>
              </w:rPr>
              <w:t>面、详细、周到完全满足</w:t>
            </w:r>
            <w:r>
              <w:rPr>
                <w:rFonts w:hint="eastAsia" w:ascii="微软雅黑" w:hAnsi="微软雅黑" w:cs="仿宋"/>
                <w:b w:val="0"/>
                <w:bCs w:val="0"/>
                <w:color w:val="auto"/>
                <w:kern w:val="0"/>
                <w:sz w:val="21"/>
                <w:szCs w:val="21"/>
                <w:highlight w:val="none"/>
                <w:lang w:val="en-US" w:eastAsia="zh-CN" w:bidi="ar-SA"/>
              </w:rPr>
              <w:t>并优于</w:t>
            </w:r>
            <w:r>
              <w:rPr>
                <w:rFonts w:hint="eastAsia" w:ascii="微软雅黑" w:hAnsi="微软雅黑" w:eastAsia="微软雅黑" w:cs="仿宋"/>
                <w:b w:val="0"/>
                <w:bCs w:val="0"/>
                <w:color w:val="auto"/>
                <w:kern w:val="0"/>
                <w:sz w:val="21"/>
                <w:szCs w:val="21"/>
                <w:highlight w:val="none"/>
                <w:lang w:val="en-US" w:eastAsia="zh-CN" w:bidi="ar-SA"/>
              </w:rPr>
              <w:t>项目实施要求的得</w:t>
            </w:r>
            <w:r>
              <w:rPr>
                <w:rFonts w:hint="eastAsia" w:ascii="微软雅黑" w:hAnsi="微软雅黑" w:cs="仿宋"/>
                <w:b w:val="0"/>
                <w:bCs w:val="0"/>
                <w:color w:val="auto"/>
                <w:kern w:val="0"/>
                <w:sz w:val="21"/>
                <w:szCs w:val="21"/>
                <w:highlight w:val="none"/>
                <w:lang w:val="en-US" w:eastAsia="zh-CN" w:bidi="ar-SA"/>
              </w:rPr>
              <w:t>4</w:t>
            </w:r>
            <w:r>
              <w:rPr>
                <w:rFonts w:hint="eastAsia" w:ascii="微软雅黑" w:hAnsi="微软雅黑" w:eastAsia="微软雅黑" w:cs="仿宋"/>
                <w:b w:val="0"/>
                <w:bCs w:val="0"/>
                <w:color w:val="auto"/>
                <w:kern w:val="0"/>
                <w:sz w:val="21"/>
                <w:szCs w:val="21"/>
                <w:highlight w:val="none"/>
                <w:lang w:val="en-US" w:eastAsia="zh-CN" w:bidi="ar-SA"/>
              </w:rPr>
              <w:t xml:space="preserve">分； </w:t>
            </w:r>
            <w:r>
              <w:rPr>
                <w:rFonts w:hint="eastAsia" w:ascii="微软雅黑" w:hAnsi="微软雅黑" w:cs="仿宋"/>
                <w:b w:val="0"/>
                <w:bCs w:val="0"/>
                <w:color w:val="auto"/>
                <w:kern w:val="0"/>
                <w:sz w:val="21"/>
                <w:szCs w:val="21"/>
                <w:highlight w:val="none"/>
                <w:lang w:val="en-US" w:eastAsia="zh-CN" w:bidi="ar-SA"/>
              </w:rPr>
              <w:t xml:space="preserve"> 方案有缺陷，</w:t>
            </w:r>
            <w:r>
              <w:rPr>
                <w:rFonts w:hint="eastAsia" w:ascii="微软雅黑" w:hAnsi="微软雅黑" w:eastAsia="微软雅黑" w:cs="仿宋"/>
                <w:b w:val="0"/>
                <w:bCs w:val="0"/>
                <w:color w:val="auto"/>
                <w:kern w:val="0"/>
                <w:sz w:val="21"/>
                <w:szCs w:val="21"/>
                <w:highlight w:val="none"/>
                <w:lang w:val="en-US" w:eastAsia="zh-CN" w:bidi="ar-SA"/>
              </w:rPr>
              <w:t>不够</w:t>
            </w:r>
            <w:r>
              <w:rPr>
                <w:rFonts w:hint="eastAsia" w:ascii="微软雅黑" w:hAnsi="微软雅黑" w:cs="仿宋"/>
                <w:b w:val="0"/>
                <w:bCs w:val="0"/>
                <w:color w:val="auto"/>
                <w:kern w:val="0"/>
                <w:sz w:val="21"/>
                <w:szCs w:val="21"/>
                <w:highlight w:val="none"/>
                <w:lang w:val="en-US" w:eastAsia="zh-CN" w:bidi="ar-SA"/>
              </w:rPr>
              <w:t>完整，但基本能满足项目实施要求的得3分；</w:t>
            </w:r>
            <w:r>
              <w:rPr>
                <w:rFonts w:hint="eastAsia" w:ascii="微软雅黑" w:hAnsi="微软雅黑" w:eastAsia="微软雅黑" w:cs="仿宋"/>
                <w:b w:val="0"/>
                <w:bCs w:val="0"/>
                <w:color w:val="auto"/>
                <w:kern w:val="0"/>
                <w:sz w:val="21"/>
                <w:szCs w:val="21"/>
                <w:highlight w:val="none"/>
                <w:lang w:val="en-US" w:eastAsia="zh-CN" w:bidi="ar-SA"/>
              </w:rPr>
              <w:t xml:space="preserve"> 有明显缺陷，</w:t>
            </w:r>
            <w:r>
              <w:rPr>
                <w:rFonts w:hint="eastAsia" w:ascii="微软雅黑" w:hAnsi="微软雅黑" w:cs="仿宋"/>
                <w:b w:val="0"/>
                <w:bCs w:val="0"/>
                <w:color w:val="auto"/>
                <w:kern w:val="0"/>
                <w:sz w:val="21"/>
                <w:szCs w:val="21"/>
                <w:highlight w:val="none"/>
                <w:lang w:val="en-US" w:eastAsia="zh-CN" w:bidi="ar-SA"/>
              </w:rPr>
              <w:t>有可能</w:t>
            </w:r>
            <w:r>
              <w:rPr>
                <w:rFonts w:hint="eastAsia" w:ascii="微软雅黑" w:hAnsi="微软雅黑" w:eastAsia="微软雅黑" w:cs="仿宋"/>
                <w:b w:val="0"/>
                <w:bCs w:val="0"/>
                <w:color w:val="auto"/>
                <w:kern w:val="0"/>
                <w:sz w:val="21"/>
                <w:szCs w:val="21"/>
                <w:highlight w:val="none"/>
                <w:lang w:val="en-US" w:eastAsia="zh-CN" w:bidi="ar-SA"/>
              </w:rPr>
              <w:t>影响项目即定目标实施的</w:t>
            </w:r>
            <w:r>
              <w:rPr>
                <w:rFonts w:hint="eastAsia" w:ascii="微软雅黑" w:hAnsi="微软雅黑" w:cs="仿宋"/>
                <w:b w:val="0"/>
                <w:bCs w:val="0"/>
                <w:color w:val="auto"/>
                <w:kern w:val="0"/>
                <w:sz w:val="21"/>
                <w:szCs w:val="21"/>
                <w:highlight w:val="none"/>
                <w:lang w:val="en-US" w:eastAsia="zh-CN" w:bidi="ar-SA"/>
              </w:rPr>
              <w:t>得2分；其余不得分；【提供的活动宣传方案少于上述80%场次，大于或等于50%的，本项最高得2分，少于50%的 ,本项不得分。】</w:t>
            </w:r>
          </w:p>
          <w:p w14:paraId="4D4EC8F5">
            <w:pPr>
              <w:pStyle w:val="2"/>
              <w:spacing w:line="240" w:lineRule="auto"/>
              <w:jc w:val="left"/>
              <w:rPr>
                <w:rFonts w:hint="default" w:ascii="微软雅黑" w:hAnsi="微软雅黑" w:eastAsia="微软雅黑" w:cs="仿宋"/>
                <w:b w:val="0"/>
                <w:bCs w:val="0"/>
                <w:color w:val="auto"/>
                <w:kern w:val="0"/>
                <w:sz w:val="21"/>
                <w:szCs w:val="21"/>
                <w:highlight w:val="none"/>
                <w:lang w:val="en-US" w:eastAsia="zh-CN" w:bidi="ar-SA"/>
              </w:rPr>
            </w:pPr>
            <w:r>
              <w:rPr>
                <w:rFonts w:hint="default" w:ascii="Calibri" w:hAnsi="Calibri" w:eastAsia="微软雅黑" w:cs="Calibri"/>
                <w:b w:val="0"/>
                <w:bCs w:val="0"/>
                <w:color w:val="auto"/>
                <w:kern w:val="2"/>
                <w:sz w:val="21"/>
                <w:szCs w:val="24"/>
                <w:highlight w:val="none"/>
                <w:lang w:val="en-US" w:eastAsia="zh-CN" w:bidi="ar-SA"/>
              </w:rPr>
              <w:t>②</w:t>
            </w:r>
            <w:r>
              <w:rPr>
                <w:rFonts w:hint="eastAsia" w:ascii="Calibri" w:hAnsi="Calibri" w:eastAsia="微软雅黑" w:cs="Calibri"/>
                <w:b w:val="0"/>
                <w:bCs w:val="0"/>
                <w:color w:val="auto"/>
                <w:kern w:val="2"/>
                <w:sz w:val="21"/>
                <w:szCs w:val="24"/>
                <w:highlight w:val="none"/>
                <w:lang w:val="en-US" w:eastAsia="zh-CN" w:bidi="ar-SA"/>
              </w:rPr>
              <w:t>活</w:t>
            </w:r>
            <w:r>
              <w:rPr>
                <w:rFonts w:hint="eastAsia" w:ascii="Calibri" w:hAnsi="Calibri" w:cs="Calibri"/>
                <w:b w:val="0"/>
                <w:bCs w:val="0"/>
                <w:color w:val="auto"/>
                <w:kern w:val="2"/>
                <w:sz w:val="21"/>
                <w:szCs w:val="24"/>
                <w:highlight w:val="none"/>
                <w:lang w:val="en-US" w:eastAsia="zh-CN" w:bidi="ar-SA"/>
              </w:rPr>
              <w:t xml:space="preserve">动方案的创新性、内容的丰富性完全满足并优于项目实施要求的得4分； 方案有缺陷，不够完整，但基本能满足项目实施要求的得3分； 有明显缺陷，有可能影响项目即定目标实施的得2分；其余不得分； </w:t>
            </w:r>
            <w:r>
              <w:rPr>
                <w:rFonts w:hint="eastAsia" w:ascii="微软雅黑" w:hAnsi="微软雅黑" w:cs="仿宋"/>
                <w:b w:val="0"/>
                <w:bCs w:val="0"/>
                <w:color w:val="auto"/>
                <w:kern w:val="0"/>
                <w:sz w:val="21"/>
                <w:szCs w:val="21"/>
                <w:highlight w:val="none"/>
                <w:lang w:val="en-US" w:eastAsia="zh-CN" w:bidi="ar-SA"/>
              </w:rPr>
              <w:t>【提供的活动方案少于上述80%场次，大于或等于50%的，本项最高得2分，少于50%的 ,本项不得分。】</w:t>
            </w:r>
          </w:p>
          <w:p w14:paraId="502BB5BB">
            <w:pPr>
              <w:spacing w:line="240" w:lineRule="auto"/>
              <w:ind w:left="0" w:leftChars="0" w:firstLine="0" w:firstLineChars="0"/>
              <w:rPr>
                <w:rFonts w:hint="default"/>
                <w:color w:val="auto"/>
                <w:highlight w:val="none"/>
                <w:lang w:val="en-US" w:eastAsia="zh-CN"/>
              </w:rPr>
            </w:pPr>
            <w:r>
              <w:rPr>
                <w:rFonts w:hint="eastAsia" w:ascii="微软雅黑" w:hAnsi="微软雅黑" w:eastAsia="微软雅黑" w:cs="微软雅黑"/>
                <w:b/>
                <w:bCs/>
                <w:color w:val="auto"/>
                <w:kern w:val="0"/>
                <w:szCs w:val="21"/>
                <w:highlight w:val="none"/>
                <w:lang w:eastAsia="zh-CN"/>
              </w:rPr>
              <w:t>◈</w:t>
            </w:r>
            <w:r>
              <w:rPr>
                <w:rFonts w:hint="eastAsia"/>
                <w:b/>
                <w:bCs/>
                <w:color w:val="auto"/>
                <w:highlight w:val="none"/>
                <w:lang w:val="en-US" w:eastAsia="zh-CN"/>
              </w:rPr>
              <w:t>每场活动预期目标：</w:t>
            </w:r>
            <w:r>
              <w:rPr>
                <w:rFonts w:hint="eastAsia"/>
                <w:b w:val="0"/>
                <w:bCs w:val="0"/>
                <w:color w:val="auto"/>
                <w:highlight w:val="none"/>
                <w:lang w:val="en-US" w:eastAsia="zh-CN"/>
              </w:rPr>
              <w:t>每场活动预期目标分析准确，完</w:t>
            </w:r>
            <w:r>
              <w:rPr>
                <w:rFonts w:hint="eastAsia"/>
                <w:color w:val="auto"/>
                <w:highlight w:val="none"/>
                <w:lang w:val="en-US" w:eastAsia="zh-CN"/>
              </w:rPr>
              <w:t>全满足并优于项目实施要求的得5分； 满足项目实施要求的得4分</w:t>
            </w:r>
            <w:r>
              <w:rPr>
                <w:rFonts w:hint="eastAsia"/>
                <w:b w:val="0"/>
                <w:bCs w:val="0"/>
                <w:color w:val="auto"/>
                <w:highlight w:val="none"/>
                <w:lang w:val="en-US" w:eastAsia="zh-CN"/>
              </w:rPr>
              <w:t>； 预期目标有缺陷，不够详细、完整，但基本能满足项目实施要求的得3分； 有明显缺陷，得2分；其余不得分；【提供预期目标的活动数量少于上述80%，大于或等于50%场次的，本项最高得2分，少于50%的 ,本项不得分。】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1BEA164A">
            <w:pPr>
              <w:spacing w:line="240" w:lineRule="auto"/>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18</w:t>
            </w:r>
          </w:p>
        </w:tc>
        <w:tc>
          <w:tcPr>
            <w:tcW w:w="766" w:type="dxa"/>
            <w:tcBorders>
              <w:top w:val="single" w:color="000000" w:sz="4" w:space="0"/>
              <w:left w:val="single" w:color="000000" w:sz="4" w:space="0"/>
              <w:bottom w:val="single" w:color="auto" w:sz="4" w:space="0"/>
              <w:right w:val="single" w:color="000000" w:sz="8" w:space="0"/>
            </w:tcBorders>
            <w:vAlign w:val="center"/>
          </w:tcPr>
          <w:p w14:paraId="2A47CB39">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主观</w:t>
            </w:r>
          </w:p>
        </w:tc>
      </w:tr>
      <w:tr w14:paraId="169AA5E5">
        <w:tblPrEx>
          <w:tblCellMar>
            <w:top w:w="0" w:type="dxa"/>
            <w:left w:w="108" w:type="dxa"/>
            <w:bottom w:w="0" w:type="dxa"/>
            <w:right w:w="108" w:type="dxa"/>
          </w:tblCellMar>
        </w:tblPrEx>
        <w:trPr>
          <w:trHeight w:val="599" w:hRule="atLeast"/>
        </w:trPr>
        <w:tc>
          <w:tcPr>
            <w:tcW w:w="676" w:type="dxa"/>
            <w:tcBorders>
              <w:top w:val="single" w:color="auto" w:sz="4" w:space="0"/>
              <w:left w:val="single" w:color="000000" w:sz="8" w:space="0"/>
              <w:bottom w:val="single" w:color="000000" w:sz="4" w:space="0"/>
              <w:right w:val="single" w:color="000000" w:sz="4" w:space="0"/>
            </w:tcBorders>
            <w:vAlign w:val="center"/>
          </w:tcPr>
          <w:p w14:paraId="3D798533">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9</w:t>
            </w:r>
          </w:p>
        </w:tc>
        <w:tc>
          <w:tcPr>
            <w:tcW w:w="1276" w:type="dxa"/>
            <w:vMerge w:val="continue"/>
            <w:tcBorders>
              <w:left w:val="single" w:color="000000" w:sz="4" w:space="0"/>
              <w:right w:val="single" w:color="000000" w:sz="4" w:space="0"/>
            </w:tcBorders>
            <w:vAlign w:val="center"/>
          </w:tcPr>
          <w:p w14:paraId="588A9B90">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22BBD26B">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管理和协调方案：根据投标供应商针对本项目的管理和协调方案全面、详细、周到，全面符合项目实施要求的得2分；方案有缺陷，不够完整的，但基础可以达到项目实施要求的得1分；方案有缺陷，明显影响项目即定目标实现的，本项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56EBCD26">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62594A65">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2DC4E88F">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auto" w:sz="4" w:space="0"/>
              <w:right w:val="single" w:color="000000" w:sz="4" w:space="0"/>
            </w:tcBorders>
            <w:vAlign w:val="center"/>
          </w:tcPr>
          <w:p w14:paraId="28AE907D">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w:t>
            </w:r>
          </w:p>
        </w:tc>
        <w:tc>
          <w:tcPr>
            <w:tcW w:w="1276" w:type="dxa"/>
            <w:vMerge w:val="continue"/>
            <w:tcBorders>
              <w:left w:val="single" w:color="000000" w:sz="4" w:space="0"/>
              <w:bottom w:val="single" w:color="auto" w:sz="4" w:space="0"/>
              <w:right w:val="single" w:color="000000" w:sz="4" w:space="0"/>
            </w:tcBorders>
            <w:vAlign w:val="center"/>
          </w:tcPr>
          <w:p w14:paraId="48A964D6">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550390E2">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4</w:t>
            </w:r>
            <w:r>
              <w:rPr>
                <w:rFonts w:hint="eastAsia" w:ascii="微软雅黑" w:hAnsi="微软雅黑" w:cs="仿宋"/>
                <w:color w:val="auto"/>
                <w:kern w:val="0"/>
                <w:szCs w:val="21"/>
                <w:highlight w:val="none"/>
              </w:rPr>
              <w:t>）项目实施过程中可能遇到应急情况分析及其应对措施：根据投标供应商针对本项目的实施过程中可能遇到的应急情况及其应对措施，应急情况切实有效，符合逻辑并有有效的应对措施的，每一条得1分，共</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w:t>
            </w:r>
          </w:p>
        </w:tc>
        <w:tc>
          <w:tcPr>
            <w:tcW w:w="747" w:type="dxa"/>
            <w:tcBorders>
              <w:top w:val="single" w:color="auto" w:sz="4" w:space="0"/>
              <w:left w:val="single" w:color="000000" w:sz="4" w:space="0"/>
              <w:bottom w:val="single" w:color="000000" w:sz="4" w:space="0"/>
              <w:right w:val="single" w:color="000000" w:sz="8" w:space="0"/>
            </w:tcBorders>
            <w:vAlign w:val="center"/>
          </w:tcPr>
          <w:p w14:paraId="3DD46AE9">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000000" w:sz="4" w:space="0"/>
              <w:right w:val="single" w:color="000000" w:sz="8" w:space="0"/>
            </w:tcBorders>
            <w:vAlign w:val="center"/>
          </w:tcPr>
          <w:p w14:paraId="0AB602E2">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w:t>
            </w:r>
            <w:r>
              <w:rPr>
                <w:rFonts w:hint="eastAsia" w:ascii="微软雅黑" w:hAnsi="微软雅黑" w:cs="仿宋"/>
                <w:color w:val="auto"/>
                <w:szCs w:val="21"/>
                <w:highlight w:val="none"/>
                <w:lang w:eastAsia="zh-CN"/>
              </w:rPr>
              <w:t>观</w:t>
            </w:r>
          </w:p>
        </w:tc>
      </w:tr>
      <w:tr w14:paraId="3ED18488">
        <w:tblPrEx>
          <w:tblCellMar>
            <w:top w:w="0" w:type="dxa"/>
            <w:left w:w="108" w:type="dxa"/>
            <w:bottom w:w="0" w:type="dxa"/>
            <w:right w:w="108" w:type="dxa"/>
          </w:tblCellMar>
        </w:tblPrEx>
        <w:trPr>
          <w:trHeight w:val="90" w:hRule="atLeast"/>
        </w:trPr>
        <w:tc>
          <w:tcPr>
            <w:tcW w:w="676" w:type="dxa"/>
            <w:vMerge w:val="restart"/>
            <w:tcBorders>
              <w:top w:val="single" w:color="auto" w:sz="4" w:space="0"/>
              <w:left w:val="single" w:color="000000" w:sz="8" w:space="0"/>
              <w:right w:val="single" w:color="000000" w:sz="4" w:space="0"/>
            </w:tcBorders>
            <w:vAlign w:val="center"/>
          </w:tcPr>
          <w:p w14:paraId="4F69BA5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11</w:t>
            </w:r>
          </w:p>
        </w:tc>
        <w:tc>
          <w:tcPr>
            <w:tcW w:w="1276" w:type="dxa"/>
            <w:vMerge w:val="restart"/>
            <w:tcBorders>
              <w:top w:val="single" w:color="auto" w:sz="4" w:space="0"/>
              <w:left w:val="single" w:color="000000" w:sz="4" w:space="0"/>
              <w:right w:val="single" w:color="000000" w:sz="4" w:space="0"/>
            </w:tcBorders>
            <w:vAlign w:val="center"/>
          </w:tcPr>
          <w:p w14:paraId="40073FC6">
            <w:pPr>
              <w:widowControl/>
              <w:numPr>
                <w:ilvl w:val="0"/>
                <w:numId w:val="0"/>
              </w:numPr>
              <w:spacing w:line="240" w:lineRule="auto"/>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投标供应商针对本项目的组织机构设置，要求投标供应商在投标文件中详细列明各岗位的设置、人数及岗位责任。</w:t>
            </w:r>
          </w:p>
        </w:tc>
        <w:tc>
          <w:tcPr>
            <w:tcW w:w="6104" w:type="dxa"/>
            <w:tcBorders>
              <w:top w:val="single" w:color="000000" w:sz="4" w:space="0"/>
              <w:left w:val="single" w:color="000000" w:sz="4" w:space="0"/>
              <w:bottom w:val="single" w:color="000000" w:sz="4" w:space="0"/>
              <w:right w:val="single" w:color="000000" w:sz="4" w:space="0"/>
            </w:tcBorders>
            <w:vAlign w:val="center"/>
          </w:tcPr>
          <w:p w14:paraId="77FD5E18">
            <w:pPr>
              <w:widowControl/>
              <w:numPr>
                <w:ilvl w:val="0"/>
                <w:numId w:val="18"/>
              </w:numPr>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投标供应商针对本项目岗位设置完整、合理、科学，完全满足项目实施要求的得2分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不够科学，但基本满足项目实施要求的得1分；有欠缺，有可能会影响项目实施的，本项不得分；</w:t>
            </w:r>
          </w:p>
        </w:tc>
        <w:tc>
          <w:tcPr>
            <w:tcW w:w="747" w:type="dxa"/>
            <w:tcBorders>
              <w:top w:val="single" w:color="000000" w:sz="4" w:space="0"/>
              <w:left w:val="single" w:color="000000" w:sz="4" w:space="0"/>
              <w:bottom w:val="single" w:color="auto" w:sz="4" w:space="0"/>
              <w:right w:val="single" w:color="000000" w:sz="8" w:space="0"/>
            </w:tcBorders>
            <w:vAlign w:val="center"/>
          </w:tcPr>
          <w:p w14:paraId="673B12EE">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3001FEAD">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2422AFFE">
        <w:tblPrEx>
          <w:tblCellMar>
            <w:top w:w="0" w:type="dxa"/>
            <w:left w:w="108" w:type="dxa"/>
            <w:bottom w:w="0" w:type="dxa"/>
            <w:right w:w="108" w:type="dxa"/>
          </w:tblCellMar>
        </w:tblPrEx>
        <w:trPr>
          <w:trHeight w:val="599" w:hRule="atLeast"/>
        </w:trPr>
        <w:tc>
          <w:tcPr>
            <w:tcW w:w="676" w:type="dxa"/>
            <w:vMerge w:val="continue"/>
            <w:tcBorders>
              <w:top w:val="single" w:color="000000" w:sz="4" w:space="0"/>
              <w:left w:val="single" w:color="000000" w:sz="8" w:space="0"/>
              <w:bottom w:val="single" w:color="000000" w:sz="4" w:space="0"/>
              <w:right w:val="single" w:color="000000" w:sz="4" w:space="0"/>
            </w:tcBorders>
            <w:vAlign w:val="center"/>
          </w:tcPr>
          <w:p w14:paraId="60C038F3">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5D231566">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314E0C13">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2</w:t>
            </w:r>
            <w:r>
              <w:rPr>
                <w:rFonts w:hint="eastAsia" w:ascii="微软雅黑" w:hAnsi="微软雅黑" w:cs="仿宋"/>
                <w:color w:val="auto"/>
                <w:kern w:val="0"/>
                <w:szCs w:val="21"/>
                <w:highlight w:val="none"/>
              </w:rPr>
              <w:t>）投标供应商针对本项目各岗位岗位责任设置完整、科学的得2分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不够科学，但基本满足项目实施要求的得1分；有欠缺，有可能会影响项目实施的的或没有岗位责任的，本项目不得分；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5D79A44C">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000000" w:sz="4" w:space="0"/>
              <w:right w:val="single" w:color="000000" w:sz="8" w:space="0"/>
            </w:tcBorders>
            <w:vAlign w:val="center"/>
          </w:tcPr>
          <w:p w14:paraId="4D94D19A">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26248CBC">
        <w:tblPrEx>
          <w:tblCellMar>
            <w:top w:w="0" w:type="dxa"/>
            <w:left w:w="108" w:type="dxa"/>
            <w:bottom w:w="0" w:type="dxa"/>
            <w:right w:w="108" w:type="dxa"/>
          </w:tblCellMar>
        </w:tblPrEx>
        <w:trPr>
          <w:trHeight w:val="1484" w:hRule="atLeast"/>
        </w:trPr>
        <w:tc>
          <w:tcPr>
            <w:tcW w:w="676" w:type="dxa"/>
            <w:vMerge w:val="continue"/>
            <w:tcBorders>
              <w:top w:val="single" w:color="000000" w:sz="4" w:space="0"/>
              <w:left w:val="single" w:color="000000" w:sz="8" w:space="0"/>
              <w:bottom w:val="single" w:color="000000" w:sz="4" w:space="0"/>
              <w:right w:val="single" w:color="000000" w:sz="4" w:space="0"/>
            </w:tcBorders>
            <w:vAlign w:val="center"/>
          </w:tcPr>
          <w:p w14:paraId="11A01CC0">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6BB0930B">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2557933A">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w:t>
            </w:r>
            <w:r>
              <w:rPr>
                <w:rFonts w:ascii="微软雅黑" w:hAnsi="微软雅黑" w:cs="仿宋"/>
                <w:color w:val="auto"/>
                <w:kern w:val="0"/>
                <w:szCs w:val="21"/>
                <w:highlight w:val="none"/>
              </w:rPr>
              <w:t>3</w:t>
            </w:r>
            <w:r>
              <w:rPr>
                <w:rFonts w:hint="eastAsia" w:ascii="微软雅黑" w:hAnsi="微软雅黑" w:cs="仿宋"/>
                <w:color w:val="auto"/>
                <w:kern w:val="0"/>
                <w:szCs w:val="21"/>
                <w:highlight w:val="none"/>
              </w:rPr>
              <w:t>）投标供应商针对本项目各岗位设置的绩效考核机制合理、科学的得2分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不够科学，但基本满足项目实施要求的得1分；有欠缺，有可能会影响项目实施的的或没有绩效考核机制的，本项目不得分；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65E9B788">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503AB2DA">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BECAE88">
        <w:tblPrEx>
          <w:tblCellMar>
            <w:top w:w="0" w:type="dxa"/>
            <w:left w:w="108" w:type="dxa"/>
            <w:bottom w:w="0" w:type="dxa"/>
            <w:right w:w="108" w:type="dxa"/>
          </w:tblCellMar>
        </w:tblPrEx>
        <w:trPr>
          <w:trHeight w:val="1484" w:hRule="atLeast"/>
        </w:trPr>
        <w:tc>
          <w:tcPr>
            <w:tcW w:w="676" w:type="dxa"/>
            <w:vMerge w:val="continue"/>
            <w:tcBorders>
              <w:top w:val="single" w:color="000000" w:sz="4" w:space="0"/>
              <w:left w:val="single" w:color="000000" w:sz="8" w:space="0"/>
              <w:bottom w:val="single" w:color="auto" w:sz="4" w:space="0"/>
              <w:right w:val="single" w:color="000000" w:sz="4" w:space="0"/>
            </w:tcBorders>
            <w:vAlign w:val="center"/>
          </w:tcPr>
          <w:p w14:paraId="31F04AD9">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bottom w:val="single" w:color="auto" w:sz="4" w:space="0"/>
              <w:right w:val="single" w:color="000000" w:sz="4" w:space="0"/>
            </w:tcBorders>
            <w:vAlign w:val="center"/>
          </w:tcPr>
          <w:p w14:paraId="1FEFE158">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vAlign w:val="center"/>
          </w:tcPr>
          <w:p w14:paraId="4597E3FA">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（4）投标供应商针对本项目项目实施人员的奖励和晋升机制的合理、科学的得2分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不够科学，但基本满足项目实施要求的得1分；有欠缺，有可能会影响项目实施的的或没有奖励和晋升机制的，本项目不得分；</w:t>
            </w:r>
          </w:p>
        </w:tc>
        <w:tc>
          <w:tcPr>
            <w:tcW w:w="747" w:type="dxa"/>
            <w:tcBorders>
              <w:top w:val="single" w:color="auto" w:sz="4" w:space="0"/>
              <w:left w:val="single" w:color="000000" w:sz="4" w:space="0"/>
              <w:bottom w:val="single" w:color="auto" w:sz="4" w:space="0"/>
              <w:right w:val="single" w:color="000000" w:sz="8" w:space="0"/>
            </w:tcBorders>
            <w:vAlign w:val="center"/>
          </w:tcPr>
          <w:p w14:paraId="001829B0">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auto" w:sz="4" w:space="0"/>
              <w:left w:val="single" w:color="000000" w:sz="4" w:space="0"/>
              <w:bottom w:val="single" w:color="auto" w:sz="4" w:space="0"/>
              <w:right w:val="single" w:color="000000" w:sz="8" w:space="0"/>
            </w:tcBorders>
            <w:vAlign w:val="center"/>
          </w:tcPr>
          <w:p w14:paraId="5FDD1A5B">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主观</w:t>
            </w:r>
          </w:p>
        </w:tc>
      </w:tr>
      <w:tr w14:paraId="55150B69">
        <w:tblPrEx>
          <w:tblCellMar>
            <w:top w:w="0" w:type="dxa"/>
            <w:left w:w="108" w:type="dxa"/>
            <w:bottom w:w="0" w:type="dxa"/>
            <w:right w:w="108" w:type="dxa"/>
          </w:tblCellMar>
        </w:tblPrEx>
        <w:trPr>
          <w:trHeight w:val="90" w:hRule="atLeast"/>
        </w:trPr>
        <w:tc>
          <w:tcPr>
            <w:tcW w:w="676" w:type="dxa"/>
            <w:vMerge w:val="restart"/>
            <w:tcBorders>
              <w:top w:val="single" w:color="auto" w:sz="4" w:space="0"/>
              <w:left w:val="single" w:color="000000" w:sz="8" w:space="0"/>
              <w:right w:val="single" w:color="000000" w:sz="4" w:space="0"/>
            </w:tcBorders>
            <w:vAlign w:val="center"/>
          </w:tcPr>
          <w:p w14:paraId="2B641195">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12</w:t>
            </w:r>
          </w:p>
        </w:tc>
        <w:tc>
          <w:tcPr>
            <w:tcW w:w="1276" w:type="dxa"/>
            <w:vMerge w:val="restart"/>
            <w:tcBorders>
              <w:top w:val="single" w:color="auto" w:sz="4" w:space="0"/>
              <w:left w:val="single" w:color="000000" w:sz="4" w:space="0"/>
              <w:right w:val="single" w:color="000000" w:sz="4" w:space="0"/>
            </w:tcBorders>
            <w:vAlign w:val="center"/>
          </w:tcPr>
          <w:p w14:paraId="5A9C7D91">
            <w:pPr>
              <w:widowControl/>
              <w:spacing w:line="240" w:lineRule="auto"/>
              <w:ind w:firstLine="0" w:firstLineChars="0"/>
              <w:rPr>
                <w:rFonts w:hint="eastAsia" w:ascii="微软雅黑" w:hAnsi="微软雅黑" w:cs="仿宋"/>
                <w:b/>
                <w:bCs/>
                <w:color w:val="auto"/>
                <w:kern w:val="0"/>
                <w:szCs w:val="21"/>
                <w:highlight w:val="none"/>
              </w:rPr>
            </w:pPr>
          </w:p>
          <w:p w14:paraId="195D3066">
            <w:pPr>
              <w:widowControl/>
              <w:spacing w:line="240" w:lineRule="auto"/>
              <w:ind w:firstLine="0"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本项目进驻人员，专业服务人员配备情况</w:t>
            </w:r>
          </w:p>
        </w:tc>
        <w:tc>
          <w:tcPr>
            <w:tcW w:w="6104" w:type="dxa"/>
            <w:tcBorders>
              <w:top w:val="single" w:color="000000" w:sz="4" w:space="0"/>
              <w:left w:val="single" w:color="000000" w:sz="4" w:space="0"/>
              <w:bottom w:val="single" w:color="auto" w:sz="4" w:space="0"/>
              <w:right w:val="single" w:color="000000" w:sz="4" w:space="0"/>
            </w:tcBorders>
            <w:vAlign w:val="center"/>
          </w:tcPr>
          <w:p w14:paraId="3A5434FB">
            <w:pPr>
              <w:widowControl/>
              <w:numPr>
                <w:ilvl w:val="0"/>
                <w:numId w:val="19"/>
              </w:numPr>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投标供应商针对本项目进驻人员：</w:t>
            </w:r>
          </w:p>
          <w:p w14:paraId="7A21F5F9">
            <w:pPr>
              <w:widowControl/>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lang w:eastAsia="zh-CN"/>
              </w:rPr>
              <w:t>三馆总负责人</w:t>
            </w:r>
            <w:r>
              <w:rPr>
                <w:rFonts w:hint="eastAsia" w:ascii="微软雅黑" w:hAnsi="微软雅黑" w:cs="仿宋"/>
                <w:b w:val="0"/>
                <w:bCs w:val="0"/>
                <w:color w:val="auto"/>
                <w:kern w:val="0"/>
                <w:szCs w:val="21"/>
                <w:highlight w:val="none"/>
              </w:rPr>
              <w:t>有高级及以上职称得</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分；</w:t>
            </w:r>
          </w:p>
          <w:p w14:paraId="075DE2A6">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 xml:space="preserve"> 有省级及以上公共图书馆管理工作经验</w:t>
            </w:r>
            <w:r>
              <w:rPr>
                <w:rFonts w:hint="eastAsia" w:ascii="微软雅黑" w:hAnsi="微软雅黑" w:cs="仿宋"/>
                <w:b w:val="0"/>
                <w:bCs w:val="0"/>
                <w:color w:val="auto"/>
                <w:kern w:val="0"/>
                <w:szCs w:val="21"/>
                <w:highlight w:val="none"/>
                <w:lang w:val="en-US" w:eastAsia="zh-CN"/>
              </w:rPr>
              <w:t>10</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4</w:t>
            </w:r>
            <w:r>
              <w:rPr>
                <w:rFonts w:hint="eastAsia" w:ascii="微软雅黑" w:hAnsi="微软雅黑" w:cs="仿宋"/>
                <w:b w:val="0"/>
                <w:bCs w:val="0"/>
                <w:color w:val="auto"/>
                <w:kern w:val="0"/>
                <w:szCs w:val="21"/>
                <w:highlight w:val="none"/>
              </w:rPr>
              <w:t>分；市级图书馆管理工作经验</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0年及以上或省级及以上公共图书馆管理工作经验</w:t>
            </w:r>
            <w:r>
              <w:rPr>
                <w:rFonts w:hint="eastAsia" w:ascii="微软雅黑" w:hAnsi="微软雅黑" w:cs="仿宋"/>
                <w:b w:val="0"/>
                <w:bCs w:val="0"/>
                <w:color w:val="auto"/>
                <w:kern w:val="0"/>
                <w:szCs w:val="21"/>
                <w:highlight w:val="none"/>
                <w:lang w:val="en-US" w:eastAsia="zh-CN"/>
              </w:rPr>
              <w:t>5</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3</w:t>
            </w:r>
            <w:r>
              <w:rPr>
                <w:rFonts w:hint="eastAsia" w:ascii="微软雅黑" w:hAnsi="微软雅黑" w:cs="仿宋"/>
                <w:b w:val="0"/>
                <w:bCs w:val="0"/>
                <w:color w:val="auto"/>
                <w:kern w:val="0"/>
                <w:szCs w:val="21"/>
                <w:highlight w:val="none"/>
              </w:rPr>
              <w:t>分；县级图书馆管理工作经验</w:t>
            </w:r>
            <w:r>
              <w:rPr>
                <w:rFonts w:hint="eastAsia" w:ascii="微软雅黑" w:hAnsi="微软雅黑" w:cs="仿宋"/>
                <w:b w:val="0"/>
                <w:bCs w:val="0"/>
                <w:color w:val="auto"/>
                <w:kern w:val="0"/>
                <w:szCs w:val="21"/>
                <w:highlight w:val="none"/>
                <w:lang w:val="en-US" w:eastAsia="zh-CN"/>
              </w:rPr>
              <w:t>10</w:t>
            </w:r>
            <w:r>
              <w:rPr>
                <w:rFonts w:hint="eastAsia" w:ascii="微软雅黑" w:hAnsi="微软雅黑" w:cs="仿宋"/>
                <w:b w:val="0"/>
                <w:bCs w:val="0"/>
                <w:color w:val="auto"/>
                <w:kern w:val="0"/>
                <w:szCs w:val="21"/>
                <w:highlight w:val="none"/>
              </w:rPr>
              <w:t>年及以上或市级图书馆管理工作经验</w:t>
            </w:r>
            <w:r>
              <w:rPr>
                <w:rFonts w:hint="eastAsia" w:ascii="微软雅黑" w:hAnsi="微软雅黑" w:cs="仿宋"/>
                <w:b w:val="0"/>
                <w:bCs w:val="0"/>
                <w:color w:val="auto"/>
                <w:kern w:val="0"/>
                <w:szCs w:val="21"/>
                <w:highlight w:val="none"/>
                <w:lang w:val="en-US" w:eastAsia="zh-CN"/>
              </w:rPr>
              <w:t>5</w:t>
            </w:r>
            <w:r>
              <w:rPr>
                <w:rFonts w:hint="eastAsia" w:ascii="微软雅黑" w:hAnsi="微软雅黑" w:cs="仿宋"/>
                <w:b w:val="0"/>
                <w:bCs w:val="0"/>
                <w:color w:val="auto"/>
                <w:kern w:val="0"/>
                <w:szCs w:val="21"/>
                <w:highlight w:val="none"/>
              </w:rPr>
              <w:t>年及以上或省级及以上公共图书馆管理工作经验</w:t>
            </w:r>
            <w:r>
              <w:rPr>
                <w:rFonts w:hint="eastAsia" w:ascii="微软雅黑" w:hAnsi="微软雅黑" w:cs="仿宋"/>
                <w:b w:val="0"/>
                <w:bCs w:val="0"/>
                <w:color w:val="auto"/>
                <w:kern w:val="0"/>
                <w:szCs w:val="21"/>
                <w:highlight w:val="none"/>
                <w:lang w:val="en-US" w:eastAsia="zh-CN"/>
              </w:rPr>
              <w:t>3</w:t>
            </w:r>
            <w:r>
              <w:rPr>
                <w:rFonts w:hint="eastAsia" w:ascii="微软雅黑" w:hAnsi="微软雅黑" w:cs="仿宋"/>
                <w:b w:val="0"/>
                <w:bCs w:val="0"/>
                <w:color w:val="auto"/>
                <w:kern w:val="0"/>
                <w:szCs w:val="21"/>
                <w:highlight w:val="none"/>
              </w:rPr>
              <w:t>年及以上</w:t>
            </w:r>
            <w:r>
              <w:rPr>
                <w:rFonts w:hint="eastAsia" w:ascii="微软雅黑" w:hAnsi="微软雅黑" w:cs="仿宋"/>
                <w:b w:val="0"/>
                <w:bCs w:val="0"/>
                <w:color w:val="auto"/>
                <w:kern w:val="0"/>
                <w:szCs w:val="21"/>
                <w:highlight w:val="none"/>
                <w:lang w:eastAsia="zh-CN"/>
              </w:rPr>
              <w:t>得</w:t>
            </w:r>
            <w:r>
              <w:rPr>
                <w:rFonts w:hint="eastAsia" w:ascii="微软雅黑" w:hAnsi="微软雅黑" w:cs="仿宋"/>
                <w:b w:val="0"/>
                <w:bCs w:val="0"/>
                <w:color w:val="auto"/>
                <w:kern w:val="0"/>
                <w:szCs w:val="21"/>
                <w:highlight w:val="none"/>
                <w:lang w:val="en-US" w:eastAsia="zh-CN"/>
              </w:rPr>
              <w:t>2</w:t>
            </w:r>
            <w:r>
              <w:rPr>
                <w:rFonts w:hint="eastAsia" w:ascii="微软雅黑" w:hAnsi="微软雅黑" w:cs="仿宋"/>
                <w:b w:val="0"/>
                <w:bCs w:val="0"/>
                <w:color w:val="auto"/>
                <w:kern w:val="0"/>
                <w:szCs w:val="21"/>
                <w:highlight w:val="none"/>
              </w:rPr>
              <w:t>分；</w:t>
            </w:r>
            <w:r>
              <w:rPr>
                <w:rStyle w:val="309"/>
                <w:rFonts w:hint="default" w:cs="仿宋"/>
                <w:b w:val="0"/>
                <w:bCs w:val="0"/>
                <w:color w:val="auto"/>
                <w:highlight w:val="none"/>
              </w:rPr>
              <w:t>【0-</w:t>
            </w:r>
            <w:r>
              <w:rPr>
                <w:rStyle w:val="309"/>
                <w:rFonts w:hint="eastAsia" w:cs="仿宋"/>
                <w:b w:val="0"/>
                <w:bCs w:val="0"/>
                <w:color w:val="auto"/>
                <w:highlight w:val="none"/>
                <w:lang w:val="en-US" w:eastAsia="zh-CN"/>
              </w:rPr>
              <w:t>4</w:t>
            </w:r>
            <w:r>
              <w:rPr>
                <w:rStyle w:val="309"/>
                <w:rFonts w:cs="仿宋"/>
                <w:b w:val="0"/>
                <w:bCs w:val="0"/>
                <w:color w:val="auto"/>
                <w:highlight w:val="none"/>
              </w:rPr>
              <w:t>分</w:t>
            </w:r>
            <w:r>
              <w:rPr>
                <w:rFonts w:hint="eastAsia" w:ascii="微软雅黑" w:hAnsi="微软雅黑" w:cs="仿宋"/>
                <w:b w:val="0"/>
                <w:bCs w:val="0"/>
                <w:color w:val="auto"/>
                <w:kern w:val="0"/>
                <w:szCs w:val="21"/>
                <w:highlight w:val="none"/>
              </w:rPr>
              <w:t>】</w:t>
            </w:r>
          </w:p>
          <w:p w14:paraId="3724DE63">
            <w:pPr>
              <w:widowControl/>
              <w:spacing w:line="240" w:lineRule="auto"/>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kern w:val="0"/>
                <w:szCs w:val="21"/>
                <w:highlight w:val="none"/>
              </w:rPr>
              <w:t>（投标供应商需提供与</w:t>
            </w:r>
            <w:r>
              <w:rPr>
                <w:rFonts w:hint="eastAsia" w:ascii="微软雅黑" w:hAnsi="微软雅黑" w:cs="仿宋"/>
                <w:b w:val="0"/>
                <w:bCs w:val="0"/>
                <w:color w:val="auto"/>
                <w:kern w:val="0"/>
                <w:szCs w:val="21"/>
                <w:highlight w:val="none"/>
                <w:lang w:eastAsia="zh-CN"/>
              </w:rPr>
              <w:t>三馆总负责人</w:t>
            </w:r>
            <w:r>
              <w:rPr>
                <w:rFonts w:hint="eastAsia" w:ascii="微软雅黑" w:hAnsi="微软雅黑" w:cs="仿宋"/>
                <w:b w:val="0"/>
                <w:bCs w:val="0"/>
                <w:color w:val="auto"/>
                <w:kern w:val="0"/>
                <w:szCs w:val="21"/>
                <w:highlight w:val="none"/>
              </w:rPr>
              <w:t>的意向聘书、职称证书、工作经验证明材料复印件</w:t>
            </w:r>
            <w:r>
              <w:rPr>
                <w:rStyle w:val="310"/>
                <w:rFonts w:cs="仿宋"/>
                <w:b w:val="0"/>
                <w:bCs w:val="0"/>
                <w:color w:val="auto"/>
                <w:highlight w:val="none"/>
              </w:rPr>
              <w:t>做在投标文件</w:t>
            </w:r>
            <w:r>
              <w:rPr>
                <w:rStyle w:val="310"/>
                <w:rFonts w:hint="default" w:cs="仿宋"/>
                <w:b w:val="0"/>
                <w:bCs w:val="0"/>
                <w:color w:val="auto"/>
                <w:highlight w:val="none"/>
              </w:rPr>
              <w:t>中</w:t>
            </w:r>
            <w:r>
              <w:rPr>
                <w:rStyle w:val="310"/>
                <w:rFonts w:cs="仿宋"/>
                <w:b w:val="0"/>
                <w:bCs w:val="0"/>
                <w:color w:val="auto"/>
                <w:highlight w:val="none"/>
              </w:rPr>
              <w:t>）</w:t>
            </w:r>
          </w:p>
        </w:tc>
        <w:tc>
          <w:tcPr>
            <w:tcW w:w="747" w:type="dxa"/>
            <w:tcBorders>
              <w:left w:val="single" w:color="000000" w:sz="4" w:space="0"/>
              <w:bottom w:val="single" w:color="auto" w:sz="4" w:space="0"/>
              <w:right w:val="single" w:color="000000" w:sz="8" w:space="0"/>
            </w:tcBorders>
            <w:vAlign w:val="center"/>
          </w:tcPr>
          <w:p w14:paraId="4037699C">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w:t>
            </w:r>
          </w:p>
        </w:tc>
        <w:tc>
          <w:tcPr>
            <w:tcW w:w="766" w:type="dxa"/>
            <w:tcBorders>
              <w:top w:val="single" w:color="000000" w:sz="4" w:space="0"/>
              <w:left w:val="single" w:color="000000" w:sz="4" w:space="0"/>
              <w:bottom w:val="single" w:color="000000" w:sz="4" w:space="0"/>
              <w:right w:val="single" w:color="000000" w:sz="8" w:space="0"/>
            </w:tcBorders>
            <w:vAlign w:val="center"/>
          </w:tcPr>
          <w:p w14:paraId="374614E0">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113C5E6C">
        <w:tblPrEx>
          <w:tblCellMar>
            <w:top w:w="0" w:type="dxa"/>
            <w:left w:w="108" w:type="dxa"/>
            <w:bottom w:w="0" w:type="dxa"/>
            <w:right w:w="108" w:type="dxa"/>
          </w:tblCellMar>
        </w:tblPrEx>
        <w:trPr>
          <w:trHeight w:val="363" w:hRule="atLeast"/>
        </w:trPr>
        <w:tc>
          <w:tcPr>
            <w:tcW w:w="676" w:type="dxa"/>
            <w:vMerge w:val="continue"/>
            <w:tcBorders>
              <w:left w:val="single" w:color="000000" w:sz="8" w:space="0"/>
              <w:right w:val="single" w:color="000000" w:sz="4" w:space="0"/>
            </w:tcBorders>
            <w:vAlign w:val="center"/>
          </w:tcPr>
          <w:p w14:paraId="7E4E7DAB">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right w:val="single" w:color="000000" w:sz="4" w:space="0"/>
            </w:tcBorders>
            <w:vAlign w:val="center"/>
          </w:tcPr>
          <w:p w14:paraId="67881F1B">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auto" w:sz="4" w:space="0"/>
              <w:left w:val="single" w:color="000000" w:sz="4" w:space="0"/>
              <w:bottom w:val="single" w:color="auto" w:sz="4" w:space="0"/>
              <w:right w:val="single" w:color="000000" w:sz="4" w:space="0"/>
            </w:tcBorders>
            <w:vAlign w:val="center"/>
          </w:tcPr>
          <w:p w14:paraId="07B244BA">
            <w:pPr>
              <w:widowControl/>
              <w:spacing w:line="240" w:lineRule="auto"/>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kern w:val="0"/>
                <w:szCs w:val="21"/>
                <w:highlight w:val="none"/>
              </w:rPr>
              <w:t>（2）投标供应商针对本项目进驻人员：分馆</w:t>
            </w:r>
            <w:r>
              <w:rPr>
                <w:rFonts w:hint="eastAsia" w:ascii="微软雅黑" w:hAnsi="微软雅黑" w:cs="仿宋"/>
                <w:b w:val="0"/>
                <w:bCs w:val="0"/>
                <w:color w:val="auto"/>
                <w:kern w:val="0"/>
                <w:szCs w:val="21"/>
                <w:highlight w:val="none"/>
                <w:lang w:eastAsia="zh-CN"/>
              </w:rPr>
              <w:t>管理</w:t>
            </w:r>
            <w:r>
              <w:rPr>
                <w:rFonts w:hint="eastAsia" w:ascii="微软雅黑" w:hAnsi="微软雅黑" w:cs="仿宋"/>
                <w:b w:val="0"/>
                <w:bCs w:val="0"/>
                <w:color w:val="auto"/>
                <w:kern w:val="0"/>
                <w:szCs w:val="21"/>
                <w:highlight w:val="none"/>
              </w:rPr>
              <w:t>负责人具有县级及以上公共文化场馆管理工作经验10年及以上得3分</w:t>
            </w:r>
            <w:r>
              <w:rPr>
                <w:rStyle w:val="309"/>
                <w:rFonts w:hint="default" w:cs="仿宋"/>
                <w:b w:val="0"/>
                <w:bCs w:val="0"/>
                <w:color w:val="auto"/>
                <w:highlight w:val="none"/>
              </w:rPr>
              <w:t>；具有</w:t>
            </w:r>
            <w:r>
              <w:rPr>
                <w:rFonts w:hint="eastAsia" w:ascii="微软雅黑" w:hAnsi="微软雅黑" w:cs="仿宋"/>
                <w:b w:val="0"/>
                <w:bCs w:val="0"/>
                <w:color w:val="auto"/>
                <w:kern w:val="0"/>
                <w:szCs w:val="21"/>
                <w:highlight w:val="none"/>
              </w:rPr>
              <w:t>县级及以上公共文化场馆管理工作经验</w:t>
            </w:r>
            <w:r>
              <w:rPr>
                <w:rStyle w:val="309"/>
                <w:rFonts w:hint="default" w:cs="仿宋"/>
                <w:b w:val="0"/>
                <w:bCs w:val="0"/>
                <w:color w:val="auto"/>
                <w:highlight w:val="none"/>
              </w:rPr>
              <w:t>5年及以上得2分；具有5年及以上公共文化场馆管理工作经验得1分。【0-3分</w:t>
            </w:r>
            <w:r>
              <w:rPr>
                <w:rFonts w:hint="eastAsia" w:ascii="微软雅黑" w:hAnsi="微软雅黑" w:cs="仿宋"/>
                <w:b w:val="0"/>
                <w:bCs w:val="0"/>
                <w:color w:val="auto"/>
                <w:kern w:val="0"/>
                <w:szCs w:val="21"/>
                <w:highlight w:val="none"/>
              </w:rPr>
              <w:t>】（投标供应商需提供与各分馆负责人的意向聘书、职称证书、工作经验证明材料复印件</w:t>
            </w:r>
            <w:r>
              <w:rPr>
                <w:rStyle w:val="310"/>
                <w:rFonts w:cs="仿宋"/>
                <w:b w:val="0"/>
                <w:bCs w:val="0"/>
                <w:color w:val="auto"/>
                <w:highlight w:val="none"/>
              </w:rPr>
              <w:t>做在投标文件</w:t>
            </w:r>
            <w:r>
              <w:rPr>
                <w:rStyle w:val="310"/>
                <w:rFonts w:hint="default" w:cs="仿宋"/>
                <w:b w:val="0"/>
                <w:bCs w:val="0"/>
                <w:color w:val="auto"/>
                <w:highlight w:val="none"/>
              </w:rPr>
              <w:t>中</w:t>
            </w:r>
            <w:r>
              <w:rPr>
                <w:rStyle w:val="310"/>
                <w:rFonts w:cs="仿宋"/>
                <w:b w:val="0"/>
                <w:bCs w:val="0"/>
                <w:color w:val="auto"/>
                <w:highlight w:val="none"/>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58D02D93">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w:t>
            </w:r>
          </w:p>
        </w:tc>
        <w:tc>
          <w:tcPr>
            <w:tcW w:w="766" w:type="dxa"/>
            <w:tcBorders>
              <w:top w:val="single" w:color="000000" w:sz="4" w:space="0"/>
              <w:left w:val="single" w:color="000000" w:sz="4" w:space="0"/>
              <w:bottom w:val="single" w:color="auto" w:sz="4" w:space="0"/>
              <w:right w:val="single" w:color="000000" w:sz="8" w:space="0"/>
            </w:tcBorders>
            <w:vAlign w:val="center"/>
          </w:tcPr>
          <w:p w14:paraId="7A917035">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68CF327F">
        <w:tblPrEx>
          <w:tblCellMar>
            <w:top w:w="0" w:type="dxa"/>
            <w:left w:w="108" w:type="dxa"/>
            <w:bottom w:w="0" w:type="dxa"/>
            <w:right w:w="108" w:type="dxa"/>
          </w:tblCellMar>
        </w:tblPrEx>
        <w:trPr>
          <w:trHeight w:val="1178" w:hRule="atLeast"/>
        </w:trPr>
        <w:tc>
          <w:tcPr>
            <w:tcW w:w="676" w:type="dxa"/>
            <w:vMerge w:val="continue"/>
            <w:tcBorders>
              <w:left w:val="single" w:color="000000" w:sz="8" w:space="0"/>
              <w:bottom w:val="single" w:color="000000" w:sz="4" w:space="0"/>
              <w:right w:val="single" w:color="000000" w:sz="4" w:space="0"/>
            </w:tcBorders>
            <w:vAlign w:val="center"/>
          </w:tcPr>
          <w:p w14:paraId="59618ED4">
            <w:pPr>
              <w:spacing w:line="240" w:lineRule="auto"/>
              <w:ind w:firstLine="0" w:firstLineChars="0"/>
              <w:jc w:val="center"/>
              <w:rPr>
                <w:rFonts w:ascii="微软雅黑" w:hAnsi="微软雅黑" w:cs="仿宋"/>
                <w:color w:val="auto"/>
                <w:szCs w:val="21"/>
                <w:highlight w:val="none"/>
              </w:rPr>
            </w:pPr>
          </w:p>
        </w:tc>
        <w:tc>
          <w:tcPr>
            <w:tcW w:w="1276" w:type="dxa"/>
            <w:vMerge w:val="continue"/>
            <w:tcBorders>
              <w:left w:val="single" w:color="000000" w:sz="4" w:space="0"/>
              <w:bottom w:val="single" w:color="auto" w:sz="4" w:space="0"/>
              <w:right w:val="single" w:color="000000" w:sz="4" w:space="0"/>
            </w:tcBorders>
            <w:vAlign w:val="center"/>
          </w:tcPr>
          <w:p w14:paraId="153D4238">
            <w:pPr>
              <w:widowControl/>
              <w:spacing w:line="240" w:lineRule="auto"/>
              <w:ind w:firstLine="0" w:firstLineChars="0"/>
              <w:rPr>
                <w:rFonts w:hint="eastAsia" w:ascii="微软雅黑" w:hAnsi="微软雅黑" w:cs="仿宋"/>
                <w:color w:val="auto"/>
                <w:kern w:val="0"/>
                <w:szCs w:val="21"/>
                <w:highlight w:val="none"/>
              </w:rPr>
            </w:pPr>
          </w:p>
        </w:tc>
        <w:tc>
          <w:tcPr>
            <w:tcW w:w="6104" w:type="dxa"/>
            <w:tcBorders>
              <w:top w:val="single" w:color="000000" w:sz="4" w:space="0"/>
              <w:left w:val="single" w:color="000000" w:sz="4" w:space="0"/>
              <w:bottom w:val="single" w:color="auto" w:sz="4" w:space="0"/>
              <w:right w:val="single" w:color="000000" w:sz="4" w:space="0"/>
            </w:tcBorders>
            <w:vAlign w:val="center"/>
          </w:tcPr>
          <w:p w14:paraId="37DBAA19">
            <w:pPr>
              <w:widowControl/>
              <w:spacing w:line="240" w:lineRule="auto"/>
              <w:ind w:firstLine="0" w:firstLineChars="0"/>
              <w:rPr>
                <w:rFonts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（3）投标供应商针对本项目进驻人员：入驻三馆工作人员，学历达到本科</w:t>
            </w:r>
            <w:r>
              <w:rPr>
                <w:rFonts w:hint="eastAsia" w:ascii="微软雅黑" w:hAnsi="微软雅黑" w:cs="仿宋"/>
                <w:b w:val="0"/>
                <w:bCs w:val="0"/>
                <w:color w:val="auto"/>
                <w:kern w:val="0"/>
                <w:szCs w:val="21"/>
                <w:highlight w:val="none"/>
                <w:lang w:eastAsia="zh-CN"/>
              </w:rPr>
              <w:t>及</w:t>
            </w:r>
            <w:r>
              <w:rPr>
                <w:rFonts w:hint="eastAsia" w:ascii="微软雅黑" w:hAnsi="微软雅黑" w:cs="仿宋"/>
                <w:b w:val="0"/>
                <w:bCs w:val="0"/>
                <w:color w:val="auto"/>
                <w:kern w:val="0"/>
                <w:szCs w:val="21"/>
                <w:highlight w:val="none"/>
              </w:rPr>
              <w:t>以上的占总人数的40%及以上的得</w:t>
            </w:r>
            <w:r>
              <w:rPr>
                <w:rFonts w:hint="eastAsia" w:ascii="微软雅黑" w:hAnsi="微软雅黑" w:cs="仿宋"/>
                <w:b w:val="0"/>
                <w:bCs w:val="0"/>
                <w:color w:val="auto"/>
                <w:kern w:val="0"/>
                <w:szCs w:val="21"/>
                <w:highlight w:val="none"/>
                <w:lang w:val="en-US" w:eastAsia="zh-CN"/>
              </w:rPr>
              <w:t>2</w:t>
            </w:r>
            <w:r>
              <w:rPr>
                <w:rFonts w:hint="eastAsia" w:ascii="微软雅黑" w:hAnsi="微软雅黑" w:cs="仿宋"/>
                <w:b w:val="0"/>
                <w:bCs w:val="0"/>
                <w:color w:val="auto"/>
                <w:kern w:val="0"/>
                <w:szCs w:val="21"/>
                <w:highlight w:val="none"/>
              </w:rPr>
              <w:t>分；占总人数的30%及以上的得</w:t>
            </w:r>
            <w:r>
              <w:rPr>
                <w:rFonts w:hint="eastAsia" w:ascii="微软雅黑" w:hAnsi="微软雅黑" w:cs="仿宋"/>
                <w:b w:val="0"/>
                <w:bCs w:val="0"/>
                <w:color w:val="auto"/>
                <w:kern w:val="0"/>
                <w:szCs w:val="21"/>
                <w:highlight w:val="none"/>
                <w:lang w:val="en-US" w:eastAsia="zh-CN"/>
              </w:rPr>
              <w:t>1</w:t>
            </w:r>
            <w:r>
              <w:rPr>
                <w:rFonts w:hint="eastAsia" w:ascii="微软雅黑" w:hAnsi="微软雅黑" w:cs="仿宋"/>
                <w:b w:val="0"/>
                <w:bCs w:val="0"/>
                <w:color w:val="auto"/>
                <w:kern w:val="0"/>
                <w:szCs w:val="21"/>
                <w:highlight w:val="none"/>
              </w:rPr>
              <w:t>分；30%以下不得分。</w:t>
            </w:r>
            <w:r>
              <w:rPr>
                <w:rStyle w:val="309"/>
                <w:rFonts w:hint="default" w:cs="仿宋"/>
                <w:b w:val="0"/>
                <w:bCs w:val="0"/>
                <w:color w:val="auto"/>
                <w:highlight w:val="none"/>
              </w:rPr>
              <w:t>【0-</w:t>
            </w:r>
            <w:r>
              <w:rPr>
                <w:rStyle w:val="309"/>
                <w:rFonts w:hint="eastAsia" w:cs="仿宋"/>
                <w:b w:val="0"/>
                <w:bCs w:val="0"/>
                <w:color w:val="auto"/>
                <w:highlight w:val="none"/>
                <w:lang w:val="en-US" w:eastAsia="zh-CN"/>
              </w:rPr>
              <w:t>2</w:t>
            </w:r>
            <w:r>
              <w:rPr>
                <w:rStyle w:val="309"/>
                <w:rFonts w:hint="default" w:cs="仿宋"/>
                <w:b w:val="0"/>
                <w:bCs w:val="0"/>
                <w:color w:val="auto"/>
                <w:highlight w:val="none"/>
              </w:rPr>
              <w:t>分</w:t>
            </w:r>
            <w:r>
              <w:rPr>
                <w:rFonts w:hint="eastAsia" w:ascii="微软雅黑" w:hAnsi="微软雅黑" w:cs="仿宋"/>
                <w:b w:val="0"/>
                <w:bCs w:val="0"/>
                <w:color w:val="auto"/>
                <w:kern w:val="0"/>
                <w:szCs w:val="21"/>
                <w:highlight w:val="none"/>
              </w:rPr>
              <w:t>】（投标供应商需提供承诺书在投标文件中</w:t>
            </w:r>
            <w:r>
              <w:rPr>
                <w:rStyle w:val="310"/>
                <w:rFonts w:cs="仿宋"/>
                <w:b w:val="0"/>
                <w:bCs w:val="0"/>
                <w:color w:val="auto"/>
                <w:highlight w:val="none"/>
              </w:rPr>
              <w:t>）</w:t>
            </w:r>
          </w:p>
        </w:tc>
        <w:tc>
          <w:tcPr>
            <w:tcW w:w="747" w:type="dxa"/>
            <w:tcBorders>
              <w:top w:val="single" w:color="auto" w:sz="4" w:space="0"/>
              <w:left w:val="single" w:color="000000" w:sz="4" w:space="0"/>
              <w:bottom w:val="single" w:color="auto" w:sz="4" w:space="0"/>
              <w:right w:val="single" w:color="000000" w:sz="8" w:space="0"/>
            </w:tcBorders>
            <w:vAlign w:val="center"/>
          </w:tcPr>
          <w:p w14:paraId="325EB15A">
            <w:pPr>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w:t>
            </w:r>
          </w:p>
        </w:tc>
        <w:tc>
          <w:tcPr>
            <w:tcW w:w="766" w:type="dxa"/>
            <w:tcBorders>
              <w:top w:val="single" w:color="000000" w:sz="4" w:space="0"/>
              <w:left w:val="single" w:color="000000" w:sz="4" w:space="0"/>
              <w:bottom w:val="single" w:color="auto" w:sz="4" w:space="0"/>
              <w:right w:val="single" w:color="000000" w:sz="8" w:space="0"/>
            </w:tcBorders>
            <w:vAlign w:val="center"/>
          </w:tcPr>
          <w:p w14:paraId="7F51AA94">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7D3CB905">
        <w:tblPrEx>
          <w:tblCellMar>
            <w:top w:w="0" w:type="dxa"/>
            <w:left w:w="108" w:type="dxa"/>
            <w:bottom w:w="0" w:type="dxa"/>
            <w:right w:w="108" w:type="dxa"/>
          </w:tblCellMar>
        </w:tblPrEx>
        <w:trPr>
          <w:trHeight w:val="607" w:hRule="atLeast"/>
        </w:trPr>
        <w:tc>
          <w:tcPr>
            <w:tcW w:w="676" w:type="dxa"/>
            <w:tcBorders>
              <w:top w:val="single" w:color="auto" w:sz="4" w:space="0"/>
              <w:left w:val="single" w:color="000000" w:sz="8" w:space="0"/>
              <w:bottom w:val="single" w:color="000000" w:sz="4" w:space="0"/>
              <w:right w:val="single" w:color="000000" w:sz="4" w:space="0"/>
            </w:tcBorders>
            <w:vAlign w:val="center"/>
          </w:tcPr>
          <w:p w14:paraId="25B5A04E">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13</w:t>
            </w:r>
          </w:p>
        </w:tc>
        <w:tc>
          <w:tcPr>
            <w:tcW w:w="1276" w:type="dxa"/>
            <w:tcBorders>
              <w:top w:val="single" w:color="auto" w:sz="4" w:space="0"/>
              <w:left w:val="single" w:color="000000" w:sz="4" w:space="0"/>
              <w:bottom w:val="single" w:color="000000" w:sz="4" w:space="0"/>
              <w:right w:val="single" w:color="000000" w:sz="4" w:space="0"/>
            </w:tcBorders>
            <w:vAlign w:val="center"/>
          </w:tcPr>
          <w:p w14:paraId="4B41B4D3">
            <w:pPr>
              <w:widowControl/>
              <w:spacing w:line="240" w:lineRule="auto"/>
              <w:ind w:firstLine="0" w:firstLineChars="0"/>
              <w:rPr>
                <w:rFonts w:hint="eastAsia" w:ascii="微软雅黑" w:hAnsi="微软雅黑" w:cs="仿宋"/>
                <w:b/>
                <w:bCs/>
                <w:color w:val="auto"/>
                <w:kern w:val="0"/>
                <w:szCs w:val="21"/>
                <w:highlight w:val="none"/>
              </w:rPr>
            </w:pPr>
            <w:r>
              <w:rPr>
                <w:rFonts w:hint="eastAsia" w:ascii="微软雅黑" w:hAnsi="微软雅黑" w:cs="仿宋"/>
                <w:b w:val="0"/>
                <w:bCs w:val="0"/>
                <w:color w:val="auto"/>
                <w:kern w:val="0"/>
                <w:szCs w:val="21"/>
                <w:highlight w:val="none"/>
              </w:rPr>
              <w:t>专家顾问团队情况</w:t>
            </w:r>
          </w:p>
        </w:tc>
        <w:tc>
          <w:tcPr>
            <w:tcW w:w="6104" w:type="dxa"/>
            <w:tcBorders>
              <w:top w:val="single" w:color="auto" w:sz="4" w:space="0"/>
              <w:left w:val="single" w:color="000000" w:sz="4" w:space="0"/>
              <w:bottom w:val="single" w:color="000000" w:sz="4" w:space="0"/>
              <w:right w:val="single" w:color="000000" w:sz="4" w:space="0"/>
            </w:tcBorders>
            <w:vAlign w:val="center"/>
          </w:tcPr>
          <w:p w14:paraId="03F66D2F">
            <w:pPr>
              <w:widowControl/>
              <w:spacing w:line="240" w:lineRule="auto"/>
              <w:ind w:firstLine="0" w:firstLineChars="0"/>
              <w:rPr>
                <w:rStyle w:val="309"/>
                <w:rFonts w:hint="default" w:cs="仿宋"/>
                <w:b w:val="0"/>
                <w:bCs w:val="0"/>
                <w:color w:val="auto"/>
                <w:highlight w:val="none"/>
              </w:rPr>
            </w:pPr>
            <w:r>
              <w:rPr>
                <w:rStyle w:val="309"/>
                <w:rFonts w:hint="default" w:cs="仿宋"/>
                <w:b w:val="0"/>
                <w:bCs w:val="0"/>
                <w:color w:val="auto"/>
                <w:highlight w:val="none"/>
              </w:rPr>
              <w:t>投标人针对本项目实施组建立专家顾问团队，本项最高得</w:t>
            </w:r>
            <w:r>
              <w:rPr>
                <w:rStyle w:val="309"/>
                <w:rFonts w:cs="仿宋"/>
                <w:b w:val="0"/>
                <w:bCs w:val="0"/>
                <w:color w:val="auto"/>
                <w:highlight w:val="none"/>
              </w:rPr>
              <w:t>6</w:t>
            </w:r>
            <w:r>
              <w:rPr>
                <w:rStyle w:val="309"/>
                <w:rFonts w:hint="default" w:cs="仿宋"/>
                <w:b w:val="0"/>
                <w:bCs w:val="0"/>
                <w:color w:val="auto"/>
                <w:highlight w:val="none"/>
              </w:rPr>
              <w:t>分（</w:t>
            </w:r>
            <w:r>
              <w:rPr>
                <w:rStyle w:val="310"/>
                <w:rFonts w:hint="default" w:cs="仿宋"/>
                <w:b w:val="0"/>
                <w:bCs w:val="0"/>
                <w:color w:val="auto"/>
                <w:highlight w:val="none"/>
              </w:rPr>
              <w:t>需提供相关人员专家履历</w:t>
            </w:r>
            <w:r>
              <w:rPr>
                <w:rStyle w:val="310"/>
                <w:rFonts w:cs="仿宋"/>
                <w:b w:val="0"/>
                <w:bCs w:val="0"/>
                <w:color w:val="auto"/>
                <w:highlight w:val="none"/>
              </w:rPr>
              <w:t>、以下</w:t>
            </w:r>
            <w:r>
              <w:rPr>
                <w:rStyle w:val="310"/>
                <w:rFonts w:hint="default" w:cs="仿宋"/>
                <w:b w:val="0"/>
                <w:bCs w:val="0"/>
                <w:color w:val="auto"/>
                <w:highlight w:val="none"/>
              </w:rPr>
              <w:t>相关项目的证明材料</w:t>
            </w:r>
            <w:r>
              <w:rPr>
                <w:rStyle w:val="310"/>
                <w:rFonts w:cs="仿宋"/>
                <w:b w:val="0"/>
                <w:bCs w:val="0"/>
                <w:color w:val="auto"/>
                <w:highlight w:val="none"/>
              </w:rPr>
              <w:t>、及</w:t>
            </w:r>
            <w:r>
              <w:rPr>
                <w:rStyle w:val="310"/>
                <w:rFonts w:hint="default" w:cs="仿宋"/>
                <w:b w:val="0"/>
                <w:bCs w:val="0"/>
                <w:color w:val="auto"/>
                <w:highlight w:val="none"/>
              </w:rPr>
              <w:t>投标人签署的专家聘用合同</w:t>
            </w:r>
            <w:r>
              <w:rPr>
                <w:rStyle w:val="310"/>
                <w:rFonts w:cs="仿宋"/>
                <w:b w:val="0"/>
                <w:bCs w:val="0"/>
                <w:color w:val="auto"/>
                <w:highlight w:val="none"/>
              </w:rPr>
              <w:t>；以下3项评分中，人员不重复计分； 证明材料及聘用合同复印件做在投标文件，不提供或缺项均不得分</w:t>
            </w:r>
            <w:r>
              <w:rPr>
                <w:rStyle w:val="309"/>
                <w:rFonts w:hint="default" w:cs="仿宋"/>
                <w:b w:val="0"/>
                <w:bCs w:val="0"/>
                <w:color w:val="auto"/>
                <w:highlight w:val="none"/>
              </w:rPr>
              <w:t>）：</w:t>
            </w:r>
          </w:p>
          <w:p w14:paraId="43CAC991">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有主持管理过省级及以上公共文化项目的，每名得1分，共2分；</w:t>
            </w:r>
          </w:p>
          <w:p w14:paraId="1B1B0F7B">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有组织策划过省级及以上大型文旅项目经验的，每名得1分，共2分；</w:t>
            </w:r>
          </w:p>
          <w:p w14:paraId="67871A61">
            <w:pPr>
              <w:pStyle w:val="2"/>
              <w:numPr>
                <w:ilvl w:val="0"/>
                <w:numId w:val="20"/>
              </w:numPr>
              <w:spacing w:line="240" w:lineRule="auto"/>
              <w:jc w:val="left"/>
              <w:rPr>
                <w:b w:val="0"/>
                <w:bCs w:val="0"/>
                <w:color w:val="auto"/>
                <w:highlight w:val="none"/>
              </w:rPr>
            </w:pPr>
            <w:r>
              <w:rPr>
                <w:rFonts w:hint="eastAsia" w:ascii="微软雅黑" w:hAnsi="微软雅黑" w:cs="仿宋"/>
                <w:b w:val="0"/>
                <w:bCs w:val="0"/>
                <w:color w:val="auto"/>
                <w:kern w:val="0"/>
                <w:sz w:val="21"/>
                <w:szCs w:val="21"/>
                <w:highlight w:val="none"/>
              </w:rPr>
              <w:t xml:space="preserve">）有副高及以上职称者或有市级及以上图书馆10年管理工作经验的，每名得1分，共2分； </w:t>
            </w:r>
          </w:p>
        </w:tc>
        <w:tc>
          <w:tcPr>
            <w:tcW w:w="747" w:type="dxa"/>
            <w:tcBorders>
              <w:top w:val="single" w:color="auto" w:sz="4" w:space="0"/>
              <w:left w:val="single" w:color="000000" w:sz="4" w:space="0"/>
              <w:right w:val="single" w:color="000000" w:sz="8" w:space="0"/>
            </w:tcBorders>
            <w:vAlign w:val="center"/>
          </w:tcPr>
          <w:p w14:paraId="4ACDA846">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6</w:t>
            </w:r>
          </w:p>
        </w:tc>
        <w:tc>
          <w:tcPr>
            <w:tcW w:w="766" w:type="dxa"/>
            <w:tcBorders>
              <w:top w:val="single" w:color="auto" w:sz="4" w:space="0"/>
              <w:left w:val="single" w:color="000000" w:sz="4" w:space="0"/>
              <w:right w:val="single" w:color="000000" w:sz="8" w:space="0"/>
            </w:tcBorders>
            <w:vAlign w:val="center"/>
          </w:tcPr>
          <w:p w14:paraId="19B2428C">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客观</w:t>
            </w:r>
          </w:p>
        </w:tc>
      </w:tr>
      <w:tr w14:paraId="04101E7B">
        <w:tblPrEx>
          <w:tblCellMar>
            <w:top w:w="0" w:type="dxa"/>
            <w:left w:w="108" w:type="dxa"/>
            <w:bottom w:w="0" w:type="dxa"/>
            <w:right w:w="108" w:type="dxa"/>
          </w:tblCellMar>
        </w:tblPrEx>
        <w:trPr>
          <w:trHeight w:val="460"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7FD4945D">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14</w:t>
            </w:r>
          </w:p>
        </w:tc>
        <w:tc>
          <w:tcPr>
            <w:tcW w:w="1276" w:type="dxa"/>
            <w:tcBorders>
              <w:top w:val="single" w:color="000000" w:sz="4" w:space="0"/>
              <w:left w:val="single" w:color="000000" w:sz="4" w:space="0"/>
              <w:bottom w:val="single" w:color="000000" w:sz="4" w:space="0"/>
              <w:right w:val="single" w:color="000000" w:sz="4" w:space="0"/>
            </w:tcBorders>
            <w:vAlign w:val="center"/>
          </w:tcPr>
          <w:p w14:paraId="40EF844E">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人力资源费用投入</w:t>
            </w:r>
          </w:p>
        </w:tc>
        <w:tc>
          <w:tcPr>
            <w:tcW w:w="6104" w:type="dxa"/>
            <w:tcBorders>
              <w:top w:val="single" w:color="000000" w:sz="4" w:space="0"/>
              <w:left w:val="single" w:color="000000" w:sz="4" w:space="0"/>
              <w:bottom w:val="single" w:color="000000" w:sz="4" w:space="0"/>
              <w:right w:val="single" w:color="000000" w:sz="4" w:space="0"/>
            </w:tcBorders>
            <w:vAlign w:val="center"/>
          </w:tcPr>
          <w:p w14:paraId="5997831A">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投标供应商承诺用于本项目人力资源费用占比投标金额的</w:t>
            </w:r>
            <w:r>
              <w:rPr>
                <w:rFonts w:hint="eastAsia" w:ascii="微软雅黑" w:hAnsi="微软雅黑" w:cs="仿宋"/>
                <w:color w:val="auto"/>
                <w:kern w:val="0"/>
                <w:szCs w:val="21"/>
                <w:highlight w:val="none"/>
                <w:lang w:val="en-US" w:eastAsia="zh-CN"/>
              </w:rPr>
              <w:t>80</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且管理层（三馆总负责人、分馆管理负责人）总费用不得高于承诺人力资源费用的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rPr>
              <w:t>得</w:t>
            </w:r>
            <w:r>
              <w:rPr>
                <w:rFonts w:hint="eastAsia" w:ascii="微软雅黑" w:hAnsi="微软雅黑" w:cs="仿宋"/>
                <w:color w:val="auto"/>
                <w:kern w:val="0"/>
                <w:szCs w:val="21"/>
                <w:highlight w:val="none"/>
                <w:lang w:val="en-US" w:eastAsia="zh-CN"/>
              </w:rPr>
              <w:t>8</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val="en-US" w:eastAsia="zh-CN"/>
              </w:rPr>
              <w:t>75</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且管理层（三馆总负责人、分馆管理负责人）总费用不得高于承诺人力资源费用的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lang w:eastAsia="zh-CN"/>
              </w:rPr>
              <w:t>得</w:t>
            </w:r>
            <w:r>
              <w:rPr>
                <w:rFonts w:hint="eastAsia" w:ascii="微软雅黑" w:hAnsi="微软雅黑" w:cs="仿宋"/>
                <w:color w:val="auto"/>
                <w:kern w:val="0"/>
                <w:szCs w:val="21"/>
                <w:highlight w:val="none"/>
                <w:lang w:val="en-US" w:eastAsia="zh-CN"/>
              </w:rPr>
              <w:t>5分；70</w:t>
            </w:r>
            <w:r>
              <w:rPr>
                <w:rFonts w:hint="eastAsia" w:ascii="微软雅黑" w:hAnsi="微软雅黑" w:cs="仿宋"/>
                <w:color w:val="auto"/>
                <w:kern w:val="0"/>
                <w:szCs w:val="21"/>
                <w:highlight w:val="none"/>
              </w:rPr>
              <w:t>%（含）及以上</w:t>
            </w:r>
            <w:r>
              <w:rPr>
                <w:rFonts w:hint="eastAsia" w:ascii="微软雅黑" w:hAnsi="微软雅黑" w:cs="仿宋"/>
                <w:color w:val="auto"/>
                <w:kern w:val="0"/>
                <w:szCs w:val="21"/>
                <w:highlight w:val="none"/>
                <w:lang w:eastAsia="zh-CN"/>
              </w:rPr>
              <w:t>且管理层（三馆总负责人、分馆管理负责人）总费用不得高于承诺人力资源费用的</w:t>
            </w:r>
            <w:r>
              <w:rPr>
                <w:rFonts w:hint="eastAsia" w:ascii="微软雅黑" w:hAnsi="微软雅黑" w:cs="仿宋"/>
                <w:color w:val="auto"/>
                <w:kern w:val="0"/>
                <w:szCs w:val="21"/>
                <w:highlight w:val="none"/>
                <w:lang w:val="en-US" w:eastAsia="zh-CN"/>
              </w:rPr>
              <w:t>13%</w:t>
            </w:r>
            <w:r>
              <w:rPr>
                <w:rFonts w:hint="eastAsia" w:ascii="微软雅黑" w:hAnsi="微软雅黑" w:cs="仿宋"/>
                <w:color w:val="auto"/>
                <w:kern w:val="0"/>
                <w:szCs w:val="21"/>
                <w:highlight w:val="none"/>
              </w:rPr>
              <w:t>及以上，得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 xml:space="preserve">分； </w:t>
            </w:r>
            <w:r>
              <w:rPr>
                <w:rFonts w:hint="eastAsia" w:ascii="微软雅黑" w:hAnsi="微软雅黑" w:cs="仿宋"/>
                <w:color w:val="auto"/>
                <w:kern w:val="0"/>
                <w:szCs w:val="21"/>
                <w:highlight w:val="none"/>
                <w:lang w:eastAsia="zh-CN"/>
              </w:rPr>
              <w:t>其余不得分</w:t>
            </w:r>
            <w:r>
              <w:rPr>
                <w:rFonts w:hint="eastAsia" w:ascii="微软雅黑" w:hAnsi="微软雅黑" w:cs="仿宋"/>
                <w:color w:val="auto"/>
                <w:kern w:val="0"/>
                <w:szCs w:val="21"/>
                <w:highlight w:val="none"/>
              </w:rPr>
              <w:t>。</w:t>
            </w:r>
          </w:p>
        </w:tc>
        <w:tc>
          <w:tcPr>
            <w:tcW w:w="747" w:type="dxa"/>
            <w:tcBorders>
              <w:top w:val="single" w:color="auto" w:sz="4" w:space="0"/>
              <w:left w:val="single" w:color="000000" w:sz="4" w:space="0"/>
              <w:bottom w:val="single" w:color="000000" w:sz="4" w:space="0"/>
              <w:right w:val="single" w:color="000000" w:sz="8" w:space="0"/>
            </w:tcBorders>
            <w:vAlign w:val="center"/>
          </w:tcPr>
          <w:p w14:paraId="0A9E47CC">
            <w:pPr>
              <w:spacing w:line="240" w:lineRule="auto"/>
              <w:ind w:firstLine="0" w:firstLineChars="0"/>
              <w:jc w:val="center"/>
              <w:rPr>
                <w:rFonts w:hint="eastAsia" w:ascii="微软雅黑" w:hAnsi="微软雅黑" w:eastAsia="微软雅黑" w:cs="仿宋"/>
                <w:color w:val="auto"/>
                <w:szCs w:val="21"/>
                <w:highlight w:val="none"/>
                <w:lang w:eastAsia="zh-CN"/>
              </w:rPr>
            </w:pPr>
            <w:r>
              <w:rPr>
                <w:rFonts w:hint="eastAsia" w:ascii="微软雅黑" w:hAnsi="微软雅黑" w:cs="仿宋"/>
                <w:color w:val="auto"/>
                <w:szCs w:val="21"/>
                <w:highlight w:val="none"/>
                <w:lang w:val="en-US" w:eastAsia="zh-CN"/>
              </w:rPr>
              <w:t>8</w:t>
            </w:r>
          </w:p>
        </w:tc>
        <w:tc>
          <w:tcPr>
            <w:tcW w:w="766" w:type="dxa"/>
            <w:tcBorders>
              <w:top w:val="single" w:color="auto" w:sz="4" w:space="0"/>
              <w:left w:val="single" w:color="000000" w:sz="4" w:space="0"/>
              <w:bottom w:val="single" w:color="000000" w:sz="4" w:space="0"/>
              <w:right w:val="single" w:color="000000" w:sz="8" w:space="0"/>
            </w:tcBorders>
            <w:vAlign w:val="center"/>
          </w:tcPr>
          <w:p w14:paraId="606C6AEC">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15B76382">
        <w:tblPrEx>
          <w:tblCellMar>
            <w:top w:w="0" w:type="dxa"/>
            <w:left w:w="108" w:type="dxa"/>
            <w:bottom w:w="0" w:type="dxa"/>
            <w:right w:w="108" w:type="dxa"/>
          </w:tblCellMar>
        </w:tblPrEx>
        <w:trPr>
          <w:trHeight w:val="528"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59C97178">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15</w:t>
            </w:r>
          </w:p>
        </w:tc>
        <w:tc>
          <w:tcPr>
            <w:tcW w:w="1276" w:type="dxa"/>
            <w:tcBorders>
              <w:top w:val="single" w:color="000000" w:sz="4" w:space="0"/>
              <w:left w:val="single" w:color="000000" w:sz="4" w:space="0"/>
              <w:bottom w:val="single" w:color="000000" w:sz="4" w:space="0"/>
              <w:right w:val="single" w:color="000000" w:sz="4" w:space="0"/>
            </w:tcBorders>
            <w:vAlign w:val="center"/>
          </w:tcPr>
          <w:p w14:paraId="71F8009C">
            <w:pPr>
              <w:widowControl/>
              <w:spacing w:line="240" w:lineRule="auto"/>
              <w:ind w:firstLine="0" w:firstLineChars="0"/>
              <w:rPr>
                <w:rFonts w:hint="eastAsia" w:ascii="微软雅黑" w:hAnsi="微软雅黑" w:cs="仿宋"/>
                <w:b w:val="0"/>
                <w:bCs w:val="0"/>
                <w:color w:val="auto"/>
                <w:kern w:val="0"/>
                <w:szCs w:val="21"/>
                <w:highlight w:val="none"/>
              </w:rPr>
            </w:pPr>
            <w:r>
              <w:rPr>
                <w:rFonts w:hint="eastAsia" w:ascii="微软雅黑" w:hAnsi="微软雅黑" w:cs="仿宋"/>
                <w:b w:val="0"/>
                <w:bCs w:val="0"/>
                <w:color w:val="auto"/>
                <w:kern w:val="0"/>
                <w:szCs w:val="21"/>
                <w:highlight w:val="none"/>
              </w:rPr>
              <w:t>合理化建议</w:t>
            </w:r>
          </w:p>
        </w:tc>
        <w:tc>
          <w:tcPr>
            <w:tcW w:w="6104" w:type="dxa"/>
            <w:tcBorders>
              <w:top w:val="single" w:color="000000" w:sz="4" w:space="0"/>
              <w:left w:val="single" w:color="000000" w:sz="4" w:space="0"/>
              <w:bottom w:val="single" w:color="000000" w:sz="4" w:space="0"/>
              <w:right w:val="single" w:color="000000" w:sz="4" w:space="0"/>
            </w:tcBorders>
            <w:vAlign w:val="center"/>
          </w:tcPr>
          <w:p w14:paraId="09D47344">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投标供应商针对本项目推进和实施中可能会出现的问题和存在的困难，进行客观仔细地分析，并结合自身专业、经验等实际情况，提出合理化建议，并提供解决对策）。经专家组认可，每条合理化建议（解决对策）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分，最高得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p>
        </w:tc>
        <w:tc>
          <w:tcPr>
            <w:tcW w:w="747" w:type="dxa"/>
            <w:tcBorders>
              <w:top w:val="single" w:color="000000" w:sz="4" w:space="0"/>
              <w:left w:val="single" w:color="000000" w:sz="4" w:space="0"/>
              <w:bottom w:val="single" w:color="000000" w:sz="4" w:space="0"/>
              <w:right w:val="single" w:color="000000" w:sz="8" w:space="0"/>
            </w:tcBorders>
            <w:vAlign w:val="center"/>
          </w:tcPr>
          <w:p w14:paraId="1D2FC9BF">
            <w:pPr>
              <w:spacing w:line="240" w:lineRule="auto"/>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w:t>
            </w:r>
          </w:p>
        </w:tc>
        <w:tc>
          <w:tcPr>
            <w:tcW w:w="766" w:type="dxa"/>
            <w:tcBorders>
              <w:top w:val="single" w:color="000000" w:sz="4" w:space="0"/>
              <w:left w:val="single" w:color="000000" w:sz="4" w:space="0"/>
              <w:bottom w:val="single" w:color="000000" w:sz="4" w:space="0"/>
              <w:right w:val="single" w:color="000000" w:sz="8" w:space="0"/>
            </w:tcBorders>
            <w:vAlign w:val="center"/>
          </w:tcPr>
          <w:p w14:paraId="063B18A4">
            <w:pPr>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客观</w:t>
            </w:r>
          </w:p>
        </w:tc>
      </w:tr>
      <w:tr w14:paraId="6A8E3B2D">
        <w:tblPrEx>
          <w:tblCellMar>
            <w:top w:w="0" w:type="dxa"/>
            <w:left w:w="108" w:type="dxa"/>
            <w:bottom w:w="0" w:type="dxa"/>
            <w:right w:w="108" w:type="dxa"/>
          </w:tblCellMar>
        </w:tblPrEx>
        <w:trPr>
          <w:trHeight w:val="599" w:hRule="atLeast"/>
        </w:trPr>
        <w:tc>
          <w:tcPr>
            <w:tcW w:w="676" w:type="dxa"/>
            <w:tcBorders>
              <w:top w:val="single" w:color="000000" w:sz="4" w:space="0"/>
              <w:left w:val="single" w:color="000000" w:sz="8" w:space="0"/>
              <w:bottom w:val="single" w:color="000000" w:sz="4" w:space="0"/>
              <w:right w:val="single" w:color="000000" w:sz="4" w:space="0"/>
            </w:tcBorders>
            <w:vAlign w:val="center"/>
          </w:tcPr>
          <w:p w14:paraId="07442BEC">
            <w:pPr>
              <w:spacing w:line="240" w:lineRule="auto"/>
              <w:ind w:firstLine="0" w:firstLineChars="0"/>
              <w:jc w:val="center"/>
              <w:rPr>
                <w:rFonts w:ascii="微软雅黑" w:hAnsi="微软雅黑" w:cs="仿宋"/>
                <w:b/>
                <w:bCs/>
                <w:color w:val="auto"/>
                <w:szCs w:val="21"/>
                <w:highlight w:val="none"/>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7A29AB06">
            <w:pPr>
              <w:spacing w:line="240" w:lineRule="auto"/>
              <w:ind w:firstLine="0" w:firstLineChars="0"/>
              <w:rPr>
                <w:rFonts w:ascii="微软雅黑" w:hAnsi="微软雅黑" w:cs="仿宋"/>
                <w:color w:val="auto"/>
                <w:szCs w:val="21"/>
                <w:highlight w:val="none"/>
              </w:rPr>
            </w:pPr>
          </w:p>
        </w:tc>
        <w:tc>
          <w:tcPr>
            <w:tcW w:w="6104" w:type="dxa"/>
            <w:tcBorders>
              <w:top w:val="single" w:color="000000" w:sz="4" w:space="0"/>
              <w:left w:val="single" w:color="000000" w:sz="4" w:space="0"/>
              <w:bottom w:val="single" w:color="000000" w:sz="4" w:space="0"/>
              <w:right w:val="single" w:color="000000" w:sz="4" w:space="0"/>
            </w:tcBorders>
            <w:vAlign w:val="center"/>
          </w:tcPr>
          <w:p w14:paraId="6A4262B4">
            <w:pPr>
              <w:spacing w:line="240" w:lineRule="auto"/>
              <w:ind w:firstLine="0" w:firstLineChars="0"/>
              <w:rPr>
                <w:rFonts w:ascii="微软雅黑" w:hAnsi="微软雅黑" w:cs="仿宋"/>
                <w:color w:val="auto"/>
                <w:szCs w:val="21"/>
                <w:highlight w:val="none"/>
              </w:rPr>
            </w:pPr>
          </w:p>
        </w:tc>
        <w:tc>
          <w:tcPr>
            <w:tcW w:w="747" w:type="dxa"/>
            <w:tcBorders>
              <w:top w:val="single" w:color="000000" w:sz="4" w:space="0"/>
              <w:left w:val="single" w:color="000000" w:sz="4" w:space="0"/>
              <w:bottom w:val="single" w:color="000000" w:sz="4" w:space="0"/>
              <w:right w:val="single" w:color="000000" w:sz="8" w:space="0"/>
            </w:tcBorders>
            <w:vAlign w:val="center"/>
          </w:tcPr>
          <w:p w14:paraId="5B6D55B4">
            <w:pPr>
              <w:widowControl/>
              <w:spacing w:line="240" w:lineRule="auto"/>
              <w:ind w:firstLine="0" w:firstLineChars="0"/>
              <w:jc w:val="center"/>
              <w:rPr>
                <w:rFonts w:hint="default" w:ascii="微软雅黑" w:hAnsi="微软雅黑" w:eastAsia="微软雅黑" w:cs="仿宋"/>
                <w:b w:val="0"/>
                <w:bCs w:val="0"/>
                <w:color w:val="auto"/>
                <w:kern w:val="0"/>
                <w:szCs w:val="21"/>
                <w:highlight w:val="none"/>
                <w:lang w:val="en-US" w:eastAsia="zh-CN"/>
              </w:rPr>
            </w:pPr>
            <w:r>
              <w:rPr>
                <w:rFonts w:hint="default" w:ascii="微软雅黑" w:hAnsi="微软雅黑" w:eastAsia="微软雅黑" w:cs="仿宋"/>
                <w:b w:val="0"/>
                <w:bCs w:val="0"/>
                <w:color w:val="auto"/>
                <w:kern w:val="0"/>
                <w:szCs w:val="21"/>
                <w:highlight w:val="none"/>
                <w:lang w:val="en-US" w:eastAsia="zh-CN"/>
              </w:rPr>
              <w:fldChar w:fldCharType="begin"/>
            </w:r>
            <w:r>
              <w:rPr>
                <w:rFonts w:hint="default" w:ascii="微软雅黑" w:hAnsi="微软雅黑" w:eastAsia="微软雅黑" w:cs="仿宋"/>
                <w:b w:val="0"/>
                <w:bCs w:val="0"/>
                <w:color w:val="auto"/>
                <w:kern w:val="0"/>
                <w:szCs w:val="21"/>
                <w:highlight w:val="none"/>
                <w:lang w:val="en-US" w:eastAsia="zh-CN"/>
              </w:rPr>
              <w:instrText xml:space="preserve"> = sum(D2:D21) \* MERGEFORMAT </w:instrText>
            </w:r>
            <w:r>
              <w:rPr>
                <w:rFonts w:hint="default" w:ascii="微软雅黑" w:hAnsi="微软雅黑" w:eastAsia="微软雅黑" w:cs="仿宋"/>
                <w:b w:val="0"/>
                <w:bCs w:val="0"/>
                <w:color w:val="auto"/>
                <w:kern w:val="0"/>
                <w:szCs w:val="21"/>
                <w:highlight w:val="none"/>
                <w:lang w:val="en-US" w:eastAsia="zh-CN"/>
              </w:rPr>
              <w:fldChar w:fldCharType="separate"/>
            </w:r>
            <w:r>
              <w:rPr>
                <w:rFonts w:hint="default" w:ascii="微软雅黑" w:hAnsi="微软雅黑" w:eastAsia="微软雅黑" w:cs="仿宋"/>
                <w:b w:val="0"/>
                <w:bCs w:val="0"/>
                <w:color w:val="auto"/>
                <w:kern w:val="0"/>
                <w:szCs w:val="21"/>
                <w:highlight w:val="none"/>
                <w:lang w:val="en-US" w:eastAsia="zh-CN"/>
              </w:rPr>
              <w:t>80</w:t>
            </w:r>
            <w:r>
              <w:rPr>
                <w:rFonts w:hint="default" w:ascii="微软雅黑" w:hAnsi="微软雅黑" w:eastAsia="微软雅黑" w:cs="仿宋"/>
                <w:b w:val="0"/>
                <w:bCs w:val="0"/>
                <w:color w:val="auto"/>
                <w:kern w:val="0"/>
                <w:szCs w:val="21"/>
                <w:highlight w:val="none"/>
                <w:lang w:val="en-US" w:eastAsia="zh-CN"/>
              </w:rPr>
              <w:fldChar w:fldCharType="end"/>
            </w:r>
          </w:p>
        </w:tc>
        <w:tc>
          <w:tcPr>
            <w:tcW w:w="766" w:type="dxa"/>
            <w:tcBorders>
              <w:top w:val="single" w:color="000000" w:sz="4" w:space="0"/>
              <w:left w:val="single" w:color="000000" w:sz="4" w:space="0"/>
              <w:bottom w:val="single" w:color="000000" w:sz="4" w:space="0"/>
              <w:right w:val="single" w:color="000000" w:sz="8" w:space="0"/>
            </w:tcBorders>
            <w:vAlign w:val="center"/>
          </w:tcPr>
          <w:p w14:paraId="3684B747">
            <w:pPr>
              <w:widowControl/>
              <w:spacing w:line="240" w:lineRule="auto"/>
              <w:ind w:firstLine="0" w:firstLineChars="0"/>
              <w:jc w:val="center"/>
              <w:rPr>
                <w:rFonts w:ascii="微软雅黑" w:hAnsi="微软雅黑" w:cs="仿宋"/>
                <w:b/>
                <w:bCs/>
                <w:color w:val="auto"/>
                <w:kern w:val="0"/>
                <w:szCs w:val="21"/>
                <w:highlight w:val="none"/>
              </w:rPr>
            </w:pPr>
          </w:p>
        </w:tc>
      </w:tr>
      <w:bookmarkEnd w:id="149"/>
      <w:bookmarkEnd w:id="150"/>
      <w:bookmarkEnd w:id="151"/>
      <w:bookmarkEnd w:id="152"/>
    </w:tbl>
    <w:p w14:paraId="7339C176">
      <w:pPr>
        <w:numPr>
          <w:ilvl w:val="0"/>
          <w:numId w:val="16"/>
        </w:numPr>
        <w:tabs>
          <w:tab w:val="left" w:pos="3870"/>
          <w:tab w:val="left" w:pos="4085"/>
        </w:tabs>
        <w:snapToGrid w:val="0"/>
        <w:ind w:firstLine="420"/>
        <w:outlineLvl w:val="1"/>
        <w:rPr>
          <w:rFonts w:hint="eastAsia" w:ascii="微软雅黑" w:hAnsi="微软雅黑" w:cs="微软雅黑"/>
          <w:b/>
          <w:bCs/>
          <w:color w:val="auto"/>
          <w:szCs w:val="21"/>
          <w:highlight w:val="none"/>
        </w:rPr>
      </w:pPr>
      <w:bookmarkStart w:id="157" w:name="_Toc493511828"/>
      <w:bookmarkStart w:id="158" w:name="_Toc25864"/>
      <w:r>
        <w:rPr>
          <w:rFonts w:hint="eastAsia" w:ascii="微软雅黑" w:hAnsi="微软雅黑" w:cs="微软雅黑"/>
          <w:b/>
          <w:color w:val="auto"/>
          <w:szCs w:val="21"/>
          <w:highlight w:val="none"/>
          <w:lang w:val="en-US" w:eastAsia="zh-CN"/>
        </w:rPr>
        <w:t>资信及其他</w:t>
      </w:r>
      <w:r>
        <w:rPr>
          <w:rFonts w:hint="eastAsia" w:ascii="微软雅黑" w:hAnsi="微软雅黑" w:cs="微软雅黑"/>
          <w:b/>
          <w:color w:val="auto"/>
          <w:szCs w:val="21"/>
          <w:highlight w:val="none"/>
        </w:rPr>
        <w:t>分</w:t>
      </w:r>
      <w:r>
        <w:rPr>
          <w:rFonts w:hint="eastAsia" w:ascii="微软雅黑" w:hAnsi="微软雅黑" w:cs="微软雅黑"/>
          <w:b/>
          <w:bCs/>
          <w:color w:val="auto"/>
          <w:szCs w:val="21"/>
          <w:highlight w:val="none"/>
        </w:rPr>
        <w:t>：</w:t>
      </w:r>
    </w:p>
    <w:tbl>
      <w:tblPr>
        <w:tblStyle w:val="54"/>
        <w:tblpPr w:leftFromText="180" w:rightFromText="180" w:vertAnchor="text" w:horzAnchor="page" w:tblpX="1627" w:tblpY="389"/>
        <w:tblOverlap w:val="never"/>
        <w:tblW w:w="9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350"/>
        <w:gridCol w:w="784"/>
        <w:gridCol w:w="857"/>
      </w:tblGrid>
      <w:tr w14:paraId="6F3B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DAE3F3" w:themeFill="accent1" w:themeFillTint="32"/>
            <w:vAlign w:val="center"/>
          </w:tcPr>
          <w:p w14:paraId="521336BA">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序号</w:t>
            </w:r>
          </w:p>
        </w:tc>
        <w:tc>
          <w:tcPr>
            <w:tcW w:w="7350" w:type="dxa"/>
            <w:shd w:val="clear" w:color="auto" w:fill="DAE3F3" w:themeFill="accent1" w:themeFillTint="32"/>
            <w:vAlign w:val="center"/>
          </w:tcPr>
          <w:p w14:paraId="04FBA539">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评审内容</w:t>
            </w:r>
          </w:p>
        </w:tc>
        <w:tc>
          <w:tcPr>
            <w:tcW w:w="784" w:type="dxa"/>
            <w:shd w:val="clear" w:color="auto" w:fill="DAE3F3" w:themeFill="accent1" w:themeFillTint="32"/>
            <w:vAlign w:val="center"/>
          </w:tcPr>
          <w:p w14:paraId="30DF8E63">
            <w:pPr>
              <w:widowControl/>
              <w:spacing w:line="240" w:lineRule="auto"/>
              <w:ind w:firstLine="0" w:firstLineChars="0"/>
              <w:jc w:val="center"/>
              <w:rPr>
                <w:rFonts w:ascii="微软雅黑" w:hAnsi="微软雅黑" w:cs="仿宋"/>
                <w:color w:val="auto"/>
                <w:szCs w:val="21"/>
                <w:highlight w:val="none"/>
              </w:rPr>
            </w:pPr>
            <w:r>
              <w:rPr>
                <w:rFonts w:hint="eastAsia" w:ascii="微软雅黑" w:hAnsi="微软雅黑" w:cs="仿宋"/>
                <w:color w:val="auto"/>
                <w:kern w:val="0"/>
                <w:szCs w:val="21"/>
                <w:highlight w:val="none"/>
              </w:rPr>
              <w:t>最高分值</w:t>
            </w:r>
          </w:p>
        </w:tc>
        <w:tc>
          <w:tcPr>
            <w:tcW w:w="857" w:type="dxa"/>
            <w:shd w:val="clear" w:color="auto" w:fill="DAE3F3" w:themeFill="accent1" w:themeFillTint="32"/>
            <w:vAlign w:val="center"/>
          </w:tcPr>
          <w:p w14:paraId="775C9C16">
            <w:pPr>
              <w:widowControl/>
              <w:spacing w:line="240" w:lineRule="auto"/>
              <w:ind w:firstLine="0" w:firstLineChars="0"/>
              <w:jc w:val="center"/>
              <w:rPr>
                <w:rFonts w:hint="eastAsia" w:ascii="微软雅黑" w:hAnsi="微软雅黑" w:cs="仿宋"/>
                <w:color w:val="auto"/>
                <w:kern w:val="0"/>
                <w:szCs w:val="21"/>
                <w:highlight w:val="none"/>
              </w:rPr>
            </w:pPr>
            <w:r>
              <w:rPr>
                <w:rFonts w:hint="eastAsia" w:ascii="微软雅黑" w:hAnsi="微软雅黑" w:cs="仿宋"/>
                <w:color w:val="auto"/>
                <w:kern w:val="0"/>
                <w:szCs w:val="21"/>
                <w:highlight w:val="none"/>
              </w:rPr>
              <w:t>评分</w:t>
            </w:r>
          </w:p>
          <w:p w14:paraId="73D0E5C7">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属性</w:t>
            </w:r>
          </w:p>
        </w:tc>
      </w:tr>
      <w:tr w14:paraId="6860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Align w:val="center"/>
          </w:tcPr>
          <w:p w14:paraId="43D23F6A">
            <w:pPr>
              <w:widowControl/>
              <w:spacing w:line="240" w:lineRule="auto"/>
              <w:ind w:firstLine="0" w:firstLineChars="0"/>
              <w:jc w:val="center"/>
              <w:rPr>
                <w:rFonts w:hint="default" w:ascii="微软雅黑" w:hAnsi="微软雅黑" w:eastAsia="微软雅黑" w:cs="仿宋"/>
                <w:b/>
                <w:bCs/>
                <w:color w:val="auto"/>
                <w:szCs w:val="21"/>
                <w:highlight w:val="none"/>
                <w:lang w:val="en-US" w:eastAsia="zh-CN"/>
              </w:rPr>
            </w:pPr>
            <w:r>
              <w:rPr>
                <w:rFonts w:hint="eastAsia" w:ascii="微软雅黑" w:hAnsi="微软雅黑" w:cs="仿宋"/>
                <w:color w:val="auto"/>
                <w:szCs w:val="21"/>
                <w:highlight w:val="none"/>
                <w:lang w:val="en-US" w:eastAsia="zh-CN"/>
              </w:rPr>
              <w:t>16</w:t>
            </w:r>
          </w:p>
        </w:tc>
        <w:tc>
          <w:tcPr>
            <w:tcW w:w="7350" w:type="dxa"/>
            <w:vAlign w:val="center"/>
          </w:tcPr>
          <w:p w14:paraId="64E8D54F">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对2018年1月1日至今，投标供应商</w:t>
            </w:r>
            <w:r>
              <w:rPr>
                <w:rFonts w:hint="eastAsia" w:ascii="微软雅黑" w:hAnsi="微软雅黑" w:cs="仿宋"/>
                <w:color w:val="auto"/>
                <w:kern w:val="0"/>
                <w:szCs w:val="21"/>
                <w:highlight w:val="none"/>
                <w:lang w:eastAsia="zh-CN"/>
              </w:rPr>
              <w:t>运营期间的文化场馆</w:t>
            </w:r>
            <w:r>
              <w:rPr>
                <w:rFonts w:hint="eastAsia" w:ascii="微软雅黑" w:hAnsi="微软雅黑" w:cs="仿宋"/>
                <w:color w:val="auto"/>
                <w:kern w:val="0"/>
                <w:szCs w:val="21"/>
                <w:highlight w:val="none"/>
              </w:rPr>
              <w:t>获得相关行业行政主管部门授予的荣誉情况进行评分（需提供荣誉证书或相关认定文件，复印件做在投标文件中）：同一荣誉分值不重复计算，未提供不得分。本项最高得</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w:t>
            </w:r>
          </w:p>
          <w:p w14:paraId="77D684C4">
            <w:pPr>
              <w:widowControl/>
              <w:numPr>
                <w:ilvl w:val="0"/>
                <w:numId w:val="21"/>
              </w:numPr>
              <w:spacing w:line="240" w:lineRule="auto"/>
              <w:ind w:firstLine="0" w:firstLineChars="0"/>
              <w:rPr>
                <w:rFonts w:hint="eastAsia" w:ascii="微软雅黑" w:hAnsi="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 xml:space="preserve">国家级荣誉每项得2分； </w:t>
            </w:r>
          </w:p>
          <w:p w14:paraId="3609FF21">
            <w:pPr>
              <w:widowControl/>
              <w:numPr>
                <w:ilvl w:val="0"/>
                <w:numId w:val="0"/>
              </w:numPr>
              <w:spacing w:line="240" w:lineRule="auto"/>
              <w:rPr>
                <w:rFonts w:hint="eastAsia" w:ascii="微软雅黑" w:hAnsi="微软雅黑" w:eastAsia="微软雅黑" w:cs="仿宋"/>
                <w:strike/>
                <w:dstrike w:val="0"/>
                <w:color w:val="auto"/>
                <w:szCs w:val="21"/>
                <w:highlight w:val="none"/>
                <w:lang w:eastAsia="zh-CN"/>
              </w:rPr>
            </w:pP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省级荣誉每项得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eastAsia="zh-CN"/>
              </w:rPr>
              <w:t>；</w:t>
            </w:r>
          </w:p>
          <w:p w14:paraId="2B49BE14">
            <w:pPr>
              <w:spacing w:line="240" w:lineRule="auto"/>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rPr>
              <w:t>（</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）市级荣誉，每项得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w:t>
            </w:r>
            <w:r>
              <w:rPr>
                <w:rFonts w:hint="eastAsia" w:ascii="微软雅黑" w:hAnsi="微软雅黑" w:cs="仿宋"/>
                <w:color w:val="auto"/>
                <w:kern w:val="0"/>
                <w:szCs w:val="21"/>
                <w:highlight w:val="none"/>
                <w:lang w:eastAsia="zh-CN"/>
              </w:rPr>
              <w:t>。</w:t>
            </w:r>
          </w:p>
        </w:tc>
        <w:tc>
          <w:tcPr>
            <w:tcW w:w="784" w:type="dxa"/>
            <w:noWrap/>
            <w:vAlign w:val="center"/>
          </w:tcPr>
          <w:p w14:paraId="5CA9934A">
            <w:pPr>
              <w:widowControl/>
              <w:spacing w:line="240" w:lineRule="auto"/>
              <w:ind w:firstLine="0" w:firstLineChars="0"/>
              <w:jc w:val="center"/>
              <w:rPr>
                <w:rFonts w:hint="eastAsia" w:ascii="微软雅黑" w:hAnsi="微软雅黑" w:eastAsia="微软雅黑" w:cs="仿宋"/>
                <w:color w:val="auto"/>
                <w:szCs w:val="21"/>
                <w:highlight w:val="none"/>
                <w:lang w:eastAsia="zh-CN"/>
              </w:rPr>
            </w:pPr>
            <w:r>
              <w:rPr>
                <w:rFonts w:hint="eastAsia" w:ascii="微软雅黑" w:hAnsi="微软雅黑" w:cs="仿宋"/>
                <w:color w:val="auto"/>
                <w:kern w:val="0"/>
                <w:szCs w:val="21"/>
                <w:highlight w:val="none"/>
                <w:lang w:val="en-US" w:eastAsia="zh-CN"/>
              </w:rPr>
              <w:t>2</w:t>
            </w:r>
          </w:p>
        </w:tc>
        <w:tc>
          <w:tcPr>
            <w:tcW w:w="857" w:type="dxa"/>
            <w:noWrap/>
            <w:vAlign w:val="center"/>
          </w:tcPr>
          <w:p w14:paraId="31D0093F">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szCs w:val="21"/>
                <w:highlight w:val="none"/>
              </w:rPr>
              <w:t>客观</w:t>
            </w:r>
          </w:p>
        </w:tc>
      </w:tr>
      <w:tr w14:paraId="2EE8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4" w:type="dxa"/>
            <w:vAlign w:val="center"/>
          </w:tcPr>
          <w:p w14:paraId="0B8CB03D">
            <w:pPr>
              <w:widowControl/>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1</w:t>
            </w:r>
            <w:r>
              <w:rPr>
                <w:rFonts w:hint="eastAsia" w:ascii="微软雅黑" w:hAnsi="微软雅黑" w:cs="仿宋"/>
                <w:color w:val="auto"/>
                <w:szCs w:val="21"/>
                <w:highlight w:val="none"/>
                <w:lang w:val="en-US" w:eastAsia="zh-CN"/>
              </w:rPr>
              <w:t>7</w:t>
            </w:r>
          </w:p>
        </w:tc>
        <w:tc>
          <w:tcPr>
            <w:tcW w:w="7350" w:type="dxa"/>
            <w:vAlign w:val="center"/>
          </w:tcPr>
          <w:p w14:paraId="12374996">
            <w:pPr>
              <w:widowControl/>
              <w:spacing w:line="240" w:lineRule="auto"/>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根据投标供应商具有质量管理体系认证、环境管理体系认证、职业健康体系认证的，每有一项得</w:t>
            </w:r>
            <w:r>
              <w:rPr>
                <w:rFonts w:hint="eastAsia" w:ascii="微软雅黑" w:hAnsi="微软雅黑" w:cs="仿宋"/>
                <w:color w:val="auto"/>
                <w:kern w:val="0"/>
                <w:szCs w:val="21"/>
                <w:highlight w:val="none"/>
                <w:lang w:val="en-US" w:eastAsia="zh-CN"/>
              </w:rPr>
              <w:t>0.5</w:t>
            </w:r>
            <w:r>
              <w:rPr>
                <w:rFonts w:hint="eastAsia" w:ascii="微软雅黑" w:hAnsi="微软雅黑" w:cs="仿宋"/>
                <w:color w:val="auto"/>
                <w:kern w:val="0"/>
                <w:szCs w:val="21"/>
                <w:highlight w:val="none"/>
              </w:rPr>
              <w:t>分，共</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分；【需提供证书复印件做在投标文件中】</w:t>
            </w:r>
          </w:p>
        </w:tc>
        <w:tc>
          <w:tcPr>
            <w:tcW w:w="784" w:type="dxa"/>
            <w:noWrap/>
            <w:vAlign w:val="center"/>
          </w:tcPr>
          <w:p w14:paraId="0CDAFF0E">
            <w:pPr>
              <w:widowControl/>
              <w:spacing w:line="240" w:lineRule="auto"/>
              <w:ind w:firstLine="0" w:firstLineChars="0"/>
              <w:jc w:val="center"/>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1.5</w:t>
            </w:r>
          </w:p>
        </w:tc>
        <w:tc>
          <w:tcPr>
            <w:tcW w:w="857" w:type="dxa"/>
            <w:noWrap/>
            <w:vAlign w:val="center"/>
          </w:tcPr>
          <w:p w14:paraId="648BA3F7">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客观</w:t>
            </w:r>
          </w:p>
        </w:tc>
      </w:tr>
      <w:tr w14:paraId="6F8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674" w:type="dxa"/>
            <w:vAlign w:val="center"/>
          </w:tcPr>
          <w:p w14:paraId="09D327B4">
            <w:pPr>
              <w:widowControl/>
              <w:spacing w:line="240" w:lineRule="auto"/>
              <w:ind w:firstLine="0" w:firstLineChars="0"/>
              <w:jc w:val="center"/>
              <w:rPr>
                <w:rFonts w:hint="eastAsia"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rPr>
              <w:t>1</w:t>
            </w:r>
            <w:r>
              <w:rPr>
                <w:rFonts w:hint="eastAsia" w:ascii="微软雅黑" w:hAnsi="微软雅黑" w:cs="仿宋"/>
                <w:color w:val="auto"/>
                <w:szCs w:val="21"/>
                <w:highlight w:val="none"/>
                <w:lang w:val="en-US" w:eastAsia="zh-CN"/>
              </w:rPr>
              <w:t>8</w:t>
            </w:r>
          </w:p>
        </w:tc>
        <w:tc>
          <w:tcPr>
            <w:tcW w:w="7350" w:type="dxa"/>
            <w:vAlign w:val="center"/>
          </w:tcPr>
          <w:p w14:paraId="2FCEAAC0">
            <w:pPr>
              <w:widowControl/>
              <w:spacing w:line="240" w:lineRule="auto"/>
              <w:ind w:firstLine="0" w:firstLineChars="0"/>
              <w:rPr>
                <w:rFonts w:ascii="微软雅黑" w:hAnsi="微软雅黑" w:cs="仿宋"/>
                <w:color w:val="auto"/>
                <w:szCs w:val="21"/>
                <w:highlight w:val="none"/>
              </w:rPr>
            </w:pPr>
            <w:r>
              <w:rPr>
                <w:rFonts w:hint="eastAsia" w:ascii="微软雅黑" w:hAnsi="微软雅黑" w:cs="仿宋"/>
                <w:color w:val="auto"/>
                <w:kern w:val="0"/>
                <w:szCs w:val="21"/>
                <w:highlight w:val="none"/>
              </w:rPr>
              <w:t>根据投标供应商提供的自2020年1月1日起至投标截止日前（以合同签订时间为准）同类（如公共文化场馆服务项目）成功案例进行评分，每提供一份有效合同复印件得0.5分，最高得</w:t>
            </w:r>
            <w:r>
              <w:rPr>
                <w:rFonts w:hint="eastAsia" w:ascii="微软雅黑" w:hAnsi="微软雅黑" w:cs="仿宋"/>
                <w:color w:val="auto"/>
                <w:kern w:val="0"/>
                <w:szCs w:val="21"/>
                <w:highlight w:val="none"/>
                <w:lang w:val="en-US" w:eastAsia="zh-CN"/>
              </w:rPr>
              <w:t>1.5</w:t>
            </w:r>
            <w:r>
              <w:rPr>
                <w:rFonts w:hint="eastAsia" w:ascii="微软雅黑" w:hAnsi="微软雅黑" w:cs="仿宋"/>
                <w:color w:val="auto"/>
                <w:kern w:val="0"/>
                <w:szCs w:val="21"/>
                <w:highlight w:val="none"/>
              </w:rPr>
              <w:t>分。【需提供合同复印件（完整合同）做在投标文件中。】</w:t>
            </w:r>
          </w:p>
        </w:tc>
        <w:tc>
          <w:tcPr>
            <w:tcW w:w="784" w:type="dxa"/>
            <w:noWrap/>
            <w:vAlign w:val="center"/>
          </w:tcPr>
          <w:p w14:paraId="1FEEBD1F">
            <w:pPr>
              <w:widowControl/>
              <w:spacing w:line="240" w:lineRule="auto"/>
              <w:ind w:firstLine="0" w:firstLineChars="0"/>
              <w:jc w:val="center"/>
              <w:rPr>
                <w:rFonts w:hint="default" w:ascii="微软雅黑" w:hAnsi="微软雅黑" w:eastAsia="微软雅黑" w:cs="仿宋"/>
                <w:b/>
                <w:bCs/>
                <w:color w:val="auto"/>
                <w:szCs w:val="21"/>
                <w:highlight w:val="none"/>
                <w:lang w:val="en-US" w:eastAsia="zh-CN"/>
              </w:rPr>
            </w:pPr>
            <w:r>
              <w:rPr>
                <w:rFonts w:hint="eastAsia" w:ascii="微软雅黑" w:hAnsi="微软雅黑" w:cs="仿宋"/>
                <w:color w:val="auto"/>
                <w:kern w:val="0"/>
                <w:szCs w:val="21"/>
                <w:highlight w:val="none"/>
              </w:rPr>
              <w:t>1</w:t>
            </w:r>
            <w:r>
              <w:rPr>
                <w:rFonts w:hint="eastAsia" w:ascii="微软雅黑" w:hAnsi="微软雅黑" w:cs="仿宋"/>
                <w:color w:val="auto"/>
                <w:kern w:val="0"/>
                <w:szCs w:val="21"/>
                <w:highlight w:val="none"/>
                <w:lang w:val="en-US" w:eastAsia="zh-CN"/>
              </w:rPr>
              <w:t>.5</w:t>
            </w:r>
          </w:p>
        </w:tc>
        <w:tc>
          <w:tcPr>
            <w:tcW w:w="857" w:type="dxa"/>
            <w:noWrap/>
            <w:vAlign w:val="center"/>
          </w:tcPr>
          <w:p w14:paraId="4BB3E233">
            <w:pPr>
              <w:widowControl/>
              <w:spacing w:line="240" w:lineRule="auto"/>
              <w:ind w:firstLine="0" w:firstLineChars="0"/>
              <w:jc w:val="center"/>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客观</w:t>
            </w:r>
          </w:p>
        </w:tc>
      </w:tr>
      <w:tr w14:paraId="7DCE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74" w:type="dxa"/>
            <w:noWrap/>
            <w:vAlign w:val="center"/>
          </w:tcPr>
          <w:p w14:paraId="7262B69B">
            <w:pPr>
              <w:spacing w:line="240" w:lineRule="auto"/>
              <w:ind w:firstLine="0" w:firstLineChars="0"/>
              <w:rPr>
                <w:rFonts w:ascii="微软雅黑" w:hAnsi="微软雅黑" w:cs="仿宋"/>
                <w:color w:val="auto"/>
                <w:szCs w:val="21"/>
                <w:highlight w:val="none"/>
              </w:rPr>
            </w:pPr>
          </w:p>
        </w:tc>
        <w:tc>
          <w:tcPr>
            <w:tcW w:w="7350" w:type="dxa"/>
            <w:noWrap/>
            <w:vAlign w:val="center"/>
          </w:tcPr>
          <w:p w14:paraId="1E89A757">
            <w:pPr>
              <w:widowControl/>
              <w:spacing w:line="240" w:lineRule="auto"/>
              <w:ind w:firstLine="0" w:firstLineChars="0"/>
              <w:rPr>
                <w:rFonts w:ascii="微软雅黑" w:hAnsi="微软雅黑" w:cs="仿宋"/>
                <w:b/>
                <w:bCs/>
                <w:color w:val="auto"/>
                <w:szCs w:val="21"/>
                <w:highlight w:val="none"/>
              </w:rPr>
            </w:pPr>
          </w:p>
        </w:tc>
        <w:tc>
          <w:tcPr>
            <w:tcW w:w="784" w:type="dxa"/>
            <w:vAlign w:val="center"/>
          </w:tcPr>
          <w:p w14:paraId="0AD94AC8">
            <w:pPr>
              <w:widowControl/>
              <w:spacing w:line="240" w:lineRule="auto"/>
              <w:ind w:firstLine="0" w:firstLineChars="0"/>
              <w:jc w:val="center"/>
              <w:rPr>
                <w:rFonts w:hint="eastAsia" w:ascii="微软雅黑" w:hAnsi="微软雅黑" w:eastAsia="微软雅黑" w:cs="仿宋"/>
                <w:b/>
                <w:bCs/>
                <w:color w:val="auto"/>
                <w:szCs w:val="21"/>
                <w:highlight w:val="none"/>
                <w:lang w:val="en-US" w:eastAsia="zh-CN"/>
              </w:rPr>
            </w:pPr>
            <w:r>
              <w:rPr>
                <w:rFonts w:hint="eastAsia" w:ascii="微软雅黑" w:hAnsi="微软雅黑" w:cs="仿宋"/>
                <w:b w:val="0"/>
                <w:bCs w:val="0"/>
                <w:color w:val="auto"/>
                <w:szCs w:val="21"/>
                <w:highlight w:val="none"/>
                <w:lang w:val="en-US" w:eastAsia="zh-CN"/>
              </w:rPr>
              <w:t>5</w:t>
            </w:r>
          </w:p>
        </w:tc>
        <w:tc>
          <w:tcPr>
            <w:tcW w:w="857" w:type="dxa"/>
            <w:vAlign w:val="center"/>
          </w:tcPr>
          <w:p w14:paraId="7115AD58">
            <w:pPr>
              <w:widowControl/>
              <w:spacing w:line="240" w:lineRule="auto"/>
              <w:ind w:firstLine="0" w:firstLineChars="0"/>
              <w:jc w:val="center"/>
              <w:rPr>
                <w:rFonts w:ascii="微软雅黑" w:hAnsi="微软雅黑" w:cs="仿宋"/>
                <w:b/>
                <w:bCs/>
                <w:color w:val="auto"/>
                <w:szCs w:val="21"/>
                <w:highlight w:val="none"/>
              </w:rPr>
            </w:pPr>
          </w:p>
        </w:tc>
      </w:tr>
    </w:tbl>
    <w:p w14:paraId="415A4E0D">
      <w:pPr>
        <w:rPr>
          <w:color w:val="auto"/>
          <w:highlight w:val="none"/>
        </w:rPr>
        <w:sectPr>
          <w:headerReference r:id="rId22" w:type="first"/>
          <w:footerReference r:id="rId23" w:type="default"/>
          <w:headerReference r:id="rId21"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61232B57">
      <w:pPr>
        <w:pStyle w:val="2"/>
        <w:numPr>
          <w:ilvl w:val="0"/>
          <w:numId w:val="3"/>
        </w:numPr>
        <w:rPr>
          <w:rStyle w:val="65"/>
          <w:b/>
          <w:bCs/>
          <w:color w:val="auto"/>
          <w:highlight w:val="none"/>
        </w:rPr>
      </w:pPr>
      <w:r>
        <w:rPr>
          <w:rStyle w:val="65"/>
          <w:rFonts w:hint="eastAsia"/>
          <w:b/>
          <w:bCs/>
          <w:color w:val="auto"/>
          <w:highlight w:val="none"/>
        </w:rPr>
        <w:t xml:space="preserve">  </w:t>
      </w:r>
      <w:bookmarkStart w:id="159" w:name="_Toc28705"/>
      <w:bookmarkStart w:id="160" w:name="_Toc164943217"/>
      <w:r>
        <w:rPr>
          <w:rStyle w:val="65"/>
          <w:rFonts w:hint="eastAsia"/>
          <w:b/>
          <w:bCs/>
          <w:color w:val="auto"/>
          <w:highlight w:val="none"/>
        </w:rPr>
        <w:t>采购合同（指引）</w:t>
      </w:r>
      <w:bookmarkEnd w:id="159"/>
      <w:bookmarkEnd w:id="160"/>
    </w:p>
    <w:p w14:paraId="651B19AD">
      <w:pPr>
        <w:pStyle w:val="3"/>
        <w:ind w:firstLine="420"/>
        <w:jc w:val="center"/>
        <w:rPr>
          <w:rFonts w:hint="eastAsia" w:ascii="微软雅黑" w:hAnsi="微软雅黑" w:cs="微软雅黑"/>
          <w:color w:val="auto"/>
          <w:szCs w:val="21"/>
          <w:highlight w:val="none"/>
        </w:rPr>
      </w:pPr>
      <w:bookmarkStart w:id="161" w:name="_Toc507"/>
      <w:bookmarkStart w:id="162" w:name="_Hlk111018671"/>
      <w:r>
        <w:rPr>
          <w:rFonts w:hint="eastAsia" w:ascii="微软雅黑" w:hAnsi="微软雅黑" w:cs="微软雅黑"/>
          <w:color w:val="auto"/>
          <w:szCs w:val="21"/>
          <w:highlight w:val="none"/>
        </w:rPr>
        <w:t>通用条款部分</w:t>
      </w:r>
      <w:bookmarkEnd w:id="161"/>
    </w:p>
    <w:p w14:paraId="017E2B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合同编号： </w:t>
      </w:r>
    </w:p>
    <w:p w14:paraId="61E9E04F">
      <w:pPr>
        <w:tabs>
          <w:tab w:val="left" w:pos="8306"/>
        </w:tabs>
        <w:ind w:right="84"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项目名称： </w:t>
      </w:r>
    </w:p>
    <w:p w14:paraId="196D16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项目编号：</w:t>
      </w:r>
    </w:p>
    <w:p w14:paraId="6C0834EF">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政府采购计划（预算）确认书号：</w:t>
      </w:r>
      <w:r>
        <w:rPr>
          <w:rFonts w:ascii="微软雅黑" w:hAnsi="微软雅黑" w:cs="微软雅黑"/>
          <w:color w:val="auto"/>
          <w:szCs w:val="21"/>
          <w:highlight w:val="none"/>
        </w:rPr>
        <w:t xml:space="preserve"> </w:t>
      </w:r>
    </w:p>
    <w:p w14:paraId="0D314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采购人（以下称甲方）：</w:t>
      </w:r>
      <w:r>
        <w:rPr>
          <w:rFonts w:ascii="微软雅黑" w:hAnsi="微软雅黑" w:cs="微软雅黑"/>
          <w:color w:val="auto"/>
          <w:szCs w:val="21"/>
          <w:highlight w:val="none"/>
        </w:rPr>
        <w:t xml:space="preserve"> </w:t>
      </w:r>
    </w:p>
    <w:p w14:paraId="221495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供应商（以下称乙方）：</w:t>
      </w:r>
    </w:p>
    <w:p w14:paraId="330802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 xml:space="preserve">采购代理机构：嘉兴市千秋工程咨询有限公司 </w:t>
      </w:r>
    </w:p>
    <w:p w14:paraId="1B1034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采购方式： 公开招标</w:t>
      </w:r>
    </w:p>
    <w:p w14:paraId="4E60E2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highlight w:val="none"/>
        </w:rPr>
      </w:pPr>
      <w:r>
        <w:rPr>
          <w:rFonts w:hint="eastAsia" w:ascii="微软雅黑" w:hAnsi="微软雅黑" w:cs="微软雅黑"/>
          <w:color w:val="auto"/>
          <w:kern w:val="0"/>
          <w:highlight w:val="none"/>
        </w:rPr>
        <w:t xml:space="preserve">根据《中华人民共和国政府采购法》、《民法典》等法律法规的规定，甲乙双方按照 </w:t>
      </w:r>
      <w:r>
        <w:rPr>
          <w:rFonts w:hint="eastAsia" w:ascii="微软雅黑" w:hAnsi="微软雅黑" w:cs="微软雅黑"/>
          <w:color w:val="auto"/>
          <w:kern w:val="0"/>
          <w:highlight w:val="none"/>
          <w:u w:val="single"/>
        </w:rPr>
        <w:t xml:space="preserve">             </w:t>
      </w:r>
      <w:r>
        <w:rPr>
          <w:rFonts w:hint="eastAsia" w:ascii="微软雅黑" w:hAnsi="微软雅黑" w:cs="微软雅黑"/>
          <w:color w:val="auto"/>
          <w:highlight w:val="none"/>
          <w:u w:val="single"/>
        </w:rPr>
        <w:t>项目（项目编号 ：           ）</w:t>
      </w:r>
      <w:r>
        <w:rPr>
          <w:rFonts w:hint="eastAsia" w:ascii="微软雅黑" w:hAnsi="微软雅黑" w:cs="微软雅黑"/>
          <w:color w:val="auto"/>
          <w:kern w:val="0"/>
          <w:highlight w:val="none"/>
        </w:rPr>
        <w:t>采购结果签订本合同。</w:t>
      </w:r>
    </w:p>
    <w:p w14:paraId="4CE0EA0C">
      <w:pPr>
        <w:widowControl/>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rFonts w:hint="eastAsia" w:ascii="微软雅黑" w:hAnsi="微软雅黑" w:cs="微软雅黑"/>
          <w:b/>
          <w:color w:val="auto"/>
          <w:szCs w:val="21"/>
          <w:highlight w:val="none"/>
        </w:rPr>
      </w:pPr>
      <w:r>
        <w:rPr>
          <w:rFonts w:hint="eastAsia" w:ascii="微软雅黑" w:hAnsi="微软雅黑" w:cs="微软雅黑"/>
          <w:b/>
          <w:color w:val="auto"/>
          <w:szCs w:val="21"/>
          <w:highlight w:val="none"/>
        </w:rPr>
        <w:t>合同组成</w:t>
      </w:r>
    </w:p>
    <w:p w14:paraId="5109E5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本次采购活动的相关文件为本合同的组成部分，与本合同具有同等法律效力,这些文件包括但不限于：</w:t>
      </w:r>
    </w:p>
    <w:p w14:paraId="35F11B47">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1.甲方的采购文件与采购补充文件。</w:t>
      </w:r>
    </w:p>
    <w:p w14:paraId="78C23F3C">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2.成交供应商响应文件。</w:t>
      </w:r>
    </w:p>
    <w:p w14:paraId="5118A222">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3.答疑纪要和承诺书。</w:t>
      </w:r>
    </w:p>
    <w:p w14:paraId="6C79DD02">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4.中标通知书。</w:t>
      </w:r>
    </w:p>
    <w:p w14:paraId="445EFFF8">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组成本合同的所有文件必须为书面形式。组成本合同的文件的优先顺序为：（1）本合同；（2）答疑纪要和承诺书；（3）甲方的采购文件与采购补充文件；（4）中标通知书；（5）成交供应商响应文件。</w:t>
      </w:r>
    </w:p>
    <w:p w14:paraId="190EB52C">
      <w:pPr>
        <w:pStyle w:val="29"/>
        <w:numPr>
          <w:ilvl w:val="0"/>
          <w:numId w:val="23"/>
        </w:numPr>
        <w:snapToGrid w:val="0"/>
        <w:spacing w:after="120"/>
        <w:ind w:firstLine="424" w:firstLineChars="0"/>
        <w:rPr>
          <w:rFonts w:cs="微软雅黑"/>
          <w:color w:val="auto"/>
          <w:highlight w:val="none"/>
        </w:rPr>
      </w:pPr>
      <w:bookmarkStart w:id="163" w:name="_Toc4526"/>
      <w:r>
        <w:rPr>
          <w:rFonts w:hint="eastAsia" w:cs="微软雅黑"/>
          <w:color w:val="auto"/>
          <w:highlight w:val="none"/>
        </w:rPr>
        <w:t>合同标的</w:t>
      </w:r>
      <w:bookmarkEnd w:id="163"/>
    </w:p>
    <w:p w14:paraId="6E7DFBF7">
      <w:pPr>
        <w:ind w:firstLine="424" w:firstLineChars="202"/>
        <w:rPr>
          <w:rFonts w:hint="eastAsia" w:ascii="微软雅黑" w:hAnsi="微软雅黑" w:cs="微软雅黑"/>
          <w:color w:val="auto"/>
          <w:szCs w:val="21"/>
          <w:highlight w:val="none"/>
        </w:rPr>
      </w:pPr>
      <w:r>
        <w:rPr>
          <w:rFonts w:hint="eastAsia" w:ascii="微软雅黑" w:hAnsi="微软雅黑" w:cs="微软雅黑"/>
          <w:color w:val="auto"/>
          <w:kern w:val="0"/>
          <w:szCs w:val="21"/>
          <w:highlight w:val="none"/>
        </w:rPr>
        <w:t>本次采购的是</w:t>
      </w:r>
      <w:r>
        <w:rPr>
          <w:rFonts w:hint="eastAsia" w:ascii="微软雅黑" w:hAnsi="微软雅黑" w:cs="微软雅黑"/>
          <w:color w:val="auto"/>
          <w:szCs w:val="21"/>
          <w:highlight w:val="none"/>
        </w:rPr>
        <w:t>：</w:t>
      </w:r>
    </w:p>
    <w:p w14:paraId="1BB04DA2">
      <w:pPr>
        <w:pStyle w:val="52"/>
        <w:ind w:firstLine="480"/>
        <w:rPr>
          <w:rFonts w:hint="eastAsia"/>
          <w:color w:val="auto"/>
          <w:highlight w:val="none"/>
        </w:rPr>
      </w:pPr>
    </w:p>
    <w:p w14:paraId="7EE52F60">
      <w:pPr>
        <w:pStyle w:val="29"/>
        <w:ind w:firstLine="420"/>
        <w:rPr>
          <w:rFonts w:cs="微软雅黑"/>
          <w:color w:val="auto"/>
          <w:highlight w:val="none"/>
        </w:rPr>
      </w:pPr>
      <w:bookmarkStart w:id="164" w:name="_Toc875"/>
      <w:r>
        <w:rPr>
          <w:rFonts w:hint="eastAsia" w:cs="微软雅黑"/>
          <w:color w:val="auto"/>
          <w:highlight w:val="none"/>
        </w:rPr>
        <w:t>三、合同价款及付款方式</w:t>
      </w:r>
      <w:bookmarkEnd w:id="164"/>
    </w:p>
    <w:p w14:paraId="519B15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1、本合同项下总价款为（大写）人民币</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szCs w:val="21"/>
          <w:highlight w:val="none"/>
          <w:u w:val="single"/>
        </w:rPr>
        <w:t xml:space="preserve">       </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，小写：</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 xml:space="preserve"> 万元。</w:t>
      </w:r>
    </w:p>
    <w:p w14:paraId="03E59B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2、服务期限：</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3186A4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3、本合同总价款包括所有服务、人员、货物设计、材料、制造、包装、运输、安装、调试、检测、售后服务、税费等全部费用。</w:t>
      </w:r>
    </w:p>
    <w:p w14:paraId="2C226A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4、本合同付款方式为以下第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w:t>
      </w:r>
    </w:p>
    <w:p w14:paraId="0DC332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（1）本合同项下的采购资金系甲方自行支付，付款程序为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18B0A3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（2）本合同项下的采购资金须财政直接支付，付款程序为</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w:t>
      </w:r>
    </w:p>
    <w:p w14:paraId="5E6566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（3）其他方式：</w:t>
      </w:r>
    </w:p>
    <w:p w14:paraId="43621C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5、本合同项下的采购资金付款进度按招响应文件规定，未规定时按以下第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项支付：</w:t>
      </w:r>
    </w:p>
    <w:p w14:paraId="12073A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（1）一次性付款：乙方合同履行达到</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（条件）时，一次性付款；</w:t>
      </w:r>
    </w:p>
    <w:p w14:paraId="5B2FD9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（2）分期付款：乙方合同履行达到</w:t>
      </w:r>
      <w:r>
        <w:rPr>
          <w:rFonts w:hint="eastAsia" w:ascii="微软雅黑" w:hAnsi="微软雅黑" w:cs="微软雅黑"/>
          <w:color w:val="auto"/>
          <w:kern w:val="0"/>
          <w:szCs w:val="21"/>
          <w:highlight w:val="none"/>
          <w:u w:val="single"/>
        </w:rPr>
        <w:t xml:space="preserve"> 招标文件和甲方要求时，</w:t>
      </w:r>
      <w:r>
        <w:rPr>
          <w:rFonts w:hint="eastAsia" w:ascii="微软雅黑" w:hAnsi="微软雅黑" w:cs="微软雅黑"/>
          <w:color w:val="auto"/>
          <w:kern w:val="0"/>
          <w:szCs w:val="21"/>
          <w:highlight w:val="none"/>
        </w:rPr>
        <w:t>甲方</w:t>
      </w:r>
      <w:r>
        <w:rPr>
          <w:rFonts w:hint="eastAsia" w:ascii="微软雅黑" w:hAnsi="微软雅黑" w:cs="微软雅黑"/>
          <w:color w:val="auto"/>
          <w:kern w:val="0"/>
          <w:szCs w:val="21"/>
          <w:highlight w:val="none"/>
          <w:u w:val="single"/>
        </w:rPr>
        <w:t xml:space="preserve">按   </w:t>
      </w:r>
      <w:r>
        <w:rPr>
          <w:rFonts w:hint="eastAsia" w:ascii="微软雅黑" w:hAnsi="微软雅黑" w:cs="微软雅黑"/>
          <w:color w:val="auto"/>
          <w:kern w:val="0"/>
          <w:szCs w:val="21"/>
          <w:highlight w:val="none"/>
        </w:rPr>
        <w:t>进行支付，乙方凭有效发票、验收单等提交甲方进行支付流程。</w:t>
      </w:r>
    </w:p>
    <w:p w14:paraId="51E58D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若收取了履约保证金，则不应重复设置尾款支付条件。</w:t>
      </w:r>
    </w:p>
    <w:p w14:paraId="3029D4C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四、</w:t>
      </w:r>
      <w:r>
        <w:rPr>
          <w:rFonts w:hint="eastAsia" w:ascii="微软雅黑" w:hAnsi="微软雅黑" w:cs="微软雅黑"/>
          <w:b/>
          <w:color w:val="auto"/>
          <w:kern w:val="0"/>
          <w:szCs w:val="21"/>
          <w:highlight w:val="none"/>
        </w:rPr>
        <w:t>履约保证金</w:t>
      </w:r>
    </w:p>
    <w:p w14:paraId="5FF40A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kern w:val="0"/>
          <w:szCs w:val="21"/>
          <w:highlight w:val="none"/>
        </w:rPr>
        <w:t>按以下第_________项处理：</w:t>
      </w:r>
    </w:p>
    <w:p w14:paraId="782DBC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1、本项目设置履约保证金，乙方应于_________（时间）向甲方提交履约保证金_________元（不得高于本合同金额的1%）。履约保证金在_________（时间）退还乙方。</w:t>
      </w:r>
    </w:p>
    <w:p w14:paraId="49B38312">
      <w:pPr>
        <w:pStyle w:val="29"/>
        <w:ind w:firstLine="420"/>
        <w:rPr>
          <w:rFonts w:cs="微软雅黑"/>
          <w:color w:val="auto"/>
          <w:highlight w:val="none"/>
        </w:rPr>
      </w:pPr>
      <w:bookmarkStart w:id="165" w:name="_Toc29860"/>
      <w:r>
        <w:rPr>
          <w:rFonts w:hint="eastAsia" w:cs="微软雅黑"/>
          <w:color w:val="auto"/>
          <w:highlight w:val="none"/>
        </w:rPr>
        <w:t>2、本项目不设置履约保证金。</w:t>
      </w:r>
      <w:bookmarkEnd w:id="165"/>
    </w:p>
    <w:p w14:paraId="628FC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五、</w:t>
      </w:r>
      <w:r>
        <w:rPr>
          <w:rFonts w:hint="eastAsia" w:ascii="微软雅黑" w:hAnsi="微软雅黑" w:cs="微软雅黑"/>
          <w:b/>
          <w:color w:val="auto"/>
          <w:kern w:val="0"/>
          <w:szCs w:val="21"/>
          <w:highlight w:val="none"/>
        </w:rPr>
        <w:t>质量保证及售后服务</w:t>
      </w:r>
    </w:p>
    <w:p w14:paraId="729728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1、乙方按招标文件规定的时间和要求完成各项服务、考核。</w:t>
      </w:r>
    </w:p>
    <w:p w14:paraId="331857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color w:val="auto"/>
          <w:szCs w:val="21"/>
          <w:highlight w:val="none"/>
        </w:rPr>
        <w:t>2、甲方其他服务需求。</w:t>
      </w:r>
    </w:p>
    <w:p w14:paraId="59EAE2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六、</w:t>
      </w:r>
      <w:r>
        <w:rPr>
          <w:rFonts w:hint="eastAsia" w:ascii="微软雅黑" w:hAnsi="微软雅黑" w:cs="微软雅黑"/>
          <w:b/>
          <w:color w:val="auto"/>
          <w:kern w:val="0"/>
          <w:szCs w:val="21"/>
          <w:highlight w:val="none"/>
        </w:rPr>
        <w:t>合同的变更和终止</w:t>
      </w:r>
    </w:p>
    <w:p w14:paraId="1E515A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0A0A52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七、</w:t>
      </w:r>
      <w:r>
        <w:rPr>
          <w:rFonts w:hint="eastAsia" w:ascii="微软雅黑" w:hAnsi="微软雅黑" w:cs="微软雅黑"/>
          <w:b/>
          <w:color w:val="auto"/>
          <w:kern w:val="0"/>
          <w:szCs w:val="21"/>
          <w:highlight w:val="none"/>
        </w:rPr>
        <w:t>合同的转让与分包</w:t>
      </w:r>
    </w:p>
    <w:p w14:paraId="4D07ED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乙方不得擅自部分或全部转让其应履行的合同义务。乙方分包的，应经过甲方书面同意。</w:t>
      </w:r>
    </w:p>
    <w:p w14:paraId="538A64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w:t>
      </w:r>
      <w:r>
        <w:rPr>
          <w:rFonts w:hint="eastAsia" w:ascii="微软雅黑" w:hAnsi="微软雅黑" w:cs="微软雅黑"/>
          <w:b/>
          <w:color w:val="auto"/>
          <w:kern w:val="0"/>
          <w:szCs w:val="21"/>
          <w:highlight w:val="none"/>
        </w:rPr>
        <w:t>违约责任</w:t>
      </w:r>
    </w:p>
    <w:p w14:paraId="23E1E4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1、  除不可抗力外，如果乙方没有按照本合同约定的期限、地点和方式提供服务，那么甲方可要求乙方支付违约金，违约金按逾期提供服务总额每日 0.05  %计算，最高限额为本合同总价的 20  %；逾期提供服务的违约金计算数额达到前述最高限额之日起，甲方有权在要求乙方支付违约金的同时，书面通知乙方解除本合同；</w:t>
      </w:r>
    </w:p>
    <w:p w14:paraId="7D4DCB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2、除不可抗力外，如果甲方没有按照本合同约定的付款方式付款，那么乙方可要求甲方支付违约金，违约金按每迟延付款一日的应付而未付款的  0.05  %计算，最高限额为本合同总价的  20   %；迟延付款的违约金计算数额达到前述最高限额之日起，乙方有权在要求甲方支付违约金的同时，书面通知甲方解除本合同；</w:t>
      </w:r>
    </w:p>
    <w:p w14:paraId="3D87BE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3、除不可抗力外，任何一方未能履行本合同约定的其他主要义务，经催告后在合理期限内仍未履行的，或者任何一方有其他违约行为致使不能实现合同目标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FAA02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43FC5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9E3FE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szCs w:val="21"/>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1B67ED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十一、</w:t>
      </w:r>
      <w:r>
        <w:rPr>
          <w:rFonts w:hint="eastAsia" w:ascii="微软雅黑" w:hAnsi="微软雅黑" w:cs="微软雅黑"/>
          <w:b/>
          <w:color w:val="auto"/>
          <w:kern w:val="0"/>
          <w:szCs w:val="21"/>
          <w:highlight w:val="none"/>
        </w:rPr>
        <w:t>不可抗力事件处理</w:t>
      </w:r>
    </w:p>
    <w:p w14:paraId="485D08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1、在合同有效期内，任何一方因不可抗力事件导致不能履行合同的，合同履行期可延长，其延长期与不可抗力影响期相同。</w:t>
      </w:r>
    </w:p>
    <w:p w14:paraId="753946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2、不可抗力事件发生后，应立即通知对方，并寄送有关权威机构出具的证明。</w:t>
      </w:r>
    </w:p>
    <w:p w14:paraId="110F93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3、不可抗力事件延续120天以上，双方应通过友好协商，确定是否继续履行合同。</w:t>
      </w:r>
    </w:p>
    <w:p w14:paraId="6A57D4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十二、</w:t>
      </w:r>
      <w:r>
        <w:rPr>
          <w:rFonts w:hint="eastAsia" w:ascii="微软雅黑" w:hAnsi="微软雅黑" w:cs="微软雅黑"/>
          <w:b/>
          <w:color w:val="auto"/>
          <w:kern w:val="0"/>
          <w:szCs w:val="21"/>
          <w:highlight w:val="none"/>
        </w:rPr>
        <w:t>争议的解决</w:t>
      </w:r>
    </w:p>
    <w:p w14:paraId="28FA52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1、因履行本合同引起的或与本合同有关的争议，甲、乙双方应首先通过友好协商解决，如果协商不能解决争议，则采取以下第</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种方式解决争议：</w:t>
      </w:r>
    </w:p>
    <w:p w14:paraId="120E41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（1）向甲方所在地有管辖权的人民法院提起诉讼；</w:t>
      </w:r>
    </w:p>
    <w:p w14:paraId="127484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（2）向</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仲裁委员申请仲裁。</w:t>
      </w:r>
    </w:p>
    <w:p w14:paraId="6B6497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hint="eastAsia" w:ascii="微软雅黑" w:hAnsi="微软雅黑" w:cs="微软雅黑"/>
          <w:b/>
          <w:color w:val="auto"/>
          <w:kern w:val="0"/>
          <w:szCs w:val="21"/>
          <w:highlight w:val="none"/>
        </w:rPr>
      </w:pPr>
      <w:r>
        <w:rPr>
          <w:rFonts w:hint="eastAsia" w:ascii="微软雅黑" w:hAnsi="微软雅黑" w:cs="微软雅黑"/>
          <w:b/>
          <w:color w:val="auto"/>
          <w:szCs w:val="21"/>
          <w:highlight w:val="none"/>
        </w:rPr>
        <w:t>十三、</w:t>
      </w:r>
      <w:r>
        <w:rPr>
          <w:rFonts w:hint="eastAsia" w:ascii="微软雅黑" w:hAnsi="微软雅黑" w:cs="微软雅黑"/>
          <w:b/>
          <w:color w:val="auto"/>
          <w:kern w:val="0"/>
          <w:szCs w:val="21"/>
          <w:highlight w:val="none"/>
        </w:rPr>
        <w:t>合同公告、合同生效及备案</w:t>
      </w:r>
    </w:p>
    <w:p w14:paraId="11928531">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1、合同公告：本项目政府采购合同将于签订之日起2个工作日内发布于浙江政府采购网，但政府采购合同中涉及国家秘密、商业秘密的内容除外。</w:t>
      </w:r>
    </w:p>
    <w:p w14:paraId="0ECAFADB">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2、合同经双方法定代表人或被授权人签字并加盖单位公章后生效。</w:t>
      </w:r>
    </w:p>
    <w:p w14:paraId="5302FB66">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3、合同执行中涉及采购资金和采购内容修改或补充的，须经财政部门审批，并签书面补充协议报政府部门备案，方可作为主合同不可分割的一部分。</w:t>
      </w:r>
    </w:p>
    <w:p w14:paraId="25D57C6C">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4、本合同未尽事宜，遵照《民法典》有关条文执行。</w:t>
      </w:r>
    </w:p>
    <w:p w14:paraId="4374D925">
      <w:pPr>
        <w:ind w:firstLine="420"/>
        <w:rPr>
          <w:rFonts w:hint="eastAsia" w:ascii="微软雅黑" w:hAnsi="微软雅黑" w:cs="微软雅黑"/>
          <w:color w:val="auto"/>
          <w:kern w:val="0"/>
          <w:szCs w:val="21"/>
          <w:highlight w:val="none"/>
        </w:rPr>
      </w:pPr>
      <w:r>
        <w:rPr>
          <w:rFonts w:hint="eastAsia" w:ascii="微软雅黑" w:hAnsi="微软雅黑" w:cs="微软雅黑"/>
          <w:color w:val="auto"/>
          <w:kern w:val="0"/>
          <w:szCs w:val="21"/>
          <w:highlight w:val="none"/>
        </w:rPr>
        <w:t>5、本合同一式</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份，甲乙双方各执</w:t>
      </w:r>
      <w:r>
        <w:rPr>
          <w:rFonts w:hint="eastAsia" w:ascii="微软雅黑" w:hAnsi="微软雅黑" w:cs="微软雅黑"/>
          <w:color w:val="auto"/>
          <w:kern w:val="0"/>
          <w:szCs w:val="21"/>
          <w:highlight w:val="none"/>
          <w:u w:val="single"/>
        </w:rPr>
        <w:t xml:space="preserve">  </w:t>
      </w:r>
      <w:r>
        <w:rPr>
          <w:rFonts w:hint="eastAsia" w:ascii="微软雅黑" w:hAnsi="微软雅黑" w:cs="微软雅黑"/>
          <w:color w:val="auto"/>
          <w:kern w:val="0"/>
          <w:szCs w:val="21"/>
          <w:highlight w:val="none"/>
        </w:rPr>
        <w:t>份。若执行政采贷，另加</w:t>
      </w:r>
      <w:r>
        <w:rPr>
          <w:rFonts w:hint="eastAsia" w:ascii="微软雅黑" w:hAnsi="微软雅黑" w:cs="微软雅黑"/>
          <w:color w:val="auto"/>
          <w:kern w:val="0"/>
          <w:szCs w:val="21"/>
          <w:highlight w:val="none"/>
          <w:u w:val="single"/>
        </w:rPr>
        <w:t xml:space="preserve"> 贰 </w:t>
      </w:r>
      <w:r>
        <w:rPr>
          <w:rFonts w:hint="eastAsia" w:ascii="微软雅黑" w:hAnsi="微软雅黑" w:cs="微软雅黑"/>
          <w:color w:val="auto"/>
          <w:kern w:val="0"/>
          <w:szCs w:val="21"/>
          <w:highlight w:val="none"/>
        </w:rPr>
        <w:t>份。</w:t>
      </w:r>
    </w:p>
    <w:p w14:paraId="00C62D18">
      <w:pPr>
        <w:ind w:firstLine="420"/>
        <w:jc w:val="center"/>
        <w:rPr>
          <w:rFonts w:hint="eastAsia" w:ascii="微软雅黑" w:hAnsi="微软雅黑" w:cs="微软雅黑"/>
          <w:color w:val="auto"/>
          <w:szCs w:val="21"/>
          <w:highlight w:val="none"/>
        </w:rPr>
      </w:pPr>
    </w:p>
    <w:p w14:paraId="33130D8A">
      <w:pPr>
        <w:pStyle w:val="3"/>
        <w:ind w:firstLine="420"/>
        <w:jc w:val="center"/>
        <w:rPr>
          <w:rFonts w:hint="eastAsia" w:ascii="微软雅黑" w:hAnsi="微软雅黑" w:cs="微软雅黑"/>
          <w:color w:val="auto"/>
          <w:szCs w:val="21"/>
          <w:highlight w:val="none"/>
        </w:rPr>
      </w:pPr>
      <w:bookmarkStart w:id="166" w:name="_Toc20276"/>
      <w:bookmarkStart w:id="167" w:name="_Toc4827"/>
      <w:bookmarkStart w:id="168" w:name="_Toc23848"/>
      <w:r>
        <w:rPr>
          <w:rFonts w:hint="eastAsia" w:ascii="微软雅黑" w:hAnsi="微软雅黑" w:cs="微软雅黑"/>
          <w:color w:val="auto"/>
          <w:szCs w:val="21"/>
          <w:highlight w:val="none"/>
        </w:rPr>
        <w:t>特殊专用条款部分</w:t>
      </w:r>
      <w:bookmarkEnd w:id="166"/>
      <w:bookmarkEnd w:id="167"/>
      <w:bookmarkEnd w:id="168"/>
    </w:p>
    <w:p w14:paraId="53C6180B">
      <w:pPr>
        <w:pStyle w:val="29"/>
        <w:ind w:firstLine="420"/>
        <w:rPr>
          <w:rFonts w:cs="微软雅黑"/>
          <w:color w:val="auto"/>
          <w:highlight w:val="none"/>
        </w:rPr>
      </w:pPr>
      <w:bookmarkStart w:id="169" w:name="_Toc21251"/>
      <w:r>
        <w:rPr>
          <w:rFonts w:hint="eastAsia" w:cs="微软雅黑"/>
          <w:color w:val="auto"/>
          <w:highlight w:val="none"/>
        </w:rPr>
        <w:t>……</w:t>
      </w:r>
      <w:bookmarkEnd w:id="169"/>
    </w:p>
    <w:p w14:paraId="33B07CF9">
      <w:pPr>
        <w:pStyle w:val="29"/>
        <w:ind w:firstLine="420"/>
        <w:rPr>
          <w:rFonts w:cs="微软雅黑"/>
          <w:color w:val="auto"/>
          <w:highlight w:val="none"/>
        </w:rPr>
      </w:pPr>
      <w:bookmarkStart w:id="170" w:name="_Toc12502"/>
      <w:r>
        <w:rPr>
          <w:rFonts w:hint="eastAsia" w:cs="微软雅黑"/>
          <w:color w:val="auto"/>
          <w:highlight w:val="none"/>
        </w:rPr>
        <w:t>甲方：                             乙方：</w:t>
      </w:r>
      <w:bookmarkEnd w:id="170"/>
      <w:r>
        <w:rPr>
          <w:rFonts w:hint="eastAsia" w:cs="微软雅黑"/>
          <w:color w:val="auto"/>
          <w:highlight w:val="none"/>
        </w:rPr>
        <w:t xml:space="preserve"> </w:t>
      </w:r>
    </w:p>
    <w:p w14:paraId="1595B1ED">
      <w:pPr>
        <w:pStyle w:val="29"/>
        <w:ind w:firstLine="420"/>
        <w:rPr>
          <w:rFonts w:cs="微软雅黑"/>
          <w:bCs/>
          <w:color w:val="auto"/>
          <w:highlight w:val="none"/>
        </w:rPr>
      </w:pPr>
      <w:bookmarkStart w:id="171" w:name="_Toc12392"/>
      <w:r>
        <w:rPr>
          <w:rFonts w:hint="eastAsia" w:cs="微软雅黑"/>
          <w:color w:val="auto"/>
          <w:highlight w:val="none"/>
        </w:rPr>
        <w:t>地址：                             地址：</w:t>
      </w:r>
      <w:bookmarkEnd w:id="171"/>
      <w:r>
        <w:rPr>
          <w:rFonts w:hint="eastAsia" w:cs="微软雅黑"/>
          <w:color w:val="auto"/>
          <w:highlight w:val="none"/>
        </w:rPr>
        <w:t xml:space="preserve"> </w:t>
      </w:r>
    </w:p>
    <w:p w14:paraId="779F6860">
      <w:pPr>
        <w:pStyle w:val="29"/>
        <w:ind w:firstLine="420"/>
        <w:rPr>
          <w:rFonts w:cs="微软雅黑"/>
          <w:color w:val="auto"/>
          <w:highlight w:val="none"/>
        </w:rPr>
      </w:pPr>
      <w:bookmarkStart w:id="172" w:name="_Toc19138"/>
      <w:r>
        <w:rPr>
          <w:rFonts w:hint="eastAsia" w:cs="微软雅黑"/>
          <w:color w:val="auto"/>
          <w:highlight w:val="none"/>
        </w:rPr>
        <w:t>法定代表人或被授权人：             法定代表人或被授权人：</w:t>
      </w:r>
      <w:bookmarkEnd w:id="172"/>
    </w:p>
    <w:p w14:paraId="16745B19">
      <w:pPr>
        <w:pStyle w:val="29"/>
        <w:ind w:firstLine="420"/>
        <w:rPr>
          <w:rFonts w:cs="微软雅黑"/>
          <w:color w:val="auto"/>
          <w:highlight w:val="none"/>
        </w:rPr>
      </w:pPr>
      <w:bookmarkStart w:id="173" w:name="_Toc17401"/>
      <w:r>
        <w:rPr>
          <w:rFonts w:hint="eastAsia" w:cs="微软雅黑"/>
          <w:color w:val="auto"/>
          <w:highlight w:val="none"/>
        </w:rPr>
        <w:t>签订地点：</w:t>
      </w:r>
      <w:bookmarkEnd w:id="173"/>
      <w:r>
        <w:rPr>
          <w:rFonts w:hint="eastAsia" w:cs="微软雅黑"/>
          <w:color w:val="auto"/>
          <w:highlight w:val="none"/>
        </w:rPr>
        <w:t xml:space="preserve">                  </w:t>
      </w:r>
    </w:p>
    <w:p w14:paraId="3AC50CE3">
      <w:pPr>
        <w:pStyle w:val="29"/>
        <w:ind w:firstLine="420"/>
        <w:rPr>
          <w:rFonts w:cs="微软雅黑"/>
          <w:color w:val="auto"/>
          <w:highlight w:val="none"/>
        </w:rPr>
        <w:sectPr>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74" w:name="_Toc1330"/>
      <w:r>
        <w:rPr>
          <w:rFonts w:hint="eastAsia" w:cs="微软雅黑"/>
          <w:color w:val="auto"/>
          <w:highlight w:val="none"/>
        </w:rPr>
        <w:t>签订日期：      年  月  日</w:t>
      </w:r>
      <w:bookmarkEnd w:id="174"/>
    </w:p>
    <w:tbl>
      <w:tblPr>
        <w:tblStyle w:val="54"/>
        <w:tblW w:w="8307" w:type="dxa"/>
        <w:tblInd w:w="250" w:type="dxa"/>
        <w:tblLayout w:type="fixed"/>
        <w:tblCellMar>
          <w:top w:w="0" w:type="dxa"/>
          <w:left w:w="108" w:type="dxa"/>
          <w:bottom w:w="0" w:type="dxa"/>
          <w:right w:w="108" w:type="dxa"/>
        </w:tblCellMar>
      </w:tblPr>
      <w:tblGrid>
        <w:gridCol w:w="2724"/>
        <w:gridCol w:w="2854"/>
        <w:gridCol w:w="754"/>
        <w:gridCol w:w="944"/>
        <w:gridCol w:w="1031"/>
      </w:tblGrid>
      <w:tr w14:paraId="78FE7B76">
        <w:tblPrEx>
          <w:tblCellMar>
            <w:top w:w="0" w:type="dxa"/>
            <w:left w:w="108" w:type="dxa"/>
            <w:bottom w:w="0" w:type="dxa"/>
            <w:right w:w="108" w:type="dxa"/>
          </w:tblCellMar>
        </w:tblPrEx>
        <w:trPr>
          <w:trHeight w:val="428" w:hRule="atLeast"/>
        </w:trPr>
        <w:tc>
          <w:tcPr>
            <w:tcW w:w="8307" w:type="dxa"/>
            <w:gridSpan w:val="5"/>
            <w:tcBorders>
              <w:top w:val="nil"/>
              <w:left w:val="nil"/>
              <w:bottom w:val="nil"/>
              <w:right w:val="nil"/>
            </w:tcBorders>
            <w:vAlign w:val="center"/>
          </w:tcPr>
          <w:p w14:paraId="0D0901F9">
            <w:pPr>
              <w:pStyle w:val="3"/>
              <w:ind w:firstLine="420"/>
              <w:rPr>
                <w:rFonts w:hint="eastAsia"/>
                <w:bCs/>
                <w:color w:val="auto"/>
                <w:szCs w:val="21"/>
                <w:highlight w:val="none"/>
              </w:rPr>
            </w:pPr>
            <w:bookmarkStart w:id="175" w:name="_Toc29980"/>
            <w:bookmarkStart w:id="176" w:name="_Toc164943220"/>
            <w:r>
              <w:rPr>
                <w:rFonts w:hint="eastAsia"/>
                <w:bCs/>
                <w:color w:val="auto"/>
                <w:szCs w:val="21"/>
                <w:highlight w:val="none"/>
              </w:rPr>
              <w:t>合同附件</w:t>
            </w:r>
            <w:bookmarkEnd w:id="175"/>
          </w:p>
          <w:p w14:paraId="5AC3FC5F">
            <w:pPr>
              <w:pStyle w:val="3"/>
              <w:ind w:firstLine="420"/>
              <w:jc w:val="center"/>
              <w:rPr>
                <w:rFonts w:hint="eastAsia"/>
                <w:bCs/>
                <w:color w:val="auto"/>
                <w:szCs w:val="21"/>
                <w:highlight w:val="none"/>
              </w:rPr>
            </w:pPr>
            <w:bookmarkStart w:id="177" w:name="_Toc11729"/>
            <w:r>
              <w:rPr>
                <w:bCs/>
                <w:color w:val="auto"/>
                <w:szCs w:val="21"/>
                <w:highlight w:val="none"/>
              </w:rPr>
              <w:t>政 府 采 购 项 目 验 收 单</w:t>
            </w:r>
            <w:bookmarkEnd w:id="176"/>
            <w:bookmarkEnd w:id="177"/>
          </w:p>
        </w:tc>
      </w:tr>
      <w:tr w14:paraId="0AC95ED2">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08E57ADC">
            <w:pPr>
              <w:widowControl/>
              <w:spacing w:line="240" w:lineRule="auto"/>
              <w:ind w:firstLine="0" w:firstLineChars="0"/>
              <w:rPr>
                <w:color w:val="auto"/>
                <w:kern w:val="0"/>
                <w:szCs w:val="21"/>
                <w:highlight w:val="none"/>
              </w:rPr>
            </w:pPr>
            <w:r>
              <w:rPr>
                <w:color w:val="auto"/>
                <w:kern w:val="0"/>
                <w:szCs w:val="21"/>
                <w:highlight w:val="none"/>
              </w:rPr>
              <w:t>按照</w:t>
            </w:r>
            <w:r>
              <w:rPr>
                <w:rFonts w:hint="eastAsia"/>
                <w:color w:val="auto"/>
                <w:kern w:val="0"/>
                <w:szCs w:val="21"/>
                <w:highlight w:val="none"/>
              </w:rPr>
              <w:t>采购计划文号：</w:t>
            </w:r>
            <w:r>
              <w:rPr>
                <w:rFonts w:hint="eastAsia" w:ascii="宋体" w:hAnsi="宋体"/>
                <w:color w:val="auto"/>
                <w:kern w:val="0"/>
                <w:szCs w:val="21"/>
                <w:highlight w:val="none"/>
              </w:rPr>
              <w:t xml:space="preserve">      </w:t>
            </w:r>
            <w:r>
              <w:rPr>
                <w:color w:val="auto"/>
                <w:kern w:val="0"/>
                <w:szCs w:val="21"/>
                <w:highlight w:val="none"/>
              </w:rPr>
              <w:t>，</w:t>
            </w:r>
            <w:r>
              <w:rPr>
                <w:rFonts w:hint="eastAsia"/>
                <w:color w:val="auto"/>
                <w:kern w:val="0"/>
                <w:szCs w:val="21"/>
                <w:highlight w:val="none"/>
              </w:rPr>
              <w:t>项目编号</w:t>
            </w:r>
            <w:r>
              <w:rPr>
                <w:color w:val="auto"/>
                <w:kern w:val="0"/>
                <w:szCs w:val="21"/>
                <w:highlight w:val="none"/>
              </w:rPr>
              <w:t>：</w:t>
            </w:r>
            <w:r>
              <w:rPr>
                <w:rFonts w:hint="eastAsia"/>
                <w:color w:val="auto"/>
                <w:kern w:val="0"/>
                <w:szCs w:val="21"/>
                <w:highlight w:val="none"/>
              </w:rPr>
              <w:t xml:space="preserve">                                       </w:t>
            </w:r>
            <w:r>
              <w:rPr>
                <w:rFonts w:hint="eastAsia" w:ascii="宋体" w:hAnsi="宋体" w:eastAsia="宋体"/>
                <w:color w:val="auto"/>
                <w:kern w:val="0"/>
                <w:szCs w:val="21"/>
                <w:highlight w:val="none"/>
              </w:rPr>
              <w:t xml:space="preserve">,合同号：  </w:t>
            </w:r>
          </w:p>
        </w:tc>
      </w:tr>
      <w:tr w14:paraId="726DC6EF">
        <w:tblPrEx>
          <w:tblCellMar>
            <w:top w:w="0" w:type="dxa"/>
            <w:left w:w="108" w:type="dxa"/>
            <w:bottom w:w="0" w:type="dxa"/>
            <w:right w:w="108" w:type="dxa"/>
          </w:tblCellMar>
        </w:tblPrEx>
        <w:trPr>
          <w:trHeight w:val="332" w:hRule="atLeast"/>
        </w:trPr>
        <w:tc>
          <w:tcPr>
            <w:tcW w:w="8307" w:type="dxa"/>
            <w:gridSpan w:val="5"/>
            <w:tcBorders>
              <w:top w:val="nil"/>
              <w:left w:val="nil"/>
              <w:bottom w:val="nil"/>
              <w:right w:val="nil"/>
            </w:tcBorders>
            <w:vAlign w:val="center"/>
          </w:tcPr>
          <w:p w14:paraId="66119A97">
            <w:pPr>
              <w:widowControl/>
              <w:spacing w:line="240" w:lineRule="auto"/>
              <w:ind w:firstLine="0" w:firstLineChars="0"/>
              <w:rPr>
                <w:color w:val="auto"/>
                <w:kern w:val="0"/>
                <w:szCs w:val="21"/>
                <w:highlight w:val="none"/>
              </w:rPr>
            </w:pPr>
            <w:r>
              <w:rPr>
                <w:color w:val="auto"/>
                <w:kern w:val="0"/>
                <w:szCs w:val="21"/>
                <w:highlight w:val="none"/>
              </w:rPr>
              <w:t>以下项目已采购到位并验收合格。</w:t>
            </w:r>
          </w:p>
        </w:tc>
      </w:tr>
      <w:tr w14:paraId="458F5D3B">
        <w:tblPrEx>
          <w:tblCellMar>
            <w:top w:w="0" w:type="dxa"/>
            <w:left w:w="108" w:type="dxa"/>
            <w:bottom w:w="0" w:type="dxa"/>
            <w:right w:w="108" w:type="dxa"/>
          </w:tblCellMar>
        </w:tblPrEx>
        <w:trPr>
          <w:trHeight w:val="507" w:hRule="atLeast"/>
        </w:trPr>
        <w:tc>
          <w:tcPr>
            <w:tcW w:w="2724" w:type="dxa"/>
            <w:tcBorders>
              <w:top w:val="single" w:color="auto" w:sz="4" w:space="0"/>
              <w:left w:val="single" w:color="auto" w:sz="4" w:space="0"/>
              <w:bottom w:val="nil"/>
              <w:right w:val="single" w:color="auto" w:sz="4" w:space="0"/>
            </w:tcBorders>
            <w:vAlign w:val="center"/>
          </w:tcPr>
          <w:p w14:paraId="1CBB5599">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服务名称</w:t>
            </w:r>
          </w:p>
        </w:tc>
        <w:tc>
          <w:tcPr>
            <w:tcW w:w="2854" w:type="dxa"/>
            <w:tcBorders>
              <w:top w:val="single" w:color="auto" w:sz="4" w:space="0"/>
              <w:left w:val="nil"/>
              <w:bottom w:val="nil"/>
              <w:right w:val="single" w:color="auto" w:sz="4" w:space="0"/>
            </w:tcBorders>
            <w:vAlign w:val="center"/>
          </w:tcPr>
          <w:p w14:paraId="37F47052">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服务内容</w:t>
            </w:r>
          </w:p>
        </w:tc>
        <w:tc>
          <w:tcPr>
            <w:tcW w:w="754" w:type="dxa"/>
            <w:tcBorders>
              <w:top w:val="single" w:color="auto" w:sz="4" w:space="0"/>
              <w:left w:val="nil"/>
              <w:bottom w:val="nil"/>
              <w:right w:val="single" w:color="auto" w:sz="4" w:space="0"/>
            </w:tcBorders>
            <w:vAlign w:val="center"/>
          </w:tcPr>
          <w:p w14:paraId="37F023DA">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数量</w:t>
            </w:r>
          </w:p>
        </w:tc>
        <w:tc>
          <w:tcPr>
            <w:tcW w:w="944" w:type="dxa"/>
            <w:tcBorders>
              <w:top w:val="single" w:color="auto" w:sz="4" w:space="0"/>
              <w:left w:val="nil"/>
              <w:bottom w:val="nil"/>
              <w:right w:val="single" w:color="auto" w:sz="4" w:space="0"/>
            </w:tcBorders>
            <w:vAlign w:val="center"/>
          </w:tcPr>
          <w:p w14:paraId="4CB97B06">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核定总价</w:t>
            </w:r>
          </w:p>
        </w:tc>
        <w:tc>
          <w:tcPr>
            <w:tcW w:w="1031" w:type="dxa"/>
            <w:tcBorders>
              <w:top w:val="single" w:color="auto" w:sz="4" w:space="0"/>
              <w:left w:val="nil"/>
              <w:bottom w:val="single" w:color="auto" w:sz="4" w:space="0"/>
              <w:right w:val="single" w:color="auto" w:sz="4" w:space="0"/>
            </w:tcBorders>
            <w:vAlign w:val="center"/>
          </w:tcPr>
          <w:p w14:paraId="75F16C99">
            <w:pPr>
              <w:widowControl/>
              <w:spacing w:line="240" w:lineRule="auto"/>
              <w:ind w:firstLine="0" w:firstLineChars="0"/>
              <w:jc w:val="center"/>
              <w:rPr>
                <w:rFonts w:hint="eastAsia" w:ascii="微软雅黑" w:hAnsi="微软雅黑"/>
                <w:color w:val="auto"/>
                <w:kern w:val="0"/>
                <w:szCs w:val="21"/>
                <w:highlight w:val="none"/>
              </w:rPr>
            </w:pPr>
            <w:r>
              <w:rPr>
                <w:rFonts w:hint="eastAsia" w:ascii="微软雅黑" w:hAnsi="微软雅黑" w:cs="宋体"/>
                <w:color w:val="auto"/>
                <w:kern w:val="0"/>
                <w:szCs w:val="21"/>
                <w:highlight w:val="none"/>
              </w:rPr>
              <w:t>采购人</w:t>
            </w:r>
            <w:r>
              <w:rPr>
                <w:rFonts w:hint="eastAsia" w:ascii="微软雅黑" w:hAnsi="微软雅黑" w:cs="宋体"/>
                <w:color w:val="auto"/>
                <w:kern w:val="0"/>
                <w:szCs w:val="21"/>
                <w:highlight w:val="none"/>
              </w:rPr>
              <w:br w:type="textWrapping"/>
            </w:r>
            <w:r>
              <w:rPr>
                <w:rFonts w:hint="eastAsia" w:ascii="微软雅黑" w:hAnsi="微软雅黑" w:cs="宋体"/>
                <w:color w:val="auto"/>
                <w:kern w:val="0"/>
                <w:szCs w:val="21"/>
                <w:highlight w:val="none"/>
              </w:rPr>
              <w:t>验收意见</w:t>
            </w:r>
          </w:p>
        </w:tc>
      </w:tr>
      <w:tr w14:paraId="430B100D">
        <w:tblPrEx>
          <w:tblCellMar>
            <w:top w:w="0" w:type="dxa"/>
            <w:left w:w="108" w:type="dxa"/>
            <w:bottom w:w="0" w:type="dxa"/>
            <w:right w:w="108" w:type="dxa"/>
          </w:tblCellMar>
        </w:tblPrEx>
        <w:trPr>
          <w:trHeight w:val="413" w:hRule="atLeast"/>
        </w:trPr>
        <w:tc>
          <w:tcPr>
            <w:tcW w:w="2724" w:type="dxa"/>
            <w:tcBorders>
              <w:top w:val="single" w:color="auto" w:sz="4" w:space="0"/>
              <w:left w:val="single" w:color="auto" w:sz="4" w:space="0"/>
              <w:bottom w:val="single" w:color="auto" w:sz="4" w:space="0"/>
              <w:right w:val="single" w:color="auto" w:sz="4" w:space="0"/>
            </w:tcBorders>
            <w:vAlign w:val="center"/>
          </w:tcPr>
          <w:p w14:paraId="57C2C940">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2854" w:type="dxa"/>
            <w:tcBorders>
              <w:top w:val="single" w:color="auto" w:sz="4" w:space="0"/>
              <w:left w:val="nil"/>
              <w:bottom w:val="single" w:color="auto" w:sz="4" w:space="0"/>
              <w:right w:val="single" w:color="auto" w:sz="4" w:space="0"/>
            </w:tcBorders>
            <w:vAlign w:val="center"/>
          </w:tcPr>
          <w:p w14:paraId="4D14DF30">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754" w:type="dxa"/>
            <w:tcBorders>
              <w:top w:val="single" w:color="auto" w:sz="4" w:space="0"/>
              <w:left w:val="nil"/>
              <w:bottom w:val="single" w:color="auto" w:sz="4" w:space="0"/>
              <w:right w:val="single" w:color="auto" w:sz="4" w:space="0"/>
            </w:tcBorders>
            <w:vAlign w:val="center"/>
          </w:tcPr>
          <w:p w14:paraId="1EE378BB">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944" w:type="dxa"/>
            <w:tcBorders>
              <w:top w:val="single" w:color="auto" w:sz="4" w:space="0"/>
              <w:left w:val="nil"/>
              <w:bottom w:val="single" w:color="auto" w:sz="4" w:space="0"/>
              <w:right w:val="single" w:color="auto" w:sz="4" w:space="0"/>
            </w:tcBorders>
            <w:vAlign w:val="center"/>
          </w:tcPr>
          <w:p w14:paraId="190F5ABD">
            <w:pPr>
              <w:widowControl/>
              <w:spacing w:line="240" w:lineRule="auto"/>
              <w:ind w:firstLine="0" w:firstLineChars="0"/>
              <w:jc w:val="center"/>
              <w:rPr>
                <w:color w:val="auto"/>
                <w:kern w:val="0"/>
                <w:szCs w:val="21"/>
                <w:highlight w:val="none"/>
              </w:rPr>
            </w:pPr>
            <w:r>
              <w:rPr>
                <w:color w:val="auto"/>
                <w:kern w:val="0"/>
                <w:szCs w:val="21"/>
                <w:highlight w:val="none"/>
              </w:rPr>
              <w:t>　</w:t>
            </w:r>
          </w:p>
        </w:tc>
        <w:tc>
          <w:tcPr>
            <w:tcW w:w="1031" w:type="dxa"/>
            <w:tcBorders>
              <w:top w:val="nil"/>
              <w:left w:val="nil"/>
              <w:bottom w:val="single" w:color="auto" w:sz="4" w:space="0"/>
              <w:right w:val="single" w:color="auto" w:sz="4" w:space="0"/>
            </w:tcBorders>
            <w:vAlign w:val="bottom"/>
          </w:tcPr>
          <w:p w14:paraId="5072C86E">
            <w:pPr>
              <w:widowControl/>
              <w:spacing w:line="240" w:lineRule="auto"/>
              <w:ind w:firstLine="0" w:firstLineChars="0"/>
              <w:rPr>
                <w:color w:val="auto"/>
                <w:kern w:val="0"/>
                <w:szCs w:val="21"/>
                <w:highlight w:val="none"/>
              </w:rPr>
            </w:pPr>
            <w:r>
              <w:rPr>
                <w:color w:val="auto"/>
                <w:kern w:val="0"/>
                <w:szCs w:val="21"/>
                <w:highlight w:val="none"/>
              </w:rPr>
              <w:t>　</w:t>
            </w:r>
          </w:p>
        </w:tc>
      </w:tr>
      <w:tr w14:paraId="3EEAAAB4">
        <w:tblPrEx>
          <w:tblCellMar>
            <w:top w:w="0" w:type="dxa"/>
            <w:left w:w="108" w:type="dxa"/>
            <w:bottom w:w="0" w:type="dxa"/>
            <w:right w:w="108" w:type="dxa"/>
          </w:tblCellMar>
        </w:tblPrEx>
        <w:trPr>
          <w:trHeight w:val="436" w:hRule="atLeast"/>
        </w:trPr>
        <w:tc>
          <w:tcPr>
            <w:tcW w:w="2724" w:type="dxa"/>
            <w:tcBorders>
              <w:top w:val="nil"/>
              <w:left w:val="single" w:color="auto" w:sz="4" w:space="0"/>
              <w:bottom w:val="single" w:color="auto" w:sz="4" w:space="0"/>
              <w:right w:val="single" w:color="auto" w:sz="4" w:space="0"/>
            </w:tcBorders>
            <w:vAlign w:val="center"/>
          </w:tcPr>
          <w:p w14:paraId="3F692C1C">
            <w:pPr>
              <w:widowControl/>
              <w:spacing w:line="240" w:lineRule="auto"/>
              <w:ind w:firstLine="0" w:firstLineChars="0"/>
              <w:jc w:val="center"/>
              <w:rPr>
                <w:color w:val="auto"/>
                <w:kern w:val="0"/>
                <w:szCs w:val="21"/>
                <w:highlight w:val="none"/>
              </w:rPr>
            </w:pPr>
            <w:r>
              <w:rPr>
                <w:color w:val="auto"/>
                <w:kern w:val="0"/>
                <w:szCs w:val="21"/>
                <w:highlight w:val="none"/>
              </w:rPr>
              <w:t>合计总价款（人民币）</w:t>
            </w:r>
          </w:p>
        </w:tc>
        <w:tc>
          <w:tcPr>
            <w:tcW w:w="5583" w:type="dxa"/>
            <w:gridSpan w:val="4"/>
            <w:tcBorders>
              <w:top w:val="nil"/>
              <w:left w:val="nil"/>
              <w:bottom w:val="single" w:color="auto" w:sz="4" w:space="0"/>
              <w:right w:val="single" w:color="000000" w:sz="4" w:space="0"/>
            </w:tcBorders>
            <w:vAlign w:val="center"/>
          </w:tcPr>
          <w:p w14:paraId="7C83860E">
            <w:pPr>
              <w:widowControl/>
              <w:spacing w:line="240" w:lineRule="auto"/>
              <w:ind w:firstLine="0" w:firstLineChars="0"/>
              <w:rPr>
                <w:color w:val="auto"/>
                <w:kern w:val="0"/>
                <w:szCs w:val="21"/>
                <w:highlight w:val="none"/>
              </w:rPr>
            </w:pPr>
            <w:r>
              <w:rPr>
                <w:color w:val="auto"/>
                <w:kern w:val="0"/>
                <w:szCs w:val="21"/>
                <w:highlight w:val="none"/>
              </w:rPr>
              <w:t>人民币</w:t>
            </w:r>
            <w:r>
              <w:rPr>
                <w:color w:val="auto"/>
                <w:kern w:val="0"/>
                <w:szCs w:val="21"/>
                <w:highlight w:val="none"/>
                <w:u w:val="single"/>
              </w:rPr>
              <w:t xml:space="preserve">                 </w:t>
            </w:r>
            <w:r>
              <w:rPr>
                <w:color w:val="auto"/>
                <w:kern w:val="0"/>
                <w:szCs w:val="21"/>
                <w:highlight w:val="none"/>
              </w:rPr>
              <w:t xml:space="preserve">元整。       ￥: </w:t>
            </w:r>
            <w:r>
              <w:rPr>
                <w:color w:val="auto"/>
                <w:kern w:val="0"/>
                <w:szCs w:val="21"/>
                <w:highlight w:val="none"/>
                <w:u w:val="single"/>
              </w:rPr>
              <w:t xml:space="preserve">             </w:t>
            </w:r>
          </w:p>
        </w:tc>
      </w:tr>
      <w:tr w14:paraId="205D60FE">
        <w:tblPrEx>
          <w:tblCellMar>
            <w:top w:w="0" w:type="dxa"/>
            <w:left w:w="108" w:type="dxa"/>
            <w:bottom w:w="0" w:type="dxa"/>
            <w:right w:w="108" w:type="dxa"/>
          </w:tblCellMar>
        </w:tblPrEx>
        <w:trPr>
          <w:trHeight w:val="401" w:hRule="atLeast"/>
        </w:trPr>
        <w:tc>
          <w:tcPr>
            <w:tcW w:w="2724" w:type="dxa"/>
            <w:tcBorders>
              <w:top w:val="nil"/>
              <w:left w:val="single" w:color="auto" w:sz="4" w:space="0"/>
              <w:bottom w:val="nil"/>
              <w:right w:val="nil"/>
            </w:tcBorders>
            <w:vAlign w:val="bottom"/>
          </w:tcPr>
          <w:p w14:paraId="705A8E94">
            <w:pPr>
              <w:widowControl/>
              <w:spacing w:line="240" w:lineRule="auto"/>
              <w:ind w:firstLine="0" w:firstLineChars="0"/>
              <w:rPr>
                <w:color w:val="auto"/>
                <w:kern w:val="0"/>
                <w:szCs w:val="21"/>
                <w:highlight w:val="none"/>
              </w:rPr>
            </w:pPr>
            <w:r>
              <w:rPr>
                <w:color w:val="auto"/>
                <w:kern w:val="0"/>
                <w:szCs w:val="21"/>
                <w:highlight w:val="none"/>
              </w:rPr>
              <w:t xml:space="preserve">供货单位（盖章）：                     </w:t>
            </w:r>
          </w:p>
        </w:tc>
        <w:tc>
          <w:tcPr>
            <w:tcW w:w="2854" w:type="dxa"/>
            <w:tcBorders>
              <w:top w:val="nil"/>
              <w:left w:val="nil"/>
              <w:bottom w:val="nil"/>
              <w:right w:val="nil"/>
            </w:tcBorders>
            <w:vAlign w:val="center"/>
          </w:tcPr>
          <w:p w14:paraId="54917E65">
            <w:pPr>
              <w:widowControl/>
              <w:spacing w:line="240" w:lineRule="auto"/>
              <w:ind w:firstLine="0" w:firstLineChars="0"/>
              <w:jc w:val="right"/>
              <w:rPr>
                <w:color w:val="auto"/>
                <w:kern w:val="0"/>
                <w:szCs w:val="21"/>
                <w:highlight w:val="none"/>
              </w:rPr>
            </w:pPr>
            <w:r>
              <w:rPr>
                <w:color w:val="auto"/>
                <w:kern w:val="0"/>
                <w:szCs w:val="21"/>
                <w:highlight w:val="none"/>
              </w:rPr>
              <w:t>采购人（盖章）:</w:t>
            </w:r>
          </w:p>
        </w:tc>
        <w:tc>
          <w:tcPr>
            <w:tcW w:w="1698" w:type="dxa"/>
            <w:gridSpan w:val="2"/>
            <w:tcBorders>
              <w:top w:val="nil"/>
              <w:left w:val="nil"/>
              <w:bottom w:val="nil"/>
              <w:right w:val="nil"/>
            </w:tcBorders>
            <w:vAlign w:val="bottom"/>
          </w:tcPr>
          <w:p w14:paraId="62D7DF0E">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26D0AE7D">
            <w:pPr>
              <w:widowControl/>
              <w:spacing w:line="240" w:lineRule="auto"/>
              <w:ind w:firstLine="0" w:firstLineChars="0"/>
              <w:rPr>
                <w:color w:val="auto"/>
                <w:kern w:val="0"/>
                <w:szCs w:val="21"/>
                <w:highlight w:val="none"/>
              </w:rPr>
            </w:pPr>
            <w:r>
              <w:rPr>
                <w:color w:val="auto"/>
                <w:kern w:val="0"/>
                <w:szCs w:val="21"/>
                <w:highlight w:val="none"/>
              </w:rPr>
              <w:t>　</w:t>
            </w:r>
          </w:p>
        </w:tc>
      </w:tr>
      <w:tr w14:paraId="10E25D1B">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0AF0471F">
            <w:pPr>
              <w:widowControl/>
              <w:spacing w:line="240" w:lineRule="auto"/>
              <w:ind w:firstLine="0" w:firstLineChars="0"/>
              <w:rPr>
                <w:color w:val="auto"/>
                <w:kern w:val="0"/>
                <w:szCs w:val="21"/>
                <w:highlight w:val="none"/>
              </w:rPr>
            </w:pPr>
            <w:r>
              <w:rPr>
                <w:color w:val="auto"/>
                <w:kern w:val="0"/>
                <w:szCs w:val="21"/>
                <w:highlight w:val="none"/>
              </w:rPr>
              <w:t>经办项目负责人：</w:t>
            </w:r>
          </w:p>
        </w:tc>
        <w:tc>
          <w:tcPr>
            <w:tcW w:w="2854" w:type="dxa"/>
            <w:tcBorders>
              <w:top w:val="nil"/>
              <w:left w:val="nil"/>
              <w:bottom w:val="nil"/>
              <w:right w:val="nil"/>
            </w:tcBorders>
            <w:vAlign w:val="center"/>
          </w:tcPr>
          <w:p w14:paraId="56BF5280">
            <w:pPr>
              <w:widowControl/>
              <w:spacing w:line="240" w:lineRule="auto"/>
              <w:ind w:firstLine="0" w:firstLineChars="0"/>
              <w:jc w:val="right"/>
              <w:rPr>
                <w:color w:val="auto"/>
                <w:kern w:val="0"/>
                <w:szCs w:val="21"/>
                <w:highlight w:val="none"/>
              </w:rPr>
            </w:pPr>
            <w:r>
              <w:rPr>
                <w:color w:val="auto"/>
                <w:kern w:val="0"/>
                <w:szCs w:val="21"/>
                <w:highlight w:val="none"/>
              </w:rPr>
              <w:t>项目验收组组长：</w:t>
            </w:r>
          </w:p>
        </w:tc>
        <w:tc>
          <w:tcPr>
            <w:tcW w:w="1698" w:type="dxa"/>
            <w:gridSpan w:val="2"/>
            <w:tcBorders>
              <w:top w:val="nil"/>
              <w:left w:val="nil"/>
              <w:bottom w:val="nil"/>
              <w:right w:val="nil"/>
            </w:tcBorders>
            <w:vAlign w:val="bottom"/>
          </w:tcPr>
          <w:p w14:paraId="66E3A648">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3E8CBED6">
            <w:pPr>
              <w:widowControl/>
              <w:spacing w:line="240" w:lineRule="auto"/>
              <w:ind w:firstLine="0" w:firstLineChars="0"/>
              <w:rPr>
                <w:color w:val="auto"/>
                <w:kern w:val="0"/>
                <w:szCs w:val="21"/>
                <w:highlight w:val="none"/>
              </w:rPr>
            </w:pPr>
            <w:r>
              <w:rPr>
                <w:color w:val="auto"/>
                <w:kern w:val="0"/>
                <w:szCs w:val="21"/>
                <w:highlight w:val="none"/>
              </w:rPr>
              <w:t>　</w:t>
            </w:r>
          </w:p>
        </w:tc>
      </w:tr>
      <w:tr w14:paraId="0CDA75C2">
        <w:tblPrEx>
          <w:tblCellMar>
            <w:top w:w="0" w:type="dxa"/>
            <w:left w:w="108" w:type="dxa"/>
            <w:bottom w:w="0" w:type="dxa"/>
            <w:right w:w="108" w:type="dxa"/>
          </w:tblCellMar>
        </w:tblPrEx>
        <w:trPr>
          <w:trHeight w:val="305" w:hRule="atLeast"/>
        </w:trPr>
        <w:tc>
          <w:tcPr>
            <w:tcW w:w="2724" w:type="dxa"/>
            <w:tcBorders>
              <w:top w:val="nil"/>
              <w:left w:val="single" w:color="auto" w:sz="4" w:space="0"/>
              <w:bottom w:val="nil"/>
              <w:right w:val="nil"/>
            </w:tcBorders>
            <w:vAlign w:val="bottom"/>
          </w:tcPr>
          <w:p w14:paraId="45E4B0C3">
            <w:pPr>
              <w:widowControl/>
              <w:spacing w:line="240" w:lineRule="auto"/>
              <w:ind w:firstLine="0" w:firstLineChars="0"/>
              <w:rPr>
                <w:color w:val="auto"/>
                <w:kern w:val="0"/>
                <w:szCs w:val="21"/>
                <w:highlight w:val="none"/>
              </w:rPr>
            </w:pPr>
            <w:r>
              <w:rPr>
                <w:color w:val="auto"/>
                <w:kern w:val="0"/>
                <w:szCs w:val="21"/>
                <w:highlight w:val="none"/>
              </w:rPr>
              <w:t>联系电话：</w:t>
            </w:r>
          </w:p>
        </w:tc>
        <w:tc>
          <w:tcPr>
            <w:tcW w:w="2854" w:type="dxa"/>
            <w:tcBorders>
              <w:top w:val="nil"/>
              <w:left w:val="nil"/>
              <w:bottom w:val="nil"/>
              <w:right w:val="nil"/>
            </w:tcBorders>
            <w:vAlign w:val="center"/>
          </w:tcPr>
          <w:p w14:paraId="3F31CC24">
            <w:pPr>
              <w:widowControl/>
              <w:spacing w:line="240" w:lineRule="auto"/>
              <w:ind w:firstLine="0" w:firstLineChars="0"/>
              <w:jc w:val="right"/>
              <w:rPr>
                <w:color w:val="auto"/>
                <w:kern w:val="0"/>
                <w:szCs w:val="21"/>
                <w:highlight w:val="none"/>
              </w:rPr>
            </w:pPr>
            <w:r>
              <w:rPr>
                <w:color w:val="auto"/>
                <w:kern w:val="0"/>
                <w:szCs w:val="21"/>
                <w:highlight w:val="none"/>
              </w:rPr>
              <w:t>联系电话：</w:t>
            </w:r>
          </w:p>
        </w:tc>
        <w:tc>
          <w:tcPr>
            <w:tcW w:w="754" w:type="dxa"/>
            <w:tcBorders>
              <w:top w:val="nil"/>
              <w:left w:val="nil"/>
              <w:bottom w:val="nil"/>
              <w:right w:val="nil"/>
            </w:tcBorders>
            <w:vAlign w:val="bottom"/>
          </w:tcPr>
          <w:p w14:paraId="2A11541B">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743EAF8D">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095AE134">
            <w:pPr>
              <w:widowControl/>
              <w:spacing w:line="240" w:lineRule="auto"/>
              <w:ind w:firstLine="0" w:firstLineChars="0"/>
              <w:rPr>
                <w:color w:val="auto"/>
                <w:kern w:val="0"/>
                <w:szCs w:val="21"/>
                <w:highlight w:val="none"/>
              </w:rPr>
            </w:pPr>
            <w:r>
              <w:rPr>
                <w:color w:val="auto"/>
                <w:kern w:val="0"/>
                <w:szCs w:val="21"/>
                <w:highlight w:val="none"/>
              </w:rPr>
              <w:t>　</w:t>
            </w:r>
          </w:p>
        </w:tc>
      </w:tr>
      <w:tr w14:paraId="52585F7D">
        <w:tblPrEx>
          <w:tblCellMar>
            <w:top w:w="0" w:type="dxa"/>
            <w:left w:w="108" w:type="dxa"/>
            <w:bottom w:w="0" w:type="dxa"/>
            <w:right w:w="108" w:type="dxa"/>
          </w:tblCellMar>
        </w:tblPrEx>
        <w:trPr>
          <w:trHeight w:val="314" w:hRule="atLeast"/>
        </w:trPr>
        <w:tc>
          <w:tcPr>
            <w:tcW w:w="2724" w:type="dxa"/>
            <w:tcBorders>
              <w:top w:val="nil"/>
              <w:left w:val="single" w:color="auto" w:sz="4" w:space="0"/>
              <w:bottom w:val="nil"/>
              <w:right w:val="nil"/>
            </w:tcBorders>
            <w:vAlign w:val="bottom"/>
          </w:tcPr>
          <w:p w14:paraId="379BC509">
            <w:pPr>
              <w:widowControl/>
              <w:spacing w:line="240" w:lineRule="auto"/>
              <w:ind w:firstLine="0" w:firstLineChars="0"/>
              <w:rPr>
                <w:color w:val="auto"/>
                <w:kern w:val="0"/>
                <w:szCs w:val="21"/>
                <w:highlight w:val="none"/>
              </w:rPr>
            </w:pPr>
            <w:r>
              <w:rPr>
                <w:color w:val="auto"/>
                <w:kern w:val="0"/>
                <w:szCs w:val="21"/>
                <w:highlight w:val="none"/>
              </w:rPr>
              <w:t>开户银行：</w:t>
            </w:r>
          </w:p>
        </w:tc>
        <w:tc>
          <w:tcPr>
            <w:tcW w:w="2854" w:type="dxa"/>
            <w:tcBorders>
              <w:top w:val="nil"/>
              <w:left w:val="nil"/>
              <w:bottom w:val="nil"/>
              <w:right w:val="nil"/>
            </w:tcBorders>
            <w:vAlign w:val="center"/>
          </w:tcPr>
          <w:p w14:paraId="737AE4CD">
            <w:pPr>
              <w:widowControl/>
              <w:spacing w:line="240" w:lineRule="auto"/>
              <w:ind w:firstLine="0" w:firstLineChars="0"/>
              <w:jc w:val="right"/>
              <w:rPr>
                <w:color w:val="auto"/>
                <w:kern w:val="0"/>
                <w:szCs w:val="21"/>
                <w:highlight w:val="none"/>
              </w:rPr>
            </w:pPr>
            <w:r>
              <w:rPr>
                <w:color w:val="auto"/>
                <w:kern w:val="0"/>
                <w:szCs w:val="21"/>
                <w:highlight w:val="none"/>
              </w:rPr>
              <w:t>项目验收组成员（签名）：</w:t>
            </w:r>
          </w:p>
        </w:tc>
        <w:tc>
          <w:tcPr>
            <w:tcW w:w="754" w:type="dxa"/>
            <w:tcBorders>
              <w:top w:val="nil"/>
              <w:left w:val="nil"/>
              <w:bottom w:val="nil"/>
              <w:right w:val="nil"/>
            </w:tcBorders>
            <w:vAlign w:val="bottom"/>
          </w:tcPr>
          <w:p w14:paraId="64CCB6E1">
            <w:pPr>
              <w:widowControl/>
              <w:spacing w:line="240" w:lineRule="auto"/>
              <w:ind w:firstLine="0" w:firstLineChars="0"/>
              <w:rPr>
                <w:color w:val="auto"/>
                <w:kern w:val="0"/>
                <w:szCs w:val="21"/>
                <w:highlight w:val="none"/>
              </w:rPr>
            </w:pPr>
          </w:p>
        </w:tc>
        <w:tc>
          <w:tcPr>
            <w:tcW w:w="944" w:type="dxa"/>
            <w:tcBorders>
              <w:top w:val="nil"/>
              <w:left w:val="nil"/>
              <w:bottom w:val="nil"/>
              <w:right w:val="nil"/>
            </w:tcBorders>
            <w:vAlign w:val="bottom"/>
          </w:tcPr>
          <w:p w14:paraId="6E3DF8F1">
            <w:pPr>
              <w:widowControl/>
              <w:spacing w:line="240" w:lineRule="auto"/>
              <w:ind w:firstLine="0" w:firstLineChars="0"/>
              <w:rPr>
                <w:color w:val="auto"/>
                <w:kern w:val="0"/>
                <w:szCs w:val="21"/>
                <w:highlight w:val="none"/>
              </w:rPr>
            </w:pPr>
          </w:p>
        </w:tc>
        <w:tc>
          <w:tcPr>
            <w:tcW w:w="1031" w:type="dxa"/>
            <w:tcBorders>
              <w:top w:val="nil"/>
              <w:left w:val="nil"/>
              <w:bottom w:val="nil"/>
              <w:right w:val="single" w:color="auto" w:sz="4" w:space="0"/>
            </w:tcBorders>
            <w:vAlign w:val="bottom"/>
          </w:tcPr>
          <w:p w14:paraId="6C36188A">
            <w:pPr>
              <w:widowControl/>
              <w:spacing w:line="240" w:lineRule="auto"/>
              <w:ind w:firstLine="0" w:firstLineChars="0"/>
              <w:rPr>
                <w:color w:val="auto"/>
                <w:kern w:val="0"/>
                <w:szCs w:val="21"/>
                <w:highlight w:val="none"/>
              </w:rPr>
            </w:pPr>
            <w:r>
              <w:rPr>
                <w:color w:val="auto"/>
                <w:kern w:val="0"/>
                <w:szCs w:val="21"/>
                <w:highlight w:val="none"/>
              </w:rPr>
              <w:t>　</w:t>
            </w:r>
          </w:p>
        </w:tc>
      </w:tr>
      <w:tr w14:paraId="07AD9D5C">
        <w:tblPrEx>
          <w:tblCellMar>
            <w:top w:w="0" w:type="dxa"/>
            <w:left w:w="108" w:type="dxa"/>
            <w:bottom w:w="0" w:type="dxa"/>
            <w:right w:w="108" w:type="dxa"/>
          </w:tblCellMar>
        </w:tblPrEx>
        <w:trPr>
          <w:trHeight w:val="394" w:hRule="atLeast"/>
        </w:trPr>
        <w:tc>
          <w:tcPr>
            <w:tcW w:w="2724" w:type="dxa"/>
            <w:tcBorders>
              <w:top w:val="nil"/>
              <w:left w:val="single" w:color="auto" w:sz="4" w:space="0"/>
              <w:bottom w:val="single" w:color="auto" w:sz="4" w:space="0"/>
              <w:right w:val="nil"/>
            </w:tcBorders>
            <w:vAlign w:val="center"/>
          </w:tcPr>
          <w:p w14:paraId="520B8D4D">
            <w:pPr>
              <w:widowControl/>
              <w:spacing w:line="240" w:lineRule="auto"/>
              <w:ind w:firstLine="0" w:firstLineChars="0"/>
              <w:rPr>
                <w:color w:val="auto"/>
                <w:kern w:val="0"/>
                <w:szCs w:val="21"/>
                <w:highlight w:val="none"/>
              </w:rPr>
            </w:pPr>
            <w:r>
              <w:rPr>
                <w:color w:val="auto"/>
                <w:kern w:val="0"/>
                <w:szCs w:val="21"/>
                <w:highlight w:val="none"/>
              </w:rPr>
              <w:t>银行帐号：</w:t>
            </w:r>
          </w:p>
        </w:tc>
        <w:tc>
          <w:tcPr>
            <w:tcW w:w="2854" w:type="dxa"/>
            <w:tcBorders>
              <w:top w:val="nil"/>
              <w:left w:val="nil"/>
              <w:bottom w:val="single" w:color="auto" w:sz="4" w:space="0"/>
              <w:right w:val="nil"/>
            </w:tcBorders>
            <w:vAlign w:val="bottom"/>
          </w:tcPr>
          <w:p w14:paraId="241B2308">
            <w:pPr>
              <w:widowControl/>
              <w:spacing w:line="240" w:lineRule="auto"/>
              <w:ind w:firstLine="0" w:firstLineChars="0"/>
              <w:rPr>
                <w:color w:val="auto"/>
                <w:kern w:val="0"/>
                <w:szCs w:val="21"/>
                <w:highlight w:val="none"/>
              </w:rPr>
            </w:pPr>
            <w:r>
              <w:rPr>
                <w:color w:val="auto"/>
                <w:kern w:val="0"/>
                <w:szCs w:val="21"/>
                <w:highlight w:val="none"/>
              </w:rPr>
              <w:t>　</w:t>
            </w:r>
          </w:p>
        </w:tc>
        <w:tc>
          <w:tcPr>
            <w:tcW w:w="2729" w:type="dxa"/>
            <w:gridSpan w:val="3"/>
            <w:tcBorders>
              <w:top w:val="nil"/>
              <w:left w:val="nil"/>
              <w:bottom w:val="single" w:color="auto" w:sz="4" w:space="0"/>
              <w:right w:val="single" w:color="000000" w:sz="4" w:space="0"/>
            </w:tcBorders>
            <w:vAlign w:val="center"/>
          </w:tcPr>
          <w:p w14:paraId="172D865C">
            <w:pPr>
              <w:widowControl/>
              <w:spacing w:line="240" w:lineRule="auto"/>
              <w:ind w:firstLine="0" w:firstLineChars="0"/>
              <w:rPr>
                <w:color w:val="auto"/>
                <w:kern w:val="0"/>
                <w:szCs w:val="21"/>
                <w:highlight w:val="none"/>
              </w:rPr>
            </w:pPr>
            <w:r>
              <w:rPr>
                <w:color w:val="auto"/>
                <w:kern w:val="0"/>
                <w:szCs w:val="21"/>
                <w:highlight w:val="none"/>
              </w:rPr>
              <w:t>验收时间：       年     月     日</w:t>
            </w:r>
          </w:p>
        </w:tc>
      </w:tr>
      <w:tr w14:paraId="0C03C1DE">
        <w:tblPrEx>
          <w:tblCellMar>
            <w:top w:w="0" w:type="dxa"/>
            <w:left w:w="108" w:type="dxa"/>
            <w:bottom w:w="0" w:type="dxa"/>
            <w:right w:w="108" w:type="dxa"/>
          </w:tblCellMar>
        </w:tblPrEx>
        <w:trPr>
          <w:trHeight w:val="200" w:hRule="atLeast"/>
        </w:trPr>
        <w:tc>
          <w:tcPr>
            <w:tcW w:w="8307" w:type="dxa"/>
            <w:gridSpan w:val="5"/>
            <w:tcBorders>
              <w:top w:val="single" w:color="auto" w:sz="4" w:space="0"/>
              <w:left w:val="nil"/>
              <w:bottom w:val="nil"/>
              <w:right w:val="nil"/>
            </w:tcBorders>
            <w:vAlign w:val="center"/>
          </w:tcPr>
          <w:p w14:paraId="76B2E6A5">
            <w:pPr>
              <w:widowControl/>
              <w:spacing w:line="240" w:lineRule="auto"/>
              <w:ind w:firstLine="0" w:firstLineChars="0"/>
              <w:rPr>
                <w:color w:val="auto"/>
                <w:kern w:val="0"/>
                <w:szCs w:val="21"/>
                <w:highlight w:val="none"/>
              </w:rPr>
            </w:pPr>
            <w:r>
              <w:rPr>
                <w:color w:val="auto"/>
                <w:kern w:val="0"/>
                <w:szCs w:val="21"/>
                <w:highlight w:val="none"/>
              </w:rPr>
              <w:t>本单一式四联：第一联采购人留存，第二联作为财政支付凭证，第三联供货单位留存。</w:t>
            </w:r>
          </w:p>
        </w:tc>
      </w:tr>
    </w:tbl>
    <w:p w14:paraId="60308BC7">
      <w:pPr>
        <w:pStyle w:val="29"/>
        <w:ind w:firstLine="420"/>
        <w:rPr>
          <w:color w:val="auto"/>
          <w:highlight w:val="none"/>
        </w:rPr>
      </w:pPr>
      <w:r>
        <w:rPr>
          <w:rFonts w:hint="eastAsia" w:hAnsi="宋体"/>
          <w:color w:val="auto"/>
          <w:highlight w:val="none"/>
        </w:rPr>
        <w:t xml:space="preserve"> </w:t>
      </w:r>
      <w:bookmarkEnd w:id="162"/>
      <w:r>
        <w:rPr>
          <w:color w:val="auto"/>
          <w:highlight w:val="none"/>
        </w:rPr>
        <w:br w:type="page"/>
      </w:r>
    </w:p>
    <w:p w14:paraId="2F7A3CEC">
      <w:pPr>
        <w:pStyle w:val="2"/>
        <w:numPr>
          <w:ilvl w:val="0"/>
          <w:numId w:val="24"/>
        </w:numPr>
        <w:rPr>
          <w:rStyle w:val="65"/>
          <w:b/>
          <w:bCs/>
          <w:color w:val="auto"/>
          <w:highlight w:val="none"/>
        </w:rPr>
        <w:sectPr>
          <w:headerReference r:id="rId25" w:type="first"/>
          <w:footerReference r:id="rId26" w:type="default"/>
          <w:headerReference r:id="rId24" w:type="even"/>
          <w:pgSz w:w="11906" w:h="16838"/>
          <w:pgMar w:top="1474" w:right="1797" w:bottom="1247" w:left="1797" w:header="851" w:footer="851" w:gutter="0"/>
          <w:pgBorders>
            <w:top w:val="none" w:sz="0" w:space="0"/>
            <w:left w:val="none" w:sz="0" w:space="0"/>
            <w:bottom w:val="none" w:sz="0" w:space="0"/>
            <w:right w:val="none" w:sz="0" w:space="0"/>
          </w:pgBorders>
          <w:pgNumType w:fmt="decimal"/>
          <w:cols w:space="720" w:num="1"/>
          <w:docGrid w:linePitch="312" w:charSpace="0"/>
        </w:sectPr>
      </w:pPr>
    </w:p>
    <w:p w14:paraId="7419C921">
      <w:pPr>
        <w:pStyle w:val="2"/>
        <w:numPr>
          <w:ilvl w:val="0"/>
          <w:numId w:val="3"/>
        </w:numPr>
        <w:rPr>
          <w:rStyle w:val="65"/>
          <w:b/>
          <w:bCs/>
          <w:color w:val="auto"/>
          <w:highlight w:val="none"/>
        </w:rPr>
      </w:pPr>
      <w:bookmarkStart w:id="178" w:name="_Toc2506"/>
      <w:r>
        <w:rPr>
          <w:rStyle w:val="65"/>
          <w:rFonts w:hint="eastAsia"/>
          <w:b/>
          <w:bCs/>
          <w:color w:val="auto"/>
          <w:highlight w:val="none"/>
        </w:rPr>
        <w:t>投标文件相关格式</w:t>
      </w:r>
      <w:bookmarkEnd w:id="157"/>
      <w:bookmarkEnd w:id="158"/>
      <w:bookmarkEnd w:id="178"/>
      <w:bookmarkStart w:id="179" w:name="_Toc430786287"/>
    </w:p>
    <w:bookmarkEnd w:id="179"/>
    <w:p w14:paraId="4C49408F">
      <w:pPr>
        <w:pStyle w:val="3"/>
        <w:ind w:firstLine="420"/>
        <w:jc w:val="center"/>
        <w:rPr>
          <w:rFonts w:hint="eastAsia" w:ascii="微软雅黑" w:hAnsi="微软雅黑" w:cs="仿宋_GB2312"/>
          <w:color w:val="auto"/>
          <w:szCs w:val="21"/>
          <w:highlight w:val="none"/>
        </w:rPr>
      </w:pPr>
      <w:bookmarkStart w:id="180" w:name="_Toc28874"/>
      <w:bookmarkStart w:id="181" w:name="_Toc169015146"/>
      <w:r>
        <w:rPr>
          <w:rFonts w:hint="eastAsia" w:ascii="微软雅黑" w:hAnsi="微软雅黑" w:cs="仿宋_GB2312"/>
          <w:color w:val="auto"/>
          <w:szCs w:val="21"/>
          <w:highlight w:val="none"/>
        </w:rPr>
        <w:t>资格文件部分</w:t>
      </w:r>
      <w:bookmarkEnd w:id="180"/>
      <w:bookmarkEnd w:id="181"/>
    </w:p>
    <w:p w14:paraId="0C69CCAA">
      <w:pPr>
        <w:ind w:firstLine="420"/>
        <w:jc w:val="center"/>
        <w:outlineLvl w:val="0"/>
        <w:rPr>
          <w:rFonts w:hint="eastAsia" w:ascii="微软雅黑" w:hAnsi="微软雅黑" w:cs="仿宋_GB2312"/>
          <w:b/>
          <w:color w:val="auto"/>
          <w:kern w:val="0"/>
          <w:szCs w:val="21"/>
          <w:highlight w:val="none"/>
        </w:rPr>
      </w:pPr>
      <w:bookmarkStart w:id="182" w:name="_Toc169015147"/>
      <w:bookmarkStart w:id="183" w:name="_Toc24210"/>
      <w:bookmarkStart w:id="184" w:name="_Toc164943223"/>
      <w:bookmarkStart w:id="185" w:name="_Toc2384"/>
      <w:r>
        <w:rPr>
          <w:rFonts w:hint="eastAsia" w:ascii="微软雅黑" w:hAnsi="微软雅黑" w:cs="仿宋_GB2312"/>
          <w:b/>
          <w:color w:val="auto"/>
          <w:kern w:val="0"/>
          <w:szCs w:val="21"/>
          <w:highlight w:val="none"/>
        </w:rPr>
        <w:t>目录</w:t>
      </w:r>
      <w:bookmarkEnd w:id="182"/>
      <w:bookmarkEnd w:id="183"/>
      <w:bookmarkEnd w:id="184"/>
      <w:bookmarkEnd w:id="185"/>
    </w:p>
    <w:p w14:paraId="52FC2F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（1）符合参加政府采购活动应当具备的一般条件的承诺函……………（页码）</w:t>
      </w:r>
    </w:p>
    <w:p w14:paraId="32B06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（2）落实政府采购政策需满足的资格要求………………………………（页码）</w:t>
      </w:r>
    </w:p>
    <w:p w14:paraId="2742B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hint="eastAsia" w:ascii="微软雅黑" w:hAnsi="微软雅黑" w:cs="宋体"/>
          <w:color w:val="auto"/>
          <w:kern w:val="0"/>
          <w:szCs w:val="21"/>
          <w:highlight w:val="none"/>
        </w:rPr>
      </w:pP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kern w:val="0"/>
          <w:szCs w:val="21"/>
          <w:highlight w:val="none"/>
          <w:lang w:val="en-US" w:eastAsia="zh-CN"/>
        </w:rPr>
        <w:t>3</w:t>
      </w:r>
      <w:r>
        <w:rPr>
          <w:rFonts w:hint="eastAsia" w:ascii="微软雅黑" w:hAnsi="微软雅黑" w:eastAsia="微软雅黑" w:cs="微软雅黑"/>
          <w:color w:val="auto"/>
          <w:kern w:val="0"/>
          <w:szCs w:val="21"/>
          <w:highlight w:val="none"/>
        </w:rPr>
        <w:t>）</w:t>
      </w:r>
      <w:r>
        <w:rPr>
          <w:rFonts w:hint="eastAsia" w:ascii="微软雅黑" w:hAnsi="微软雅黑" w:cs="宋体"/>
          <w:color w:val="auto"/>
          <w:kern w:val="0"/>
          <w:szCs w:val="21"/>
          <w:highlight w:val="none"/>
        </w:rPr>
        <w:t>企业法人营业执照副本复印件………………………………（页码）</w:t>
      </w:r>
    </w:p>
    <w:p w14:paraId="25D9CFC7">
      <w:pPr>
        <w:pStyle w:val="21"/>
        <w:ind w:firstLine="404"/>
        <w:rPr>
          <w:rFonts w:hint="eastAsia" w:ascii="微软雅黑" w:hAnsi="微软雅黑" w:cs="仿宋_GB2312"/>
          <w:color w:val="auto"/>
          <w:sz w:val="21"/>
          <w:szCs w:val="21"/>
          <w:highlight w:val="none"/>
        </w:rPr>
      </w:pPr>
    </w:p>
    <w:p w14:paraId="31CB7E18">
      <w:pPr>
        <w:snapToGrid w:val="0"/>
        <w:ind w:right="480" w:firstLine="420"/>
        <w:jc w:val="both"/>
        <w:outlineLvl w:val="1"/>
        <w:rPr>
          <w:rFonts w:hint="eastAsia" w:ascii="微软雅黑" w:hAnsi="微软雅黑" w:cs="仿宋_GB2312"/>
          <w:b/>
          <w:color w:val="auto"/>
          <w:kern w:val="0"/>
          <w:szCs w:val="21"/>
          <w:highlight w:val="none"/>
        </w:rPr>
      </w:pPr>
      <w:bookmarkStart w:id="186" w:name="_Toc9621"/>
      <w:r>
        <w:rPr>
          <w:rFonts w:ascii="微软雅黑" w:hAnsi="微软雅黑" w:cs="仿宋_GB2312"/>
          <w:b/>
          <w:color w:val="auto"/>
          <w:kern w:val="0"/>
          <w:szCs w:val="21"/>
          <w:highlight w:val="none"/>
        </w:rPr>
        <w:t>一、 符合参加政府采购活动应当具备的一般条件的承诺函</w:t>
      </w:r>
      <w:bookmarkEnd w:id="186"/>
    </w:p>
    <w:p w14:paraId="4E5EF2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u w:val="single"/>
        </w:rPr>
        <w:t>（采购人）、（采购代理机构）</w:t>
      </w:r>
      <w:r>
        <w:rPr>
          <w:rFonts w:hint="eastAsia" w:ascii="微软雅黑" w:hAnsi="微软雅黑" w:cs="宋体"/>
          <w:color w:val="auto"/>
          <w:kern w:val="0"/>
          <w:szCs w:val="21"/>
          <w:highlight w:val="none"/>
        </w:rPr>
        <w:t>：</w:t>
      </w:r>
    </w:p>
    <w:p w14:paraId="4F8732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我方参与（项目名称）【项目编号】政府采购活动，郑重承诺：</w:t>
      </w:r>
    </w:p>
    <w:p w14:paraId="77ADBE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（一）具备《中华人民共和国政府采购法》第二十二条第一款规定的条件：</w:t>
      </w:r>
    </w:p>
    <w:p w14:paraId="43675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1、具有独立承担民事责任的能力；</w:t>
      </w:r>
    </w:p>
    <w:p w14:paraId="5D3D70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 xml:space="preserve">2、具有良好的商业信誉和健全的财务会计制度； </w:t>
      </w:r>
    </w:p>
    <w:p w14:paraId="29E964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3、具有履行合同所必需的设备和专业技术能力；</w:t>
      </w:r>
    </w:p>
    <w:p w14:paraId="6A091D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4、有依法缴纳税收和社会保障资金的良好记录；</w:t>
      </w:r>
    </w:p>
    <w:p w14:paraId="5058DB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5、参加政府采购活动前三年内，在经营活动中没有重大违法记录；</w:t>
      </w:r>
    </w:p>
    <w:p w14:paraId="52AB87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6、具有法律、行政法规规定的其他条件。</w:t>
      </w:r>
    </w:p>
    <w:p w14:paraId="6AEF3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（二）未被信用中国（www.creditchina.gov.cn)、中国政府采购网（www.ccgp.gov.cn）列入失信被执行人、重大税收违法案件当事人名单、政府采购严重违法失信行为记录名单。</w:t>
      </w:r>
    </w:p>
    <w:p w14:paraId="7016EF7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（三）不存在以下情况：</w:t>
      </w:r>
    </w:p>
    <w:p w14:paraId="40DB3B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1、单位负责人为同一人或者存在直接控股、管理关系的不同供应商参加同一合同项下的政府采购活动的；</w:t>
      </w:r>
    </w:p>
    <w:p w14:paraId="1A829D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hint="eastAsia" w:ascii="微软雅黑" w:hAnsi="微软雅黑" w:cs="宋体"/>
          <w:color w:val="auto"/>
          <w:kern w:val="0"/>
          <w:szCs w:val="21"/>
          <w:highlight w:val="none"/>
        </w:rPr>
      </w:pPr>
      <w:r>
        <w:rPr>
          <w:rFonts w:hint="eastAsia" w:ascii="微软雅黑" w:hAnsi="微软雅黑" w:cs="宋体"/>
          <w:color w:val="auto"/>
          <w:kern w:val="0"/>
          <w:szCs w:val="21"/>
          <w:highlight w:val="none"/>
        </w:rPr>
        <w:t>2、为采购项目提供整体设计、规范编制或者项目管理、监理、检测等服务后再参加该采购项目的其他采购活动的。</w:t>
      </w:r>
    </w:p>
    <w:p w14:paraId="534B67BE">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74051DC8">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4B447688">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4FABA44">
      <w:pPr>
        <w:pStyle w:val="120"/>
        <w:ind w:firstLine="420"/>
        <w:jc w:val="center"/>
        <w:rPr>
          <w:rFonts w:hint="eastAsia" w:ascii="微软雅黑" w:hAnsi="微软雅黑" w:eastAsia="微软雅黑"/>
          <w:color w:val="auto"/>
          <w:sz w:val="21"/>
          <w:szCs w:val="21"/>
          <w:highlight w:val="none"/>
        </w:rPr>
      </w:pPr>
    </w:p>
    <w:p w14:paraId="23BE985F">
      <w:pPr>
        <w:pStyle w:val="120"/>
        <w:ind w:firstLine="420"/>
        <w:jc w:val="center"/>
        <w:rPr>
          <w:rFonts w:hint="eastAsia" w:ascii="微软雅黑" w:hAnsi="微软雅黑" w:eastAsia="微软雅黑"/>
          <w:color w:val="auto"/>
          <w:sz w:val="21"/>
          <w:szCs w:val="21"/>
          <w:highlight w:val="none"/>
        </w:rPr>
      </w:pPr>
    </w:p>
    <w:p w14:paraId="0056D795">
      <w:pPr>
        <w:snapToGrid w:val="0"/>
        <w:spacing w:line="440" w:lineRule="exact"/>
        <w:ind w:right="480" w:firstLine="420"/>
        <w:jc w:val="center"/>
        <w:outlineLvl w:val="1"/>
        <w:rPr>
          <w:rFonts w:hint="eastAsia" w:ascii="微软雅黑" w:hAnsi="微软雅黑" w:cs="仿宋_GB2312"/>
          <w:b/>
          <w:color w:val="auto"/>
          <w:kern w:val="0"/>
          <w:szCs w:val="21"/>
          <w:highlight w:val="none"/>
        </w:rPr>
      </w:pPr>
      <w:bookmarkStart w:id="187" w:name="_Toc30054"/>
      <w:r>
        <w:rPr>
          <w:rFonts w:hint="eastAsia" w:ascii="微软雅黑" w:hAnsi="微软雅黑"/>
          <w:color w:val="auto"/>
          <w:szCs w:val="21"/>
          <w:highlight w:val="none"/>
        </w:rPr>
        <w:t>二、</w:t>
      </w:r>
      <w:r>
        <w:rPr>
          <w:rFonts w:hint="eastAsia" w:ascii="微软雅黑" w:hAnsi="微软雅黑" w:cs="仿宋_GB2312"/>
          <w:b/>
          <w:color w:val="auto"/>
          <w:kern w:val="0"/>
          <w:szCs w:val="21"/>
          <w:highlight w:val="none"/>
        </w:rPr>
        <w:t>落实政府采购政策需满足的资格要求</w:t>
      </w:r>
      <w:bookmarkEnd w:id="187"/>
    </w:p>
    <w:p w14:paraId="7B66E6E9">
      <w:pPr>
        <w:widowControl/>
        <w:ind w:firstLine="105" w:firstLineChars="50"/>
        <w:rPr>
          <w:b/>
          <w:color w:val="auto"/>
          <w:highlight w:val="none"/>
        </w:rPr>
      </w:pPr>
    </w:p>
    <w:p w14:paraId="0A3D655C">
      <w:pPr>
        <w:snapToGrid w:val="0"/>
        <w:spacing w:before="50" w:after="50"/>
        <w:ind w:firstLine="420"/>
        <w:jc w:val="center"/>
        <w:rPr>
          <w:rFonts w:ascii="微软雅黑" w:hAnsi="微软雅黑"/>
          <w:b/>
          <w:color w:val="auto"/>
          <w:szCs w:val="21"/>
          <w:highlight w:val="none"/>
        </w:rPr>
      </w:pPr>
      <w:r>
        <w:rPr>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r>
        <w:rPr>
          <w:rFonts w:ascii="宋体" w:hAnsi="宋体"/>
          <w:color w:val="auto"/>
          <w:kern w:val="0"/>
          <w:highlight w:val="none"/>
        </w:rPr>
        <w:t xml:space="preserve"> </w:t>
      </w:r>
      <w:bookmarkStart w:id="188" w:name="_Toc21910"/>
      <w:r>
        <w:rPr>
          <w:rFonts w:hint="eastAsia" w:ascii="微软雅黑" w:hAnsi="微软雅黑"/>
          <w:b/>
          <w:color w:val="auto"/>
          <w:szCs w:val="21"/>
          <w:highlight w:val="none"/>
        </w:rPr>
        <w:t>中小企业声明函（工程、服务）</w:t>
      </w:r>
    </w:p>
    <w:p w14:paraId="460DD368">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4E9A7E3">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017ED4E6">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20119AAF">
      <w:pPr>
        <w:pStyle w:val="132"/>
        <w:spacing w:after="120" w:line="360" w:lineRule="auto"/>
        <w:ind w:right="157" w:firstLine="875" w:firstLineChars="417"/>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77052438">
      <w:pPr>
        <w:pStyle w:val="132"/>
        <w:spacing w:after="120" w:line="360" w:lineRule="auto"/>
        <w:ind w:right="157" w:firstLine="420"/>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72DD7FF3">
      <w:pPr>
        <w:pStyle w:val="132"/>
        <w:spacing w:after="120" w:line="360" w:lineRule="auto"/>
        <w:ind w:right="157" w:firstLine="420"/>
        <w:rPr>
          <w:rFonts w:hint="default" w:ascii="微软雅黑" w:hAnsi="微软雅黑" w:eastAsia="微软雅黑"/>
          <w:color w:val="auto"/>
          <w:sz w:val="21"/>
          <w:szCs w:val="21"/>
          <w:highlight w:val="none"/>
        </w:rPr>
      </w:pPr>
      <w:r>
        <w:rPr>
          <w:rFonts w:ascii="微软雅黑" w:hAnsi="微软雅黑" w:eastAsia="微软雅黑"/>
          <w:color w:val="auto"/>
          <w:sz w:val="21"/>
          <w:szCs w:val="21"/>
          <w:highlight w:val="none"/>
        </w:rPr>
        <w:t>本企业对上述声明内容的真实性负责。如有虚假，将依法承担相应责任。</w:t>
      </w:r>
    </w:p>
    <w:p w14:paraId="0354A112">
      <w:pPr>
        <w:pStyle w:val="118"/>
        <w:rPr>
          <w:rFonts w:hint="default" w:ascii="微软雅黑" w:hAnsi="微软雅黑" w:eastAsia="微软雅黑"/>
          <w:color w:val="auto"/>
          <w:sz w:val="21"/>
          <w:szCs w:val="21"/>
          <w:highlight w:val="none"/>
        </w:rPr>
      </w:pPr>
    </w:p>
    <w:p w14:paraId="0658927F">
      <w:pPr>
        <w:pStyle w:val="118"/>
        <w:rPr>
          <w:rFonts w:hint="default" w:ascii="微软雅黑" w:hAnsi="微软雅黑" w:eastAsia="微软雅黑"/>
          <w:color w:val="auto"/>
          <w:sz w:val="21"/>
          <w:szCs w:val="21"/>
          <w:highlight w:val="none"/>
        </w:rPr>
      </w:pPr>
    </w:p>
    <w:p w14:paraId="747ABC44">
      <w:pPr>
        <w:pStyle w:val="132"/>
        <w:spacing w:after="120" w:line="360" w:lineRule="auto"/>
        <w:ind w:right="157" w:firstLine="500"/>
        <w:rPr>
          <w:rFonts w:hint="default" w:ascii="微软雅黑" w:hAnsi="微软雅黑" w:eastAsia="微软雅黑"/>
          <w:color w:val="auto"/>
          <w:spacing w:val="20"/>
          <w:sz w:val="21"/>
          <w:szCs w:val="21"/>
          <w:highlight w:val="none"/>
          <w:u w:val="single"/>
        </w:rPr>
      </w:pPr>
      <w:r>
        <w:rPr>
          <w:rFonts w:ascii="微软雅黑" w:hAnsi="微软雅黑" w:eastAsia="微软雅黑"/>
          <w:color w:val="auto"/>
          <w:spacing w:val="20"/>
          <w:sz w:val="21"/>
          <w:szCs w:val="21"/>
          <w:highlight w:val="none"/>
        </w:rPr>
        <w:t>供应商名称：</w:t>
      </w:r>
      <w:r>
        <w:rPr>
          <w:rFonts w:ascii="微软雅黑" w:hAnsi="微软雅黑" w:eastAsia="微软雅黑"/>
          <w:color w:val="auto"/>
          <w:spacing w:val="20"/>
          <w:sz w:val="21"/>
          <w:szCs w:val="21"/>
          <w:highlight w:val="none"/>
          <w:u w:val="single"/>
        </w:rPr>
        <w:t>（盖章）</w:t>
      </w:r>
      <w:r>
        <w:rPr>
          <w:rFonts w:ascii="微软雅黑" w:hAnsi="微软雅黑" w:eastAsia="微软雅黑"/>
          <w:color w:val="auto"/>
          <w:spacing w:val="20"/>
          <w:sz w:val="21"/>
          <w:szCs w:val="21"/>
          <w:highlight w:val="none"/>
        </w:rPr>
        <w:t>日期：</w:t>
      </w:r>
    </w:p>
    <w:p w14:paraId="59FF1AF0">
      <w:pPr>
        <w:pStyle w:val="118"/>
        <w:ind w:firstLine="420"/>
        <w:rPr>
          <w:rFonts w:hint="default" w:ascii="微软雅黑" w:hAnsi="微软雅黑" w:eastAsia="微软雅黑"/>
          <w:color w:val="auto"/>
          <w:sz w:val="21"/>
          <w:szCs w:val="21"/>
          <w:highlight w:val="none"/>
        </w:rPr>
      </w:pPr>
    </w:p>
    <w:p w14:paraId="700D1DD3">
      <w:pPr>
        <w:pStyle w:val="120"/>
        <w:ind w:firstLine="420"/>
        <w:jc w:val="center"/>
        <w:rPr>
          <w:rFonts w:hint="eastAsia" w:ascii="微软雅黑" w:hAnsi="微软雅黑" w:eastAsia="微软雅黑"/>
          <w:color w:val="auto"/>
          <w:sz w:val="21"/>
          <w:szCs w:val="21"/>
          <w:highlight w:val="none"/>
        </w:rPr>
      </w:pPr>
    </w:p>
    <w:p w14:paraId="2A563094">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 注：</w:t>
      </w:r>
    </w:p>
    <w:p w14:paraId="55A64EB1">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31BEAF99">
      <w:pPr>
        <w:snapToGrid w:val="0"/>
        <w:ind w:firstLine="420"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BA4AE85">
      <w:pPr>
        <w:snapToGrid w:val="0"/>
        <w:ind w:firstLine="420" w:firstLineChars="0"/>
        <w:rPr>
          <w:rFonts w:hint="eastAsia" w:ascii="微软雅黑" w:hAnsi="微软雅黑" w:cs="仿宋_GB2312"/>
          <w:color w:val="auto"/>
          <w:szCs w:val="21"/>
          <w:highlight w:val="none"/>
        </w:rPr>
        <w:sectPr>
          <w:footerReference r:id="rId28" w:type="first"/>
          <w:footerReference r:id="rId27"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微软雅黑" w:hAnsi="微软雅黑" w:cs="宋体"/>
          <w:b/>
          <w:bCs/>
          <w:color w:val="auto"/>
          <w:szCs w:val="21"/>
          <w:highlight w:val="none"/>
        </w:rPr>
        <w:t>3.根据实际情况，在（</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中型企业、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小型企业、</w:t>
      </w:r>
      <w:r>
        <w:rPr>
          <w:rFonts w:hint="eastAsia" w:ascii="微软雅黑" w:hAnsi="微软雅黑" w:cs="宋体"/>
          <w:b/>
          <w:bCs/>
          <w:color w:val="auto"/>
          <w:szCs w:val="21"/>
          <w:highlight w:val="none"/>
        </w:rPr>
        <w:sym w:font="Wingdings" w:char="00A8"/>
      </w:r>
      <w:r>
        <w:rPr>
          <w:rFonts w:hint="eastAsia" w:ascii="微软雅黑" w:hAnsi="微软雅黑" w:cs="宋体"/>
          <w:b/>
          <w:bCs/>
          <w:color w:val="auto"/>
          <w:szCs w:val="21"/>
          <w:highlight w:val="none"/>
        </w:rPr>
        <w:t>微型企业）处进行勾选。</w:t>
      </w:r>
    </w:p>
    <w:p w14:paraId="7EB62C01">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r>
        <w:rPr>
          <w:rFonts w:hint="eastAsia" w:ascii="微软雅黑" w:hAnsi="微软雅黑" w:eastAsia="微软雅黑" w:cs="仿宋_GB2312"/>
          <w:color w:val="auto"/>
          <w:kern w:val="2"/>
          <w:sz w:val="21"/>
          <w:szCs w:val="21"/>
          <w:highlight w:val="none"/>
        </w:rPr>
        <w:t>残疾人福利性单位声明函</w:t>
      </w:r>
      <w:bookmarkEnd w:id="188"/>
    </w:p>
    <w:p w14:paraId="69F953EC">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BC1A184">
      <w:pPr>
        <w:widowControl/>
        <w:ind w:firstLine="420"/>
        <w:textAlignment w:val="top"/>
        <w:rPr>
          <w:rFonts w:hint="eastAsia" w:ascii="微软雅黑" w:hAnsi="微软雅黑"/>
          <w:color w:val="auto"/>
          <w:kern w:val="0"/>
          <w:szCs w:val="21"/>
          <w:highlight w:val="none"/>
        </w:rPr>
      </w:pPr>
      <w:r>
        <w:rPr>
          <w:rFonts w:hint="eastAsia" w:ascii="微软雅黑" w:hAnsi="微软雅黑"/>
          <w:color w:val="auto"/>
          <w:kern w:val="0"/>
          <w:szCs w:val="21"/>
          <w:highlight w:val="none"/>
        </w:rPr>
        <w:t>      本单位对上述声明的真实性负责。如有虚假，将依法承担相应责任。</w:t>
      </w:r>
    </w:p>
    <w:p w14:paraId="11DEAD9F">
      <w:pPr>
        <w:snapToGrid w:val="0"/>
        <w:spacing w:before="120" w:beforeLines="50"/>
        <w:ind w:firstLine="420"/>
        <w:jc w:val="center"/>
        <w:rPr>
          <w:rFonts w:hint="eastAsia" w:ascii="微软雅黑" w:hAnsi="微软雅黑" w:cs="Arial"/>
          <w:color w:val="auto"/>
          <w:kern w:val="0"/>
          <w:szCs w:val="21"/>
          <w:highlight w:val="none"/>
        </w:rPr>
      </w:pPr>
    </w:p>
    <w:p w14:paraId="42C30E2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71FCA874">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792A88B">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0FE5F462">
      <w:pPr>
        <w:widowControl/>
        <w:ind w:right="480" w:firstLine="6825" w:firstLineChars="3250"/>
        <w:textAlignment w:val="top"/>
        <w:rPr>
          <w:rFonts w:hint="eastAsia" w:ascii="宋体" w:hAnsi="宋体"/>
          <w:color w:val="auto"/>
          <w:kern w:val="0"/>
          <w:szCs w:val="21"/>
          <w:highlight w:val="none"/>
        </w:rPr>
      </w:pPr>
    </w:p>
    <w:p w14:paraId="108CE079">
      <w:pPr>
        <w:pStyle w:val="20"/>
        <w:ind w:firstLine="420"/>
        <w:rPr>
          <w:color w:val="auto"/>
          <w:highlight w:val="none"/>
        </w:rPr>
      </w:pPr>
    </w:p>
    <w:p w14:paraId="15309AC0">
      <w:pPr>
        <w:pStyle w:val="20"/>
        <w:ind w:firstLine="420"/>
        <w:rPr>
          <w:color w:val="auto"/>
          <w:highlight w:val="none"/>
        </w:rPr>
      </w:pPr>
    </w:p>
    <w:p w14:paraId="2CAF20F4">
      <w:pPr>
        <w:pStyle w:val="52"/>
        <w:ind w:firstLine="480"/>
        <w:rPr>
          <w:rFonts w:hint="eastAsia"/>
          <w:color w:val="auto"/>
          <w:highlight w:val="none"/>
        </w:rPr>
      </w:pPr>
    </w:p>
    <w:p w14:paraId="37273B3B">
      <w:pPr>
        <w:pStyle w:val="52"/>
        <w:ind w:firstLine="480"/>
        <w:rPr>
          <w:rFonts w:hint="eastAsia"/>
          <w:color w:val="auto"/>
          <w:highlight w:val="none"/>
        </w:rPr>
      </w:pPr>
    </w:p>
    <w:p w14:paraId="5FB789BB">
      <w:pPr>
        <w:pStyle w:val="52"/>
        <w:ind w:firstLine="480"/>
        <w:rPr>
          <w:rFonts w:hint="eastAsia"/>
          <w:color w:val="auto"/>
          <w:highlight w:val="none"/>
        </w:rPr>
      </w:pPr>
    </w:p>
    <w:p w14:paraId="76B99290">
      <w:pPr>
        <w:pStyle w:val="52"/>
        <w:ind w:firstLine="480"/>
        <w:rPr>
          <w:rFonts w:hint="eastAsia"/>
          <w:color w:val="auto"/>
          <w:highlight w:val="none"/>
        </w:rPr>
      </w:pPr>
    </w:p>
    <w:p w14:paraId="44449334">
      <w:pPr>
        <w:pStyle w:val="20"/>
        <w:ind w:firstLine="420"/>
        <w:rPr>
          <w:color w:val="auto"/>
          <w:highlight w:val="none"/>
        </w:rPr>
      </w:pPr>
    </w:p>
    <w:p w14:paraId="6E764776">
      <w:pPr>
        <w:pStyle w:val="52"/>
        <w:ind w:firstLine="480"/>
        <w:rPr>
          <w:rFonts w:hint="eastAsia"/>
          <w:color w:val="auto"/>
          <w:highlight w:val="none"/>
        </w:rPr>
      </w:pPr>
    </w:p>
    <w:p w14:paraId="44E33ADF">
      <w:pPr>
        <w:ind w:firstLine="420"/>
        <w:outlineLvl w:val="1"/>
        <w:rPr>
          <w:rFonts w:hint="eastAsia"/>
          <w:b/>
          <w:bCs/>
          <w:color w:val="auto"/>
          <w:highlight w:val="none"/>
        </w:rPr>
        <w:sectPr>
          <w:footerReference r:id="rId30" w:type="first"/>
          <w:footerReference r:id="rId29"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189" w:name="_Toc19343"/>
    </w:p>
    <w:p w14:paraId="773983F1">
      <w:pPr>
        <w:ind w:firstLine="420"/>
        <w:outlineLvl w:val="1"/>
        <w:rPr>
          <w:b/>
          <w:bCs/>
          <w:color w:val="auto"/>
          <w:highlight w:val="none"/>
        </w:rPr>
      </w:pPr>
      <w:r>
        <w:rPr>
          <w:rFonts w:hint="eastAsia"/>
          <w:b/>
          <w:bCs/>
          <w:color w:val="auto"/>
          <w:highlight w:val="none"/>
        </w:rPr>
        <w:t>监狱企业证明文件</w:t>
      </w:r>
      <w:bookmarkEnd w:id="189"/>
    </w:p>
    <w:p w14:paraId="6B31D8B9">
      <w:pPr>
        <w:ind w:firstLine="420"/>
        <w:jc w:val="center"/>
        <w:rPr>
          <w:rFonts w:hint="eastAsia" w:ascii="微软雅黑" w:hAnsi="微软雅黑"/>
          <w:b/>
          <w:color w:val="auto"/>
          <w:szCs w:val="21"/>
          <w:highlight w:val="none"/>
        </w:rPr>
      </w:pPr>
      <w:bookmarkStart w:id="190" w:name="_Toc12078"/>
      <w:bookmarkStart w:id="191" w:name="_Toc164943234"/>
      <w:r>
        <w:rPr>
          <w:rFonts w:hint="eastAsia" w:ascii="微软雅黑" w:hAnsi="微软雅黑"/>
          <w:b/>
          <w:color w:val="auto"/>
          <w:szCs w:val="21"/>
          <w:highlight w:val="none"/>
        </w:rPr>
        <w:t>监狱企业证明文件</w:t>
      </w:r>
      <w:bookmarkEnd w:id="190"/>
      <w:bookmarkEnd w:id="191"/>
    </w:p>
    <w:tbl>
      <w:tblPr>
        <w:tblStyle w:val="54"/>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425DFD05">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0A948297">
            <w:pPr>
              <w:ind w:firstLine="420"/>
              <w:jc w:val="center"/>
              <w:rPr>
                <w:rFonts w:hint="eastAsia" w:ascii="微软雅黑" w:hAnsi="微软雅黑"/>
                <w:b/>
                <w:color w:val="auto"/>
                <w:szCs w:val="21"/>
                <w:highlight w:val="none"/>
              </w:rPr>
            </w:pPr>
            <w:r>
              <w:rPr>
                <w:rFonts w:hint="eastAsia" w:ascii="微软雅黑" w:hAnsi="微软雅黑"/>
                <w:b/>
                <w:color w:val="auto"/>
                <w:szCs w:val="21"/>
                <w:highlight w:val="none"/>
              </w:rPr>
              <w:t>相关部门出具的监狱企业证明文件</w:t>
            </w:r>
          </w:p>
          <w:p w14:paraId="5ACBB69A">
            <w:pPr>
              <w:ind w:firstLine="420"/>
              <w:jc w:val="center"/>
              <w:rPr>
                <w:rFonts w:hint="eastAsia" w:ascii="微软雅黑" w:hAnsi="微软雅黑" w:cs="Arial"/>
                <w:b/>
                <w:i/>
                <w:color w:val="auto"/>
                <w:kern w:val="0"/>
                <w:szCs w:val="21"/>
                <w:highlight w:val="none"/>
              </w:rPr>
            </w:pPr>
            <w:r>
              <w:rPr>
                <w:rFonts w:hint="eastAsia" w:ascii="微软雅黑" w:hAnsi="微软雅黑"/>
                <w:color w:val="auto"/>
                <w:szCs w:val="21"/>
                <w:highlight w:val="none"/>
              </w:rPr>
              <w:t>（如是，提供</w:t>
            </w:r>
            <w:r>
              <w:rPr>
                <w:rFonts w:hint="eastAsia" w:ascii="微软雅黑" w:hAnsi="微软雅黑" w:cs="Arial"/>
                <w:color w:val="auto"/>
                <w:kern w:val="0"/>
                <w:szCs w:val="21"/>
                <w:highlight w:val="none"/>
              </w:rPr>
              <w:t>复印件加盖投标供应商公章）</w:t>
            </w:r>
          </w:p>
        </w:tc>
      </w:tr>
    </w:tbl>
    <w:p w14:paraId="101AAB79">
      <w:pPr>
        <w:ind w:firstLine="420"/>
        <w:rPr>
          <w:rFonts w:hint="eastAsia" w:ascii="微软雅黑" w:hAnsi="微软雅黑" w:cs="Arial"/>
          <w:i/>
          <w:color w:val="auto"/>
          <w:szCs w:val="21"/>
          <w:highlight w:val="none"/>
        </w:rPr>
      </w:pPr>
    </w:p>
    <w:p w14:paraId="7888B1CA">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投标人名称：（盖章）</w:t>
      </w:r>
    </w:p>
    <w:p w14:paraId="71708A05">
      <w:pPr>
        <w:snapToGrid w:val="0"/>
        <w:ind w:firstLine="0" w:firstLineChars="0"/>
        <w:rPr>
          <w:rFonts w:hint="eastAsia" w:ascii="微软雅黑" w:hAnsi="微软雅黑"/>
          <w:color w:val="auto"/>
          <w:szCs w:val="21"/>
          <w:highlight w:val="none"/>
          <w:shd w:val="clear" w:color="auto" w:fill="FFFFFF"/>
        </w:rPr>
      </w:pPr>
      <w:r>
        <w:rPr>
          <w:rFonts w:hint="eastAsia" w:ascii="微软雅黑" w:hAnsi="微软雅黑"/>
          <w:color w:val="auto"/>
          <w:szCs w:val="21"/>
          <w:highlight w:val="none"/>
          <w:shd w:val="clear" w:color="auto" w:fill="FFFFFF"/>
        </w:rPr>
        <w:t>法定代表人或授权代表（签字）：</w:t>
      </w:r>
    </w:p>
    <w:p w14:paraId="2C493862">
      <w:pPr>
        <w:snapToGrid w:val="0"/>
        <w:ind w:firstLine="0" w:firstLineChars="0"/>
        <w:rPr>
          <w:rFonts w:hint="eastAsia" w:ascii="微软雅黑" w:hAnsi="微软雅黑"/>
          <w:color w:val="auto"/>
          <w:szCs w:val="21"/>
          <w:highlight w:val="none"/>
          <w:u w:val="single"/>
        </w:rPr>
      </w:pPr>
      <w:r>
        <w:rPr>
          <w:rFonts w:hint="eastAsia" w:ascii="微软雅黑" w:hAnsi="微软雅黑"/>
          <w:color w:val="auto"/>
          <w:szCs w:val="21"/>
          <w:highlight w:val="none"/>
          <w:shd w:val="clear" w:color="auto" w:fill="FFFFFF"/>
        </w:rPr>
        <w:t>投标日期： 年 月 日</w:t>
      </w:r>
    </w:p>
    <w:p w14:paraId="6253EE92">
      <w:pPr>
        <w:ind w:firstLine="420"/>
        <w:rPr>
          <w:color w:val="auto"/>
          <w:highlight w:val="none"/>
        </w:rPr>
      </w:pPr>
    </w:p>
    <w:p w14:paraId="2C407CE8">
      <w:pPr>
        <w:pStyle w:val="120"/>
        <w:ind w:firstLine="420"/>
        <w:jc w:val="center"/>
        <w:rPr>
          <w:rFonts w:hint="eastAsia" w:ascii="微软雅黑" w:hAnsi="微软雅黑" w:eastAsia="微软雅黑"/>
          <w:color w:val="auto"/>
          <w:sz w:val="21"/>
          <w:szCs w:val="21"/>
          <w:highlight w:val="none"/>
        </w:rPr>
        <w:sectPr>
          <w:footerReference r:id="rId32" w:type="first"/>
          <w:footerReference r:id="rId31"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7B8E1AF">
      <w:pPr>
        <w:snapToGrid w:val="0"/>
        <w:spacing w:before="50" w:after="50"/>
        <w:ind w:firstLine="420"/>
        <w:rPr>
          <w:rFonts w:hint="eastAsia" w:ascii="微软雅黑" w:hAnsi="微软雅黑" w:cs="宋体"/>
          <w:b/>
          <w:color w:val="auto"/>
          <w:kern w:val="0"/>
          <w:szCs w:val="21"/>
          <w:highlight w:val="none"/>
        </w:rPr>
      </w:pPr>
      <w:r>
        <w:rPr>
          <w:rFonts w:hint="eastAsia" w:ascii="微软雅黑" w:hAnsi="微软雅黑" w:cs="微软雅黑"/>
          <w:b/>
          <w:color w:val="auto"/>
          <w:szCs w:val="21"/>
          <w:highlight w:val="none"/>
          <w:lang w:val="en-US" w:eastAsia="zh-CN"/>
        </w:rPr>
        <w:t>三</w:t>
      </w:r>
      <w:r>
        <w:rPr>
          <w:rFonts w:hint="eastAsia" w:ascii="微软雅黑" w:hAnsi="微软雅黑" w:cs="微软雅黑"/>
          <w:b/>
          <w:color w:val="auto"/>
          <w:szCs w:val="21"/>
          <w:highlight w:val="none"/>
        </w:rPr>
        <w:t>、</w:t>
      </w:r>
      <w:r>
        <w:rPr>
          <w:rFonts w:eastAsia="仿宋_GB2312"/>
          <w:b/>
          <w:color w:val="auto"/>
          <w:szCs w:val="21"/>
          <w:highlight w:val="none"/>
        </w:rPr>
        <w:t xml:space="preserve">  </w:t>
      </w:r>
      <w:r>
        <w:rPr>
          <w:rFonts w:hint="eastAsia" w:ascii="微软雅黑" w:hAnsi="微软雅黑" w:cs="宋体"/>
          <w:b/>
          <w:color w:val="auto"/>
          <w:kern w:val="0"/>
          <w:szCs w:val="21"/>
          <w:highlight w:val="none"/>
        </w:rPr>
        <w:t>企业法人营业执照副本复印件</w:t>
      </w:r>
    </w:p>
    <w:p w14:paraId="4C2CFF73">
      <w:pPr>
        <w:pStyle w:val="52"/>
        <w:ind w:firstLine="480"/>
        <w:rPr>
          <w:rFonts w:hint="eastAsia"/>
          <w:color w:val="auto"/>
          <w:highlight w:val="none"/>
        </w:rPr>
      </w:pPr>
    </w:p>
    <w:p w14:paraId="49B91CE1">
      <w:pPr>
        <w:snapToGrid w:val="0"/>
        <w:ind w:firstLine="420"/>
        <w:rPr>
          <w:rFonts w:hint="eastAsia" w:ascii="微软雅黑" w:hAnsi="微软雅黑" w:cs="仿宋_GB2312"/>
          <w:color w:val="auto"/>
          <w:szCs w:val="21"/>
          <w:highlight w:val="none"/>
        </w:rPr>
        <w:sectPr>
          <w:footerReference r:id="rId33"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32A04CE">
      <w:pPr>
        <w:ind w:firstLine="42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商务技术文件部分</w:t>
      </w:r>
    </w:p>
    <w:p w14:paraId="6C433703">
      <w:pPr>
        <w:ind w:firstLine="420"/>
        <w:jc w:val="center"/>
        <w:outlineLvl w:val="0"/>
        <w:rPr>
          <w:rFonts w:hint="eastAsia" w:ascii="微软雅黑" w:hAnsi="微软雅黑" w:cs="宋体"/>
          <w:b/>
          <w:color w:val="auto"/>
          <w:kern w:val="0"/>
          <w:szCs w:val="21"/>
          <w:highlight w:val="none"/>
        </w:rPr>
      </w:pPr>
      <w:bookmarkStart w:id="192" w:name="_Toc169015148"/>
      <w:bookmarkStart w:id="193" w:name="_Toc164943225"/>
      <w:bookmarkStart w:id="194" w:name="_Toc16145"/>
      <w:bookmarkStart w:id="195" w:name="_Toc21948"/>
      <w:r>
        <w:rPr>
          <w:rFonts w:hint="eastAsia" w:ascii="微软雅黑" w:hAnsi="微软雅黑" w:cs="宋体"/>
          <w:b/>
          <w:color w:val="auto"/>
          <w:kern w:val="0"/>
          <w:szCs w:val="21"/>
          <w:highlight w:val="none"/>
        </w:rPr>
        <w:t>目录</w:t>
      </w:r>
      <w:bookmarkEnd w:id="192"/>
      <w:bookmarkEnd w:id="193"/>
      <w:bookmarkEnd w:id="194"/>
      <w:bookmarkEnd w:id="195"/>
    </w:p>
    <w:p w14:paraId="739C71A9">
      <w:pPr>
        <w:numPr>
          <w:ilvl w:val="0"/>
          <w:numId w:val="25"/>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投标函……………………………………………………………………（页码）</w:t>
      </w:r>
    </w:p>
    <w:p w14:paraId="399ECEA3">
      <w:pPr>
        <w:numPr>
          <w:ilvl w:val="0"/>
          <w:numId w:val="25"/>
        </w:numPr>
        <w:ind w:firstLineChars="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法定代表人授权委托书…………………………………………………（页码）</w:t>
      </w:r>
    </w:p>
    <w:p w14:paraId="43442D00">
      <w:pPr>
        <w:ind w:firstLine="420"/>
        <w:jc w:val="both"/>
        <w:rPr>
          <w:rFonts w:hint="eastAsia" w:ascii="微软雅黑" w:hAnsi="微软雅黑"/>
          <w:color w:val="auto"/>
          <w:szCs w:val="21"/>
          <w:highlight w:val="none"/>
        </w:rPr>
      </w:pPr>
      <w:r>
        <w:rPr>
          <w:rFonts w:hint="eastAsia" w:ascii="微软雅黑" w:hAnsi="微软雅黑" w:cs="宋体"/>
          <w:color w:val="auto"/>
          <w:szCs w:val="21"/>
          <w:highlight w:val="none"/>
        </w:rPr>
        <w:t>（3）政府采购活动现场确认声明书…………………………………………（页码）</w:t>
      </w:r>
    </w:p>
    <w:p w14:paraId="383E82BA">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（4）符合性审查资料…………………………………………………………（页码）</w:t>
      </w:r>
    </w:p>
    <w:p w14:paraId="0A6A6700">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（5）评分对应表………………………………………………………………（页码）</w:t>
      </w:r>
    </w:p>
    <w:p w14:paraId="6921787D">
      <w:pPr>
        <w:ind w:firstLine="420"/>
        <w:jc w:val="both"/>
        <w:rPr>
          <w:rFonts w:hint="eastAsia" w:ascii="微软雅黑" w:hAnsi="微软雅黑" w:cs="宋体"/>
          <w:color w:val="auto"/>
          <w:szCs w:val="21"/>
          <w:highlight w:val="none"/>
        </w:rPr>
      </w:pPr>
      <w:r>
        <w:rPr>
          <w:rFonts w:hint="eastAsia" w:ascii="微软雅黑" w:hAnsi="微软雅黑" w:cs="宋体"/>
          <w:color w:val="auto"/>
          <w:szCs w:val="21"/>
          <w:highlight w:val="none"/>
        </w:rPr>
        <w:t>（6）商务响应表………………………………………………………………（页码）</w:t>
      </w:r>
    </w:p>
    <w:p w14:paraId="07A7A37B">
      <w:pPr>
        <w:ind w:firstLine="420"/>
        <w:jc w:val="both"/>
        <w:rPr>
          <w:rFonts w:hint="eastAsia" w:ascii="微软雅黑" w:hAnsi="微软雅黑" w:cs="仿宋_GB2312"/>
          <w:b/>
          <w:color w:val="auto"/>
          <w:kern w:val="0"/>
          <w:szCs w:val="21"/>
          <w:highlight w:val="none"/>
        </w:rPr>
      </w:pP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7</w:t>
      </w:r>
      <w:r>
        <w:rPr>
          <w:rFonts w:hint="eastAsia" w:ascii="微软雅黑" w:hAnsi="微软雅黑" w:cs="宋体"/>
          <w:color w:val="auto"/>
          <w:szCs w:val="21"/>
          <w:highlight w:val="none"/>
          <w:lang w:val="zh-CN"/>
        </w:rPr>
        <w:t>）评标标准相应的商务技术资料</w:t>
      </w:r>
      <w:r>
        <w:rPr>
          <w:rFonts w:hint="eastAsia" w:ascii="微软雅黑" w:hAnsi="微软雅黑" w:cs="宋体"/>
          <w:color w:val="auto"/>
          <w:szCs w:val="21"/>
          <w:highlight w:val="none"/>
        </w:rPr>
        <w:t>…………………………………………（页码）</w:t>
      </w:r>
    </w:p>
    <w:p w14:paraId="64468839">
      <w:pPr>
        <w:snapToGrid w:val="0"/>
        <w:spacing w:before="120" w:beforeLines="50" w:after="50"/>
        <w:ind w:firstLine="420"/>
        <w:jc w:val="center"/>
        <w:rPr>
          <w:rFonts w:hint="eastAsia" w:ascii="宋体" w:hAnsi="宋体"/>
          <w:b/>
          <w:color w:val="auto"/>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EB6233A">
      <w:pPr>
        <w:snapToGrid w:val="0"/>
        <w:spacing w:before="120" w:beforeLines="50" w:after="50"/>
        <w:ind w:firstLine="420"/>
        <w:jc w:val="center"/>
        <w:outlineLvl w:val="1"/>
        <w:rPr>
          <w:rFonts w:hint="eastAsia" w:ascii="宋体" w:hAnsi="宋体"/>
          <w:b/>
          <w:color w:val="auto"/>
          <w:szCs w:val="21"/>
          <w:highlight w:val="none"/>
        </w:rPr>
      </w:pPr>
      <w:bookmarkStart w:id="196" w:name="_Toc9182"/>
      <w:r>
        <w:rPr>
          <w:rFonts w:hint="eastAsia" w:ascii="宋体" w:hAnsi="宋体"/>
          <w:b/>
          <w:color w:val="auto"/>
          <w:szCs w:val="21"/>
          <w:highlight w:val="none"/>
        </w:rPr>
        <w:t>一、投标函</w:t>
      </w:r>
      <w:bookmarkEnd w:id="196"/>
    </w:p>
    <w:p w14:paraId="0B55F0C4">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s="宋体"/>
          <w:color w:val="auto"/>
          <w:szCs w:val="21"/>
          <w:highlight w:val="none"/>
        </w:rPr>
        <w:t>：</w:t>
      </w:r>
    </w:p>
    <w:p w14:paraId="22334993">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我方参加你方组织的（项目名称）【项目编号】招标的有关活动，并对此项目进行投标。为此：</w:t>
      </w:r>
    </w:p>
    <w:p w14:paraId="22B6DBD1">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1、我方承诺投标有效期从提交投标文件的截止之日起</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天（不少于90天），本投标文件在投标有效期满之前均具有约束力。</w:t>
      </w:r>
    </w:p>
    <w:p w14:paraId="01A67DA5">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2、我方的投标文件包括以下内容：</w:t>
      </w:r>
    </w:p>
    <w:p w14:paraId="4F8FB6F6">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2.1资格文件：</w:t>
      </w:r>
    </w:p>
    <w:p w14:paraId="327B63FF">
      <w:pPr>
        <w:snapToGrid w:val="0"/>
        <w:ind w:left="420" w:leftChars="200" w:firstLine="430" w:firstLineChars="205"/>
        <w:rPr>
          <w:rFonts w:hint="eastAsia" w:ascii="微软雅黑" w:hAnsi="微软雅黑" w:cs="宋体"/>
          <w:color w:val="auto"/>
          <w:szCs w:val="21"/>
          <w:highlight w:val="none"/>
        </w:rPr>
      </w:pPr>
      <w:r>
        <w:rPr>
          <w:rFonts w:hint="eastAsia" w:ascii="微软雅黑" w:hAnsi="微软雅黑" w:cs="宋体"/>
          <w:color w:val="auto"/>
          <w:szCs w:val="21"/>
          <w:highlight w:val="none"/>
        </w:rPr>
        <w:t>2.1.1符合参加政府采购活动应当具备的一般条件的承诺函；</w:t>
      </w:r>
    </w:p>
    <w:p w14:paraId="0A3BE6D8">
      <w:pPr>
        <w:ind w:firstLine="840" w:firstLineChars="400"/>
        <w:rPr>
          <w:rFonts w:hint="eastAsia" w:ascii="微软雅黑" w:hAnsi="微软雅黑"/>
          <w:color w:val="auto"/>
          <w:szCs w:val="21"/>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2</w:t>
      </w:r>
      <w:r>
        <w:rPr>
          <w:rFonts w:hint="eastAsia" w:ascii="微软雅黑" w:hAnsi="微软雅黑"/>
          <w:color w:val="auto"/>
          <w:szCs w:val="21"/>
          <w:highlight w:val="none"/>
        </w:rPr>
        <w:t>中小企业声明函、残疾人福利性单位声明函及其他符合政策性加分条件的承诺函或证明材料。</w:t>
      </w:r>
    </w:p>
    <w:p w14:paraId="7ECA9E59">
      <w:pPr>
        <w:snapToGrid w:val="0"/>
        <w:ind w:left="420" w:leftChars="200" w:firstLine="430" w:firstLineChars="205"/>
        <w:rPr>
          <w:rFonts w:hint="eastAsia" w:ascii="微软雅黑" w:hAnsi="微软雅黑" w:cs="宋体"/>
          <w:color w:val="auto"/>
          <w:kern w:val="0"/>
          <w:szCs w:val="21"/>
          <w:highlight w:val="none"/>
        </w:rPr>
      </w:pPr>
      <w:r>
        <w:rPr>
          <w:rFonts w:hint="eastAsia" w:ascii="微软雅黑" w:hAnsi="微软雅黑" w:cs="宋体"/>
          <w:color w:val="auto"/>
          <w:szCs w:val="21"/>
          <w:highlight w:val="none"/>
        </w:rPr>
        <w:t>2.1.</w:t>
      </w:r>
      <w:r>
        <w:rPr>
          <w:rFonts w:hint="eastAsia" w:ascii="微软雅黑" w:hAnsi="微软雅黑" w:cs="宋体"/>
          <w:color w:val="auto"/>
          <w:szCs w:val="21"/>
          <w:highlight w:val="none"/>
          <w:lang w:val="en-US" w:eastAsia="zh-CN"/>
        </w:rPr>
        <w:t>3</w:t>
      </w:r>
      <w:r>
        <w:rPr>
          <w:rFonts w:hint="eastAsia" w:ascii="微软雅黑" w:hAnsi="微软雅黑" w:cs="宋体"/>
          <w:color w:val="auto"/>
          <w:kern w:val="0"/>
          <w:szCs w:val="21"/>
          <w:highlight w:val="none"/>
        </w:rPr>
        <w:t>企业法人营业执照副本复印件</w:t>
      </w:r>
    </w:p>
    <w:p w14:paraId="22B961D9">
      <w:pPr>
        <w:snapToGrid w:val="0"/>
        <w:ind w:left="210" w:leftChars="100" w:firstLine="420"/>
        <w:rPr>
          <w:rFonts w:hint="eastAsia" w:ascii="微软雅黑" w:hAnsi="微软雅黑" w:cs="宋体"/>
          <w:color w:val="auto"/>
          <w:szCs w:val="21"/>
          <w:highlight w:val="none"/>
          <w:lang w:val="zh-CN"/>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 xml:space="preserve"> </w:t>
      </w:r>
      <w:r>
        <w:rPr>
          <w:rFonts w:hint="eastAsia" w:ascii="微软雅黑" w:hAnsi="微软雅黑" w:cs="宋体"/>
          <w:color w:val="auto"/>
          <w:szCs w:val="21"/>
          <w:highlight w:val="none"/>
        </w:rPr>
        <w:t>商务技术</w:t>
      </w:r>
      <w:r>
        <w:rPr>
          <w:rFonts w:hint="eastAsia" w:ascii="微软雅黑" w:hAnsi="微软雅黑" w:cs="宋体"/>
          <w:color w:val="auto"/>
          <w:szCs w:val="21"/>
          <w:highlight w:val="none"/>
          <w:lang w:val="zh-CN"/>
        </w:rPr>
        <w:t>文件：</w:t>
      </w:r>
    </w:p>
    <w:p w14:paraId="0710B67B">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2.2.1投标函；</w:t>
      </w:r>
      <w:r>
        <w:rPr>
          <w:rFonts w:hint="eastAsia" w:ascii="微软雅黑" w:hAnsi="微软雅黑" w:cs="宋体"/>
          <w:color w:val="auto"/>
          <w:szCs w:val="21"/>
          <w:highlight w:val="none"/>
          <w:lang w:val="zh-CN"/>
        </w:rPr>
        <w:t xml:space="preserve"> </w:t>
      </w:r>
    </w:p>
    <w:p w14:paraId="1E0804D4">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2.2.2授权委托书或法定代表人（单位负责人）身份证明；</w:t>
      </w:r>
    </w:p>
    <w:p w14:paraId="00321EFB">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2.2.3政府采购活动现场确认声明书；</w:t>
      </w:r>
    </w:p>
    <w:p w14:paraId="5F6BEB2B">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2.2.4符合性审查资料；</w:t>
      </w:r>
    </w:p>
    <w:p w14:paraId="7C07ADA8">
      <w:pPr>
        <w:snapToGrid w:val="0"/>
        <w:ind w:firstLine="840" w:firstLineChars="400"/>
        <w:rPr>
          <w:rFonts w:hint="eastAsia" w:ascii="微软雅黑" w:hAnsi="微软雅黑" w:cs="仿宋_GB2312"/>
          <w:color w:val="auto"/>
          <w:szCs w:val="21"/>
          <w:highlight w:val="none"/>
        </w:rPr>
      </w:pPr>
      <w:r>
        <w:rPr>
          <w:rFonts w:hint="eastAsia" w:ascii="微软雅黑" w:hAnsi="微软雅黑" w:cs="宋体"/>
          <w:color w:val="auto"/>
          <w:szCs w:val="21"/>
          <w:highlight w:val="none"/>
        </w:rPr>
        <w:t>2.2.5商</w:t>
      </w:r>
      <w:r>
        <w:rPr>
          <w:rFonts w:hint="eastAsia" w:ascii="微软雅黑" w:hAnsi="微软雅黑"/>
          <w:color w:val="auto"/>
          <w:szCs w:val="21"/>
          <w:highlight w:val="none"/>
        </w:rPr>
        <w:t>务响应表</w:t>
      </w:r>
      <w:r>
        <w:rPr>
          <w:rFonts w:ascii="微软雅黑" w:hAnsi="微软雅黑" w:cs="仿宋_GB2312"/>
          <w:color w:val="auto"/>
          <w:szCs w:val="21"/>
          <w:highlight w:val="none"/>
        </w:rPr>
        <w:t>；</w:t>
      </w:r>
    </w:p>
    <w:p w14:paraId="3E520353">
      <w:pPr>
        <w:snapToGrid w:val="0"/>
        <w:ind w:firstLine="840" w:firstLineChars="400"/>
        <w:rPr>
          <w:rFonts w:hint="eastAsia" w:ascii="微软雅黑" w:hAnsi="微软雅黑" w:cs="宋体"/>
          <w:color w:val="auto"/>
          <w:szCs w:val="21"/>
          <w:highlight w:val="none"/>
        </w:rPr>
      </w:pPr>
      <w:r>
        <w:rPr>
          <w:rFonts w:hint="eastAsia" w:ascii="微软雅黑" w:hAnsi="微软雅黑" w:cs="宋体"/>
          <w:color w:val="auto"/>
          <w:szCs w:val="21"/>
          <w:highlight w:val="none"/>
        </w:rPr>
        <w:t>2.2.6技术响应表；</w:t>
      </w:r>
    </w:p>
    <w:p w14:paraId="198F5780">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2.2.7评标标准相应的商务技术资料；</w:t>
      </w:r>
    </w:p>
    <w:p w14:paraId="418D06AC">
      <w:pPr>
        <w:snapToGrid w:val="0"/>
        <w:ind w:firstLine="840" w:firstLineChars="400"/>
        <w:rPr>
          <w:rFonts w:hint="eastAsia" w:ascii="微软雅黑" w:hAnsi="微软雅黑" w:cs="宋体"/>
          <w:color w:val="auto"/>
          <w:szCs w:val="21"/>
          <w:highlight w:val="none"/>
          <w:lang w:val="en"/>
        </w:rPr>
      </w:pPr>
      <w:r>
        <w:rPr>
          <w:rFonts w:hint="eastAsia" w:ascii="微软雅黑" w:hAnsi="微软雅黑" w:cs="宋体"/>
          <w:color w:val="auto"/>
          <w:szCs w:val="21"/>
          <w:highlight w:val="none"/>
        </w:rPr>
        <w:t>2.2.8评分对应表</w:t>
      </w:r>
      <w:r>
        <w:rPr>
          <w:rFonts w:hint="eastAsia" w:ascii="微软雅黑" w:hAnsi="微软雅黑" w:cs="宋体"/>
          <w:color w:val="auto"/>
          <w:szCs w:val="21"/>
          <w:highlight w:val="none"/>
          <w:lang w:val="en"/>
        </w:rPr>
        <w:t>；</w:t>
      </w:r>
    </w:p>
    <w:p w14:paraId="3A7C89E1">
      <w:pPr>
        <w:snapToGrid w:val="0"/>
        <w:ind w:firstLine="840" w:firstLineChars="400"/>
        <w:rPr>
          <w:rFonts w:hint="eastAsia" w:ascii="微软雅黑" w:hAnsi="微软雅黑" w:cs="宋体"/>
          <w:color w:val="auto"/>
          <w:szCs w:val="21"/>
          <w:highlight w:val="none"/>
        </w:rPr>
      </w:pPr>
      <w:r>
        <w:rPr>
          <w:rFonts w:ascii="微软雅黑" w:hAnsi="微软雅黑" w:cs="宋体"/>
          <w:color w:val="auto"/>
          <w:szCs w:val="21"/>
          <w:highlight w:val="none"/>
          <w:lang w:val="en"/>
        </w:rPr>
        <w:t>2.2.</w:t>
      </w:r>
      <w:r>
        <w:rPr>
          <w:rFonts w:hint="eastAsia" w:ascii="微软雅黑" w:hAnsi="微软雅黑" w:cs="宋体"/>
          <w:color w:val="auto"/>
          <w:szCs w:val="21"/>
          <w:highlight w:val="none"/>
        </w:rPr>
        <w:t>9供应商认为需要提供的其他文件及资料（格式自拟）。</w:t>
      </w:r>
    </w:p>
    <w:p w14:paraId="727248AB">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w:t>
      </w:r>
      <w:r>
        <w:rPr>
          <w:rFonts w:hint="eastAsia" w:ascii="微软雅黑" w:hAnsi="微软雅黑" w:cs="宋体"/>
          <w:color w:val="auto"/>
          <w:szCs w:val="21"/>
          <w:highlight w:val="none"/>
          <w:lang w:val="zh-CN"/>
        </w:rPr>
        <w:t>.</w:t>
      </w:r>
      <w:r>
        <w:rPr>
          <w:rFonts w:hint="eastAsia" w:ascii="微软雅黑" w:hAnsi="微软雅黑" w:cs="宋体"/>
          <w:color w:val="auto"/>
          <w:szCs w:val="21"/>
          <w:highlight w:val="none"/>
        </w:rPr>
        <w:t>3报价文件</w:t>
      </w:r>
    </w:p>
    <w:p w14:paraId="6F1FCE61">
      <w:pPr>
        <w:snapToGrid w:val="0"/>
        <w:ind w:left="420" w:leftChars="2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2.3.1开标一览表（报价表）；</w:t>
      </w:r>
    </w:p>
    <w:p w14:paraId="717FF891">
      <w:pPr>
        <w:ind w:firstLine="840" w:firstLineChars="400"/>
        <w:rPr>
          <w:rFonts w:hint="eastAsia" w:ascii="微软雅黑" w:hAnsi="微软雅黑"/>
          <w:color w:val="auto"/>
          <w:szCs w:val="21"/>
          <w:highlight w:val="none"/>
        </w:rPr>
      </w:pPr>
      <w:r>
        <w:rPr>
          <w:rFonts w:hint="eastAsia" w:ascii="微软雅黑" w:hAnsi="微软雅黑"/>
          <w:color w:val="auto"/>
          <w:szCs w:val="21"/>
          <w:highlight w:val="none"/>
        </w:rPr>
        <w:t>2.3.</w:t>
      </w:r>
      <w:r>
        <w:rPr>
          <w:rFonts w:hint="eastAsia" w:ascii="微软雅黑" w:hAnsi="微软雅黑"/>
          <w:color w:val="auto"/>
          <w:szCs w:val="21"/>
          <w:highlight w:val="none"/>
          <w:lang w:val="en-US" w:eastAsia="zh-CN"/>
        </w:rPr>
        <w:t>2</w:t>
      </w:r>
      <w:r>
        <w:rPr>
          <w:rFonts w:hint="eastAsia" w:ascii="微软雅黑" w:hAnsi="微软雅黑"/>
          <w:color w:val="auto"/>
          <w:szCs w:val="21"/>
          <w:highlight w:val="none"/>
        </w:rPr>
        <w:t>投标供应商针对报价需要说明的其他文件和说明。</w:t>
      </w:r>
    </w:p>
    <w:p w14:paraId="7F911E97">
      <w:pPr>
        <w:snapToGrid w:val="0"/>
        <w:ind w:left="420" w:leftChars="200" w:firstLine="420"/>
        <w:rPr>
          <w:rFonts w:hint="eastAsia" w:ascii="微软雅黑" w:hAnsi="微软雅黑" w:cs="宋体"/>
          <w:color w:val="auto"/>
          <w:szCs w:val="21"/>
          <w:highlight w:val="none"/>
        </w:rPr>
      </w:pPr>
      <w:r>
        <w:rPr>
          <w:rFonts w:hint="eastAsia" w:ascii="微软雅黑" w:hAnsi="微软雅黑"/>
          <w:b/>
          <w:bCs/>
          <w:color w:val="auto"/>
          <w:szCs w:val="21"/>
          <w:highlight w:val="none"/>
        </w:rPr>
        <w:t>法定代表人授权委托书、投标函、开标一览表必须有法定代表人或被</w:t>
      </w:r>
      <w:r>
        <w:rPr>
          <w:rFonts w:hint="eastAsia" w:ascii="微软雅黑" w:hAnsi="微软雅黑"/>
          <w:b/>
          <w:color w:val="auto"/>
          <w:szCs w:val="21"/>
          <w:highlight w:val="none"/>
        </w:rPr>
        <w:t>授权</w:t>
      </w:r>
      <w:r>
        <w:rPr>
          <w:rFonts w:hint="eastAsia" w:ascii="微软雅黑" w:hAnsi="微软雅黑"/>
          <w:b/>
          <w:bCs/>
          <w:color w:val="auto"/>
          <w:szCs w:val="21"/>
          <w:highlight w:val="none"/>
        </w:rPr>
        <w:t>人签字（或签章）并加盖单位公章。</w:t>
      </w:r>
    </w:p>
    <w:p w14:paraId="14DABCCE">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3、我方承诺除商务技术响应表列出的偏离外，我方响应招标文件的全部要求。</w:t>
      </w:r>
    </w:p>
    <w:p w14:paraId="4783D89C">
      <w:pPr>
        <w:snapToGrid w:val="0"/>
        <w:ind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4、如我方中标，我方承诺：</w:t>
      </w:r>
    </w:p>
    <w:p w14:paraId="02FD2159">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4.1在收到中标通知书后，在中标通知书规定的期限内与你方签订合同； </w:t>
      </w:r>
    </w:p>
    <w:p w14:paraId="67364090">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4.2在签订合同时不向你方提出附加条件； </w:t>
      </w:r>
    </w:p>
    <w:p w14:paraId="0F62DCEE">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4.3按照招标文件要求提交履约保证金； </w:t>
      </w:r>
    </w:p>
    <w:p w14:paraId="233E9DAD">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 xml:space="preserve">4.4在合同约定的期限内完成合同规定的全部义务。 </w:t>
      </w:r>
    </w:p>
    <w:p w14:paraId="00197B22">
      <w:pPr>
        <w:snapToGrid w:val="0"/>
        <w:ind w:left="210" w:leftChars="100" w:firstLine="420"/>
        <w:rPr>
          <w:rFonts w:hint="eastAsia" w:ascii="微软雅黑" w:hAnsi="微软雅黑" w:cs="宋体"/>
          <w:color w:val="auto"/>
          <w:szCs w:val="21"/>
          <w:highlight w:val="none"/>
        </w:rPr>
      </w:pPr>
      <w:r>
        <w:rPr>
          <w:rFonts w:hint="eastAsia" w:ascii="微软雅黑" w:hAnsi="微软雅黑" w:cs="宋体"/>
          <w:color w:val="auto"/>
          <w:szCs w:val="21"/>
          <w:highlight w:val="none"/>
        </w:rPr>
        <w:t>5、其他补充说明:</w:t>
      </w:r>
      <w:r>
        <w:rPr>
          <w:rFonts w:hint="eastAsia" w:ascii="微软雅黑" w:hAnsi="微软雅黑" w:cs="宋体"/>
          <w:color w:val="auto"/>
          <w:szCs w:val="21"/>
          <w:highlight w:val="none"/>
          <w:u w:val="single"/>
        </w:rPr>
        <w:t xml:space="preserve">                                        </w:t>
      </w:r>
      <w:r>
        <w:rPr>
          <w:rFonts w:hint="eastAsia" w:ascii="微软雅黑" w:hAnsi="微软雅黑" w:cs="宋体"/>
          <w:color w:val="auto"/>
          <w:szCs w:val="21"/>
          <w:highlight w:val="none"/>
        </w:rPr>
        <w:t>。</w:t>
      </w:r>
    </w:p>
    <w:p w14:paraId="073DB166">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374ED6E">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4B88CAD">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FD72B16">
      <w:pPr>
        <w:snapToGrid w:val="0"/>
        <w:spacing w:before="120" w:beforeLines="50" w:after="50"/>
        <w:ind w:firstLine="640"/>
        <w:jc w:val="center"/>
        <w:rPr>
          <w:rFonts w:hint="eastAsia" w:ascii="宋体" w:hAnsi="宋体"/>
          <w:b/>
          <w:color w:val="auto"/>
          <w:sz w:val="32"/>
          <w:szCs w:val="32"/>
          <w:highlight w:val="none"/>
        </w:rPr>
      </w:pPr>
    </w:p>
    <w:p w14:paraId="56012416">
      <w:pPr>
        <w:snapToGrid w:val="0"/>
        <w:spacing w:before="120" w:beforeLines="50" w:after="50"/>
        <w:ind w:firstLine="640"/>
        <w:jc w:val="center"/>
        <w:rPr>
          <w:rFonts w:hint="eastAsia" w:ascii="宋体" w:hAnsi="宋体"/>
          <w:b/>
          <w:color w:val="auto"/>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61A9B16">
      <w:pPr>
        <w:snapToGrid w:val="0"/>
        <w:spacing w:before="120" w:beforeLines="50" w:after="50"/>
        <w:ind w:firstLine="420"/>
        <w:jc w:val="center"/>
        <w:outlineLvl w:val="1"/>
        <w:rPr>
          <w:rFonts w:hint="eastAsia" w:ascii="微软雅黑" w:hAnsi="微软雅黑"/>
          <w:b/>
          <w:color w:val="auto"/>
          <w:szCs w:val="21"/>
          <w:highlight w:val="none"/>
        </w:rPr>
      </w:pPr>
      <w:bookmarkStart w:id="197" w:name="_Toc8363"/>
      <w:r>
        <w:rPr>
          <w:rFonts w:hint="eastAsia" w:ascii="微软雅黑" w:hAnsi="微软雅黑"/>
          <w:b/>
          <w:color w:val="auto"/>
          <w:szCs w:val="21"/>
          <w:highlight w:val="none"/>
        </w:rPr>
        <w:t>二、法定代表人授权委托书</w:t>
      </w:r>
      <w:bookmarkEnd w:id="197"/>
    </w:p>
    <w:p w14:paraId="567D82D8">
      <w:pPr>
        <w:snapToGrid w:val="0"/>
        <w:ind w:firstLine="420"/>
        <w:rPr>
          <w:rFonts w:hint="eastAsia" w:ascii="微软雅黑" w:hAnsi="微软雅黑" w:cs="宋体"/>
          <w:color w:val="auto"/>
          <w:szCs w:val="21"/>
          <w:highlight w:val="none"/>
          <w:u w:val="single"/>
        </w:rPr>
      </w:pPr>
      <w:r>
        <w:rPr>
          <w:rFonts w:hint="eastAsia" w:ascii="微软雅黑" w:hAnsi="微软雅黑" w:cs="宋体"/>
          <w:color w:val="auto"/>
          <w:szCs w:val="21"/>
          <w:highlight w:val="none"/>
          <w:u w:val="single"/>
        </w:rPr>
        <w:t>（采购人）、（采购代理机构）：</w:t>
      </w:r>
    </w:p>
    <w:p w14:paraId="09E196A9">
      <w:pPr>
        <w:snapToGrid w:val="0"/>
        <w:spacing w:before="120" w:beforeLines="50" w:after="50"/>
        <w:ind w:firstLine="630" w:firstLineChars="300"/>
        <w:rPr>
          <w:rFonts w:hint="eastAsia" w:ascii="宋体" w:hAnsi="宋体"/>
          <w:color w:val="auto"/>
          <w:szCs w:val="20"/>
          <w:highlight w:val="none"/>
        </w:rPr>
      </w:pPr>
      <w:r>
        <w:rPr>
          <w:rFonts w:hint="eastAsia" w:ascii="宋体" w:hAnsi="宋体"/>
          <w:color w:val="auto"/>
          <w:highlight w:val="none"/>
        </w:rPr>
        <w:t>我</w:t>
      </w:r>
      <w:r>
        <w:rPr>
          <w:rFonts w:hint="eastAsia" w:ascii="宋体" w:hAnsi="宋体"/>
          <w:color w:val="auto"/>
          <w:highlight w:val="none"/>
          <w:u w:val="single"/>
        </w:rPr>
        <w:t xml:space="preserve">              </w:t>
      </w:r>
      <w:r>
        <w:rPr>
          <w:rFonts w:hint="eastAsia" w:ascii="宋体" w:hAnsi="宋体"/>
          <w:color w:val="auto"/>
          <w:highlight w:val="none"/>
        </w:rPr>
        <w:t>（姓名）系</w:t>
      </w:r>
      <w:r>
        <w:rPr>
          <w:rFonts w:hint="eastAsia" w:ascii="宋体" w:hAnsi="宋体"/>
          <w:color w:val="auto"/>
          <w:highlight w:val="none"/>
          <w:u w:val="single"/>
        </w:rPr>
        <w:t xml:space="preserve">              </w:t>
      </w:r>
      <w:r>
        <w:rPr>
          <w:rFonts w:hint="eastAsia" w:ascii="宋体" w:hAnsi="宋体"/>
          <w:color w:val="auto"/>
          <w:highlight w:val="none"/>
        </w:rPr>
        <w:t>（投标供应商名称）的法定代表人，现授权委托（姓名）以我方的名义参加</w:t>
      </w:r>
      <w:r>
        <w:rPr>
          <w:rFonts w:hint="eastAsia" w:ascii="宋体" w:hAnsi="宋体"/>
          <w:color w:val="auto"/>
          <w:highlight w:val="none"/>
          <w:u w:val="single"/>
        </w:rPr>
        <w:t xml:space="preserve">                项目</w:t>
      </w:r>
      <w:r>
        <w:rPr>
          <w:rFonts w:hint="eastAsia" w:ascii="宋体" w:hAnsi="宋体"/>
          <w:color w:val="auto"/>
          <w:highlight w:val="none"/>
        </w:rPr>
        <w:t>的投标活动，并代表我方全权办理针对上述项目的投标、开标、评标、签约等具体事务和签署相关文件。</w:t>
      </w:r>
    </w:p>
    <w:p w14:paraId="73AA2ADE">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rPr>
        <w:t>我方对被授权人的签字事项负全部责任。</w:t>
      </w:r>
    </w:p>
    <w:p w14:paraId="16F536FB">
      <w:pPr>
        <w:snapToGrid w:val="0"/>
        <w:spacing w:before="120" w:beforeLines="50" w:after="50"/>
        <w:ind w:firstLine="420"/>
        <w:rPr>
          <w:rFonts w:hint="eastAsia" w:ascii="宋体" w:hAnsi="宋体"/>
          <w:color w:val="auto"/>
          <w:szCs w:val="20"/>
          <w:highlight w:val="none"/>
        </w:rPr>
      </w:pPr>
      <w:r>
        <w:rPr>
          <w:rFonts w:hint="eastAsia" w:ascii="宋体" w:hAnsi="宋体"/>
          <w:color w:val="auto"/>
          <w:highlight w:val="none"/>
          <w:u w:val="single"/>
        </w:rPr>
        <w:t>在撤销授权的书面通知以前，本授权书一直有效。</w:t>
      </w:r>
      <w:r>
        <w:rPr>
          <w:rFonts w:hint="eastAsia" w:ascii="宋体" w:hAnsi="宋体"/>
          <w:color w:val="auto"/>
          <w:highlight w:val="none"/>
        </w:rPr>
        <w:t>被授权人在授权书有效期内签署的所有文件不因授权的撤销而失效。</w:t>
      </w:r>
    </w:p>
    <w:p w14:paraId="30399B8B">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被授权人无转委托权，特此委托。</w:t>
      </w:r>
    </w:p>
    <w:p w14:paraId="79F41AC1">
      <w:pPr>
        <w:snapToGrid w:val="0"/>
        <w:spacing w:before="120" w:beforeLines="50" w:after="50"/>
        <w:ind w:firstLine="420"/>
        <w:rPr>
          <w:rFonts w:hint="eastAsia" w:ascii="宋体" w:hAnsi="宋体"/>
          <w:color w:val="auto"/>
          <w:highlight w:val="none"/>
        </w:rPr>
      </w:pPr>
      <w:r>
        <w:rPr>
          <w:rFonts w:hint="eastAsia" w:ascii="宋体" w:hAnsi="宋体"/>
          <w:color w:val="auto"/>
          <w:highlight w:val="none"/>
        </w:rPr>
        <w:t>　身份证粘贴处：                   身份证粘贴处：</w:t>
      </w:r>
    </w:p>
    <w:p w14:paraId="030432F3">
      <w:pPr>
        <w:snapToGrid w:val="0"/>
        <w:spacing w:before="120" w:beforeLines="50" w:after="50"/>
        <w:ind w:firstLine="420"/>
        <w:rPr>
          <w:rFonts w:hint="eastAsia" w:ascii="宋体" w:hAnsi="宋体"/>
          <w:color w:val="auto"/>
          <w:highlight w:val="none"/>
        </w:rPr>
      </w:pPr>
    </w:p>
    <w:p w14:paraId="773DED9A">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法定代表人签字（或盖章）：          被授权人签字（或盖章）：</w:t>
      </w:r>
    </w:p>
    <w:p w14:paraId="7DB4A087">
      <w:pPr>
        <w:snapToGrid w:val="0"/>
        <w:spacing w:before="120" w:beforeLines="50" w:after="50"/>
        <w:ind w:firstLine="420"/>
        <w:rPr>
          <w:rFonts w:hint="eastAsia" w:ascii="宋体" w:hAnsi="宋体"/>
          <w:color w:val="auto"/>
          <w:szCs w:val="21"/>
          <w:highlight w:val="none"/>
          <w:u w:val="single"/>
        </w:rPr>
      </w:pPr>
      <w:r>
        <w:rPr>
          <w:rFonts w:hint="eastAsia" w:ascii="宋体" w:hAnsi="宋体"/>
          <w:color w:val="auto"/>
          <w:szCs w:val="21"/>
          <w:highlight w:val="none"/>
        </w:rPr>
        <w:t>职务：                              职务：</w:t>
      </w:r>
    </w:p>
    <w:p w14:paraId="64A18623">
      <w:pPr>
        <w:snapToGrid w:val="0"/>
        <w:spacing w:before="120" w:beforeLines="50" w:after="50"/>
        <w:ind w:firstLine="420"/>
        <w:rPr>
          <w:rFonts w:hint="eastAsia" w:ascii="宋体" w:hAnsi="宋体"/>
          <w:color w:val="auto"/>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eastAsia="宋体" w:cs="宋体"/>
          <w:color w:val="auto"/>
          <w:szCs w:val="21"/>
          <w:highlight w:val="none"/>
        </w:rPr>
        <w:t>供应商名称（公章）</w:t>
      </w:r>
      <w:r>
        <w:rPr>
          <w:rFonts w:hint="eastAsia" w:ascii="宋体" w:hAnsi="宋体"/>
          <w:color w:val="auto"/>
          <w:szCs w:val="21"/>
          <w:highlight w:val="none"/>
        </w:rPr>
        <w:t>：               年  月  日</w:t>
      </w:r>
    </w:p>
    <w:p w14:paraId="7295CAAB">
      <w:pPr>
        <w:snapToGrid w:val="0"/>
        <w:spacing w:before="120" w:beforeLines="50" w:after="50"/>
        <w:ind w:firstLine="420"/>
        <w:jc w:val="center"/>
        <w:outlineLvl w:val="1"/>
        <w:rPr>
          <w:rFonts w:hint="eastAsia" w:ascii="微软雅黑" w:hAnsi="微软雅黑"/>
          <w:b/>
          <w:color w:val="auto"/>
          <w:szCs w:val="21"/>
          <w:highlight w:val="none"/>
        </w:rPr>
      </w:pPr>
      <w:bookmarkStart w:id="198" w:name="_Toc11546"/>
      <w:r>
        <w:rPr>
          <w:rFonts w:hint="eastAsia" w:ascii="微软雅黑" w:hAnsi="微软雅黑"/>
          <w:b/>
          <w:color w:val="auto"/>
          <w:szCs w:val="21"/>
          <w:highlight w:val="none"/>
        </w:rPr>
        <w:t>三、政府采购活动现场确认声明书</w:t>
      </w:r>
      <w:bookmarkEnd w:id="198"/>
    </w:p>
    <w:p w14:paraId="563EF549">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s="宋体"/>
          <w:color w:val="auto"/>
          <w:szCs w:val="21"/>
          <w:highlight w:val="none"/>
          <w:u w:val="single"/>
        </w:rPr>
        <w:t>（采购人）、（采购代理机构）：</w:t>
      </w:r>
      <w:r>
        <w:rPr>
          <w:rFonts w:hint="eastAsia" w:ascii="微软雅黑" w:hAnsi="微软雅黑"/>
          <w:color w:val="auto"/>
          <w:szCs w:val="21"/>
          <w:highlight w:val="none"/>
        </w:rPr>
        <w:t>:</w:t>
      </w:r>
    </w:p>
    <w:p w14:paraId="05D32063">
      <w:pPr>
        <w:snapToGrid w:val="0"/>
        <w:spacing w:before="120" w:beforeLines="50" w:after="50"/>
        <w:ind w:firstLine="420"/>
        <w:rPr>
          <w:rFonts w:hint="eastAsia" w:ascii="微软雅黑" w:hAnsi="微软雅黑"/>
          <w:color w:val="auto"/>
          <w:szCs w:val="21"/>
          <w:highlight w:val="none"/>
        </w:rPr>
      </w:pPr>
      <w:r>
        <w:rPr>
          <w:rFonts w:ascii="微软雅黑" w:hAnsi="微软雅黑" w:cs="微软雅黑"/>
          <w:color w:val="auto"/>
          <w:szCs w:val="21"/>
          <w:highlight w:val="none"/>
          <w:lang w:bidi="ar"/>
        </w:rPr>
        <w:t>本人</w:t>
      </w:r>
      <w:r>
        <w:rPr>
          <w:rFonts w:ascii="微软雅黑" w:hAnsi="微软雅黑"/>
          <w:color w:val="auto"/>
          <w:szCs w:val="21"/>
          <w:highlight w:val="none"/>
          <w:lang w:bidi="ar"/>
        </w:rPr>
        <w:t xml:space="preserve"> </w:t>
      </w:r>
      <w:r>
        <w:rPr>
          <w:rFonts w:ascii="微软雅黑" w:hAnsi="微软雅黑" w:cs="微软雅黑"/>
          <w:color w:val="auto"/>
          <w:szCs w:val="21"/>
          <w:highlight w:val="none"/>
          <w:lang w:bidi="ar"/>
        </w:rPr>
        <w:t xml:space="preserve">____________（授权代表姓名），经由______________________________（单位） ____________ （法定代表人姓名）合法授权参加 </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（编号：</w:t>
      </w:r>
      <w:r>
        <w:rPr>
          <w:rFonts w:ascii="微软雅黑" w:hAnsi="微软雅黑"/>
          <w:color w:val="auto"/>
          <w:szCs w:val="21"/>
          <w:highlight w:val="none"/>
          <w:u w:val="single"/>
          <w:lang w:bidi="ar"/>
        </w:rPr>
        <w:t xml:space="preserve">       </w:t>
      </w:r>
      <w:r>
        <w:rPr>
          <w:rFonts w:ascii="微软雅黑" w:hAnsi="微软雅黑" w:cs="微软雅黑"/>
          <w:color w:val="auto"/>
          <w:szCs w:val="21"/>
          <w:highlight w:val="none"/>
          <w:u w:val="single"/>
          <w:lang w:bidi="ar"/>
        </w:rPr>
        <w:t>）</w:t>
      </w:r>
      <w:r>
        <w:rPr>
          <w:rFonts w:ascii="微软雅黑" w:hAnsi="微软雅黑" w:cs="微软雅黑"/>
          <w:color w:val="auto"/>
          <w:szCs w:val="21"/>
          <w:highlight w:val="none"/>
          <w:lang w:bidi="ar"/>
        </w:rPr>
        <w:t>政府采购活动．经与本单位法人代表（负责人）联系确认，现就有关公平竞争事项郑重声明如下:</w:t>
      </w:r>
    </w:p>
    <w:p w14:paraId="17559D2B">
      <w:pPr>
        <w:snapToGrid w:val="0"/>
        <w:spacing w:before="120" w:beforeLines="50" w:after="50"/>
        <w:ind w:firstLine="420"/>
        <w:outlineLvl w:val="1"/>
        <w:rPr>
          <w:rFonts w:hint="eastAsia" w:ascii="微软雅黑" w:hAnsi="微软雅黑"/>
          <w:color w:val="auto"/>
          <w:szCs w:val="21"/>
          <w:highlight w:val="none"/>
        </w:rPr>
      </w:pPr>
      <w:bookmarkStart w:id="199" w:name="_Toc5627"/>
      <w:r>
        <w:rPr>
          <w:rFonts w:hint="eastAsia" w:ascii="微软雅黑" w:hAnsi="微软雅黑"/>
          <w:color w:val="auto"/>
          <w:szCs w:val="21"/>
          <w:highlight w:val="none"/>
        </w:rPr>
        <w:t>一、本单位与采购人之间口不存在利害关系口存在下列利害关系：</w:t>
      </w:r>
      <w:bookmarkEnd w:id="199"/>
    </w:p>
    <w:p w14:paraId="3DE3585F">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A．投资关系 B．行政隶属关系 C．业务指导关系D．其他可能影响采购公正的利害关系（如有，请如实说明）。</w:t>
      </w:r>
    </w:p>
    <w:p w14:paraId="5D58E696">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二、现己清楚知道参加本项目采购活动的其他所有供应商名称，本单位 口与其他所有供应商之间均不存在利害关系 口与______________（供应商名称）之间存在下列利害关系:</w:t>
      </w:r>
    </w:p>
    <w:p w14:paraId="76C291F8">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A．法定代表人或负责人或实际控制人是同一人</w:t>
      </w:r>
    </w:p>
    <w:p w14:paraId="77B38174">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B．法定代表人或负责人或实际控制人是夫妻关系</w:t>
      </w:r>
    </w:p>
    <w:p w14:paraId="6B98479C">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C．法定代表人或负责人或实际控制人是直系血亲关系</w:t>
      </w:r>
    </w:p>
    <w:p w14:paraId="7C7931E5">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D．法定代表人或负责人或实际控制人存在三代以内旁系血亲关系</w:t>
      </w:r>
    </w:p>
    <w:p w14:paraId="383608AA">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E．法定代表人或负责人或实际控制人存在近姻亲关系</w:t>
      </w:r>
    </w:p>
    <w:p w14:paraId="6551BDC5">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F．法定代表人或负责人或实际控制人存在股份控制或实际控制关系</w:t>
      </w:r>
    </w:p>
    <w:p w14:paraId="6954BB64">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G．存在共同直接或间接投资设立子公司、联营企业和合营企业情况</w:t>
      </w:r>
    </w:p>
    <w:p w14:paraId="1CC82DC3">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H．存在分级代理或代销关系、同一生产制造商关系、管理关系、重要业务（占主营业务收入 50 ％以上）或重要财务往来关系（如融资）等其他实质性控制关系</w:t>
      </w:r>
    </w:p>
    <w:p w14:paraId="2F946144">
      <w:pPr>
        <w:snapToGrid w:val="0"/>
        <w:spacing w:before="120" w:beforeLines="50" w:after="50" w:line="240" w:lineRule="auto"/>
        <w:ind w:firstLine="420"/>
        <w:rPr>
          <w:rFonts w:hint="eastAsia" w:ascii="微软雅黑" w:hAnsi="微软雅黑"/>
          <w:color w:val="auto"/>
          <w:szCs w:val="21"/>
          <w:highlight w:val="none"/>
        </w:rPr>
      </w:pPr>
      <w:r>
        <w:rPr>
          <w:rFonts w:hint="eastAsia" w:ascii="微软雅黑" w:hAnsi="微软雅黑"/>
          <w:color w:val="auto"/>
          <w:szCs w:val="21"/>
          <w:highlight w:val="none"/>
        </w:rPr>
        <w:t>I．其他利害关系情况 ________________________________________。</w:t>
      </w:r>
    </w:p>
    <w:p w14:paraId="7D3EF87B">
      <w:pPr>
        <w:snapToGrid w:val="0"/>
        <w:spacing w:before="120" w:beforeLines="50" w:after="50"/>
        <w:ind w:firstLine="420"/>
        <w:outlineLvl w:val="1"/>
        <w:rPr>
          <w:rFonts w:hint="eastAsia" w:ascii="微软雅黑" w:hAnsi="微软雅黑"/>
          <w:color w:val="auto"/>
          <w:szCs w:val="21"/>
          <w:highlight w:val="none"/>
        </w:rPr>
      </w:pPr>
      <w:bookmarkStart w:id="200" w:name="_Toc11452"/>
      <w:r>
        <w:rPr>
          <w:rFonts w:hint="eastAsia" w:ascii="微软雅黑" w:hAnsi="微软雅黑"/>
          <w:color w:val="auto"/>
          <w:szCs w:val="21"/>
          <w:highlight w:val="none"/>
        </w:rPr>
        <w:t>三、现己清楚知道并严格遵守政府采购法律法规和现场纪律。</w:t>
      </w:r>
      <w:bookmarkEnd w:id="200"/>
    </w:p>
    <w:p w14:paraId="4452B58D">
      <w:pPr>
        <w:snapToGrid w:val="0"/>
        <w:spacing w:before="120" w:beforeLines="50" w:after="50"/>
        <w:ind w:firstLine="420"/>
        <w:rPr>
          <w:rFonts w:hint="eastAsia" w:ascii="微软雅黑" w:hAnsi="微软雅黑"/>
          <w:color w:val="auto"/>
          <w:szCs w:val="21"/>
          <w:highlight w:val="none"/>
        </w:rPr>
      </w:pPr>
      <w:r>
        <w:rPr>
          <w:rFonts w:hint="eastAsia" w:ascii="微软雅黑" w:hAnsi="微软雅黑"/>
          <w:color w:val="auto"/>
          <w:szCs w:val="21"/>
          <w:highlight w:val="none"/>
        </w:rPr>
        <w:t>四、我发现 ____________________供应商之间存在或可能存在上述第二条第 ____________项利害关系。</w:t>
      </w:r>
    </w:p>
    <w:p w14:paraId="051B0DB8">
      <w:pPr>
        <w:snapToGrid w:val="0"/>
        <w:spacing w:before="120" w:beforeLines="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（供应商代表签名）:</w:t>
      </w:r>
    </w:p>
    <w:p w14:paraId="391A4D13">
      <w:pPr>
        <w:snapToGrid w:val="0"/>
        <w:spacing w:before="120" w:beforeLines="50" w:after="50"/>
        <w:ind w:firstLine="420"/>
        <w:jc w:val="right"/>
        <w:rPr>
          <w:rFonts w:hint="eastAsia" w:ascii="微软雅黑" w:hAnsi="微软雅黑" w:cs="仿宋_GB2312"/>
          <w:b/>
          <w:color w:val="auto"/>
          <w:kern w:val="0"/>
          <w:szCs w:val="21"/>
          <w:highlight w:val="none"/>
        </w:rPr>
      </w:pPr>
      <w:r>
        <w:rPr>
          <w:rFonts w:hint="eastAsia" w:ascii="微软雅黑" w:hAnsi="微软雅黑"/>
          <w:color w:val="auto"/>
          <w:szCs w:val="21"/>
          <w:highlight w:val="none"/>
        </w:rPr>
        <w:t xml:space="preserve">    年  月  日</w:t>
      </w:r>
    </w:p>
    <w:p w14:paraId="06B1D511">
      <w:pPr>
        <w:pStyle w:val="3"/>
        <w:ind w:firstLine="420"/>
        <w:rPr>
          <w:rFonts w:hint="eastAsia" w:ascii="微软雅黑" w:hAnsi="微软雅黑"/>
          <w:color w:val="auto"/>
          <w:szCs w:val="21"/>
          <w:highlight w:val="none"/>
          <w:lang w:val="zh-CN"/>
        </w:rPr>
      </w:pPr>
    </w:p>
    <w:p w14:paraId="731B9461">
      <w:pPr>
        <w:ind w:firstLine="420"/>
        <w:jc w:val="center"/>
        <w:outlineLvl w:val="1"/>
        <w:rPr>
          <w:rFonts w:hint="eastAsia" w:ascii="微软雅黑" w:hAnsi="微软雅黑" w:cs="仿宋_GB2312"/>
          <w:b/>
          <w:color w:val="auto"/>
          <w:kern w:val="0"/>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201" w:name="_Toc16507"/>
    </w:p>
    <w:p w14:paraId="118426DB">
      <w:pPr>
        <w:ind w:firstLine="420"/>
        <w:jc w:val="center"/>
        <w:outlineLvl w:val="1"/>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四、符合性审查资料</w:t>
      </w:r>
      <w:bookmarkEnd w:id="201"/>
    </w:p>
    <w:tbl>
      <w:tblPr>
        <w:tblStyle w:val="5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4547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B01C209">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3715" w:type="dxa"/>
            <w:vAlign w:val="center"/>
          </w:tcPr>
          <w:p w14:paraId="3EAC949A">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实质性要求</w:t>
            </w:r>
          </w:p>
        </w:tc>
        <w:tc>
          <w:tcPr>
            <w:tcW w:w="2939" w:type="dxa"/>
            <w:vAlign w:val="center"/>
          </w:tcPr>
          <w:p w14:paraId="273BEA36">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需要提供的符合性审查资料</w:t>
            </w:r>
          </w:p>
        </w:tc>
        <w:tc>
          <w:tcPr>
            <w:tcW w:w="1880" w:type="dxa"/>
            <w:vAlign w:val="center"/>
          </w:tcPr>
          <w:p w14:paraId="0FC5FC59">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投标文件中的</w:t>
            </w:r>
          </w:p>
          <w:p w14:paraId="2AB5CEF8">
            <w:pPr>
              <w:snapToGrid w:val="0"/>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页码位置</w:t>
            </w:r>
          </w:p>
        </w:tc>
      </w:tr>
      <w:tr w14:paraId="6D24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F495588">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1</w:t>
            </w:r>
          </w:p>
        </w:tc>
        <w:tc>
          <w:tcPr>
            <w:tcW w:w="3715" w:type="dxa"/>
          </w:tcPr>
          <w:p w14:paraId="3B4FC79D">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投标文件按照招标文件要求签署、盖章。</w:t>
            </w:r>
          </w:p>
        </w:tc>
        <w:tc>
          <w:tcPr>
            <w:tcW w:w="2939" w:type="dxa"/>
            <w:vAlign w:val="center"/>
          </w:tcPr>
          <w:p w14:paraId="7848C7BF">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需要使用电子签名或者签字盖章的投标文件的组成部分</w:t>
            </w:r>
          </w:p>
        </w:tc>
        <w:tc>
          <w:tcPr>
            <w:tcW w:w="1880" w:type="dxa"/>
          </w:tcPr>
          <w:p w14:paraId="1ECF6B88">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s="仿宋_GB2312"/>
                <w:color w:val="auto"/>
                <w:szCs w:val="21"/>
                <w:highlight w:val="none"/>
              </w:rPr>
              <w:t>见投标文件</w:t>
            </w:r>
          </w:p>
          <w:p w14:paraId="1404F05B">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578D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525E844">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2</w:t>
            </w:r>
          </w:p>
        </w:tc>
        <w:tc>
          <w:tcPr>
            <w:tcW w:w="3715" w:type="dxa"/>
          </w:tcPr>
          <w:p w14:paraId="4781350B">
            <w:pPr>
              <w:spacing w:line="240" w:lineRule="auto"/>
              <w:ind w:firstLine="0" w:firstLineChars="0"/>
              <w:rPr>
                <w:rFonts w:hint="eastAsia" w:ascii="微软雅黑" w:hAnsi="微软雅黑" w:cs="仿宋_GB2312"/>
                <w:color w:val="auto"/>
                <w:szCs w:val="21"/>
                <w:highlight w:val="none"/>
              </w:rPr>
            </w:pPr>
            <w:r>
              <w:rPr>
                <w:rFonts w:hint="eastAsia" w:ascii="微软雅黑" w:hAnsi="微软雅黑"/>
                <w:color w:val="auto"/>
                <w:szCs w:val="21"/>
                <w:highlight w:val="none"/>
              </w:rPr>
              <w:t>投标文件中承诺的投标有效期不少于招标文件中载明的投标有效期。</w:t>
            </w:r>
          </w:p>
        </w:tc>
        <w:tc>
          <w:tcPr>
            <w:tcW w:w="2939" w:type="dxa"/>
            <w:vAlign w:val="center"/>
          </w:tcPr>
          <w:p w14:paraId="16D9394F">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投标函</w:t>
            </w:r>
          </w:p>
        </w:tc>
        <w:tc>
          <w:tcPr>
            <w:tcW w:w="1880" w:type="dxa"/>
          </w:tcPr>
          <w:p w14:paraId="4DAF6B6F">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r w14:paraId="10B3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E7A9E8">
            <w:pPr>
              <w:spacing w:line="240" w:lineRule="auto"/>
              <w:ind w:firstLine="0" w:firstLineChars="0"/>
              <w:rPr>
                <w:rFonts w:hint="eastAsia" w:ascii="微软雅黑" w:hAnsi="微软雅黑" w:eastAsia="微软雅黑"/>
                <w:color w:val="auto"/>
                <w:szCs w:val="21"/>
                <w:highlight w:val="none"/>
                <w:lang w:eastAsia="zh-CN"/>
              </w:rPr>
            </w:pPr>
            <w:r>
              <w:rPr>
                <w:rFonts w:hint="eastAsia" w:ascii="微软雅黑" w:hAnsi="微软雅黑"/>
                <w:color w:val="auto"/>
                <w:szCs w:val="21"/>
                <w:highlight w:val="none"/>
                <w:lang w:val="en-US" w:eastAsia="zh-CN"/>
              </w:rPr>
              <w:t>3</w:t>
            </w:r>
          </w:p>
        </w:tc>
        <w:tc>
          <w:tcPr>
            <w:tcW w:w="3715" w:type="dxa"/>
          </w:tcPr>
          <w:p w14:paraId="26481471">
            <w:pPr>
              <w:spacing w:line="240" w:lineRule="auto"/>
              <w:ind w:firstLine="0" w:firstLineChars="0"/>
              <w:rPr>
                <w:rFonts w:hint="eastAsia" w:ascii="微软雅黑" w:hAnsi="微软雅黑"/>
                <w:color w:val="auto"/>
                <w:szCs w:val="21"/>
                <w:highlight w:val="none"/>
              </w:rPr>
            </w:pPr>
            <w:r>
              <w:rPr>
                <w:rFonts w:hint="eastAsia" w:ascii="微软雅黑" w:hAnsi="微软雅黑"/>
                <w:color w:val="auto"/>
                <w:szCs w:val="21"/>
                <w:highlight w:val="none"/>
              </w:rPr>
              <w:t>投标文件满足招标文件的其它实质性要求。</w:t>
            </w:r>
          </w:p>
        </w:tc>
        <w:tc>
          <w:tcPr>
            <w:tcW w:w="2939" w:type="dxa"/>
            <w:vAlign w:val="center"/>
          </w:tcPr>
          <w:p w14:paraId="74845BB9">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kern w:val="0"/>
                <w:szCs w:val="21"/>
                <w:highlight w:val="none"/>
              </w:rPr>
              <w:t>招标文件其它实质性要求相应的材料（“▲”</w:t>
            </w:r>
            <w:r>
              <w:rPr>
                <w:rFonts w:ascii="微软雅黑" w:hAnsi="微软雅黑" w:cs="仿宋_GB2312"/>
                <w:color w:val="auto"/>
                <w:kern w:val="0"/>
                <w:szCs w:val="21"/>
                <w:highlight w:val="none"/>
              </w:rPr>
              <w:t xml:space="preserve"> </w:t>
            </w:r>
            <w:r>
              <w:rPr>
                <w:rFonts w:hint="eastAsia" w:ascii="微软雅黑" w:hAnsi="微软雅黑" w:cs="仿宋_GB2312"/>
                <w:color w:val="auto"/>
                <w:kern w:val="0"/>
                <w:szCs w:val="21"/>
                <w:highlight w:val="none"/>
              </w:rPr>
              <w:t>系指实质性要求条款，招标文件无其它实质性要求的，无需提供）</w:t>
            </w:r>
          </w:p>
        </w:tc>
        <w:tc>
          <w:tcPr>
            <w:tcW w:w="1880" w:type="dxa"/>
          </w:tcPr>
          <w:p w14:paraId="0D99768D">
            <w:pPr>
              <w:spacing w:line="240" w:lineRule="auto"/>
              <w:ind w:firstLine="0" w:firstLineChars="0"/>
              <w:rPr>
                <w:rFonts w:hint="eastAsia" w:ascii="微软雅黑" w:hAnsi="微软雅黑"/>
                <w:color w:val="auto"/>
                <w:szCs w:val="21"/>
                <w:highlight w:val="none"/>
              </w:rPr>
            </w:pPr>
            <w:r>
              <w:rPr>
                <w:rFonts w:hint="eastAsia" w:ascii="微软雅黑" w:hAnsi="微软雅黑" w:cs="仿宋_GB2312"/>
                <w:color w:val="auto"/>
                <w:szCs w:val="21"/>
                <w:highlight w:val="none"/>
              </w:rPr>
              <w:t>见投标文件第</w:t>
            </w:r>
            <w:r>
              <w:rPr>
                <w:rFonts w:ascii="微软雅黑" w:hAnsi="微软雅黑" w:cs="仿宋_GB2312"/>
                <w:color w:val="auto"/>
                <w:szCs w:val="21"/>
                <w:highlight w:val="none"/>
                <w:u w:val="single"/>
              </w:rPr>
              <w:t xml:space="preserve">  </w:t>
            </w:r>
            <w:r>
              <w:rPr>
                <w:rFonts w:hint="eastAsia" w:ascii="微软雅黑" w:hAnsi="微软雅黑" w:cs="仿宋_GB2312"/>
                <w:color w:val="auto"/>
                <w:szCs w:val="21"/>
                <w:highlight w:val="none"/>
              </w:rPr>
              <w:t>页</w:t>
            </w:r>
          </w:p>
        </w:tc>
      </w:tr>
    </w:tbl>
    <w:p w14:paraId="569EE8BB">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36A5ECE8">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3ACC00CC">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2584373F">
      <w:pPr>
        <w:ind w:firstLine="643"/>
        <w:jc w:val="both"/>
        <w:rPr>
          <w:rFonts w:hint="eastAsia" w:ascii="仿宋_GB2312" w:hAnsi="仿宋" w:eastAsia="仿宋_GB2312" w:cs="仿宋_GB2312"/>
          <w:b/>
          <w:color w:val="auto"/>
          <w:kern w:val="0"/>
          <w:sz w:val="32"/>
          <w:szCs w:val="32"/>
          <w:highlight w:val="none"/>
        </w:rPr>
      </w:pPr>
      <w:r>
        <w:rPr>
          <w:rFonts w:ascii="仿宋_GB2312" w:hAnsi="仿宋" w:eastAsia="仿宋_GB2312" w:cs="仿宋_GB2312"/>
          <w:b/>
          <w:color w:val="auto"/>
          <w:kern w:val="0"/>
          <w:sz w:val="32"/>
          <w:szCs w:val="32"/>
          <w:highlight w:val="none"/>
        </w:rPr>
        <w:t xml:space="preserve">            </w:t>
      </w:r>
    </w:p>
    <w:p w14:paraId="1050DEEC">
      <w:pPr>
        <w:ind w:firstLine="643"/>
        <w:jc w:val="center"/>
        <w:rPr>
          <w:rFonts w:hint="eastAsia" w:ascii="仿宋_GB2312" w:hAnsi="仿宋" w:eastAsia="仿宋_GB2312" w:cs="仿宋_GB2312"/>
          <w:b/>
          <w:color w:val="auto"/>
          <w:kern w:val="0"/>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162F468">
      <w:pPr>
        <w:ind w:firstLine="420"/>
        <w:jc w:val="center"/>
        <w:outlineLvl w:val="1"/>
        <w:rPr>
          <w:rFonts w:hint="eastAsia" w:ascii="微软雅黑" w:hAnsi="微软雅黑" w:cs="仿宋_GB2312"/>
          <w:b/>
          <w:color w:val="auto"/>
          <w:kern w:val="0"/>
          <w:szCs w:val="21"/>
          <w:highlight w:val="none"/>
        </w:rPr>
      </w:pPr>
      <w:bookmarkStart w:id="202" w:name="_Toc17270"/>
      <w:r>
        <w:rPr>
          <w:rFonts w:hint="eastAsia" w:ascii="微软雅黑" w:hAnsi="微软雅黑" w:cs="仿宋_GB2312"/>
          <w:b/>
          <w:color w:val="auto"/>
          <w:kern w:val="0"/>
          <w:szCs w:val="21"/>
          <w:highlight w:val="none"/>
        </w:rPr>
        <w:t>五、评分对应表</w:t>
      </w:r>
      <w:bookmarkEnd w:id="202"/>
    </w:p>
    <w:tbl>
      <w:tblPr>
        <w:tblStyle w:val="54"/>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4BF0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7A12F7C9">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0AF2ED4F">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11354350">
            <w:pPr>
              <w:snapToGrid w:val="0"/>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投标文件中的页码位置</w:t>
            </w:r>
          </w:p>
        </w:tc>
      </w:tr>
      <w:tr w14:paraId="496AD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9CCE9AE">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2A61F3AF">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7F33CA3">
            <w:pPr>
              <w:snapToGrid w:val="0"/>
              <w:spacing w:line="240" w:lineRule="auto"/>
              <w:ind w:firstLine="0" w:firstLineChars="0"/>
              <w:rPr>
                <w:rFonts w:hint="eastAsia" w:ascii="微软雅黑" w:hAnsi="微软雅黑"/>
                <w:color w:val="auto"/>
                <w:szCs w:val="21"/>
                <w:highlight w:val="none"/>
              </w:rPr>
            </w:pPr>
          </w:p>
        </w:tc>
      </w:tr>
      <w:tr w14:paraId="0AF8E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B05EF41">
            <w:pPr>
              <w:spacing w:line="240" w:lineRule="auto"/>
              <w:ind w:firstLine="0" w:firstLineChars="0"/>
              <w:jc w:val="center"/>
              <w:rPr>
                <w:rFonts w:hint="eastAsia" w:ascii="微软雅黑" w:hAnsi="微软雅黑" w:cs="宋体"/>
                <w:color w:val="auto"/>
                <w:szCs w:val="21"/>
                <w:highlight w:val="none"/>
              </w:rPr>
            </w:pPr>
            <w:r>
              <w:rPr>
                <w:rFonts w:hint="eastAsia" w:ascii="微软雅黑" w:hAnsi="微软雅黑" w:cs="宋体"/>
                <w:color w:val="auto"/>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29BCE7C4">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27D034CF">
            <w:pPr>
              <w:snapToGrid w:val="0"/>
              <w:spacing w:line="240" w:lineRule="auto"/>
              <w:ind w:firstLine="0" w:firstLineChars="0"/>
              <w:rPr>
                <w:rFonts w:hint="eastAsia" w:ascii="微软雅黑" w:hAnsi="微软雅黑"/>
                <w:color w:val="auto"/>
                <w:szCs w:val="21"/>
                <w:highlight w:val="none"/>
              </w:rPr>
            </w:pPr>
          </w:p>
        </w:tc>
      </w:tr>
      <w:tr w14:paraId="22620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503EF9E">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FFE656D">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3226F84">
            <w:pPr>
              <w:snapToGrid w:val="0"/>
              <w:spacing w:line="240" w:lineRule="auto"/>
              <w:ind w:firstLine="0" w:firstLineChars="0"/>
              <w:rPr>
                <w:rFonts w:hint="eastAsia" w:ascii="微软雅黑" w:hAnsi="微软雅黑"/>
                <w:color w:val="auto"/>
                <w:szCs w:val="21"/>
                <w:highlight w:val="none"/>
              </w:rPr>
            </w:pPr>
          </w:p>
        </w:tc>
      </w:tr>
      <w:tr w14:paraId="73E69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13B4355">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1F34B70">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2A366A3">
            <w:pPr>
              <w:snapToGrid w:val="0"/>
              <w:spacing w:line="240" w:lineRule="auto"/>
              <w:ind w:firstLine="0" w:firstLineChars="0"/>
              <w:rPr>
                <w:rFonts w:hint="eastAsia" w:ascii="微软雅黑" w:hAnsi="微软雅黑"/>
                <w:color w:val="auto"/>
                <w:szCs w:val="21"/>
                <w:highlight w:val="none"/>
              </w:rPr>
            </w:pPr>
          </w:p>
        </w:tc>
      </w:tr>
      <w:tr w14:paraId="284BC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38E626C">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02C2518">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92F3FAD">
            <w:pPr>
              <w:snapToGrid w:val="0"/>
              <w:spacing w:line="240" w:lineRule="auto"/>
              <w:ind w:firstLine="0" w:firstLineChars="0"/>
              <w:rPr>
                <w:rFonts w:hint="eastAsia" w:ascii="微软雅黑" w:hAnsi="微软雅黑"/>
                <w:color w:val="auto"/>
                <w:szCs w:val="21"/>
                <w:highlight w:val="none"/>
              </w:rPr>
            </w:pPr>
          </w:p>
        </w:tc>
      </w:tr>
      <w:tr w14:paraId="000B7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6E9E4C90">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7217302">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15C7719">
            <w:pPr>
              <w:snapToGrid w:val="0"/>
              <w:spacing w:line="240" w:lineRule="auto"/>
              <w:ind w:firstLine="0" w:firstLineChars="0"/>
              <w:rPr>
                <w:rFonts w:hint="eastAsia" w:ascii="微软雅黑" w:hAnsi="微软雅黑"/>
                <w:color w:val="auto"/>
                <w:szCs w:val="21"/>
                <w:highlight w:val="none"/>
              </w:rPr>
            </w:pPr>
          </w:p>
        </w:tc>
      </w:tr>
      <w:tr w14:paraId="4811C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92B7CCF">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2F2D1547">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C89526B">
            <w:pPr>
              <w:snapToGrid w:val="0"/>
              <w:spacing w:line="240" w:lineRule="auto"/>
              <w:ind w:firstLine="0" w:firstLineChars="0"/>
              <w:rPr>
                <w:rFonts w:hint="eastAsia" w:ascii="微软雅黑" w:hAnsi="微软雅黑"/>
                <w:color w:val="auto"/>
                <w:szCs w:val="21"/>
                <w:highlight w:val="none"/>
              </w:rPr>
            </w:pPr>
          </w:p>
        </w:tc>
      </w:tr>
      <w:tr w14:paraId="5F61E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08B89BA">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A691C79">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7A069EC">
            <w:pPr>
              <w:snapToGrid w:val="0"/>
              <w:spacing w:line="240" w:lineRule="auto"/>
              <w:ind w:firstLine="0" w:firstLineChars="0"/>
              <w:rPr>
                <w:rFonts w:hint="eastAsia" w:ascii="微软雅黑" w:hAnsi="微软雅黑"/>
                <w:color w:val="auto"/>
                <w:szCs w:val="21"/>
                <w:highlight w:val="none"/>
              </w:rPr>
            </w:pPr>
          </w:p>
        </w:tc>
      </w:tr>
      <w:tr w14:paraId="45DD9C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FD44D60">
            <w:pPr>
              <w:snapToGrid w:val="0"/>
              <w:spacing w:line="240" w:lineRule="auto"/>
              <w:ind w:firstLine="0" w:firstLineChars="0"/>
              <w:rPr>
                <w:rFonts w:hint="eastAsia" w:ascii="微软雅黑" w:hAnsi="微软雅黑"/>
                <w:color w:val="auto"/>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453F5031">
            <w:pPr>
              <w:snapToGrid w:val="0"/>
              <w:spacing w:line="240" w:lineRule="auto"/>
              <w:ind w:firstLine="0" w:firstLineChars="0"/>
              <w:rPr>
                <w:rFonts w:hint="eastAsia" w:ascii="微软雅黑" w:hAnsi="微软雅黑"/>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7DF054A">
            <w:pPr>
              <w:snapToGrid w:val="0"/>
              <w:spacing w:line="240" w:lineRule="auto"/>
              <w:ind w:firstLine="0" w:firstLineChars="0"/>
              <w:rPr>
                <w:rFonts w:hint="eastAsia" w:ascii="微软雅黑" w:hAnsi="微软雅黑"/>
                <w:color w:val="auto"/>
                <w:szCs w:val="21"/>
                <w:highlight w:val="none"/>
              </w:rPr>
            </w:pPr>
          </w:p>
        </w:tc>
      </w:tr>
    </w:tbl>
    <w:p w14:paraId="47558273">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673448B3">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67C1EA20">
      <w:pPr>
        <w:pStyle w:val="120"/>
        <w:ind w:firstLine="420"/>
        <w:jc w:val="center"/>
        <w:rPr>
          <w:rFonts w:hint="eastAsia" w:ascii="微软雅黑" w:hAnsi="微软雅黑" w:eastAsia="微软雅黑" w:cs="仿宋_GB2312"/>
          <w:b/>
          <w:color w:val="auto"/>
          <w:kern w:val="0"/>
          <w:sz w:val="21"/>
          <w:szCs w:val="21"/>
          <w:highlight w:val="none"/>
        </w:rPr>
      </w:pPr>
      <w:r>
        <w:rPr>
          <w:rFonts w:hint="eastAsia" w:ascii="微软雅黑" w:hAnsi="微软雅黑" w:eastAsia="微软雅黑"/>
          <w:color w:val="auto"/>
          <w:sz w:val="21"/>
          <w:szCs w:val="21"/>
          <w:highlight w:val="none"/>
        </w:rPr>
        <w:t xml:space="preserve">          日期： 年 月 日</w:t>
      </w:r>
    </w:p>
    <w:p w14:paraId="1CF6C507">
      <w:pPr>
        <w:ind w:firstLine="420"/>
        <w:jc w:val="center"/>
        <w:rPr>
          <w:rFonts w:hint="eastAsia" w:ascii="微软雅黑" w:hAnsi="微软雅黑" w:cs="仿宋_GB2312"/>
          <w:b/>
          <w:color w:val="auto"/>
          <w:kern w:val="0"/>
          <w:szCs w:val="21"/>
          <w:highlight w:val="none"/>
        </w:rPr>
      </w:pPr>
    </w:p>
    <w:p w14:paraId="0B7A6EBE">
      <w:pPr>
        <w:ind w:firstLine="420"/>
        <w:jc w:val="center"/>
        <w:rPr>
          <w:rFonts w:hint="eastAsia" w:ascii="微软雅黑" w:hAnsi="微软雅黑" w:cs="仿宋_GB2312"/>
          <w:b/>
          <w:color w:val="auto"/>
          <w:kern w:val="0"/>
          <w:szCs w:val="21"/>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1C34FFA">
      <w:pPr>
        <w:ind w:firstLine="420"/>
        <w:jc w:val="center"/>
        <w:outlineLvl w:val="1"/>
        <w:rPr>
          <w:rFonts w:hint="eastAsia" w:ascii="微软雅黑" w:hAnsi="微软雅黑"/>
          <w:color w:val="auto"/>
          <w:szCs w:val="21"/>
          <w:highlight w:val="none"/>
        </w:rPr>
      </w:pPr>
      <w:bookmarkStart w:id="203" w:name="_Toc8171"/>
      <w:r>
        <w:rPr>
          <w:rFonts w:hint="eastAsia" w:ascii="微软雅黑" w:hAnsi="微软雅黑" w:cs="仿宋_GB2312"/>
          <w:b/>
          <w:color w:val="auto"/>
          <w:kern w:val="0"/>
          <w:szCs w:val="21"/>
          <w:highlight w:val="none"/>
        </w:rPr>
        <w:t>六、评标标准相应的商务技术资料</w:t>
      </w:r>
      <w:bookmarkEnd w:id="203"/>
    </w:p>
    <w:p w14:paraId="4C545C57">
      <w:pPr>
        <w:widowControl/>
        <w:ind w:firstLine="426" w:firstLineChars="152"/>
        <w:rPr>
          <w:rFonts w:hint="eastAsia" w:ascii="微软雅黑" w:hAnsi="微软雅黑"/>
          <w:b/>
          <w:bCs/>
          <w:color w:val="auto"/>
          <w:sz w:val="28"/>
          <w:szCs w:val="28"/>
          <w:highlight w:val="none"/>
          <w:shd w:val="pct10" w:color="auto" w:fill="FFFFFF"/>
        </w:rPr>
      </w:pPr>
      <w:r>
        <w:rPr>
          <w:rFonts w:ascii="微软雅黑" w:hAnsi="微软雅黑" w:cs="sans-serif"/>
          <w:b/>
          <w:bCs/>
          <w:color w:val="auto"/>
          <w:kern w:val="0"/>
          <w:sz w:val="28"/>
          <w:szCs w:val="28"/>
          <w:highlight w:val="none"/>
          <w:shd w:val="pct10" w:color="auto" w:fill="FFFFFF"/>
          <w:lang w:bidi="ar"/>
        </w:rPr>
        <w:t>（根据采购需求、评标办法及标准要求</w:t>
      </w:r>
      <w:r>
        <w:rPr>
          <w:rFonts w:hint="eastAsia" w:ascii="微软雅黑" w:hAnsi="微软雅黑" w:cs="sans-serif"/>
          <w:b/>
          <w:bCs/>
          <w:color w:val="auto"/>
          <w:kern w:val="0"/>
          <w:sz w:val="28"/>
          <w:szCs w:val="28"/>
          <w:highlight w:val="none"/>
          <w:shd w:val="pct10" w:color="auto" w:fill="FFFFFF"/>
          <w:lang w:bidi="ar"/>
        </w:rPr>
        <w:t>，自行选取</w:t>
      </w:r>
      <w:r>
        <w:rPr>
          <w:rFonts w:ascii="微软雅黑" w:hAnsi="微软雅黑" w:cs="sans-serif"/>
          <w:b/>
          <w:bCs/>
          <w:color w:val="auto"/>
          <w:kern w:val="0"/>
          <w:sz w:val="28"/>
          <w:szCs w:val="28"/>
          <w:highlight w:val="none"/>
          <w:shd w:val="pct10" w:color="auto" w:fill="FFFFFF"/>
          <w:lang w:bidi="ar"/>
        </w:rPr>
        <w:t>提供，除以下投标文件格式外相关资料由供应商自拟。）</w:t>
      </w:r>
    </w:p>
    <w:p w14:paraId="22B6678A">
      <w:pPr>
        <w:pStyle w:val="120"/>
        <w:ind w:firstLine="482"/>
        <w:jc w:val="both"/>
        <w:rPr>
          <w:rFonts w:ascii="Times New Roman" w:hAnsi="Times New Roman" w:eastAsia="宋体"/>
          <w:b/>
          <w:color w:val="auto"/>
          <w:sz w:val="24"/>
          <w:szCs w:val="24"/>
          <w:highlight w:val="none"/>
        </w:rPr>
      </w:pPr>
    </w:p>
    <w:p w14:paraId="13BB4FBA">
      <w:pPr>
        <w:pStyle w:val="120"/>
        <w:ind w:firstLine="420"/>
        <w:jc w:val="both"/>
        <w:rPr>
          <w:rFonts w:hint="eastAsia" w:ascii="微软雅黑" w:hAnsi="微软雅黑" w:eastAsia="微软雅黑"/>
          <w:color w:val="auto"/>
          <w:sz w:val="21"/>
          <w:szCs w:val="21"/>
          <w:highlight w:val="none"/>
        </w:rPr>
      </w:pPr>
      <w:r>
        <w:rPr>
          <w:rFonts w:hint="eastAsia" w:ascii="微软雅黑" w:hAnsi="微软雅黑" w:eastAsia="微软雅黑"/>
          <w:b/>
          <w:color w:val="auto"/>
          <w:sz w:val="21"/>
          <w:szCs w:val="21"/>
          <w:highlight w:val="none"/>
        </w:rPr>
        <w:t>1.同类项目业绩一览表</w:t>
      </w:r>
    </w:p>
    <w:p w14:paraId="54C82F68">
      <w:pPr>
        <w:pStyle w:val="120"/>
        <w:ind w:firstLine="420"/>
        <w:jc w:val="center"/>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同类项目业绩一览表</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21C3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0C4BB5AD">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序号</w:t>
            </w:r>
          </w:p>
        </w:tc>
        <w:tc>
          <w:tcPr>
            <w:tcW w:w="1578" w:type="dxa"/>
            <w:vAlign w:val="center"/>
          </w:tcPr>
          <w:p w14:paraId="576629BF">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w:t>
            </w:r>
          </w:p>
          <w:p w14:paraId="5AD4B6E2">
            <w:pPr>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名  称</w:t>
            </w:r>
          </w:p>
        </w:tc>
        <w:tc>
          <w:tcPr>
            <w:tcW w:w="2003" w:type="dxa"/>
            <w:vAlign w:val="center"/>
          </w:tcPr>
          <w:p w14:paraId="5FA7BE4C">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项目名称</w:t>
            </w:r>
          </w:p>
        </w:tc>
        <w:tc>
          <w:tcPr>
            <w:tcW w:w="1798" w:type="dxa"/>
            <w:vAlign w:val="center"/>
          </w:tcPr>
          <w:p w14:paraId="392E714B">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项目起止时间</w:t>
            </w:r>
          </w:p>
        </w:tc>
        <w:tc>
          <w:tcPr>
            <w:tcW w:w="1291" w:type="dxa"/>
            <w:vAlign w:val="center"/>
          </w:tcPr>
          <w:p w14:paraId="60101F78">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合同金额</w:t>
            </w:r>
          </w:p>
          <w:p w14:paraId="0A4AC4A1">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（万元）</w:t>
            </w:r>
          </w:p>
        </w:tc>
        <w:tc>
          <w:tcPr>
            <w:tcW w:w="2193" w:type="dxa"/>
            <w:vAlign w:val="center"/>
          </w:tcPr>
          <w:p w14:paraId="3E85E1D6">
            <w:pPr>
              <w:tabs>
                <w:tab w:val="left" w:pos="6252"/>
              </w:tabs>
              <w:spacing w:line="240" w:lineRule="auto"/>
              <w:ind w:firstLine="0" w:firstLineChars="0"/>
              <w:jc w:val="center"/>
              <w:rPr>
                <w:rFonts w:hint="eastAsia" w:ascii="微软雅黑" w:hAnsi="微软雅黑"/>
                <w:b/>
                <w:color w:val="auto"/>
                <w:szCs w:val="21"/>
                <w:highlight w:val="none"/>
              </w:rPr>
            </w:pPr>
            <w:r>
              <w:rPr>
                <w:rFonts w:hint="eastAsia" w:ascii="微软雅黑" w:hAnsi="微软雅黑"/>
                <w:b/>
                <w:color w:val="auto"/>
                <w:szCs w:val="21"/>
                <w:highlight w:val="none"/>
              </w:rPr>
              <w:t>采购人联系人及联系电话</w:t>
            </w:r>
          </w:p>
        </w:tc>
      </w:tr>
      <w:tr w14:paraId="113F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617888C4">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1</w:t>
            </w:r>
          </w:p>
        </w:tc>
        <w:tc>
          <w:tcPr>
            <w:tcW w:w="1578" w:type="dxa"/>
            <w:vAlign w:val="center"/>
          </w:tcPr>
          <w:p w14:paraId="78F5A55B">
            <w:pPr>
              <w:spacing w:line="240" w:lineRule="auto"/>
              <w:ind w:firstLine="0" w:firstLineChars="0"/>
              <w:jc w:val="center"/>
              <w:rPr>
                <w:rFonts w:hint="eastAsia" w:ascii="微软雅黑" w:hAnsi="微软雅黑"/>
                <w:color w:val="auto"/>
                <w:szCs w:val="21"/>
                <w:highlight w:val="none"/>
              </w:rPr>
            </w:pPr>
          </w:p>
        </w:tc>
        <w:tc>
          <w:tcPr>
            <w:tcW w:w="2003" w:type="dxa"/>
          </w:tcPr>
          <w:p w14:paraId="2DF758C8">
            <w:pPr>
              <w:spacing w:line="240" w:lineRule="auto"/>
              <w:ind w:firstLine="0" w:firstLineChars="0"/>
              <w:jc w:val="center"/>
              <w:rPr>
                <w:rFonts w:hint="eastAsia" w:ascii="微软雅黑" w:hAnsi="微软雅黑"/>
                <w:color w:val="auto"/>
                <w:szCs w:val="21"/>
                <w:highlight w:val="none"/>
              </w:rPr>
            </w:pPr>
          </w:p>
        </w:tc>
        <w:tc>
          <w:tcPr>
            <w:tcW w:w="1798" w:type="dxa"/>
          </w:tcPr>
          <w:p w14:paraId="54CCDE3C">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15ED5C52">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256C88AB">
            <w:pPr>
              <w:spacing w:line="240" w:lineRule="auto"/>
              <w:ind w:firstLine="0" w:firstLineChars="0"/>
              <w:jc w:val="center"/>
              <w:rPr>
                <w:rFonts w:hint="eastAsia" w:ascii="微软雅黑" w:hAnsi="微软雅黑"/>
                <w:color w:val="auto"/>
                <w:szCs w:val="21"/>
                <w:highlight w:val="none"/>
              </w:rPr>
            </w:pPr>
          </w:p>
        </w:tc>
      </w:tr>
      <w:tr w14:paraId="6C9B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782958BE">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2</w:t>
            </w:r>
          </w:p>
        </w:tc>
        <w:tc>
          <w:tcPr>
            <w:tcW w:w="1578" w:type="dxa"/>
            <w:vAlign w:val="center"/>
          </w:tcPr>
          <w:p w14:paraId="363BC498">
            <w:pPr>
              <w:spacing w:line="240" w:lineRule="auto"/>
              <w:ind w:firstLine="0" w:firstLineChars="0"/>
              <w:jc w:val="center"/>
              <w:rPr>
                <w:rFonts w:hint="eastAsia" w:ascii="微软雅黑" w:hAnsi="微软雅黑"/>
                <w:color w:val="auto"/>
                <w:szCs w:val="21"/>
                <w:highlight w:val="none"/>
              </w:rPr>
            </w:pPr>
          </w:p>
        </w:tc>
        <w:tc>
          <w:tcPr>
            <w:tcW w:w="2003" w:type="dxa"/>
          </w:tcPr>
          <w:p w14:paraId="51483979">
            <w:pPr>
              <w:spacing w:line="240" w:lineRule="auto"/>
              <w:ind w:firstLine="0" w:firstLineChars="0"/>
              <w:jc w:val="center"/>
              <w:rPr>
                <w:rFonts w:hint="eastAsia" w:ascii="微软雅黑" w:hAnsi="微软雅黑"/>
                <w:color w:val="auto"/>
                <w:szCs w:val="21"/>
                <w:highlight w:val="none"/>
              </w:rPr>
            </w:pPr>
          </w:p>
        </w:tc>
        <w:tc>
          <w:tcPr>
            <w:tcW w:w="1798" w:type="dxa"/>
          </w:tcPr>
          <w:p w14:paraId="43C28E53">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0A55C84E">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034B9044">
            <w:pPr>
              <w:spacing w:line="240" w:lineRule="auto"/>
              <w:ind w:firstLine="0" w:firstLineChars="0"/>
              <w:jc w:val="center"/>
              <w:rPr>
                <w:rFonts w:hint="eastAsia" w:ascii="微软雅黑" w:hAnsi="微软雅黑"/>
                <w:color w:val="auto"/>
                <w:szCs w:val="21"/>
                <w:highlight w:val="none"/>
              </w:rPr>
            </w:pPr>
          </w:p>
        </w:tc>
      </w:tr>
      <w:tr w14:paraId="0EB8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5DC1E1D8">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w:t>
            </w:r>
          </w:p>
        </w:tc>
        <w:tc>
          <w:tcPr>
            <w:tcW w:w="1578" w:type="dxa"/>
            <w:vAlign w:val="center"/>
          </w:tcPr>
          <w:p w14:paraId="313D914F">
            <w:pPr>
              <w:spacing w:line="240" w:lineRule="auto"/>
              <w:ind w:firstLine="0" w:firstLineChars="0"/>
              <w:jc w:val="center"/>
              <w:rPr>
                <w:rFonts w:hint="eastAsia" w:ascii="微软雅黑" w:hAnsi="微软雅黑"/>
                <w:color w:val="auto"/>
                <w:szCs w:val="21"/>
                <w:highlight w:val="none"/>
              </w:rPr>
            </w:pPr>
          </w:p>
        </w:tc>
        <w:tc>
          <w:tcPr>
            <w:tcW w:w="2003" w:type="dxa"/>
          </w:tcPr>
          <w:p w14:paraId="2399B39C">
            <w:pPr>
              <w:spacing w:line="240" w:lineRule="auto"/>
              <w:ind w:firstLine="0" w:firstLineChars="0"/>
              <w:jc w:val="center"/>
              <w:rPr>
                <w:rFonts w:hint="eastAsia" w:ascii="微软雅黑" w:hAnsi="微软雅黑"/>
                <w:color w:val="auto"/>
                <w:szCs w:val="21"/>
                <w:highlight w:val="none"/>
              </w:rPr>
            </w:pPr>
          </w:p>
        </w:tc>
        <w:tc>
          <w:tcPr>
            <w:tcW w:w="1798" w:type="dxa"/>
          </w:tcPr>
          <w:p w14:paraId="5D292FD7">
            <w:pPr>
              <w:spacing w:line="240" w:lineRule="auto"/>
              <w:ind w:firstLine="0" w:firstLineChars="0"/>
              <w:jc w:val="center"/>
              <w:rPr>
                <w:rFonts w:hint="eastAsia" w:ascii="微软雅黑" w:hAnsi="微软雅黑"/>
                <w:color w:val="auto"/>
                <w:szCs w:val="21"/>
                <w:highlight w:val="none"/>
              </w:rPr>
            </w:pPr>
          </w:p>
        </w:tc>
        <w:tc>
          <w:tcPr>
            <w:tcW w:w="1291" w:type="dxa"/>
            <w:vAlign w:val="center"/>
          </w:tcPr>
          <w:p w14:paraId="4754BD10">
            <w:pPr>
              <w:spacing w:line="240" w:lineRule="auto"/>
              <w:ind w:firstLine="0" w:firstLineChars="0"/>
              <w:jc w:val="center"/>
              <w:rPr>
                <w:rFonts w:hint="eastAsia" w:ascii="微软雅黑" w:hAnsi="微软雅黑"/>
                <w:color w:val="auto"/>
                <w:szCs w:val="21"/>
                <w:highlight w:val="none"/>
              </w:rPr>
            </w:pPr>
          </w:p>
        </w:tc>
        <w:tc>
          <w:tcPr>
            <w:tcW w:w="2193" w:type="dxa"/>
            <w:vAlign w:val="center"/>
          </w:tcPr>
          <w:p w14:paraId="5187461E">
            <w:pPr>
              <w:spacing w:line="240" w:lineRule="auto"/>
              <w:ind w:firstLine="0" w:firstLineChars="0"/>
              <w:jc w:val="center"/>
              <w:rPr>
                <w:rFonts w:hint="eastAsia" w:ascii="微软雅黑" w:hAnsi="微软雅黑"/>
                <w:color w:val="auto"/>
                <w:szCs w:val="21"/>
                <w:highlight w:val="none"/>
              </w:rPr>
            </w:pPr>
          </w:p>
        </w:tc>
      </w:tr>
    </w:tbl>
    <w:p w14:paraId="7B55292E">
      <w:pPr>
        <w:pStyle w:val="120"/>
        <w:ind w:firstLine="420"/>
        <w:jc w:val="center"/>
        <w:rPr>
          <w:rFonts w:hint="eastAsia" w:ascii="微软雅黑" w:hAnsi="微软雅黑" w:eastAsia="微软雅黑"/>
          <w:b/>
          <w:color w:val="auto"/>
          <w:sz w:val="21"/>
          <w:szCs w:val="21"/>
          <w:highlight w:val="none"/>
        </w:rPr>
      </w:pPr>
    </w:p>
    <w:p w14:paraId="56778084">
      <w:pPr>
        <w:snapToGrid w:val="0"/>
        <w:spacing w:before="120" w:beforeLines="50" w:line="400" w:lineRule="exact"/>
        <w:ind w:firstLine="420"/>
        <w:rPr>
          <w:rFonts w:hint="eastAsia" w:ascii="微软雅黑" w:hAnsi="微软雅黑"/>
          <w:b/>
          <w:color w:val="auto"/>
          <w:szCs w:val="21"/>
          <w:highlight w:val="none"/>
        </w:rPr>
      </w:pPr>
      <w:r>
        <w:rPr>
          <w:rFonts w:hint="eastAsia" w:ascii="微软雅黑" w:hAnsi="微软雅黑"/>
          <w:b/>
          <w:color w:val="auto"/>
          <w:szCs w:val="21"/>
          <w:highlight w:val="none"/>
        </w:rPr>
        <w:t>注：</w:t>
      </w:r>
      <w:r>
        <w:rPr>
          <w:rFonts w:hint="eastAsia" w:ascii="微软雅黑" w:hAnsi="微软雅黑"/>
          <w:color w:val="auto"/>
          <w:szCs w:val="21"/>
          <w:highlight w:val="none"/>
        </w:rPr>
        <w:t>须同时合同复印件证明材料加盖公章</w:t>
      </w:r>
    </w:p>
    <w:p w14:paraId="653C9348">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7FA50CDC">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7F89EFB1">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8953F2F">
      <w:pPr>
        <w:snapToGrid w:val="0"/>
        <w:spacing w:before="120" w:beforeLines="50" w:after="50" w:line="400" w:lineRule="exact"/>
        <w:ind w:firstLine="240" w:firstLineChars="100"/>
        <w:rPr>
          <w:color w:val="auto"/>
          <w:sz w:val="24"/>
          <w:highlight w:val="none"/>
        </w:rPr>
      </w:pPr>
    </w:p>
    <w:p w14:paraId="63F156ED">
      <w:pPr>
        <w:rPr>
          <w:b/>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ABE7054">
      <w:pPr>
        <w:ind w:firstLine="482"/>
        <w:rPr>
          <w:rFonts w:hint="eastAsia" w:ascii="微软雅黑" w:hAnsi="微软雅黑" w:cs="仿宋_GB2312"/>
          <w:b/>
          <w:color w:val="auto"/>
          <w:kern w:val="0"/>
          <w:szCs w:val="21"/>
          <w:highlight w:val="none"/>
        </w:rPr>
      </w:pPr>
      <w:r>
        <w:rPr>
          <w:rFonts w:hint="eastAsia" w:eastAsia="宋体"/>
          <w:b/>
          <w:color w:val="auto"/>
          <w:sz w:val="24"/>
          <w:highlight w:val="none"/>
          <w:lang w:val="en-US" w:eastAsia="zh-CN"/>
        </w:rPr>
        <w:t>2</w:t>
      </w:r>
      <w:r>
        <w:rPr>
          <w:rFonts w:hint="eastAsia" w:eastAsia="宋体"/>
          <w:b/>
          <w:color w:val="auto"/>
          <w:sz w:val="24"/>
          <w:highlight w:val="none"/>
        </w:rPr>
        <w:t>.</w:t>
      </w:r>
      <w:r>
        <w:rPr>
          <w:rFonts w:hint="eastAsia" w:ascii="微软雅黑" w:hAnsi="微软雅黑"/>
          <w:b/>
          <w:color w:val="auto"/>
          <w:szCs w:val="21"/>
          <w:highlight w:val="none"/>
        </w:rPr>
        <w:t>商务响应表格式：</w:t>
      </w:r>
    </w:p>
    <w:p w14:paraId="3A9CEADB">
      <w:pPr>
        <w:ind w:firstLine="420"/>
        <w:jc w:val="center"/>
        <w:rPr>
          <w:rFonts w:hint="eastAsia" w:ascii="微软雅黑" w:hAnsi="微软雅黑" w:cs="仿宋_GB2312"/>
          <w:b/>
          <w:color w:val="auto"/>
          <w:kern w:val="0"/>
          <w:szCs w:val="21"/>
          <w:highlight w:val="none"/>
        </w:rPr>
      </w:pPr>
      <w:r>
        <w:rPr>
          <w:rFonts w:hint="eastAsia" w:ascii="微软雅黑" w:hAnsi="微软雅黑" w:cs="仿宋_GB2312"/>
          <w:b/>
          <w:color w:val="auto"/>
          <w:kern w:val="0"/>
          <w:szCs w:val="21"/>
          <w:highlight w:val="none"/>
        </w:rPr>
        <w:t>商务响应表</w:t>
      </w:r>
    </w:p>
    <w:tbl>
      <w:tblPr>
        <w:tblStyle w:val="54"/>
        <w:tblW w:w="9026"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5D35D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27E9C8BB">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序号</w:t>
            </w:r>
          </w:p>
        </w:tc>
        <w:tc>
          <w:tcPr>
            <w:tcW w:w="3086" w:type="dxa"/>
          </w:tcPr>
          <w:p w14:paraId="474C4A97">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招标文件的规定</w:t>
            </w:r>
          </w:p>
        </w:tc>
        <w:tc>
          <w:tcPr>
            <w:tcW w:w="3710" w:type="dxa"/>
          </w:tcPr>
          <w:p w14:paraId="0432B56E">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投标文件的响应</w:t>
            </w:r>
          </w:p>
        </w:tc>
        <w:tc>
          <w:tcPr>
            <w:tcW w:w="1320" w:type="dxa"/>
          </w:tcPr>
          <w:p w14:paraId="49780638">
            <w:pPr>
              <w:spacing w:line="240" w:lineRule="auto"/>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偏离说明</w:t>
            </w:r>
          </w:p>
        </w:tc>
      </w:tr>
      <w:tr w14:paraId="1AAAC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4E67FA4">
            <w:pPr>
              <w:spacing w:line="240" w:lineRule="auto"/>
              <w:ind w:firstLine="0" w:firstLineChars="0"/>
              <w:rPr>
                <w:rFonts w:hint="eastAsia" w:ascii="微软雅黑" w:hAnsi="微软雅黑"/>
                <w:color w:val="auto"/>
                <w:szCs w:val="21"/>
                <w:highlight w:val="none"/>
              </w:rPr>
            </w:pPr>
          </w:p>
        </w:tc>
        <w:tc>
          <w:tcPr>
            <w:tcW w:w="3086" w:type="dxa"/>
          </w:tcPr>
          <w:p w14:paraId="4F4C36D9">
            <w:pPr>
              <w:spacing w:line="240" w:lineRule="auto"/>
              <w:ind w:firstLine="0" w:firstLineChars="0"/>
              <w:rPr>
                <w:rFonts w:hint="default"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服务期限</w:t>
            </w:r>
          </w:p>
        </w:tc>
        <w:tc>
          <w:tcPr>
            <w:tcW w:w="3710" w:type="dxa"/>
          </w:tcPr>
          <w:p w14:paraId="4593352C">
            <w:pPr>
              <w:spacing w:line="240" w:lineRule="auto"/>
              <w:ind w:firstLine="0" w:firstLineChars="0"/>
              <w:rPr>
                <w:rFonts w:hint="eastAsia" w:ascii="微软雅黑" w:hAnsi="微软雅黑"/>
                <w:color w:val="auto"/>
                <w:szCs w:val="21"/>
                <w:highlight w:val="none"/>
              </w:rPr>
            </w:pPr>
          </w:p>
        </w:tc>
        <w:tc>
          <w:tcPr>
            <w:tcW w:w="1320" w:type="dxa"/>
          </w:tcPr>
          <w:p w14:paraId="4F2C6632">
            <w:pPr>
              <w:spacing w:line="240" w:lineRule="auto"/>
              <w:ind w:firstLine="0" w:firstLineChars="0"/>
              <w:rPr>
                <w:rFonts w:hint="eastAsia" w:ascii="微软雅黑" w:hAnsi="微软雅黑"/>
                <w:color w:val="auto"/>
                <w:szCs w:val="21"/>
                <w:highlight w:val="none"/>
              </w:rPr>
            </w:pPr>
          </w:p>
        </w:tc>
      </w:tr>
      <w:tr w14:paraId="6F8B4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3A06F0B5">
            <w:pPr>
              <w:spacing w:line="240" w:lineRule="auto"/>
              <w:ind w:firstLine="0" w:firstLineChars="0"/>
              <w:rPr>
                <w:rFonts w:hint="eastAsia" w:ascii="微软雅黑" w:hAnsi="微软雅黑"/>
                <w:color w:val="auto"/>
                <w:szCs w:val="21"/>
                <w:highlight w:val="none"/>
              </w:rPr>
            </w:pPr>
          </w:p>
        </w:tc>
        <w:tc>
          <w:tcPr>
            <w:tcW w:w="3086" w:type="dxa"/>
          </w:tcPr>
          <w:p w14:paraId="469ED2A1">
            <w:pPr>
              <w:spacing w:line="240" w:lineRule="auto"/>
              <w:ind w:firstLine="0" w:firstLineChars="0"/>
              <w:rPr>
                <w:rFonts w:hint="eastAsia" w:ascii="微软雅黑" w:hAnsi="微软雅黑" w:eastAsia="微软雅黑"/>
                <w:color w:val="auto"/>
                <w:szCs w:val="21"/>
                <w:highlight w:val="none"/>
                <w:lang w:val="en-US" w:eastAsia="zh-CN"/>
              </w:rPr>
            </w:pPr>
            <w:r>
              <w:rPr>
                <w:rFonts w:hint="eastAsia" w:ascii="微软雅黑" w:hAnsi="微软雅黑"/>
                <w:color w:val="auto"/>
                <w:szCs w:val="21"/>
                <w:highlight w:val="none"/>
                <w:lang w:val="en-US" w:eastAsia="zh-CN"/>
              </w:rPr>
              <w:t>考核</w:t>
            </w:r>
          </w:p>
        </w:tc>
        <w:tc>
          <w:tcPr>
            <w:tcW w:w="3710" w:type="dxa"/>
          </w:tcPr>
          <w:p w14:paraId="686AAA98">
            <w:pPr>
              <w:spacing w:line="240" w:lineRule="auto"/>
              <w:ind w:firstLine="0" w:firstLineChars="0"/>
              <w:rPr>
                <w:rFonts w:hint="eastAsia" w:ascii="微软雅黑" w:hAnsi="微软雅黑"/>
                <w:color w:val="auto"/>
                <w:szCs w:val="21"/>
                <w:highlight w:val="none"/>
              </w:rPr>
            </w:pPr>
          </w:p>
        </w:tc>
        <w:tc>
          <w:tcPr>
            <w:tcW w:w="1320" w:type="dxa"/>
          </w:tcPr>
          <w:p w14:paraId="733FEDDC">
            <w:pPr>
              <w:spacing w:line="240" w:lineRule="auto"/>
              <w:ind w:firstLine="0" w:firstLineChars="0"/>
              <w:rPr>
                <w:rFonts w:hint="eastAsia" w:ascii="微软雅黑" w:hAnsi="微软雅黑"/>
                <w:color w:val="auto"/>
                <w:szCs w:val="21"/>
                <w:highlight w:val="none"/>
              </w:rPr>
            </w:pPr>
          </w:p>
        </w:tc>
      </w:tr>
      <w:tr w14:paraId="374C1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5F1A313D">
            <w:pPr>
              <w:spacing w:line="240" w:lineRule="auto"/>
              <w:ind w:firstLine="0" w:firstLineChars="0"/>
              <w:rPr>
                <w:rFonts w:hint="eastAsia" w:ascii="微软雅黑" w:hAnsi="微软雅黑"/>
                <w:color w:val="auto"/>
                <w:szCs w:val="21"/>
                <w:highlight w:val="none"/>
              </w:rPr>
            </w:pPr>
          </w:p>
        </w:tc>
        <w:tc>
          <w:tcPr>
            <w:tcW w:w="3086" w:type="dxa"/>
            <w:shd w:val="clear" w:color="auto" w:fill="auto"/>
            <w:vAlign w:val="top"/>
          </w:tcPr>
          <w:p w14:paraId="2F125329">
            <w:pPr>
              <w:spacing w:line="240" w:lineRule="auto"/>
              <w:ind w:firstLine="0" w:firstLineChars="0"/>
              <w:rPr>
                <w:rFonts w:hint="eastAsia" w:ascii="微软雅黑" w:hAnsi="微软雅黑" w:eastAsia="微软雅黑" w:cs="Times New Roman"/>
                <w:color w:val="auto"/>
                <w:kern w:val="2"/>
                <w:sz w:val="21"/>
                <w:szCs w:val="21"/>
                <w:highlight w:val="none"/>
                <w:lang w:val="en-US" w:eastAsia="zh-CN" w:bidi="ar-SA"/>
              </w:rPr>
            </w:pPr>
            <w:r>
              <w:rPr>
                <w:rFonts w:hint="eastAsia" w:ascii="微软雅黑" w:hAnsi="微软雅黑"/>
                <w:color w:val="auto"/>
                <w:szCs w:val="21"/>
                <w:highlight w:val="none"/>
              </w:rPr>
              <w:t>付款方式</w:t>
            </w:r>
          </w:p>
        </w:tc>
        <w:tc>
          <w:tcPr>
            <w:tcW w:w="3710" w:type="dxa"/>
          </w:tcPr>
          <w:p w14:paraId="16A1B246">
            <w:pPr>
              <w:spacing w:line="240" w:lineRule="auto"/>
              <w:ind w:firstLine="0" w:firstLineChars="0"/>
              <w:rPr>
                <w:rFonts w:hint="eastAsia" w:ascii="微软雅黑" w:hAnsi="微软雅黑"/>
                <w:color w:val="auto"/>
                <w:szCs w:val="21"/>
                <w:highlight w:val="none"/>
              </w:rPr>
            </w:pPr>
          </w:p>
        </w:tc>
        <w:tc>
          <w:tcPr>
            <w:tcW w:w="1320" w:type="dxa"/>
          </w:tcPr>
          <w:p w14:paraId="686926E8">
            <w:pPr>
              <w:spacing w:line="240" w:lineRule="auto"/>
              <w:ind w:firstLine="0" w:firstLineChars="0"/>
              <w:rPr>
                <w:rFonts w:hint="eastAsia" w:ascii="微软雅黑" w:hAnsi="微软雅黑"/>
                <w:color w:val="auto"/>
                <w:szCs w:val="21"/>
                <w:highlight w:val="none"/>
              </w:rPr>
            </w:pPr>
          </w:p>
        </w:tc>
      </w:tr>
    </w:tbl>
    <w:p w14:paraId="2E95FB4C">
      <w:pPr>
        <w:ind w:firstLine="420"/>
        <w:rPr>
          <w:rFonts w:hint="eastAsia" w:ascii="微软雅黑" w:hAnsi="微软雅黑"/>
          <w:b/>
          <w:color w:val="auto"/>
          <w:szCs w:val="21"/>
          <w:highlight w:val="none"/>
        </w:rPr>
      </w:pPr>
      <w:r>
        <w:rPr>
          <w:rFonts w:hint="eastAsia" w:ascii="微软雅黑" w:hAnsi="微软雅黑"/>
          <w:b/>
          <w:color w:val="auto"/>
          <w:szCs w:val="21"/>
          <w:highlight w:val="none"/>
        </w:rPr>
        <w:t>注：投标供应商的投标文件（除技术规格部分）与招标文件之规定存在偏离的，应在此表中如实说明。未在上表中说明的，将被认为完全响应招标文件的规定。</w:t>
      </w:r>
    </w:p>
    <w:p w14:paraId="3382B4E6">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1E8D2E90">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23E8C087">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7A8F55EE">
      <w:pPr>
        <w:ind w:firstLine="643"/>
        <w:jc w:val="center"/>
        <w:rPr>
          <w:rFonts w:hint="eastAsia" w:ascii="仿宋_GB2312" w:hAnsi="仿宋" w:eastAsia="仿宋_GB2312" w:cs="仿宋_GB2312"/>
          <w:b/>
          <w:color w:val="auto"/>
          <w:kern w:val="0"/>
          <w:sz w:val="32"/>
          <w:szCs w:val="32"/>
          <w:highlight w:val="none"/>
        </w:rPr>
      </w:pPr>
    </w:p>
    <w:p w14:paraId="5465DA8A">
      <w:pPr>
        <w:ind w:firstLine="643"/>
        <w:jc w:val="center"/>
        <w:rPr>
          <w:rFonts w:hint="eastAsia" w:ascii="仿宋_GB2312" w:hAnsi="仿宋" w:eastAsia="仿宋_GB2312" w:cs="仿宋_GB2312"/>
          <w:b/>
          <w:color w:val="auto"/>
          <w:kern w:val="0"/>
          <w:sz w:val="32"/>
          <w:szCs w:val="32"/>
          <w:highlight w:val="none"/>
        </w:rPr>
      </w:pPr>
    </w:p>
    <w:p w14:paraId="4B8BB1FB">
      <w:pPr>
        <w:snapToGrid w:val="0"/>
        <w:spacing w:before="50" w:after="120" w:afterLines="50"/>
        <w:rPr>
          <w:b/>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CA1B0B3">
      <w:pPr>
        <w:snapToGrid w:val="0"/>
        <w:spacing w:before="50" w:after="120" w:afterLines="50"/>
        <w:ind w:firstLine="420"/>
        <w:rPr>
          <w:rFonts w:hint="eastAsia" w:ascii="微软雅黑" w:hAnsi="微软雅黑"/>
          <w:b/>
          <w:color w:val="auto"/>
          <w:szCs w:val="21"/>
          <w:highlight w:val="none"/>
        </w:rPr>
      </w:pPr>
      <w:r>
        <w:rPr>
          <w:rFonts w:hint="eastAsia" w:ascii="微软雅黑" w:hAnsi="微软雅黑"/>
          <w:b/>
          <w:color w:val="auto"/>
          <w:szCs w:val="21"/>
          <w:highlight w:val="none"/>
          <w:lang w:val="en-US" w:eastAsia="zh-CN"/>
        </w:rPr>
        <w:t>3</w:t>
      </w:r>
      <w:r>
        <w:rPr>
          <w:rFonts w:ascii="微软雅黑" w:hAnsi="微软雅黑"/>
          <w:b/>
          <w:color w:val="auto"/>
          <w:szCs w:val="21"/>
          <w:highlight w:val="none"/>
        </w:rPr>
        <w:t>.技术响应表格式：</w:t>
      </w:r>
    </w:p>
    <w:p w14:paraId="24BDD226">
      <w:pPr>
        <w:snapToGrid w:val="0"/>
        <w:spacing w:before="50" w:after="120" w:afterLines="50"/>
        <w:ind w:firstLine="420"/>
        <w:jc w:val="center"/>
        <w:rPr>
          <w:rFonts w:hint="eastAsia" w:ascii="微软雅黑" w:hAnsi="微软雅黑"/>
          <w:color w:val="auto"/>
          <w:szCs w:val="21"/>
          <w:highlight w:val="none"/>
          <w:u w:val="single"/>
        </w:rPr>
      </w:pPr>
      <w:r>
        <w:rPr>
          <w:rFonts w:ascii="微软雅黑" w:hAnsi="微软雅黑"/>
          <w:b/>
          <w:color w:val="auto"/>
          <w:szCs w:val="21"/>
          <w:highlight w:val="none"/>
        </w:rPr>
        <w:t>技术响应表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5"/>
        <w:gridCol w:w="3149"/>
        <w:gridCol w:w="3498"/>
        <w:gridCol w:w="1055"/>
      </w:tblGrid>
      <w:tr w14:paraId="039A0C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6" w:hRule="atLeast"/>
        </w:trPr>
        <w:tc>
          <w:tcPr>
            <w:tcW w:w="1055" w:type="dxa"/>
            <w:tcBorders>
              <w:top w:val="single" w:color="auto" w:sz="4" w:space="0"/>
              <w:left w:val="single" w:color="auto" w:sz="4" w:space="0"/>
              <w:bottom w:val="single" w:color="auto" w:sz="4" w:space="0"/>
              <w:right w:val="single" w:color="auto" w:sz="4" w:space="0"/>
            </w:tcBorders>
          </w:tcPr>
          <w:p w14:paraId="60F76E64">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04" w:name="_Toc169015150"/>
            <w:bookmarkStart w:id="205" w:name="_Toc465368115"/>
            <w:bookmarkStart w:id="206" w:name="_Toc17952"/>
            <w:bookmarkStart w:id="207" w:name="_Toc164943227"/>
            <w:bookmarkStart w:id="208" w:name="_Toc20307"/>
            <w:r>
              <w:rPr>
                <w:rFonts w:ascii="微软雅黑" w:hAnsi="微软雅黑"/>
                <w:color w:val="auto"/>
                <w:szCs w:val="21"/>
                <w:highlight w:val="none"/>
              </w:rPr>
              <w:t>序号</w:t>
            </w:r>
            <w:bookmarkEnd w:id="204"/>
            <w:bookmarkEnd w:id="205"/>
            <w:bookmarkEnd w:id="206"/>
            <w:bookmarkEnd w:id="207"/>
            <w:bookmarkEnd w:id="208"/>
          </w:p>
        </w:tc>
        <w:tc>
          <w:tcPr>
            <w:tcW w:w="3149" w:type="dxa"/>
            <w:tcBorders>
              <w:top w:val="single" w:color="auto" w:sz="4" w:space="0"/>
              <w:left w:val="single" w:color="auto" w:sz="4" w:space="0"/>
              <w:bottom w:val="single" w:color="auto" w:sz="4" w:space="0"/>
              <w:right w:val="single" w:color="auto" w:sz="4" w:space="0"/>
            </w:tcBorders>
          </w:tcPr>
          <w:p w14:paraId="3BD4274F">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09" w:name="_Toc377028057"/>
            <w:bookmarkStart w:id="210" w:name="_Toc406403001"/>
            <w:bookmarkStart w:id="211" w:name="_Toc382928118"/>
            <w:bookmarkStart w:id="212" w:name="_Toc381081903"/>
            <w:bookmarkStart w:id="213" w:name="_Toc382928236"/>
            <w:bookmarkStart w:id="214" w:name="_Toc401570314"/>
            <w:bookmarkStart w:id="215" w:name="_Toc406402957"/>
            <w:bookmarkStart w:id="216" w:name="_Toc385854156"/>
            <w:bookmarkStart w:id="217" w:name="_Toc402963095"/>
            <w:bookmarkStart w:id="218" w:name="_Toc401570290"/>
            <w:bookmarkStart w:id="219" w:name="_Toc377653976"/>
            <w:bookmarkStart w:id="220" w:name="_Toc377028119"/>
            <w:bookmarkStart w:id="221" w:name="_Toc385854110"/>
            <w:bookmarkStart w:id="222" w:name="_Toc402963128"/>
            <w:bookmarkStart w:id="223" w:name="_Toc402963099"/>
            <w:bookmarkStart w:id="224" w:name="_Toc382928122"/>
            <w:bookmarkStart w:id="225" w:name="_Toc406402961"/>
            <w:bookmarkStart w:id="226" w:name="_Toc406403005"/>
            <w:bookmarkStart w:id="227" w:name="_Toc377653980"/>
            <w:bookmarkStart w:id="228" w:name="_Toc382928240"/>
            <w:bookmarkStart w:id="229" w:name="_Toc385854160"/>
            <w:bookmarkStart w:id="230" w:name="_Toc26033"/>
            <w:bookmarkStart w:id="231" w:name="_Toc385854114"/>
            <w:bookmarkStart w:id="232" w:name="_Toc402963132"/>
            <w:bookmarkStart w:id="233" w:name="_Toc381081907"/>
            <w:bookmarkStart w:id="234" w:name="_Toc734611807"/>
            <w:bookmarkStart w:id="235" w:name="_Toc401570318"/>
            <w:bookmarkStart w:id="236" w:name="_Toc169015152"/>
            <w:bookmarkStart w:id="237" w:name="_Toc164943229"/>
            <w:bookmarkStart w:id="238" w:name="_Toc377028123"/>
            <w:bookmarkStart w:id="239" w:name="_Toc377028061"/>
            <w:bookmarkStart w:id="240" w:name="_Toc401570294"/>
            <w:bookmarkStart w:id="241" w:name="_Toc16394"/>
            <w:r>
              <w:rPr>
                <w:rFonts w:ascii="微软雅黑" w:hAnsi="微软雅黑"/>
                <w:color w:val="auto"/>
                <w:szCs w:val="21"/>
                <w:highlight w:val="none"/>
              </w:rPr>
              <w:t>招标文件要求</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ascii="微软雅黑" w:hAnsi="微软雅黑"/>
                <w:color w:val="auto"/>
                <w:szCs w:val="21"/>
                <w:highlight w:val="none"/>
              </w:rPr>
              <w:t>要求</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3498" w:type="dxa"/>
            <w:tcBorders>
              <w:top w:val="single" w:color="auto" w:sz="4" w:space="0"/>
              <w:left w:val="single" w:color="auto" w:sz="4" w:space="0"/>
              <w:bottom w:val="single" w:color="auto" w:sz="4" w:space="0"/>
              <w:right w:val="single" w:color="auto" w:sz="4" w:space="0"/>
            </w:tcBorders>
          </w:tcPr>
          <w:p w14:paraId="321EED38">
            <w:pPr>
              <w:pStyle w:val="29"/>
              <w:snapToGrid w:val="0"/>
              <w:spacing w:line="240" w:lineRule="auto"/>
              <w:ind w:firstLine="0" w:firstLineChars="0"/>
              <w:jc w:val="center"/>
              <w:outlineLvl w:val="0"/>
              <w:rPr>
                <w:rFonts w:hint="eastAsia" w:ascii="微软雅黑" w:hAnsi="微软雅黑"/>
                <w:color w:val="auto"/>
                <w:szCs w:val="21"/>
                <w:highlight w:val="none"/>
              </w:rPr>
            </w:pPr>
            <w:bookmarkStart w:id="242" w:name="_Toc377028059"/>
            <w:bookmarkStart w:id="243" w:name="_Toc401570292"/>
            <w:bookmarkStart w:id="244" w:name="_Toc385854158"/>
            <w:bookmarkStart w:id="245" w:name="_Toc382928120"/>
            <w:bookmarkStart w:id="246" w:name="_Toc381081905"/>
            <w:bookmarkStart w:id="247" w:name="_Toc377028121"/>
            <w:bookmarkStart w:id="248" w:name="_Toc406403003"/>
            <w:bookmarkStart w:id="249" w:name="_Toc406402959"/>
            <w:bookmarkStart w:id="250" w:name="_Toc402963130"/>
            <w:bookmarkStart w:id="251" w:name="_Toc377653978"/>
            <w:bookmarkStart w:id="252" w:name="_Toc402963097"/>
            <w:bookmarkStart w:id="253" w:name="_Toc401570316"/>
            <w:bookmarkStart w:id="254" w:name="_Toc385854112"/>
            <w:bookmarkStart w:id="255" w:name="_Toc382928238"/>
            <w:bookmarkStart w:id="256" w:name="_Toc169015154"/>
            <w:bookmarkStart w:id="257" w:name="_Toc961276098"/>
            <w:bookmarkStart w:id="258" w:name="_Toc23603"/>
            <w:bookmarkStart w:id="259" w:name="_Toc31934"/>
            <w:bookmarkStart w:id="260" w:name="_Toc164943231"/>
            <w:r>
              <w:rPr>
                <w:rFonts w:ascii="微软雅黑" w:hAnsi="微软雅黑"/>
                <w:color w:val="auto"/>
                <w:szCs w:val="21"/>
                <w:highlight w:val="none"/>
              </w:rPr>
              <w:t>偏离情况</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微软雅黑" w:hAnsi="微软雅黑"/>
                <w:color w:val="auto"/>
                <w:szCs w:val="21"/>
                <w:highlight w:val="none"/>
              </w:rPr>
              <w:t>及证明材料</w:t>
            </w:r>
            <w:bookmarkEnd w:id="256"/>
            <w:bookmarkEnd w:id="257"/>
            <w:bookmarkEnd w:id="258"/>
            <w:bookmarkEnd w:id="259"/>
            <w:bookmarkEnd w:id="260"/>
          </w:p>
        </w:tc>
        <w:tc>
          <w:tcPr>
            <w:tcW w:w="1055" w:type="dxa"/>
            <w:tcBorders>
              <w:top w:val="single" w:color="auto" w:sz="4" w:space="0"/>
              <w:left w:val="single" w:color="auto" w:sz="4" w:space="0"/>
              <w:bottom w:val="single" w:color="auto" w:sz="4" w:space="0"/>
              <w:right w:val="single" w:color="auto" w:sz="4" w:space="0"/>
            </w:tcBorders>
            <w:vAlign w:val="center"/>
          </w:tcPr>
          <w:p w14:paraId="6F1E15BA">
            <w:pPr>
              <w:widowControl/>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备注</w:t>
            </w:r>
          </w:p>
        </w:tc>
      </w:tr>
      <w:tr w14:paraId="0F3632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600CCB2A">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3D5D0D28">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659FD42C">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63263D3A">
            <w:pPr>
              <w:pStyle w:val="29"/>
              <w:snapToGrid w:val="0"/>
              <w:spacing w:line="240" w:lineRule="auto"/>
              <w:ind w:firstLine="0" w:firstLineChars="0"/>
              <w:rPr>
                <w:rFonts w:hint="eastAsia" w:ascii="微软雅黑" w:hAnsi="微软雅黑"/>
                <w:color w:val="auto"/>
                <w:szCs w:val="21"/>
                <w:highlight w:val="none"/>
              </w:rPr>
            </w:pPr>
          </w:p>
        </w:tc>
      </w:tr>
      <w:tr w14:paraId="4075E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6242CF44">
            <w:pPr>
              <w:widowControl/>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7B1F8DD3">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394691F5">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3C2EA83B">
            <w:pPr>
              <w:pStyle w:val="29"/>
              <w:snapToGrid w:val="0"/>
              <w:spacing w:line="240" w:lineRule="auto"/>
              <w:ind w:firstLine="0" w:firstLineChars="0"/>
              <w:rPr>
                <w:rFonts w:hint="eastAsia" w:ascii="微软雅黑" w:hAnsi="微软雅黑"/>
                <w:color w:val="auto"/>
                <w:szCs w:val="21"/>
                <w:highlight w:val="none"/>
              </w:rPr>
            </w:pPr>
          </w:p>
        </w:tc>
      </w:tr>
      <w:tr w14:paraId="369F0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3" w:hRule="atLeast"/>
        </w:trPr>
        <w:tc>
          <w:tcPr>
            <w:tcW w:w="1055" w:type="dxa"/>
            <w:tcBorders>
              <w:top w:val="single" w:color="auto" w:sz="4" w:space="0"/>
              <w:left w:val="single" w:color="auto" w:sz="4" w:space="0"/>
              <w:bottom w:val="single" w:color="auto" w:sz="4" w:space="0"/>
              <w:right w:val="single" w:color="auto" w:sz="4" w:space="0"/>
            </w:tcBorders>
            <w:vAlign w:val="center"/>
          </w:tcPr>
          <w:p w14:paraId="6321BEEE">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2809E517">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6E38A4FC">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3D6AF210">
            <w:pPr>
              <w:pStyle w:val="29"/>
              <w:snapToGrid w:val="0"/>
              <w:spacing w:line="240" w:lineRule="auto"/>
              <w:ind w:firstLine="0" w:firstLineChars="0"/>
              <w:rPr>
                <w:rFonts w:hint="eastAsia" w:ascii="微软雅黑" w:hAnsi="微软雅黑"/>
                <w:color w:val="auto"/>
                <w:szCs w:val="21"/>
                <w:highlight w:val="none"/>
              </w:rPr>
            </w:pPr>
          </w:p>
        </w:tc>
      </w:tr>
      <w:tr w14:paraId="24F14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3" w:hRule="atLeast"/>
        </w:trPr>
        <w:tc>
          <w:tcPr>
            <w:tcW w:w="1055" w:type="dxa"/>
            <w:tcBorders>
              <w:top w:val="single" w:color="auto" w:sz="4" w:space="0"/>
              <w:left w:val="single" w:color="auto" w:sz="4" w:space="0"/>
              <w:bottom w:val="single" w:color="auto" w:sz="4" w:space="0"/>
              <w:right w:val="single" w:color="auto" w:sz="4" w:space="0"/>
            </w:tcBorders>
            <w:vAlign w:val="center"/>
          </w:tcPr>
          <w:p w14:paraId="6E9C6544">
            <w:pPr>
              <w:pStyle w:val="29"/>
              <w:snapToGrid w:val="0"/>
              <w:spacing w:line="240" w:lineRule="auto"/>
              <w:ind w:firstLine="0" w:firstLineChars="0"/>
              <w:rPr>
                <w:rFonts w:hint="eastAsia" w:ascii="微软雅黑" w:hAnsi="微软雅黑"/>
                <w:color w:val="auto"/>
                <w:szCs w:val="21"/>
                <w:highlight w:val="none"/>
              </w:rPr>
            </w:pPr>
          </w:p>
        </w:tc>
        <w:tc>
          <w:tcPr>
            <w:tcW w:w="3149" w:type="dxa"/>
            <w:tcBorders>
              <w:top w:val="single" w:color="auto" w:sz="4" w:space="0"/>
              <w:left w:val="single" w:color="auto" w:sz="4" w:space="0"/>
              <w:bottom w:val="single" w:color="auto" w:sz="4" w:space="0"/>
              <w:right w:val="single" w:color="auto" w:sz="4" w:space="0"/>
            </w:tcBorders>
            <w:vAlign w:val="center"/>
          </w:tcPr>
          <w:p w14:paraId="1598F3BA">
            <w:pPr>
              <w:pStyle w:val="29"/>
              <w:snapToGrid w:val="0"/>
              <w:spacing w:line="240" w:lineRule="auto"/>
              <w:ind w:firstLine="0" w:firstLineChars="0"/>
              <w:rPr>
                <w:rFonts w:hint="eastAsia" w:ascii="微软雅黑" w:hAnsi="微软雅黑"/>
                <w:color w:val="auto"/>
                <w:szCs w:val="21"/>
                <w:highlight w:val="none"/>
              </w:rPr>
            </w:pPr>
          </w:p>
        </w:tc>
        <w:tc>
          <w:tcPr>
            <w:tcW w:w="3498" w:type="dxa"/>
            <w:tcBorders>
              <w:top w:val="single" w:color="auto" w:sz="4" w:space="0"/>
              <w:left w:val="single" w:color="auto" w:sz="4" w:space="0"/>
              <w:bottom w:val="single" w:color="auto" w:sz="4" w:space="0"/>
              <w:right w:val="single" w:color="auto" w:sz="4" w:space="0"/>
            </w:tcBorders>
          </w:tcPr>
          <w:p w14:paraId="5218C584">
            <w:pPr>
              <w:pStyle w:val="29"/>
              <w:snapToGrid w:val="0"/>
              <w:spacing w:line="240" w:lineRule="auto"/>
              <w:ind w:firstLine="0" w:firstLineChars="0"/>
              <w:rPr>
                <w:rFonts w:hint="eastAsia" w:ascii="微软雅黑" w:hAnsi="微软雅黑"/>
                <w:color w:val="auto"/>
                <w:szCs w:val="21"/>
                <w:highlight w:val="none"/>
              </w:rPr>
            </w:pPr>
          </w:p>
        </w:tc>
        <w:tc>
          <w:tcPr>
            <w:tcW w:w="1055" w:type="dxa"/>
            <w:tcBorders>
              <w:top w:val="single" w:color="auto" w:sz="4" w:space="0"/>
              <w:left w:val="single" w:color="auto" w:sz="4" w:space="0"/>
              <w:bottom w:val="single" w:color="auto" w:sz="4" w:space="0"/>
              <w:right w:val="single" w:color="auto" w:sz="4" w:space="0"/>
            </w:tcBorders>
          </w:tcPr>
          <w:p w14:paraId="31C1B8D1">
            <w:pPr>
              <w:pStyle w:val="29"/>
              <w:snapToGrid w:val="0"/>
              <w:spacing w:line="240" w:lineRule="auto"/>
              <w:ind w:firstLine="0" w:firstLineChars="0"/>
              <w:rPr>
                <w:rFonts w:hint="eastAsia" w:ascii="微软雅黑" w:hAnsi="微软雅黑"/>
                <w:color w:val="auto"/>
                <w:szCs w:val="21"/>
                <w:highlight w:val="none"/>
              </w:rPr>
            </w:pPr>
          </w:p>
        </w:tc>
      </w:tr>
    </w:tbl>
    <w:p w14:paraId="52A6BA9B">
      <w:pPr>
        <w:pStyle w:val="19"/>
        <w:ind w:firstLine="420"/>
        <w:rPr>
          <w:rFonts w:hint="eastAsia" w:ascii="微软雅黑" w:hAnsi="微软雅黑"/>
          <w:color w:val="auto"/>
          <w:sz w:val="21"/>
          <w:szCs w:val="21"/>
          <w:highlight w:val="none"/>
        </w:rPr>
      </w:pPr>
      <w:r>
        <w:rPr>
          <w:rFonts w:ascii="微软雅黑" w:hAnsi="微软雅黑"/>
          <w:color w:val="auto"/>
          <w:sz w:val="21"/>
          <w:szCs w:val="21"/>
          <w:highlight w:val="none"/>
        </w:rPr>
        <w:t>注：供应商应根据投标产品的性能指标、对照招标文件要求注明“正偏离”、“负偏离”或“无偏离”。</w:t>
      </w:r>
    </w:p>
    <w:p w14:paraId="114DA160">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50E6F06A">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B6D8F2C">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54486BF7">
      <w:pPr>
        <w:pStyle w:val="292"/>
        <w:spacing w:line="360" w:lineRule="auto"/>
        <w:ind w:firstLine="482"/>
        <w:rPr>
          <w:rFonts w:ascii="Times New Roman" w:hAnsi="Times New Roman" w:eastAsia="宋体"/>
          <w:b/>
          <w:color w:val="auto"/>
          <w:sz w:val="24"/>
          <w:szCs w:val="24"/>
          <w:highlight w:val="none"/>
        </w:rPr>
      </w:pPr>
    </w:p>
    <w:p w14:paraId="690CC924">
      <w:pPr>
        <w:pStyle w:val="292"/>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D06B019">
      <w:pPr>
        <w:pStyle w:val="292"/>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lang w:val="en-US" w:eastAsia="zh-CN"/>
        </w:rPr>
        <w:t>4</w:t>
      </w:r>
      <w:r>
        <w:rPr>
          <w:rFonts w:ascii="微软雅黑" w:hAnsi="微软雅黑" w:eastAsia="微软雅黑"/>
          <w:b/>
          <w:color w:val="auto"/>
          <w:sz w:val="21"/>
          <w:szCs w:val="21"/>
          <w:highlight w:val="none"/>
        </w:rPr>
        <w:t>. 项目实施人员一览表</w:t>
      </w:r>
    </w:p>
    <w:p w14:paraId="4FB47035">
      <w:pPr>
        <w:pStyle w:val="29"/>
        <w:adjustRightInd w:val="0"/>
        <w:spacing w:before="120" w:after="120"/>
        <w:ind w:firstLine="420"/>
        <w:jc w:val="center"/>
        <w:textAlignment w:val="baseline"/>
        <w:rPr>
          <w:rFonts w:hint="eastAsia" w:ascii="微软雅黑" w:hAnsi="微软雅黑"/>
          <w:color w:val="auto"/>
          <w:szCs w:val="21"/>
          <w:highlight w:val="none"/>
        </w:rPr>
      </w:pPr>
      <w:r>
        <w:rPr>
          <w:rFonts w:ascii="微软雅黑" w:hAnsi="微软雅黑"/>
          <w:b/>
          <w:color w:val="auto"/>
          <w:szCs w:val="21"/>
          <w:highlight w:val="none"/>
        </w:rPr>
        <w:t>项目实施人员一览表</w:t>
      </w:r>
    </w:p>
    <w:tbl>
      <w:tblPr>
        <w:tblStyle w:val="5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5C86D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41FDC44A">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20E89EC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289F537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7F3FA35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79401065">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410327E5">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7E8C4796">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3573C4AC">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典型业务</w:t>
            </w:r>
          </w:p>
          <w:p w14:paraId="534501BE">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与技术专长</w:t>
            </w:r>
          </w:p>
        </w:tc>
      </w:tr>
      <w:tr w14:paraId="0C559B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109A33BC">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71D6F481">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EF646F3">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F6476B6">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51D1B1F">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C194F9C">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F82D4AC">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0AE7F377">
            <w:pPr>
              <w:pStyle w:val="34"/>
              <w:spacing w:line="240" w:lineRule="auto"/>
              <w:ind w:firstLine="0" w:firstLineChars="0"/>
              <w:jc w:val="center"/>
              <w:rPr>
                <w:rFonts w:hint="eastAsia" w:ascii="微软雅黑" w:hAnsi="微软雅黑"/>
                <w:color w:val="auto"/>
                <w:sz w:val="21"/>
                <w:szCs w:val="21"/>
                <w:highlight w:val="none"/>
              </w:rPr>
            </w:pPr>
          </w:p>
        </w:tc>
      </w:tr>
      <w:tr w14:paraId="465578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8C5179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7F326970">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323137CB">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08EA764">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1F934E2B">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AFC6CE4">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63EED6B">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D264B6B">
            <w:pPr>
              <w:pStyle w:val="34"/>
              <w:spacing w:line="240" w:lineRule="auto"/>
              <w:ind w:firstLine="0" w:firstLineChars="0"/>
              <w:jc w:val="center"/>
              <w:rPr>
                <w:rFonts w:hint="eastAsia" w:ascii="微软雅黑" w:hAnsi="微软雅黑"/>
                <w:color w:val="auto"/>
                <w:sz w:val="21"/>
                <w:szCs w:val="21"/>
                <w:highlight w:val="none"/>
              </w:rPr>
            </w:pPr>
          </w:p>
        </w:tc>
      </w:tr>
      <w:tr w14:paraId="4D6653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7BBAC82">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753D463C">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11C4B11">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45A5209">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54D714A6">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59A9CA9A">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14144CF">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517B6071">
            <w:pPr>
              <w:pStyle w:val="34"/>
              <w:spacing w:line="240" w:lineRule="auto"/>
              <w:ind w:firstLine="0" w:firstLineChars="0"/>
              <w:jc w:val="center"/>
              <w:rPr>
                <w:rFonts w:hint="eastAsia" w:ascii="微软雅黑" w:hAnsi="微软雅黑"/>
                <w:color w:val="auto"/>
                <w:sz w:val="21"/>
                <w:szCs w:val="21"/>
                <w:highlight w:val="none"/>
              </w:rPr>
            </w:pPr>
          </w:p>
        </w:tc>
      </w:tr>
      <w:tr w14:paraId="05BEF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CF59DF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27A544E6">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53D50A0">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0BACCD6">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07DBE86">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1749E326">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A247E89">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73B61B2">
            <w:pPr>
              <w:pStyle w:val="34"/>
              <w:spacing w:line="240" w:lineRule="auto"/>
              <w:ind w:firstLine="0" w:firstLineChars="0"/>
              <w:jc w:val="center"/>
              <w:rPr>
                <w:rFonts w:hint="eastAsia" w:ascii="微软雅黑" w:hAnsi="微软雅黑"/>
                <w:color w:val="auto"/>
                <w:sz w:val="21"/>
                <w:szCs w:val="21"/>
                <w:highlight w:val="none"/>
              </w:rPr>
            </w:pPr>
          </w:p>
        </w:tc>
      </w:tr>
      <w:tr w14:paraId="4FD9E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60FA8C68">
            <w:pPr>
              <w:pStyle w:val="34"/>
              <w:spacing w:line="240" w:lineRule="auto"/>
              <w:ind w:firstLine="0" w:firstLineChars="0"/>
              <w:jc w:val="center"/>
              <w:rPr>
                <w:rFonts w:hint="eastAsia" w:ascii="微软雅黑" w:hAnsi="微软雅黑"/>
                <w:color w:val="auto"/>
                <w:sz w:val="21"/>
                <w:szCs w:val="21"/>
                <w:highlight w:val="none"/>
              </w:rPr>
            </w:pPr>
            <w:r>
              <w:rPr>
                <w:rFonts w:ascii="微软雅黑" w:hAnsi="微软雅黑"/>
                <w:color w:val="auto"/>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076AF7ED">
            <w:pPr>
              <w:pStyle w:val="34"/>
              <w:spacing w:line="240" w:lineRule="auto"/>
              <w:ind w:firstLine="0" w:firstLineChars="0"/>
              <w:jc w:val="center"/>
              <w:rPr>
                <w:rFonts w:hint="eastAsia" w:ascii="微软雅黑" w:hAnsi="微软雅黑"/>
                <w:color w:val="auto"/>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05EA2FFF">
            <w:pPr>
              <w:pStyle w:val="34"/>
              <w:spacing w:line="240" w:lineRule="auto"/>
              <w:ind w:firstLine="0" w:firstLineChars="0"/>
              <w:jc w:val="center"/>
              <w:rPr>
                <w:rFonts w:hint="eastAsia" w:ascii="微软雅黑" w:hAnsi="微软雅黑"/>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71A3ACB">
            <w:pPr>
              <w:pStyle w:val="34"/>
              <w:spacing w:line="240" w:lineRule="auto"/>
              <w:ind w:firstLine="0" w:firstLineChars="0"/>
              <w:jc w:val="center"/>
              <w:rPr>
                <w:rFonts w:hint="eastAsia" w:ascii="微软雅黑" w:hAnsi="微软雅黑"/>
                <w:color w:val="auto"/>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3307DA3">
            <w:pPr>
              <w:pStyle w:val="34"/>
              <w:spacing w:line="240" w:lineRule="auto"/>
              <w:ind w:firstLine="0" w:firstLineChars="0"/>
              <w:jc w:val="center"/>
              <w:rPr>
                <w:rFonts w:hint="eastAsia" w:ascii="微软雅黑" w:hAnsi="微软雅黑"/>
                <w:color w:val="auto"/>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46E1306B">
            <w:pPr>
              <w:pStyle w:val="34"/>
              <w:spacing w:line="240" w:lineRule="auto"/>
              <w:ind w:firstLine="0" w:firstLineChars="0"/>
              <w:jc w:val="center"/>
              <w:rPr>
                <w:rFonts w:hint="eastAsia" w:ascii="微软雅黑" w:hAnsi="微软雅黑"/>
                <w:color w:val="auto"/>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4AE5FE5">
            <w:pPr>
              <w:pStyle w:val="34"/>
              <w:spacing w:line="240" w:lineRule="auto"/>
              <w:ind w:firstLine="0" w:firstLineChars="0"/>
              <w:jc w:val="center"/>
              <w:rPr>
                <w:rFonts w:hint="eastAsia" w:ascii="微软雅黑" w:hAnsi="微软雅黑"/>
                <w:color w:val="auto"/>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AB086AE">
            <w:pPr>
              <w:pStyle w:val="34"/>
              <w:spacing w:line="240" w:lineRule="auto"/>
              <w:ind w:firstLine="0" w:firstLineChars="0"/>
              <w:jc w:val="center"/>
              <w:rPr>
                <w:rFonts w:hint="eastAsia" w:ascii="微软雅黑" w:hAnsi="微软雅黑"/>
                <w:color w:val="auto"/>
                <w:sz w:val="21"/>
                <w:szCs w:val="21"/>
                <w:highlight w:val="none"/>
              </w:rPr>
            </w:pPr>
          </w:p>
        </w:tc>
      </w:tr>
      <w:tr w14:paraId="780CB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3D6CE9FE">
            <w:pPr>
              <w:spacing w:line="240" w:lineRule="auto"/>
              <w:ind w:firstLine="0" w:firstLineChars="0"/>
              <w:rPr>
                <w:rFonts w:hint="eastAsia" w:ascii="微软雅黑" w:hAnsi="微软雅黑"/>
                <w:color w:val="auto"/>
                <w:szCs w:val="21"/>
                <w:highlight w:val="none"/>
              </w:rPr>
            </w:pPr>
            <w:r>
              <w:rPr>
                <w:rFonts w:ascii="微软雅黑" w:hAnsi="微软雅黑"/>
                <w:color w:val="auto"/>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3FDA2EC4">
            <w:pPr>
              <w:spacing w:line="240" w:lineRule="auto"/>
              <w:ind w:firstLine="0" w:firstLineChars="0"/>
              <w:rPr>
                <w:rFonts w:hint="eastAsia" w:ascii="微软雅黑" w:hAnsi="微软雅黑"/>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C225D42">
            <w:pPr>
              <w:spacing w:line="240" w:lineRule="auto"/>
              <w:ind w:firstLine="0" w:firstLineChars="0"/>
              <w:rPr>
                <w:rFonts w:hint="eastAsia" w:ascii="微软雅黑" w:hAnsi="微软雅黑"/>
                <w:color w:val="auto"/>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46C2F58E">
            <w:pPr>
              <w:spacing w:line="240" w:lineRule="auto"/>
              <w:ind w:firstLine="0" w:firstLineChars="0"/>
              <w:rPr>
                <w:rFonts w:hint="eastAsia" w:ascii="微软雅黑" w:hAnsi="微软雅黑"/>
                <w:color w:val="auto"/>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4A459AD0">
            <w:pPr>
              <w:spacing w:line="240" w:lineRule="auto"/>
              <w:ind w:firstLine="0" w:firstLineChars="0"/>
              <w:rPr>
                <w:rFonts w:hint="eastAsia" w:ascii="微软雅黑" w:hAnsi="微软雅黑"/>
                <w:color w:val="auto"/>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4F819515">
            <w:pPr>
              <w:spacing w:line="240" w:lineRule="auto"/>
              <w:ind w:firstLine="0" w:firstLineChars="0"/>
              <w:rPr>
                <w:rFonts w:hint="eastAsia" w:ascii="微软雅黑" w:hAnsi="微软雅黑"/>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3351205">
            <w:pPr>
              <w:spacing w:line="240" w:lineRule="auto"/>
              <w:ind w:firstLine="0" w:firstLineChars="0"/>
              <w:rPr>
                <w:rFonts w:hint="eastAsia" w:ascii="微软雅黑" w:hAnsi="微软雅黑"/>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A12167F">
            <w:pPr>
              <w:spacing w:line="240" w:lineRule="auto"/>
              <w:ind w:firstLine="0" w:firstLineChars="0"/>
              <w:rPr>
                <w:rFonts w:hint="eastAsia" w:ascii="微软雅黑" w:hAnsi="微软雅黑"/>
                <w:color w:val="auto"/>
                <w:szCs w:val="21"/>
                <w:highlight w:val="none"/>
              </w:rPr>
            </w:pPr>
          </w:p>
        </w:tc>
      </w:tr>
    </w:tbl>
    <w:p w14:paraId="5DDBA16B">
      <w:pPr>
        <w:ind w:firstLine="420"/>
        <w:rPr>
          <w:rFonts w:hint="eastAsia" w:ascii="微软雅黑" w:hAnsi="微软雅黑"/>
          <w:b/>
          <w:color w:val="auto"/>
          <w:szCs w:val="21"/>
          <w:highlight w:val="none"/>
        </w:rPr>
      </w:pPr>
      <w:r>
        <w:rPr>
          <w:rFonts w:ascii="微软雅黑" w:hAnsi="微软雅黑"/>
          <w:b/>
          <w:color w:val="auto"/>
          <w:szCs w:val="21"/>
          <w:highlight w:val="none"/>
        </w:rPr>
        <w:t>注：1、“项目实施人员”指投标单位针对该项目的销售、培训、售后服务等完成本项目所配备的人员。</w:t>
      </w:r>
    </w:p>
    <w:p w14:paraId="2529927D">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2、附各专业人员简历及相关证明材料复印件；</w:t>
      </w:r>
    </w:p>
    <w:p w14:paraId="738F238D">
      <w:pPr>
        <w:ind w:firstLine="840" w:firstLineChars="400"/>
        <w:rPr>
          <w:rFonts w:hint="eastAsia" w:ascii="微软雅黑" w:hAnsi="微软雅黑"/>
          <w:b/>
          <w:color w:val="auto"/>
          <w:szCs w:val="21"/>
          <w:highlight w:val="none"/>
        </w:rPr>
      </w:pPr>
      <w:r>
        <w:rPr>
          <w:rFonts w:ascii="微软雅黑" w:hAnsi="微软雅黑"/>
          <w:b/>
          <w:color w:val="auto"/>
          <w:szCs w:val="21"/>
          <w:highlight w:val="none"/>
        </w:rPr>
        <w:t>3、表格不够填写可添加。</w:t>
      </w:r>
    </w:p>
    <w:p w14:paraId="7459EA3A">
      <w:pPr>
        <w:snapToGrid w:val="0"/>
        <w:spacing w:before="120" w:beforeLines="50"/>
        <w:ind w:firstLine="420"/>
        <w:jc w:val="center"/>
        <w:rPr>
          <w:rFonts w:hint="eastAsia" w:ascii="微软雅黑" w:hAnsi="微软雅黑"/>
          <w:color w:val="auto"/>
          <w:szCs w:val="21"/>
          <w:highlight w:val="none"/>
          <w:u w:val="single"/>
        </w:rPr>
      </w:pPr>
      <w:r>
        <w:rPr>
          <w:rFonts w:hint="eastAsia" w:ascii="微软雅黑" w:hAnsi="微软雅黑" w:cs="Arial"/>
          <w:color w:val="auto"/>
          <w:kern w:val="0"/>
          <w:szCs w:val="21"/>
          <w:highlight w:val="none"/>
        </w:rPr>
        <w:t xml:space="preserve"> 法定代表人或</w:t>
      </w:r>
      <w:r>
        <w:rPr>
          <w:rFonts w:hint="eastAsia" w:ascii="微软雅黑" w:hAnsi="微软雅黑"/>
          <w:color w:val="auto"/>
          <w:szCs w:val="21"/>
          <w:highlight w:val="none"/>
        </w:rPr>
        <w:t>被授权人签字（或盖章）：</w:t>
      </w:r>
    </w:p>
    <w:p w14:paraId="247A839D">
      <w:pPr>
        <w:pStyle w:val="120"/>
        <w:ind w:firstLine="420"/>
        <w:jc w:val="center"/>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 xml:space="preserve">             供应商名称（公章）：</w:t>
      </w:r>
    </w:p>
    <w:p w14:paraId="01280601">
      <w:pPr>
        <w:pStyle w:val="120"/>
        <w:ind w:firstLine="420"/>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日期： 年 月 日</w:t>
      </w:r>
    </w:p>
    <w:p w14:paraId="30891237">
      <w:pPr>
        <w:pStyle w:val="292"/>
        <w:spacing w:line="360" w:lineRule="auto"/>
        <w:ind w:firstLine="482"/>
        <w:rPr>
          <w:rFonts w:ascii="Times New Roman" w:hAnsi="Times New Roman" w:eastAsia="宋体"/>
          <w:b/>
          <w:color w:val="auto"/>
          <w:sz w:val="24"/>
          <w:szCs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7EEDD34">
      <w:pPr>
        <w:pStyle w:val="292"/>
        <w:spacing w:line="360" w:lineRule="auto"/>
        <w:ind w:firstLine="482"/>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lang w:val="en-US" w:eastAsia="zh-CN"/>
        </w:rPr>
        <w:t>5</w:t>
      </w:r>
      <w:r>
        <w:rPr>
          <w:rFonts w:hint="eastAsia" w:ascii="微软雅黑" w:hAnsi="微软雅黑" w:eastAsia="微软雅黑"/>
          <w:b/>
          <w:color w:val="auto"/>
          <w:sz w:val="21"/>
          <w:szCs w:val="21"/>
          <w:highlight w:val="none"/>
        </w:rPr>
        <w:t>.诚信承诺函</w:t>
      </w:r>
    </w:p>
    <w:p w14:paraId="6AB0BDE6">
      <w:pPr>
        <w:pStyle w:val="6"/>
        <w:overflowPunct w:val="0"/>
        <w:jc w:val="center"/>
        <w:rPr>
          <w:rFonts w:hint="eastAsia" w:ascii="微软雅黑" w:hAnsi="微软雅黑"/>
          <w:b/>
          <w:color w:val="auto"/>
          <w:szCs w:val="21"/>
          <w:highlight w:val="none"/>
        </w:rPr>
      </w:pPr>
      <w:r>
        <w:rPr>
          <w:rFonts w:hint="eastAsia" w:ascii="微软雅黑" w:hAnsi="微软雅黑"/>
          <w:b/>
          <w:color w:val="auto"/>
          <w:szCs w:val="21"/>
          <w:highlight w:val="none"/>
        </w:rPr>
        <w:t>诚信承诺函</w:t>
      </w:r>
    </w:p>
    <w:p w14:paraId="45165200">
      <w:pPr>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致 </w:t>
      </w:r>
      <w:r>
        <w:rPr>
          <w:rFonts w:hint="eastAsia" w:ascii="微软雅黑" w:hAnsi="微软雅黑"/>
          <w:color w:val="auto"/>
          <w:szCs w:val="21"/>
          <w:highlight w:val="none"/>
          <w:u w:val="single"/>
        </w:rPr>
        <w:t xml:space="preserve">     </w:t>
      </w:r>
      <w:r>
        <w:rPr>
          <w:rFonts w:hint="eastAsia" w:ascii="微软雅黑" w:hAnsi="微软雅黑"/>
          <w:b/>
          <w:color w:val="auto"/>
          <w:szCs w:val="21"/>
          <w:highlight w:val="none"/>
          <w:u w:val="single"/>
        </w:rPr>
        <w:t xml:space="preserve">（采购人）       </w:t>
      </w:r>
      <w:r>
        <w:rPr>
          <w:rFonts w:hint="eastAsia" w:ascii="微软雅黑" w:hAnsi="微软雅黑"/>
          <w:color w:val="auto"/>
          <w:szCs w:val="21"/>
          <w:highlight w:val="none"/>
        </w:rPr>
        <w:t>：</w:t>
      </w:r>
    </w:p>
    <w:p w14:paraId="0857E189">
      <w:pPr>
        <w:ind w:firstLine="420"/>
        <w:rPr>
          <w:rFonts w:hint="eastAsia" w:ascii="微软雅黑" w:hAnsi="微软雅黑"/>
          <w:color w:val="auto"/>
          <w:szCs w:val="21"/>
          <w:highlight w:val="none"/>
        </w:rPr>
      </w:pPr>
      <w:r>
        <w:rPr>
          <w:rFonts w:hint="eastAsia" w:ascii="微软雅黑" w:hAnsi="微软雅黑"/>
          <w:color w:val="auto"/>
          <w:szCs w:val="21"/>
          <w:highlight w:val="none"/>
        </w:rPr>
        <w:t>我方在参加贵单位的</w:t>
      </w:r>
      <w:r>
        <w:rPr>
          <w:rFonts w:hint="eastAsia" w:ascii="微软雅黑" w:hAnsi="微软雅黑"/>
          <w:color w:val="auto"/>
          <w:szCs w:val="21"/>
          <w:highlight w:val="none"/>
          <w:u w:val="single"/>
        </w:rPr>
        <w:t xml:space="preserve">           政府采购项目</w:t>
      </w:r>
      <w:r>
        <w:rPr>
          <w:rFonts w:hint="eastAsia" w:ascii="微软雅黑" w:hAnsi="微软雅黑"/>
          <w:color w:val="auto"/>
          <w:szCs w:val="21"/>
          <w:highlight w:val="none"/>
        </w:rPr>
        <w:t>的招投标活动中，郑重承诺如下：</w:t>
      </w:r>
    </w:p>
    <w:p w14:paraId="29B5878E">
      <w:pPr>
        <w:ind w:firstLine="420"/>
        <w:rPr>
          <w:rFonts w:hint="eastAsia" w:ascii="微软雅黑" w:hAnsi="微软雅黑"/>
          <w:color w:val="auto"/>
          <w:szCs w:val="21"/>
          <w:highlight w:val="none"/>
        </w:rPr>
      </w:pPr>
      <w:r>
        <w:rPr>
          <w:rFonts w:hint="eastAsia" w:ascii="微软雅黑" w:hAnsi="微软雅黑"/>
          <w:color w:val="auto"/>
          <w:szCs w:val="21"/>
          <w:highlight w:val="none"/>
        </w:rPr>
        <w:t>1.我方申报的所有资料都是真实、准确、完整的；</w:t>
      </w:r>
    </w:p>
    <w:p w14:paraId="6E570183">
      <w:pPr>
        <w:ind w:firstLine="420"/>
        <w:rPr>
          <w:rFonts w:hint="eastAsia" w:ascii="微软雅黑" w:hAnsi="微软雅黑"/>
          <w:color w:val="auto"/>
          <w:szCs w:val="21"/>
          <w:highlight w:val="none"/>
        </w:rPr>
      </w:pPr>
      <w:r>
        <w:rPr>
          <w:rFonts w:hint="eastAsia" w:ascii="微软雅黑" w:hAnsi="微软雅黑"/>
          <w:color w:val="auto"/>
          <w:szCs w:val="21"/>
          <w:highlight w:val="none"/>
        </w:rPr>
        <w:t>2.我方无资质挂靠情形，保证不参与串标、围标及抬标；</w:t>
      </w:r>
    </w:p>
    <w:p w14:paraId="396D0F79">
      <w:pPr>
        <w:ind w:firstLine="420"/>
        <w:rPr>
          <w:rFonts w:hint="eastAsia" w:ascii="微软雅黑" w:hAnsi="微软雅黑"/>
          <w:color w:val="auto"/>
          <w:szCs w:val="21"/>
          <w:highlight w:val="none"/>
        </w:rPr>
      </w:pPr>
      <w:r>
        <w:rPr>
          <w:rFonts w:hint="eastAsia" w:ascii="微软雅黑" w:hAnsi="微软雅黑"/>
          <w:color w:val="auto"/>
          <w:szCs w:val="21"/>
          <w:highlight w:val="none"/>
        </w:rPr>
        <w:t>3.我方未处于被各级行政主管部门做出停止市场行为处罚的期限内；</w:t>
      </w:r>
    </w:p>
    <w:p w14:paraId="507978B0">
      <w:pPr>
        <w:ind w:firstLine="420"/>
        <w:rPr>
          <w:rFonts w:hint="eastAsia" w:ascii="微软雅黑" w:hAnsi="微软雅黑"/>
          <w:color w:val="auto"/>
          <w:szCs w:val="21"/>
          <w:highlight w:val="none"/>
        </w:rPr>
      </w:pPr>
      <w:r>
        <w:rPr>
          <w:rFonts w:hint="eastAsia" w:ascii="微软雅黑" w:hAnsi="微软雅黑"/>
          <w:color w:val="auto"/>
          <w:szCs w:val="21"/>
          <w:highlight w:val="none"/>
        </w:rPr>
        <w:t>4.我方参加本项目政府采购活动前3年内在经营活动中没有受到行政处罚、行政处理(含通报)，未被记入不良行为，没有重大违法记录；</w:t>
      </w:r>
    </w:p>
    <w:p w14:paraId="1A0B7D67">
      <w:pPr>
        <w:ind w:firstLine="420"/>
        <w:rPr>
          <w:rFonts w:hint="eastAsia" w:ascii="微软雅黑" w:hAnsi="微软雅黑"/>
          <w:color w:val="auto"/>
          <w:szCs w:val="21"/>
          <w:highlight w:val="none"/>
        </w:rPr>
      </w:pPr>
      <w:r>
        <w:rPr>
          <w:rFonts w:hint="eastAsia" w:ascii="微软雅黑" w:hAnsi="微软雅黑"/>
          <w:color w:val="auto"/>
          <w:szCs w:val="21"/>
          <w:highlight w:val="none"/>
        </w:rPr>
        <w:t>5.若我方中标，将严格按照规定及时与采购人签订合同；</w:t>
      </w:r>
    </w:p>
    <w:p w14:paraId="296461DE">
      <w:pPr>
        <w:ind w:firstLine="420"/>
        <w:rPr>
          <w:rFonts w:hint="eastAsia" w:ascii="微软雅黑" w:hAnsi="微软雅黑"/>
          <w:color w:val="auto"/>
          <w:szCs w:val="21"/>
          <w:highlight w:val="none"/>
        </w:rPr>
      </w:pPr>
      <w:r>
        <w:rPr>
          <w:rFonts w:hint="eastAsia" w:ascii="微软雅黑" w:hAnsi="微软雅黑"/>
          <w:color w:val="auto"/>
          <w:szCs w:val="21"/>
          <w:highlight w:val="none"/>
        </w:rPr>
        <w:t>6.若我方中标，将严格按照招标文件要求及投标文件承诺的报价、质量、工期、投标方案、项目负责人等内容组织实施；</w:t>
      </w:r>
    </w:p>
    <w:p w14:paraId="53F60621">
      <w:pPr>
        <w:ind w:firstLine="420"/>
        <w:rPr>
          <w:rFonts w:hint="eastAsia" w:ascii="微软雅黑" w:hAnsi="微软雅黑"/>
          <w:color w:val="auto"/>
          <w:szCs w:val="21"/>
          <w:highlight w:val="none"/>
        </w:rPr>
      </w:pPr>
      <w:r>
        <w:rPr>
          <w:rFonts w:hint="eastAsia" w:ascii="微软雅黑" w:hAnsi="微软雅黑"/>
          <w:color w:val="auto"/>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4432093F">
      <w:pPr>
        <w:ind w:firstLine="420"/>
        <w:rPr>
          <w:rFonts w:hint="eastAsia" w:ascii="微软雅黑" w:hAnsi="微软雅黑"/>
          <w:color w:val="auto"/>
          <w:szCs w:val="21"/>
          <w:highlight w:val="none"/>
        </w:rPr>
      </w:pPr>
      <w:r>
        <w:rPr>
          <w:rFonts w:hint="eastAsia" w:ascii="微软雅黑" w:hAnsi="微软雅黑"/>
          <w:color w:val="auto"/>
          <w:szCs w:val="21"/>
          <w:highlight w:val="none"/>
        </w:rPr>
        <w:t>特此承诺。</w:t>
      </w:r>
    </w:p>
    <w:p w14:paraId="297281E4">
      <w:pPr>
        <w:wordWrap w:val="0"/>
        <w:snapToGrid w:val="0"/>
        <w:spacing w:before="50" w:after="50"/>
        <w:ind w:firstLine="420"/>
        <w:jc w:val="right"/>
        <w:rPr>
          <w:rFonts w:hint="eastAsia" w:ascii="微软雅黑" w:hAnsi="微软雅黑"/>
          <w:color w:val="auto"/>
          <w:szCs w:val="21"/>
          <w:highlight w:val="none"/>
        </w:rPr>
      </w:pPr>
      <w:r>
        <w:rPr>
          <w:rFonts w:hint="eastAsia" w:ascii="微软雅黑" w:hAnsi="微软雅黑"/>
          <w:color w:val="auto"/>
          <w:szCs w:val="21"/>
          <w:highlight w:val="none"/>
        </w:rPr>
        <w:t xml:space="preserve">法定代表人或被授权人签字（或盖章）：    </w:t>
      </w:r>
    </w:p>
    <w:p w14:paraId="62B7FA6E">
      <w:pPr>
        <w:snapToGrid w:val="0"/>
        <w:spacing w:before="50" w:after="5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投标供应商（公章）：      　　　　　　　　　　　　　</w:t>
      </w:r>
    </w:p>
    <w:p w14:paraId="25C45F4C">
      <w:pPr>
        <w:spacing w:before="108" w:after="120" w:line="304" w:lineRule="auto"/>
        <w:ind w:right="417" w:firstLine="420"/>
        <w:jc w:val="center"/>
        <w:rPr>
          <w:rFonts w:hint="eastAsia" w:ascii="微软雅黑" w:hAnsi="微软雅黑"/>
          <w:color w:val="auto"/>
          <w:szCs w:val="21"/>
          <w:highlight w:val="none"/>
        </w:rPr>
      </w:pPr>
      <w:r>
        <w:rPr>
          <w:rFonts w:hint="eastAsia" w:ascii="微软雅黑" w:hAnsi="微软雅黑"/>
          <w:color w:val="auto"/>
          <w:szCs w:val="21"/>
          <w:highlight w:val="none"/>
        </w:rPr>
        <w:t xml:space="preserve">                                          日期：   年  月  日</w:t>
      </w:r>
    </w:p>
    <w:p w14:paraId="35D3EBF3">
      <w:pPr>
        <w:pStyle w:val="3"/>
        <w:ind w:firstLine="420"/>
        <w:rPr>
          <w:rFonts w:hint="eastAsia" w:ascii="宋体" w:hAnsi="宋体"/>
          <w:color w:val="auto"/>
          <w:highlight w:val="none"/>
        </w:rPr>
      </w:pPr>
    </w:p>
    <w:p w14:paraId="0F105DBC">
      <w:pPr>
        <w:ind w:firstLine="420"/>
        <w:rPr>
          <w:rFonts w:hint="eastAsia" w:ascii="宋体" w:hAnsi="宋体"/>
          <w:color w:val="auto"/>
          <w:highlight w:val="none"/>
        </w:rPr>
      </w:pPr>
    </w:p>
    <w:p w14:paraId="0796AEAE">
      <w:pPr>
        <w:pStyle w:val="3"/>
        <w:ind w:firstLine="420"/>
        <w:rPr>
          <w:rFonts w:hint="eastAsia"/>
          <w:color w:val="auto"/>
          <w:highlight w:val="none"/>
        </w:rPr>
      </w:pPr>
    </w:p>
    <w:p w14:paraId="0AE77CCA">
      <w:pPr>
        <w:snapToGrid w:val="0"/>
        <w:ind w:firstLine="640"/>
        <w:jc w:val="center"/>
        <w:rPr>
          <w:rFonts w:hint="eastAsia" w:ascii="宋体" w:hAnsi="宋体"/>
          <w:b/>
          <w:color w:val="auto"/>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0D1DDDF">
      <w:pPr>
        <w:snapToGrid w:val="0"/>
        <w:ind w:firstLine="420"/>
        <w:jc w:val="center"/>
        <w:rPr>
          <w:rFonts w:hint="eastAsia" w:ascii="宋体" w:hAnsi="宋体"/>
          <w:b/>
          <w:color w:val="auto"/>
          <w:szCs w:val="21"/>
          <w:highlight w:val="none"/>
        </w:rPr>
      </w:pPr>
      <w:r>
        <w:rPr>
          <w:rFonts w:hint="eastAsia" w:ascii="宋体" w:hAnsi="宋体"/>
          <w:b/>
          <w:color w:val="auto"/>
          <w:szCs w:val="21"/>
          <w:highlight w:val="none"/>
        </w:rPr>
        <w:t>劳动用工书面承诺</w:t>
      </w:r>
    </w:p>
    <w:p w14:paraId="4C97F7EB">
      <w:pPr>
        <w:snapToGrid w:val="0"/>
        <w:ind w:firstLine="420"/>
        <w:rPr>
          <w:rFonts w:hint="eastAsia" w:ascii="宋体" w:hAnsi="宋体"/>
          <w:color w:val="auto"/>
          <w:highlight w:val="none"/>
        </w:rPr>
      </w:pPr>
      <w:r>
        <w:rPr>
          <w:rFonts w:hint="eastAsia" w:ascii="宋体" w:hAnsi="宋体"/>
          <w:color w:val="auto"/>
          <w:highlight w:val="none"/>
        </w:rPr>
        <w:t>如我公司在本次招投标中标后成为中标供应商，我公司将严格遵守《民法典》及《劳动合同法》的相关规定，按招标文件的要求及我公司投标文件配置服务人员，按国家规定为员工缴纳社会保险。</w:t>
      </w:r>
    </w:p>
    <w:p w14:paraId="687FAB51">
      <w:pPr>
        <w:snapToGrid w:val="0"/>
        <w:ind w:firstLine="420"/>
        <w:rPr>
          <w:rFonts w:hint="eastAsia" w:ascii="宋体" w:hAnsi="宋体"/>
          <w:color w:val="auto"/>
          <w:highlight w:val="none"/>
        </w:rPr>
      </w:pPr>
      <w:r>
        <w:rPr>
          <w:rFonts w:hint="eastAsia" w:ascii="宋体" w:hAnsi="宋体"/>
          <w:color w:val="auto"/>
          <w:highlight w:val="none"/>
        </w:rPr>
        <w:t>特此承诺。</w:t>
      </w:r>
    </w:p>
    <w:p w14:paraId="10EA4C83">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法定代表人或其授权代表（签名）：</w:t>
      </w:r>
    </w:p>
    <w:p w14:paraId="3C337620">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投标供应商（盖章）：</w:t>
      </w:r>
    </w:p>
    <w:p w14:paraId="38B7F533">
      <w:pPr>
        <w:snapToGrid w:val="0"/>
        <w:ind w:left="630" w:leftChars="100" w:hanging="420" w:hangingChars="200"/>
        <w:jc w:val="center"/>
        <w:rPr>
          <w:rFonts w:hint="eastAsia" w:ascii="宋体" w:hAnsi="宋体"/>
          <w:color w:val="auto"/>
          <w:highlight w:val="none"/>
        </w:rPr>
      </w:pPr>
      <w:r>
        <w:rPr>
          <w:rFonts w:hint="eastAsia" w:ascii="宋体" w:hAnsi="宋体"/>
          <w:color w:val="auto"/>
          <w:highlight w:val="none"/>
        </w:rPr>
        <w:t xml:space="preserve">                   日期：</w:t>
      </w:r>
    </w:p>
    <w:p w14:paraId="4F6A1F5F">
      <w:pPr>
        <w:pStyle w:val="24"/>
        <w:ind w:left="0" w:firstLine="420"/>
        <w:rPr>
          <w:rFonts w:hint="eastAsia" w:hAnsi="宋体"/>
          <w:b/>
          <w:color w:val="auto"/>
          <w:kern w:val="0"/>
          <w:highlight w:val="none"/>
        </w:rPr>
      </w:pPr>
    </w:p>
    <w:p w14:paraId="3B6E72FF">
      <w:pPr>
        <w:ind w:firstLine="420"/>
        <w:rPr>
          <w:color w:val="auto"/>
          <w:highlight w:val="none"/>
        </w:rPr>
      </w:pPr>
    </w:p>
    <w:p w14:paraId="64833D3A">
      <w:pPr>
        <w:ind w:firstLine="643"/>
        <w:jc w:val="center"/>
        <w:rPr>
          <w:rFonts w:hint="eastAsia" w:ascii="仿宋_GB2312" w:hAnsi="仿宋" w:eastAsia="仿宋_GB2312" w:cs="仿宋_GB2312"/>
          <w:b/>
          <w:color w:val="auto"/>
          <w:kern w:val="0"/>
          <w:sz w:val="32"/>
          <w:szCs w:val="32"/>
          <w:highlight w:val="none"/>
        </w:rPr>
      </w:pPr>
    </w:p>
    <w:p w14:paraId="315CD72F">
      <w:pPr>
        <w:ind w:firstLine="643"/>
        <w:jc w:val="center"/>
        <w:rPr>
          <w:rFonts w:hint="eastAsia" w:ascii="仿宋_GB2312" w:hAnsi="仿宋" w:eastAsia="仿宋_GB2312" w:cs="仿宋_GB2312"/>
          <w:b/>
          <w:color w:val="auto"/>
          <w:kern w:val="0"/>
          <w:sz w:val="32"/>
          <w:szCs w:val="32"/>
          <w:highlight w:val="none"/>
        </w:rPr>
      </w:pPr>
    </w:p>
    <w:p w14:paraId="3F87E5AF">
      <w:pPr>
        <w:ind w:firstLine="643"/>
        <w:jc w:val="center"/>
        <w:rPr>
          <w:rFonts w:hint="eastAsia" w:ascii="仿宋_GB2312" w:hAnsi="仿宋" w:eastAsia="仿宋_GB2312" w:cs="仿宋_GB2312"/>
          <w:b/>
          <w:color w:val="auto"/>
          <w:kern w:val="0"/>
          <w:sz w:val="32"/>
          <w:szCs w:val="32"/>
          <w:highlight w:val="none"/>
        </w:rPr>
      </w:pPr>
    </w:p>
    <w:p w14:paraId="5EFB664C">
      <w:pPr>
        <w:ind w:firstLine="643"/>
        <w:jc w:val="both"/>
        <w:rPr>
          <w:rFonts w:hint="eastAsia" w:ascii="仿宋_GB2312" w:hAnsi="仿宋" w:eastAsia="仿宋_GB2312" w:cs="仿宋_GB2312"/>
          <w:b/>
          <w:color w:val="auto"/>
          <w:kern w:val="0"/>
          <w:sz w:val="32"/>
          <w:szCs w:val="32"/>
          <w:highlight w:val="none"/>
        </w:rPr>
      </w:pPr>
    </w:p>
    <w:p w14:paraId="17A102A3">
      <w:pPr>
        <w:ind w:firstLine="643"/>
        <w:jc w:val="center"/>
        <w:rPr>
          <w:rFonts w:hint="eastAsia" w:ascii="仿宋_GB2312" w:hAnsi="仿宋" w:eastAsia="仿宋_GB2312" w:cs="仿宋_GB2312"/>
          <w:b/>
          <w:color w:val="auto"/>
          <w:kern w:val="0"/>
          <w:sz w:val="32"/>
          <w:szCs w:val="32"/>
          <w:highlight w:val="none"/>
        </w:rPr>
      </w:pPr>
    </w:p>
    <w:p w14:paraId="68BD639D">
      <w:pPr>
        <w:ind w:firstLine="482"/>
        <w:jc w:val="both"/>
        <w:rPr>
          <w:rFonts w:hint="eastAsia" w:ascii="仿宋_GB2312" w:hAnsi="仿宋" w:eastAsia="仿宋_GB2312" w:cs="仿宋_GB2312"/>
          <w:b/>
          <w:bCs/>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83ECD93">
      <w:pPr>
        <w:pStyle w:val="3"/>
        <w:ind w:firstLine="420"/>
        <w:jc w:val="center"/>
        <w:rPr>
          <w:rFonts w:hint="eastAsia" w:ascii="微软雅黑" w:hAnsi="微软雅黑" w:cs="仿宋_GB2312"/>
          <w:color w:val="auto"/>
          <w:szCs w:val="21"/>
          <w:highlight w:val="none"/>
        </w:rPr>
      </w:pPr>
      <w:bookmarkStart w:id="261" w:name="_Toc169015155"/>
      <w:bookmarkStart w:id="262" w:name="_Toc3189"/>
      <w:r>
        <w:rPr>
          <w:rFonts w:hint="eastAsia" w:ascii="微软雅黑" w:hAnsi="微软雅黑" w:cs="仿宋_GB2312"/>
          <w:color w:val="auto"/>
          <w:szCs w:val="21"/>
          <w:highlight w:val="none"/>
        </w:rPr>
        <w:t>报价文件部分</w:t>
      </w:r>
      <w:bookmarkEnd w:id="261"/>
      <w:bookmarkEnd w:id="262"/>
    </w:p>
    <w:p w14:paraId="303C0661">
      <w:pPr>
        <w:ind w:firstLine="420"/>
        <w:jc w:val="center"/>
        <w:outlineLvl w:val="0"/>
        <w:rPr>
          <w:rFonts w:hint="eastAsia" w:ascii="微软雅黑" w:hAnsi="微软雅黑" w:cs="仿宋_GB2312"/>
          <w:b/>
          <w:color w:val="auto"/>
          <w:kern w:val="0"/>
          <w:szCs w:val="21"/>
          <w:highlight w:val="none"/>
        </w:rPr>
      </w:pPr>
      <w:bookmarkStart w:id="263" w:name="_Toc169015156"/>
      <w:bookmarkStart w:id="264" w:name="_Toc4766"/>
      <w:bookmarkStart w:id="265" w:name="_Toc164943233"/>
      <w:bookmarkStart w:id="266" w:name="_Toc8651"/>
      <w:r>
        <w:rPr>
          <w:rFonts w:hint="eastAsia" w:ascii="微软雅黑" w:hAnsi="微软雅黑" w:cs="仿宋_GB2312"/>
          <w:b/>
          <w:color w:val="auto"/>
          <w:kern w:val="0"/>
          <w:szCs w:val="21"/>
          <w:highlight w:val="none"/>
        </w:rPr>
        <w:t>目录</w:t>
      </w:r>
      <w:bookmarkEnd w:id="263"/>
      <w:bookmarkEnd w:id="264"/>
      <w:bookmarkEnd w:id="265"/>
      <w:bookmarkEnd w:id="266"/>
    </w:p>
    <w:p w14:paraId="2C36B38E">
      <w:pPr>
        <w:pStyle w:val="102"/>
        <w:numPr>
          <w:ilvl w:val="1"/>
          <w:numId w:val="26"/>
        </w:numPr>
        <w:snapToGrid w:val="0"/>
        <w:ind w:firstLineChars="0"/>
        <w:rPr>
          <w:rFonts w:hint="eastAsia" w:ascii="微软雅黑" w:hAnsi="微软雅黑" w:cs="宋体"/>
          <w:color w:val="auto"/>
          <w:szCs w:val="21"/>
          <w:highlight w:val="none"/>
        </w:rPr>
      </w:pPr>
      <w:r>
        <w:rPr>
          <w:rFonts w:hint="eastAsia" w:ascii="微软雅黑" w:hAnsi="微软雅黑" w:cs="宋体"/>
          <w:color w:val="auto"/>
          <w:szCs w:val="21"/>
          <w:highlight w:val="none"/>
        </w:rPr>
        <w:t>开标一览表（报价表）………………………………………………………（页码）</w:t>
      </w:r>
    </w:p>
    <w:p w14:paraId="20429914">
      <w:pPr>
        <w:snapToGrid w:val="0"/>
        <w:ind w:right="480" w:firstLine="643"/>
        <w:jc w:val="center"/>
        <w:rPr>
          <w:rFonts w:hint="eastAsia" w:ascii="仿宋_GB2312" w:hAnsi="仿宋" w:eastAsia="仿宋_GB2312" w:cs="仿宋_GB2312"/>
          <w:b/>
          <w:color w:val="auto"/>
          <w:kern w:val="0"/>
          <w:sz w:val="32"/>
          <w:szCs w:val="32"/>
          <w:highlight w:val="none"/>
        </w:rPr>
      </w:pPr>
    </w:p>
    <w:p w14:paraId="0463055F">
      <w:pPr>
        <w:snapToGrid w:val="0"/>
        <w:ind w:right="480" w:firstLine="643"/>
        <w:jc w:val="center"/>
        <w:rPr>
          <w:rFonts w:hint="eastAsia" w:ascii="仿宋_GB2312" w:hAnsi="仿宋" w:eastAsia="仿宋_GB2312" w:cs="仿宋_GB2312"/>
          <w:b/>
          <w:color w:val="auto"/>
          <w:kern w:val="0"/>
          <w:sz w:val="32"/>
          <w:szCs w:val="32"/>
          <w:highlight w:val="none"/>
        </w:rPr>
      </w:pPr>
    </w:p>
    <w:p w14:paraId="4E7CA067">
      <w:pPr>
        <w:snapToGrid w:val="0"/>
        <w:ind w:right="480" w:firstLine="643"/>
        <w:jc w:val="center"/>
        <w:rPr>
          <w:rFonts w:hint="eastAsia" w:ascii="仿宋_GB2312" w:hAnsi="仿宋" w:eastAsia="仿宋_GB2312" w:cs="仿宋_GB2312"/>
          <w:b/>
          <w:color w:val="auto"/>
          <w:kern w:val="0"/>
          <w:sz w:val="32"/>
          <w:szCs w:val="32"/>
          <w:highlight w:val="none"/>
        </w:rPr>
      </w:pPr>
    </w:p>
    <w:p w14:paraId="046F6451">
      <w:pPr>
        <w:snapToGrid w:val="0"/>
        <w:ind w:right="480" w:firstLine="643"/>
        <w:jc w:val="center"/>
        <w:rPr>
          <w:rFonts w:hint="eastAsia" w:ascii="仿宋_GB2312" w:hAnsi="仿宋" w:eastAsia="仿宋_GB2312" w:cs="仿宋_GB2312"/>
          <w:b/>
          <w:color w:val="auto"/>
          <w:kern w:val="0"/>
          <w:sz w:val="32"/>
          <w:szCs w:val="32"/>
          <w:highlight w:val="none"/>
        </w:rPr>
      </w:pPr>
    </w:p>
    <w:p w14:paraId="7CCAB567">
      <w:pPr>
        <w:snapToGrid w:val="0"/>
        <w:ind w:right="480" w:firstLine="643"/>
        <w:jc w:val="center"/>
        <w:rPr>
          <w:rFonts w:hint="eastAsia" w:ascii="仿宋_GB2312" w:hAnsi="仿宋" w:eastAsia="仿宋_GB2312" w:cs="仿宋_GB2312"/>
          <w:b/>
          <w:color w:val="auto"/>
          <w:kern w:val="0"/>
          <w:sz w:val="32"/>
          <w:szCs w:val="32"/>
          <w:highlight w:val="none"/>
        </w:rPr>
      </w:pPr>
    </w:p>
    <w:p w14:paraId="65928A44">
      <w:pPr>
        <w:snapToGrid w:val="0"/>
        <w:ind w:right="480" w:firstLine="643"/>
        <w:jc w:val="center"/>
        <w:rPr>
          <w:rFonts w:hint="eastAsia" w:ascii="仿宋_GB2312" w:hAnsi="仿宋" w:eastAsia="仿宋_GB2312" w:cs="仿宋_GB2312"/>
          <w:b/>
          <w:color w:val="auto"/>
          <w:kern w:val="0"/>
          <w:sz w:val="32"/>
          <w:szCs w:val="32"/>
          <w:highlight w:val="none"/>
        </w:rPr>
      </w:pPr>
    </w:p>
    <w:p w14:paraId="4322D658">
      <w:pPr>
        <w:snapToGrid w:val="0"/>
        <w:ind w:right="480" w:firstLine="643"/>
        <w:jc w:val="center"/>
        <w:rPr>
          <w:rFonts w:hint="eastAsia" w:ascii="仿宋_GB2312" w:hAnsi="仿宋" w:eastAsia="仿宋_GB2312" w:cs="仿宋_GB2312"/>
          <w:b/>
          <w:color w:val="auto"/>
          <w:kern w:val="0"/>
          <w:sz w:val="32"/>
          <w:szCs w:val="32"/>
          <w:highlight w:val="none"/>
        </w:rPr>
      </w:pPr>
    </w:p>
    <w:p w14:paraId="13CF32F1">
      <w:pPr>
        <w:snapToGrid w:val="0"/>
        <w:ind w:right="480" w:firstLine="643"/>
        <w:jc w:val="center"/>
        <w:rPr>
          <w:rFonts w:hint="eastAsia" w:ascii="仿宋_GB2312" w:hAnsi="仿宋" w:eastAsia="仿宋_GB2312" w:cs="仿宋_GB2312"/>
          <w:b/>
          <w:color w:val="auto"/>
          <w:kern w:val="0"/>
          <w:sz w:val="32"/>
          <w:szCs w:val="32"/>
          <w:highlight w:val="none"/>
        </w:rPr>
      </w:pPr>
    </w:p>
    <w:p w14:paraId="5B0FC3BE">
      <w:pPr>
        <w:snapToGrid w:val="0"/>
        <w:ind w:right="480" w:firstLine="643"/>
        <w:jc w:val="center"/>
        <w:rPr>
          <w:rFonts w:hint="eastAsia" w:ascii="仿宋_GB2312" w:hAnsi="仿宋" w:eastAsia="仿宋_GB2312" w:cs="仿宋_GB2312"/>
          <w:b/>
          <w:color w:val="auto"/>
          <w:kern w:val="0"/>
          <w:sz w:val="32"/>
          <w:szCs w:val="32"/>
          <w:highlight w:val="none"/>
        </w:rPr>
      </w:pPr>
    </w:p>
    <w:p w14:paraId="748E2142">
      <w:pPr>
        <w:snapToGrid w:val="0"/>
        <w:ind w:right="480" w:firstLine="643"/>
        <w:jc w:val="center"/>
        <w:rPr>
          <w:rFonts w:hint="eastAsia" w:ascii="仿宋_GB2312" w:hAnsi="仿宋" w:eastAsia="仿宋_GB2312" w:cs="仿宋_GB2312"/>
          <w:b/>
          <w:color w:val="auto"/>
          <w:kern w:val="0"/>
          <w:sz w:val="32"/>
          <w:szCs w:val="32"/>
          <w:highlight w:val="none"/>
        </w:rPr>
      </w:pPr>
    </w:p>
    <w:p w14:paraId="59B25AE0">
      <w:pPr>
        <w:snapToGrid w:val="0"/>
        <w:ind w:right="480" w:firstLine="643"/>
        <w:jc w:val="center"/>
        <w:rPr>
          <w:rFonts w:hint="eastAsia" w:ascii="仿宋_GB2312" w:hAnsi="仿宋" w:eastAsia="仿宋_GB2312" w:cs="仿宋_GB2312"/>
          <w:b/>
          <w:color w:val="auto"/>
          <w:kern w:val="0"/>
          <w:sz w:val="32"/>
          <w:szCs w:val="32"/>
          <w:highlight w:val="none"/>
        </w:rPr>
      </w:pPr>
    </w:p>
    <w:p w14:paraId="3DB5E5CD">
      <w:pPr>
        <w:ind w:firstLine="420"/>
        <w:rPr>
          <w:color w:val="auto"/>
          <w:highlight w:val="none"/>
        </w:rPr>
        <w:sectPr>
          <w:headerReference r:id="rId34" w:type="default"/>
          <w:footerReference r:id="rId3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E129F50">
      <w:pPr>
        <w:pStyle w:val="293"/>
        <w:keepNext w:val="0"/>
        <w:pageBreakBefore w:val="0"/>
        <w:tabs>
          <w:tab w:val="clear" w:pos="720"/>
        </w:tabs>
        <w:snapToGrid w:val="0"/>
        <w:spacing w:before="120" w:after="120"/>
        <w:ind w:firstLine="640"/>
        <w:outlineLvl w:val="1"/>
        <w:rPr>
          <w:rFonts w:hint="eastAsia" w:ascii="微软雅黑" w:hAnsi="微软雅黑" w:eastAsia="微软雅黑" w:cs="仿宋_GB2312"/>
          <w:color w:val="auto"/>
          <w:kern w:val="2"/>
          <w:sz w:val="21"/>
          <w:szCs w:val="21"/>
          <w:highlight w:val="none"/>
        </w:rPr>
      </w:pPr>
      <w:bookmarkStart w:id="267" w:name="_Toc27753"/>
      <w:r>
        <w:rPr>
          <w:rFonts w:hint="eastAsia" w:ascii="微软雅黑" w:hAnsi="微软雅黑" w:eastAsia="微软雅黑" w:cs="仿宋_GB2312"/>
          <w:color w:val="auto"/>
          <w:kern w:val="2"/>
          <w:sz w:val="21"/>
          <w:szCs w:val="21"/>
          <w:highlight w:val="none"/>
        </w:rPr>
        <w:t>一、开标一览表（报价表）</w:t>
      </w:r>
      <w:bookmarkEnd w:id="267"/>
    </w:p>
    <w:p w14:paraId="501C8094">
      <w:pPr>
        <w:snapToGrid w:val="0"/>
        <w:ind w:firstLine="420"/>
        <w:jc w:val="center"/>
        <w:rPr>
          <w:rFonts w:hint="eastAsia" w:ascii="微软雅黑" w:hAnsi="微软雅黑"/>
          <w:color w:val="auto"/>
          <w:szCs w:val="21"/>
          <w:highlight w:val="none"/>
        </w:rPr>
      </w:pPr>
    </w:p>
    <w:p w14:paraId="3019815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 xml:space="preserve">招标编号： </w:t>
      </w:r>
    </w:p>
    <w:p w14:paraId="28BC4615">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w:t>
      </w:r>
    </w:p>
    <w:tbl>
      <w:tblPr>
        <w:tblStyle w:val="54"/>
        <w:tblW w:w="864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97"/>
        <w:gridCol w:w="908"/>
        <w:gridCol w:w="1040"/>
        <w:gridCol w:w="3297"/>
      </w:tblGrid>
      <w:tr w14:paraId="7CBA52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397" w:type="dxa"/>
            <w:tcBorders>
              <w:top w:val="single" w:color="auto" w:sz="4" w:space="0"/>
              <w:left w:val="single" w:color="auto" w:sz="4" w:space="0"/>
              <w:bottom w:val="single" w:color="auto" w:sz="4" w:space="0"/>
              <w:right w:val="single" w:color="auto" w:sz="4" w:space="0"/>
            </w:tcBorders>
            <w:vAlign w:val="center"/>
          </w:tcPr>
          <w:p w14:paraId="6C596D2D">
            <w:pPr>
              <w:snapToGrid w:val="0"/>
              <w:ind w:firstLine="420"/>
              <w:jc w:val="center"/>
              <w:rPr>
                <w:rFonts w:hint="eastAsia" w:ascii="微软雅黑" w:hAnsi="微软雅黑"/>
                <w:color w:val="auto"/>
                <w:szCs w:val="21"/>
                <w:highlight w:val="none"/>
              </w:rPr>
            </w:pPr>
            <w:r>
              <w:rPr>
                <w:rFonts w:hint="eastAsia" w:ascii="微软雅黑" w:hAnsi="微软雅黑"/>
                <w:color w:val="auto"/>
                <w:szCs w:val="21"/>
                <w:highlight w:val="none"/>
              </w:rPr>
              <w:t>名称</w:t>
            </w:r>
          </w:p>
        </w:tc>
        <w:tc>
          <w:tcPr>
            <w:tcW w:w="908" w:type="dxa"/>
            <w:tcBorders>
              <w:top w:val="single" w:color="auto" w:sz="4" w:space="0"/>
              <w:left w:val="single" w:color="auto" w:sz="4" w:space="0"/>
              <w:bottom w:val="single" w:color="auto" w:sz="4" w:space="0"/>
              <w:right w:val="single" w:color="auto" w:sz="4" w:space="0"/>
            </w:tcBorders>
            <w:vAlign w:val="center"/>
          </w:tcPr>
          <w:p w14:paraId="3050D591">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数量</w:t>
            </w:r>
          </w:p>
        </w:tc>
        <w:tc>
          <w:tcPr>
            <w:tcW w:w="1040" w:type="dxa"/>
            <w:tcBorders>
              <w:top w:val="single" w:color="auto" w:sz="4" w:space="0"/>
              <w:left w:val="single" w:color="auto" w:sz="4" w:space="0"/>
              <w:bottom w:val="single" w:color="auto" w:sz="4" w:space="0"/>
              <w:right w:val="single" w:color="auto" w:sz="4" w:space="0"/>
            </w:tcBorders>
            <w:vAlign w:val="center"/>
          </w:tcPr>
          <w:p w14:paraId="67310470">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单位</w:t>
            </w:r>
          </w:p>
        </w:tc>
        <w:tc>
          <w:tcPr>
            <w:tcW w:w="3297" w:type="dxa"/>
            <w:tcBorders>
              <w:top w:val="single" w:color="auto" w:sz="4" w:space="0"/>
              <w:left w:val="single" w:color="auto" w:sz="4" w:space="0"/>
              <w:bottom w:val="single" w:color="auto" w:sz="4" w:space="0"/>
              <w:right w:val="single" w:color="auto" w:sz="4" w:space="0"/>
            </w:tcBorders>
            <w:vAlign w:val="center"/>
          </w:tcPr>
          <w:p w14:paraId="564A8A5A">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投标报价（元）</w:t>
            </w:r>
          </w:p>
        </w:tc>
      </w:tr>
      <w:tr w14:paraId="09603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3397" w:type="dxa"/>
            <w:tcBorders>
              <w:top w:val="single" w:color="auto" w:sz="4" w:space="0"/>
              <w:left w:val="single" w:color="auto" w:sz="4" w:space="0"/>
              <w:bottom w:val="single" w:color="auto" w:sz="4" w:space="0"/>
              <w:right w:val="single" w:color="auto" w:sz="4" w:space="0"/>
            </w:tcBorders>
            <w:vAlign w:val="center"/>
          </w:tcPr>
          <w:p w14:paraId="2E7671B9">
            <w:pPr>
              <w:spacing w:line="276" w:lineRule="auto"/>
              <w:ind w:firstLine="0" w:firstLineChars="0"/>
              <w:jc w:val="both"/>
              <w:rPr>
                <w:rFonts w:hint="eastAsia" w:ascii="微软雅黑" w:hAnsi="微软雅黑" w:eastAsia="微软雅黑"/>
                <w:color w:val="auto"/>
                <w:szCs w:val="21"/>
                <w:highlight w:val="none"/>
                <w:lang w:eastAsia="zh-CN"/>
              </w:rPr>
            </w:pPr>
            <w:r>
              <w:rPr>
                <w:rFonts w:hint="eastAsia"/>
                <w:color w:val="auto"/>
                <w:highlight w:val="none"/>
                <w:lang w:eastAsia="zh-CN"/>
              </w:rPr>
              <w:t>2025年嘉兴市文化艺术中心秀洲“三馆”融合运营服务项目</w:t>
            </w:r>
          </w:p>
        </w:tc>
        <w:tc>
          <w:tcPr>
            <w:tcW w:w="908" w:type="dxa"/>
            <w:tcBorders>
              <w:top w:val="single" w:color="auto" w:sz="4" w:space="0"/>
              <w:left w:val="single" w:color="auto" w:sz="4" w:space="0"/>
              <w:bottom w:val="single" w:color="auto" w:sz="4" w:space="0"/>
              <w:right w:val="single" w:color="auto" w:sz="4" w:space="0"/>
            </w:tcBorders>
            <w:vAlign w:val="center"/>
          </w:tcPr>
          <w:p w14:paraId="5F722CA6">
            <w:pPr>
              <w:snapToGrid w:val="0"/>
              <w:ind w:firstLine="420"/>
              <w:jc w:val="both"/>
              <w:rPr>
                <w:rFonts w:hint="eastAsia" w:ascii="微软雅黑" w:hAnsi="微软雅黑"/>
                <w:color w:val="auto"/>
                <w:szCs w:val="21"/>
                <w:highlight w:val="none"/>
              </w:rPr>
            </w:pPr>
            <w:r>
              <w:rPr>
                <w:rFonts w:ascii="微软雅黑" w:hAnsi="微软雅黑"/>
                <w:color w:val="auto"/>
                <w:szCs w:val="21"/>
                <w:highlight w:val="none"/>
              </w:rPr>
              <w:t>1</w:t>
            </w:r>
          </w:p>
        </w:tc>
        <w:tc>
          <w:tcPr>
            <w:tcW w:w="1040" w:type="dxa"/>
            <w:tcBorders>
              <w:top w:val="single" w:color="auto" w:sz="4" w:space="0"/>
              <w:left w:val="single" w:color="auto" w:sz="4" w:space="0"/>
              <w:bottom w:val="single" w:color="auto" w:sz="4" w:space="0"/>
              <w:right w:val="single" w:color="auto" w:sz="4" w:space="0"/>
            </w:tcBorders>
            <w:vAlign w:val="center"/>
          </w:tcPr>
          <w:p w14:paraId="2B93A760">
            <w:pPr>
              <w:snapToGrid w:val="0"/>
              <w:ind w:firstLine="0" w:firstLineChars="0"/>
              <w:jc w:val="center"/>
              <w:rPr>
                <w:rFonts w:hint="eastAsia" w:ascii="微软雅黑" w:hAnsi="微软雅黑"/>
                <w:color w:val="auto"/>
                <w:szCs w:val="21"/>
                <w:highlight w:val="none"/>
              </w:rPr>
            </w:pPr>
            <w:r>
              <w:rPr>
                <w:rFonts w:hint="eastAsia" w:ascii="微软雅黑" w:hAnsi="微软雅黑"/>
                <w:color w:val="auto"/>
                <w:szCs w:val="21"/>
                <w:highlight w:val="none"/>
              </w:rPr>
              <w:t>项</w:t>
            </w:r>
          </w:p>
        </w:tc>
        <w:tc>
          <w:tcPr>
            <w:tcW w:w="3297" w:type="dxa"/>
            <w:tcBorders>
              <w:top w:val="single" w:color="auto" w:sz="4" w:space="0"/>
              <w:left w:val="single" w:color="auto" w:sz="4" w:space="0"/>
              <w:bottom w:val="single" w:color="auto" w:sz="4" w:space="0"/>
              <w:right w:val="single" w:color="auto" w:sz="4" w:space="0"/>
            </w:tcBorders>
            <w:vAlign w:val="center"/>
          </w:tcPr>
          <w:p w14:paraId="7A435F2A">
            <w:pPr>
              <w:snapToGrid w:val="0"/>
              <w:ind w:firstLine="420"/>
              <w:jc w:val="center"/>
              <w:rPr>
                <w:rFonts w:hint="eastAsia" w:ascii="微软雅黑" w:hAnsi="微软雅黑"/>
                <w:color w:val="auto"/>
                <w:szCs w:val="21"/>
                <w:highlight w:val="none"/>
              </w:rPr>
            </w:pPr>
          </w:p>
        </w:tc>
      </w:tr>
      <w:tr w14:paraId="24C6F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8642" w:type="dxa"/>
            <w:gridSpan w:val="4"/>
            <w:tcBorders>
              <w:top w:val="single" w:color="auto" w:sz="4" w:space="0"/>
              <w:left w:val="single" w:color="auto" w:sz="4" w:space="0"/>
              <w:bottom w:val="single" w:color="auto" w:sz="4" w:space="0"/>
              <w:right w:val="single" w:color="auto" w:sz="4" w:space="0"/>
            </w:tcBorders>
            <w:vAlign w:val="center"/>
          </w:tcPr>
          <w:p w14:paraId="4588A527">
            <w:pPr>
              <w:snapToGrid w:val="0"/>
              <w:ind w:firstLine="0" w:firstLineChars="0"/>
              <w:rPr>
                <w:rFonts w:hint="eastAsia" w:ascii="微软雅黑" w:hAnsi="微软雅黑"/>
                <w:color w:val="auto"/>
                <w:szCs w:val="21"/>
                <w:highlight w:val="none"/>
                <w:u w:val="single"/>
              </w:rPr>
            </w:pPr>
            <w:r>
              <w:rPr>
                <w:rFonts w:ascii="微软雅黑" w:hAnsi="微软雅黑"/>
                <w:color w:val="auto"/>
                <w:szCs w:val="21"/>
                <w:highlight w:val="none"/>
              </w:rPr>
              <w:t>合计：大写：                                                  小写：</w:t>
            </w:r>
          </w:p>
        </w:tc>
      </w:tr>
    </w:tbl>
    <w:p w14:paraId="5D5DDDB1">
      <w:pPr>
        <w:snapToGrid w:val="0"/>
        <w:ind w:firstLine="420"/>
        <w:rPr>
          <w:rFonts w:hint="eastAsia" w:ascii="微软雅黑" w:hAnsi="微软雅黑"/>
          <w:color w:val="auto"/>
          <w:szCs w:val="21"/>
          <w:highlight w:val="none"/>
        </w:rPr>
      </w:pPr>
    </w:p>
    <w:p w14:paraId="21AF43ED">
      <w:pPr>
        <w:snapToGrid w:val="0"/>
        <w:ind w:firstLine="420"/>
        <w:rPr>
          <w:rFonts w:hint="eastAsia" w:ascii="微软雅黑" w:hAnsi="微软雅黑"/>
          <w:color w:val="auto"/>
          <w:szCs w:val="21"/>
          <w:highlight w:val="none"/>
        </w:rPr>
      </w:pPr>
      <w:r>
        <w:rPr>
          <w:rFonts w:hint="eastAsia" w:ascii="微软雅黑" w:hAnsi="微软雅黑"/>
          <w:color w:val="auto"/>
          <w:szCs w:val="21"/>
          <w:highlight w:val="none"/>
        </w:rPr>
        <w:t>注</w:t>
      </w:r>
      <w:r>
        <w:rPr>
          <w:rFonts w:ascii="微软雅黑" w:hAnsi="微软雅黑"/>
          <w:color w:val="auto"/>
          <w:szCs w:val="21"/>
          <w:highlight w:val="none"/>
        </w:rPr>
        <w:t>: 1</w:t>
      </w:r>
      <w:r>
        <w:rPr>
          <w:rFonts w:hint="eastAsia" w:ascii="微软雅黑" w:hAnsi="微软雅黑"/>
          <w:color w:val="auto"/>
          <w:szCs w:val="21"/>
          <w:highlight w:val="none"/>
        </w:rPr>
        <w:t>、报价一经涂改，应在涂改处加盖单位公章或者由法定代表人或授权委托人签字或盖章，否则其投标作无效标处理。</w:t>
      </w:r>
    </w:p>
    <w:p w14:paraId="1F98A198">
      <w:pPr>
        <w:ind w:firstLine="420"/>
        <w:rPr>
          <w:rFonts w:hint="eastAsia" w:ascii="微软雅黑" w:hAnsi="微软雅黑" w:cs="微软雅黑"/>
          <w:color w:val="auto"/>
          <w:szCs w:val="21"/>
          <w:highlight w:val="none"/>
        </w:rPr>
      </w:pPr>
      <w:r>
        <w:rPr>
          <w:rFonts w:hint="eastAsia" w:ascii="微软雅黑" w:hAnsi="微软雅黑" w:cs="微软雅黑"/>
          <w:color w:val="auto"/>
          <w:szCs w:val="21"/>
          <w:highlight w:val="none"/>
        </w:rPr>
        <w:t>▲2、</w:t>
      </w:r>
      <w:r>
        <w:rPr>
          <w:rFonts w:hint="eastAsia" w:ascii="微软雅黑" w:hAnsi="微软雅黑"/>
          <w:color w:val="auto"/>
          <w:szCs w:val="21"/>
          <w:highlight w:val="none"/>
        </w:rPr>
        <w:t>以上报价不得超过上限价，任何超过上限价的报价均导致投标被否决。</w:t>
      </w:r>
    </w:p>
    <w:p w14:paraId="6AEC7B14">
      <w:pPr>
        <w:pStyle w:val="29"/>
        <w:snapToGrid w:val="0"/>
        <w:ind w:firstLine="420"/>
        <w:rPr>
          <w:rFonts w:hint="eastAsia" w:ascii="微软雅黑" w:hAnsi="微软雅黑"/>
          <w:color w:val="auto"/>
          <w:szCs w:val="21"/>
          <w:highlight w:val="none"/>
        </w:rPr>
      </w:pPr>
    </w:p>
    <w:p w14:paraId="792EE0D5">
      <w:pPr>
        <w:snapToGrid w:val="0"/>
        <w:ind w:firstLine="420"/>
        <w:rPr>
          <w:rFonts w:hint="eastAsia" w:ascii="微软雅黑" w:hAnsi="微软雅黑"/>
          <w:color w:val="auto"/>
          <w:szCs w:val="21"/>
          <w:highlight w:val="none"/>
        </w:rPr>
      </w:pPr>
    </w:p>
    <w:p w14:paraId="36F6083B">
      <w:pPr>
        <w:snapToGrid w:val="0"/>
        <w:ind w:left="-46" w:leftChars="-22" w:right="-817" w:rightChars="-389" w:firstLine="525" w:firstLineChars="250"/>
        <w:rPr>
          <w:rFonts w:hint="eastAsia" w:ascii="微软雅黑" w:hAnsi="微软雅黑"/>
          <w:color w:val="auto"/>
          <w:szCs w:val="21"/>
          <w:highlight w:val="none"/>
        </w:rPr>
      </w:pPr>
      <w:r>
        <w:rPr>
          <w:rFonts w:hint="eastAsia" w:ascii="微软雅黑" w:hAnsi="微软雅黑"/>
          <w:color w:val="auto"/>
          <w:szCs w:val="21"/>
          <w:highlight w:val="none"/>
        </w:rPr>
        <w:t>法定代表人或授权代表（签字或盖章）：</w:t>
      </w:r>
    </w:p>
    <w:p w14:paraId="04AB1991">
      <w:pPr>
        <w:ind w:firstLine="420"/>
        <w:rPr>
          <w:rFonts w:hint="eastAsia" w:ascii="微软雅黑" w:hAnsi="微软雅黑"/>
          <w:color w:val="auto"/>
          <w:szCs w:val="21"/>
          <w:highlight w:val="none"/>
        </w:rPr>
      </w:pPr>
      <w:r>
        <w:rPr>
          <w:rFonts w:hint="eastAsia" w:ascii="微软雅黑" w:hAnsi="微软雅黑"/>
          <w:color w:val="auto"/>
          <w:szCs w:val="21"/>
          <w:highlight w:val="none"/>
        </w:rPr>
        <w:t>投标人名称（盖章）：</w:t>
      </w:r>
    </w:p>
    <w:p w14:paraId="39307FDB">
      <w:pPr>
        <w:ind w:firstLine="420"/>
        <w:rPr>
          <w:rFonts w:hint="eastAsia" w:ascii="微软雅黑" w:hAnsi="微软雅黑"/>
          <w:color w:val="auto"/>
          <w:szCs w:val="21"/>
          <w:highlight w:val="none"/>
        </w:rPr>
        <w:sectPr>
          <w:footerReference r:id="rId36" w:type="default"/>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微软雅黑" w:hAnsi="微软雅黑"/>
          <w:color w:val="auto"/>
          <w:szCs w:val="21"/>
          <w:highlight w:val="none"/>
        </w:rPr>
        <w:t>日期： 年 月 日</w:t>
      </w:r>
    </w:p>
    <w:p w14:paraId="25E0E714">
      <w:pPr>
        <w:shd w:val="clear" w:color="auto" w:fill="FFFFFF"/>
        <w:spacing w:line="400" w:lineRule="atLeast"/>
        <w:ind w:firstLine="420"/>
        <w:rPr>
          <w:rFonts w:hint="eastAsia" w:ascii="微软雅黑" w:hAnsi="微软雅黑" w:cs="宋体"/>
          <w:b/>
          <w:color w:val="auto"/>
          <w:szCs w:val="21"/>
          <w:highlight w:val="none"/>
        </w:rPr>
      </w:pPr>
      <w:r>
        <w:rPr>
          <w:rFonts w:hint="eastAsia" w:ascii="微软雅黑" w:hAnsi="微软雅黑" w:cs="宋体"/>
          <w:b/>
          <w:color w:val="auto"/>
          <w:szCs w:val="21"/>
          <w:highlight w:val="none"/>
        </w:rPr>
        <w:t>附</w:t>
      </w:r>
      <w:r>
        <w:rPr>
          <w:rFonts w:ascii="微软雅黑" w:hAnsi="微软雅黑" w:cs="宋体"/>
          <w:b/>
          <w:color w:val="auto"/>
          <w:szCs w:val="21"/>
          <w:highlight w:val="none"/>
        </w:rPr>
        <w:t>件：</w:t>
      </w:r>
    </w:p>
    <w:p w14:paraId="04BA88CC">
      <w:pPr>
        <w:shd w:val="clear" w:color="auto" w:fill="FFFFFF"/>
        <w:spacing w:line="400" w:lineRule="atLeast"/>
        <w:ind w:firstLine="420"/>
        <w:jc w:val="center"/>
        <w:rPr>
          <w:rFonts w:hint="eastAsia" w:ascii="微软雅黑" w:hAnsi="微软雅黑" w:cs="宋体"/>
          <w:b/>
          <w:color w:val="auto"/>
          <w:szCs w:val="21"/>
          <w:highlight w:val="none"/>
        </w:rPr>
      </w:pPr>
    </w:p>
    <w:p w14:paraId="3FD45F01">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268" w:name="_Toc13790"/>
      <w:bookmarkStart w:id="269" w:name="_Toc23088"/>
      <w:bookmarkStart w:id="270" w:name="_Toc164943235"/>
      <w:r>
        <w:rPr>
          <w:rFonts w:hint="eastAsia" w:ascii="微软雅黑" w:hAnsi="微软雅黑" w:cs="宋体"/>
          <w:b/>
          <w:color w:val="auto"/>
          <w:szCs w:val="21"/>
          <w:highlight w:val="none"/>
        </w:rPr>
        <w:t>国家统计局关于印发统计上大中小微型企业划分办法的通知</w:t>
      </w:r>
      <w:bookmarkEnd w:id="268"/>
      <w:bookmarkEnd w:id="269"/>
      <w:bookmarkEnd w:id="270"/>
    </w:p>
    <w:p w14:paraId="7801AEB6">
      <w:pPr>
        <w:shd w:val="clear" w:color="auto" w:fill="FFFFFF"/>
        <w:spacing w:line="400" w:lineRule="atLeast"/>
        <w:ind w:firstLine="420"/>
        <w:jc w:val="center"/>
        <w:rPr>
          <w:rFonts w:hint="eastAsia" w:ascii="微软雅黑" w:hAnsi="微软雅黑" w:cs="宋体"/>
          <w:bCs/>
          <w:color w:val="auto"/>
          <w:szCs w:val="21"/>
          <w:highlight w:val="none"/>
        </w:rPr>
      </w:pPr>
      <w:r>
        <w:rPr>
          <w:rFonts w:hint="eastAsia" w:ascii="微软雅黑" w:hAnsi="微软雅黑" w:cs="宋体"/>
          <w:color w:val="auto"/>
          <w:szCs w:val="21"/>
          <w:highlight w:val="none"/>
        </w:rPr>
        <w:t>国统字〔</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75</w:t>
      </w:r>
      <w:r>
        <w:rPr>
          <w:rFonts w:hint="eastAsia" w:ascii="微软雅黑" w:hAnsi="微软雅黑" w:cs="宋体"/>
          <w:color w:val="auto"/>
          <w:szCs w:val="21"/>
          <w:highlight w:val="none"/>
        </w:rPr>
        <w:t>号</w:t>
      </w:r>
    </w:p>
    <w:p w14:paraId="4763471F">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6950885A">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各省、自治区、直辖市统计局，新疆生产建设兵团统计局，国家统计局各调查总队，国务院有关部门：</w:t>
      </w:r>
    </w:p>
    <w:p w14:paraId="27173114">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4075C232">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为贯彻落实工业和信息化部、国家统计局、国家发展改革委、财政部《关于印发中小企业划型标准规定的通知》（工信部联企业〔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号），结合统计工作的实际情况，我们制定了《统计上大中小微型企业划分办法》。现印发给你们，请遵照执行。</w:t>
      </w:r>
    </w:p>
    <w:p w14:paraId="5922D53A">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2EFCA994">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国家统计局</w:t>
      </w:r>
      <w:r>
        <w:rPr>
          <w:rFonts w:ascii="微软雅黑" w:hAnsi="微软雅黑"/>
          <w:color w:val="auto"/>
          <w:szCs w:val="21"/>
          <w:highlight w:val="none"/>
        </w:rPr>
        <w:t> </w:t>
      </w:r>
    </w:p>
    <w:p w14:paraId="708F246E">
      <w:pPr>
        <w:shd w:val="clear" w:color="auto" w:fill="FFFFFF"/>
        <w:spacing w:line="400" w:lineRule="atLeast"/>
        <w:ind w:firstLine="420"/>
        <w:jc w:val="right"/>
        <w:rPr>
          <w:rFonts w:hint="eastAsia" w:ascii="微软雅黑" w:hAnsi="微软雅黑" w:cs="宋体"/>
          <w:bCs/>
          <w:color w:val="auto"/>
          <w:szCs w:val="21"/>
          <w:highlight w:val="none"/>
        </w:rPr>
      </w:pPr>
      <w:r>
        <w:rPr>
          <w:rFonts w:hint="eastAsia" w:ascii="微软雅黑" w:hAnsi="微软雅黑" w:cs="宋体"/>
          <w:color w:val="auto"/>
          <w:szCs w:val="21"/>
          <w:highlight w:val="none"/>
        </w:rPr>
        <w:t>　　二〇一一年九月二日</w:t>
      </w:r>
    </w:p>
    <w:p w14:paraId="7BDA8CD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4C149862">
      <w:pPr>
        <w:shd w:val="clear" w:color="auto" w:fill="FFFFFF"/>
        <w:spacing w:line="400" w:lineRule="atLeast"/>
        <w:ind w:firstLine="420"/>
        <w:jc w:val="center"/>
        <w:outlineLvl w:val="0"/>
        <w:rPr>
          <w:rFonts w:hint="eastAsia" w:ascii="微软雅黑" w:hAnsi="微软雅黑" w:cs="宋体"/>
          <w:bCs/>
          <w:color w:val="auto"/>
          <w:szCs w:val="21"/>
          <w:highlight w:val="none"/>
        </w:rPr>
      </w:pPr>
      <w:bookmarkStart w:id="271" w:name="_Toc16901"/>
      <w:bookmarkStart w:id="272" w:name="_Toc164943236"/>
      <w:bookmarkStart w:id="273" w:name="_Toc23951"/>
      <w:r>
        <w:rPr>
          <w:rFonts w:hint="eastAsia" w:ascii="微软雅黑" w:hAnsi="微软雅黑" w:cs="宋体"/>
          <w:b/>
          <w:color w:val="auto"/>
          <w:szCs w:val="21"/>
          <w:highlight w:val="none"/>
        </w:rPr>
        <w:t>统计上大中小微型企业划分办法</w:t>
      </w:r>
      <w:bookmarkEnd w:id="271"/>
      <w:bookmarkEnd w:id="272"/>
      <w:bookmarkEnd w:id="273"/>
    </w:p>
    <w:p w14:paraId="70DB09D9">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 </w:t>
      </w:r>
    </w:p>
    <w:p w14:paraId="205355BE">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一、根据工业和信息化部、国家统计局、国家发展改革委、财政部《关于印发中小企业划型标准规定的通知》（工信部联企业〔</w:t>
      </w:r>
      <w:r>
        <w:rPr>
          <w:rFonts w:ascii="微软雅黑" w:hAnsi="微软雅黑"/>
          <w:color w:val="auto"/>
          <w:szCs w:val="21"/>
          <w:highlight w:val="none"/>
        </w:rPr>
        <w:t>2011</w:t>
      </w:r>
      <w:r>
        <w:rPr>
          <w:rFonts w:hint="eastAsia" w:ascii="微软雅黑" w:hAnsi="微软雅黑" w:cs="宋体"/>
          <w:color w:val="auto"/>
          <w:szCs w:val="21"/>
          <w:highlight w:val="none"/>
        </w:rPr>
        <w:t>〕</w:t>
      </w:r>
      <w:r>
        <w:rPr>
          <w:rFonts w:ascii="微软雅黑" w:hAnsi="微软雅黑"/>
          <w:color w:val="auto"/>
          <w:szCs w:val="21"/>
          <w:highlight w:val="none"/>
        </w:rPr>
        <w:t>300</w:t>
      </w:r>
      <w:r>
        <w:rPr>
          <w:rFonts w:hint="eastAsia" w:ascii="微软雅黑" w:hAnsi="微软雅黑" w:cs="宋体"/>
          <w:color w:val="auto"/>
          <w:szCs w:val="21"/>
          <w:highlight w:val="none"/>
        </w:rPr>
        <w:t>号），结合统计工作的实际情况，特制定本办法。</w:t>
      </w:r>
    </w:p>
    <w:p w14:paraId="0B24A5CD">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p>
    <w:p w14:paraId="16EA4606">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二、本办法适用对象为在中华人民共和国境内依法设立的各种组织形式的法人企业或单位。个体工商户参照本办法进行划分。</w:t>
      </w:r>
    </w:p>
    <w:p w14:paraId="4E177437">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color w:val="auto"/>
          <w:szCs w:val="21"/>
          <w:highlight w:val="none"/>
        </w:rPr>
        <w:t>15</w:t>
      </w:r>
      <w:r>
        <w:rPr>
          <w:rFonts w:hint="eastAsia" w:ascii="微软雅黑" w:hAnsi="微软雅黑" w:cs="宋体"/>
          <w:color w:val="auto"/>
          <w:szCs w:val="21"/>
          <w:highlight w:val="none"/>
        </w:rPr>
        <w:t>个行业门类以及社会工作行业大类。</w:t>
      </w:r>
    </w:p>
    <w:p w14:paraId="41BFA696">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四、本办法按照行业门类、大类、中类和组合类别，依据从业人员、营业收入、资产总额等指标或替代指标，将我国的企业划分为大型、中型、小型、微型等四种类型。具体划分标准见附表。</w:t>
      </w:r>
    </w:p>
    <w:p w14:paraId="74C3C500">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color w:val="auto"/>
          <w:szCs w:val="21"/>
          <w:highlight w:val="none"/>
        </w:rPr>
        <w:t>五、企业划分由政府综合统计部门根据统计年报每年确定一次，定报统计原则上不进行调整。</w:t>
      </w:r>
    </w:p>
    <w:p w14:paraId="11D78D80">
      <w:pPr>
        <w:shd w:val="clear" w:color="auto" w:fill="FFFFFF"/>
        <w:spacing w:line="400" w:lineRule="atLeast"/>
        <w:ind w:firstLine="420"/>
        <w:rPr>
          <w:rFonts w:hint="eastAsia" w:ascii="微软雅黑" w:hAnsi="微软雅黑" w:cs="宋体"/>
          <w:bCs/>
          <w:color w:val="auto"/>
          <w:szCs w:val="21"/>
          <w:highlight w:val="none"/>
        </w:rPr>
      </w:pPr>
      <w:r>
        <w:rPr>
          <w:rFonts w:hint="eastAsia" w:ascii="微软雅黑" w:hAnsi="微软雅黑" w:cs="宋体"/>
          <w:color w:val="auto"/>
          <w:szCs w:val="21"/>
          <w:highlight w:val="none"/>
        </w:rPr>
        <w:t>六、本办法自印发之日起执行，国家统计局</w:t>
      </w:r>
      <w:r>
        <w:rPr>
          <w:rFonts w:ascii="微软雅黑" w:hAnsi="微软雅黑"/>
          <w:color w:val="auto"/>
          <w:szCs w:val="21"/>
          <w:highlight w:val="none"/>
        </w:rPr>
        <w:t>2003</w:t>
      </w:r>
      <w:r>
        <w:rPr>
          <w:rFonts w:hint="eastAsia" w:ascii="微软雅黑" w:hAnsi="微软雅黑" w:cs="宋体"/>
          <w:color w:val="auto"/>
          <w:szCs w:val="21"/>
          <w:highlight w:val="none"/>
        </w:rPr>
        <w:t>年印发的《统计上大中小型企业划分办法（暂行）》（国统字〔</w:t>
      </w:r>
      <w:r>
        <w:rPr>
          <w:rFonts w:ascii="微软雅黑" w:hAnsi="微软雅黑"/>
          <w:color w:val="auto"/>
          <w:szCs w:val="21"/>
          <w:highlight w:val="none"/>
        </w:rPr>
        <w:t>2003</w:t>
      </w:r>
      <w:r>
        <w:rPr>
          <w:rFonts w:hint="eastAsia" w:ascii="微软雅黑" w:hAnsi="微软雅黑" w:cs="宋体"/>
          <w:color w:val="auto"/>
          <w:szCs w:val="21"/>
          <w:highlight w:val="none"/>
        </w:rPr>
        <w:t>〕</w:t>
      </w:r>
      <w:r>
        <w:rPr>
          <w:rFonts w:ascii="微软雅黑" w:hAnsi="微软雅黑"/>
          <w:color w:val="auto"/>
          <w:szCs w:val="21"/>
          <w:highlight w:val="none"/>
        </w:rPr>
        <w:t>17</w:t>
      </w:r>
      <w:r>
        <w:rPr>
          <w:rFonts w:hint="eastAsia" w:ascii="微软雅黑" w:hAnsi="微软雅黑" w:cs="宋体"/>
          <w:color w:val="auto"/>
          <w:szCs w:val="21"/>
          <w:highlight w:val="none"/>
        </w:rPr>
        <w:t>号）同时废止。</w:t>
      </w:r>
    </w:p>
    <w:p w14:paraId="0D1ED047">
      <w:pPr>
        <w:shd w:val="clear" w:color="auto" w:fill="FFFFFF"/>
        <w:spacing w:line="400" w:lineRule="atLeast"/>
        <w:ind w:firstLine="482"/>
        <w:rPr>
          <w:rFonts w:hint="eastAsia" w:ascii="微软雅黑" w:hAnsi="微软雅黑" w:cs="宋体"/>
          <w:bCs/>
          <w:color w:val="auto"/>
          <w:szCs w:val="21"/>
          <w:highlight w:val="none"/>
        </w:rPr>
      </w:pPr>
      <w:r>
        <w:rPr>
          <w:rFonts w:eastAsia="宋体"/>
          <w:b/>
          <w:color w:val="auto"/>
          <w:sz w:val="24"/>
          <w:highlight w:val="none"/>
        </w:rPr>
        <w:t> </w:t>
      </w:r>
      <w:r>
        <w:rPr>
          <w:rFonts w:hint="eastAsia" w:ascii="微软雅黑" w:hAnsi="微软雅黑" w:cs="宋体"/>
          <w:color w:val="auto"/>
          <w:szCs w:val="21"/>
          <w:highlight w:val="none"/>
        </w:rPr>
        <w:t>　　附表：</w:t>
      </w:r>
    </w:p>
    <w:p w14:paraId="63B60B9A">
      <w:pPr>
        <w:shd w:val="clear" w:color="auto" w:fill="FFFFFF"/>
        <w:spacing w:line="400" w:lineRule="atLeast"/>
        <w:ind w:firstLine="420"/>
        <w:rPr>
          <w:rFonts w:hint="eastAsia" w:ascii="微软雅黑" w:hAnsi="微软雅黑" w:cs="宋体"/>
          <w:bCs/>
          <w:color w:val="auto"/>
          <w:szCs w:val="21"/>
          <w:highlight w:val="none"/>
        </w:rPr>
      </w:pPr>
      <w:r>
        <w:rPr>
          <w:rFonts w:ascii="微软雅黑" w:hAnsi="微软雅黑"/>
          <w:color w:val="auto"/>
          <w:szCs w:val="21"/>
          <w:highlight w:val="none"/>
        </w:rPr>
        <w:t> </w:t>
      </w:r>
      <w:r>
        <w:rPr>
          <w:rFonts w:hint="eastAsia" w:ascii="微软雅黑" w:hAnsi="微软雅黑" w:cs="宋体"/>
          <w:b/>
          <w:color w:val="auto"/>
          <w:szCs w:val="21"/>
          <w:highlight w:val="none"/>
        </w:rPr>
        <w:t>统计上大中小微型企业划分标准</w:t>
      </w:r>
    </w:p>
    <w:tbl>
      <w:tblPr>
        <w:tblStyle w:val="5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2546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3E863948">
            <w:pPr>
              <w:spacing w:line="240" w:lineRule="auto"/>
              <w:ind w:firstLine="0" w:firstLineChars="0"/>
              <w:jc w:val="center"/>
              <w:rPr>
                <w:rFonts w:hint="eastAsia" w:ascii="宋体" w:hAnsi="宋体" w:eastAsia="宋体" w:cs="宋体"/>
                <w:bCs/>
                <w:color w:val="auto"/>
                <w:sz w:val="24"/>
                <w:highlight w:val="none"/>
              </w:rPr>
            </w:pPr>
            <w:r>
              <w:rPr>
                <w:rFonts w:eastAsia="宋体"/>
                <w:color w:val="auto"/>
                <w:sz w:val="24"/>
                <w:highlight w:val="none"/>
              </w:rPr>
              <w:t> </w:t>
            </w:r>
            <w:r>
              <w:rPr>
                <w:rFonts w:hint="eastAsia" w:ascii="宋体" w:hAnsi="宋体" w:eastAsia="宋体" w:cs="宋体"/>
                <w:b/>
                <w:color w:val="auto"/>
                <w:sz w:val="18"/>
                <w:szCs w:val="18"/>
                <w:highlight w:val="none"/>
              </w:rPr>
              <w:t>行业名称</w:t>
            </w:r>
          </w:p>
        </w:tc>
        <w:tc>
          <w:tcPr>
            <w:tcW w:w="1281" w:type="dxa"/>
            <w:shd w:val="clear" w:color="auto" w:fill="auto"/>
            <w:tcMar>
              <w:top w:w="0" w:type="dxa"/>
              <w:left w:w="108" w:type="dxa"/>
              <w:bottom w:w="0" w:type="dxa"/>
              <w:right w:w="108" w:type="dxa"/>
            </w:tcMar>
            <w:vAlign w:val="center"/>
          </w:tcPr>
          <w:p w14:paraId="68080687">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指标名称</w:t>
            </w:r>
          </w:p>
        </w:tc>
        <w:tc>
          <w:tcPr>
            <w:tcW w:w="758" w:type="dxa"/>
            <w:shd w:val="clear" w:color="auto" w:fill="auto"/>
            <w:tcMar>
              <w:top w:w="0" w:type="dxa"/>
              <w:left w:w="108" w:type="dxa"/>
              <w:bottom w:w="0" w:type="dxa"/>
              <w:right w:w="108" w:type="dxa"/>
            </w:tcMar>
            <w:vAlign w:val="center"/>
          </w:tcPr>
          <w:p w14:paraId="03EEA1C3">
            <w:pPr>
              <w:spacing w:line="240" w:lineRule="auto"/>
              <w:ind w:firstLine="0" w:firstLineChars="0"/>
              <w:jc w:val="center"/>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计量</w:t>
            </w:r>
          </w:p>
          <w:p w14:paraId="37E51BE0">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单位</w:t>
            </w:r>
          </w:p>
        </w:tc>
        <w:tc>
          <w:tcPr>
            <w:tcW w:w="993" w:type="dxa"/>
            <w:shd w:val="clear" w:color="auto" w:fill="auto"/>
            <w:tcMar>
              <w:top w:w="0" w:type="dxa"/>
              <w:left w:w="108" w:type="dxa"/>
              <w:bottom w:w="0" w:type="dxa"/>
              <w:right w:w="108" w:type="dxa"/>
            </w:tcMar>
            <w:vAlign w:val="center"/>
          </w:tcPr>
          <w:p w14:paraId="5D476A3B">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大型</w:t>
            </w:r>
          </w:p>
        </w:tc>
        <w:tc>
          <w:tcPr>
            <w:tcW w:w="1491" w:type="dxa"/>
            <w:shd w:val="clear" w:color="auto" w:fill="auto"/>
            <w:tcMar>
              <w:top w:w="0" w:type="dxa"/>
              <w:left w:w="108" w:type="dxa"/>
              <w:bottom w:w="0" w:type="dxa"/>
              <w:right w:w="108" w:type="dxa"/>
            </w:tcMar>
            <w:vAlign w:val="center"/>
          </w:tcPr>
          <w:p w14:paraId="7B426455">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中型</w:t>
            </w:r>
          </w:p>
        </w:tc>
        <w:tc>
          <w:tcPr>
            <w:tcW w:w="1315" w:type="dxa"/>
            <w:shd w:val="clear" w:color="auto" w:fill="auto"/>
            <w:tcMar>
              <w:top w:w="0" w:type="dxa"/>
              <w:left w:w="108" w:type="dxa"/>
              <w:bottom w:w="0" w:type="dxa"/>
              <w:right w:w="108" w:type="dxa"/>
            </w:tcMar>
            <w:vAlign w:val="center"/>
          </w:tcPr>
          <w:p w14:paraId="00822BDC">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小型</w:t>
            </w:r>
          </w:p>
        </w:tc>
        <w:tc>
          <w:tcPr>
            <w:tcW w:w="908" w:type="dxa"/>
            <w:shd w:val="clear" w:color="auto" w:fill="auto"/>
            <w:tcMar>
              <w:top w:w="0" w:type="dxa"/>
              <w:left w:w="108" w:type="dxa"/>
              <w:bottom w:w="0" w:type="dxa"/>
              <w:right w:w="108" w:type="dxa"/>
            </w:tcMar>
            <w:vAlign w:val="center"/>
          </w:tcPr>
          <w:p w14:paraId="2E5C4F4F">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b/>
                <w:color w:val="auto"/>
                <w:sz w:val="18"/>
                <w:szCs w:val="18"/>
                <w:highlight w:val="none"/>
              </w:rPr>
              <w:t>微型</w:t>
            </w:r>
          </w:p>
        </w:tc>
      </w:tr>
      <w:tr w14:paraId="5936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53A88ED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7EAF48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93B74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798633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390C9EB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2D5E8AC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50≤Y＜500</w:t>
            </w:r>
          </w:p>
        </w:tc>
        <w:tc>
          <w:tcPr>
            <w:tcW w:w="908" w:type="dxa"/>
            <w:shd w:val="clear" w:color="auto" w:fill="auto"/>
            <w:tcMar>
              <w:top w:w="0" w:type="dxa"/>
              <w:left w:w="108" w:type="dxa"/>
              <w:bottom w:w="0" w:type="dxa"/>
              <w:right w:w="108" w:type="dxa"/>
            </w:tcMar>
            <w:vAlign w:val="center"/>
          </w:tcPr>
          <w:p w14:paraId="463CDE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6576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FD07E1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工业 *</w:t>
            </w:r>
          </w:p>
        </w:tc>
        <w:tc>
          <w:tcPr>
            <w:tcW w:w="1281" w:type="dxa"/>
            <w:shd w:val="clear" w:color="auto" w:fill="auto"/>
            <w:tcMar>
              <w:top w:w="0" w:type="dxa"/>
              <w:left w:w="108" w:type="dxa"/>
              <w:bottom w:w="0" w:type="dxa"/>
              <w:right w:w="108" w:type="dxa"/>
            </w:tcMar>
            <w:vAlign w:val="center"/>
          </w:tcPr>
          <w:p w14:paraId="3BB7014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808D18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C9177A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14E46E8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58AD583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56BB3CA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5280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5CFB260">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66AB8D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EE7857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E49744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6DCB9D1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2000≤Y＜40000</w:t>
            </w:r>
          </w:p>
        </w:tc>
        <w:tc>
          <w:tcPr>
            <w:tcW w:w="1315" w:type="dxa"/>
            <w:shd w:val="clear" w:color="auto" w:fill="auto"/>
            <w:tcMar>
              <w:top w:w="0" w:type="dxa"/>
              <w:left w:w="108" w:type="dxa"/>
              <w:bottom w:w="0" w:type="dxa"/>
              <w:right w:w="108" w:type="dxa"/>
            </w:tcMar>
            <w:vAlign w:val="center"/>
          </w:tcPr>
          <w:p w14:paraId="1FDE220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300≤Y＜2000</w:t>
            </w:r>
          </w:p>
        </w:tc>
        <w:tc>
          <w:tcPr>
            <w:tcW w:w="908" w:type="dxa"/>
            <w:shd w:val="clear" w:color="auto" w:fill="auto"/>
            <w:tcMar>
              <w:top w:w="0" w:type="dxa"/>
              <w:left w:w="108" w:type="dxa"/>
              <w:bottom w:w="0" w:type="dxa"/>
              <w:right w:w="108" w:type="dxa"/>
            </w:tcMar>
            <w:vAlign w:val="center"/>
          </w:tcPr>
          <w:p w14:paraId="75CCB10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00CE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E22FCE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建筑业</w:t>
            </w:r>
          </w:p>
        </w:tc>
        <w:tc>
          <w:tcPr>
            <w:tcW w:w="1281" w:type="dxa"/>
            <w:shd w:val="clear" w:color="auto" w:fill="auto"/>
            <w:tcMar>
              <w:top w:w="0" w:type="dxa"/>
              <w:left w:w="108" w:type="dxa"/>
              <w:bottom w:w="0" w:type="dxa"/>
              <w:right w:w="108" w:type="dxa"/>
            </w:tcMar>
            <w:vAlign w:val="center"/>
          </w:tcPr>
          <w:p w14:paraId="197AF06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1ED0D92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153842D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Y≥80000</w:t>
            </w:r>
          </w:p>
        </w:tc>
        <w:tc>
          <w:tcPr>
            <w:tcW w:w="1491" w:type="dxa"/>
            <w:shd w:val="clear" w:color="auto" w:fill="auto"/>
            <w:tcMar>
              <w:top w:w="0" w:type="dxa"/>
              <w:left w:w="108" w:type="dxa"/>
              <w:bottom w:w="0" w:type="dxa"/>
              <w:right w:w="108" w:type="dxa"/>
            </w:tcMar>
            <w:vAlign w:val="center"/>
          </w:tcPr>
          <w:p w14:paraId="6AAE6B9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6000≤Y＜80000</w:t>
            </w:r>
          </w:p>
        </w:tc>
        <w:tc>
          <w:tcPr>
            <w:tcW w:w="1315" w:type="dxa"/>
            <w:shd w:val="clear" w:color="auto" w:fill="auto"/>
            <w:tcMar>
              <w:top w:w="0" w:type="dxa"/>
              <w:left w:w="108" w:type="dxa"/>
              <w:bottom w:w="0" w:type="dxa"/>
              <w:right w:w="108" w:type="dxa"/>
            </w:tcMar>
            <w:vAlign w:val="center"/>
          </w:tcPr>
          <w:p w14:paraId="325E77D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300≤Y＜6000</w:t>
            </w:r>
          </w:p>
        </w:tc>
        <w:tc>
          <w:tcPr>
            <w:tcW w:w="908" w:type="dxa"/>
            <w:shd w:val="clear" w:color="auto" w:fill="auto"/>
            <w:tcMar>
              <w:top w:w="0" w:type="dxa"/>
              <w:left w:w="108" w:type="dxa"/>
              <w:bottom w:w="0" w:type="dxa"/>
              <w:right w:w="108" w:type="dxa"/>
            </w:tcMar>
            <w:vAlign w:val="center"/>
          </w:tcPr>
          <w:p w14:paraId="41015FA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w:t>
            </w:r>
          </w:p>
        </w:tc>
      </w:tr>
      <w:tr w14:paraId="1353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3244F32">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216D28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2228DEC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2E48A1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Z≥80000</w:t>
            </w:r>
          </w:p>
        </w:tc>
        <w:tc>
          <w:tcPr>
            <w:tcW w:w="1491" w:type="dxa"/>
            <w:shd w:val="clear" w:color="auto" w:fill="auto"/>
            <w:tcMar>
              <w:top w:w="0" w:type="dxa"/>
              <w:left w:w="108" w:type="dxa"/>
              <w:bottom w:w="0" w:type="dxa"/>
              <w:right w:w="108" w:type="dxa"/>
            </w:tcMar>
            <w:vAlign w:val="center"/>
          </w:tcPr>
          <w:p w14:paraId="14E1CD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5000≤Z＜80000</w:t>
            </w:r>
          </w:p>
        </w:tc>
        <w:tc>
          <w:tcPr>
            <w:tcW w:w="1315" w:type="dxa"/>
            <w:shd w:val="clear" w:color="auto" w:fill="auto"/>
            <w:tcMar>
              <w:top w:w="0" w:type="dxa"/>
              <w:left w:w="108" w:type="dxa"/>
              <w:bottom w:w="0" w:type="dxa"/>
              <w:right w:w="108" w:type="dxa"/>
            </w:tcMar>
            <w:vAlign w:val="center"/>
          </w:tcPr>
          <w:p w14:paraId="1ECB2BE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300≤Z＜5000</w:t>
            </w:r>
          </w:p>
        </w:tc>
        <w:tc>
          <w:tcPr>
            <w:tcW w:w="908" w:type="dxa"/>
            <w:shd w:val="clear" w:color="auto" w:fill="auto"/>
            <w:tcMar>
              <w:top w:w="0" w:type="dxa"/>
              <w:left w:w="108" w:type="dxa"/>
              <w:bottom w:w="0" w:type="dxa"/>
              <w:right w:w="108" w:type="dxa"/>
            </w:tcMar>
            <w:vAlign w:val="center"/>
          </w:tcPr>
          <w:p w14:paraId="11D2DEC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Z＜300</w:t>
            </w:r>
          </w:p>
        </w:tc>
      </w:tr>
      <w:tr w14:paraId="2CA3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B96AEB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批发业</w:t>
            </w:r>
          </w:p>
        </w:tc>
        <w:tc>
          <w:tcPr>
            <w:tcW w:w="1281" w:type="dxa"/>
            <w:shd w:val="clear" w:color="auto" w:fill="auto"/>
            <w:tcMar>
              <w:top w:w="0" w:type="dxa"/>
              <w:left w:w="108" w:type="dxa"/>
              <w:bottom w:w="0" w:type="dxa"/>
              <w:right w:w="108" w:type="dxa"/>
            </w:tcMar>
            <w:vAlign w:val="center"/>
          </w:tcPr>
          <w:p w14:paraId="77350A3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25C47F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74AC88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164C742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20≤X＜200</w:t>
            </w:r>
          </w:p>
        </w:tc>
        <w:tc>
          <w:tcPr>
            <w:tcW w:w="1315" w:type="dxa"/>
            <w:shd w:val="clear" w:color="auto" w:fill="auto"/>
            <w:tcMar>
              <w:top w:w="0" w:type="dxa"/>
              <w:left w:w="108" w:type="dxa"/>
              <w:bottom w:w="0" w:type="dxa"/>
              <w:right w:w="108" w:type="dxa"/>
            </w:tcMar>
            <w:vAlign w:val="center"/>
          </w:tcPr>
          <w:p w14:paraId="13111E2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5≤X＜20</w:t>
            </w:r>
          </w:p>
        </w:tc>
        <w:tc>
          <w:tcPr>
            <w:tcW w:w="908" w:type="dxa"/>
            <w:shd w:val="clear" w:color="auto" w:fill="auto"/>
            <w:tcMar>
              <w:top w:w="0" w:type="dxa"/>
              <w:left w:w="108" w:type="dxa"/>
              <w:bottom w:w="0" w:type="dxa"/>
              <w:right w:w="108" w:type="dxa"/>
            </w:tcMar>
            <w:vAlign w:val="center"/>
          </w:tcPr>
          <w:p w14:paraId="079F50A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X＜5</w:t>
            </w:r>
          </w:p>
        </w:tc>
      </w:tr>
      <w:tr w14:paraId="7838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4632518">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6BE348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36BD9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B770D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Y≥40000</w:t>
            </w:r>
          </w:p>
        </w:tc>
        <w:tc>
          <w:tcPr>
            <w:tcW w:w="1491" w:type="dxa"/>
            <w:shd w:val="clear" w:color="auto" w:fill="auto"/>
            <w:tcMar>
              <w:top w:w="0" w:type="dxa"/>
              <w:left w:w="108" w:type="dxa"/>
              <w:bottom w:w="0" w:type="dxa"/>
              <w:right w:w="108" w:type="dxa"/>
            </w:tcMar>
            <w:vAlign w:val="center"/>
          </w:tcPr>
          <w:p w14:paraId="210C288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5000≤Y＜40000</w:t>
            </w:r>
          </w:p>
        </w:tc>
        <w:tc>
          <w:tcPr>
            <w:tcW w:w="1315" w:type="dxa"/>
            <w:shd w:val="clear" w:color="auto" w:fill="auto"/>
            <w:tcMar>
              <w:top w:w="0" w:type="dxa"/>
              <w:left w:w="108" w:type="dxa"/>
              <w:bottom w:w="0" w:type="dxa"/>
              <w:right w:w="108" w:type="dxa"/>
            </w:tcMar>
            <w:vAlign w:val="center"/>
          </w:tcPr>
          <w:p w14:paraId="10D94B4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908" w:type="dxa"/>
            <w:shd w:val="clear" w:color="auto" w:fill="auto"/>
            <w:tcMar>
              <w:top w:w="0" w:type="dxa"/>
              <w:left w:w="108" w:type="dxa"/>
              <w:bottom w:w="0" w:type="dxa"/>
              <w:right w:w="108" w:type="dxa"/>
            </w:tcMar>
            <w:vAlign w:val="center"/>
          </w:tcPr>
          <w:p w14:paraId="42E5468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w:t>
            </w:r>
          </w:p>
        </w:tc>
      </w:tr>
      <w:tr w14:paraId="1D94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94360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零售业</w:t>
            </w:r>
          </w:p>
        </w:tc>
        <w:tc>
          <w:tcPr>
            <w:tcW w:w="1281" w:type="dxa"/>
            <w:shd w:val="clear" w:color="auto" w:fill="auto"/>
            <w:tcMar>
              <w:top w:w="0" w:type="dxa"/>
              <w:left w:w="108" w:type="dxa"/>
              <w:bottom w:w="0" w:type="dxa"/>
              <w:right w:w="108" w:type="dxa"/>
            </w:tcMar>
            <w:vAlign w:val="center"/>
          </w:tcPr>
          <w:p w14:paraId="111F15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EC818C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E6BA1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145BA7E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50≤X＜300</w:t>
            </w:r>
          </w:p>
        </w:tc>
        <w:tc>
          <w:tcPr>
            <w:tcW w:w="1315" w:type="dxa"/>
            <w:shd w:val="clear" w:color="auto" w:fill="auto"/>
            <w:tcMar>
              <w:top w:w="0" w:type="dxa"/>
              <w:left w:w="108" w:type="dxa"/>
              <w:bottom w:w="0" w:type="dxa"/>
              <w:right w:w="108" w:type="dxa"/>
            </w:tcMar>
            <w:vAlign w:val="center"/>
          </w:tcPr>
          <w:p w14:paraId="66E0632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10≤X＜50</w:t>
            </w:r>
          </w:p>
        </w:tc>
        <w:tc>
          <w:tcPr>
            <w:tcW w:w="908" w:type="dxa"/>
            <w:shd w:val="clear" w:color="auto" w:fill="auto"/>
            <w:tcMar>
              <w:top w:w="0" w:type="dxa"/>
              <w:left w:w="108" w:type="dxa"/>
              <w:bottom w:w="0" w:type="dxa"/>
              <w:right w:w="108" w:type="dxa"/>
            </w:tcMar>
            <w:vAlign w:val="center"/>
          </w:tcPr>
          <w:p w14:paraId="059B89F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7150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92E3A3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3A457C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22019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B930F1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w:t>
            </w:r>
          </w:p>
        </w:tc>
        <w:tc>
          <w:tcPr>
            <w:tcW w:w="1491" w:type="dxa"/>
            <w:shd w:val="clear" w:color="auto" w:fill="auto"/>
            <w:tcMar>
              <w:top w:w="0" w:type="dxa"/>
              <w:left w:w="108" w:type="dxa"/>
              <w:bottom w:w="0" w:type="dxa"/>
              <w:right w:w="108" w:type="dxa"/>
            </w:tcMar>
            <w:vAlign w:val="center"/>
          </w:tcPr>
          <w:p w14:paraId="101FA76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500≤Y＜20000</w:t>
            </w:r>
          </w:p>
        </w:tc>
        <w:tc>
          <w:tcPr>
            <w:tcW w:w="1315" w:type="dxa"/>
            <w:shd w:val="clear" w:color="auto" w:fill="auto"/>
            <w:tcMar>
              <w:top w:w="0" w:type="dxa"/>
              <w:left w:w="108" w:type="dxa"/>
              <w:bottom w:w="0" w:type="dxa"/>
              <w:right w:w="108" w:type="dxa"/>
            </w:tcMar>
            <w:vAlign w:val="center"/>
          </w:tcPr>
          <w:p w14:paraId="6E32223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100≤Y＜500</w:t>
            </w:r>
          </w:p>
        </w:tc>
        <w:tc>
          <w:tcPr>
            <w:tcW w:w="908" w:type="dxa"/>
            <w:shd w:val="clear" w:color="auto" w:fill="auto"/>
            <w:tcMar>
              <w:top w:w="0" w:type="dxa"/>
              <w:left w:w="108" w:type="dxa"/>
              <w:bottom w:w="0" w:type="dxa"/>
              <w:right w:w="108" w:type="dxa"/>
            </w:tcMar>
            <w:vAlign w:val="center"/>
          </w:tcPr>
          <w:p w14:paraId="3B0D9C1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715D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781ADD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65567BB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462852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F27A02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413FFEE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773B8B7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1384FEA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61AC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732ED2E">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C99531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09B7941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7F8499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48379DB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3000≤Y＜30000</w:t>
            </w:r>
          </w:p>
        </w:tc>
        <w:tc>
          <w:tcPr>
            <w:tcW w:w="1315" w:type="dxa"/>
            <w:shd w:val="clear" w:color="auto" w:fill="auto"/>
            <w:tcMar>
              <w:top w:w="0" w:type="dxa"/>
              <w:left w:w="108" w:type="dxa"/>
              <w:bottom w:w="0" w:type="dxa"/>
              <w:right w:w="108" w:type="dxa"/>
            </w:tcMar>
            <w:vAlign w:val="center"/>
          </w:tcPr>
          <w:p w14:paraId="7B03F4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200≤Y＜3000</w:t>
            </w:r>
          </w:p>
        </w:tc>
        <w:tc>
          <w:tcPr>
            <w:tcW w:w="908" w:type="dxa"/>
            <w:shd w:val="clear" w:color="auto" w:fill="auto"/>
            <w:tcMar>
              <w:top w:w="0" w:type="dxa"/>
              <w:left w:w="108" w:type="dxa"/>
              <w:bottom w:w="0" w:type="dxa"/>
              <w:right w:w="108" w:type="dxa"/>
            </w:tcMar>
            <w:vAlign w:val="center"/>
          </w:tcPr>
          <w:p w14:paraId="4D018F5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w:t>
            </w:r>
          </w:p>
        </w:tc>
      </w:tr>
      <w:tr w14:paraId="24FC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732E92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仓储业</w:t>
            </w:r>
          </w:p>
        </w:tc>
        <w:tc>
          <w:tcPr>
            <w:tcW w:w="1281" w:type="dxa"/>
            <w:shd w:val="clear" w:color="auto" w:fill="auto"/>
            <w:tcMar>
              <w:top w:w="0" w:type="dxa"/>
              <w:left w:w="108" w:type="dxa"/>
              <w:bottom w:w="0" w:type="dxa"/>
              <w:right w:w="108" w:type="dxa"/>
            </w:tcMar>
            <w:vAlign w:val="center"/>
          </w:tcPr>
          <w:p w14:paraId="054E459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B710DC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CCDCC1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w:t>
            </w:r>
          </w:p>
        </w:tc>
        <w:tc>
          <w:tcPr>
            <w:tcW w:w="1491" w:type="dxa"/>
            <w:shd w:val="clear" w:color="auto" w:fill="auto"/>
            <w:tcMar>
              <w:top w:w="0" w:type="dxa"/>
              <w:left w:w="108" w:type="dxa"/>
              <w:bottom w:w="0" w:type="dxa"/>
              <w:right w:w="108" w:type="dxa"/>
            </w:tcMar>
            <w:vAlign w:val="center"/>
          </w:tcPr>
          <w:p w14:paraId="258D02A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w:t>
            </w:r>
          </w:p>
        </w:tc>
        <w:tc>
          <w:tcPr>
            <w:tcW w:w="1315" w:type="dxa"/>
            <w:shd w:val="clear" w:color="auto" w:fill="auto"/>
            <w:tcMar>
              <w:top w:w="0" w:type="dxa"/>
              <w:left w:w="108" w:type="dxa"/>
              <w:bottom w:w="0" w:type="dxa"/>
              <w:right w:w="108" w:type="dxa"/>
            </w:tcMar>
            <w:vAlign w:val="center"/>
          </w:tcPr>
          <w:p w14:paraId="78B22FF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20≤X＜100</w:t>
            </w:r>
          </w:p>
        </w:tc>
        <w:tc>
          <w:tcPr>
            <w:tcW w:w="908" w:type="dxa"/>
            <w:shd w:val="clear" w:color="auto" w:fill="auto"/>
            <w:tcMar>
              <w:top w:w="0" w:type="dxa"/>
              <w:left w:w="108" w:type="dxa"/>
              <w:bottom w:w="0" w:type="dxa"/>
              <w:right w:w="108" w:type="dxa"/>
            </w:tcMar>
            <w:vAlign w:val="center"/>
          </w:tcPr>
          <w:p w14:paraId="16D49D0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625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2C90A7D">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11F81C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37C3DF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74BC1C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7903153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1000≤Y＜30000</w:t>
            </w:r>
          </w:p>
        </w:tc>
        <w:tc>
          <w:tcPr>
            <w:tcW w:w="1315" w:type="dxa"/>
            <w:shd w:val="clear" w:color="auto" w:fill="auto"/>
            <w:tcMar>
              <w:top w:w="0" w:type="dxa"/>
              <w:left w:w="108" w:type="dxa"/>
              <w:bottom w:w="0" w:type="dxa"/>
              <w:right w:w="108" w:type="dxa"/>
            </w:tcMar>
            <w:vAlign w:val="center"/>
          </w:tcPr>
          <w:p w14:paraId="337BE73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66652FD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4B9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E861F1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邮政业</w:t>
            </w:r>
          </w:p>
        </w:tc>
        <w:tc>
          <w:tcPr>
            <w:tcW w:w="1281" w:type="dxa"/>
            <w:shd w:val="clear" w:color="auto" w:fill="auto"/>
            <w:tcMar>
              <w:top w:w="0" w:type="dxa"/>
              <w:left w:w="108" w:type="dxa"/>
              <w:bottom w:w="0" w:type="dxa"/>
              <w:right w:w="108" w:type="dxa"/>
            </w:tcMar>
            <w:vAlign w:val="center"/>
          </w:tcPr>
          <w:p w14:paraId="2F7AE1B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0F0F3C5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079E194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1350EE8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042CCE3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20≤X＜300</w:t>
            </w:r>
          </w:p>
        </w:tc>
        <w:tc>
          <w:tcPr>
            <w:tcW w:w="908" w:type="dxa"/>
            <w:shd w:val="clear" w:color="auto" w:fill="auto"/>
            <w:tcMar>
              <w:top w:w="0" w:type="dxa"/>
              <w:left w:w="108" w:type="dxa"/>
              <w:bottom w:w="0" w:type="dxa"/>
              <w:right w:w="108" w:type="dxa"/>
            </w:tcMar>
            <w:vAlign w:val="center"/>
          </w:tcPr>
          <w:p w14:paraId="14C26AE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w:t>
            </w:r>
          </w:p>
        </w:tc>
      </w:tr>
      <w:tr w14:paraId="4C10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0371BD3">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13E57C4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C4AAA3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BB71AD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Y≥30000</w:t>
            </w:r>
          </w:p>
        </w:tc>
        <w:tc>
          <w:tcPr>
            <w:tcW w:w="1491" w:type="dxa"/>
            <w:shd w:val="clear" w:color="auto" w:fill="auto"/>
            <w:tcMar>
              <w:top w:w="0" w:type="dxa"/>
              <w:left w:w="108" w:type="dxa"/>
              <w:bottom w:w="0" w:type="dxa"/>
              <w:right w:w="108" w:type="dxa"/>
            </w:tcMar>
            <w:vAlign w:val="center"/>
          </w:tcPr>
          <w:p w14:paraId="0E52278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2000≤Y＜30000</w:t>
            </w:r>
          </w:p>
        </w:tc>
        <w:tc>
          <w:tcPr>
            <w:tcW w:w="1315" w:type="dxa"/>
            <w:shd w:val="clear" w:color="auto" w:fill="auto"/>
            <w:tcMar>
              <w:top w:w="0" w:type="dxa"/>
              <w:left w:w="108" w:type="dxa"/>
              <w:bottom w:w="0" w:type="dxa"/>
              <w:right w:w="108" w:type="dxa"/>
            </w:tcMar>
            <w:vAlign w:val="center"/>
          </w:tcPr>
          <w:p w14:paraId="687C92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68C31AE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25CA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71C1F31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住宿业</w:t>
            </w:r>
          </w:p>
        </w:tc>
        <w:tc>
          <w:tcPr>
            <w:tcW w:w="1281" w:type="dxa"/>
            <w:shd w:val="clear" w:color="auto" w:fill="auto"/>
            <w:tcMar>
              <w:top w:w="0" w:type="dxa"/>
              <w:left w:w="108" w:type="dxa"/>
              <w:bottom w:w="0" w:type="dxa"/>
              <w:right w:w="108" w:type="dxa"/>
            </w:tcMar>
            <w:vAlign w:val="center"/>
          </w:tcPr>
          <w:p w14:paraId="40BAF16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BDB587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349147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31A2474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F4F471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1042387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1345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8120586">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C5B0EE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BA396A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86DFA5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5D96AB5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6C455C6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100≤Y＜2000</w:t>
            </w:r>
          </w:p>
        </w:tc>
        <w:tc>
          <w:tcPr>
            <w:tcW w:w="908" w:type="dxa"/>
            <w:shd w:val="clear" w:color="auto" w:fill="auto"/>
            <w:tcMar>
              <w:top w:w="0" w:type="dxa"/>
              <w:left w:w="108" w:type="dxa"/>
              <w:bottom w:w="0" w:type="dxa"/>
              <w:right w:w="108" w:type="dxa"/>
            </w:tcMar>
            <w:vAlign w:val="center"/>
          </w:tcPr>
          <w:p w14:paraId="2698E7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7E84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61C180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餐饮业</w:t>
            </w:r>
          </w:p>
        </w:tc>
        <w:tc>
          <w:tcPr>
            <w:tcW w:w="1281" w:type="dxa"/>
            <w:shd w:val="clear" w:color="auto" w:fill="auto"/>
            <w:tcMar>
              <w:top w:w="0" w:type="dxa"/>
              <w:left w:w="108" w:type="dxa"/>
              <w:bottom w:w="0" w:type="dxa"/>
              <w:right w:w="108" w:type="dxa"/>
            </w:tcMar>
            <w:vAlign w:val="center"/>
          </w:tcPr>
          <w:p w14:paraId="4CDD1C4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BE6D24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D3C917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2374E29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8F1961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6219CC6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E2D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3CEB421">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6DC47C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26FFC2F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4122712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0959B9D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2000≤Y＜10000</w:t>
            </w:r>
          </w:p>
        </w:tc>
        <w:tc>
          <w:tcPr>
            <w:tcW w:w="1315" w:type="dxa"/>
            <w:shd w:val="clear" w:color="auto" w:fill="auto"/>
            <w:tcMar>
              <w:top w:w="0" w:type="dxa"/>
              <w:left w:w="108" w:type="dxa"/>
              <w:bottom w:w="0" w:type="dxa"/>
              <w:right w:w="108" w:type="dxa"/>
            </w:tcMar>
            <w:vAlign w:val="center"/>
          </w:tcPr>
          <w:p w14:paraId="03B2B96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100≤Y＜2000</w:t>
            </w:r>
          </w:p>
        </w:tc>
        <w:tc>
          <w:tcPr>
            <w:tcW w:w="908" w:type="dxa"/>
            <w:shd w:val="clear" w:color="auto" w:fill="auto"/>
            <w:tcMar>
              <w:top w:w="0" w:type="dxa"/>
              <w:left w:w="108" w:type="dxa"/>
              <w:bottom w:w="0" w:type="dxa"/>
              <w:right w:w="108" w:type="dxa"/>
            </w:tcMar>
            <w:vAlign w:val="center"/>
          </w:tcPr>
          <w:p w14:paraId="1FA4209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0A23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ACFE55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0527E07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C1A9D8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3281D73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X≥2000</w:t>
            </w:r>
          </w:p>
        </w:tc>
        <w:tc>
          <w:tcPr>
            <w:tcW w:w="1491" w:type="dxa"/>
            <w:shd w:val="clear" w:color="auto" w:fill="auto"/>
            <w:tcMar>
              <w:top w:w="0" w:type="dxa"/>
              <w:left w:w="108" w:type="dxa"/>
              <w:bottom w:w="0" w:type="dxa"/>
              <w:right w:w="108" w:type="dxa"/>
            </w:tcMar>
            <w:vAlign w:val="center"/>
          </w:tcPr>
          <w:p w14:paraId="18E8271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100≤X＜2000</w:t>
            </w:r>
          </w:p>
        </w:tc>
        <w:tc>
          <w:tcPr>
            <w:tcW w:w="1315" w:type="dxa"/>
            <w:shd w:val="clear" w:color="auto" w:fill="auto"/>
            <w:tcMar>
              <w:top w:w="0" w:type="dxa"/>
              <w:left w:w="108" w:type="dxa"/>
              <w:bottom w:w="0" w:type="dxa"/>
              <w:right w:w="108" w:type="dxa"/>
            </w:tcMar>
            <w:vAlign w:val="center"/>
          </w:tcPr>
          <w:p w14:paraId="42FEB3A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52612C6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5BE8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BD5E9A4">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360A2CF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62AC4B4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26912CC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Y≥100000</w:t>
            </w:r>
          </w:p>
        </w:tc>
        <w:tc>
          <w:tcPr>
            <w:tcW w:w="1491" w:type="dxa"/>
            <w:shd w:val="clear" w:color="auto" w:fill="auto"/>
            <w:tcMar>
              <w:top w:w="0" w:type="dxa"/>
              <w:left w:w="108" w:type="dxa"/>
              <w:bottom w:w="0" w:type="dxa"/>
              <w:right w:w="108" w:type="dxa"/>
            </w:tcMar>
            <w:vAlign w:val="center"/>
          </w:tcPr>
          <w:p w14:paraId="1C27315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1000≤Y＜100000</w:t>
            </w:r>
          </w:p>
        </w:tc>
        <w:tc>
          <w:tcPr>
            <w:tcW w:w="1315" w:type="dxa"/>
            <w:shd w:val="clear" w:color="auto" w:fill="auto"/>
            <w:tcMar>
              <w:top w:w="0" w:type="dxa"/>
              <w:left w:w="108" w:type="dxa"/>
              <w:bottom w:w="0" w:type="dxa"/>
              <w:right w:w="108" w:type="dxa"/>
            </w:tcMar>
            <w:vAlign w:val="center"/>
          </w:tcPr>
          <w:p w14:paraId="7057F08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31A0AEF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02F9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0B9BF57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pacing w:val="-12"/>
                <w:sz w:val="18"/>
                <w:szCs w:val="18"/>
                <w:highlight w:val="none"/>
              </w:rPr>
              <w:t>软件和信息技术服</w:t>
            </w:r>
            <w:r>
              <w:rPr>
                <w:rFonts w:hint="eastAsia" w:ascii="宋体" w:hAnsi="宋体" w:eastAsia="宋体" w:cs="宋体"/>
                <w:color w:val="auto"/>
                <w:sz w:val="18"/>
                <w:szCs w:val="18"/>
                <w:highlight w:val="none"/>
              </w:rPr>
              <w:t>务业</w:t>
            </w:r>
          </w:p>
        </w:tc>
        <w:tc>
          <w:tcPr>
            <w:tcW w:w="1281" w:type="dxa"/>
            <w:shd w:val="clear" w:color="auto" w:fill="auto"/>
            <w:tcMar>
              <w:top w:w="0" w:type="dxa"/>
              <w:left w:w="108" w:type="dxa"/>
              <w:bottom w:w="0" w:type="dxa"/>
              <w:right w:w="108" w:type="dxa"/>
            </w:tcMar>
            <w:vAlign w:val="center"/>
          </w:tcPr>
          <w:p w14:paraId="3806840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2B1EE1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5AC056D4">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73958169">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49E8CD6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73AEF23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6BCB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3A9E8186">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744D6132">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5E6B66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52E89E2D">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Y≥10000</w:t>
            </w:r>
          </w:p>
        </w:tc>
        <w:tc>
          <w:tcPr>
            <w:tcW w:w="1491" w:type="dxa"/>
            <w:shd w:val="clear" w:color="auto" w:fill="auto"/>
            <w:tcMar>
              <w:top w:w="0" w:type="dxa"/>
              <w:left w:w="108" w:type="dxa"/>
              <w:bottom w:w="0" w:type="dxa"/>
              <w:right w:w="108" w:type="dxa"/>
            </w:tcMar>
            <w:vAlign w:val="center"/>
          </w:tcPr>
          <w:p w14:paraId="239F0CC0">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1000≤Y＜10000</w:t>
            </w:r>
          </w:p>
        </w:tc>
        <w:tc>
          <w:tcPr>
            <w:tcW w:w="1315" w:type="dxa"/>
            <w:shd w:val="clear" w:color="auto" w:fill="auto"/>
            <w:tcMar>
              <w:top w:w="0" w:type="dxa"/>
              <w:left w:w="108" w:type="dxa"/>
              <w:bottom w:w="0" w:type="dxa"/>
              <w:right w:w="108" w:type="dxa"/>
            </w:tcMar>
            <w:vAlign w:val="center"/>
          </w:tcPr>
          <w:p w14:paraId="5955008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50≤Y＜1000</w:t>
            </w:r>
          </w:p>
        </w:tc>
        <w:tc>
          <w:tcPr>
            <w:tcW w:w="908" w:type="dxa"/>
            <w:shd w:val="clear" w:color="auto" w:fill="auto"/>
            <w:tcMar>
              <w:top w:w="0" w:type="dxa"/>
              <w:left w:w="108" w:type="dxa"/>
              <w:bottom w:w="0" w:type="dxa"/>
              <w:right w:w="108" w:type="dxa"/>
            </w:tcMar>
            <w:vAlign w:val="center"/>
          </w:tcPr>
          <w:p w14:paraId="6DF08F9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w:t>
            </w:r>
          </w:p>
        </w:tc>
      </w:tr>
      <w:tr w14:paraId="4134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4FFAA6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6DC5C0D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B546BA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01338C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Y≥200000</w:t>
            </w:r>
          </w:p>
        </w:tc>
        <w:tc>
          <w:tcPr>
            <w:tcW w:w="1491" w:type="dxa"/>
            <w:shd w:val="clear" w:color="auto" w:fill="auto"/>
            <w:tcMar>
              <w:top w:w="0" w:type="dxa"/>
              <w:left w:w="108" w:type="dxa"/>
              <w:bottom w:w="0" w:type="dxa"/>
              <w:right w:w="108" w:type="dxa"/>
            </w:tcMar>
            <w:vAlign w:val="center"/>
          </w:tcPr>
          <w:p w14:paraId="34628DD1">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 1000≤Y＜200000</w:t>
            </w:r>
          </w:p>
        </w:tc>
        <w:tc>
          <w:tcPr>
            <w:tcW w:w="1315" w:type="dxa"/>
            <w:shd w:val="clear" w:color="auto" w:fill="auto"/>
            <w:tcMar>
              <w:top w:w="0" w:type="dxa"/>
              <w:left w:w="108" w:type="dxa"/>
              <w:bottom w:w="0" w:type="dxa"/>
              <w:right w:w="108" w:type="dxa"/>
            </w:tcMar>
            <w:vAlign w:val="center"/>
          </w:tcPr>
          <w:p w14:paraId="43D1C0F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100≤Y＜1000</w:t>
            </w:r>
          </w:p>
        </w:tc>
        <w:tc>
          <w:tcPr>
            <w:tcW w:w="908" w:type="dxa"/>
            <w:shd w:val="clear" w:color="auto" w:fill="auto"/>
            <w:tcMar>
              <w:top w:w="0" w:type="dxa"/>
              <w:left w:w="108" w:type="dxa"/>
              <w:bottom w:w="0" w:type="dxa"/>
              <w:right w:w="108" w:type="dxa"/>
            </w:tcMar>
            <w:vAlign w:val="center"/>
          </w:tcPr>
          <w:p w14:paraId="08A3406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Y＜100</w:t>
            </w:r>
          </w:p>
        </w:tc>
      </w:tr>
      <w:tr w14:paraId="6CE6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4D58F99">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0B4214D7">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7C5F01C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7DCD5E9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Z≥10000</w:t>
            </w:r>
          </w:p>
        </w:tc>
        <w:tc>
          <w:tcPr>
            <w:tcW w:w="1491" w:type="dxa"/>
            <w:shd w:val="clear" w:color="auto" w:fill="auto"/>
            <w:tcMar>
              <w:top w:w="0" w:type="dxa"/>
              <w:left w:w="108" w:type="dxa"/>
              <w:bottom w:w="0" w:type="dxa"/>
              <w:right w:w="108" w:type="dxa"/>
            </w:tcMar>
            <w:vAlign w:val="center"/>
          </w:tcPr>
          <w:p w14:paraId="668D2DEA">
            <w:pPr>
              <w:spacing w:line="240" w:lineRule="auto"/>
              <w:ind w:firstLine="0" w:firstLineChars="0"/>
              <w:jc w:val="center"/>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5000≤Z＜10000</w:t>
            </w:r>
          </w:p>
        </w:tc>
        <w:tc>
          <w:tcPr>
            <w:tcW w:w="1315" w:type="dxa"/>
            <w:shd w:val="clear" w:color="auto" w:fill="auto"/>
            <w:tcMar>
              <w:top w:w="0" w:type="dxa"/>
              <w:left w:w="108" w:type="dxa"/>
              <w:bottom w:w="0" w:type="dxa"/>
              <w:right w:w="108" w:type="dxa"/>
            </w:tcMar>
            <w:vAlign w:val="center"/>
          </w:tcPr>
          <w:p w14:paraId="1FF59C8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2000≤Z＜5000  </w:t>
            </w:r>
          </w:p>
        </w:tc>
        <w:tc>
          <w:tcPr>
            <w:tcW w:w="908" w:type="dxa"/>
            <w:shd w:val="clear" w:color="auto" w:fill="auto"/>
            <w:tcMar>
              <w:top w:w="0" w:type="dxa"/>
              <w:left w:w="108" w:type="dxa"/>
              <w:bottom w:w="0" w:type="dxa"/>
              <w:right w:w="108" w:type="dxa"/>
            </w:tcMar>
            <w:vAlign w:val="center"/>
          </w:tcPr>
          <w:p w14:paraId="0D61D1B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Z＜2000</w:t>
            </w:r>
          </w:p>
        </w:tc>
      </w:tr>
      <w:tr w14:paraId="5BAC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7611F9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物业管理</w:t>
            </w:r>
          </w:p>
        </w:tc>
        <w:tc>
          <w:tcPr>
            <w:tcW w:w="1281" w:type="dxa"/>
            <w:shd w:val="clear" w:color="auto" w:fill="auto"/>
            <w:tcMar>
              <w:top w:w="0" w:type="dxa"/>
              <w:left w:w="108" w:type="dxa"/>
              <w:bottom w:w="0" w:type="dxa"/>
              <w:right w:w="108" w:type="dxa"/>
            </w:tcMar>
            <w:vAlign w:val="center"/>
          </w:tcPr>
          <w:p w14:paraId="3213FD2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34302C6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600D560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X≥1000</w:t>
            </w:r>
          </w:p>
        </w:tc>
        <w:tc>
          <w:tcPr>
            <w:tcW w:w="1491" w:type="dxa"/>
            <w:shd w:val="clear" w:color="auto" w:fill="auto"/>
            <w:tcMar>
              <w:top w:w="0" w:type="dxa"/>
              <w:left w:w="108" w:type="dxa"/>
              <w:bottom w:w="0" w:type="dxa"/>
              <w:right w:w="108" w:type="dxa"/>
            </w:tcMar>
            <w:vAlign w:val="center"/>
          </w:tcPr>
          <w:p w14:paraId="189647AD">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300≤X＜1000</w:t>
            </w:r>
          </w:p>
        </w:tc>
        <w:tc>
          <w:tcPr>
            <w:tcW w:w="1315" w:type="dxa"/>
            <w:shd w:val="clear" w:color="auto" w:fill="auto"/>
            <w:tcMar>
              <w:top w:w="0" w:type="dxa"/>
              <w:left w:w="108" w:type="dxa"/>
              <w:bottom w:w="0" w:type="dxa"/>
              <w:right w:w="108" w:type="dxa"/>
            </w:tcMar>
            <w:vAlign w:val="center"/>
          </w:tcPr>
          <w:p w14:paraId="2DF26E6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908" w:type="dxa"/>
            <w:shd w:val="clear" w:color="auto" w:fill="auto"/>
            <w:tcMar>
              <w:top w:w="0" w:type="dxa"/>
              <w:left w:w="108" w:type="dxa"/>
              <w:bottom w:w="0" w:type="dxa"/>
              <w:right w:w="108" w:type="dxa"/>
            </w:tcMar>
            <w:vAlign w:val="center"/>
          </w:tcPr>
          <w:p w14:paraId="0D3877D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X＜100</w:t>
            </w:r>
          </w:p>
        </w:tc>
      </w:tr>
      <w:tr w14:paraId="617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2E3AA711">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47795F0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营业收入(Y)</w:t>
            </w:r>
          </w:p>
        </w:tc>
        <w:tc>
          <w:tcPr>
            <w:tcW w:w="758" w:type="dxa"/>
            <w:shd w:val="clear" w:color="auto" w:fill="auto"/>
            <w:tcMar>
              <w:top w:w="0" w:type="dxa"/>
              <w:left w:w="108" w:type="dxa"/>
              <w:bottom w:w="0" w:type="dxa"/>
              <w:right w:w="108" w:type="dxa"/>
            </w:tcMar>
            <w:vAlign w:val="center"/>
          </w:tcPr>
          <w:p w14:paraId="456BC6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31ACA5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Y≥5000</w:t>
            </w:r>
          </w:p>
        </w:tc>
        <w:tc>
          <w:tcPr>
            <w:tcW w:w="1491" w:type="dxa"/>
            <w:shd w:val="clear" w:color="auto" w:fill="auto"/>
            <w:tcMar>
              <w:top w:w="0" w:type="dxa"/>
              <w:left w:w="108" w:type="dxa"/>
              <w:bottom w:w="0" w:type="dxa"/>
              <w:right w:w="108" w:type="dxa"/>
            </w:tcMar>
            <w:vAlign w:val="center"/>
          </w:tcPr>
          <w:p w14:paraId="27CD100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1000≤Y＜5000</w:t>
            </w:r>
          </w:p>
        </w:tc>
        <w:tc>
          <w:tcPr>
            <w:tcW w:w="1315" w:type="dxa"/>
            <w:shd w:val="clear" w:color="auto" w:fill="auto"/>
            <w:tcMar>
              <w:top w:w="0" w:type="dxa"/>
              <w:left w:w="108" w:type="dxa"/>
              <w:bottom w:w="0" w:type="dxa"/>
              <w:right w:w="108" w:type="dxa"/>
            </w:tcMar>
            <w:vAlign w:val="center"/>
          </w:tcPr>
          <w:p w14:paraId="19EDB3F0">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500≤Y＜1000</w:t>
            </w:r>
          </w:p>
        </w:tc>
        <w:tc>
          <w:tcPr>
            <w:tcW w:w="908" w:type="dxa"/>
            <w:shd w:val="clear" w:color="auto" w:fill="auto"/>
            <w:tcMar>
              <w:top w:w="0" w:type="dxa"/>
              <w:left w:w="108" w:type="dxa"/>
              <w:bottom w:w="0" w:type="dxa"/>
              <w:right w:w="108" w:type="dxa"/>
            </w:tcMar>
            <w:vAlign w:val="center"/>
          </w:tcPr>
          <w:p w14:paraId="6CA2A48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Y＜500</w:t>
            </w:r>
          </w:p>
        </w:tc>
      </w:tr>
      <w:tr w14:paraId="21EB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299B90F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222C491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64385AA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12ACA87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5D2896CF">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21DC200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5CC8DD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r w14:paraId="3878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4F4FA38C">
            <w:pPr>
              <w:spacing w:line="240" w:lineRule="auto"/>
              <w:ind w:firstLine="0" w:firstLineChars="0"/>
              <w:rPr>
                <w:rFonts w:hint="eastAsia" w:ascii="宋体" w:hAnsi="宋体" w:eastAsia="宋体" w:cs="宋体"/>
                <w:bCs/>
                <w:color w:val="auto"/>
                <w:sz w:val="24"/>
                <w:highlight w:val="none"/>
              </w:rPr>
            </w:pPr>
          </w:p>
        </w:tc>
        <w:tc>
          <w:tcPr>
            <w:tcW w:w="1281" w:type="dxa"/>
            <w:shd w:val="clear" w:color="auto" w:fill="auto"/>
            <w:tcMar>
              <w:top w:w="0" w:type="dxa"/>
              <w:left w:w="108" w:type="dxa"/>
              <w:bottom w:w="0" w:type="dxa"/>
              <w:right w:w="108" w:type="dxa"/>
            </w:tcMar>
            <w:vAlign w:val="center"/>
          </w:tcPr>
          <w:p w14:paraId="2F76A036">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资产总额(Z)</w:t>
            </w:r>
          </w:p>
        </w:tc>
        <w:tc>
          <w:tcPr>
            <w:tcW w:w="758" w:type="dxa"/>
            <w:shd w:val="clear" w:color="auto" w:fill="auto"/>
            <w:tcMar>
              <w:top w:w="0" w:type="dxa"/>
              <w:left w:w="108" w:type="dxa"/>
              <w:bottom w:w="0" w:type="dxa"/>
              <w:right w:w="108" w:type="dxa"/>
            </w:tcMar>
            <w:vAlign w:val="center"/>
          </w:tcPr>
          <w:p w14:paraId="4E0B7298">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万元</w:t>
            </w:r>
          </w:p>
        </w:tc>
        <w:tc>
          <w:tcPr>
            <w:tcW w:w="993" w:type="dxa"/>
            <w:shd w:val="clear" w:color="auto" w:fill="auto"/>
            <w:tcMar>
              <w:top w:w="0" w:type="dxa"/>
              <w:left w:w="108" w:type="dxa"/>
              <w:bottom w:w="0" w:type="dxa"/>
              <w:right w:w="108" w:type="dxa"/>
            </w:tcMar>
            <w:vAlign w:val="center"/>
          </w:tcPr>
          <w:p w14:paraId="07EEA17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Z≥120000</w:t>
            </w:r>
          </w:p>
        </w:tc>
        <w:tc>
          <w:tcPr>
            <w:tcW w:w="1491" w:type="dxa"/>
            <w:shd w:val="clear" w:color="auto" w:fill="auto"/>
            <w:tcMar>
              <w:top w:w="0" w:type="dxa"/>
              <w:left w:w="108" w:type="dxa"/>
              <w:bottom w:w="0" w:type="dxa"/>
              <w:right w:w="108" w:type="dxa"/>
            </w:tcMar>
            <w:vAlign w:val="center"/>
          </w:tcPr>
          <w:p w14:paraId="008B81B4">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8000≤Z＜120000</w:t>
            </w:r>
          </w:p>
        </w:tc>
        <w:tc>
          <w:tcPr>
            <w:tcW w:w="1315" w:type="dxa"/>
            <w:shd w:val="clear" w:color="auto" w:fill="auto"/>
            <w:tcMar>
              <w:top w:w="0" w:type="dxa"/>
              <w:left w:w="108" w:type="dxa"/>
              <w:bottom w:w="0" w:type="dxa"/>
              <w:right w:w="108" w:type="dxa"/>
            </w:tcMar>
            <w:vAlign w:val="center"/>
          </w:tcPr>
          <w:p w14:paraId="7CC45DE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100≤Z＜8000</w:t>
            </w:r>
          </w:p>
        </w:tc>
        <w:tc>
          <w:tcPr>
            <w:tcW w:w="908" w:type="dxa"/>
            <w:shd w:val="clear" w:color="auto" w:fill="auto"/>
            <w:tcMar>
              <w:top w:w="0" w:type="dxa"/>
              <w:left w:w="108" w:type="dxa"/>
              <w:bottom w:w="0" w:type="dxa"/>
              <w:right w:w="108" w:type="dxa"/>
            </w:tcMar>
            <w:vAlign w:val="center"/>
          </w:tcPr>
          <w:p w14:paraId="3D8866A5">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Z＜100</w:t>
            </w:r>
          </w:p>
        </w:tc>
      </w:tr>
      <w:tr w14:paraId="70CD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48477923">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2DE23C4E">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从业人员(X)</w:t>
            </w:r>
          </w:p>
        </w:tc>
        <w:tc>
          <w:tcPr>
            <w:tcW w:w="758" w:type="dxa"/>
            <w:shd w:val="clear" w:color="auto" w:fill="auto"/>
            <w:tcMar>
              <w:top w:w="0" w:type="dxa"/>
              <w:left w:w="108" w:type="dxa"/>
              <w:bottom w:w="0" w:type="dxa"/>
              <w:right w:w="108" w:type="dxa"/>
            </w:tcMar>
            <w:vAlign w:val="center"/>
          </w:tcPr>
          <w:p w14:paraId="4CF7DF0A">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人</w:t>
            </w:r>
          </w:p>
        </w:tc>
        <w:tc>
          <w:tcPr>
            <w:tcW w:w="993" w:type="dxa"/>
            <w:shd w:val="clear" w:color="auto" w:fill="auto"/>
            <w:tcMar>
              <w:top w:w="0" w:type="dxa"/>
              <w:left w:w="108" w:type="dxa"/>
              <w:bottom w:w="0" w:type="dxa"/>
              <w:right w:w="108" w:type="dxa"/>
            </w:tcMar>
            <w:vAlign w:val="center"/>
          </w:tcPr>
          <w:p w14:paraId="21E7504C">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X≥300</w:t>
            </w:r>
          </w:p>
        </w:tc>
        <w:tc>
          <w:tcPr>
            <w:tcW w:w="1491" w:type="dxa"/>
            <w:shd w:val="clear" w:color="auto" w:fill="auto"/>
            <w:tcMar>
              <w:top w:w="0" w:type="dxa"/>
              <w:left w:w="108" w:type="dxa"/>
              <w:bottom w:w="0" w:type="dxa"/>
              <w:right w:w="108" w:type="dxa"/>
            </w:tcMar>
            <w:vAlign w:val="center"/>
          </w:tcPr>
          <w:p w14:paraId="21BC9AF9">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100≤X＜300</w:t>
            </w:r>
          </w:p>
        </w:tc>
        <w:tc>
          <w:tcPr>
            <w:tcW w:w="1315" w:type="dxa"/>
            <w:shd w:val="clear" w:color="auto" w:fill="auto"/>
            <w:tcMar>
              <w:top w:w="0" w:type="dxa"/>
              <w:left w:w="108" w:type="dxa"/>
              <w:bottom w:w="0" w:type="dxa"/>
              <w:right w:w="108" w:type="dxa"/>
            </w:tcMar>
            <w:vAlign w:val="center"/>
          </w:tcPr>
          <w:p w14:paraId="77EC009B">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10≤X＜100</w:t>
            </w:r>
          </w:p>
        </w:tc>
        <w:tc>
          <w:tcPr>
            <w:tcW w:w="908" w:type="dxa"/>
            <w:shd w:val="clear" w:color="auto" w:fill="auto"/>
            <w:tcMar>
              <w:top w:w="0" w:type="dxa"/>
              <w:left w:w="108" w:type="dxa"/>
              <w:bottom w:w="0" w:type="dxa"/>
              <w:right w:w="108" w:type="dxa"/>
            </w:tcMar>
            <w:vAlign w:val="center"/>
          </w:tcPr>
          <w:p w14:paraId="2F973431">
            <w:pPr>
              <w:spacing w:line="240" w:lineRule="auto"/>
              <w:ind w:firstLine="0" w:firstLineChars="0"/>
              <w:rPr>
                <w:rFonts w:hint="eastAsia" w:ascii="宋体" w:hAnsi="宋体" w:eastAsia="宋体" w:cs="宋体"/>
                <w:bCs/>
                <w:color w:val="auto"/>
                <w:sz w:val="24"/>
                <w:highlight w:val="none"/>
              </w:rPr>
            </w:pPr>
            <w:r>
              <w:rPr>
                <w:rFonts w:hint="eastAsia" w:ascii="宋体" w:hAnsi="宋体" w:eastAsia="宋体" w:cs="宋体"/>
                <w:color w:val="auto"/>
                <w:sz w:val="18"/>
                <w:szCs w:val="18"/>
                <w:highlight w:val="none"/>
              </w:rPr>
              <w:t>X＜10</w:t>
            </w:r>
          </w:p>
        </w:tc>
      </w:tr>
    </w:tbl>
    <w:p w14:paraId="2A37DA41">
      <w:pPr>
        <w:shd w:val="clear" w:color="auto" w:fill="FFFFFF"/>
        <w:spacing w:line="400" w:lineRule="exact"/>
        <w:ind w:firstLine="0" w:firstLineChars="0"/>
        <w:rPr>
          <w:rFonts w:hint="eastAsia" w:ascii="微软雅黑" w:hAnsi="微软雅黑" w:cs="宋体"/>
          <w:bCs/>
          <w:color w:val="auto"/>
          <w:szCs w:val="21"/>
          <w:highlight w:val="none"/>
        </w:rPr>
      </w:pPr>
      <w:r>
        <w:rPr>
          <w:rFonts w:hint="eastAsia" w:ascii="宋体" w:hAnsi="宋体" w:eastAsia="宋体" w:cs="宋体"/>
          <w:color w:val="auto"/>
          <w:sz w:val="18"/>
          <w:szCs w:val="18"/>
          <w:highlight w:val="none"/>
        </w:rPr>
        <w:t> </w:t>
      </w:r>
      <w:r>
        <w:rPr>
          <w:rFonts w:hint="eastAsia" w:ascii="宋体" w:hAnsi="宋体" w:eastAsia="宋体" w:cs="宋体"/>
          <w:color w:val="auto"/>
          <w:spacing w:val="8"/>
          <w:sz w:val="24"/>
          <w:highlight w:val="none"/>
        </w:rPr>
        <w:t>　</w:t>
      </w:r>
      <w:r>
        <w:rPr>
          <w:rFonts w:hint="eastAsia" w:ascii="微软雅黑" w:hAnsi="微软雅黑" w:cs="宋体"/>
          <w:color w:val="auto"/>
          <w:spacing w:val="8"/>
          <w:szCs w:val="21"/>
          <w:highlight w:val="none"/>
        </w:rPr>
        <w:t>　说明：</w:t>
      </w:r>
    </w:p>
    <w:p w14:paraId="466710F5">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大型、中型和小型企业须同时满足所列指标的下限，否则下划一档；微型企业只须满足所列指标中的一项即可。</w:t>
      </w:r>
    </w:p>
    <w:p w14:paraId="63108615">
      <w:pPr>
        <w:shd w:val="clear" w:color="auto" w:fill="FFFFFF"/>
        <w:spacing w:line="400" w:lineRule="exact"/>
        <w:ind w:firstLine="0" w:firstLineChars="0"/>
        <w:rPr>
          <w:rFonts w:hint="eastAsia" w:ascii="微软雅黑" w:hAnsi="微软雅黑" w:cs="宋体"/>
          <w:bCs/>
          <w:color w:val="auto"/>
          <w:szCs w:val="21"/>
          <w:highlight w:val="none"/>
        </w:r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附表中各行业的范围以《国民经济行业分类》（</w:t>
      </w:r>
      <w:r>
        <w:rPr>
          <w:rFonts w:ascii="微软雅黑" w:hAnsi="微软雅黑"/>
          <w:color w:val="auto"/>
          <w:spacing w:val="8"/>
          <w:szCs w:val="21"/>
          <w:highlight w:val="none"/>
        </w:rPr>
        <w:t>GB/T4754-2011</w:t>
      </w:r>
      <w:r>
        <w:rPr>
          <w:rFonts w:hint="eastAsia" w:ascii="微软雅黑" w:hAnsi="微软雅黑" w:cs="宋体"/>
          <w:color w:val="auto"/>
          <w:spacing w:val="8"/>
          <w:szCs w:val="21"/>
          <w:highlight w:val="none"/>
        </w:rPr>
        <w:t>）为准。带</w:t>
      </w:r>
      <w:r>
        <w:rPr>
          <w:rFonts w:ascii="微软雅黑" w:hAnsi="微软雅黑"/>
          <w:color w:val="auto"/>
          <w:spacing w:val="8"/>
          <w:szCs w:val="21"/>
          <w:highlight w:val="none"/>
        </w:rPr>
        <w:t>*</w:t>
      </w:r>
      <w:r>
        <w:rPr>
          <w:rFonts w:hint="eastAsia" w:ascii="微软雅黑" w:hAnsi="微软雅黑" w:cs="宋体"/>
          <w:color w:val="auto"/>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3415DA2">
      <w:pPr>
        <w:shd w:val="clear" w:color="auto" w:fill="FFFFFF"/>
        <w:spacing w:line="400" w:lineRule="exact"/>
        <w:ind w:firstLine="0" w:firstLineChars="0"/>
        <w:rPr>
          <w:rFonts w:hint="eastAsia" w:ascii="微软雅黑" w:hAnsi="微软雅黑" w:cs="宋体"/>
          <w:color w:val="auto"/>
          <w:spacing w:val="8"/>
          <w:szCs w:val="21"/>
          <w:highlight w:val="none"/>
        </w:rPr>
        <w:sectPr>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ascii="微软雅黑" w:hAnsi="微软雅黑"/>
          <w:color w:val="auto"/>
          <w:spacing w:val="8"/>
          <w:szCs w:val="21"/>
          <w:highlight w:val="none"/>
        </w:rPr>
        <w:t> </w:t>
      </w:r>
      <w:r>
        <w:rPr>
          <w:rFonts w:hint="eastAsia" w:ascii="微软雅黑" w:hAnsi="微软雅黑" w:cs="宋体"/>
          <w:color w:val="auto"/>
          <w:spacing w:val="8"/>
          <w:szCs w:val="21"/>
          <w:highlight w:val="none"/>
        </w:rPr>
        <w:t>　　</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企业划分指标以现行统计制度为准。（</w:t>
      </w:r>
      <w:r>
        <w:rPr>
          <w:rFonts w:ascii="微软雅黑" w:hAnsi="微软雅黑"/>
          <w:color w:val="auto"/>
          <w:spacing w:val="8"/>
          <w:szCs w:val="21"/>
          <w:highlight w:val="none"/>
        </w:rPr>
        <w:t>1</w:t>
      </w:r>
      <w:r>
        <w:rPr>
          <w:rFonts w:hint="eastAsia" w:ascii="微软雅黑" w:hAnsi="微软雅黑" w:cs="宋体"/>
          <w:color w:val="auto"/>
          <w:spacing w:val="8"/>
          <w:szCs w:val="21"/>
          <w:highlight w:val="none"/>
        </w:rPr>
        <w:t>）从业人员，是指期末从业人员数，没有期末从业人员数的，采用全年平均人员数代替。（</w:t>
      </w:r>
      <w:r>
        <w:rPr>
          <w:rFonts w:ascii="微软雅黑" w:hAnsi="微软雅黑"/>
          <w:color w:val="auto"/>
          <w:spacing w:val="8"/>
          <w:szCs w:val="21"/>
          <w:highlight w:val="none"/>
        </w:rPr>
        <w:t>2</w:t>
      </w:r>
      <w:r>
        <w:rPr>
          <w:rFonts w:hint="eastAsia" w:ascii="微软雅黑" w:hAnsi="微软雅黑" w:cs="宋体"/>
          <w:color w:val="auto"/>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color w:val="auto"/>
          <w:spacing w:val="8"/>
          <w:szCs w:val="21"/>
          <w:highlight w:val="none"/>
        </w:rPr>
        <w:t>3</w:t>
      </w:r>
      <w:r>
        <w:rPr>
          <w:rFonts w:hint="eastAsia" w:ascii="微软雅黑" w:hAnsi="微软雅黑" w:cs="宋体"/>
          <w:color w:val="auto"/>
          <w:spacing w:val="8"/>
          <w:szCs w:val="21"/>
          <w:highlight w:val="none"/>
        </w:rPr>
        <w:t>）资产总额，采用资产总计代替。</w:t>
      </w:r>
    </w:p>
    <w:p w14:paraId="009F0028">
      <w:pPr>
        <w:ind w:firstLine="420"/>
        <w:outlineLvl w:val="0"/>
        <w:rPr>
          <w:rFonts w:ascii="微软雅黑" w:hAnsi="微软雅黑" w:cs="仿宋"/>
          <w:b/>
          <w:color w:val="auto"/>
          <w:szCs w:val="21"/>
          <w:highlight w:val="none"/>
        </w:rPr>
      </w:pPr>
      <w:bookmarkStart w:id="274" w:name="_Toc29429"/>
      <w:r>
        <w:rPr>
          <w:rFonts w:hint="eastAsia" w:ascii="微软雅黑" w:hAnsi="微软雅黑" w:cs="仿宋"/>
          <w:b/>
          <w:color w:val="auto"/>
          <w:szCs w:val="21"/>
          <w:highlight w:val="none"/>
        </w:rPr>
        <w:t>附件</w:t>
      </w:r>
      <w:r>
        <w:rPr>
          <w:rFonts w:ascii="微软雅黑" w:hAnsi="微软雅黑" w:cs="仿宋"/>
          <w:b/>
          <w:color w:val="auto"/>
          <w:szCs w:val="21"/>
          <w:highlight w:val="none"/>
        </w:rPr>
        <w:t>1</w:t>
      </w:r>
      <w:bookmarkEnd w:id="274"/>
      <w:r>
        <w:rPr>
          <w:rFonts w:hint="eastAsia" w:ascii="微软雅黑" w:hAnsi="微软雅黑" w:cs="仿宋"/>
          <w:b/>
          <w:color w:val="auto"/>
          <w:szCs w:val="21"/>
          <w:highlight w:val="none"/>
        </w:rPr>
        <w:t>：量化指标考核</w:t>
      </w:r>
    </w:p>
    <w:p w14:paraId="401D2E53">
      <w:pPr>
        <w:ind w:firstLine="420"/>
        <w:jc w:val="center"/>
        <w:outlineLvl w:val="0"/>
        <w:rPr>
          <w:rFonts w:ascii="微软雅黑" w:hAnsi="微软雅黑" w:cs="仿宋"/>
          <w:b/>
          <w:bCs/>
          <w:color w:val="auto"/>
          <w:szCs w:val="21"/>
          <w:highlight w:val="none"/>
        </w:rPr>
      </w:pPr>
      <w:bookmarkStart w:id="275" w:name="_Toc9175"/>
      <w:bookmarkEnd w:id="275"/>
      <w:bookmarkStart w:id="276" w:name="_Toc25529"/>
      <w:r>
        <w:rPr>
          <w:rFonts w:hint="eastAsia"/>
          <w:b/>
          <w:bCs/>
          <w:color w:val="auto"/>
          <w:highlight w:val="none"/>
        </w:rPr>
        <w:t xml:space="preserve"> 嘉兴市文化艺术中心秀洲“三馆”融合运营服务项目</w:t>
      </w:r>
      <w:r>
        <w:rPr>
          <w:rFonts w:hint="eastAsia" w:ascii="微软雅黑" w:hAnsi="微软雅黑" w:cs="仿宋"/>
          <w:b/>
          <w:bCs/>
          <w:color w:val="auto"/>
          <w:szCs w:val="21"/>
          <w:highlight w:val="none"/>
        </w:rPr>
        <w:t>量化考核指标</w:t>
      </w:r>
      <w:bookmarkEnd w:id="276"/>
    </w:p>
    <w:tbl>
      <w:tblPr>
        <w:tblStyle w:val="54"/>
        <w:tblW w:w="90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1664"/>
        <w:gridCol w:w="4414"/>
        <w:gridCol w:w="1988"/>
      </w:tblGrid>
      <w:tr w14:paraId="27746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tblHeader/>
          <w:jc w:val="center"/>
        </w:trPr>
        <w:tc>
          <w:tcPr>
            <w:tcW w:w="947" w:type="dxa"/>
            <w:tcBorders>
              <w:bottom w:val="double" w:color="000000" w:sz="4" w:space="0"/>
            </w:tcBorders>
            <w:vAlign w:val="center"/>
          </w:tcPr>
          <w:p w14:paraId="64F47165">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序号</w:t>
            </w:r>
          </w:p>
        </w:tc>
        <w:tc>
          <w:tcPr>
            <w:tcW w:w="1664" w:type="dxa"/>
            <w:tcBorders>
              <w:bottom w:val="double" w:color="000000" w:sz="4" w:space="0"/>
            </w:tcBorders>
            <w:vAlign w:val="center"/>
          </w:tcPr>
          <w:p w14:paraId="7630E94D">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指标</w:t>
            </w:r>
          </w:p>
        </w:tc>
        <w:tc>
          <w:tcPr>
            <w:tcW w:w="4414" w:type="dxa"/>
            <w:tcBorders>
              <w:bottom w:val="double" w:color="000000" w:sz="4" w:space="0"/>
            </w:tcBorders>
            <w:vAlign w:val="center"/>
          </w:tcPr>
          <w:p w14:paraId="7FD5E467">
            <w:pPr>
              <w:ind w:firstLine="0" w:firstLineChars="0"/>
              <w:jc w:val="center"/>
              <w:rPr>
                <w:rFonts w:ascii="微软雅黑" w:hAnsi="微软雅黑" w:cs="仿宋"/>
                <w:b/>
                <w:color w:val="auto"/>
                <w:szCs w:val="21"/>
                <w:highlight w:val="none"/>
              </w:rPr>
            </w:pPr>
            <w:r>
              <w:rPr>
                <w:rFonts w:hint="eastAsia" w:ascii="微软雅黑" w:hAnsi="微软雅黑" w:cs="仿宋"/>
                <w:b/>
                <w:color w:val="auto"/>
                <w:szCs w:val="21"/>
                <w:highlight w:val="none"/>
              </w:rPr>
              <w:t>标准细则</w:t>
            </w:r>
          </w:p>
        </w:tc>
        <w:tc>
          <w:tcPr>
            <w:tcW w:w="1988" w:type="dxa"/>
            <w:tcBorders>
              <w:bottom w:val="double" w:color="000000" w:sz="4" w:space="0"/>
            </w:tcBorders>
            <w:vAlign w:val="center"/>
          </w:tcPr>
          <w:p w14:paraId="6246F115">
            <w:pPr>
              <w:ind w:firstLine="0" w:firstLineChars="0"/>
              <w:jc w:val="center"/>
              <w:rPr>
                <w:rFonts w:hint="eastAsia" w:ascii="微软雅黑" w:hAnsi="微软雅黑" w:eastAsia="微软雅黑" w:cs="仿宋"/>
                <w:b/>
                <w:color w:val="auto"/>
                <w:szCs w:val="21"/>
                <w:highlight w:val="none"/>
                <w:lang w:eastAsia="zh-CN"/>
              </w:rPr>
            </w:pPr>
            <w:r>
              <w:rPr>
                <w:rFonts w:hint="eastAsia" w:ascii="微软雅黑" w:hAnsi="微软雅黑" w:cs="仿宋"/>
                <w:b/>
                <w:color w:val="auto"/>
                <w:szCs w:val="21"/>
                <w:highlight w:val="none"/>
                <w:lang w:eastAsia="zh-CN"/>
              </w:rPr>
              <w:t>扣款比率</w:t>
            </w:r>
          </w:p>
        </w:tc>
      </w:tr>
      <w:tr w14:paraId="04C93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2" w:hRule="atLeast"/>
          <w:jc w:val="center"/>
        </w:trPr>
        <w:tc>
          <w:tcPr>
            <w:tcW w:w="947" w:type="dxa"/>
            <w:vMerge w:val="restart"/>
            <w:vAlign w:val="center"/>
          </w:tcPr>
          <w:p w14:paraId="74E09120">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w:t>
            </w:r>
          </w:p>
        </w:tc>
        <w:tc>
          <w:tcPr>
            <w:tcW w:w="1664" w:type="dxa"/>
            <w:vMerge w:val="restart"/>
            <w:vAlign w:val="center"/>
          </w:tcPr>
          <w:p w14:paraId="0FD6A2B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基本服务项目健全并免费提供及周开馆时间不低于72小时</w:t>
            </w:r>
          </w:p>
        </w:tc>
        <w:tc>
          <w:tcPr>
            <w:tcW w:w="4414" w:type="dxa"/>
            <w:tcBorders>
              <w:bottom w:val="single" w:color="auto" w:sz="4" w:space="0"/>
            </w:tcBorders>
            <w:vAlign w:val="center"/>
          </w:tcPr>
          <w:p w14:paraId="3BE7D679">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1.每周各馆开馆时间以本馆一周整体开馆的小时数为依据，提交材料可标注阅览室、借阅部门及冬夏不同的开放小时数，以其公示的具体开放时间及执行情况作为佐证材料。</w:t>
            </w:r>
          </w:p>
        </w:tc>
        <w:tc>
          <w:tcPr>
            <w:tcW w:w="1988" w:type="dxa"/>
            <w:tcBorders>
              <w:bottom w:val="single" w:color="auto" w:sz="4" w:space="0"/>
            </w:tcBorders>
            <w:vAlign w:val="center"/>
          </w:tcPr>
          <w:p w14:paraId="78599058">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5E9F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6" w:hRule="atLeast"/>
          <w:jc w:val="center"/>
        </w:trPr>
        <w:tc>
          <w:tcPr>
            <w:tcW w:w="947" w:type="dxa"/>
            <w:vMerge w:val="continue"/>
            <w:vAlign w:val="center"/>
          </w:tcPr>
          <w:p w14:paraId="66B3BAD8">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39566D77">
            <w:pPr>
              <w:ind w:firstLine="0" w:firstLineChars="0"/>
              <w:rPr>
                <w:rFonts w:hint="eastAsia" w:ascii="微软雅黑" w:hAnsi="微软雅黑" w:cs="仿宋"/>
                <w:color w:val="auto"/>
                <w:szCs w:val="21"/>
                <w:highlight w:val="none"/>
              </w:rPr>
            </w:pPr>
          </w:p>
        </w:tc>
        <w:tc>
          <w:tcPr>
            <w:tcW w:w="4414" w:type="dxa"/>
            <w:tcBorders>
              <w:top w:val="single" w:color="auto" w:sz="4" w:space="0"/>
            </w:tcBorders>
            <w:vAlign w:val="center"/>
          </w:tcPr>
          <w:p w14:paraId="7F9F5D75">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2.周六、日，法定节假日必须开放。如节假日遇周一，不再作调整馆休。</w:t>
            </w:r>
          </w:p>
        </w:tc>
        <w:tc>
          <w:tcPr>
            <w:tcW w:w="1988" w:type="dxa"/>
            <w:tcBorders>
              <w:top w:val="single" w:color="auto" w:sz="4" w:space="0"/>
            </w:tcBorders>
            <w:vAlign w:val="center"/>
          </w:tcPr>
          <w:p w14:paraId="6F7BC6C8">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001F6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47" w:type="dxa"/>
            <w:vAlign w:val="center"/>
          </w:tcPr>
          <w:p w14:paraId="74CD464F">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2</w:t>
            </w:r>
          </w:p>
        </w:tc>
        <w:tc>
          <w:tcPr>
            <w:tcW w:w="1664" w:type="dxa"/>
            <w:vAlign w:val="center"/>
          </w:tcPr>
          <w:p w14:paraId="4684FC82">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合同期内总流通人次</w:t>
            </w:r>
            <w:r>
              <w:rPr>
                <w:rFonts w:hint="eastAsia" w:ascii="微软雅黑" w:hAnsi="微软雅黑" w:cs="仿宋"/>
                <w:color w:val="auto"/>
                <w:szCs w:val="21"/>
                <w:highlight w:val="none"/>
                <w:lang w:eastAsia="zh-CN"/>
              </w:rPr>
              <w:t>不少于</w:t>
            </w:r>
            <w:r>
              <w:rPr>
                <w:rFonts w:hint="eastAsia" w:ascii="微软雅黑" w:hAnsi="微软雅黑" w:cs="仿宋"/>
                <w:color w:val="auto"/>
                <w:szCs w:val="21"/>
                <w:highlight w:val="none"/>
                <w:lang w:val="en-US" w:eastAsia="zh-CN"/>
              </w:rPr>
              <w:t>35</w:t>
            </w:r>
            <w:r>
              <w:rPr>
                <w:rFonts w:hint="eastAsia" w:ascii="微软雅黑" w:hAnsi="微软雅黑" w:cs="仿宋"/>
                <w:color w:val="auto"/>
                <w:szCs w:val="21"/>
                <w:highlight w:val="none"/>
              </w:rPr>
              <w:t>万人次</w:t>
            </w:r>
          </w:p>
        </w:tc>
        <w:tc>
          <w:tcPr>
            <w:tcW w:w="4414" w:type="dxa"/>
            <w:vAlign w:val="center"/>
          </w:tcPr>
          <w:p w14:paraId="0DEFEE77">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到秀洲“三馆”接受服务的群众数量，该项以门禁监控系统统计数字为准。</w:t>
            </w:r>
          </w:p>
        </w:tc>
        <w:tc>
          <w:tcPr>
            <w:tcW w:w="1988" w:type="dxa"/>
            <w:vAlign w:val="center"/>
          </w:tcPr>
          <w:p w14:paraId="24F2F5B9">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38BDA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47" w:type="dxa"/>
            <w:vAlign w:val="center"/>
          </w:tcPr>
          <w:p w14:paraId="01F1A77A">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3</w:t>
            </w:r>
          </w:p>
        </w:tc>
        <w:tc>
          <w:tcPr>
            <w:tcW w:w="1664" w:type="dxa"/>
            <w:vAlign w:val="center"/>
          </w:tcPr>
          <w:p w14:paraId="3E3984E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合同期内新增持证读者数不低于</w:t>
            </w:r>
            <w:r>
              <w:rPr>
                <w:rFonts w:hint="eastAsia" w:ascii="微软雅黑" w:hAnsi="微软雅黑" w:cs="仿宋"/>
                <w:color w:val="auto"/>
                <w:szCs w:val="21"/>
                <w:highlight w:val="none"/>
                <w:lang w:val="en-US" w:eastAsia="zh-CN"/>
              </w:rPr>
              <w:t>5000</w:t>
            </w:r>
            <w:r>
              <w:rPr>
                <w:rFonts w:hint="eastAsia" w:ascii="微软雅黑" w:hAnsi="微软雅黑" w:cs="仿宋"/>
                <w:color w:val="auto"/>
                <w:szCs w:val="21"/>
                <w:highlight w:val="none"/>
              </w:rPr>
              <w:t>人</w:t>
            </w:r>
          </w:p>
        </w:tc>
        <w:tc>
          <w:tcPr>
            <w:tcW w:w="4414" w:type="dxa"/>
            <w:vAlign w:val="center"/>
          </w:tcPr>
          <w:p w14:paraId="2E9A9AC3">
            <w:pPr>
              <w:numPr>
                <w:ilvl w:val="0"/>
                <w:numId w:val="27"/>
              </w:numPr>
              <w:ind w:firstLine="0" w:firstLineChars="0"/>
              <w:jc w:val="both"/>
              <w:rPr>
                <w:rFonts w:ascii="微软雅黑" w:hAnsi="微软雅黑" w:cs="仿宋"/>
                <w:color w:val="auto"/>
                <w:szCs w:val="21"/>
                <w:highlight w:val="none"/>
              </w:rPr>
            </w:pPr>
            <w:r>
              <w:rPr>
                <w:rFonts w:hint="eastAsia" w:ascii="微软雅黑" w:hAnsi="微软雅黑" w:cs="仿宋"/>
                <w:color w:val="auto"/>
                <w:szCs w:val="21"/>
                <w:highlight w:val="none"/>
              </w:rPr>
              <w:t>新增读者数量指通过各种证件（身份证、社保卡等）注册的新增读者证数量，以图星系统统计数量为准。（新增读者数量=新增注册读者数-退证数）</w:t>
            </w:r>
            <w:r>
              <w:rPr>
                <w:rFonts w:hint="eastAsia" w:ascii="微软雅黑" w:hAnsi="微软雅黑" w:cs="仿宋"/>
                <w:color w:val="auto"/>
                <w:szCs w:val="21"/>
                <w:highlight w:val="none"/>
                <w:lang w:eastAsia="zh-CN"/>
              </w:rPr>
              <w:t>（</w:t>
            </w:r>
            <w:r>
              <w:rPr>
                <w:rFonts w:hint="eastAsia" w:ascii="微软雅黑" w:hAnsi="微软雅黑" w:cs="仿宋"/>
                <w:color w:val="auto"/>
                <w:szCs w:val="21"/>
                <w:highlight w:val="none"/>
              </w:rPr>
              <w:t>包含以单位名义办理的集体读者证。</w:t>
            </w:r>
            <w:r>
              <w:rPr>
                <w:rFonts w:hint="eastAsia" w:ascii="微软雅黑" w:hAnsi="微软雅黑" w:cs="仿宋"/>
                <w:color w:val="auto"/>
                <w:szCs w:val="21"/>
                <w:highlight w:val="none"/>
                <w:lang w:eastAsia="zh-CN"/>
              </w:rPr>
              <w:t>）</w:t>
            </w:r>
          </w:p>
        </w:tc>
        <w:tc>
          <w:tcPr>
            <w:tcW w:w="1988" w:type="dxa"/>
            <w:vAlign w:val="center"/>
          </w:tcPr>
          <w:p w14:paraId="1274879E">
            <w:pPr>
              <w:numPr>
                <w:ilvl w:val="0"/>
                <w:numId w:val="0"/>
              </w:numPr>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30%</w:t>
            </w:r>
          </w:p>
        </w:tc>
      </w:tr>
      <w:tr w14:paraId="67CF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jc w:val="center"/>
        </w:trPr>
        <w:tc>
          <w:tcPr>
            <w:tcW w:w="947" w:type="dxa"/>
            <w:vAlign w:val="center"/>
          </w:tcPr>
          <w:p w14:paraId="7138AF57">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4</w:t>
            </w:r>
          </w:p>
        </w:tc>
        <w:tc>
          <w:tcPr>
            <w:tcW w:w="1664" w:type="dxa"/>
            <w:vAlign w:val="center"/>
          </w:tcPr>
          <w:p w14:paraId="31200759">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合同期内文献外借量不少于3</w:t>
            </w:r>
            <w:r>
              <w:rPr>
                <w:rFonts w:hint="eastAsia" w:ascii="微软雅黑" w:hAnsi="微软雅黑" w:cs="仿宋"/>
                <w:color w:val="auto"/>
                <w:szCs w:val="21"/>
                <w:highlight w:val="none"/>
                <w:lang w:eastAsia="zh-CN"/>
              </w:rPr>
              <w:t>不少于</w:t>
            </w:r>
            <w:r>
              <w:rPr>
                <w:rFonts w:hint="eastAsia" w:ascii="微软雅黑" w:hAnsi="微软雅黑" w:cs="仿宋"/>
                <w:color w:val="auto"/>
                <w:szCs w:val="21"/>
                <w:highlight w:val="none"/>
                <w:lang w:val="en-US" w:eastAsia="zh-CN"/>
              </w:rPr>
              <w:t>35</w:t>
            </w:r>
            <w:r>
              <w:rPr>
                <w:rFonts w:hint="eastAsia" w:ascii="微软雅黑" w:hAnsi="微软雅黑" w:cs="仿宋"/>
                <w:color w:val="auto"/>
                <w:szCs w:val="21"/>
                <w:highlight w:val="none"/>
              </w:rPr>
              <w:t>万册次</w:t>
            </w:r>
          </w:p>
        </w:tc>
        <w:tc>
          <w:tcPr>
            <w:tcW w:w="4414" w:type="dxa"/>
            <w:vAlign w:val="center"/>
          </w:tcPr>
          <w:p w14:paraId="5A07A8CC">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文献外借量指由本馆及新开拓服务网点外借册次，不含送书下基层册次，以系统统计数量为准。</w:t>
            </w:r>
          </w:p>
        </w:tc>
        <w:tc>
          <w:tcPr>
            <w:tcW w:w="1988" w:type="dxa"/>
            <w:vAlign w:val="center"/>
          </w:tcPr>
          <w:p w14:paraId="38BB0AF0">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25523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jc w:val="center"/>
        </w:trPr>
        <w:tc>
          <w:tcPr>
            <w:tcW w:w="947" w:type="dxa"/>
            <w:vMerge w:val="restart"/>
            <w:vAlign w:val="center"/>
          </w:tcPr>
          <w:p w14:paraId="408E4B6C">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5</w:t>
            </w:r>
          </w:p>
        </w:tc>
        <w:tc>
          <w:tcPr>
            <w:tcW w:w="1664" w:type="dxa"/>
            <w:vMerge w:val="restart"/>
            <w:vAlign w:val="center"/>
          </w:tcPr>
          <w:p w14:paraId="34EABC43">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普通参考咨询</w:t>
            </w:r>
          </w:p>
        </w:tc>
        <w:tc>
          <w:tcPr>
            <w:tcW w:w="4414" w:type="dxa"/>
            <w:tcBorders>
              <w:bottom w:val="single" w:color="auto" w:sz="4" w:space="0"/>
            </w:tcBorders>
          </w:tcPr>
          <w:p w14:paraId="245D2C5F">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1.高质量完成参考咨询服务，参考咨询回复需及时。</w:t>
            </w:r>
          </w:p>
        </w:tc>
        <w:tc>
          <w:tcPr>
            <w:tcW w:w="1988" w:type="dxa"/>
            <w:tcBorders>
              <w:bottom w:val="single" w:color="auto" w:sz="4" w:space="0"/>
            </w:tcBorders>
          </w:tcPr>
          <w:p w14:paraId="36D4E359">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w:t>
            </w:r>
          </w:p>
        </w:tc>
      </w:tr>
      <w:tr w14:paraId="06000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7C209871">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54BF5B2E">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2ACE95AD">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2.在图书馆大厅以及各楼层设立咨询台，为读者提供咨询与帮助。</w:t>
            </w:r>
          </w:p>
        </w:tc>
        <w:tc>
          <w:tcPr>
            <w:tcW w:w="1988" w:type="dxa"/>
            <w:tcBorders>
              <w:top w:val="single" w:color="auto" w:sz="4" w:space="0"/>
            </w:tcBorders>
          </w:tcPr>
          <w:p w14:paraId="796FDF1F">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26B3B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15D78CE7">
            <w:pPr>
              <w:ind w:firstLine="0" w:firstLineChars="0"/>
              <w:rPr>
                <w:color w:val="auto"/>
                <w:highlight w:val="none"/>
              </w:rPr>
            </w:pPr>
          </w:p>
        </w:tc>
        <w:tc>
          <w:tcPr>
            <w:tcW w:w="1664" w:type="dxa"/>
            <w:vMerge w:val="continue"/>
            <w:vAlign w:val="center"/>
          </w:tcPr>
          <w:p w14:paraId="0A50EFC3">
            <w:pPr>
              <w:ind w:firstLine="0" w:firstLineChars="0"/>
              <w:rPr>
                <w:color w:val="auto"/>
                <w:highlight w:val="none"/>
              </w:rPr>
            </w:pPr>
          </w:p>
        </w:tc>
        <w:tc>
          <w:tcPr>
            <w:tcW w:w="4414" w:type="dxa"/>
            <w:tcBorders>
              <w:top w:val="single" w:color="auto" w:sz="4" w:space="0"/>
            </w:tcBorders>
          </w:tcPr>
          <w:p w14:paraId="4072D51E">
            <w:pPr>
              <w:ind w:firstLine="0" w:firstLineChars="0"/>
              <w:rPr>
                <w:rFonts w:hint="eastAsia" w:ascii="微软雅黑" w:hAnsi="微软雅黑" w:eastAsia="微软雅黑" w:cs="仿宋"/>
                <w:color w:val="auto"/>
                <w:szCs w:val="21"/>
                <w:highlight w:val="none"/>
                <w:lang w:eastAsia="zh-CN"/>
              </w:rPr>
            </w:pPr>
            <w:r>
              <w:rPr>
                <w:rFonts w:hint="eastAsia" w:ascii="微软雅黑" w:hAnsi="微软雅黑" w:cs="仿宋"/>
                <w:color w:val="auto"/>
                <w:szCs w:val="21"/>
                <w:highlight w:val="none"/>
              </w:rPr>
              <w:t>3.参考咨询服务要根据读者需要为读者提供图书、论文或其他各种资料的服务</w:t>
            </w:r>
            <w:r>
              <w:rPr>
                <w:rFonts w:hint="eastAsia" w:ascii="微软雅黑" w:hAnsi="微软雅黑" w:cs="仿宋"/>
                <w:color w:val="auto"/>
                <w:szCs w:val="21"/>
                <w:highlight w:val="none"/>
                <w:lang w:eastAsia="zh-CN"/>
              </w:rPr>
              <w:t>。</w:t>
            </w:r>
          </w:p>
        </w:tc>
        <w:tc>
          <w:tcPr>
            <w:tcW w:w="1988" w:type="dxa"/>
          </w:tcPr>
          <w:p w14:paraId="3CEEDF67">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2511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69800CBA">
            <w:pPr>
              <w:ind w:firstLine="0" w:firstLineChars="0"/>
              <w:rPr>
                <w:rFonts w:hint="eastAsia" w:ascii="微软雅黑" w:hAnsi="微软雅黑" w:cs="仿宋"/>
                <w:color w:val="auto"/>
                <w:szCs w:val="21"/>
                <w:highlight w:val="none"/>
              </w:rPr>
            </w:pPr>
          </w:p>
        </w:tc>
        <w:tc>
          <w:tcPr>
            <w:tcW w:w="1664" w:type="dxa"/>
            <w:vMerge w:val="continue"/>
            <w:vAlign w:val="center"/>
          </w:tcPr>
          <w:p w14:paraId="066DC723">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7A6785E4">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4.参考咨询服务每年要编写至少4次以上文献为读者提供参考服务。</w:t>
            </w:r>
          </w:p>
        </w:tc>
        <w:tc>
          <w:tcPr>
            <w:tcW w:w="1988" w:type="dxa"/>
          </w:tcPr>
          <w:p w14:paraId="7F14ED40">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3FE92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947" w:type="dxa"/>
            <w:vMerge w:val="continue"/>
            <w:vAlign w:val="center"/>
          </w:tcPr>
          <w:p w14:paraId="234E5B90">
            <w:pPr>
              <w:ind w:firstLine="0" w:firstLineChars="0"/>
              <w:rPr>
                <w:rFonts w:hint="eastAsia" w:ascii="微软雅黑" w:hAnsi="微软雅黑" w:cs="仿宋"/>
                <w:color w:val="auto"/>
                <w:szCs w:val="21"/>
                <w:highlight w:val="none"/>
              </w:rPr>
            </w:pPr>
          </w:p>
        </w:tc>
        <w:tc>
          <w:tcPr>
            <w:tcW w:w="1664" w:type="dxa"/>
            <w:vMerge w:val="continue"/>
            <w:vAlign w:val="center"/>
          </w:tcPr>
          <w:p w14:paraId="6C356762">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5A870EF9">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5.图书馆员工提供网上解答读者提问的服务，包括Email邮件咨询、网站咨询等。</w:t>
            </w:r>
          </w:p>
        </w:tc>
        <w:tc>
          <w:tcPr>
            <w:tcW w:w="1988" w:type="dxa"/>
          </w:tcPr>
          <w:p w14:paraId="5BF58A84">
            <w:pPr>
              <w:ind w:firstLine="0" w:firstLineChars="0"/>
              <w:jc w:val="center"/>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w:t>
            </w:r>
          </w:p>
        </w:tc>
      </w:tr>
      <w:tr w14:paraId="7840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947" w:type="dxa"/>
            <w:vMerge w:val="restart"/>
            <w:vAlign w:val="center"/>
          </w:tcPr>
          <w:p w14:paraId="6BA4DB69">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6</w:t>
            </w:r>
          </w:p>
        </w:tc>
        <w:tc>
          <w:tcPr>
            <w:tcW w:w="1664" w:type="dxa"/>
            <w:vMerge w:val="restart"/>
            <w:vAlign w:val="center"/>
          </w:tcPr>
          <w:p w14:paraId="2B60C85A">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专题咨询</w:t>
            </w:r>
          </w:p>
        </w:tc>
        <w:tc>
          <w:tcPr>
            <w:tcW w:w="4414" w:type="dxa"/>
            <w:tcBorders>
              <w:bottom w:val="single" w:color="auto" w:sz="4" w:space="0"/>
            </w:tcBorders>
          </w:tcPr>
          <w:p w14:paraId="5DCB7A4B">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1.考察专题咨询服务的数量、质量以及效果。</w:t>
            </w:r>
          </w:p>
        </w:tc>
        <w:tc>
          <w:tcPr>
            <w:tcW w:w="1988" w:type="dxa"/>
            <w:tcBorders>
              <w:bottom w:val="single" w:color="auto" w:sz="4" w:space="0"/>
            </w:tcBorders>
          </w:tcPr>
          <w:p w14:paraId="1F296E9E">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20%</w:t>
            </w:r>
          </w:p>
        </w:tc>
      </w:tr>
      <w:tr w14:paraId="3AC27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9" w:hRule="atLeast"/>
          <w:jc w:val="center"/>
        </w:trPr>
        <w:tc>
          <w:tcPr>
            <w:tcW w:w="947" w:type="dxa"/>
            <w:vMerge w:val="continue"/>
            <w:vAlign w:val="center"/>
          </w:tcPr>
          <w:p w14:paraId="690B66DB">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77BCFDCC">
            <w:pPr>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tcPr>
          <w:p w14:paraId="063EB184">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2.决策信息服务主要包括：①为人大立法部门以及为人大代表提供的各类信息服务，包括为“两会”服务；②为党和政府的决策部门以及为各级领导提供的各类信息服务。</w:t>
            </w:r>
          </w:p>
        </w:tc>
        <w:tc>
          <w:tcPr>
            <w:tcW w:w="1988" w:type="dxa"/>
            <w:tcBorders>
              <w:top w:val="single" w:color="auto" w:sz="4" w:space="0"/>
              <w:bottom w:val="single" w:color="auto" w:sz="4" w:space="0"/>
            </w:tcBorders>
          </w:tcPr>
          <w:p w14:paraId="7B320A87">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20%</w:t>
            </w:r>
          </w:p>
        </w:tc>
      </w:tr>
      <w:tr w14:paraId="26851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6" w:hRule="atLeast"/>
          <w:jc w:val="center"/>
        </w:trPr>
        <w:tc>
          <w:tcPr>
            <w:tcW w:w="947" w:type="dxa"/>
            <w:vMerge w:val="continue"/>
            <w:vAlign w:val="center"/>
          </w:tcPr>
          <w:p w14:paraId="303D36EE">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3B165FAF">
            <w:pPr>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tcPr>
          <w:p w14:paraId="327E44A3">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3.专题咨询服务指图书馆针对用户的需求，运用知识和智慧，为用户提供知识产品和服务的活动，包括编制报告、资讯、科技查新等。提供专题咨询记录、咨询成果及其他相关证明材料。</w:t>
            </w:r>
          </w:p>
        </w:tc>
        <w:tc>
          <w:tcPr>
            <w:tcW w:w="1988" w:type="dxa"/>
            <w:tcBorders>
              <w:top w:val="single" w:color="auto" w:sz="4" w:space="0"/>
              <w:bottom w:val="single" w:color="auto" w:sz="4" w:space="0"/>
            </w:tcBorders>
          </w:tcPr>
          <w:p w14:paraId="096B94FC">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30%</w:t>
            </w:r>
          </w:p>
        </w:tc>
      </w:tr>
      <w:tr w14:paraId="6DD05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947" w:type="dxa"/>
            <w:vMerge w:val="restart"/>
            <w:vAlign w:val="center"/>
          </w:tcPr>
          <w:p w14:paraId="66F7DBC6">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7</w:t>
            </w:r>
          </w:p>
        </w:tc>
        <w:tc>
          <w:tcPr>
            <w:tcW w:w="1664" w:type="dxa"/>
            <w:vMerge w:val="restart"/>
            <w:vAlign w:val="center"/>
          </w:tcPr>
          <w:p w14:paraId="2727B918">
            <w:pPr>
              <w:pStyle w:val="20"/>
              <w:spacing w:after="0"/>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服务数据显示度</w:t>
            </w:r>
          </w:p>
        </w:tc>
        <w:tc>
          <w:tcPr>
            <w:tcW w:w="4414" w:type="dxa"/>
            <w:tcBorders>
              <w:bottom w:val="single" w:color="auto" w:sz="4" w:space="0"/>
            </w:tcBorders>
            <w:vAlign w:val="center"/>
          </w:tcPr>
          <w:p w14:paraId="26916F9D">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1.按要求编制年报。</w:t>
            </w:r>
          </w:p>
        </w:tc>
        <w:tc>
          <w:tcPr>
            <w:tcW w:w="1988" w:type="dxa"/>
            <w:tcBorders>
              <w:bottom w:val="single" w:color="auto" w:sz="4" w:space="0"/>
            </w:tcBorders>
            <w:vAlign w:val="center"/>
          </w:tcPr>
          <w:p w14:paraId="469BC220">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1CE50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947" w:type="dxa"/>
            <w:vMerge w:val="continue"/>
            <w:vAlign w:val="center"/>
          </w:tcPr>
          <w:p w14:paraId="1167BBAE">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61B0B68D">
            <w:pPr>
              <w:pStyle w:val="20"/>
              <w:spacing w:after="0"/>
              <w:ind w:firstLine="0" w:firstLineChars="0"/>
              <w:rPr>
                <w:rFonts w:hint="eastAsia" w:ascii="微软雅黑" w:hAnsi="微软雅黑" w:cs="仿宋"/>
                <w:color w:val="auto"/>
                <w:szCs w:val="21"/>
                <w:highlight w:val="none"/>
              </w:rPr>
            </w:pPr>
          </w:p>
        </w:tc>
        <w:tc>
          <w:tcPr>
            <w:tcW w:w="4414" w:type="dxa"/>
            <w:tcBorders>
              <w:top w:val="single" w:color="auto" w:sz="4" w:space="0"/>
              <w:bottom w:val="single" w:color="auto" w:sz="4" w:space="0"/>
            </w:tcBorders>
            <w:vAlign w:val="center"/>
          </w:tcPr>
          <w:p w14:paraId="1C00863A">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2.定期宣传发布三馆服务数据。</w:t>
            </w:r>
          </w:p>
        </w:tc>
        <w:tc>
          <w:tcPr>
            <w:tcW w:w="1988" w:type="dxa"/>
            <w:tcBorders>
              <w:top w:val="single" w:color="auto" w:sz="4" w:space="0"/>
              <w:bottom w:val="single" w:color="auto" w:sz="4" w:space="0"/>
            </w:tcBorders>
            <w:vAlign w:val="center"/>
          </w:tcPr>
          <w:p w14:paraId="375C8B9F">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1985E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9" w:hRule="atLeast"/>
          <w:jc w:val="center"/>
        </w:trPr>
        <w:tc>
          <w:tcPr>
            <w:tcW w:w="947" w:type="dxa"/>
            <w:vMerge w:val="continue"/>
            <w:vAlign w:val="center"/>
          </w:tcPr>
          <w:p w14:paraId="0064D9D1">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39365F5D">
            <w:pPr>
              <w:pStyle w:val="20"/>
              <w:spacing w:after="0"/>
              <w:ind w:firstLine="0" w:firstLineChars="0"/>
              <w:rPr>
                <w:rFonts w:hint="eastAsia" w:ascii="微软雅黑" w:hAnsi="微软雅黑" w:cs="仿宋"/>
                <w:color w:val="auto"/>
                <w:szCs w:val="21"/>
                <w:highlight w:val="none"/>
              </w:rPr>
            </w:pPr>
          </w:p>
        </w:tc>
        <w:tc>
          <w:tcPr>
            <w:tcW w:w="4414" w:type="dxa"/>
            <w:tcBorders>
              <w:top w:val="single" w:color="auto" w:sz="4" w:space="0"/>
            </w:tcBorders>
            <w:vAlign w:val="center"/>
          </w:tcPr>
          <w:p w14:paraId="45F96B16">
            <w:pPr>
              <w:ind w:firstLine="0" w:firstLineChars="0"/>
              <w:rPr>
                <w:rFonts w:hint="eastAsia" w:ascii="微软雅黑" w:hAnsi="微软雅黑" w:cs="仿宋"/>
                <w:color w:val="auto"/>
                <w:szCs w:val="21"/>
                <w:highlight w:val="none"/>
              </w:rPr>
            </w:pPr>
            <w:r>
              <w:rPr>
                <w:rFonts w:hint="eastAsia" w:ascii="微软雅黑" w:hAnsi="微软雅黑" w:cs="仿宋"/>
                <w:color w:val="auto"/>
                <w:szCs w:val="21"/>
                <w:highlight w:val="none"/>
              </w:rPr>
              <w:t>3.服务数据包括图书馆的办证量、外借量、到馆读者数量、讲座数量、展览数量、开展活动的数量等。</w:t>
            </w:r>
          </w:p>
        </w:tc>
        <w:tc>
          <w:tcPr>
            <w:tcW w:w="1988" w:type="dxa"/>
            <w:tcBorders>
              <w:top w:val="single" w:color="auto" w:sz="4" w:space="0"/>
            </w:tcBorders>
            <w:vAlign w:val="center"/>
          </w:tcPr>
          <w:p w14:paraId="661B8F84">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20EC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jc w:val="center"/>
        </w:trPr>
        <w:tc>
          <w:tcPr>
            <w:tcW w:w="947" w:type="dxa"/>
            <w:vAlign w:val="center"/>
          </w:tcPr>
          <w:p w14:paraId="5D4DA819">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8</w:t>
            </w:r>
          </w:p>
        </w:tc>
        <w:tc>
          <w:tcPr>
            <w:tcW w:w="1664" w:type="dxa"/>
            <w:vAlign w:val="center"/>
          </w:tcPr>
          <w:p w14:paraId="6AC99997">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群众满意率不低于95%</w:t>
            </w:r>
          </w:p>
        </w:tc>
        <w:tc>
          <w:tcPr>
            <w:tcW w:w="4414" w:type="dxa"/>
            <w:vAlign w:val="center"/>
          </w:tcPr>
          <w:p w14:paraId="28C8DB3A">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1.由采购人统一组织实施，就三馆的服务内容、服务质量及员工素质等情况征求群众者意见。 合同期内不少于</w:t>
            </w:r>
            <w:r>
              <w:rPr>
                <w:rFonts w:hint="eastAsia" w:ascii="微软雅黑" w:hAnsi="微软雅黑" w:cs="仿宋"/>
                <w:color w:val="auto"/>
                <w:szCs w:val="21"/>
                <w:highlight w:val="none"/>
                <w:lang w:val="en-US" w:eastAsia="zh-CN"/>
              </w:rPr>
              <w:t>4</w:t>
            </w:r>
            <w:r>
              <w:rPr>
                <w:rFonts w:hint="eastAsia" w:ascii="微软雅黑" w:hAnsi="微软雅黑" w:cs="仿宋"/>
                <w:color w:val="auto"/>
                <w:szCs w:val="21"/>
                <w:highlight w:val="none"/>
              </w:rPr>
              <w:t>次。</w:t>
            </w:r>
          </w:p>
        </w:tc>
        <w:tc>
          <w:tcPr>
            <w:tcW w:w="1988" w:type="dxa"/>
            <w:vAlign w:val="center"/>
          </w:tcPr>
          <w:p w14:paraId="48DA4B3C">
            <w:pPr>
              <w:ind w:firstLine="0" w:firstLineChars="0"/>
              <w:jc w:val="center"/>
              <w:rPr>
                <w:rFonts w:hint="default" w:ascii="微软雅黑" w:hAnsi="微软雅黑" w:eastAsia="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141A3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jc w:val="center"/>
        </w:trPr>
        <w:tc>
          <w:tcPr>
            <w:tcW w:w="947" w:type="dxa"/>
            <w:vAlign w:val="center"/>
          </w:tcPr>
          <w:p w14:paraId="51310BA9">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9</w:t>
            </w:r>
          </w:p>
        </w:tc>
        <w:tc>
          <w:tcPr>
            <w:tcW w:w="1664" w:type="dxa"/>
            <w:vAlign w:val="center"/>
          </w:tcPr>
          <w:p w14:paraId="702893C6">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大力发展文创产品</w:t>
            </w:r>
          </w:p>
        </w:tc>
        <w:tc>
          <w:tcPr>
            <w:tcW w:w="4414" w:type="dxa"/>
            <w:vAlign w:val="center"/>
          </w:tcPr>
          <w:p w14:paraId="2A421A18">
            <w:pPr>
              <w:ind w:firstLine="0" w:firstLineChars="0"/>
              <w:rPr>
                <w:rFonts w:ascii="微软雅黑" w:hAnsi="微软雅黑" w:cs="仿宋"/>
                <w:color w:val="auto"/>
                <w:szCs w:val="21"/>
                <w:highlight w:val="none"/>
              </w:rPr>
            </w:pPr>
            <w:r>
              <w:rPr>
                <w:rFonts w:hint="eastAsia" w:ascii="微软雅黑" w:hAnsi="微软雅黑" w:cs="仿宋"/>
                <w:color w:val="auto"/>
                <w:szCs w:val="21"/>
                <w:highlight w:val="none"/>
              </w:rPr>
              <w:t>创新文创研发并</w:t>
            </w:r>
            <w:r>
              <w:rPr>
                <w:rFonts w:hint="eastAsia" w:ascii="微软雅黑" w:hAnsi="微软雅黑" w:cs="仿宋"/>
                <w:color w:val="auto"/>
                <w:szCs w:val="21"/>
                <w:highlight w:val="none"/>
                <w:lang w:eastAsia="zh-CN"/>
              </w:rPr>
              <w:t>实物落地</w:t>
            </w:r>
            <w:r>
              <w:rPr>
                <w:rFonts w:hint="eastAsia" w:ascii="微软雅黑" w:hAnsi="微软雅黑" w:cs="仿宋"/>
                <w:color w:val="auto"/>
                <w:szCs w:val="21"/>
                <w:highlight w:val="none"/>
              </w:rPr>
              <w:t>。</w:t>
            </w:r>
          </w:p>
        </w:tc>
        <w:tc>
          <w:tcPr>
            <w:tcW w:w="1988" w:type="dxa"/>
            <w:vAlign w:val="center"/>
          </w:tcPr>
          <w:p w14:paraId="2161BE9B">
            <w:pPr>
              <w:ind w:firstLine="420" w:firstLineChars="200"/>
              <w:rPr>
                <w:rFonts w:hint="eastAsia" w:ascii="微软雅黑" w:hAnsi="微软雅黑" w:cs="仿宋"/>
                <w:color w:val="auto"/>
                <w:szCs w:val="21"/>
                <w:highlight w:val="none"/>
              </w:rPr>
            </w:pPr>
            <w:r>
              <w:rPr>
                <w:rFonts w:hint="eastAsia" w:ascii="微软雅黑" w:hAnsi="微软雅黑" w:cs="仿宋"/>
                <w:color w:val="auto"/>
                <w:szCs w:val="21"/>
                <w:highlight w:val="none"/>
                <w:lang w:val="en-US" w:eastAsia="zh-CN"/>
              </w:rPr>
              <w:t>100%</w:t>
            </w:r>
          </w:p>
        </w:tc>
      </w:tr>
      <w:tr w14:paraId="08ED7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3" w:hRule="atLeast"/>
          <w:jc w:val="center"/>
        </w:trPr>
        <w:tc>
          <w:tcPr>
            <w:tcW w:w="947" w:type="dxa"/>
            <w:vMerge w:val="restart"/>
            <w:vAlign w:val="center"/>
          </w:tcPr>
          <w:p w14:paraId="538EE673">
            <w:pPr>
              <w:ind w:firstLine="0" w:firstLineChars="0"/>
              <w:jc w:val="center"/>
              <w:rPr>
                <w:rFonts w:ascii="微软雅黑" w:hAnsi="微软雅黑" w:cs="仿宋"/>
                <w:color w:val="auto"/>
                <w:szCs w:val="21"/>
                <w:highlight w:val="none"/>
              </w:rPr>
            </w:pPr>
            <w:r>
              <w:rPr>
                <w:rFonts w:hint="eastAsia" w:ascii="微软雅黑" w:hAnsi="微软雅黑" w:cs="仿宋"/>
                <w:color w:val="auto"/>
                <w:szCs w:val="21"/>
                <w:highlight w:val="none"/>
              </w:rPr>
              <w:t>10</w:t>
            </w:r>
          </w:p>
        </w:tc>
        <w:tc>
          <w:tcPr>
            <w:tcW w:w="1664" w:type="dxa"/>
            <w:vMerge w:val="restart"/>
            <w:vAlign w:val="center"/>
          </w:tcPr>
          <w:p w14:paraId="599E1DDF">
            <w:pPr>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szCs w:val="21"/>
                <w:highlight w:val="none"/>
              </w:rPr>
              <w:t>完善提升服务品牌</w:t>
            </w:r>
          </w:p>
        </w:tc>
        <w:tc>
          <w:tcPr>
            <w:tcW w:w="4414" w:type="dxa"/>
            <w:tcBorders>
              <w:bottom w:val="single" w:color="auto" w:sz="4" w:space="0"/>
            </w:tcBorders>
          </w:tcPr>
          <w:p w14:paraId="2C0D0FF9">
            <w:pPr>
              <w:numPr>
                <w:ilvl w:val="0"/>
                <w:numId w:val="28"/>
              </w:numPr>
              <w:ind w:firstLine="0" w:firstLineChars="0"/>
              <w:rPr>
                <w:rFonts w:ascii="微软雅黑" w:hAnsi="微软雅黑" w:cs="仿宋"/>
                <w:b w:val="0"/>
                <w:bCs w:val="0"/>
                <w:color w:val="auto"/>
                <w:szCs w:val="21"/>
                <w:highlight w:val="none"/>
              </w:rPr>
            </w:pPr>
            <w:r>
              <w:rPr>
                <w:rFonts w:hint="eastAsia" w:ascii="微软雅黑" w:hAnsi="微软雅黑" w:cs="仿宋"/>
                <w:b w:val="0"/>
                <w:bCs w:val="0"/>
                <w:color w:val="auto"/>
                <w:szCs w:val="21"/>
                <w:highlight w:val="none"/>
              </w:rPr>
              <w:t>秀洲三馆举办的具有较高读者认知度与参与度的阅读推广活动，包括阅读指导、读书交流、演讲诵读、图书互换共享等。一般有较为完整的服务模式，有可持续的实施方案和推广价值，重点考评其影响力和社会效益。</w:t>
            </w:r>
          </w:p>
        </w:tc>
        <w:tc>
          <w:tcPr>
            <w:tcW w:w="1988" w:type="dxa"/>
            <w:tcBorders>
              <w:bottom w:val="single" w:color="auto" w:sz="4" w:space="0"/>
            </w:tcBorders>
          </w:tcPr>
          <w:p w14:paraId="6CD5571E">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r w14:paraId="6B0B6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1" w:hRule="atLeast"/>
          <w:jc w:val="center"/>
        </w:trPr>
        <w:tc>
          <w:tcPr>
            <w:tcW w:w="947" w:type="dxa"/>
            <w:vMerge w:val="continue"/>
            <w:vAlign w:val="center"/>
          </w:tcPr>
          <w:p w14:paraId="617E1BE9">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74AFB53D">
            <w:pPr>
              <w:ind w:firstLine="0" w:firstLineChars="0"/>
              <w:rPr>
                <w:rFonts w:hint="eastAsia" w:ascii="微软雅黑" w:hAnsi="微软雅黑" w:cs="仿宋"/>
                <w:b w:val="0"/>
                <w:bCs w:val="0"/>
                <w:color w:val="auto"/>
                <w:szCs w:val="21"/>
                <w:highlight w:val="none"/>
              </w:rPr>
            </w:pPr>
          </w:p>
        </w:tc>
        <w:tc>
          <w:tcPr>
            <w:tcW w:w="4414" w:type="dxa"/>
            <w:tcBorders>
              <w:top w:val="single" w:color="auto" w:sz="4" w:space="0"/>
              <w:bottom w:val="single" w:color="auto" w:sz="4" w:space="0"/>
            </w:tcBorders>
          </w:tcPr>
          <w:p w14:paraId="2FE89E83">
            <w:pPr>
              <w:pStyle w:val="2"/>
              <w:numPr>
                <w:ilvl w:val="0"/>
                <w:numId w:val="28"/>
              </w:numPr>
              <w:jc w:val="left"/>
              <w:rPr>
                <w:rFonts w:hint="eastAsia" w:ascii="微软雅黑" w:hAnsi="微软雅黑" w:cs="仿宋"/>
                <w:b w:val="0"/>
                <w:bCs w:val="0"/>
                <w:color w:val="auto"/>
                <w:szCs w:val="21"/>
                <w:highlight w:val="none"/>
                <w:lang w:val="en-US" w:eastAsia="zh-CN"/>
              </w:rPr>
            </w:pPr>
            <w:r>
              <w:rPr>
                <w:rFonts w:hint="eastAsia" w:ascii="微软雅黑" w:hAnsi="微软雅黑" w:eastAsia="微软雅黑" w:cs="仿宋"/>
                <w:b w:val="0"/>
                <w:bCs w:val="0"/>
                <w:color w:val="auto"/>
                <w:kern w:val="2"/>
                <w:sz w:val="21"/>
                <w:szCs w:val="21"/>
                <w:highlight w:val="none"/>
                <w:lang w:val="en-US" w:eastAsia="zh-CN" w:bidi="ar-SA"/>
              </w:rPr>
              <w:t>秀洲三馆承办省级公共文化活动不少于一场，重点考评其影响力和社会效益。</w:t>
            </w:r>
          </w:p>
        </w:tc>
        <w:tc>
          <w:tcPr>
            <w:tcW w:w="1988" w:type="dxa"/>
            <w:tcBorders>
              <w:top w:val="single" w:color="auto" w:sz="4" w:space="0"/>
              <w:bottom w:val="single" w:color="auto" w:sz="4" w:space="0"/>
            </w:tcBorders>
          </w:tcPr>
          <w:p w14:paraId="6944969F">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50%</w:t>
            </w:r>
          </w:p>
        </w:tc>
      </w:tr>
      <w:tr w14:paraId="24086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947" w:type="dxa"/>
            <w:vMerge w:val="continue"/>
            <w:vAlign w:val="center"/>
          </w:tcPr>
          <w:p w14:paraId="6C80F777">
            <w:pPr>
              <w:ind w:firstLine="0" w:firstLineChars="0"/>
              <w:jc w:val="center"/>
              <w:rPr>
                <w:rFonts w:hint="eastAsia" w:ascii="微软雅黑" w:hAnsi="微软雅黑" w:cs="仿宋"/>
                <w:color w:val="auto"/>
                <w:szCs w:val="21"/>
                <w:highlight w:val="none"/>
              </w:rPr>
            </w:pPr>
          </w:p>
        </w:tc>
        <w:tc>
          <w:tcPr>
            <w:tcW w:w="1664" w:type="dxa"/>
            <w:vMerge w:val="continue"/>
            <w:vAlign w:val="center"/>
          </w:tcPr>
          <w:p w14:paraId="4AAB221D">
            <w:pPr>
              <w:ind w:firstLine="0" w:firstLineChars="0"/>
              <w:rPr>
                <w:rFonts w:hint="eastAsia" w:ascii="微软雅黑" w:hAnsi="微软雅黑" w:cs="仿宋"/>
                <w:color w:val="auto"/>
                <w:szCs w:val="21"/>
                <w:highlight w:val="none"/>
              </w:rPr>
            </w:pPr>
          </w:p>
        </w:tc>
        <w:tc>
          <w:tcPr>
            <w:tcW w:w="4414" w:type="dxa"/>
            <w:tcBorders>
              <w:top w:val="single" w:color="auto" w:sz="4" w:space="0"/>
            </w:tcBorders>
          </w:tcPr>
          <w:p w14:paraId="51E6D740">
            <w:pPr>
              <w:tabs>
                <w:tab w:val="left" w:pos="312"/>
              </w:tabs>
              <w:ind w:firstLine="0" w:firstLineChars="0"/>
              <w:rPr>
                <w:rFonts w:hint="eastAsia" w:ascii="微软雅黑" w:hAnsi="微软雅黑" w:eastAsia="微软雅黑" w:cs="仿宋"/>
                <w:b w:val="0"/>
                <w:bCs w:val="0"/>
                <w:color w:val="auto"/>
                <w:kern w:val="2"/>
                <w:sz w:val="21"/>
                <w:szCs w:val="21"/>
                <w:highlight w:val="none"/>
                <w:lang w:val="en-US" w:eastAsia="zh-CN" w:bidi="ar-SA"/>
              </w:rPr>
            </w:pPr>
            <w:r>
              <w:rPr>
                <w:rFonts w:hint="eastAsia" w:ascii="微软雅黑" w:hAnsi="微软雅黑" w:eastAsia="微软雅黑" w:cs="仿宋"/>
                <w:b w:val="0"/>
                <w:bCs w:val="0"/>
                <w:color w:val="auto"/>
                <w:kern w:val="2"/>
                <w:sz w:val="21"/>
                <w:szCs w:val="21"/>
                <w:highlight w:val="none"/>
                <w:lang w:val="en-US" w:eastAsia="zh-CN" w:bidi="ar-SA"/>
              </w:rPr>
              <w:t>3.品牌数量不少于4个。</w:t>
            </w:r>
          </w:p>
        </w:tc>
        <w:tc>
          <w:tcPr>
            <w:tcW w:w="1988" w:type="dxa"/>
            <w:tcBorders>
              <w:top w:val="single" w:color="auto" w:sz="4" w:space="0"/>
            </w:tcBorders>
          </w:tcPr>
          <w:p w14:paraId="2A3BEE4E">
            <w:pPr>
              <w:tabs>
                <w:tab w:val="left" w:pos="312"/>
              </w:tabs>
              <w:ind w:firstLine="0" w:firstLineChars="0"/>
              <w:jc w:val="center"/>
              <w:rPr>
                <w:rFonts w:hint="default" w:ascii="微软雅黑" w:hAnsi="微软雅黑" w:cs="仿宋"/>
                <w:color w:val="auto"/>
                <w:szCs w:val="21"/>
                <w:highlight w:val="none"/>
                <w:lang w:val="en-US" w:eastAsia="zh-CN"/>
              </w:rPr>
            </w:pPr>
            <w:r>
              <w:rPr>
                <w:rFonts w:hint="eastAsia" w:ascii="微软雅黑" w:hAnsi="微软雅黑" w:cs="仿宋"/>
                <w:color w:val="auto"/>
                <w:szCs w:val="21"/>
                <w:highlight w:val="none"/>
                <w:lang w:val="en-US" w:eastAsia="zh-CN"/>
              </w:rPr>
              <w:t>100%</w:t>
            </w:r>
          </w:p>
        </w:tc>
      </w:tr>
    </w:tbl>
    <w:p w14:paraId="3D05C73F">
      <w:pPr>
        <w:ind w:firstLine="643"/>
        <w:rPr>
          <w:rFonts w:ascii="FangSong_GB2312" w:hAnsi="宋体" w:eastAsia="FangSong_GB2312" w:cs="新宋体"/>
          <w:b/>
          <w:color w:val="auto"/>
          <w:sz w:val="32"/>
          <w:szCs w:val="32"/>
          <w:highlight w:val="none"/>
        </w:rPr>
      </w:pPr>
    </w:p>
    <w:p w14:paraId="5A65EE33">
      <w:pPr>
        <w:ind w:firstLine="643"/>
        <w:rPr>
          <w:rFonts w:ascii="FangSong_GB2312" w:hAnsi="宋体" w:eastAsia="FangSong_GB2312" w:cs="新宋体"/>
          <w:b/>
          <w:color w:val="auto"/>
          <w:sz w:val="32"/>
          <w:szCs w:val="32"/>
          <w:highlight w:val="none"/>
        </w:rPr>
        <w:sectPr>
          <w:pgSz w:w="11906" w:h="16838"/>
          <w:pgMar w:top="1474" w:right="1287" w:bottom="1247"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9632BDE">
      <w:pPr>
        <w:ind w:firstLine="420"/>
        <w:rPr>
          <w:rFonts w:ascii="微软雅黑" w:hAnsi="微软雅黑" w:cs="仿宋"/>
          <w:b/>
          <w:color w:val="auto"/>
          <w:szCs w:val="21"/>
          <w:highlight w:val="none"/>
        </w:rPr>
      </w:pPr>
      <w:r>
        <w:rPr>
          <w:rFonts w:hint="eastAsia" w:ascii="微软雅黑" w:hAnsi="微软雅黑" w:cs="仿宋"/>
          <w:b/>
          <w:color w:val="auto"/>
          <w:szCs w:val="21"/>
          <w:highlight w:val="none"/>
        </w:rPr>
        <w:t>附件</w:t>
      </w:r>
      <w:r>
        <w:rPr>
          <w:rFonts w:ascii="微软雅黑" w:hAnsi="微软雅黑" w:cs="仿宋"/>
          <w:b/>
          <w:color w:val="auto"/>
          <w:szCs w:val="21"/>
          <w:highlight w:val="none"/>
        </w:rPr>
        <w:t>2</w:t>
      </w:r>
      <w:r>
        <w:rPr>
          <w:rFonts w:hint="eastAsia" w:ascii="微软雅黑" w:hAnsi="微软雅黑" w:cs="仿宋"/>
          <w:b/>
          <w:color w:val="auto"/>
          <w:szCs w:val="21"/>
          <w:highlight w:val="none"/>
          <w:lang w:val="en-US" w:eastAsia="zh-CN"/>
        </w:rPr>
        <w:t>-1</w:t>
      </w:r>
      <w:r>
        <w:rPr>
          <w:rFonts w:hint="eastAsia" w:ascii="微软雅黑" w:hAnsi="微软雅黑" w:cs="仿宋"/>
          <w:b/>
          <w:color w:val="auto"/>
          <w:szCs w:val="21"/>
          <w:highlight w:val="none"/>
        </w:rPr>
        <w:t>：日常考核</w:t>
      </w:r>
    </w:p>
    <w:p w14:paraId="35560062">
      <w:pPr>
        <w:ind w:firstLine="420"/>
        <w:jc w:val="center"/>
        <w:outlineLvl w:val="0"/>
        <w:rPr>
          <w:rFonts w:ascii="微软雅黑" w:hAnsi="微软雅黑" w:cs="仿宋"/>
          <w:b/>
          <w:color w:val="auto"/>
          <w:szCs w:val="21"/>
          <w:highlight w:val="none"/>
        </w:rPr>
      </w:pPr>
      <w:bookmarkStart w:id="277" w:name="_Toc24234"/>
      <w:bookmarkEnd w:id="277"/>
      <w:bookmarkStart w:id="278" w:name="_Toc2260"/>
      <w:r>
        <w:rPr>
          <w:rFonts w:hint="eastAsia" w:ascii="微软雅黑" w:hAnsi="微软雅黑" w:cs="仿宋"/>
          <w:b/>
          <w:color w:val="auto"/>
          <w:szCs w:val="21"/>
          <w:highlight w:val="none"/>
        </w:rPr>
        <w:t>嘉兴市文化艺术中心秀洲“三馆”融合运营服务项目考核要求</w:t>
      </w:r>
      <w:bookmarkEnd w:id="278"/>
    </w:p>
    <w:tbl>
      <w:tblPr>
        <w:tblStyle w:val="54"/>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00"/>
        <w:gridCol w:w="6600"/>
        <w:gridCol w:w="704"/>
      </w:tblGrid>
      <w:tr w14:paraId="3B8D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16" w:type="dxa"/>
            <w:vAlign w:val="center"/>
          </w:tcPr>
          <w:p w14:paraId="455BE9B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序号</w:t>
            </w:r>
          </w:p>
        </w:tc>
        <w:tc>
          <w:tcPr>
            <w:tcW w:w="1200" w:type="dxa"/>
            <w:vAlign w:val="center"/>
          </w:tcPr>
          <w:p w14:paraId="406AC96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内容</w:t>
            </w:r>
          </w:p>
        </w:tc>
        <w:tc>
          <w:tcPr>
            <w:tcW w:w="6600" w:type="dxa"/>
            <w:vAlign w:val="center"/>
          </w:tcPr>
          <w:p w14:paraId="5AAEAC0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评分办法</w:t>
            </w:r>
          </w:p>
        </w:tc>
        <w:tc>
          <w:tcPr>
            <w:tcW w:w="704" w:type="dxa"/>
            <w:vAlign w:val="center"/>
          </w:tcPr>
          <w:p w14:paraId="4803FF1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最高分值</w:t>
            </w:r>
          </w:p>
        </w:tc>
      </w:tr>
      <w:tr w14:paraId="3648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16" w:type="dxa"/>
            <w:vAlign w:val="center"/>
          </w:tcPr>
          <w:p w14:paraId="6B22A2B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w:t>
            </w:r>
          </w:p>
        </w:tc>
        <w:tc>
          <w:tcPr>
            <w:tcW w:w="1200" w:type="dxa"/>
            <w:vAlign w:val="center"/>
          </w:tcPr>
          <w:p w14:paraId="792E1B38">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项目管理考核</w:t>
            </w:r>
          </w:p>
        </w:tc>
        <w:tc>
          <w:tcPr>
            <w:tcW w:w="6600" w:type="dxa"/>
          </w:tcPr>
          <w:p w14:paraId="3F45725D">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建立完整的员工考核管理体系及制度，项目实施人员岗位</w:t>
            </w:r>
            <w:r>
              <w:rPr>
                <w:rFonts w:hint="eastAsia" w:ascii="微软雅黑" w:hAnsi="微软雅黑" w:cs="仿宋"/>
                <w:color w:val="auto"/>
                <w:kern w:val="0"/>
                <w:szCs w:val="21"/>
                <w:highlight w:val="none"/>
                <w:lang w:eastAsia="zh-CN"/>
              </w:rPr>
              <w:t>综合</w:t>
            </w:r>
            <w:r>
              <w:rPr>
                <w:rFonts w:hint="eastAsia" w:ascii="微软雅黑" w:hAnsi="微软雅黑" w:cs="仿宋"/>
                <w:color w:val="auto"/>
                <w:kern w:val="0"/>
                <w:szCs w:val="21"/>
                <w:highlight w:val="none"/>
              </w:rPr>
              <w:t>考核（详见招标需求</w:t>
            </w:r>
            <w:r>
              <w:rPr>
                <w:rFonts w:ascii="微软雅黑" w:hAnsi="微软雅黑" w:cs="仿宋"/>
                <w:color w:val="auto"/>
                <w:kern w:val="0"/>
                <w:szCs w:val="21"/>
                <w:highlight w:val="none"/>
              </w:rPr>
              <w:t>）</w:t>
            </w:r>
            <w:r>
              <w:rPr>
                <w:rFonts w:hint="eastAsia" w:ascii="微软雅黑" w:hAnsi="微软雅黑" w:cs="仿宋"/>
                <w:color w:val="auto"/>
                <w:kern w:val="0"/>
                <w:szCs w:val="21"/>
                <w:highlight w:val="none"/>
              </w:rPr>
              <w:t>。</w:t>
            </w:r>
          </w:p>
        </w:tc>
        <w:tc>
          <w:tcPr>
            <w:tcW w:w="704" w:type="dxa"/>
            <w:vAlign w:val="center"/>
          </w:tcPr>
          <w:p w14:paraId="6D4CD47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12</w:t>
            </w:r>
          </w:p>
        </w:tc>
      </w:tr>
      <w:tr w14:paraId="52E5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16" w:type="dxa"/>
            <w:vAlign w:val="center"/>
          </w:tcPr>
          <w:p w14:paraId="625E744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2</w:t>
            </w:r>
          </w:p>
        </w:tc>
        <w:tc>
          <w:tcPr>
            <w:tcW w:w="1200" w:type="dxa"/>
            <w:vMerge w:val="restart"/>
            <w:vAlign w:val="center"/>
          </w:tcPr>
          <w:p w14:paraId="59076FD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lang w:eastAsia="zh-CN"/>
              </w:rPr>
            </w:pPr>
            <w:r>
              <w:rPr>
                <w:rFonts w:hint="eastAsia" w:ascii="微软雅黑" w:hAnsi="微软雅黑" w:cs="仿宋"/>
                <w:b/>
                <w:bCs/>
                <w:color w:val="auto"/>
                <w:kern w:val="0"/>
                <w:szCs w:val="21"/>
                <w:highlight w:val="none"/>
                <w:lang w:eastAsia="zh-CN"/>
              </w:rPr>
              <w:t>满意度</w:t>
            </w:r>
          </w:p>
          <w:p w14:paraId="3946229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lang w:eastAsia="zh-CN"/>
              </w:rPr>
            </w:pPr>
            <w:r>
              <w:rPr>
                <w:rFonts w:hint="eastAsia" w:ascii="微软雅黑" w:hAnsi="微软雅黑" w:cs="仿宋"/>
                <w:b/>
                <w:bCs/>
                <w:color w:val="auto"/>
                <w:kern w:val="0"/>
                <w:szCs w:val="21"/>
                <w:highlight w:val="none"/>
                <w:lang w:eastAsia="zh-CN"/>
              </w:rPr>
              <w:t>评价</w:t>
            </w:r>
          </w:p>
          <w:p w14:paraId="2274407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p>
        </w:tc>
        <w:tc>
          <w:tcPr>
            <w:tcW w:w="6600" w:type="dxa"/>
          </w:tcPr>
          <w:p w14:paraId="1D2251FE">
            <w:pPr>
              <w:keepNext w:val="0"/>
              <w:keepLines w:val="0"/>
              <w:pageBreakBefore w:val="0"/>
              <w:widowControl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lang w:eastAsia="zh-CN"/>
              </w:rPr>
              <w:t>开展满意度反馈处理机制，</w:t>
            </w:r>
            <w:r>
              <w:rPr>
                <w:rFonts w:hint="eastAsia" w:ascii="微软雅黑" w:hAnsi="微软雅黑" w:cs="仿宋"/>
                <w:color w:val="auto"/>
                <w:kern w:val="0"/>
                <w:szCs w:val="21"/>
                <w:highlight w:val="none"/>
              </w:rPr>
              <w:t>建立</w:t>
            </w:r>
            <w:r>
              <w:rPr>
                <w:rFonts w:hint="eastAsia" w:ascii="微软雅黑" w:hAnsi="微软雅黑" w:cs="仿宋"/>
                <w:color w:val="auto"/>
                <w:kern w:val="0"/>
                <w:szCs w:val="21"/>
                <w:highlight w:val="none"/>
                <w:lang w:eastAsia="zh-CN"/>
              </w:rPr>
              <w:t>甲方和</w:t>
            </w:r>
            <w:r>
              <w:rPr>
                <w:rFonts w:hint="eastAsia" w:ascii="微软雅黑" w:hAnsi="微软雅黑" w:cs="仿宋"/>
                <w:color w:val="auto"/>
                <w:kern w:val="0"/>
                <w:szCs w:val="21"/>
                <w:highlight w:val="none"/>
              </w:rPr>
              <w:t>服务对象意见处理反馈机制与制度保障，服务对象对反馈意见处理结果满意度调查，达到70%（含）满意的得1分；达到80%（含）满意的得3分，达到85%（含）满意的得</w:t>
            </w:r>
            <w:r>
              <w:rPr>
                <w:rFonts w:hint="eastAsia" w:ascii="微软雅黑" w:hAnsi="微软雅黑" w:cs="仿宋"/>
                <w:color w:val="auto"/>
                <w:kern w:val="0"/>
                <w:szCs w:val="21"/>
                <w:highlight w:val="none"/>
                <w:lang w:val="en-US" w:eastAsia="zh-CN"/>
              </w:rPr>
              <w:t>4</w:t>
            </w:r>
            <w:r>
              <w:rPr>
                <w:rFonts w:hint="eastAsia" w:ascii="微软雅黑" w:hAnsi="微软雅黑" w:cs="仿宋"/>
                <w:color w:val="auto"/>
                <w:kern w:val="0"/>
                <w:szCs w:val="21"/>
                <w:highlight w:val="none"/>
              </w:rPr>
              <w:t>分，达到90%（含）满意的得</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w:t>
            </w:r>
          </w:p>
        </w:tc>
        <w:tc>
          <w:tcPr>
            <w:tcW w:w="704" w:type="dxa"/>
            <w:vAlign w:val="center"/>
          </w:tcPr>
          <w:p w14:paraId="669B582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63C3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6" w:type="dxa"/>
            <w:vAlign w:val="center"/>
          </w:tcPr>
          <w:p w14:paraId="54BD1CB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3</w:t>
            </w:r>
          </w:p>
        </w:tc>
        <w:tc>
          <w:tcPr>
            <w:tcW w:w="1200" w:type="dxa"/>
            <w:vMerge w:val="continue"/>
            <w:vAlign w:val="center"/>
          </w:tcPr>
          <w:p w14:paraId="7F4D12F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6600" w:type="dxa"/>
          </w:tcPr>
          <w:p w14:paraId="1A77C324">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建立秀洲三馆日常评价机制与管理制度，日常满意率达到70%（含）满意的得1分；达到80%（含）满意的得3分，达到85%（含）满意的得</w:t>
            </w:r>
            <w:r>
              <w:rPr>
                <w:rFonts w:hint="eastAsia" w:ascii="微软雅黑" w:hAnsi="微软雅黑" w:cs="仿宋"/>
                <w:color w:val="auto"/>
                <w:kern w:val="0"/>
                <w:szCs w:val="21"/>
                <w:highlight w:val="none"/>
                <w:lang w:val="en-US" w:eastAsia="zh-CN"/>
              </w:rPr>
              <w:t>4</w:t>
            </w:r>
            <w:r>
              <w:rPr>
                <w:rFonts w:hint="eastAsia" w:ascii="微软雅黑" w:hAnsi="微软雅黑" w:cs="仿宋"/>
                <w:color w:val="auto"/>
                <w:kern w:val="0"/>
                <w:szCs w:val="21"/>
                <w:highlight w:val="none"/>
              </w:rPr>
              <w:t>分，达到90%（含）满意的得</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w:t>
            </w:r>
          </w:p>
        </w:tc>
        <w:tc>
          <w:tcPr>
            <w:tcW w:w="704" w:type="dxa"/>
            <w:vAlign w:val="center"/>
          </w:tcPr>
          <w:p w14:paraId="4CC43E38">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67F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16" w:type="dxa"/>
            <w:vAlign w:val="center"/>
          </w:tcPr>
          <w:p w14:paraId="2469ECFC">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4</w:t>
            </w:r>
          </w:p>
        </w:tc>
        <w:tc>
          <w:tcPr>
            <w:tcW w:w="1200" w:type="dxa"/>
            <w:vMerge w:val="continue"/>
            <w:vAlign w:val="center"/>
          </w:tcPr>
          <w:p w14:paraId="5EA9E77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p>
        </w:tc>
        <w:tc>
          <w:tcPr>
            <w:tcW w:w="6600" w:type="dxa"/>
          </w:tcPr>
          <w:p w14:paraId="5A196FF1">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eastAsia="zh-CN"/>
              </w:rPr>
              <w:t>建立馆员评价运营团队机制，开展馆员对运营团队管理评价：</w:t>
            </w:r>
            <w:r>
              <w:rPr>
                <w:rFonts w:hint="eastAsia" w:ascii="微软雅黑" w:hAnsi="微软雅黑" w:cs="仿宋"/>
                <w:color w:val="auto"/>
                <w:kern w:val="0"/>
                <w:szCs w:val="21"/>
                <w:highlight w:val="none"/>
              </w:rPr>
              <w:t>日常满意率达到70%（含）满意的得1分；达到80%（含）满意的得3分，达到85%（含）满意的得5分，达到90%（含）满意的得</w:t>
            </w:r>
            <w:r>
              <w:rPr>
                <w:rFonts w:hint="eastAsia" w:ascii="微软雅黑" w:hAnsi="微软雅黑" w:cs="仿宋"/>
                <w:color w:val="auto"/>
                <w:kern w:val="0"/>
                <w:szCs w:val="21"/>
                <w:highlight w:val="none"/>
                <w:lang w:val="en-US" w:eastAsia="zh-CN"/>
              </w:rPr>
              <w:t>6</w:t>
            </w:r>
            <w:r>
              <w:rPr>
                <w:rFonts w:hint="eastAsia" w:ascii="微软雅黑" w:hAnsi="微软雅黑" w:cs="仿宋"/>
                <w:color w:val="auto"/>
                <w:kern w:val="0"/>
                <w:szCs w:val="21"/>
                <w:highlight w:val="none"/>
              </w:rPr>
              <w:t>分，达到95%及以上的得</w:t>
            </w:r>
            <w:r>
              <w:rPr>
                <w:rFonts w:hint="eastAsia" w:ascii="微软雅黑" w:hAnsi="微软雅黑" w:cs="仿宋"/>
                <w:color w:val="auto"/>
                <w:kern w:val="0"/>
                <w:szCs w:val="21"/>
                <w:highlight w:val="none"/>
                <w:lang w:val="en-US" w:eastAsia="zh-CN"/>
              </w:rPr>
              <w:t>8</w:t>
            </w:r>
            <w:r>
              <w:rPr>
                <w:rFonts w:hint="eastAsia" w:ascii="微软雅黑" w:hAnsi="微软雅黑" w:cs="仿宋"/>
                <w:color w:val="auto"/>
                <w:kern w:val="0"/>
                <w:szCs w:val="21"/>
                <w:highlight w:val="none"/>
              </w:rPr>
              <w:t>分。</w:t>
            </w:r>
          </w:p>
        </w:tc>
        <w:tc>
          <w:tcPr>
            <w:tcW w:w="704" w:type="dxa"/>
            <w:vAlign w:val="center"/>
          </w:tcPr>
          <w:p w14:paraId="46CA0EDD">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6</w:t>
            </w:r>
          </w:p>
        </w:tc>
      </w:tr>
      <w:tr w14:paraId="7A52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trPr>
        <w:tc>
          <w:tcPr>
            <w:tcW w:w="916" w:type="dxa"/>
            <w:vAlign w:val="center"/>
          </w:tcPr>
          <w:p w14:paraId="5FF8A2E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5</w:t>
            </w:r>
          </w:p>
          <w:p w14:paraId="407B768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118B273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活动完成情况</w:t>
            </w:r>
          </w:p>
        </w:tc>
        <w:tc>
          <w:tcPr>
            <w:tcW w:w="6600" w:type="dxa"/>
          </w:tcPr>
          <w:p w14:paraId="46254788">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 xml:space="preserve">根据甲方要求各馆服务要求制定计划，开展活动，次数和标准达到甲方认可的要求。 </w:t>
            </w:r>
          </w:p>
          <w:p w14:paraId="036ECA67">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合同台账整理要求完整真实，如发现有弄虚作假情况出现，此项得分为0分。</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0-6分)</w:t>
            </w:r>
          </w:p>
          <w:p w14:paraId="43CF58AF">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组织的活动产生良好的社会效益（依据</w:t>
            </w:r>
            <w:r>
              <w:rPr>
                <w:rFonts w:hint="eastAsia" w:ascii="微软雅黑" w:hAnsi="微软雅黑" w:cs="仿宋"/>
                <w:color w:val="auto"/>
                <w:kern w:val="0"/>
                <w:szCs w:val="21"/>
                <w:highlight w:val="none"/>
                <w:lang w:eastAsia="zh-CN"/>
              </w:rPr>
              <w:t>甲方</w:t>
            </w:r>
            <w:r>
              <w:rPr>
                <w:rFonts w:hint="eastAsia" w:ascii="微软雅黑" w:hAnsi="微软雅黑" w:cs="仿宋"/>
                <w:color w:val="auto"/>
                <w:kern w:val="0"/>
                <w:szCs w:val="21"/>
                <w:highlight w:val="none"/>
              </w:rPr>
              <w:t>活动评价反馈及社会影响力等）。</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lang w:val="en-US" w:eastAsia="zh-CN"/>
              </w:rPr>
              <w:t>0-6分)</w:t>
            </w:r>
          </w:p>
        </w:tc>
        <w:tc>
          <w:tcPr>
            <w:tcW w:w="704" w:type="dxa"/>
            <w:vAlign w:val="center"/>
          </w:tcPr>
          <w:p w14:paraId="6F8B26AF">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lang w:val="en-US" w:eastAsia="zh-CN"/>
              </w:rPr>
              <w:t>12</w:t>
            </w:r>
          </w:p>
        </w:tc>
      </w:tr>
      <w:tr w14:paraId="4C8E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916" w:type="dxa"/>
            <w:vAlign w:val="center"/>
          </w:tcPr>
          <w:p w14:paraId="5F99F55B">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7</w:t>
            </w:r>
          </w:p>
        </w:tc>
        <w:tc>
          <w:tcPr>
            <w:tcW w:w="1200" w:type="dxa"/>
            <w:vAlign w:val="center"/>
          </w:tcPr>
          <w:p w14:paraId="7BB7E26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p w14:paraId="33BEE803">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服务管理</w:t>
            </w:r>
          </w:p>
        </w:tc>
        <w:tc>
          <w:tcPr>
            <w:tcW w:w="6600" w:type="dxa"/>
          </w:tcPr>
          <w:p w14:paraId="2AA9C8E2">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服务数据显示度，各馆以多种方式将服务数据向社会展示，定期宣传发布各馆服务数据：</w:t>
            </w:r>
          </w:p>
          <w:p w14:paraId="7316B7BE">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图书馆馆舍入口及其他馆内信息发布平台，服务数据实时显示，内容更新及时，得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w:t>
            </w:r>
          </w:p>
          <w:p w14:paraId="7186707F">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秀洲三馆利用网站、移动客户端等及时发布服务数据，得</w:t>
            </w:r>
            <w:r>
              <w:rPr>
                <w:rFonts w:hint="eastAsia" w:ascii="微软雅黑" w:hAnsi="微软雅黑" w:cs="仿宋"/>
                <w:color w:val="auto"/>
                <w:kern w:val="0"/>
                <w:szCs w:val="21"/>
                <w:highlight w:val="none"/>
                <w:lang w:val="en-US" w:eastAsia="zh-CN"/>
              </w:rPr>
              <w:t>1</w:t>
            </w:r>
            <w:r>
              <w:rPr>
                <w:rFonts w:hint="eastAsia" w:ascii="微软雅黑" w:hAnsi="微软雅黑" w:cs="仿宋"/>
                <w:color w:val="auto"/>
                <w:kern w:val="0"/>
                <w:szCs w:val="21"/>
                <w:highlight w:val="none"/>
              </w:rPr>
              <w:t>分 。</w:t>
            </w:r>
          </w:p>
        </w:tc>
        <w:tc>
          <w:tcPr>
            <w:tcW w:w="704" w:type="dxa"/>
            <w:vAlign w:val="center"/>
          </w:tcPr>
          <w:p w14:paraId="73161A81">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2</w:t>
            </w:r>
          </w:p>
        </w:tc>
      </w:tr>
      <w:tr w14:paraId="1750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Align w:val="center"/>
          </w:tcPr>
          <w:p w14:paraId="29C2295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eastAsia="zh-CN"/>
              </w:rPr>
            </w:pPr>
            <w:r>
              <w:rPr>
                <w:rFonts w:hint="eastAsia" w:ascii="微软雅黑" w:hAnsi="微软雅黑" w:cs="仿宋"/>
                <w:b/>
                <w:bCs/>
                <w:color w:val="auto"/>
                <w:kern w:val="0"/>
                <w:szCs w:val="21"/>
                <w:highlight w:val="none"/>
                <w:lang w:val="en-US" w:eastAsia="zh-CN"/>
              </w:rPr>
              <w:t>8</w:t>
            </w:r>
          </w:p>
        </w:tc>
        <w:tc>
          <w:tcPr>
            <w:tcW w:w="1200" w:type="dxa"/>
            <w:vAlign w:val="center"/>
          </w:tcPr>
          <w:p w14:paraId="000E0255">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其他协调配合</w:t>
            </w:r>
          </w:p>
        </w:tc>
        <w:tc>
          <w:tcPr>
            <w:tcW w:w="6600" w:type="dxa"/>
          </w:tcPr>
          <w:p w14:paraId="4C89196E">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秀洲三馆运行与艺术中心整体运行的有效协调配合；图书馆各镇、村分馆及礼堂书屋有效协调配合。</w:t>
            </w:r>
          </w:p>
        </w:tc>
        <w:tc>
          <w:tcPr>
            <w:tcW w:w="704" w:type="dxa"/>
            <w:vAlign w:val="center"/>
          </w:tcPr>
          <w:p w14:paraId="7B257983">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lang w:val="en-US" w:eastAsia="zh-CN"/>
              </w:rPr>
              <w:t>6</w:t>
            </w:r>
          </w:p>
        </w:tc>
      </w:tr>
      <w:tr w14:paraId="40E1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restart"/>
            <w:vAlign w:val="center"/>
          </w:tcPr>
          <w:p w14:paraId="33A41FE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9</w:t>
            </w:r>
          </w:p>
        </w:tc>
        <w:tc>
          <w:tcPr>
            <w:tcW w:w="1200" w:type="dxa"/>
            <w:vAlign w:val="center"/>
          </w:tcPr>
          <w:p w14:paraId="70EF721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加分项</w:t>
            </w:r>
          </w:p>
        </w:tc>
        <w:tc>
          <w:tcPr>
            <w:tcW w:w="6600" w:type="dxa"/>
          </w:tcPr>
          <w:p w14:paraId="32117A67">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获得国家级荣誉的，加</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分；省级荣誉，加</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分；市级荣誉，加</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分；区级荣誉，加1分，同一内容计算最高等级得分。</w:t>
            </w:r>
          </w:p>
        </w:tc>
        <w:tc>
          <w:tcPr>
            <w:tcW w:w="704" w:type="dxa"/>
            <w:vAlign w:val="center"/>
          </w:tcPr>
          <w:p w14:paraId="29BBBB47">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5152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continue"/>
            <w:vAlign w:val="center"/>
          </w:tcPr>
          <w:p w14:paraId="18F97A82">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33A2B3C7">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加分项</w:t>
            </w:r>
          </w:p>
        </w:tc>
        <w:tc>
          <w:tcPr>
            <w:tcW w:w="6600" w:type="dxa"/>
          </w:tcPr>
          <w:p w14:paraId="7821F585">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创新项目创建成功的：国家级，加</w:t>
            </w:r>
            <w:r>
              <w:rPr>
                <w:rFonts w:hint="eastAsia" w:ascii="微软雅黑" w:hAnsi="微软雅黑" w:cs="仿宋"/>
                <w:color w:val="auto"/>
                <w:kern w:val="0"/>
                <w:szCs w:val="21"/>
                <w:highlight w:val="none"/>
                <w:lang w:val="en-US" w:eastAsia="zh-CN"/>
              </w:rPr>
              <w:t>5</w:t>
            </w:r>
            <w:r>
              <w:rPr>
                <w:rFonts w:hint="eastAsia" w:ascii="微软雅黑" w:hAnsi="微软雅黑" w:cs="仿宋"/>
                <w:color w:val="auto"/>
                <w:kern w:val="0"/>
                <w:szCs w:val="21"/>
                <w:highlight w:val="none"/>
              </w:rPr>
              <w:t>分；省级，加</w:t>
            </w:r>
            <w:r>
              <w:rPr>
                <w:rFonts w:hint="eastAsia" w:ascii="微软雅黑" w:hAnsi="微软雅黑" w:cs="仿宋"/>
                <w:color w:val="auto"/>
                <w:kern w:val="0"/>
                <w:szCs w:val="21"/>
                <w:highlight w:val="none"/>
                <w:lang w:val="en-US" w:eastAsia="zh-CN"/>
              </w:rPr>
              <w:t>3</w:t>
            </w:r>
            <w:r>
              <w:rPr>
                <w:rFonts w:hint="eastAsia" w:ascii="微软雅黑" w:hAnsi="微软雅黑" w:cs="仿宋"/>
                <w:color w:val="auto"/>
                <w:kern w:val="0"/>
                <w:szCs w:val="21"/>
                <w:highlight w:val="none"/>
              </w:rPr>
              <w:t>分；市级，加</w:t>
            </w:r>
            <w:r>
              <w:rPr>
                <w:rFonts w:hint="eastAsia" w:ascii="微软雅黑" w:hAnsi="微软雅黑" w:cs="仿宋"/>
                <w:color w:val="auto"/>
                <w:kern w:val="0"/>
                <w:szCs w:val="21"/>
                <w:highlight w:val="none"/>
                <w:lang w:val="en-US" w:eastAsia="zh-CN"/>
              </w:rPr>
              <w:t>2</w:t>
            </w:r>
            <w:r>
              <w:rPr>
                <w:rFonts w:hint="eastAsia" w:ascii="微软雅黑" w:hAnsi="微软雅黑" w:cs="仿宋"/>
                <w:color w:val="auto"/>
                <w:kern w:val="0"/>
                <w:szCs w:val="21"/>
                <w:highlight w:val="none"/>
              </w:rPr>
              <w:t>分；区级，加1分，同一内容计算最高等级得分。</w:t>
            </w:r>
          </w:p>
        </w:tc>
        <w:tc>
          <w:tcPr>
            <w:tcW w:w="704" w:type="dxa"/>
            <w:vAlign w:val="center"/>
          </w:tcPr>
          <w:p w14:paraId="011E2800">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453E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16" w:type="dxa"/>
            <w:vMerge w:val="restart"/>
            <w:vAlign w:val="center"/>
          </w:tcPr>
          <w:p w14:paraId="5130D87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仿宋"/>
                <w:b/>
                <w:bCs/>
                <w:color w:val="auto"/>
                <w:kern w:val="0"/>
                <w:szCs w:val="21"/>
                <w:highlight w:val="none"/>
                <w:lang w:val="en-US" w:eastAsia="zh-CN"/>
              </w:rPr>
            </w:pPr>
            <w:r>
              <w:rPr>
                <w:rFonts w:hint="eastAsia" w:ascii="微软雅黑" w:hAnsi="微软雅黑" w:cs="仿宋"/>
                <w:b/>
                <w:bCs/>
                <w:color w:val="auto"/>
                <w:kern w:val="0"/>
                <w:szCs w:val="21"/>
                <w:highlight w:val="none"/>
                <w:lang w:val="en-US" w:eastAsia="zh-CN"/>
              </w:rPr>
              <w:t>10</w:t>
            </w:r>
          </w:p>
        </w:tc>
        <w:tc>
          <w:tcPr>
            <w:tcW w:w="1200" w:type="dxa"/>
            <w:vAlign w:val="center"/>
          </w:tcPr>
          <w:p w14:paraId="0DA63D6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扣分项</w:t>
            </w:r>
          </w:p>
        </w:tc>
        <w:tc>
          <w:tcPr>
            <w:tcW w:w="6600" w:type="dxa"/>
          </w:tcPr>
          <w:p w14:paraId="46FFDCF0">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lang w:eastAsia="zh-CN"/>
              </w:rPr>
              <w:t>甲方</w:t>
            </w:r>
            <w:r>
              <w:rPr>
                <w:rFonts w:hint="eastAsia" w:ascii="微软雅黑" w:hAnsi="微软雅黑" w:cs="仿宋"/>
                <w:color w:val="auto"/>
                <w:kern w:val="0"/>
                <w:szCs w:val="21"/>
                <w:highlight w:val="none"/>
              </w:rPr>
              <w:t>受到</w:t>
            </w:r>
            <w:r>
              <w:rPr>
                <w:rFonts w:hint="eastAsia" w:ascii="微软雅黑" w:hAnsi="微软雅黑" w:cs="仿宋"/>
                <w:color w:val="auto"/>
                <w:kern w:val="0"/>
                <w:szCs w:val="21"/>
                <w:highlight w:val="none"/>
                <w:lang w:eastAsia="zh-CN"/>
              </w:rPr>
              <w:t>馆员及</w:t>
            </w:r>
            <w:r>
              <w:rPr>
                <w:rFonts w:hint="eastAsia" w:ascii="微软雅黑" w:hAnsi="微软雅黑" w:cs="仿宋"/>
                <w:color w:val="auto"/>
                <w:kern w:val="0"/>
                <w:szCs w:val="21"/>
                <w:highlight w:val="none"/>
              </w:rPr>
              <w:t>客户</w:t>
            </w:r>
            <w:r>
              <w:rPr>
                <w:rFonts w:hint="eastAsia" w:ascii="微软雅黑" w:hAnsi="微软雅黑" w:cs="仿宋"/>
                <w:color w:val="auto"/>
                <w:kern w:val="0"/>
                <w:szCs w:val="21"/>
                <w:highlight w:val="none"/>
                <w:lang w:eastAsia="zh-CN"/>
              </w:rPr>
              <w:t>相关</w:t>
            </w:r>
            <w:r>
              <w:rPr>
                <w:rFonts w:hint="eastAsia" w:ascii="微软雅黑" w:hAnsi="微软雅黑" w:cs="仿宋"/>
                <w:color w:val="auto"/>
                <w:kern w:val="0"/>
                <w:szCs w:val="21"/>
                <w:highlight w:val="none"/>
              </w:rPr>
              <w:t>投诉</w:t>
            </w:r>
            <w:r>
              <w:rPr>
                <w:rFonts w:hint="eastAsia" w:ascii="微软雅黑" w:hAnsi="微软雅黑" w:cs="仿宋"/>
                <w:color w:val="auto"/>
                <w:kern w:val="0"/>
                <w:szCs w:val="21"/>
                <w:highlight w:val="none"/>
                <w:lang w:eastAsia="zh-CN"/>
              </w:rPr>
              <w:t>的</w:t>
            </w:r>
            <w:r>
              <w:rPr>
                <w:rFonts w:hint="eastAsia" w:ascii="微软雅黑" w:hAnsi="微软雅黑" w:cs="仿宋"/>
                <w:color w:val="auto"/>
                <w:kern w:val="0"/>
                <w:szCs w:val="21"/>
                <w:highlight w:val="none"/>
              </w:rPr>
              <w:t>，经查属实的，每次总分中扣</w:t>
            </w:r>
            <w:r>
              <w:rPr>
                <w:rFonts w:hint="eastAsia" w:ascii="微软雅黑" w:hAnsi="微软雅黑" w:cs="仿宋"/>
                <w:color w:val="auto"/>
                <w:kern w:val="0"/>
                <w:szCs w:val="21"/>
                <w:highlight w:val="none"/>
                <w:lang w:val="en-US" w:eastAsia="zh-CN"/>
              </w:rPr>
              <w:t>40</w:t>
            </w:r>
            <w:r>
              <w:rPr>
                <w:rFonts w:hint="eastAsia" w:ascii="微软雅黑" w:hAnsi="微软雅黑" w:cs="仿宋"/>
                <w:color w:val="auto"/>
                <w:kern w:val="0"/>
                <w:szCs w:val="21"/>
                <w:highlight w:val="none"/>
              </w:rPr>
              <w:t>分。</w:t>
            </w:r>
          </w:p>
        </w:tc>
        <w:tc>
          <w:tcPr>
            <w:tcW w:w="704" w:type="dxa"/>
            <w:vAlign w:val="center"/>
          </w:tcPr>
          <w:p w14:paraId="04760C12">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433C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916" w:type="dxa"/>
            <w:vMerge w:val="continue"/>
            <w:vAlign w:val="center"/>
          </w:tcPr>
          <w:p w14:paraId="31169FB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3D0CCB24">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扣分项</w:t>
            </w:r>
          </w:p>
        </w:tc>
        <w:tc>
          <w:tcPr>
            <w:tcW w:w="6600" w:type="dxa"/>
          </w:tcPr>
          <w:p w14:paraId="4C8C6957">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受到各类信访投诉（任意渠道），经查属实，并对采购单位造成不良社会影响的，每次总分中扣30分。</w:t>
            </w:r>
          </w:p>
        </w:tc>
        <w:tc>
          <w:tcPr>
            <w:tcW w:w="704" w:type="dxa"/>
            <w:vAlign w:val="center"/>
          </w:tcPr>
          <w:p w14:paraId="6D77C054">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color w:val="auto"/>
                <w:kern w:val="0"/>
                <w:szCs w:val="21"/>
                <w:highlight w:val="none"/>
              </w:rPr>
            </w:pPr>
          </w:p>
        </w:tc>
      </w:tr>
      <w:tr w14:paraId="7524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16" w:type="dxa"/>
            <w:vAlign w:val="center"/>
          </w:tcPr>
          <w:p w14:paraId="2EE94396">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p>
        </w:tc>
        <w:tc>
          <w:tcPr>
            <w:tcW w:w="1200" w:type="dxa"/>
            <w:vAlign w:val="center"/>
          </w:tcPr>
          <w:p w14:paraId="5D585C5A">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合计</w:t>
            </w:r>
          </w:p>
        </w:tc>
        <w:tc>
          <w:tcPr>
            <w:tcW w:w="6600" w:type="dxa"/>
          </w:tcPr>
          <w:p w14:paraId="1AB476D5">
            <w:pPr>
              <w:keepNext w:val="0"/>
              <w:keepLines w:val="0"/>
              <w:pageBreakBefore w:val="0"/>
              <w:kinsoku/>
              <w:wordWrap/>
              <w:overflowPunct/>
              <w:topLinePunct w:val="0"/>
              <w:autoSpaceDE/>
              <w:autoSpaceDN/>
              <w:bidi w:val="0"/>
              <w:adjustRightInd/>
              <w:snapToGrid/>
              <w:spacing w:line="240" w:lineRule="atLeast"/>
              <w:ind w:firstLine="0" w:firstLineChars="0"/>
              <w:textAlignment w:val="auto"/>
              <w:rPr>
                <w:rFonts w:ascii="微软雅黑" w:hAnsi="微软雅黑" w:cs="仿宋"/>
                <w:color w:val="auto"/>
                <w:kern w:val="0"/>
                <w:szCs w:val="21"/>
                <w:highlight w:val="none"/>
              </w:rPr>
            </w:pPr>
          </w:p>
        </w:tc>
        <w:tc>
          <w:tcPr>
            <w:tcW w:w="704" w:type="dxa"/>
            <w:vAlign w:val="center"/>
          </w:tcPr>
          <w:p w14:paraId="6666A2CC">
            <w:pPr>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cs="仿宋"/>
                <w:color w:val="auto"/>
                <w:kern w:val="0"/>
                <w:szCs w:val="21"/>
                <w:highlight w:val="none"/>
                <w:lang w:val="en-US"/>
              </w:rPr>
            </w:pPr>
            <w:r>
              <w:rPr>
                <w:rFonts w:hint="default" w:ascii="微软雅黑" w:hAnsi="微软雅黑" w:cs="仿宋"/>
                <w:color w:val="auto"/>
                <w:kern w:val="0"/>
                <w:szCs w:val="21"/>
                <w:highlight w:val="none"/>
                <w:lang w:val="en-US"/>
              </w:rPr>
              <w:fldChar w:fldCharType="begin"/>
            </w:r>
            <w:r>
              <w:rPr>
                <w:rFonts w:hint="default" w:ascii="微软雅黑" w:hAnsi="微软雅黑" w:cs="仿宋"/>
                <w:color w:val="auto"/>
                <w:kern w:val="0"/>
                <w:szCs w:val="21"/>
                <w:highlight w:val="none"/>
                <w:lang w:val="en-US"/>
              </w:rPr>
              <w:instrText xml:space="preserve"> = sum(D2:D12) \* MERGEFORMAT </w:instrText>
            </w:r>
            <w:r>
              <w:rPr>
                <w:rFonts w:hint="default" w:ascii="微软雅黑" w:hAnsi="微软雅黑" w:cs="仿宋"/>
                <w:color w:val="auto"/>
                <w:kern w:val="0"/>
                <w:szCs w:val="21"/>
                <w:highlight w:val="none"/>
                <w:lang w:val="en-US"/>
              </w:rPr>
              <w:fldChar w:fldCharType="separate"/>
            </w:r>
            <w:r>
              <w:rPr>
                <w:rFonts w:hint="default" w:ascii="微软雅黑" w:hAnsi="微软雅黑" w:cs="仿宋"/>
                <w:color w:val="auto"/>
                <w:kern w:val="0"/>
                <w:szCs w:val="21"/>
                <w:highlight w:val="none"/>
                <w:lang w:val="en-US"/>
              </w:rPr>
              <w:t>50</w:t>
            </w:r>
            <w:r>
              <w:rPr>
                <w:rFonts w:hint="default" w:ascii="微软雅黑" w:hAnsi="微软雅黑" w:cs="仿宋"/>
                <w:color w:val="auto"/>
                <w:kern w:val="0"/>
                <w:szCs w:val="21"/>
                <w:highlight w:val="none"/>
                <w:lang w:val="en-US"/>
              </w:rPr>
              <w:fldChar w:fldCharType="end"/>
            </w:r>
          </w:p>
        </w:tc>
      </w:tr>
    </w:tbl>
    <w:p w14:paraId="5017E911">
      <w:pPr>
        <w:ind w:firstLine="643"/>
        <w:rPr>
          <w:rFonts w:ascii="FangSong_GB2312" w:hAnsi="宋体" w:eastAsia="FangSong_GB2312" w:cs="新宋体"/>
          <w:b/>
          <w:color w:val="auto"/>
          <w:sz w:val="32"/>
          <w:szCs w:val="32"/>
          <w:highlight w:val="none"/>
        </w:rPr>
      </w:pPr>
    </w:p>
    <w:p w14:paraId="0713C50B">
      <w:pPr>
        <w:ind w:firstLine="420"/>
        <w:rPr>
          <w:rFonts w:ascii="微软雅黑" w:hAnsi="微软雅黑" w:cs="仿宋"/>
          <w:b/>
          <w:color w:val="auto"/>
          <w:szCs w:val="21"/>
          <w:highlight w:val="none"/>
        </w:rPr>
      </w:pPr>
      <w:r>
        <w:rPr>
          <w:rFonts w:hint="eastAsia" w:ascii="微软雅黑" w:hAnsi="微软雅黑" w:cs="仿宋"/>
          <w:b/>
          <w:color w:val="auto"/>
          <w:szCs w:val="21"/>
          <w:highlight w:val="none"/>
        </w:rPr>
        <w:t>附件</w:t>
      </w:r>
      <w:r>
        <w:rPr>
          <w:rFonts w:hint="eastAsia" w:ascii="微软雅黑" w:hAnsi="微软雅黑" w:cs="仿宋"/>
          <w:b/>
          <w:color w:val="auto"/>
          <w:szCs w:val="21"/>
          <w:highlight w:val="none"/>
          <w:lang w:val="en-US" w:eastAsia="zh-CN"/>
        </w:rPr>
        <w:t>2-2</w:t>
      </w:r>
      <w:r>
        <w:rPr>
          <w:rFonts w:hint="eastAsia" w:ascii="微软雅黑" w:hAnsi="微软雅黑" w:cs="仿宋"/>
          <w:b/>
          <w:color w:val="auto"/>
          <w:szCs w:val="21"/>
          <w:highlight w:val="none"/>
        </w:rPr>
        <w:t>：日常考核</w:t>
      </w:r>
    </w:p>
    <w:p w14:paraId="409F62B0">
      <w:pPr>
        <w:ind w:firstLine="420"/>
        <w:jc w:val="center"/>
        <w:outlineLvl w:val="0"/>
        <w:rPr>
          <w:rFonts w:ascii="微软雅黑" w:hAnsi="微软雅黑" w:cs="仿宋"/>
          <w:b/>
          <w:color w:val="auto"/>
          <w:szCs w:val="21"/>
          <w:highlight w:val="none"/>
        </w:rPr>
      </w:pPr>
      <w:bookmarkStart w:id="279" w:name="_Toc16250"/>
      <w:bookmarkEnd w:id="279"/>
      <w:bookmarkStart w:id="280" w:name="_Toc29313"/>
      <w:r>
        <w:rPr>
          <w:rFonts w:hint="eastAsia" w:ascii="微软雅黑" w:hAnsi="微软雅黑" w:cs="仿宋"/>
          <w:b/>
          <w:color w:val="auto"/>
          <w:szCs w:val="21"/>
          <w:highlight w:val="none"/>
        </w:rPr>
        <w:t>嘉兴市秀洲区秀洲“三馆”项目实施人员岗位基础考核细则</w:t>
      </w:r>
      <w:bookmarkEnd w:id="280"/>
    </w:p>
    <w:p w14:paraId="59219357">
      <w:pPr>
        <w:ind w:firstLine="420"/>
        <w:jc w:val="right"/>
        <w:rPr>
          <w:rFonts w:ascii="微软雅黑" w:hAnsi="微软雅黑" w:cs="仿宋"/>
          <w:b/>
          <w:color w:val="auto"/>
          <w:szCs w:val="21"/>
          <w:highlight w:val="none"/>
        </w:rPr>
      </w:pPr>
      <w:r>
        <w:rPr>
          <w:rFonts w:hint="eastAsia" w:ascii="微软雅黑" w:hAnsi="微软雅黑" w:cs="仿宋"/>
          <w:b/>
          <w:color w:val="auto"/>
          <w:szCs w:val="21"/>
          <w:highlight w:val="none"/>
        </w:rPr>
        <w:t>（分值：</w:t>
      </w:r>
      <w:r>
        <w:rPr>
          <w:rFonts w:hint="eastAsia" w:ascii="微软雅黑" w:hAnsi="微软雅黑" w:cs="仿宋"/>
          <w:b/>
          <w:color w:val="auto"/>
          <w:szCs w:val="21"/>
          <w:highlight w:val="none"/>
          <w:lang w:val="en-US" w:eastAsia="zh-CN"/>
        </w:rPr>
        <w:t>50</w:t>
      </w:r>
      <w:r>
        <w:rPr>
          <w:rFonts w:hint="eastAsia" w:ascii="微软雅黑" w:hAnsi="微软雅黑" w:cs="仿宋"/>
          <w:b/>
          <w:color w:val="auto"/>
          <w:szCs w:val="21"/>
          <w:highlight w:val="none"/>
        </w:rPr>
        <w:t>分）</w:t>
      </w:r>
    </w:p>
    <w:tbl>
      <w:tblPr>
        <w:tblStyle w:val="54"/>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725"/>
        <w:gridCol w:w="2805"/>
        <w:gridCol w:w="1032"/>
      </w:tblGrid>
      <w:tr w14:paraId="7482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644BB819">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序号</w:t>
            </w:r>
          </w:p>
        </w:tc>
        <w:tc>
          <w:tcPr>
            <w:tcW w:w="4725" w:type="dxa"/>
            <w:vAlign w:val="center"/>
          </w:tcPr>
          <w:p w14:paraId="6E7FBDEB">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标准</w:t>
            </w:r>
          </w:p>
        </w:tc>
        <w:tc>
          <w:tcPr>
            <w:tcW w:w="2805" w:type="dxa"/>
            <w:vAlign w:val="center"/>
          </w:tcPr>
          <w:p w14:paraId="0B5F4A6D">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扣分标准</w:t>
            </w:r>
          </w:p>
        </w:tc>
        <w:tc>
          <w:tcPr>
            <w:tcW w:w="1032" w:type="dxa"/>
            <w:vAlign w:val="center"/>
          </w:tcPr>
          <w:p w14:paraId="690AC7BC">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扣分值</w:t>
            </w:r>
          </w:p>
        </w:tc>
      </w:tr>
      <w:tr w14:paraId="044B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1AC98C39">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w:t>
            </w:r>
          </w:p>
        </w:tc>
        <w:tc>
          <w:tcPr>
            <w:tcW w:w="4725" w:type="dxa"/>
            <w:vAlign w:val="center"/>
          </w:tcPr>
          <w:p w14:paraId="675E6BD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台帐建立健全，建立人员出勤表、交接记录表、巡查表</w:t>
            </w:r>
            <w:r>
              <w:rPr>
                <w:rFonts w:hint="eastAsia" w:ascii="微软雅黑" w:hAnsi="微软雅黑" w:cs="仿宋"/>
                <w:color w:val="auto"/>
                <w:kern w:val="0"/>
                <w:szCs w:val="21"/>
                <w:highlight w:val="none"/>
                <w:lang w:eastAsia="zh-CN"/>
              </w:rPr>
              <w:t>、</w:t>
            </w:r>
            <w:r>
              <w:rPr>
                <w:rFonts w:hint="eastAsia" w:ascii="微软雅黑" w:hAnsi="微软雅黑" w:cs="仿宋"/>
                <w:color w:val="auto"/>
                <w:kern w:val="0"/>
                <w:szCs w:val="21"/>
                <w:highlight w:val="none"/>
              </w:rPr>
              <w:t>工作日志表登记制度</w:t>
            </w:r>
            <w:r>
              <w:rPr>
                <w:rFonts w:hint="eastAsia" w:ascii="微软雅黑" w:hAnsi="微软雅黑" w:cs="仿宋"/>
                <w:color w:val="auto"/>
                <w:kern w:val="0"/>
                <w:szCs w:val="21"/>
                <w:highlight w:val="none"/>
                <w:lang w:eastAsia="zh-CN"/>
              </w:rPr>
              <w:t>和综合绩效考核</w:t>
            </w:r>
            <w:r>
              <w:rPr>
                <w:rFonts w:hint="eastAsia" w:ascii="微软雅黑" w:hAnsi="微软雅黑" w:cs="仿宋"/>
                <w:color w:val="auto"/>
                <w:kern w:val="0"/>
                <w:szCs w:val="21"/>
                <w:highlight w:val="none"/>
              </w:rPr>
              <w:t>；</w:t>
            </w:r>
          </w:p>
        </w:tc>
        <w:tc>
          <w:tcPr>
            <w:tcW w:w="2805" w:type="dxa"/>
            <w:vAlign w:val="center"/>
          </w:tcPr>
          <w:p w14:paraId="7132632D">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缺少扣0.5分</w:t>
            </w:r>
          </w:p>
        </w:tc>
        <w:tc>
          <w:tcPr>
            <w:tcW w:w="1032" w:type="dxa"/>
            <w:vAlign w:val="center"/>
          </w:tcPr>
          <w:p w14:paraId="588D2703">
            <w:pPr>
              <w:ind w:firstLine="0" w:firstLineChars="0"/>
              <w:rPr>
                <w:rFonts w:ascii="微软雅黑" w:hAnsi="微软雅黑"/>
                <w:color w:val="auto"/>
                <w:szCs w:val="21"/>
                <w:highlight w:val="none"/>
              </w:rPr>
            </w:pPr>
          </w:p>
        </w:tc>
      </w:tr>
      <w:tr w14:paraId="401E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1CF10910">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2</w:t>
            </w:r>
          </w:p>
        </w:tc>
        <w:tc>
          <w:tcPr>
            <w:tcW w:w="4725" w:type="dxa"/>
            <w:vAlign w:val="center"/>
          </w:tcPr>
          <w:p w14:paraId="1D6EF71F">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按规定着装、仪表端正、佩证上岗；</w:t>
            </w:r>
          </w:p>
        </w:tc>
        <w:tc>
          <w:tcPr>
            <w:tcW w:w="2805" w:type="dxa"/>
            <w:vAlign w:val="center"/>
          </w:tcPr>
          <w:p w14:paraId="5AF68C5F">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5EB6FD35">
            <w:pPr>
              <w:ind w:firstLine="0" w:firstLineChars="0"/>
              <w:rPr>
                <w:rFonts w:ascii="微软雅黑" w:hAnsi="微软雅黑"/>
                <w:color w:val="auto"/>
                <w:szCs w:val="21"/>
                <w:highlight w:val="none"/>
              </w:rPr>
            </w:pPr>
          </w:p>
        </w:tc>
      </w:tr>
      <w:tr w14:paraId="0AD8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2B4E39F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3</w:t>
            </w:r>
          </w:p>
        </w:tc>
        <w:tc>
          <w:tcPr>
            <w:tcW w:w="4725" w:type="dxa"/>
            <w:vAlign w:val="center"/>
          </w:tcPr>
          <w:p w14:paraId="76A2F03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按规定时间到岗，不迟到，不早退；</w:t>
            </w:r>
          </w:p>
        </w:tc>
        <w:tc>
          <w:tcPr>
            <w:tcW w:w="2805" w:type="dxa"/>
            <w:vAlign w:val="center"/>
          </w:tcPr>
          <w:p w14:paraId="6E78F6F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57585143">
            <w:pPr>
              <w:ind w:firstLine="0" w:firstLineChars="0"/>
              <w:rPr>
                <w:rFonts w:ascii="微软雅黑" w:hAnsi="微软雅黑"/>
                <w:color w:val="auto"/>
                <w:szCs w:val="21"/>
                <w:highlight w:val="none"/>
              </w:rPr>
            </w:pPr>
          </w:p>
        </w:tc>
      </w:tr>
      <w:tr w14:paraId="6AA0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2013A270">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4</w:t>
            </w:r>
          </w:p>
        </w:tc>
        <w:tc>
          <w:tcPr>
            <w:tcW w:w="4725" w:type="dxa"/>
            <w:vAlign w:val="center"/>
          </w:tcPr>
          <w:p w14:paraId="1BA6266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当班未请假擅自离开岗位；</w:t>
            </w:r>
          </w:p>
        </w:tc>
        <w:tc>
          <w:tcPr>
            <w:tcW w:w="2805" w:type="dxa"/>
            <w:vAlign w:val="center"/>
          </w:tcPr>
          <w:p w14:paraId="7D4B4DA4">
            <w:pPr>
              <w:ind w:firstLine="0" w:firstLineChars="0"/>
              <w:rPr>
                <w:rFonts w:hint="default" w:ascii="微软雅黑" w:hAnsi="微软雅黑" w:eastAsia="微软雅黑" w:cs="仿宋"/>
                <w:color w:val="auto"/>
                <w:kern w:val="0"/>
                <w:szCs w:val="21"/>
                <w:highlight w:val="none"/>
                <w:lang w:val="en-US"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747C5814">
            <w:pPr>
              <w:ind w:firstLine="0" w:firstLineChars="0"/>
              <w:rPr>
                <w:rFonts w:ascii="微软雅黑" w:hAnsi="微软雅黑"/>
                <w:color w:val="auto"/>
                <w:szCs w:val="21"/>
                <w:highlight w:val="none"/>
              </w:rPr>
            </w:pPr>
          </w:p>
        </w:tc>
      </w:tr>
      <w:tr w14:paraId="5EAF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17A08C2">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5</w:t>
            </w:r>
          </w:p>
        </w:tc>
        <w:tc>
          <w:tcPr>
            <w:tcW w:w="4725" w:type="dxa"/>
            <w:vAlign w:val="center"/>
          </w:tcPr>
          <w:p w14:paraId="7AD9BEF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当班时打瞌睡、睡觉、吃零食、聊天、玩手机等，进行与工作无关的事情；</w:t>
            </w:r>
          </w:p>
        </w:tc>
        <w:tc>
          <w:tcPr>
            <w:tcW w:w="2805" w:type="dxa"/>
            <w:vAlign w:val="center"/>
          </w:tcPr>
          <w:p w14:paraId="50E6080D">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2C37CB53">
            <w:pPr>
              <w:ind w:firstLine="0" w:firstLineChars="0"/>
              <w:rPr>
                <w:rFonts w:ascii="微软雅黑" w:hAnsi="微软雅黑"/>
                <w:color w:val="auto"/>
                <w:szCs w:val="21"/>
                <w:highlight w:val="none"/>
              </w:rPr>
            </w:pPr>
          </w:p>
        </w:tc>
      </w:tr>
      <w:tr w14:paraId="132B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27B0110">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6</w:t>
            </w:r>
          </w:p>
        </w:tc>
        <w:tc>
          <w:tcPr>
            <w:tcW w:w="4725" w:type="dxa"/>
            <w:vAlign w:val="center"/>
          </w:tcPr>
          <w:p w14:paraId="68A42F06">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当班喝酒或酒后失态，造成不良影响；</w:t>
            </w:r>
          </w:p>
        </w:tc>
        <w:tc>
          <w:tcPr>
            <w:tcW w:w="2805" w:type="dxa"/>
            <w:vAlign w:val="center"/>
          </w:tcPr>
          <w:p w14:paraId="0E409486">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06A3EE43">
            <w:pPr>
              <w:ind w:firstLine="0" w:firstLineChars="0"/>
              <w:rPr>
                <w:rFonts w:ascii="微软雅黑" w:hAnsi="微软雅黑"/>
                <w:color w:val="auto"/>
                <w:szCs w:val="21"/>
                <w:highlight w:val="none"/>
              </w:rPr>
            </w:pPr>
          </w:p>
        </w:tc>
      </w:tr>
      <w:tr w14:paraId="13E3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1505CE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7</w:t>
            </w:r>
          </w:p>
        </w:tc>
        <w:tc>
          <w:tcPr>
            <w:tcW w:w="4725" w:type="dxa"/>
            <w:vAlign w:val="center"/>
          </w:tcPr>
          <w:p w14:paraId="1B004424">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项目实施人员未能正确并熟练使用设施设备或发现其他不能胜任工作，或指出错误屡教不改的；</w:t>
            </w:r>
          </w:p>
        </w:tc>
        <w:tc>
          <w:tcPr>
            <w:tcW w:w="2805" w:type="dxa"/>
            <w:vAlign w:val="center"/>
          </w:tcPr>
          <w:p w14:paraId="28AAA3FD">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发现一次，扣2分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10分</w:t>
            </w:r>
          </w:p>
        </w:tc>
        <w:tc>
          <w:tcPr>
            <w:tcW w:w="1032" w:type="dxa"/>
            <w:vAlign w:val="center"/>
          </w:tcPr>
          <w:p w14:paraId="74F70CA6">
            <w:pPr>
              <w:ind w:firstLine="0" w:firstLineChars="0"/>
              <w:rPr>
                <w:rFonts w:ascii="微软雅黑" w:hAnsi="微软雅黑"/>
                <w:color w:val="auto"/>
                <w:szCs w:val="21"/>
                <w:highlight w:val="none"/>
              </w:rPr>
            </w:pPr>
          </w:p>
        </w:tc>
      </w:tr>
      <w:tr w14:paraId="77BA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1319F2CF">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8</w:t>
            </w:r>
          </w:p>
        </w:tc>
        <w:tc>
          <w:tcPr>
            <w:tcW w:w="4725" w:type="dxa"/>
            <w:vAlign w:val="center"/>
          </w:tcPr>
          <w:p w14:paraId="3046AB7C">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故意损坏物品、随意浪费水电等不爱惜工作场地设施、资源等情况；</w:t>
            </w:r>
          </w:p>
        </w:tc>
        <w:tc>
          <w:tcPr>
            <w:tcW w:w="2805" w:type="dxa"/>
            <w:vAlign w:val="center"/>
          </w:tcPr>
          <w:p w14:paraId="313E0A77">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发现一次，扣1分</w:t>
            </w:r>
          </w:p>
        </w:tc>
        <w:tc>
          <w:tcPr>
            <w:tcW w:w="1032" w:type="dxa"/>
            <w:vAlign w:val="center"/>
          </w:tcPr>
          <w:p w14:paraId="016FA0D0">
            <w:pPr>
              <w:ind w:firstLine="0" w:firstLineChars="0"/>
              <w:rPr>
                <w:rFonts w:ascii="微软雅黑" w:hAnsi="微软雅黑"/>
                <w:color w:val="auto"/>
                <w:szCs w:val="21"/>
                <w:highlight w:val="none"/>
              </w:rPr>
            </w:pPr>
          </w:p>
        </w:tc>
      </w:tr>
      <w:tr w14:paraId="4872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9" w:type="dxa"/>
            <w:vAlign w:val="center"/>
          </w:tcPr>
          <w:p w14:paraId="277A1FE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9</w:t>
            </w:r>
          </w:p>
        </w:tc>
        <w:tc>
          <w:tcPr>
            <w:tcW w:w="4725" w:type="dxa"/>
            <w:vAlign w:val="center"/>
          </w:tcPr>
          <w:p w14:paraId="37764775">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当班工作场地内务杂乱、不整洁；工作器材或其它物品如水杯等未按指定地点存放；</w:t>
            </w:r>
          </w:p>
        </w:tc>
        <w:tc>
          <w:tcPr>
            <w:tcW w:w="2805" w:type="dxa"/>
            <w:vAlign w:val="center"/>
          </w:tcPr>
          <w:p w14:paraId="5ED96345">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发现一次，扣0.5分</w:t>
            </w:r>
          </w:p>
        </w:tc>
        <w:tc>
          <w:tcPr>
            <w:tcW w:w="1032" w:type="dxa"/>
            <w:vAlign w:val="center"/>
          </w:tcPr>
          <w:p w14:paraId="4944E40A">
            <w:pPr>
              <w:ind w:firstLine="0" w:firstLineChars="0"/>
              <w:rPr>
                <w:rFonts w:ascii="微软雅黑" w:hAnsi="微软雅黑"/>
                <w:color w:val="auto"/>
                <w:szCs w:val="21"/>
                <w:highlight w:val="none"/>
              </w:rPr>
            </w:pPr>
          </w:p>
        </w:tc>
      </w:tr>
      <w:tr w14:paraId="331F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3D2811AB">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10</w:t>
            </w:r>
          </w:p>
        </w:tc>
        <w:tc>
          <w:tcPr>
            <w:tcW w:w="4725" w:type="dxa"/>
            <w:vAlign w:val="center"/>
          </w:tcPr>
          <w:p w14:paraId="6937A2CB">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捡拾物品不报告，不上交；</w:t>
            </w:r>
          </w:p>
        </w:tc>
        <w:tc>
          <w:tcPr>
            <w:tcW w:w="2805" w:type="dxa"/>
            <w:vAlign w:val="center"/>
          </w:tcPr>
          <w:p w14:paraId="22BF1C49">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每次扣1分</w:t>
            </w:r>
          </w:p>
        </w:tc>
        <w:tc>
          <w:tcPr>
            <w:tcW w:w="1032" w:type="dxa"/>
            <w:vAlign w:val="center"/>
          </w:tcPr>
          <w:p w14:paraId="1166490B">
            <w:pPr>
              <w:ind w:firstLine="0" w:firstLineChars="0"/>
              <w:rPr>
                <w:rFonts w:ascii="微软雅黑" w:hAnsi="微软雅黑"/>
                <w:color w:val="auto"/>
                <w:szCs w:val="21"/>
                <w:highlight w:val="none"/>
              </w:rPr>
            </w:pPr>
          </w:p>
        </w:tc>
      </w:tr>
      <w:tr w14:paraId="5D31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039A3102">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11</w:t>
            </w:r>
          </w:p>
        </w:tc>
        <w:tc>
          <w:tcPr>
            <w:tcW w:w="4725" w:type="dxa"/>
            <w:vAlign w:val="center"/>
          </w:tcPr>
          <w:p w14:paraId="0544236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对来访者态度粗暴，未能使用礼貌语言；</w:t>
            </w:r>
          </w:p>
        </w:tc>
        <w:tc>
          <w:tcPr>
            <w:tcW w:w="2805" w:type="dxa"/>
            <w:vAlign w:val="center"/>
          </w:tcPr>
          <w:p w14:paraId="2340BF49">
            <w:pPr>
              <w:ind w:firstLine="0" w:firstLineChars="0"/>
              <w:rPr>
                <w:rFonts w:hint="eastAsia" w:ascii="微软雅黑" w:hAnsi="微软雅黑" w:eastAsia="微软雅黑" w:cs="仿宋"/>
                <w:color w:val="auto"/>
                <w:kern w:val="0"/>
                <w:szCs w:val="21"/>
                <w:highlight w:val="none"/>
                <w:lang w:eastAsia="zh-CN"/>
              </w:rPr>
            </w:pPr>
            <w:r>
              <w:rPr>
                <w:rFonts w:hint="eastAsia" w:ascii="微软雅黑" w:hAnsi="微软雅黑" w:cs="仿宋"/>
                <w:color w:val="auto"/>
                <w:kern w:val="0"/>
                <w:szCs w:val="21"/>
                <w:highlight w:val="none"/>
              </w:rPr>
              <w:t>每次扣1分</w:t>
            </w:r>
            <w:r>
              <w:rPr>
                <w:rFonts w:hint="eastAsia" w:ascii="微软雅黑" w:hAnsi="微软雅黑" w:cs="仿宋"/>
                <w:color w:val="auto"/>
                <w:kern w:val="0"/>
                <w:szCs w:val="21"/>
                <w:highlight w:val="none"/>
                <w:lang w:eastAsia="zh-CN"/>
              </w:rPr>
              <w:t>；甲方查岗发现，一次扣</w:t>
            </w:r>
            <w:r>
              <w:rPr>
                <w:rFonts w:hint="eastAsia" w:ascii="微软雅黑" w:hAnsi="微软雅黑" w:cs="仿宋"/>
                <w:color w:val="auto"/>
                <w:kern w:val="0"/>
                <w:szCs w:val="21"/>
                <w:highlight w:val="none"/>
                <w:lang w:val="en-US" w:eastAsia="zh-CN"/>
              </w:rPr>
              <w:t>5分</w:t>
            </w:r>
          </w:p>
        </w:tc>
        <w:tc>
          <w:tcPr>
            <w:tcW w:w="1032" w:type="dxa"/>
            <w:vAlign w:val="center"/>
          </w:tcPr>
          <w:p w14:paraId="0DFF16F5">
            <w:pPr>
              <w:ind w:firstLine="0" w:firstLineChars="0"/>
              <w:rPr>
                <w:rFonts w:ascii="微软雅黑" w:hAnsi="微软雅黑"/>
                <w:color w:val="auto"/>
                <w:szCs w:val="21"/>
                <w:highlight w:val="none"/>
              </w:rPr>
            </w:pPr>
          </w:p>
        </w:tc>
      </w:tr>
      <w:tr w14:paraId="3BC1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758062EE">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12</w:t>
            </w:r>
          </w:p>
        </w:tc>
        <w:tc>
          <w:tcPr>
            <w:tcW w:w="4725" w:type="dxa"/>
            <w:vAlign w:val="center"/>
          </w:tcPr>
          <w:p w14:paraId="60DB516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发现安全隐患不及时处理和报告；</w:t>
            </w:r>
          </w:p>
        </w:tc>
        <w:tc>
          <w:tcPr>
            <w:tcW w:w="2805" w:type="dxa"/>
            <w:vAlign w:val="center"/>
          </w:tcPr>
          <w:p w14:paraId="69D5D966">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发现一次，扣2分</w:t>
            </w:r>
          </w:p>
        </w:tc>
        <w:tc>
          <w:tcPr>
            <w:tcW w:w="1032" w:type="dxa"/>
            <w:vAlign w:val="center"/>
          </w:tcPr>
          <w:p w14:paraId="6CD4D093">
            <w:pPr>
              <w:ind w:firstLine="0" w:firstLineChars="0"/>
              <w:rPr>
                <w:rFonts w:ascii="微软雅黑" w:hAnsi="微软雅黑"/>
                <w:color w:val="auto"/>
                <w:szCs w:val="21"/>
                <w:highlight w:val="none"/>
              </w:rPr>
            </w:pPr>
          </w:p>
        </w:tc>
      </w:tr>
      <w:tr w14:paraId="4CD4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89" w:type="dxa"/>
            <w:vAlign w:val="center"/>
          </w:tcPr>
          <w:p w14:paraId="0C409C8E">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13</w:t>
            </w:r>
          </w:p>
        </w:tc>
        <w:tc>
          <w:tcPr>
            <w:tcW w:w="4725" w:type="dxa"/>
            <w:vAlign w:val="center"/>
          </w:tcPr>
          <w:p w14:paraId="404BFC63">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当班玩忽职守，疏于防范，致使发生安全事故；</w:t>
            </w:r>
          </w:p>
        </w:tc>
        <w:tc>
          <w:tcPr>
            <w:tcW w:w="2805" w:type="dxa"/>
            <w:vAlign w:val="center"/>
          </w:tcPr>
          <w:p w14:paraId="1366DC48">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发现一次，扣5分</w:t>
            </w:r>
          </w:p>
        </w:tc>
        <w:tc>
          <w:tcPr>
            <w:tcW w:w="1032" w:type="dxa"/>
            <w:vAlign w:val="center"/>
          </w:tcPr>
          <w:p w14:paraId="4B65D2ED">
            <w:pPr>
              <w:ind w:firstLine="0" w:firstLineChars="0"/>
              <w:rPr>
                <w:rFonts w:ascii="微软雅黑" w:hAnsi="微软雅黑"/>
                <w:color w:val="auto"/>
                <w:szCs w:val="21"/>
                <w:highlight w:val="none"/>
              </w:rPr>
            </w:pPr>
          </w:p>
        </w:tc>
      </w:tr>
      <w:tr w14:paraId="5516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9" w:type="dxa"/>
            <w:vAlign w:val="center"/>
          </w:tcPr>
          <w:p w14:paraId="4E2C5244">
            <w:pPr>
              <w:widowControl/>
              <w:ind w:firstLine="0" w:firstLineChars="0"/>
              <w:jc w:val="center"/>
              <w:rPr>
                <w:rFonts w:ascii="微软雅黑" w:hAnsi="微软雅黑" w:cs="仿宋"/>
                <w:b/>
                <w:bCs/>
                <w:color w:val="auto"/>
                <w:kern w:val="0"/>
                <w:szCs w:val="21"/>
                <w:highlight w:val="none"/>
              </w:rPr>
            </w:pPr>
            <w:r>
              <w:rPr>
                <w:rFonts w:hint="eastAsia" w:ascii="微软雅黑" w:hAnsi="微软雅黑" w:cs="仿宋"/>
                <w:b/>
                <w:bCs/>
                <w:color w:val="auto"/>
                <w:kern w:val="0"/>
                <w:szCs w:val="21"/>
                <w:highlight w:val="none"/>
              </w:rPr>
              <w:t>14</w:t>
            </w:r>
          </w:p>
        </w:tc>
        <w:tc>
          <w:tcPr>
            <w:tcW w:w="4725" w:type="dxa"/>
            <w:vAlign w:val="center"/>
          </w:tcPr>
          <w:p w14:paraId="073E837E">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其他违反单位纪律、有损形象的行为。</w:t>
            </w:r>
          </w:p>
        </w:tc>
        <w:tc>
          <w:tcPr>
            <w:tcW w:w="2805" w:type="dxa"/>
            <w:vAlign w:val="center"/>
          </w:tcPr>
          <w:p w14:paraId="274D7426">
            <w:pPr>
              <w:ind w:firstLine="0" w:firstLineChars="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根据情况酌情扣分</w:t>
            </w:r>
          </w:p>
        </w:tc>
        <w:tc>
          <w:tcPr>
            <w:tcW w:w="1032" w:type="dxa"/>
            <w:vAlign w:val="center"/>
          </w:tcPr>
          <w:p w14:paraId="1A3B8C37">
            <w:pPr>
              <w:ind w:firstLine="0" w:firstLineChars="0"/>
              <w:rPr>
                <w:rFonts w:ascii="微软雅黑" w:hAnsi="微软雅黑"/>
                <w:color w:val="auto"/>
                <w:szCs w:val="21"/>
                <w:highlight w:val="none"/>
              </w:rPr>
            </w:pPr>
          </w:p>
        </w:tc>
      </w:tr>
    </w:tbl>
    <w:p w14:paraId="4B6CC8D7">
      <w:pPr>
        <w:ind w:firstLine="420"/>
        <w:rPr>
          <w:rFonts w:ascii="微软雅黑" w:hAnsi="微软雅黑" w:cs="仿宋"/>
          <w:color w:val="auto"/>
          <w:kern w:val="0"/>
          <w:szCs w:val="21"/>
          <w:highlight w:val="none"/>
        </w:rPr>
      </w:pPr>
      <w:r>
        <w:rPr>
          <w:rFonts w:hint="eastAsia" w:ascii="微软雅黑" w:hAnsi="微软雅黑" w:cs="仿宋"/>
          <w:color w:val="auto"/>
          <w:kern w:val="0"/>
          <w:szCs w:val="21"/>
          <w:highlight w:val="none"/>
        </w:rPr>
        <w:t>本项目实施人员岗位基础考核以每月不定期考核，考核次数不限，分值</w:t>
      </w:r>
      <w:r>
        <w:rPr>
          <w:rFonts w:hint="eastAsia" w:ascii="微软雅黑" w:hAnsi="微软雅黑" w:cs="仿宋"/>
          <w:color w:val="auto"/>
          <w:kern w:val="0"/>
          <w:szCs w:val="21"/>
          <w:highlight w:val="none"/>
          <w:lang w:val="en-US" w:eastAsia="zh-CN"/>
        </w:rPr>
        <w:t>50</w:t>
      </w:r>
      <w:r>
        <w:rPr>
          <w:rFonts w:hint="eastAsia" w:ascii="微软雅黑" w:hAnsi="微软雅黑" w:cs="仿宋"/>
          <w:color w:val="auto"/>
          <w:kern w:val="0"/>
          <w:szCs w:val="21"/>
          <w:highlight w:val="none"/>
        </w:rPr>
        <w:t>分扣完为止，每次考核均为实扣分，即为计入该月考核分值，月平均考核分值计入总考核分值。</w:t>
      </w:r>
    </w:p>
    <w:sectPr>
      <w:pgSz w:w="11906" w:h="16838"/>
      <w:pgMar w:top="1474" w:right="1797" w:bottom="1247"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FDD11D-819D-45AF-AEEE-A85ABE7747AB}"/>
  </w:font>
  <w:font w:name="Arial">
    <w:panose1 w:val="020B0604020202020204"/>
    <w:charset w:val="01"/>
    <w:family w:val="swiss"/>
    <w:pitch w:val="default"/>
    <w:sig w:usb0="E0002EFF" w:usb1="C000785B" w:usb2="00000009" w:usb3="00000000" w:csb0="400001FF" w:csb1="FFFF0000"/>
    <w:embedRegular r:id="rId2" w:fontKey="{AF4E8FE6-7054-422C-BA48-EFEEBAB0D6B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5E2A174-4392-45AD-960A-5B6FA28704E7}"/>
  </w:font>
  <w:font w:name="微软雅黑">
    <w:panose1 w:val="020B0503020204020204"/>
    <w:charset w:val="86"/>
    <w:family w:val="swiss"/>
    <w:pitch w:val="default"/>
    <w:sig w:usb0="80000287" w:usb1="2ACF3C50" w:usb2="00000016" w:usb3="00000000" w:csb0="0004001F" w:csb1="00000000"/>
    <w:embedRegular r:id="rId4" w:fontKey="{3E33642A-0262-4AAC-934A-407EC6FB7934}"/>
  </w:font>
  <w:font w:name="仿宋_GB2312">
    <w:panose1 w:val="02010609030101010101"/>
    <w:charset w:val="86"/>
    <w:family w:val="modern"/>
    <w:pitch w:val="default"/>
    <w:sig w:usb0="00000001" w:usb1="080E0000" w:usb2="00000000" w:usb3="00000000" w:csb0="00040000" w:csb1="00000000"/>
    <w:embedRegular r:id="rId5" w:fontKey="{67D901B1-240F-4679-BC5A-9211D6F67A18}"/>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9EF6BA10-DE78-4A59-B53E-A63C1F54A218}"/>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embedRegular r:id="rId7" w:fontKey="{F946EDFE-8704-4303-8FDE-D873520995A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方正粗黑宋简体">
    <w:panose1 w:val="02000000000000000000"/>
    <w:charset w:val="86"/>
    <w:family w:val="auto"/>
    <w:pitch w:val="default"/>
    <w:sig w:usb0="A00002BF" w:usb1="184F6CFA" w:usb2="00000012" w:usb3="00000000" w:csb0="00040001" w:csb1="00000000"/>
    <w:embedRegular r:id="rId8" w:fontKey="{1D54BF3C-32FC-4F07-A710-F2A2E15A1A2A}"/>
  </w:font>
  <w:font w:name="汉仪大黑简">
    <w:altName w:val="黑体"/>
    <w:panose1 w:val="00000000000000000000"/>
    <w:charset w:val="86"/>
    <w:family w:val="auto"/>
    <w:pitch w:val="default"/>
    <w:sig w:usb0="00000000" w:usb1="00000000" w:usb2="00000002" w:usb3="00000000" w:csb0="00040000" w:csb1="00000000"/>
    <w:embedRegular r:id="rId9" w:fontKey="{E822A47E-B1CE-47A9-A61D-5747064989D0}"/>
  </w:font>
  <w:font w:name="Segoe UI Symbol">
    <w:panose1 w:val="020B0502040204020203"/>
    <w:charset w:val="00"/>
    <w:family w:val="swiss"/>
    <w:pitch w:val="default"/>
    <w:sig w:usb0="800001E3" w:usb1="1200FFEF" w:usb2="00040000" w:usb3="04000000" w:csb0="00000001" w:csb1="40000000"/>
    <w:embedRegular r:id="rId10" w:fontKey="{4A7CED70-135B-4824-A1B9-FF6CB0E86783}"/>
  </w:font>
  <w:font w:name="sans-serif">
    <w:altName w:val="微软雅黑"/>
    <w:panose1 w:val="00000000000000000000"/>
    <w:charset w:val="00"/>
    <w:family w:val="auto"/>
    <w:pitch w:val="default"/>
    <w:sig w:usb0="00000000" w:usb1="00000000" w:usb2="00000000" w:usb3="00000000" w:csb0="00040001" w:csb1="00000000"/>
    <w:embedRegular r:id="rId11" w:fontKey="{392CA5D5-69D2-42E3-A1D5-C18162A5E068}"/>
  </w:font>
  <w:font w:name="FangSong_GB2312">
    <w:altName w:val="仿宋_GB2312"/>
    <w:panose1 w:val="02010609060101010101"/>
    <w:charset w:val="86"/>
    <w:family w:val="modern"/>
    <w:pitch w:val="default"/>
    <w:sig w:usb0="00000000" w:usb1="00000000" w:usb2="00000016" w:usb3="00000000" w:csb0="00040001" w:csb1="00000000"/>
    <w:embedRegular r:id="rId12" w:fontKey="{8C2E687F-E957-4695-B436-CA91DDC30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CBD87">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C57C0">
    <w:pPr>
      <w:pStyle w:val="35"/>
      <w:framePr w:wrap="around" w:vAnchor="text" w:hAnchor="margin" w:xAlign="center" w:y="1"/>
      <w:ind w:right="360" w:firstLine="360"/>
      <w:rPr>
        <w:rStyle w:val="60"/>
      </w:rPr>
    </w:pPr>
  </w:p>
  <w:p w14:paraId="4FCD3D9B">
    <w:pPr>
      <w:pStyle w:val="35"/>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3225A49E">
                          <w:pPr>
                            <w:pStyle w:val="35"/>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3225A49E">
                    <w:pPr>
                      <w:pStyle w:val="35"/>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9495">
    <w:pPr>
      <w:pStyle w:val="35"/>
      <w:framePr w:wrap="around" w:vAnchor="text" w:hAnchor="margin" w:xAlign="center" w:y="1"/>
      <w:ind w:right="360" w:firstLine="360"/>
      <w:rPr>
        <w:rStyle w:val="60"/>
      </w:rPr>
    </w:pPr>
  </w:p>
  <w:p w14:paraId="3B99162D">
    <w:pPr>
      <w:pStyle w:val="35"/>
      <w:ind w:firstLine="7920" w:firstLineChars="440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5144135" cy="131445"/>
              <wp:effectExtent l="0" t="0" r="0" b="0"/>
              <wp:wrapNone/>
              <wp:docPr id="13"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6F2A7834">
                          <w:pPr>
                            <w:pStyle w:val="35"/>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5648;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NFw8fRAAAABAEAAA8AAAAAAAAAAQAgAAAAIgAAAGRy&#10;cy9kb3ducmV2LnhtbFBLAQIUABQAAAAIAIdO4kBQVrCI0wEAAKoDAAAOAAAAAAAAAAEAIAAAACAB&#10;AABkcnMvZTJvRG9jLnhtbFBLBQYAAAAABgAGAFkBAABlBQAAAAA=&#10;">
              <v:fill on="f" focussize="0,0"/>
              <v:stroke on="f"/>
              <v:imagedata o:title=""/>
              <o:lock v:ext="edit" aspectratio="f"/>
              <v:textbox inset="0mm,0mm,0mm,0mm" style="mso-fit-shape-to-text:t;">
                <w:txbxContent>
                  <w:p w14:paraId="6F2A7834">
                    <w:pPr>
                      <w:pStyle w:val="35"/>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8EAE">
    <w:pPr>
      <w:pStyle w:val="35"/>
      <w:ind w:firstLine="360"/>
      <w:jc w:val="right"/>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E0EDE">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1CE0EDE">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A40">
    <w:pPr>
      <w:pStyle w:val="35"/>
      <w:framePr w:wrap="around" w:vAnchor="text" w:hAnchor="margin" w:xAlign="center" w:y="1"/>
      <w:ind w:right="360" w:firstLine="360"/>
      <w:rPr>
        <w:rStyle w:val="60"/>
      </w:rPr>
    </w:pPr>
  </w:p>
  <w:p w14:paraId="7FD6CF90">
    <w:pPr>
      <w:pStyle w:val="35"/>
      <w:ind w:firstLine="7920" w:firstLineChars="4400"/>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5144135" cy="131445"/>
              <wp:effectExtent l="0" t="0" r="0" b="0"/>
              <wp:wrapNone/>
              <wp:docPr id="11"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0971C3D5">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3600;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bXNpE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QkWJZQZf/Pjzx/HXn+Pv&#10;72ReLrJEvYcaKx881sbhgxuwPEmX4oDBxHyQwaQvciKYR4EPZ4HFEAnH4KK6vq6uFpRwzFVX6C0S&#10;THG57QPEO+EMSUZDAz5g1pXtP0IcS08lqZl1t0rr/IjaPgkg5hgReQum25eBkxWHzTCx2Lj2gOR6&#10;3ISGWlx8SvS9RaHT0pyMcDI2J2Png9p2OGiVpwT/fhdxpDxp6jDCIsPk4BNmrtO6pR157Oeqyy+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m1zaRNQBAACqAwAADgAAAAAAAAABACAAAAAg&#10;AQAAZHJzL2Uyb0RvYy54bWxQSwUGAAAAAAYABgBZAQAAZgUAAAAA&#10;">
              <v:fill on="f" focussize="0,0"/>
              <v:stroke on="f"/>
              <v:imagedata o:title=""/>
              <o:lock v:ext="edit" aspectratio="f"/>
              <v:textbox inset="0mm,0mm,0mm,0mm" style="mso-fit-shape-to-text:t;">
                <w:txbxContent>
                  <w:p w14:paraId="0971C3D5">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3FA1">
    <w:pPr>
      <w:pStyle w:val="35"/>
      <w:ind w:firstLine="360"/>
      <w:jc w:val="right"/>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67331">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D967331">
                    <w:pPr>
                      <w:pStyle w:val="35"/>
                    </w:pPr>
                    <w:r>
                      <w:fldChar w:fldCharType="begin"/>
                    </w:r>
                    <w:r>
                      <w:instrText xml:space="preserve"> PAGE  \* MERGEFORMAT </w:instrText>
                    </w:r>
                    <w:r>
                      <w:fldChar w:fldCharType="separate"/>
                    </w:r>
                    <w:r>
                      <w:t>1</w:t>
                    </w:r>
                    <w:r>
                      <w:fldChar w:fldCharType="end"/>
                    </w:r>
                  </w:p>
                </w:txbxContent>
              </v:textbox>
            </v:shape>
          </w:pict>
        </mc:Fallback>
      </mc:AlternateContent>
    </w:r>
    <w:sdt>
      <w:sdtPr>
        <w:id w:val="147482032"/>
        <w:showingPlcHdr/>
      </w:sdtPr>
      <w:sdtContent>
        <w:r>
          <w:rPr>
            <w:rFonts w:hint="eastAsia"/>
            <w:lang w:eastAsia="zh-CN"/>
          </w:rPr>
          <w:t xml:space="preserve">     </w:t>
        </w:r>
      </w:sdtContent>
    </w:sdt>
  </w:p>
  <w:p w14:paraId="0FEE0F4A">
    <w:pPr>
      <w:pStyle w:val="35"/>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6F55F">
    <w:pPr>
      <w:pStyle w:val="35"/>
      <w:framePr w:wrap="around" w:vAnchor="text" w:hAnchor="margin" w:xAlign="center" w:y="1"/>
      <w:ind w:right="360" w:firstLine="360"/>
      <w:rPr>
        <w:rStyle w:val="60"/>
      </w:rPr>
    </w:pPr>
  </w:p>
  <w:p w14:paraId="383D09A0">
    <w:pPr>
      <w:pStyle w:val="35"/>
      <w:ind w:firstLine="7920" w:firstLineChars="4400"/>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51B5F210">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77696;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51B5F210">
                    <w:pPr>
                      <w:pStyle w:val="35"/>
                      <w:ind w:firstLine="7920" w:firstLineChars="4400"/>
                    </w:pPr>
                    <w:r>
                      <w:fldChar w:fldCharType="begin"/>
                    </w:r>
                    <w:r>
                      <w:instrText xml:space="preserve"> PAGE   \* MERGEFORMAT </w:instrText>
                    </w:r>
                    <w:r>
                      <w:fldChar w:fldCharType="separate"/>
                    </w:r>
                    <w:r>
                      <w:rPr>
                        <w:lang w:val="zh-CN"/>
                      </w:rPr>
                      <w:t>95</w:t>
                    </w:r>
                    <w:r>
                      <w:rPr>
                        <w:lang w:val="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73CD7">
    <w:pPr>
      <w:pStyle w:val="35"/>
      <w:ind w:firstLine="360"/>
      <w:jc w:val="right"/>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E873A">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22E873A">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91F8">
    <w:pPr>
      <w:pStyle w:val="35"/>
      <w:ind w:firstLine="360"/>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6212"/>
                          </w:sdtPr>
                          <w:sdtContent>
                            <w:p w14:paraId="5D10F0D9">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09DF7973">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56212"/>
                    </w:sdtPr>
                    <w:sdtContent>
                      <w:p w14:paraId="5D10F0D9">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09DF7973">
                    <w:pPr>
                      <w:pStyle w:val="2"/>
                    </w:pPr>
                  </w:p>
                </w:txbxContent>
              </v:textbox>
            </v:shape>
          </w:pict>
        </mc:Fallback>
      </mc:AlternateContent>
    </w:r>
  </w:p>
  <w:p w14:paraId="5CE168E4">
    <w:pPr>
      <w:ind w:firstLine="420"/>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4496D">
    <w:pPr>
      <w:pStyle w:val="35"/>
      <w:ind w:left="360" w:firstLine="360"/>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3858E">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423858E">
                    <w:pPr>
                      <w:pStyle w:val="3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3C39A7B6">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3C39A7B6">
                    <w:pPr>
                      <w:pStyle w:val="35"/>
                      <w:ind w:firstLine="360"/>
                      <w:jc w:val="center"/>
                    </w:pPr>
                  </w:p>
                </w:txbxContent>
              </v:textbox>
            </v:shape>
          </w:pict>
        </mc:Fallback>
      </mc:AlternateContent>
    </w:r>
  </w:p>
  <w:p w14:paraId="2BBE4B12">
    <w:pPr>
      <w:ind w:firstLine="420"/>
      <w:rPr>
        <w:rFonts w:ascii="仿宋_GB2312" w:eastAsia="仿宋_GB23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71E57">
    <w:pPr>
      <w:pStyle w:val="35"/>
      <w:ind w:firstLine="360"/>
      <w:jc w:val="right"/>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168"/>
                          </w:sdtPr>
                          <w:sdtContent>
                            <w:p w14:paraId="5E562091">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01DF9B5">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71168"/>
                    </w:sdtPr>
                    <w:sdtContent>
                      <w:p w14:paraId="5E562091">
                        <w:pPr>
                          <w:pStyle w:val="35"/>
                          <w:ind w:firstLine="360"/>
                          <w:jc w:val="right"/>
                        </w:pPr>
                        <w:r>
                          <w:fldChar w:fldCharType="begin"/>
                        </w:r>
                        <w:r>
                          <w:instrText xml:space="preserve">PAGE   \* MERGEFORMAT</w:instrText>
                        </w:r>
                        <w:r>
                          <w:fldChar w:fldCharType="separate"/>
                        </w:r>
                        <w:r>
                          <w:rPr>
                            <w:lang w:val="zh-CN"/>
                          </w:rPr>
                          <w:t>2</w:t>
                        </w:r>
                        <w:r>
                          <w:fldChar w:fldCharType="end"/>
                        </w:r>
                      </w:p>
                    </w:sdtContent>
                  </w:sdt>
                  <w:p w14:paraId="401DF9B5">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5DE83">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A9E2">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6EC5B">
    <w:pPr>
      <w:pStyle w:val="35"/>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69E72">
    <w:pPr>
      <w:pStyle w:val="35"/>
      <w:ind w:firstLine="360"/>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C95CE">
                          <w:pPr>
                            <w:pStyle w:val="3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ABC95CE">
                    <w:pPr>
                      <w:pStyle w:val="3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5D151">
    <w:pPr>
      <w:pStyle w:val="35"/>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5BF1F">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C5BF1F">
                    <w:pPr>
                      <w:pStyle w:val="35"/>
                      <w:ind w:firstLine="360"/>
                      <w:jc w:val="center"/>
                    </w:pPr>
                    <w:r>
                      <w:fldChar w:fldCharType="begin"/>
                    </w:r>
                    <w:r>
                      <w:instrText xml:space="preserve">PAGE   \* MERGEFORMAT</w:instrText>
                    </w:r>
                    <w:r>
                      <w:fldChar w:fldCharType="separate"/>
                    </w:r>
                    <w:r>
                      <w:rPr>
                        <w:lang w:val="zh-CN"/>
                      </w:rPr>
                      <w:t>41</w:t>
                    </w:r>
                    <w:r>
                      <w:rPr>
                        <w:lang w:val="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949EF">
    <w:pPr>
      <w:pStyle w:val="35"/>
      <w:ind w:firstLine="360"/>
      <w:jc w:val="right"/>
      <w:rPr>
        <w:sz w:val="21"/>
        <w:szCs w:val="21"/>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979D0">
                          <w:pPr>
                            <w:pStyle w:val="3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1B979D0">
                    <w:pPr>
                      <w:pStyle w:val="3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howingPlcHdr/>
    </w:sdtPr>
    <w:sdtContent>
      <w:p w14:paraId="4A05DE32">
        <w:pPr>
          <w:pStyle w:val="35"/>
          <w:ind w:firstLine="360"/>
          <w:jc w:val="right"/>
        </w:pPr>
        <w:r>
          <w:rPr>
            <w:rFonts w:hint="eastAsia"/>
            <w:lang w:eastAsia="zh-CN"/>
          </w:rPr>
          <w:t xml:space="preserve">     </w:t>
        </w:r>
      </w:p>
    </w:sdtContent>
  </w:sdt>
  <w:p w14:paraId="3D106F38">
    <w:pPr>
      <w:pStyle w:val="3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8C43A">
    <w:pPr>
      <w:pStyle w:val="35"/>
      <w:ind w:right="360" w:firstLine="36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924FF">
                          <w:pPr>
                            <w:pStyle w:val="3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8924FF">
                    <w:pPr>
                      <w:pStyle w:val="35"/>
                    </w:pPr>
                    <w:r>
                      <w:fldChar w:fldCharType="begin"/>
                    </w:r>
                    <w:r>
                      <w:instrText xml:space="preserve"> PAGE  \* MERGEFORMAT </w:instrText>
                    </w:r>
                    <w:r>
                      <w:fldChar w:fldCharType="separate"/>
                    </w:r>
                    <w:r>
                      <w:t>36</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44135" cy="131445"/>
              <wp:effectExtent l="0" t="0" r="0" b="0"/>
              <wp:wrapNone/>
              <wp:docPr id="842746966"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E7C549C"/>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1312;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RcPH0QAAAAQBAAAPAAAAAAAAAAEA&#10;IAAAACIAAABkcnMvZG93bnJldi54bWxQSwECFAAUAAAACACHTuJArhibK90BAACxAwAADgAAAAAA&#10;AAABACAAAAAgAQAAZHJzL2Uyb0RvYy54bWxQSwUGAAAAAAYABgBZAQAAbwUAAAAA&#10;">
              <v:fill on="f" focussize="0,0"/>
              <v:stroke on="f"/>
              <v:imagedata o:title=""/>
              <o:lock v:ext="edit" aspectratio="f"/>
              <v:textbox inset="0mm,0mm,0mm,0mm" style="mso-fit-shape-to-text:t;">
                <w:txbxContent>
                  <w:p w14:paraId="4E7C549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6F4BC">
    <w:pPr>
      <w:pStyle w:val="36"/>
      <w:tabs>
        <w:tab w:val="center" w:pos="4336"/>
        <w:tab w:val="right" w:pos="8312"/>
        <w:tab w:val="clear" w:pos="8306"/>
      </w:tabs>
      <w:jc w:val="left"/>
      <w:rPr>
        <w:rFonts w:hint="eastAsia" w:ascii="微软雅黑" w:hAnsi="微软雅黑"/>
      </w:rPr>
    </w:pPr>
    <w:r>
      <w:rPr>
        <w:rFonts w:hint="eastAsia" w:ascii="微软雅黑" w:hAnsi="微软雅黑"/>
      </w:rPr>
      <w:tab/>
    </w:r>
    <w:r>
      <w:rPr>
        <w:rFonts w:hint="eastAsia"/>
      </w:rPr>
      <w:pict>
        <v:shape id="PowerPlusWaterMarkObject13360720" o:spid="_x0000_s3074"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DD15">
    <w:pPr>
      <w:pStyle w:val="36"/>
    </w:pP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3" name="图片 3"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嘉兴南湖学院校园安全保卫综合服务项目</w:t>
    </w:r>
    <w:r>
      <w:pict>
        <v:shape id="_x0000_s3085" o:spid="_x0000_s3085"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ascii="微软雅黑" w:hAnsi="微软雅黑"/>
      </w:rPr>
      <w:t>磋商文件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D9E6F">
    <w:pPr>
      <w:pStyle w:val="36"/>
    </w:pPr>
    <w:r>
      <w:pict>
        <v:shape id="_x0000_s3084" o:spid="_x0000_s3084" o:spt="136" type="#_x0000_t136" style="position:absolute;left:0pt;height:41.85pt;width:544.0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1F6A1">
    <w:pPr>
      <w:pStyle w:val="36"/>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2025年嘉兴市文化艺术中心秀洲“三馆”融合运营服务项目</w:t>
    </w:r>
    <w:r>
      <w:rPr>
        <w:rFonts w:hint="eastAsia" w:ascii="微软雅黑" w:hAnsi="微软雅黑" w:cs="微软雅黑"/>
      </w:rPr>
      <w:t>·</w:t>
    </w:r>
    <w:r>
      <w:rPr>
        <w:rFonts w:hint="eastAsia" w:ascii="微软雅黑" w:hAnsi="微软雅黑"/>
      </w:rPr>
      <w:t>招标文件</w:t>
    </w:r>
    <w:r>
      <w:pict>
        <v:shape id="_x0000_s3083" o:spid="_x0000_s3083" o:spt="136" type="#_x0000_t136" style="position:absolute;left:0pt;height:41.85pt;width:544.0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1327B">
    <w:pPr>
      <w:pStyle w:val="36"/>
    </w:pP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lang w:eastAsia="zh-CN"/>
      </w:rPr>
      <w:t>2025年嘉兴市文化艺术中心秀洲“三馆”融合运营服务项目</w:t>
    </w:r>
    <w:r>
      <w:rPr>
        <w:rFonts w:hint="eastAsia" w:ascii="微软雅黑" w:hAnsi="微软雅黑"/>
      </w:rPr>
      <w:t>招标文件</w:t>
    </w:r>
  </w:p>
  <w:p w14:paraId="37C8D0B6">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5B08">
    <w:pPr>
      <w:pStyle w:val="36"/>
    </w:pPr>
    <w:r>
      <w:pict>
        <v:shape id="PowerPlusWaterMarkObject13360719" o:spid="_x0000_s3075" o:spt="136" type="#_x0000_t136" style="position:absolute;left:0pt;height:41.85pt;width:544.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D743E">
    <w:pPr>
      <w:pStyle w:val="36"/>
    </w:pPr>
    <w:r>
      <w:pict>
        <v:shape id="PowerPlusWaterMarkObject13360718" o:spid="_x0000_s3073" o:spt="136" type="#_x0000_t136" style="position:absolute;left:0pt;height:41.85pt;width:544.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1E08">
    <w:pPr>
      <w:pStyle w:val="36"/>
      <w:rPr>
        <w:rFonts w:hint="eastAsia" w:ascii="微软雅黑" w:hAnsi="微软雅黑"/>
      </w:rPr>
    </w:pPr>
    <w:r>
      <w:rPr>
        <w:rFonts w:hint="eastAsia" w:ascii="微软雅黑" w:hAnsi="微软雅黑"/>
        <w:lang w:eastAsia="zh-CN"/>
      </w:rPr>
      <w:t>2025年嘉兴市文化艺术中心秀洲“三馆”融合运营服务项目</w:t>
    </w:r>
    <w:r>
      <w:rPr>
        <w:rFonts w:hint="eastAsia" w:ascii="微软雅黑" w:hAnsi="微软雅黑"/>
      </w:rPr>
      <w:t>・公开招标采购文件</w:t>
    </w:r>
    <w:r>
      <w:drawing>
        <wp:anchor distT="0" distB="0" distL="114300" distR="114300" simplePos="0" relativeHeight="251665408"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3077"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8CE7B">
    <w:pPr>
      <w:pStyle w:val="36"/>
    </w:pPr>
    <w:r>
      <w:pict>
        <v:shape id="PowerPlusWaterMarkObject13360722" o:spid="_x0000_s3078" o:spt="136" type="#_x0000_t136" style="position:absolute;left:0pt;height:41.85pt;width:544.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CE57D">
    <w:pPr>
      <w:pStyle w:val="36"/>
    </w:pPr>
    <w:r>
      <w:pict>
        <v:shape id="PowerPlusWaterMarkObject13360721" o:spid="_x0000_s3076"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73DA5">
    <w:pPr>
      <w:pStyle w:val="36"/>
    </w:pPr>
    <w:r>
      <w:pict>
        <v:shape id="PowerPlusWaterMarkObject13360725" o:spid="_x0000_s3080"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4B4FD">
    <w:pPr>
      <w:pStyle w:val="36"/>
    </w:pPr>
    <w:r>
      <w:pict>
        <v:shape id="PowerPlusWaterMarkObject13360724" o:spid="_x0000_s3079"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26EED">
    <w:pPr>
      <w:pStyle w:val="36"/>
    </w:pPr>
    <w:r>
      <w:pict>
        <v:shape id="_x0000_s3086" o:spid="_x0000_s3086"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537F8"/>
    <w:multiLevelType w:val="singleLevel"/>
    <w:tmpl w:val="980537F8"/>
    <w:lvl w:ilvl="0" w:tentative="0">
      <w:start w:val="1"/>
      <w:numFmt w:val="decimal"/>
      <w:suff w:val="nothing"/>
      <w:lvlText w:val="（%1）"/>
      <w:lvlJc w:val="left"/>
    </w:lvl>
  </w:abstractNum>
  <w:abstractNum w:abstractNumId="1">
    <w:nsid w:val="9C72DEAA"/>
    <w:multiLevelType w:val="singleLevel"/>
    <w:tmpl w:val="9C72DEAA"/>
    <w:lvl w:ilvl="0" w:tentative="0">
      <w:start w:val="1"/>
      <w:numFmt w:val="decimal"/>
      <w:lvlText w:val="%1."/>
      <w:lvlJc w:val="left"/>
      <w:pPr>
        <w:ind w:left="425" w:hanging="425"/>
      </w:pPr>
      <w:rPr>
        <w:rFonts w:hint="default"/>
      </w:rPr>
    </w:lvl>
  </w:abstractNum>
  <w:abstractNum w:abstractNumId="2">
    <w:nsid w:val="B04D4F04"/>
    <w:multiLevelType w:val="singleLevel"/>
    <w:tmpl w:val="B04D4F04"/>
    <w:lvl w:ilvl="0" w:tentative="0">
      <w:start w:val="1"/>
      <w:numFmt w:val="decimalEnclosedCircleChinese"/>
      <w:suff w:val="nothing"/>
      <w:lvlText w:val="%1　"/>
      <w:lvlJc w:val="left"/>
      <w:pPr>
        <w:ind w:left="0" w:firstLine="400"/>
      </w:pPr>
      <w:rPr>
        <w:rFonts w:hint="eastAsia"/>
      </w:rPr>
    </w:lvl>
  </w:abstractNum>
  <w:abstractNum w:abstractNumId="3">
    <w:nsid w:val="B68DA340"/>
    <w:multiLevelType w:val="singleLevel"/>
    <w:tmpl w:val="B68DA340"/>
    <w:lvl w:ilvl="0" w:tentative="0">
      <w:start w:val="1"/>
      <w:numFmt w:val="decimal"/>
      <w:suff w:val="nothing"/>
      <w:lvlText w:val="（%1）"/>
      <w:lvlJc w:val="left"/>
    </w:lvl>
  </w:abstractNum>
  <w:abstractNum w:abstractNumId="4">
    <w:nsid w:val="B815F164"/>
    <w:multiLevelType w:val="singleLevel"/>
    <w:tmpl w:val="B815F164"/>
    <w:lvl w:ilvl="0" w:tentative="0">
      <w:start w:val="1"/>
      <w:numFmt w:val="decimal"/>
      <w:lvlText w:val="%1."/>
      <w:lvlJc w:val="left"/>
      <w:pPr>
        <w:tabs>
          <w:tab w:val="left" w:pos="312"/>
        </w:tabs>
      </w:pPr>
    </w:lvl>
  </w:abstractNum>
  <w:abstractNum w:abstractNumId="5">
    <w:nsid w:val="CE754F42"/>
    <w:multiLevelType w:val="multilevel"/>
    <w:tmpl w:val="CE754F4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D67AFA62"/>
    <w:multiLevelType w:val="singleLevel"/>
    <w:tmpl w:val="D67AFA62"/>
    <w:lvl w:ilvl="0" w:tentative="0">
      <w:start w:val="1"/>
      <w:numFmt w:val="decimal"/>
      <w:suff w:val="nothing"/>
      <w:lvlText w:val="（%1）"/>
      <w:lvlJc w:val="left"/>
    </w:lvl>
  </w:abstractNum>
  <w:abstractNum w:abstractNumId="7">
    <w:nsid w:val="E33494A9"/>
    <w:multiLevelType w:val="singleLevel"/>
    <w:tmpl w:val="E33494A9"/>
    <w:lvl w:ilvl="0" w:tentative="0">
      <w:start w:val="1"/>
      <w:numFmt w:val="decimal"/>
      <w:suff w:val="nothing"/>
      <w:lvlText w:val="（%1）"/>
      <w:lvlJc w:val="left"/>
    </w:lvl>
  </w:abstractNum>
  <w:abstractNum w:abstractNumId="8">
    <w:nsid w:val="E4DE2A96"/>
    <w:multiLevelType w:val="singleLevel"/>
    <w:tmpl w:val="E4DE2A96"/>
    <w:lvl w:ilvl="0" w:tentative="0">
      <w:start w:val="1"/>
      <w:numFmt w:val="decimal"/>
      <w:lvlText w:val="%1."/>
      <w:lvlJc w:val="left"/>
      <w:pPr>
        <w:tabs>
          <w:tab w:val="left" w:pos="312"/>
        </w:tabs>
      </w:pPr>
    </w:lvl>
  </w:abstractNum>
  <w:abstractNum w:abstractNumId="9">
    <w:nsid w:val="F70C2DBC"/>
    <w:multiLevelType w:val="multilevel"/>
    <w:tmpl w:val="F70C2DBC"/>
    <w:lvl w:ilvl="0" w:tentative="0">
      <w:start w:val="1"/>
      <w:numFmt w:val="decimal"/>
      <w:lvlText w:val="%1."/>
      <w:lvlJc w:val="left"/>
      <w:pPr>
        <w:ind w:left="425" w:hanging="425"/>
      </w:pPr>
      <w:rPr>
        <w:rFonts w:hint="default"/>
      </w:rPr>
    </w:lvl>
    <w:lvl w:ilvl="1" w:tentative="0">
      <w:start w:val="1"/>
      <w:numFmt w:val="decimal"/>
      <w:lvlText w:val="%1.%2."/>
      <w:lvlJc w:val="left"/>
      <w:pPr>
        <w:ind w:left="98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1">
    <w:nsid w:val="03394B21"/>
    <w:multiLevelType w:val="multilevel"/>
    <w:tmpl w:val="03394B21"/>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0378BC66"/>
    <w:multiLevelType w:val="multilevel"/>
    <w:tmpl w:val="0378BC66"/>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0F8F9CC7"/>
    <w:multiLevelType w:val="singleLevel"/>
    <w:tmpl w:val="0F8F9CC7"/>
    <w:lvl w:ilvl="0" w:tentative="0">
      <w:start w:val="2"/>
      <w:numFmt w:val="chineseCounting"/>
      <w:suff w:val="nothing"/>
      <w:lvlText w:val="（%1）"/>
      <w:lvlJc w:val="left"/>
      <w:rPr>
        <w:rFonts w:hint="eastAsia"/>
      </w:rPr>
    </w:lvl>
  </w:abstractNum>
  <w:abstractNum w:abstractNumId="14">
    <w:nsid w:val="21C7DD74"/>
    <w:multiLevelType w:val="singleLevel"/>
    <w:tmpl w:val="21C7DD74"/>
    <w:lvl w:ilvl="0" w:tentative="0">
      <w:start w:val="1"/>
      <w:numFmt w:val="chineseCounting"/>
      <w:suff w:val="nothing"/>
      <w:lvlText w:val="%1、"/>
      <w:lvlJc w:val="left"/>
      <w:pPr>
        <w:ind w:left="0" w:firstLine="420"/>
      </w:pPr>
      <w:rPr>
        <w:rFonts w:hint="eastAsia"/>
      </w:rPr>
    </w:lvl>
  </w:abstractNum>
  <w:abstractNum w:abstractNumId="15">
    <w:nsid w:val="270D6975"/>
    <w:multiLevelType w:val="multilevel"/>
    <w:tmpl w:val="270D6975"/>
    <w:lvl w:ilvl="0" w:tentative="0">
      <w:start w:val="1"/>
      <w:numFmt w:val="chineseCountingThousand"/>
      <w:lvlText w:val="%1、"/>
      <w:lvlJc w:val="left"/>
      <w:pPr>
        <w:ind w:left="420" w:hanging="420"/>
      </w:pPr>
      <w:rPr>
        <w:rFonts w:hint="eastAsia"/>
        <w:b/>
        <w:bCs/>
      </w:rPr>
    </w:lvl>
    <w:lvl w:ilvl="1" w:tentative="0">
      <w:start w:val="1"/>
      <w:numFmt w:val="japaneseCounting"/>
      <w:lvlText w:val="%2、"/>
      <w:lvlJc w:val="left"/>
      <w:pPr>
        <w:ind w:left="1140" w:hanging="720"/>
      </w:pPr>
      <w:rPr>
        <w:rFonts w:hint="default" w:ascii="宋体" w:hAnsi="宋体" w:cs="宋体"/>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03464C8"/>
    <w:multiLevelType w:val="multilevel"/>
    <w:tmpl w:val="303464C8"/>
    <w:lvl w:ilvl="0" w:tentative="0">
      <w:start w:val="1"/>
      <w:numFmt w:val="decimal"/>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8">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19">
    <w:nsid w:val="4DC83F04"/>
    <w:multiLevelType w:val="multilevel"/>
    <w:tmpl w:val="4DC83F04"/>
    <w:lvl w:ilvl="0" w:tentative="0">
      <w:start w:val="1"/>
      <w:numFmt w:val="chineseCounting"/>
      <w:lvlText w:val="%1、"/>
      <w:lvlJc w:val="left"/>
      <w:pPr>
        <w:ind w:left="860" w:hanging="440"/>
      </w:pPr>
    </w:lvl>
    <w:lvl w:ilvl="1" w:tentative="0">
      <w:start w:val="1"/>
      <w:numFmt w:val="decimal"/>
      <w:lvlText w:val="%2."/>
      <w:lvlJc w:val="left"/>
      <w:pPr>
        <w:ind w:left="860" w:hanging="440"/>
      </w:pPr>
      <w:rPr>
        <w:rFonts w:hint="eastAsia"/>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0">
    <w:nsid w:val="51FA1A31"/>
    <w:multiLevelType w:val="multilevel"/>
    <w:tmpl w:val="51FA1A31"/>
    <w:lvl w:ilvl="0" w:tentative="0">
      <w:start w:val="1"/>
      <w:numFmt w:val="japaneseCounting"/>
      <w:pStyle w:val="1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5F7181FD"/>
    <w:multiLevelType w:val="singleLevel"/>
    <w:tmpl w:val="5F7181FD"/>
    <w:lvl w:ilvl="0" w:tentative="0">
      <w:start w:val="2"/>
      <w:numFmt w:val="chineseCounting"/>
      <w:suff w:val="nothing"/>
      <w:lvlText w:val="%1、"/>
      <w:lvlJc w:val="left"/>
      <w:rPr>
        <w:rFonts w:hint="eastAsia"/>
      </w:rPr>
    </w:lvl>
  </w:abstractNum>
  <w:abstractNum w:abstractNumId="23">
    <w:nsid w:val="6038AD08"/>
    <w:multiLevelType w:val="singleLevel"/>
    <w:tmpl w:val="6038AD08"/>
    <w:lvl w:ilvl="0" w:tentative="0">
      <w:start w:val="1"/>
      <w:numFmt w:val="decimal"/>
      <w:suff w:val="nothing"/>
      <w:lvlText w:val="（%1）"/>
      <w:lvlJc w:val="left"/>
    </w:lvl>
  </w:abstractNum>
  <w:abstractNum w:abstractNumId="24">
    <w:nsid w:val="70A41D51"/>
    <w:multiLevelType w:val="multilevel"/>
    <w:tmpl w:val="70A41D51"/>
    <w:lvl w:ilvl="0" w:tentative="0">
      <w:start w:val="1"/>
      <w:numFmt w:val="decimal"/>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5">
    <w:nsid w:val="73BC347C"/>
    <w:multiLevelType w:val="multilevel"/>
    <w:tmpl w:val="73BC347C"/>
    <w:lvl w:ilvl="0" w:tentative="0">
      <w:start w:val="1"/>
      <w:numFmt w:val="decimal"/>
      <w:lvlText w:val="%1."/>
      <w:lvlJc w:val="left"/>
      <w:pPr>
        <w:ind w:left="860" w:hanging="440"/>
      </w:pPr>
    </w:lvl>
    <w:lvl w:ilvl="1" w:tentative="0">
      <w:start w:val="1"/>
      <w:numFmt w:val="decimal"/>
      <w:lvlText w:val="（%2）"/>
      <w:lvlJc w:val="left"/>
      <w:pPr>
        <w:ind w:left="1580" w:hanging="72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6">
    <w:nsid w:val="761E1B8D"/>
    <w:multiLevelType w:val="multilevel"/>
    <w:tmpl w:val="761E1B8D"/>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7EEEC8A2"/>
    <w:multiLevelType w:val="singleLevel"/>
    <w:tmpl w:val="7EEEC8A2"/>
    <w:lvl w:ilvl="0" w:tentative="0">
      <w:start w:val="1"/>
      <w:numFmt w:val="decimal"/>
      <w:suff w:val="nothing"/>
      <w:lvlText w:val="（%1）"/>
      <w:lvlJc w:val="left"/>
    </w:lvl>
  </w:abstractNum>
  <w:num w:numId="1">
    <w:abstractNumId w:val="20"/>
  </w:num>
  <w:num w:numId="2">
    <w:abstractNumId w:val="10"/>
  </w:num>
  <w:num w:numId="3">
    <w:abstractNumId w:val="21"/>
  </w:num>
  <w:num w:numId="4">
    <w:abstractNumId w:val="15"/>
  </w:num>
  <w:num w:numId="5">
    <w:abstractNumId w:val="16"/>
  </w:num>
  <w:num w:numId="6">
    <w:abstractNumId w:val="11"/>
  </w:num>
  <w:num w:numId="7">
    <w:abstractNumId w:val="12"/>
  </w:num>
  <w:num w:numId="8">
    <w:abstractNumId w:val="2"/>
  </w:num>
  <w:num w:numId="9">
    <w:abstractNumId w:val="5"/>
  </w:num>
  <w:num w:numId="10">
    <w:abstractNumId w:val="24"/>
  </w:num>
  <w:num w:numId="11">
    <w:abstractNumId w:val="9"/>
  </w:num>
  <w:num w:numId="12">
    <w:abstractNumId w:val="26"/>
  </w:num>
  <w:num w:numId="13">
    <w:abstractNumId w:val="19"/>
  </w:num>
  <w:num w:numId="14">
    <w:abstractNumId w:val="1"/>
  </w:num>
  <w:num w:numId="15">
    <w:abstractNumId w:val="17"/>
  </w:num>
  <w:num w:numId="16">
    <w:abstractNumId w:val="13"/>
  </w:num>
  <w:num w:numId="17">
    <w:abstractNumId w:val="6"/>
  </w:num>
  <w:num w:numId="18">
    <w:abstractNumId w:val="0"/>
  </w:num>
  <w:num w:numId="19">
    <w:abstractNumId w:val="7"/>
  </w:num>
  <w:num w:numId="20">
    <w:abstractNumId w:val="3"/>
  </w:num>
  <w:num w:numId="21">
    <w:abstractNumId w:val="23"/>
  </w:num>
  <w:num w:numId="22">
    <w:abstractNumId w:val="14"/>
  </w:num>
  <w:num w:numId="23">
    <w:abstractNumId w:val="22"/>
  </w:num>
  <w:num w:numId="24">
    <w:abstractNumId w:val="18"/>
  </w:num>
  <w:num w:numId="25">
    <w:abstractNumId w:val="27"/>
  </w:num>
  <w:num w:numId="26">
    <w:abstractNumId w:val="25"/>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NotTrackMove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3MzBkZTc1NGVmZGI1MjNlZDM2ZDkyYWEyYjgzYzAifQ=="/>
  </w:docVars>
  <w:rsids>
    <w:rsidRoot w:val="00172A27"/>
    <w:rsid w:val="00000868"/>
    <w:rsid w:val="00002FF3"/>
    <w:rsid w:val="00003C3C"/>
    <w:rsid w:val="000044F4"/>
    <w:rsid w:val="00005826"/>
    <w:rsid w:val="000058A3"/>
    <w:rsid w:val="00005B61"/>
    <w:rsid w:val="00005B6A"/>
    <w:rsid w:val="0000613F"/>
    <w:rsid w:val="00006676"/>
    <w:rsid w:val="00010B34"/>
    <w:rsid w:val="00010C33"/>
    <w:rsid w:val="00010C43"/>
    <w:rsid w:val="00011214"/>
    <w:rsid w:val="000112E4"/>
    <w:rsid w:val="00011499"/>
    <w:rsid w:val="0001156A"/>
    <w:rsid w:val="000119C5"/>
    <w:rsid w:val="00011B6C"/>
    <w:rsid w:val="00011EDD"/>
    <w:rsid w:val="00012135"/>
    <w:rsid w:val="00012EA4"/>
    <w:rsid w:val="00014435"/>
    <w:rsid w:val="00015C8C"/>
    <w:rsid w:val="00016F84"/>
    <w:rsid w:val="000170F5"/>
    <w:rsid w:val="00017123"/>
    <w:rsid w:val="0001712E"/>
    <w:rsid w:val="0001791B"/>
    <w:rsid w:val="0001795B"/>
    <w:rsid w:val="00020A3B"/>
    <w:rsid w:val="00022BEF"/>
    <w:rsid w:val="00023664"/>
    <w:rsid w:val="00023F05"/>
    <w:rsid w:val="00024179"/>
    <w:rsid w:val="0002437A"/>
    <w:rsid w:val="000248E6"/>
    <w:rsid w:val="00024B81"/>
    <w:rsid w:val="00025EE2"/>
    <w:rsid w:val="0003103E"/>
    <w:rsid w:val="0003149E"/>
    <w:rsid w:val="00031953"/>
    <w:rsid w:val="00033451"/>
    <w:rsid w:val="00034D4D"/>
    <w:rsid w:val="00037CD8"/>
    <w:rsid w:val="0004008C"/>
    <w:rsid w:val="000401D5"/>
    <w:rsid w:val="000401F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56CC6"/>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01E"/>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61F0"/>
    <w:rsid w:val="00097DEE"/>
    <w:rsid w:val="000A0027"/>
    <w:rsid w:val="000A00E3"/>
    <w:rsid w:val="000A137F"/>
    <w:rsid w:val="000A24D3"/>
    <w:rsid w:val="000A4B2A"/>
    <w:rsid w:val="000A4FF5"/>
    <w:rsid w:val="000A50C0"/>
    <w:rsid w:val="000A5FDE"/>
    <w:rsid w:val="000A6697"/>
    <w:rsid w:val="000A69C1"/>
    <w:rsid w:val="000A7F08"/>
    <w:rsid w:val="000B0797"/>
    <w:rsid w:val="000B0A2D"/>
    <w:rsid w:val="000B26F5"/>
    <w:rsid w:val="000B2C97"/>
    <w:rsid w:val="000B2E80"/>
    <w:rsid w:val="000B3A48"/>
    <w:rsid w:val="000B4EDA"/>
    <w:rsid w:val="000B55B1"/>
    <w:rsid w:val="000B5B74"/>
    <w:rsid w:val="000B60F2"/>
    <w:rsid w:val="000B70ED"/>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98C"/>
    <w:rsid w:val="000D0A89"/>
    <w:rsid w:val="000D0CCE"/>
    <w:rsid w:val="000D1BEF"/>
    <w:rsid w:val="000D20F0"/>
    <w:rsid w:val="000D270C"/>
    <w:rsid w:val="000D27DF"/>
    <w:rsid w:val="000D327B"/>
    <w:rsid w:val="000D3375"/>
    <w:rsid w:val="000D3BD8"/>
    <w:rsid w:val="000D3DBC"/>
    <w:rsid w:val="000D3E83"/>
    <w:rsid w:val="000D4E06"/>
    <w:rsid w:val="000D5879"/>
    <w:rsid w:val="000D5BF2"/>
    <w:rsid w:val="000E0758"/>
    <w:rsid w:val="000E1631"/>
    <w:rsid w:val="000E18BF"/>
    <w:rsid w:val="000E1EB6"/>
    <w:rsid w:val="000E2A99"/>
    <w:rsid w:val="000E2C3D"/>
    <w:rsid w:val="000E43D9"/>
    <w:rsid w:val="000E4833"/>
    <w:rsid w:val="000E5BED"/>
    <w:rsid w:val="000E66F1"/>
    <w:rsid w:val="000E6EF0"/>
    <w:rsid w:val="000F00C6"/>
    <w:rsid w:val="000F200A"/>
    <w:rsid w:val="000F2A44"/>
    <w:rsid w:val="000F2E02"/>
    <w:rsid w:val="000F41DC"/>
    <w:rsid w:val="000F5668"/>
    <w:rsid w:val="000F6D7F"/>
    <w:rsid w:val="000F79F2"/>
    <w:rsid w:val="000F7AE1"/>
    <w:rsid w:val="000F7E5B"/>
    <w:rsid w:val="001013E6"/>
    <w:rsid w:val="00101540"/>
    <w:rsid w:val="001029B5"/>
    <w:rsid w:val="00102C00"/>
    <w:rsid w:val="001033A9"/>
    <w:rsid w:val="00103534"/>
    <w:rsid w:val="00103BD1"/>
    <w:rsid w:val="00104A23"/>
    <w:rsid w:val="00104CF2"/>
    <w:rsid w:val="00104D8D"/>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59B7"/>
    <w:rsid w:val="00136E52"/>
    <w:rsid w:val="00137841"/>
    <w:rsid w:val="0014019B"/>
    <w:rsid w:val="001411A8"/>
    <w:rsid w:val="001450B3"/>
    <w:rsid w:val="00145236"/>
    <w:rsid w:val="00145999"/>
    <w:rsid w:val="00146142"/>
    <w:rsid w:val="00146849"/>
    <w:rsid w:val="00147207"/>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410"/>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02F"/>
    <w:rsid w:val="001F02A5"/>
    <w:rsid w:val="001F2692"/>
    <w:rsid w:val="001F32E4"/>
    <w:rsid w:val="001F3E69"/>
    <w:rsid w:val="001F4797"/>
    <w:rsid w:val="001F5544"/>
    <w:rsid w:val="001F5658"/>
    <w:rsid w:val="001F5A4E"/>
    <w:rsid w:val="001F6A15"/>
    <w:rsid w:val="001F6F1B"/>
    <w:rsid w:val="001F7336"/>
    <w:rsid w:val="001F7997"/>
    <w:rsid w:val="002001BC"/>
    <w:rsid w:val="002004C0"/>
    <w:rsid w:val="00200E8E"/>
    <w:rsid w:val="002012BC"/>
    <w:rsid w:val="002033CF"/>
    <w:rsid w:val="00203AEA"/>
    <w:rsid w:val="00203D55"/>
    <w:rsid w:val="0020404A"/>
    <w:rsid w:val="00204712"/>
    <w:rsid w:val="00205048"/>
    <w:rsid w:val="00205E7B"/>
    <w:rsid w:val="00206B06"/>
    <w:rsid w:val="00207004"/>
    <w:rsid w:val="00210F56"/>
    <w:rsid w:val="00211484"/>
    <w:rsid w:val="002116AA"/>
    <w:rsid w:val="00211B35"/>
    <w:rsid w:val="00211F5E"/>
    <w:rsid w:val="00212194"/>
    <w:rsid w:val="0021234D"/>
    <w:rsid w:val="002124CB"/>
    <w:rsid w:val="00212E2C"/>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5E3"/>
    <w:rsid w:val="00225B70"/>
    <w:rsid w:val="0022638E"/>
    <w:rsid w:val="002266AF"/>
    <w:rsid w:val="0022764B"/>
    <w:rsid w:val="00230D73"/>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33E"/>
    <w:rsid w:val="00254D47"/>
    <w:rsid w:val="0025571D"/>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386C"/>
    <w:rsid w:val="00274258"/>
    <w:rsid w:val="0027456C"/>
    <w:rsid w:val="00274F22"/>
    <w:rsid w:val="002752CD"/>
    <w:rsid w:val="002754FB"/>
    <w:rsid w:val="00276170"/>
    <w:rsid w:val="00276513"/>
    <w:rsid w:val="00276831"/>
    <w:rsid w:val="00276833"/>
    <w:rsid w:val="00277087"/>
    <w:rsid w:val="002800F9"/>
    <w:rsid w:val="00280214"/>
    <w:rsid w:val="00281184"/>
    <w:rsid w:val="00281E16"/>
    <w:rsid w:val="0028553D"/>
    <w:rsid w:val="0028590F"/>
    <w:rsid w:val="00285C6B"/>
    <w:rsid w:val="0028632D"/>
    <w:rsid w:val="002864B8"/>
    <w:rsid w:val="0029034A"/>
    <w:rsid w:val="00290975"/>
    <w:rsid w:val="00291CAD"/>
    <w:rsid w:val="00292D2B"/>
    <w:rsid w:val="00292EB5"/>
    <w:rsid w:val="00293A0B"/>
    <w:rsid w:val="00294263"/>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284A"/>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3193"/>
    <w:rsid w:val="002F46AD"/>
    <w:rsid w:val="002F6D21"/>
    <w:rsid w:val="003023D9"/>
    <w:rsid w:val="00302A82"/>
    <w:rsid w:val="003034C4"/>
    <w:rsid w:val="00303B30"/>
    <w:rsid w:val="00306065"/>
    <w:rsid w:val="003070E6"/>
    <w:rsid w:val="00307454"/>
    <w:rsid w:val="00307F23"/>
    <w:rsid w:val="00311907"/>
    <w:rsid w:val="00311A5D"/>
    <w:rsid w:val="00312FB3"/>
    <w:rsid w:val="003146C2"/>
    <w:rsid w:val="00314A13"/>
    <w:rsid w:val="00314F8A"/>
    <w:rsid w:val="003158C1"/>
    <w:rsid w:val="00315A4D"/>
    <w:rsid w:val="003163D4"/>
    <w:rsid w:val="00316CBA"/>
    <w:rsid w:val="00320024"/>
    <w:rsid w:val="0032517A"/>
    <w:rsid w:val="00326214"/>
    <w:rsid w:val="0032659B"/>
    <w:rsid w:val="00326C39"/>
    <w:rsid w:val="00326F34"/>
    <w:rsid w:val="00327B44"/>
    <w:rsid w:val="00330637"/>
    <w:rsid w:val="00331439"/>
    <w:rsid w:val="00331A53"/>
    <w:rsid w:val="0033382F"/>
    <w:rsid w:val="003344FD"/>
    <w:rsid w:val="0033557B"/>
    <w:rsid w:val="00335C7B"/>
    <w:rsid w:val="00336995"/>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49E"/>
    <w:rsid w:val="0037688E"/>
    <w:rsid w:val="00376CC4"/>
    <w:rsid w:val="00377F2B"/>
    <w:rsid w:val="003809B7"/>
    <w:rsid w:val="00381803"/>
    <w:rsid w:val="00381AD9"/>
    <w:rsid w:val="003824F9"/>
    <w:rsid w:val="00382685"/>
    <w:rsid w:val="00382D2E"/>
    <w:rsid w:val="003831B5"/>
    <w:rsid w:val="003833E2"/>
    <w:rsid w:val="00383CBF"/>
    <w:rsid w:val="00384211"/>
    <w:rsid w:val="003857B1"/>
    <w:rsid w:val="003859CB"/>
    <w:rsid w:val="0038631D"/>
    <w:rsid w:val="00387D98"/>
    <w:rsid w:val="00391146"/>
    <w:rsid w:val="0039180D"/>
    <w:rsid w:val="00391BCF"/>
    <w:rsid w:val="00391E5A"/>
    <w:rsid w:val="00393A7B"/>
    <w:rsid w:val="00393B51"/>
    <w:rsid w:val="003940A9"/>
    <w:rsid w:val="003945FE"/>
    <w:rsid w:val="00394AE3"/>
    <w:rsid w:val="00394C27"/>
    <w:rsid w:val="00394ED6"/>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BF8"/>
    <w:rsid w:val="003D3F8F"/>
    <w:rsid w:val="003D44ED"/>
    <w:rsid w:val="003D4CBC"/>
    <w:rsid w:val="003D5D5C"/>
    <w:rsid w:val="003D7B96"/>
    <w:rsid w:val="003E25C9"/>
    <w:rsid w:val="003E3291"/>
    <w:rsid w:val="003E3885"/>
    <w:rsid w:val="003E4A05"/>
    <w:rsid w:val="003E5218"/>
    <w:rsid w:val="003E62A6"/>
    <w:rsid w:val="003E62FC"/>
    <w:rsid w:val="003E6BD1"/>
    <w:rsid w:val="003F00F1"/>
    <w:rsid w:val="003F0752"/>
    <w:rsid w:val="003F08DD"/>
    <w:rsid w:val="003F095C"/>
    <w:rsid w:val="003F11D5"/>
    <w:rsid w:val="003F1505"/>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07FCB"/>
    <w:rsid w:val="004101FC"/>
    <w:rsid w:val="00410F2A"/>
    <w:rsid w:val="00410FAF"/>
    <w:rsid w:val="004114AA"/>
    <w:rsid w:val="00412095"/>
    <w:rsid w:val="0041237D"/>
    <w:rsid w:val="00412CD1"/>
    <w:rsid w:val="00412DD5"/>
    <w:rsid w:val="004132A9"/>
    <w:rsid w:val="00413F4C"/>
    <w:rsid w:val="00414BA7"/>
    <w:rsid w:val="00415698"/>
    <w:rsid w:val="004156B5"/>
    <w:rsid w:val="004167D4"/>
    <w:rsid w:val="00417BE9"/>
    <w:rsid w:val="00420F8D"/>
    <w:rsid w:val="004214B5"/>
    <w:rsid w:val="004222FB"/>
    <w:rsid w:val="004225B5"/>
    <w:rsid w:val="00423ECD"/>
    <w:rsid w:val="004250BA"/>
    <w:rsid w:val="00425389"/>
    <w:rsid w:val="004256E8"/>
    <w:rsid w:val="0042608D"/>
    <w:rsid w:val="00426319"/>
    <w:rsid w:val="004267A0"/>
    <w:rsid w:val="00430674"/>
    <w:rsid w:val="00430924"/>
    <w:rsid w:val="004313B2"/>
    <w:rsid w:val="004317DD"/>
    <w:rsid w:val="00431CF0"/>
    <w:rsid w:val="0043214E"/>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156F"/>
    <w:rsid w:val="00472A6B"/>
    <w:rsid w:val="004730CD"/>
    <w:rsid w:val="00474734"/>
    <w:rsid w:val="00474BD6"/>
    <w:rsid w:val="004753EA"/>
    <w:rsid w:val="00477067"/>
    <w:rsid w:val="0047764D"/>
    <w:rsid w:val="00477B0A"/>
    <w:rsid w:val="00482362"/>
    <w:rsid w:val="00483AF6"/>
    <w:rsid w:val="004845BA"/>
    <w:rsid w:val="00484E5D"/>
    <w:rsid w:val="004851B1"/>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29C6"/>
    <w:rsid w:val="004A2C94"/>
    <w:rsid w:val="004A2E72"/>
    <w:rsid w:val="004A339A"/>
    <w:rsid w:val="004A33C5"/>
    <w:rsid w:val="004A3408"/>
    <w:rsid w:val="004A3427"/>
    <w:rsid w:val="004A35EC"/>
    <w:rsid w:val="004A55CE"/>
    <w:rsid w:val="004A63AD"/>
    <w:rsid w:val="004A6CD4"/>
    <w:rsid w:val="004A763F"/>
    <w:rsid w:val="004B002C"/>
    <w:rsid w:val="004B1146"/>
    <w:rsid w:val="004B5BDD"/>
    <w:rsid w:val="004B5C56"/>
    <w:rsid w:val="004B662A"/>
    <w:rsid w:val="004B79C2"/>
    <w:rsid w:val="004C0077"/>
    <w:rsid w:val="004C024F"/>
    <w:rsid w:val="004C19B1"/>
    <w:rsid w:val="004C1A50"/>
    <w:rsid w:val="004C1B3D"/>
    <w:rsid w:val="004C39DB"/>
    <w:rsid w:val="004C3C1F"/>
    <w:rsid w:val="004C4220"/>
    <w:rsid w:val="004C423E"/>
    <w:rsid w:val="004C4F84"/>
    <w:rsid w:val="004C69DC"/>
    <w:rsid w:val="004C7EAC"/>
    <w:rsid w:val="004D07AC"/>
    <w:rsid w:val="004D2A73"/>
    <w:rsid w:val="004D3047"/>
    <w:rsid w:val="004D3105"/>
    <w:rsid w:val="004D4A0E"/>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13CB"/>
    <w:rsid w:val="0051205B"/>
    <w:rsid w:val="00512076"/>
    <w:rsid w:val="00512C76"/>
    <w:rsid w:val="00512DE6"/>
    <w:rsid w:val="005135C9"/>
    <w:rsid w:val="00513791"/>
    <w:rsid w:val="00513EE1"/>
    <w:rsid w:val="00514286"/>
    <w:rsid w:val="0051455D"/>
    <w:rsid w:val="005145C1"/>
    <w:rsid w:val="005167B7"/>
    <w:rsid w:val="00520BD0"/>
    <w:rsid w:val="00520FDC"/>
    <w:rsid w:val="00521558"/>
    <w:rsid w:val="00521C1B"/>
    <w:rsid w:val="00521FA8"/>
    <w:rsid w:val="00521FF6"/>
    <w:rsid w:val="0052252E"/>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041"/>
    <w:rsid w:val="00537646"/>
    <w:rsid w:val="00541677"/>
    <w:rsid w:val="005432E2"/>
    <w:rsid w:val="00543984"/>
    <w:rsid w:val="005450F7"/>
    <w:rsid w:val="00545C5E"/>
    <w:rsid w:val="00545D29"/>
    <w:rsid w:val="0054671E"/>
    <w:rsid w:val="0054707A"/>
    <w:rsid w:val="005471EA"/>
    <w:rsid w:val="005474F2"/>
    <w:rsid w:val="00550853"/>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4719"/>
    <w:rsid w:val="00566FF8"/>
    <w:rsid w:val="0056771B"/>
    <w:rsid w:val="00567FD0"/>
    <w:rsid w:val="00571414"/>
    <w:rsid w:val="005719F3"/>
    <w:rsid w:val="00571C2F"/>
    <w:rsid w:val="00572072"/>
    <w:rsid w:val="00572649"/>
    <w:rsid w:val="005727E0"/>
    <w:rsid w:val="00572C44"/>
    <w:rsid w:val="00573C6F"/>
    <w:rsid w:val="00575C3F"/>
    <w:rsid w:val="005767CF"/>
    <w:rsid w:val="00576E0E"/>
    <w:rsid w:val="00577099"/>
    <w:rsid w:val="005774DA"/>
    <w:rsid w:val="005774F7"/>
    <w:rsid w:val="00581BAD"/>
    <w:rsid w:val="00583887"/>
    <w:rsid w:val="00583E2C"/>
    <w:rsid w:val="005844A7"/>
    <w:rsid w:val="00584C25"/>
    <w:rsid w:val="00584FB8"/>
    <w:rsid w:val="005853A4"/>
    <w:rsid w:val="00585418"/>
    <w:rsid w:val="0058575C"/>
    <w:rsid w:val="005857E0"/>
    <w:rsid w:val="00585FD8"/>
    <w:rsid w:val="00586C75"/>
    <w:rsid w:val="0058700F"/>
    <w:rsid w:val="005906D6"/>
    <w:rsid w:val="00591922"/>
    <w:rsid w:val="00592F05"/>
    <w:rsid w:val="00593229"/>
    <w:rsid w:val="00594791"/>
    <w:rsid w:val="005955B8"/>
    <w:rsid w:val="00595B50"/>
    <w:rsid w:val="0059630A"/>
    <w:rsid w:val="00596EB2"/>
    <w:rsid w:val="00597102"/>
    <w:rsid w:val="00597843"/>
    <w:rsid w:val="005979E9"/>
    <w:rsid w:val="00597A7A"/>
    <w:rsid w:val="005A0314"/>
    <w:rsid w:val="005A102D"/>
    <w:rsid w:val="005A1C36"/>
    <w:rsid w:val="005A23B9"/>
    <w:rsid w:val="005A2A02"/>
    <w:rsid w:val="005A422B"/>
    <w:rsid w:val="005A4EA4"/>
    <w:rsid w:val="005A51DE"/>
    <w:rsid w:val="005A76B0"/>
    <w:rsid w:val="005A7EAB"/>
    <w:rsid w:val="005B05FC"/>
    <w:rsid w:val="005B0DAB"/>
    <w:rsid w:val="005B10E5"/>
    <w:rsid w:val="005B26C5"/>
    <w:rsid w:val="005B432B"/>
    <w:rsid w:val="005B4A70"/>
    <w:rsid w:val="005B530E"/>
    <w:rsid w:val="005B5A68"/>
    <w:rsid w:val="005B6616"/>
    <w:rsid w:val="005B67AE"/>
    <w:rsid w:val="005B6C7D"/>
    <w:rsid w:val="005B7C00"/>
    <w:rsid w:val="005B7E52"/>
    <w:rsid w:val="005B7EB7"/>
    <w:rsid w:val="005B7F47"/>
    <w:rsid w:val="005C020F"/>
    <w:rsid w:val="005C0923"/>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CE8"/>
    <w:rsid w:val="005D5F44"/>
    <w:rsid w:val="005D6F33"/>
    <w:rsid w:val="005D799D"/>
    <w:rsid w:val="005E1036"/>
    <w:rsid w:val="005E250B"/>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196"/>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5AB8"/>
    <w:rsid w:val="00617BF8"/>
    <w:rsid w:val="00617CB5"/>
    <w:rsid w:val="00617E39"/>
    <w:rsid w:val="006212FF"/>
    <w:rsid w:val="006216C7"/>
    <w:rsid w:val="00622315"/>
    <w:rsid w:val="00622DA0"/>
    <w:rsid w:val="006239D2"/>
    <w:rsid w:val="0062434B"/>
    <w:rsid w:val="0062447E"/>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4C5"/>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494F"/>
    <w:rsid w:val="00684B96"/>
    <w:rsid w:val="00685F3B"/>
    <w:rsid w:val="006867FE"/>
    <w:rsid w:val="00686DEF"/>
    <w:rsid w:val="00687D03"/>
    <w:rsid w:val="0069003B"/>
    <w:rsid w:val="00692CA2"/>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5D0B"/>
    <w:rsid w:val="006B721F"/>
    <w:rsid w:val="006B7A97"/>
    <w:rsid w:val="006B7DAB"/>
    <w:rsid w:val="006C0ED1"/>
    <w:rsid w:val="006C119A"/>
    <w:rsid w:val="006C1BA2"/>
    <w:rsid w:val="006C288C"/>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5F19"/>
    <w:rsid w:val="006D6571"/>
    <w:rsid w:val="006D7AA7"/>
    <w:rsid w:val="006E0134"/>
    <w:rsid w:val="006E0487"/>
    <w:rsid w:val="006E0DFA"/>
    <w:rsid w:val="006E10AC"/>
    <w:rsid w:val="006E1C93"/>
    <w:rsid w:val="006E1D94"/>
    <w:rsid w:val="006E20B4"/>
    <w:rsid w:val="006E23C2"/>
    <w:rsid w:val="006E2473"/>
    <w:rsid w:val="006E32C0"/>
    <w:rsid w:val="006E3669"/>
    <w:rsid w:val="006E3C08"/>
    <w:rsid w:val="006E42AE"/>
    <w:rsid w:val="006E46D1"/>
    <w:rsid w:val="006E4C23"/>
    <w:rsid w:val="006E4DA5"/>
    <w:rsid w:val="006E4E37"/>
    <w:rsid w:val="006E5545"/>
    <w:rsid w:val="006F1224"/>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58F6"/>
    <w:rsid w:val="0070665D"/>
    <w:rsid w:val="007075E5"/>
    <w:rsid w:val="00707AF4"/>
    <w:rsid w:val="00710338"/>
    <w:rsid w:val="007104E1"/>
    <w:rsid w:val="00711632"/>
    <w:rsid w:val="007122C6"/>
    <w:rsid w:val="007132F7"/>
    <w:rsid w:val="00714040"/>
    <w:rsid w:val="00714D00"/>
    <w:rsid w:val="0071596C"/>
    <w:rsid w:val="00717D87"/>
    <w:rsid w:val="00720330"/>
    <w:rsid w:val="00721233"/>
    <w:rsid w:val="0072126B"/>
    <w:rsid w:val="00721428"/>
    <w:rsid w:val="00721560"/>
    <w:rsid w:val="0072159D"/>
    <w:rsid w:val="007224ED"/>
    <w:rsid w:val="00723CCF"/>
    <w:rsid w:val="007255B1"/>
    <w:rsid w:val="007261F1"/>
    <w:rsid w:val="007267BA"/>
    <w:rsid w:val="00726FB9"/>
    <w:rsid w:val="0072775B"/>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968"/>
    <w:rsid w:val="00743F42"/>
    <w:rsid w:val="007444CB"/>
    <w:rsid w:val="0074472E"/>
    <w:rsid w:val="00744C5B"/>
    <w:rsid w:val="0074599C"/>
    <w:rsid w:val="00746142"/>
    <w:rsid w:val="00746702"/>
    <w:rsid w:val="00746D26"/>
    <w:rsid w:val="00747A6F"/>
    <w:rsid w:val="0075030B"/>
    <w:rsid w:val="0075085C"/>
    <w:rsid w:val="00750CAE"/>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1AEF"/>
    <w:rsid w:val="007723D5"/>
    <w:rsid w:val="00773806"/>
    <w:rsid w:val="007769B3"/>
    <w:rsid w:val="007776CA"/>
    <w:rsid w:val="00780177"/>
    <w:rsid w:val="0078038B"/>
    <w:rsid w:val="00780B79"/>
    <w:rsid w:val="00781AAB"/>
    <w:rsid w:val="00781C39"/>
    <w:rsid w:val="0078203B"/>
    <w:rsid w:val="00782FEF"/>
    <w:rsid w:val="00783049"/>
    <w:rsid w:val="00783A8A"/>
    <w:rsid w:val="0078417B"/>
    <w:rsid w:val="00786222"/>
    <w:rsid w:val="007862D9"/>
    <w:rsid w:val="00786753"/>
    <w:rsid w:val="00787045"/>
    <w:rsid w:val="0079078D"/>
    <w:rsid w:val="00790AFD"/>
    <w:rsid w:val="00790F1A"/>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2C3"/>
    <w:rsid w:val="007B44B5"/>
    <w:rsid w:val="007B4DC3"/>
    <w:rsid w:val="007B6AE9"/>
    <w:rsid w:val="007B6DE8"/>
    <w:rsid w:val="007C0C43"/>
    <w:rsid w:val="007C17C6"/>
    <w:rsid w:val="007C3D13"/>
    <w:rsid w:val="007C627E"/>
    <w:rsid w:val="007C779D"/>
    <w:rsid w:val="007D04E8"/>
    <w:rsid w:val="007D0FC4"/>
    <w:rsid w:val="007D119B"/>
    <w:rsid w:val="007D128A"/>
    <w:rsid w:val="007D17C7"/>
    <w:rsid w:val="007D196E"/>
    <w:rsid w:val="007D1D8F"/>
    <w:rsid w:val="007D2C20"/>
    <w:rsid w:val="007D41A5"/>
    <w:rsid w:val="007D51DD"/>
    <w:rsid w:val="007D62CF"/>
    <w:rsid w:val="007D6377"/>
    <w:rsid w:val="007D7120"/>
    <w:rsid w:val="007D72DD"/>
    <w:rsid w:val="007D76E7"/>
    <w:rsid w:val="007D799A"/>
    <w:rsid w:val="007E130A"/>
    <w:rsid w:val="007E218A"/>
    <w:rsid w:val="007E59D4"/>
    <w:rsid w:val="007E6EAB"/>
    <w:rsid w:val="007E7296"/>
    <w:rsid w:val="007F12CD"/>
    <w:rsid w:val="007F1C24"/>
    <w:rsid w:val="007F2282"/>
    <w:rsid w:val="007F3333"/>
    <w:rsid w:val="007F3706"/>
    <w:rsid w:val="007F3C74"/>
    <w:rsid w:val="007F49DD"/>
    <w:rsid w:val="007F4A0E"/>
    <w:rsid w:val="007F4A8B"/>
    <w:rsid w:val="007F5C24"/>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754"/>
    <w:rsid w:val="00832A0B"/>
    <w:rsid w:val="00832E3A"/>
    <w:rsid w:val="0083477D"/>
    <w:rsid w:val="008400FE"/>
    <w:rsid w:val="008403BC"/>
    <w:rsid w:val="00841358"/>
    <w:rsid w:val="0084161D"/>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879"/>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4512"/>
    <w:rsid w:val="008951D6"/>
    <w:rsid w:val="0089600B"/>
    <w:rsid w:val="008963F5"/>
    <w:rsid w:val="008976B5"/>
    <w:rsid w:val="00897EC8"/>
    <w:rsid w:val="008A02B1"/>
    <w:rsid w:val="008A1501"/>
    <w:rsid w:val="008A36DD"/>
    <w:rsid w:val="008A3F5A"/>
    <w:rsid w:val="008A5FAA"/>
    <w:rsid w:val="008A7414"/>
    <w:rsid w:val="008B0984"/>
    <w:rsid w:val="008B1F00"/>
    <w:rsid w:val="008B21DE"/>
    <w:rsid w:val="008B2239"/>
    <w:rsid w:val="008B333D"/>
    <w:rsid w:val="008B47ED"/>
    <w:rsid w:val="008B6323"/>
    <w:rsid w:val="008B6399"/>
    <w:rsid w:val="008B6EDB"/>
    <w:rsid w:val="008C110B"/>
    <w:rsid w:val="008C1F09"/>
    <w:rsid w:val="008C22CA"/>
    <w:rsid w:val="008C2381"/>
    <w:rsid w:val="008C2733"/>
    <w:rsid w:val="008C2E7B"/>
    <w:rsid w:val="008C3389"/>
    <w:rsid w:val="008C35F5"/>
    <w:rsid w:val="008C462C"/>
    <w:rsid w:val="008C4831"/>
    <w:rsid w:val="008C6718"/>
    <w:rsid w:val="008D0B57"/>
    <w:rsid w:val="008D1519"/>
    <w:rsid w:val="008D3C76"/>
    <w:rsid w:val="008D3E2E"/>
    <w:rsid w:val="008D40FE"/>
    <w:rsid w:val="008D429D"/>
    <w:rsid w:val="008D44A6"/>
    <w:rsid w:val="008D5502"/>
    <w:rsid w:val="008D5B86"/>
    <w:rsid w:val="008D6AE9"/>
    <w:rsid w:val="008D6C1D"/>
    <w:rsid w:val="008D6EC7"/>
    <w:rsid w:val="008D792D"/>
    <w:rsid w:val="008E0015"/>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5489"/>
    <w:rsid w:val="009063E7"/>
    <w:rsid w:val="00906A2C"/>
    <w:rsid w:val="00907B36"/>
    <w:rsid w:val="00911D00"/>
    <w:rsid w:val="00911E6D"/>
    <w:rsid w:val="009148B5"/>
    <w:rsid w:val="00914DCE"/>
    <w:rsid w:val="00914E44"/>
    <w:rsid w:val="009172A2"/>
    <w:rsid w:val="00917F98"/>
    <w:rsid w:val="00922F84"/>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76E6"/>
    <w:rsid w:val="0094775D"/>
    <w:rsid w:val="00947914"/>
    <w:rsid w:val="0095401B"/>
    <w:rsid w:val="009546FA"/>
    <w:rsid w:val="00954CC7"/>
    <w:rsid w:val="009550FB"/>
    <w:rsid w:val="009601CF"/>
    <w:rsid w:val="00960C5A"/>
    <w:rsid w:val="00960E78"/>
    <w:rsid w:val="00960F09"/>
    <w:rsid w:val="00961025"/>
    <w:rsid w:val="00961DC5"/>
    <w:rsid w:val="009621A3"/>
    <w:rsid w:val="00962CC9"/>
    <w:rsid w:val="009632C6"/>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34A"/>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070"/>
    <w:rsid w:val="009D2C63"/>
    <w:rsid w:val="009D2CDD"/>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9E0"/>
    <w:rsid w:val="009F5B28"/>
    <w:rsid w:val="009F6BDF"/>
    <w:rsid w:val="009F6C11"/>
    <w:rsid w:val="009F6DBF"/>
    <w:rsid w:val="009F734C"/>
    <w:rsid w:val="009F757B"/>
    <w:rsid w:val="009F7948"/>
    <w:rsid w:val="00A022AC"/>
    <w:rsid w:val="00A022BD"/>
    <w:rsid w:val="00A027F6"/>
    <w:rsid w:val="00A02E09"/>
    <w:rsid w:val="00A0423C"/>
    <w:rsid w:val="00A05515"/>
    <w:rsid w:val="00A067B2"/>
    <w:rsid w:val="00A070CC"/>
    <w:rsid w:val="00A0716B"/>
    <w:rsid w:val="00A0776D"/>
    <w:rsid w:val="00A07E6E"/>
    <w:rsid w:val="00A10BC0"/>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2D39"/>
    <w:rsid w:val="00A23CD6"/>
    <w:rsid w:val="00A23EFF"/>
    <w:rsid w:val="00A24765"/>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38DC"/>
    <w:rsid w:val="00A540FA"/>
    <w:rsid w:val="00A54900"/>
    <w:rsid w:val="00A553B3"/>
    <w:rsid w:val="00A55CFE"/>
    <w:rsid w:val="00A560B4"/>
    <w:rsid w:val="00A562F7"/>
    <w:rsid w:val="00A5672A"/>
    <w:rsid w:val="00A60679"/>
    <w:rsid w:val="00A60AB2"/>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E08"/>
    <w:rsid w:val="00A74F9C"/>
    <w:rsid w:val="00A754D8"/>
    <w:rsid w:val="00A76081"/>
    <w:rsid w:val="00A767BB"/>
    <w:rsid w:val="00A76ED9"/>
    <w:rsid w:val="00A77DA0"/>
    <w:rsid w:val="00A8099F"/>
    <w:rsid w:val="00A80F72"/>
    <w:rsid w:val="00A81798"/>
    <w:rsid w:val="00A81A9C"/>
    <w:rsid w:val="00A83A12"/>
    <w:rsid w:val="00A83DE6"/>
    <w:rsid w:val="00A83F83"/>
    <w:rsid w:val="00A84669"/>
    <w:rsid w:val="00A84DA9"/>
    <w:rsid w:val="00A850BE"/>
    <w:rsid w:val="00A8532B"/>
    <w:rsid w:val="00A856C5"/>
    <w:rsid w:val="00A863DD"/>
    <w:rsid w:val="00A90695"/>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4C8"/>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1FE4"/>
    <w:rsid w:val="00AC21F5"/>
    <w:rsid w:val="00AC226A"/>
    <w:rsid w:val="00AC411E"/>
    <w:rsid w:val="00AC424A"/>
    <w:rsid w:val="00AC4702"/>
    <w:rsid w:val="00AC4D7F"/>
    <w:rsid w:val="00AC5213"/>
    <w:rsid w:val="00AC5810"/>
    <w:rsid w:val="00AC5C00"/>
    <w:rsid w:val="00AC688B"/>
    <w:rsid w:val="00AD210E"/>
    <w:rsid w:val="00AD2370"/>
    <w:rsid w:val="00AD2744"/>
    <w:rsid w:val="00AD4FDE"/>
    <w:rsid w:val="00AD5792"/>
    <w:rsid w:val="00AD694B"/>
    <w:rsid w:val="00AD7087"/>
    <w:rsid w:val="00AE2548"/>
    <w:rsid w:val="00AE37B5"/>
    <w:rsid w:val="00AE3B00"/>
    <w:rsid w:val="00AE3BC8"/>
    <w:rsid w:val="00AE42D3"/>
    <w:rsid w:val="00AE4FD7"/>
    <w:rsid w:val="00AE5870"/>
    <w:rsid w:val="00AE627B"/>
    <w:rsid w:val="00AE6B42"/>
    <w:rsid w:val="00AE7739"/>
    <w:rsid w:val="00AE782E"/>
    <w:rsid w:val="00AE786D"/>
    <w:rsid w:val="00AE7AD9"/>
    <w:rsid w:val="00AE7BC9"/>
    <w:rsid w:val="00AE7DC7"/>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25C5B"/>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50697"/>
    <w:rsid w:val="00B51BFB"/>
    <w:rsid w:val="00B531F8"/>
    <w:rsid w:val="00B5485C"/>
    <w:rsid w:val="00B54B48"/>
    <w:rsid w:val="00B565B6"/>
    <w:rsid w:val="00B56E20"/>
    <w:rsid w:val="00B601FB"/>
    <w:rsid w:val="00B61D63"/>
    <w:rsid w:val="00B63CA4"/>
    <w:rsid w:val="00B64445"/>
    <w:rsid w:val="00B644CE"/>
    <w:rsid w:val="00B6478F"/>
    <w:rsid w:val="00B64E75"/>
    <w:rsid w:val="00B66126"/>
    <w:rsid w:val="00B705B5"/>
    <w:rsid w:val="00B70C75"/>
    <w:rsid w:val="00B717DC"/>
    <w:rsid w:val="00B720E3"/>
    <w:rsid w:val="00B72169"/>
    <w:rsid w:val="00B727EA"/>
    <w:rsid w:val="00B72F9D"/>
    <w:rsid w:val="00B739A7"/>
    <w:rsid w:val="00B73E0B"/>
    <w:rsid w:val="00B762ED"/>
    <w:rsid w:val="00B77287"/>
    <w:rsid w:val="00B77F7B"/>
    <w:rsid w:val="00B8047C"/>
    <w:rsid w:val="00B80C64"/>
    <w:rsid w:val="00B826D9"/>
    <w:rsid w:val="00B833F4"/>
    <w:rsid w:val="00B85EF8"/>
    <w:rsid w:val="00B8668D"/>
    <w:rsid w:val="00B86D63"/>
    <w:rsid w:val="00B877E8"/>
    <w:rsid w:val="00B902DB"/>
    <w:rsid w:val="00B90445"/>
    <w:rsid w:val="00B90CE7"/>
    <w:rsid w:val="00B91622"/>
    <w:rsid w:val="00B916D2"/>
    <w:rsid w:val="00B94123"/>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1F00"/>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5EB"/>
    <w:rsid w:val="00BE66CD"/>
    <w:rsid w:val="00BE76E2"/>
    <w:rsid w:val="00BE7E94"/>
    <w:rsid w:val="00BF0C9B"/>
    <w:rsid w:val="00BF2121"/>
    <w:rsid w:val="00BF2B61"/>
    <w:rsid w:val="00BF3222"/>
    <w:rsid w:val="00BF4B23"/>
    <w:rsid w:val="00BF60AE"/>
    <w:rsid w:val="00BF678E"/>
    <w:rsid w:val="00BF6DA5"/>
    <w:rsid w:val="00BF6E09"/>
    <w:rsid w:val="00C0037E"/>
    <w:rsid w:val="00C03817"/>
    <w:rsid w:val="00C03ED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44A"/>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898"/>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E2A"/>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1B2"/>
    <w:rsid w:val="00C82BC8"/>
    <w:rsid w:val="00C84015"/>
    <w:rsid w:val="00C845F4"/>
    <w:rsid w:val="00C85E77"/>
    <w:rsid w:val="00C86B5C"/>
    <w:rsid w:val="00C86C1B"/>
    <w:rsid w:val="00C86E6D"/>
    <w:rsid w:val="00C876B1"/>
    <w:rsid w:val="00C8779E"/>
    <w:rsid w:val="00C911D4"/>
    <w:rsid w:val="00C91287"/>
    <w:rsid w:val="00C92168"/>
    <w:rsid w:val="00C93521"/>
    <w:rsid w:val="00C93888"/>
    <w:rsid w:val="00C93BB4"/>
    <w:rsid w:val="00C94704"/>
    <w:rsid w:val="00C94D3F"/>
    <w:rsid w:val="00C96459"/>
    <w:rsid w:val="00C96E38"/>
    <w:rsid w:val="00C9731B"/>
    <w:rsid w:val="00C973DE"/>
    <w:rsid w:val="00C97C92"/>
    <w:rsid w:val="00CA0401"/>
    <w:rsid w:val="00CA0A89"/>
    <w:rsid w:val="00CA11F6"/>
    <w:rsid w:val="00CA1375"/>
    <w:rsid w:val="00CA162E"/>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BB2"/>
    <w:rsid w:val="00CC3911"/>
    <w:rsid w:val="00CC481B"/>
    <w:rsid w:val="00CC66B9"/>
    <w:rsid w:val="00CC6847"/>
    <w:rsid w:val="00CD088F"/>
    <w:rsid w:val="00CD0AD4"/>
    <w:rsid w:val="00CD0D99"/>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3ACA"/>
    <w:rsid w:val="00CE4DAC"/>
    <w:rsid w:val="00CE4FCA"/>
    <w:rsid w:val="00CE6A0A"/>
    <w:rsid w:val="00CE6F12"/>
    <w:rsid w:val="00CE7E61"/>
    <w:rsid w:val="00CE7ED6"/>
    <w:rsid w:val="00CF0409"/>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6FC9"/>
    <w:rsid w:val="00D073F3"/>
    <w:rsid w:val="00D077B7"/>
    <w:rsid w:val="00D07887"/>
    <w:rsid w:val="00D07B61"/>
    <w:rsid w:val="00D07D80"/>
    <w:rsid w:val="00D10178"/>
    <w:rsid w:val="00D101D2"/>
    <w:rsid w:val="00D10A35"/>
    <w:rsid w:val="00D11084"/>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4EB"/>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57D10"/>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742"/>
    <w:rsid w:val="00D828AC"/>
    <w:rsid w:val="00D83251"/>
    <w:rsid w:val="00D8482F"/>
    <w:rsid w:val="00D85744"/>
    <w:rsid w:val="00D8624B"/>
    <w:rsid w:val="00D863F8"/>
    <w:rsid w:val="00D86CB2"/>
    <w:rsid w:val="00D90682"/>
    <w:rsid w:val="00D90C42"/>
    <w:rsid w:val="00D90FDA"/>
    <w:rsid w:val="00D91844"/>
    <w:rsid w:val="00D93B7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A79DA"/>
    <w:rsid w:val="00DB03D9"/>
    <w:rsid w:val="00DB0ED2"/>
    <w:rsid w:val="00DB139A"/>
    <w:rsid w:val="00DB13D6"/>
    <w:rsid w:val="00DB3587"/>
    <w:rsid w:val="00DB4122"/>
    <w:rsid w:val="00DB52EA"/>
    <w:rsid w:val="00DB5BAA"/>
    <w:rsid w:val="00DB6C28"/>
    <w:rsid w:val="00DB7330"/>
    <w:rsid w:val="00DB7BD6"/>
    <w:rsid w:val="00DC01CF"/>
    <w:rsid w:val="00DC0304"/>
    <w:rsid w:val="00DC048F"/>
    <w:rsid w:val="00DC05AA"/>
    <w:rsid w:val="00DC05C9"/>
    <w:rsid w:val="00DC0703"/>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4FDA"/>
    <w:rsid w:val="00DD63EA"/>
    <w:rsid w:val="00DD7942"/>
    <w:rsid w:val="00DD7C9A"/>
    <w:rsid w:val="00DE0F91"/>
    <w:rsid w:val="00DE1EB2"/>
    <w:rsid w:val="00DE260A"/>
    <w:rsid w:val="00DE3126"/>
    <w:rsid w:val="00DE3142"/>
    <w:rsid w:val="00DE3877"/>
    <w:rsid w:val="00DE48CE"/>
    <w:rsid w:val="00DE4E50"/>
    <w:rsid w:val="00DE4F7E"/>
    <w:rsid w:val="00DE50B8"/>
    <w:rsid w:val="00DE51AF"/>
    <w:rsid w:val="00DE6415"/>
    <w:rsid w:val="00DE6453"/>
    <w:rsid w:val="00DE6A64"/>
    <w:rsid w:val="00DE72F6"/>
    <w:rsid w:val="00DE75A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2D"/>
    <w:rsid w:val="00DF55D3"/>
    <w:rsid w:val="00DF7250"/>
    <w:rsid w:val="00DF72A5"/>
    <w:rsid w:val="00DF7B25"/>
    <w:rsid w:val="00DF7B48"/>
    <w:rsid w:val="00E00BCE"/>
    <w:rsid w:val="00E02B75"/>
    <w:rsid w:val="00E04341"/>
    <w:rsid w:val="00E04E49"/>
    <w:rsid w:val="00E04F98"/>
    <w:rsid w:val="00E05BBE"/>
    <w:rsid w:val="00E060D6"/>
    <w:rsid w:val="00E06342"/>
    <w:rsid w:val="00E0677E"/>
    <w:rsid w:val="00E07ED7"/>
    <w:rsid w:val="00E10C8D"/>
    <w:rsid w:val="00E10D18"/>
    <w:rsid w:val="00E1153C"/>
    <w:rsid w:val="00E11A31"/>
    <w:rsid w:val="00E11AF9"/>
    <w:rsid w:val="00E13035"/>
    <w:rsid w:val="00E1336E"/>
    <w:rsid w:val="00E134B3"/>
    <w:rsid w:val="00E1363E"/>
    <w:rsid w:val="00E143C7"/>
    <w:rsid w:val="00E15AF6"/>
    <w:rsid w:val="00E15FF2"/>
    <w:rsid w:val="00E1624F"/>
    <w:rsid w:val="00E20949"/>
    <w:rsid w:val="00E22095"/>
    <w:rsid w:val="00E22B41"/>
    <w:rsid w:val="00E24E70"/>
    <w:rsid w:val="00E25417"/>
    <w:rsid w:val="00E2644D"/>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6D7"/>
    <w:rsid w:val="00E4395B"/>
    <w:rsid w:val="00E44EE7"/>
    <w:rsid w:val="00E451F1"/>
    <w:rsid w:val="00E45518"/>
    <w:rsid w:val="00E45D67"/>
    <w:rsid w:val="00E47071"/>
    <w:rsid w:val="00E50CAC"/>
    <w:rsid w:val="00E52070"/>
    <w:rsid w:val="00E526C3"/>
    <w:rsid w:val="00E52BA5"/>
    <w:rsid w:val="00E53907"/>
    <w:rsid w:val="00E54872"/>
    <w:rsid w:val="00E54C00"/>
    <w:rsid w:val="00E56697"/>
    <w:rsid w:val="00E60023"/>
    <w:rsid w:val="00E600D6"/>
    <w:rsid w:val="00E60270"/>
    <w:rsid w:val="00E605AE"/>
    <w:rsid w:val="00E61016"/>
    <w:rsid w:val="00E61031"/>
    <w:rsid w:val="00E613A0"/>
    <w:rsid w:val="00E61705"/>
    <w:rsid w:val="00E61D84"/>
    <w:rsid w:val="00E620AE"/>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1C27"/>
    <w:rsid w:val="00E8332B"/>
    <w:rsid w:val="00E8455F"/>
    <w:rsid w:val="00E8721F"/>
    <w:rsid w:val="00E874B4"/>
    <w:rsid w:val="00E90F8A"/>
    <w:rsid w:val="00E9259D"/>
    <w:rsid w:val="00E93101"/>
    <w:rsid w:val="00E9313E"/>
    <w:rsid w:val="00E948A5"/>
    <w:rsid w:val="00E94E2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452C"/>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6E2"/>
    <w:rsid w:val="00EF3B2E"/>
    <w:rsid w:val="00EF4657"/>
    <w:rsid w:val="00EF4AAC"/>
    <w:rsid w:val="00EF4C37"/>
    <w:rsid w:val="00EF5378"/>
    <w:rsid w:val="00EF54AC"/>
    <w:rsid w:val="00EF59F0"/>
    <w:rsid w:val="00F00465"/>
    <w:rsid w:val="00F00F70"/>
    <w:rsid w:val="00F02FDE"/>
    <w:rsid w:val="00F045F2"/>
    <w:rsid w:val="00F05C0C"/>
    <w:rsid w:val="00F05C68"/>
    <w:rsid w:val="00F07437"/>
    <w:rsid w:val="00F075A8"/>
    <w:rsid w:val="00F10850"/>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5B08"/>
    <w:rsid w:val="00F362B5"/>
    <w:rsid w:val="00F36B80"/>
    <w:rsid w:val="00F371DE"/>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20E"/>
    <w:rsid w:val="00F76B24"/>
    <w:rsid w:val="00F76B4C"/>
    <w:rsid w:val="00F7719C"/>
    <w:rsid w:val="00F773B6"/>
    <w:rsid w:val="00F7747B"/>
    <w:rsid w:val="00F777F3"/>
    <w:rsid w:val="00F77815"/>
    <w:rsid w:val="00F77B94"/>
    <w:rsid w:val="00F80155"/>
    <w:rsid w:val="00F8118E"/>
    <w:rsid w:val="00F818FA"/>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2FED"/>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0379CE"/>
    <w:rsid w:val="02497DC5"/>
    <w:rsid w:val="02AE18B4"/>
    <w:rsid w:val="02D72892"/>
    <w:rsid w:val="0313351D"/>
    <w:rsid w:val="03225EBC"/>
    <w:rsid w:val="0331568B"/>
    <w:rsid w:val="03331B52"/>
    <w:rsid w:val="034E123B"/>
    <w:rsid w:val="036D4E4E"/>
    <w:rsid w:val="038462CE"/>
    <w:rsid w:val="03AF009C"/>
    <w:rsid w:val="03B22EB7"/>
    <w:rsid w:val="03EE1974"/>
    <w:rsid w:val="03F946A1"/>
    <w:rsid w:val="04360928"/>
    <w:rsid w:val="0498022D"/>
    <w:rsid w:val="04C41D07"/>
    <w:rsid w:val="04D47AED"/>
    <w:rsid w:val="04D72BD5"/>
    <w:rsid w:val="04DD0BDE"/>
    <w:rsid w:val="04F211FD"/>
    <w:rsid w:val="054144F3"/>
    <w:rsid w:val="05BF3C09"/>
    <w:rsid w:val="05C11CB3"/>
    <w:rsid w:val="06291F19"/>
    <w:rsid w:val="062A4F87"/>
    <w:rsid w:val="06311428"/>
    <w:rsid w:val="064B2EFA"/>
    <w:rsid w:val="067D1BFA"/>
    <w:rsid w:val="06986394"/>
    <w:rsid w:val="06B2781F"/>
    <w:rsid w:val="06BC4119"/>
    <w:rsid w:val="06FC4FE2"/>
    <w:rsid w:val="071E1F77"/>
    <w:rsid w:val="07230354"/>
    <w:rsid w:val="078330CF"/>
    <w:rsid w:val="07B92A66"/>
    <w:rsid w:val="07CB7562"/>
    <w:rsid w:val="08210512"/>
    <w:rsid w:val="08246B9D"/>
    <w:rsid w:val="0841589E"/>
    <w:rsid w:val="08606D2F"/>
    <w:rsid w:val="08A5700D"/>
    <w:rsid w:val="08A950C0"/>
    <w:rsid w:val="08D55A15"/>
    <w:rsid w:val="09320D22"/>
    <w:rsid w:val="094A73A8"/>
    <w:rsid w:val="094F54E0"/>
    <w:rsid w:val="09A81427"/>
    <w:rsid w:val="09B252A0"/>
    <w:rsid w:val="0A0E7CC3"/>
    <w:rsid w:val="0A9C3FF0"/>
    <w:rsid w:val="0A9D5F75"/>
    <w:rsid w:val="0AAE050B"/>
    <w:rsid w:val="0B3E34A4"/>
    <w:rsid w:val="0B7D3B65"/>
    <w:rsid w:val="0B861314"/>
    <w:rsid w:val="0BA76028"/>
    <w:rsid w:val="0BF927F0"/>
    <w:rsid w:val="0C1B1C59"/>
    <w:rsid w:val="0C527C98"/>
    <w:rsid w:val="0C6A6D99"/>
    <w:rsid w:val="0C6D7423"/>
    <w:rsid w:val="0CCC02C9"/>
    <w:rsid w:val="0CDE0DBE"/>
    <w:rsid w:val="0D23491D"/>
    <w:rsid w:val="0D4268F6"/>
    <w:rsid w:val="0D663D9A"/>
    <w:rsid w:val="0D6D7E7A"/>
    <w:rsid w:val="0D803DE0"/>
    <w:rsid w:val="0D8A1F3D"/>
    <w:rsid w:val="0D9B25D5"/>
    <w:rsid w:val="0DDA73BB"/>
    <w:rsid w:val="0DFF4618"/>
    <w:rsid w:val="0E1606BA"/>
    <w:rsid w:val="0E2F32CD"/>
    <w:rsid w:val="0E466A71"/>
    <w:rsid w:val="0E817E24"/>
    <w:rsid w:val="0EA65706"/>
    <w:rsid w:val="0EA867EE"/>
    <w:rsid w:val="0EAB79FE"/>
    <w:rsid w:val="0EAE4631"/>
    <w:rsid w:val="0ED938A1"/>
    <w:rsid w:val="0F1F783B"/>
    <w:rsid w:val="0F2332B5"/>
    <w:rsid w:val="0F3672DB"/>
    <w:rsid w:val="0F3B1C50"/>
    <w:rsid w:val="0F4B5006"/>
    <w:rsid w:val="0F6C173D"/>
    <w:rsid w:val="0F723707"/>
    <w:rsid w:val="0F9C5CAA"/>
    <w:rsid w:val="0F9E1512"/>
    <w:rsid w:val="0FC6545B"/>
    <w:rsid w:val="0FE515BF"/>
    <w:rsid w:val="0FF11AD6"/>
    <w:rsid w:val="10085717"/>
    <w:rsid w:val="10375121"/>
    <w:rsid w:val="1067666B"/>
    <w:rsid w:val="10AD2D8F"/>
    <w:rsid w:val="10EC36E3"/>
    <w:rsid w:val="10EE19D3"/>
    <w:rsid w:val="11186A30"/>
    <w:rsid w:val="1120753A"/>
    <w:rsid w:val="11A67D57"/>
    <w:rsid w:val="1202516B"/>
    <w:rsid w:val="12083555"/>
    <w:rsid w:val="129E0923"/>
    <w:rsid w:val="129E21C9"/>
    <w:rsid w:val="12C51243"/>
    <w:rsid w:val="12E4191E"/>
    <w:rsid w:val="12E62049"/>
    <w:rsid w:val="12F61266"/>
    <w:rsid w:val="12FF1AC9"/>
    <w:rsid w:val="132B52D8"/>
    <w:rsid w:val="13655D82"/>
    <w:rsid w:val="137E513F"/>
    <w:rsid w:val="13A64828"/>
    <w:rsid w:val="13FF40DE"/>
    <w:rsid w:val="14290E4D"/>
    <w:rsid w:val="14770F16"/>
    <w:rsid w:val="14935D07"/>
    <w:rsid w:val="14B44CE1"/>
    <w:rsid w:val="14B80346"/>
    <w:rsid w:val="14BE670D"/>
    <w:rsid w:val="14DA5C82"/>
    <w:rsid w:val="14DF4D11"/>
    <w:rsid w:val="14F52FE5"/>
    <w:rsid w:val="150348FA"/>
    <w:rsid w:val="1510360E"/>
    <w:rsid w:val="15205FE5"/>
    <w:rsid w:val="15AD23FE"/>
    <w:rsid w:val="15AE34DE"/>
    <w:rsid w:val="15D67E96"/>
    <w:rsid w:val="160F6598"/>
    <w:rsid w:val="161D0F66"/>
    <w:rsid w:val="16337603"/>
    <w:rsid w:val="16A93BC6"/>
    <w:rsid w:val="16EF2001"/>
    <w:rsid w:val="171447CD"/>
    <w:rsid w:val="175224D1"/>
    <w:rsid w:val="17861225"/>
    <w:rsid w:val="17A61150"/>
    <w:rsid w:val="17BB2990"/>
    <w:rsid w:val="17DB7F17"/>
    <w:rsid w:val="180065DE"/>
    <w:rsid w:val="18040BE2"/>
    <w:rsid w:val="184C3CD0"/>
    <w:rsid w:val="18512847"/>
    <w:rsid w:val="18562E3A"/>
    <w:rsid w:val="18713064"/>
    <w:rsid w:val="188B3CBD"/>
    <w:rsid w:val="189B6524"/>
    <w:rsid w:val="18B70996"/>
    <w:rsid w:val="18F56459"/>
    <w:rsid w:val="195C76F5"/>
    <w:rsid w:val="19772B02"/>
    <w:rsid w:val="19791E80"/>
    <w:rsid w:val="19C2772D"/>
    <w:rsid w:val="19C563F9"/>
    <w:rsid w:val="1A4E2C79"/>
    <w:rsid w:val="1A5B36E3"/>
    <w:rsid w:val="1A621243"/>
    <w:rsid w:val="1A6E76E0"/>
    <w:rsid w:val="1AC45552"/>
    <w:rsid w:val="1AE6442F"/>
    <w:rsid w:val="1AE72562"/>
    <w:rsid w:val="1AFD7DD2"/>
    <w:rsid w:val="1B1172A3"/>
    <w:rsid w:val="1B1A3DC2"/>
    <w:rsid w:val="1B3D238A"/>
    <w:rsid w:val="1BA77E3C"/>
    <w:rsid w:val="1BE514FB"/>
    <w:rsid w:val="1C0E4FD7"/>
    <w:rsid w:val="1C1F2E00"/>
    <w:rsid w:val="1C385A98"/>
    <w:rsid w:val="1C3D7F62"/>
    <w:rsid w:val="1C5B59DF"/>
    <w:rsid w:val="1CA56F4F"/>
    <w:rsid w:val="1CAF2B6F"/>
    <w:rsid w:val="1CB61FE1"/>
    <w:rsid w:val="1CB83672"/>
    <w:rsid w:val="1CC70C64"/>
    <w:rsid w:val="1CCD47D1"/>
    <w:rsid w:val="1CE63000"/>
    <w:rsid w:val="1CF24185"/>
    <w:rsid w:val="1CF5372F"/>
    <w:rsid w:val="1D0330AF"/>
    <w:rsid w:val="1D230157"/>
    <w:rsid w:val="1D4B5AB7"/>
    <w:rsid w:val="1D6F0EAA"/>
    <w:rsid w:val="1DBA2812"/>
    <w:rsid w:val="1DBA5E0C"/>
    <w:rsid w:val="1DE76E77"/>
    <w:rsid w:val="1DFA622C"/>
    <w:rsid w:val="1E2B7A27"/>
    <w:rsid w:val="1E413DFF"/>
    <w:rsid w:val="1E7FDB4B"/>
    <w:rsid w:val="1E9D7E62"/>
    <w:rsid w:val="1ED26B6B"/>
    <w:rsid w:val="1EE1004B"/>
    <w:rsid w:val="1F403D00"/>
    <w:rsid w:val="1F656EE5"/>
    <w:rsid w:val="1F754312"/>
    <w:rsid w:val="1FB73684"/>
    <w:rsid w:val="1FCB2C57"/>
    <w:rsid w:val="1FCD7C69"/>
    <w:rsid w:val="1FDE0E64"/>
    <w:rsid w:val="1FE1254C"/>
    <w:rsid w:val="1FF030A7"/>
    <w:rsid w:val="1FFD5D08"/>
    <w:rsid w:val="1FFF19CA"/>
    <w:rsid w:val="200118CD"/>
    <w:rsid w:val="204A5E21"/>
    <w:rsid w:val="204D5FEA"/>
    <w:rsid w:val="2092780F"/>
    <w:rsid w:val="20D34741"/>
    <w:rsid w:val="20FB17E4"/>
    <w:rsid w:val="21041B4F"/>
    <w:rsid w:val="212E107B"/>
    <w:rsid w:val="21661111"/>
    <w:rsid w:val="217A22CB"/>
    <w:rsid w:val="219405BB"/>
    <w:rsid w:val="219E55D3"/>
    <w:rsid w:val="21A97F88"/>
    <w:rsid w:val="21B5392E"/>
    <w:rsid w:val="22141A80"/>
    <w:rsid w:val="221A0B49"/>
    <w:rsid w:val="225D46D5"/>
    <w:rsid w:val="22BC414A"/>
    <w:rsid w:val="22DE5C37"/>
    <w:rsid w:val="22F00A49"/>
    <w:rsid w:val="231E25BB"/>
    <w:rsid w:val="23474BA1"/>
    <w:rsid w:val="23522A46"/>
    <w:rsid w:val="235303CC"/>
    <w:rsid w:val="23956A32"/>
    <w:rsid w:val="23B50BAC"/>
    <w:rsid w:val="23FF13A9"/>
    <w:rsid w:val="24043D2A"/>
    <w:rsid w:val="24085B1D"/>
    <w:rsid w:val="241C7C73"/>
    <w:rsid w:val="241E5CD3"/>
    <w:rsid w:val="244F06AA"/>
    <w:rsid w:val="246663ED"/>
    <w:rsid w:val="24671674"/>
    <w:rsid w:val="246D27B7"/>
    <w:rsid w:val="24926765"/>
    <w:rsid w:val="24B659C5"/>
    <w:rsid w:val="24CA7C09"/>
    <w:rsid w:val="24E61C66"/>
    <w:rsid w:val="24EB5A5A"/>
    <w:rsid w:val="250D6B57"/>
    <w:rsid w:val="25137802"/>
    <w:rsid w:val="25284887"/>
    <w:rsid w:val="258157FB"/>
    <w:rsid w:val="25961F6A"/>
    <w:rsid w:val="25BA0ADA"/>
    <w:rsid w:val="25D4692C"/>
    <w:rsid w:val="25D9195D"/>
    <w:rsid w:val="2602134E"/>
    <w:rsid w:val="262518DA"/>
    <w:rsid w:val="267D2399"/>
    <w:rsid w:val="268C70C4"/>
    <w:rsid w:val="26C3475A"/>
    <w:rsid w:val="274243CE"/>
    <w:rsid w:val="27513464"/>
    <w:rsid w:val="27617FC1"/>
    <w:rsid w:val="27AA2ECC"/>
    <w:rsid w:val="27C10C81"/>
    <w:rsid w:val="27C6599E"/>
    <w:rsid w:val="282835C4"/>
    <w:rsid w:val="287A53A0"/>
    <w:rsid w:val="289D60C5"/>
    <w:rsid w:val="28B5297E"/>
    <w:rsid w:val="290F02E0"/>
    <w:rsid w:val="2942746F"/>
    <w:rsid w:val="294A5EAA"/>
    <w:rsid w:val="29521123"/>
    <w:rsid w:val="296F408E"/>
    <w:rsid w:val="298C278E"/>
    <w:rsid w:val="29911BB2"/>
    <w:rsid w:val="29F24443"/>
    <w:rsid w:val="29FA4DB3"/>
    <w:rsid w:val="2A6334FF"/>
    <w:rsid w:val="2A814865"/>
    <w:rsid w:val="2AC02B05"/>
    <w:rsid w:val="2AD22063"/>
    <w:rsid w:val="2ADE4A5A"/>
    <w:rsid w:val="2AEB2F44"/>
    <w:rsid w:val="2B580267"/>
    <w:rsid w:val="2B904518"/>
    <w:rsid w:val="2BB533C1"/>
    <w:rsid w:val="2BF56177"/>
    <w:rsid w:val="2C043729"/>
    <w:rsid w:val="2C047EA4"/>
    <w:rsid w:val="2C446624"/>
    <w:rsid w:val="2C6A192D"/>
    <w:rsid w:val="2C763D78"/>
    <w:rsid w:val="2CEF46B1"/>
    <w:rsid w:val="2D062784"/>
    <w:rsid w:val="2D402581"/>
    <w:rsid w:val="2D564730"/>
    <w:rsid w:val="2D8B3AA8"/>
    <w:rsid w:val="2D8B5555"/>
    <w:rsid w:val="2DAC144D"/>
    <w:rsid w:val="2DC23B73"/>
    <w:rsid w:val="2DDC73C4"/>
    <w:rsid w:val="2DE33931"/>
    <w:rsid w:val="2E0266F3"/>
    <w:rsid w:val="2E5E0013"/>
    <w:rsid w:val="2E6A207C"/>
    <w:rsid w:val="2E9277C7"/>
    <w:rsid w:val="2EB21CA2"/>
    <w:rsid w:val="2EBE3270"/>
    <w:rsid w:val="2EE97D1D"/>
    <w:rsid w:val="2F272951"/>
    <w:rsid w:val="300E6C23"/>
    <w:rsid w:val="303E3EDB"/>
    <w:rsid w:val="305F65E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9C72A4"/>
    <w:rsid w:val="32AF1CF9"/>
    <w:rsid w:val="32B32F52"/>
    <w:rsid w:val="32C55DBE"/>
    <w:rsid w:val="33351062"/>
    <w:rsid w:val="334A756F"/>
    <w:rsid w:val="33535654"/>
    <w:rsid w:val="335674D7"/>
    <w:rsid w:val="33631731"/>
    <w:rsid w:val="33647109"/>
    <w:rsid w:val="336809E1"/>
    <w:rsid w:val="33785864"/>
    <w:rsid w:val="33AC2E79"/>
    <w:rsid w:val="33F702EF"/>
    <w:rsid w:val="33FE4ED8"/>
    <w:rsid w:val="34276A20"/>
    <w:rsid w:val="347E7293"/>
    <w:rsid w:val="349E27E5"/>
    <w:rsid w:val="350A1211"/>
    <w:rsid w:val="35134CB4"/>
    <w:rsid w:val="358A706E"/>
    <w:rsid w:val="360266F6"/>
    <w:rsid w:val="3681649D"/>
    <w:rsid w:val="36914A2B"/>
    <w:rsid w:val="36E641B0"/>
    <w:rsid w:val="37135E71"/>
    <w:rsid w:val="37201D86"/>
    <w:rsid w:val="372E2279"/>
    <w:rsid w:val="37340B1D"/>
    <w:rsid w:val="373F4B97"/>
    <w:rsid w:val="37522F6F"/>
    <w:rsid w:val="375810A4"/>
    <w:rsid w:val="376E20F1"/>
    <w:rsid w:val="376F21F9"/>
    <w:rsid w:val="37BA0680"/>
    <w:rsid w:val="37F401F0"/>
    <w:rsid w:val="38050F1D"/>
    <w:rsid w:val="382328E4"/>
    <w:rsid w:val="38443FB2"/>
    <w:rsid w:val="386A05F6"/>
    <w:rsid w:val="3877602E"/>
    <w:rsid w:val="38776339"/>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82C82"/>
    <w:rsid w:val="3ABF55C9"/>
    <w:rsid w:val="3AD11BC0"/>
    <w:rsid w:val="3B07350D"/>
    <w:rsid w:val="3B146949"/>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C1DDE"/>
    <w:rsid w:val="3D9E4EC8"/>
    <w:rsid w:val="3D9E6899"/>
    <w:rsid w:val="3DA84DBE"/>
    <w:rsid w:val="3DC56D68"/>
    <w:rsid w:val="3DF937E3"/>
    <w:rsid w:val="3E0B6E71"/>
    <w:rsid w:val="3E391C30"/>
    <w:rsid w:val="3E7734E0"/>
    <w:rsid w:val="3E951A15"/>
    <w:rsid w:val="3EAD2E3C"/>
    <w:rsid w:val="3EB968CD"/>
    <w:rsid w:val="3F05402E"/>
    <w:rsid w:val="3FB67F14"/>
    <w:rsid w:val="3FBA9291"/>
    <w:rsid w:val="3FCC2AB9"/>
    <w:rsid w:val="403E2983"/>
    <w:rsid w:val="405A4613"/>
    <w:rsid w:val="4060397D"/>
    <w:rsid w:val="406552EC"/>
    <w:rsid w:val="40873E7E"/>
    <w:rsid w:val="40B30B18"/>
    <w:rsid w:val="40CF23D7"/>
    <w:rsid w:val="40D55514"/>
    <w:rsid w:val="411063A8"/>
    <w:rsid w:val="41226AE7"/>
    <w:rsid w:val="413309DD"/>
    <w:rsid w:val="418D1537"/>
    <w:rsid w:val="419D4818"/>
    <w:rsid w:val="41BE0FAC"/>
    <w:rsid w:val="41CF7ED5"/>
    <w:rsid w:val="41D32337"/>
    <w:rsid w:val="41FF0A67"/>
    <w:rsid w:val="42064FC2"/>
    <w:rsid w:val="42141E62"/>
    <w:rsid w:val="425A6597"/>
    <w:rsid w:val="426452A3"/>
    <w:rsid w:val="42BA7CE3"/>
    <w:rsid w:val="42DD0C8B"/>
    <w:rsid w:val="43146368"/>
    <w:rsid w:val="431F2EC4"/>
    <w:rsid w:val="435C38A7"/>
    <w:rsid w:val="43831DB6"/>
    <w:rsid w:val="43A067A0"/>
    <w:rsid w:val="43AE495E"/>
    <w:rsid w:val="44550E45"/>
    <w:rsid w:val="446D66E7"/>
    <w:rsid w:val="4489684F"/>
    <w:rsid w:val="44CB58A8"/>
    <w:rsid w:val="44DF7562"/>
    <w:rsid w:val="45235D66"/>
    <w:rsid w:val="452D7DE1"/>
    <w:rsid w:val="454669E0"/>
    <w:rsid w:val="454D291D"/>
    <w:rsid w:val="454D4212"/>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F514A5"/>
    <w:rsid w:val="493F0230"/>
    <w:rsid w:val="496D1BA9"/>
    <w:rsid w:val="49717BBA"/>
    <w:rsid w:val="49B22896"/>
    <w:rsid w:val="49D11EAC"/>
    <w:rsid w:val="49F61ACB"/>
    <w:rsid w:val="49FA28DF"/>
    <w:rsid w:val="4A4675C3"/>
    <w:rsid w:val="4A494399"/>
    <w:rsid w:val="4A4C5208"/>
    <w:rsid w:val="4A666278"/>
    <w:rsid w:val="4A8927A6"/>
    <w:rsid w:val="4AC036E8"/>
    <w:rsid w:val="4AC760EA"/>
    <w:rsid w:val="4AD8632C"/>
    <w:rsid w:val="4B1C6B9E"/>
    <w:rsid w:val="4B2C243B"/>
    <w:rsid w:val="4B3B30DB"/>
    <w:rsid w:val="4B421DA5"/>
    <w:rsid w:val="4B4A5785"/>
    <w:rsid w:val="4B790CA2"/>
    <w:rsid w:val="4B98430C"/>
    <w:rsid w:val="4BA15B0C"/>
    <w:rsid w:val="4BA74373"/>
    <w:rsid w:val="4BC64573"/>
    <w:rsid w:val="4C16799F"/>
    <w:rsid w:val="4C2D3A30"/>
    <w:rsid w:val="4C2E39B0"/>
    <w:rsid w:val="4CA1354D"/>
    <w:rsid w:val="4CB64798"/>
    <w:rsid w:val="4CF91CC3"/>
    <w:rsid w:val="4D105E11"/>
    <w:rsid w:val="4D3337E2"/>
    <w:rsid w:val="4D3B0F38"/>
    <w:rsid w:val="4D640BC1"/>
    <w:rsid w:val="4D810EB4"/>
    <w:rsid w:val="4DC01F4B"/>
    <w:rsid w:val="4DFA07BB"/>
    <w:rsid w:val="4E166581"/>
    <w:rsid w:val="4E427551"/>
    <w:rsid w:val="4E6E3A66"/>
    <w:rsid w:val="4E7061A0"/>
    <w:rsid w:val="4EB03827"/>
    <w:rsid w:val="4ED04F5B"/>
    <w:rsid w:val="4EED094E"/>
    <w:rsid w:val="4F041DE6"/>
    <w:rsid w:val="4F5502A8"/>
    <w:rsid w:val="4F642884"/>
    <w:rsid w:val="4F9D5310"/>
    <w:rsid w:val="4F9E292E"/>
    <w:rsid w:val="4FA727D4"/>
    <w:rsid w:val="4FFD681F"/>
    <w:rsid w:val="4FFFB038"/>
    <w:rsid w:val="500018BC"/>
    <w:rsid w:val="50011E81"/>
    <w:rsid w:val="50250266"/>
    <w:rsid w:val="504226CA"/>
    <w:rsid w:val="50C17863"/>
    <w:rsid w:val="50C64E79"/>
    <w:rsid w:val="50DE6667"/>
    <w:rsid w:val="50F10148"/>
    <w:rsid w:val="513C1731"/>
    <w:rsid w:val="515A0FD2"/>
    <w:rsid w:val="51660888"/>
    <w:rsid w:val="5181579E"/>
    <w:rsid w:val="51A83299"/>
    <w:rsid w:val="52036385"/>
    <w:rsid w:val="52065E75"/>
    <w:rsid w:val="521C656E"/>
    <w:rsid w:val="52224331"/>
    <w:rsid w:val="5227238D"/>
    <w:rsid w:val="523C2BCA"/>
    <w:rsid w:val="525C4F71"/>
    <w:rsid w:val="52D198D2"/>
    <w:rsid w:val="52E635B0"/>
    <w:rsid w:val="536B290F"/>
    <w:rsid w:val="537930FC"/>
    <w:rsid w:val="53AC6653"/>
    <w:rsid w:val="53ED03DE"/>
    <w:rsid w:val="53FA37B7"/>
    <w:rsid w:val="54097D48"/>
    <w:rsid w:val="540B7534"/>
    <w:rsid w:val="542B04BF"/>
    <w:rsid w:val="54743132"/>
    <w:rsid w:val="54764ED6"/>
    <w:rsid w:val="548A09C2"/>
    <w:rsid w:val="54EB4A21"/>
    <w:rsid w:val="54F56B06"/>
    <w:rsid w:val="552D6CE0"/>
    <w:rsid w:val="55432854"/>
    <w:rsid w:val="554967A4"/>
    <w:rsid w:val="559E7B87"/>
    <w:rsid w:val="55ED5354"/>
    <w:rsid w:val="5626557A"/>
    <w:rsid w:val="56312D95"/>
    <w:rsid w:val="56723AD9"/>
    <w:rsid w:val="567D5FDA"/>
    <w:rsid w:val="571563F0"/>
    <w:rsid w:val="575213BF"/>
    <w:rsid w:val="577C77EE"/>
    <w:rsid w:val="57B27CEE"/>
    <w:rsid w:val="57D91936"/>
    <w:rsid w:val="57E91B79"/>
    <w:rsid w:val="57FB21B7"/>
    <w:rsid w:val="57FB4603"/>
    <w:rsid w:val="58444534"/>
    <w:rsid w:val="58767185"/>
    <w:rsid w:val="58E5019E"/>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650209"/>
    <w:rsid w:val="5CE172C2"/>
    <w:rsid w:val="5D0E6E6F"/>
    <w:rsid w:val="5D27015D"/>
    <w:rsid w:val="5D36061C"/>
    <w:rsid w:val="5D613219"/>
    <w:rsid w:val="5DD32BF7"/>
    <w:rsid w:val="5E3A7745"/>
    <w:rsid w:val="5E4813D1"/>
    <w:rsid w:val="5E582E8C"/>
    <w:rsid w:val="5E7A5CD0"/>
    <w:rsid w:val="5EB80508"/>
    <w:rsid w:val="5ED60B1C"/>
    <w:rsid w:val="5EDE4267"/>
    <w:rsid w:val="5F5435B3"/>
    <w:rsid w:val="5F5E65E2"/>
    <w:rsid w:val="5F7B4C5E"/>
    <w:rsid w:val="5FA0598D"/>
    <w:rsid w:val="5FBA1C7F"/>
    <w:rsid w:val="5FFF5D67"/>
    <w:rsid w:val="60006884"/>
    <w:rsid w:val="602A7314"/>
    <w:rsid w:val="605807A0"/>
    <w:rsid w:val="607853FD"/>
    <w:rsid w:val="608B0080"/>
    <w:rsid w:val="608E2C7F"/>
    <w:rsid w:val="60ED2175"/>
    <w:rsid w:val="612F7066"/>
    <w:rsid w:val="61410811"/>
    <w:rsid w:val="615A2F22"/>
    <w:rsid w:val="619E7B58"/>
    <w:rsid w:val="61C2304A"/>
    <w:rsid w:val="61DA389B"/>
    <w:rsid w:val="61F53F91"/>
    <w:rsid w:val="62017CD5"/>
    <w:rsid w:val="62082F3C"/>
    <w:rsid w:val="622938A5"/>
    <w:rsid w:val="62467FCB"/>
    <w:rsid w:val="62557A45"/>
    <w:rsid w:val="62621499"/>
    <w:rsid w:val="6269266B"/>
    <w:rsid w:val="62985900"/>
    <w:rsid w:val="629F4D22"/>
    <w:rsid w:val="62D4771E"/>
    <w:rsid w:val="62D65FCB"/>
    <w:rsid w:val="62DE6B35"/>
    <w:rsid w:val="63200B87"/>
    <w:rsid w:val="632A3167"/>
    <w:rsid w:val="63440DE8"/>
    <w:rsid w:val="63836D2F"/>
    <w:rsid w:val="6391592F"/>
    <w:rsid w:val="63C9592A"/>
    <w:rsid w:val="63DF6B1A"/>
    <w:rsid w:val="63F9292C"/>
    <w:rsid w:val="64484D7D"/>
    <w:rsid w:val="644C495D"/>
    <w:rsid w:val="64530827"/>
    <w:rsid w:val="647158EB"/>
    <w:rsid w:val="64986E00"/>
    <w:rsid w:val="64B45608"/>
    <w:rsid w:val="65203492"/>
    <w:rsid w:val="6547121B"/>
    <w:rsid w:val="6549634D"/>
    <w:rsid w:val="6555075E"/>
    <w:rsid w:val="658355A1"/>
    <w:rsid w:val="65BC21E0"/>
    <w:rsid w:val="65CB39C1"/>
    <w:rsid w:val="66032C5F"/>
    <w:rsid w:val="661D72F9"/>
    <w:rsid w:val="664647F4"/>
    <w:rsid w:val="66C82224"/>
    <w:rsid w:val="66D1483C"/>
    <w:rsid w:val="66DB5EC0"/>
    <w:rsid w:val="66EE6C6C"/>
    <w:rsid w:val="67120469"/>
    <w:rsid w:val="67591C55"/>
    <w:rsid w:val="678069F0"/>
    <w:rsid w:val="678B64F1"/>
    <w:rsid w:val="67F307F2"/>
    <w:rsid w:val="684B582C"/>
    <w:rsid w:val="68547A2D"/>
    <w:rsid w:val="685E422D"/>
    <w:rsid w:val="6862421E"/>
    <w:rsid w:val="68AA1EC4"/>
    <w:rsid w:val="68C46AF0"/>
    <w:rsid w:val="68D87BAD"/>
    <w:rsid w:val="69083E2A"/>
    <w:rsid w:val="69403BFF"/>
    <w:rsid w:val="69404428"/>
    <w:rsid w:val="697D3697"/>
    <w:rsid w:val="69DD3507"/>
    <w:rsid w:val="6A0E7DFC"/>
    <w:rsid w:val="6A185A1C"/>
    <w:rsid w:val="6A2C71C8"/>
    <w:rsid w:val="6A5316ED"/>
    <w:rsid w:val="6A8676FB"/>
    <w:rsid w:val="6AA87672"/>
    <w:rsid w:val="6B0E5F33"/>
    <w:rsid w:val="6B7A68DE"/>
    <w:rsid w:val="6B942112"/>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377216"/>
    <w:rsid w:val="6F4A519B"/>
    <w:rsid w:val="6F5E0C47"/>
    <w:rsid w:val="6F64527E"/>
    <w:rsid w:val="6FA47EE8"/>
    <w:rsid w:val="6FA973ED"/>
    <w:rsid w:val="6FBB387F"/>
    <w:rsid w:val="705F3231"/>
    <w:rsid w:val="70607A2D"/>
    <w:rsid w:val="70650505"/>
    <w:rsid w:val="70651D96"/>
    <w:rsid w:val="706B394E"/>
    <w:rsid w:val="707304F0"/>
    <w:rsid w:val="70B84AFB"/>
    <w:rsid w:val="70BE7F18"/>
    <w:rsid w:val="70DA6087"/>
    <w:rsid w:val="70FA04FB"/>
    <w:rsid w:val="7149574D"/>
    <w:rsid w:val="7155207D"/>
    <w:rsid w:val="718212CE"/>
    <w:rsid w:val="718F575C"/>
    <w:rsid w:val="719D5C47"/>
    <w:rsid w:val="71D14FAE"/>
    <w:rsid w:val="71D528FA"/>
    <w:rsid w:val="723A6993"/>
    <w:rsid w:val="725620A9"/>
    <w:rsid w:val="72A7693A"/>
    <w:rsid w:val="72B9172D"/>
    <w:rsid w:val="72CB1664"/>
    <w:rsid w:val="72D12DD4"/>
    <w:rsid w:val="733013C5"/>
    <w:rsid w:val="735E6A2E"/>
    <w:rsid w:val="738E3E5B"/>
    <w:rsid w:val="73C43D75"/>
    <w:rsid w:val="741B476E"/>
    <w:rsid w:val="74593A1A"/>
    <w:rsid w:val="74C268A7"/>
    <w:rsid w:val="74E035BA"/>
    <w:rsid w:val="74E25E76"/>
    <w:rsid w:val="74EA3DFA"/>
    <w:rsid w:val="75271D89"/>
    <w:rsid w:val="75525136"/>
    <w:rsid w:val="7575450C"/>
    <w:rsid w:val="757A1BBB"/>
    <w:rsid w:val="75914E8A"/>
    <w:rsid w:val="75AF6610"/>
    <w:rsid w:val="75B86FA7"/>
    <w:rsid w:val="75D5241C"/>
    <w:rsid w:val="76000750"/>
    <w:rsid w:val="76020C18"/>
    <w:rsid w:val="76262768"/>
    <w:rsid w:val="762A1EF8"/>
    <w:rsid w:val="769D790F"/>
    <w:rsid w:val="76B03266"/>
    <w:rsid w:val="76B137CD"/>
    <w:rsid w:val="76C95286"/>
    <w:rsid w:val="76EE4DCC"/>
    <w:rsid w:val="77134F9F"/>
    <w:rsid w:val="77232D4C"/>
    <w:rsid w:val="773A3F7D"/>
    <w:rsid w:val="774921A7"/>
    <w:rsid w:val="77493F8A"/>
    <w:rsid w:val="778F745B"/>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A3C0679"/>
    <w:rsid w:val="7AAC6D0A"/>
    <w:rsid w:val="7ACD41A8"/>
    <w:rsid w:val="7AD674D4"/>
    <w:rsid w:val="7AD735DD"/>
    <w:rsid w:val="7ADB2D19"/>
    <w:rsid w:val="7AEF0BC9"/>
    <w:rsid w:val="7B2A7187"/>
    <w:rsid w:val="7B302FF9"/>
    <w:rsid w:val="7B6F0238"/>
    <w:rsid w:val="7B7A34C4"/>
    <w:rsid w:val="7BA23C69"/>
    <w:rsid w:val="7BE90D12"/>
    <w:rsid w:val="7BFD268B"/>
    <w:rsid w:val="7C0D017D"/>
    <w:rsid w:val="7C5B1EE7"/>
    <w:rsid w:val="7C5D7A84"/>
    <w:rsid w:val="7C65742C"/>
    <w:rsid w:val="7C985069"/>
    <w:rsid w:val="7D010CB5"/>
    <w:rsid w:val="7D2A2F98"/>
    <w:rsid w:val="7D3E4628"/>
    <w:rsid w:val="7D5B7A91"/>
    <w:rsid w:val="7DA92B63"/>
    <w:rsid w:val="7DAE4DB7"/>
    <w:rsid w:val="7DBA3708"/>
    <w:rsid w:val="7DCF4714"/>
    <w:rsid w:val="7DD91E91"/>
    <w:rsid w:val="7DDD542C"/>
    <w:rsid w:val="7DDE6F1F"/>
    <w:rsid w:val="7DEF2E3B"/>
    <w:rsid w:val="7DF05927"/>
    <w:rsid w:val="7DFFA33C"/>
    <w:rsid w:val="7E2801E5"/>
    <w:rsid w:val="7E3C152F"/>
    <w:rsid w:val="7E436780"/>
    <w:rsid w:val="7E935395"/>
    <w:rsid w:val="7EBFA113"/>
    <w:rsid w:val="7EF4992D"/>
    <w:rsid w:val="7F2B1476"/>
    <w:rsid w:val="7F571DBD"/>
    <w:rsid w:val="7F6244B6"/>
    <w:rsid w:val="7F7C6557"/>
    <w:rsid w:val="7FAD88CF"/>
    <w:rsid w:val="7FB1091F"/>
    <w:rsid w:val="7FE82B2E"/>
    <w:rsid w:val="7FF80366"/>
    <w:rsid w:val="7FFA444C"/>
    <w:rsid w:val="7FFB2A2C"/>
    <w:rsid w:val="7FFD20D5"/>
    <w:rsid w:val="977F9800"/>
    <w:rsid w:val="9AF7605C"/>
    <w:rsid w:val="9FFEF9BC"/>
    <w:rsid w:val="9FFFCA1D"/>
    <w:rsid w:val="B7DF8A34"/>
    <w:rsid w:val="B9FF05DA"/>
    <w:rsid w:val="BCF59323"/>
    <w:rsid w:val="BFFE209B"/>
    <w:rsid w:val="C9A47853"/>
    <w:rsid w:val="D7DF197A"/>
    <w:rsid w:val="DDBF7633"/>
    <w:rsid w:val="DEFF8DAD"/>
    <w:rsid w:val="DF47DC59"/>
    <w:rsid w:val="E5DB4F1B"/>
    <w:rsid w:val="EB7FBD9B"/>
    <w:rsid w:val="EF7751D5"/>
    <w:rsid w:val="F1FD95E6"/>
    <w:rsid w:val="F37A990C"/>
    <w:rsid w:val="F4048375"/>
    <w:rsid w:val="F5FF9B94"/>
    <w:rsid w:val="F7E3C6CE"/>
    <w:rsid w:val="FBFFDDD2"/>
    <w:rsid w:val="FCFB342C"/>
    <w:rsid w:val="FCFE354C"/>
    <w:rsid w:val="FD251BB7"/>
    <w:rsid w:val="FD7FCC71"/>
    <w:rsid w:val="FD9E9807"/>
    <w:rsid w:val="FF7BCCCF"/>
    <w:rsid w:val="FF9D06E5"/>
    <w:rsid w:val="FFDEFFEB"/>
    <w:rsid w:val="FFFB88F8"/>
    <w:rsid w:val="FFFE1401"/>
    <w:rsid w:val="FFFF91B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qFormat="1" w:unhideWhenUsed="0" w:uiPriority="0" w:semiHidden="0"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2">
    <w:name w:val="heading 1"/>
    <w:basedOn w:val="1"/>
    <w:next w:val="1"/>
    <w:link w:val="65"/>
    <w:qFormat/>
    <w:uiPriority w:val="9"/>
    <w:pPr>
      <w:keepNext/>
      <w:keepLines/>
      <w:ind w:firstLine="0" w:firstLineChars="0"/>
      <w:jc w:val="center"/>
      <w:outlineLvl w:val="0"/>
    </w:pPr>
    <w:rPr>
      <w:b/>
      <w:bCs/>
      <w:kern w:val="44"/>
      <w:sz w:val="24"/>
      <w:szCs w:val="44"/>
    </w:rPr>
  </w:style>
  <w:style w:type="paragraph" w:styleId="3">
    <w:name w:val="heading 2"/>
    <w:basedOn w:val="1"/>
    <w:next w:val="4"/>
    <w:link w:val="153"/>
    <w:qFormat/>
    <w:uiPriority w:val="9"/>
    <w:pPr>
      <w:keepNext/>
      <w:adjustRightInd w:val="0"/>
      <w:snapToGrid w:val="0"/>
      <w:textAlignment w:val="baseline"/>
      <w:outlineLvl w:val="1"/>
    </w:pPr>
    <w:rPr>
      <w:rFonts w:ascii="仿宋_GB2312" w:hAnsi="仿宋_GB2312"/>
      <w:b/>
      <w:kern w:val="0"/>
      <w:szCs w:val="20"/>
    </w:rPr>
  </w:style>
  <w:style w:type="paragraph" w:styleId="5">
    <w:name w:val="heading 3"/>
    <w:basedOn w:val="1"/>
    <w:next w:val="6"/>
    <w:link w:val="67"/>
    <w:qFormat/>
    <w:uiPriority w:val="0"/>
    <w:pPr>
      <w:keepNext/>
      <w:keepLines/>
      <w:ind w:firstLine="602"/>
      <w:outlineLvl w:val="2"/>
    </w:pPr>
    <w:rPr>
      <w:rFonts w:ascii="仿宋_GB2312" w:hAnsi="仿宋_GB2312"/>
      <w:bCs/>
      <w:szCs w:val="20"/>
    </w:rPr>
  </w:style>
  <w:style w:type="paragraph" w:styleId="7">
    <w:name w:val="heading 4"/>
    <w:basedOn w:val="1"/>
    <w:next w:val="1"/>
    <w:link w:val="66"/>
    <w:qFormat/>
    <w:uiPriority w:val="0"/>
    <w:pPr>
      <w:keepNext/>
      <w:keepLines/>
      <w:outlineLvl w:val="3"/>
    </w:pPr>
    <w:rPr>
      <w:rFonts w:ascii="等线 Light" w:hAnsi="等线 Light"/>
      <w:b/>
      <w:bCs/>
      <w:szCs w:val="28"/>
    </w:rPr>
  </w:style>
  <w:style w:type="paragraph" w:styleId="8">
    <w:name w:val="heading 5"/>
    <w:basedOn w:val="1"/>
    <w:next w:val="1"/>
    <w:link w:val="148"/>
    <w:qFormat/>
    <w:uiPriority w:val="0"/>
    <w:pPr>
      <w:keepNext/>
      <w:keepLines/>
      <w:outlineLvl w:val="4"/>
    </w:pPr>
    <w:rPr>
      <w:b/>
      <w:bCs/>
      <w:szCs w:val="28"/>
    </w:rPr>
  </w:style>
  <w:style w:type="paragraph" w:styleId="9">
    <w:name w:val="heading 6"/>
    <w:basedOn w:val="1"/>
    <w:next w:val="1"/>
    <w:link w:val="149"/>
    <w:qFormat/>
    <w:uiPriority w:val="0"/>
    <w:pPr>
      <w:keepNext/>
      <w:keepLines/>
      <w:spacing w:before="240" w:after="64" w:line="320" w:lineRule="auto"/>
      <w:outlineLvl w:val="5"/>
    </w:pPr>
    <w:rPr>
      <w:rFonts w:ascii="Arial" w:hAnsi="Arial" w:eastAsia="黑体"/>
      <w:b/>
      <w:bCs/>
      <w:sz w:val="24"/>
      <w:szCs w:val="20"/>
    </w:rPr>
  </w:style>
  <w:style w:type="paragraph" w:styleId="10">
    <w:name w:val="heading 7"/>
    <w:basedOn w:val="1"/>
    <w:next w:val="1"/>
    <w:link w:val="150"/>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1">
    <w:name w:val="heading 8"/>
    <w:basedOn w:val="1"/>
    <w:next w:val="1"/>
    <w:link w:val="15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52"/>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8">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customStyle="1" w:styleId="4">
    <w:name w:val="标准正文"/>
    <w:basedOn w:val="1"/>
    <w:qFormat/>
    <w:uiPriority w:val="0"/>
    <w:pPr>
      <w:ind w:firstLine="200"/>
    </w:pPr>
    <w:rPr>
      <w:sz w:val="24"/>
      <w:szCs w:val="20"/>
    </w:rPr>
  </w:style>
  <w:style w:type="paragraph" w:styleId="6">
    <w:name w:val="Normal Indent"/>
    <w:basedOn w:val="1"/>
    <w:link w:val="71"/>
    <w:qFormat/>
    <w:uiPriority w:val="0"/>
    <w:pPr>
      <w:ind w:firstLine="420"/>
    </w:pPr>
    <w:rPr>
      <w:szCs w:val="20"/>
    </w:rPr>
  </w:style>
  <w:style w:type="paragraph" w:styleId="13">
    <w:name w:val="toc 7"/>
    <w:basedOn w:val="1"/>
    <w:next w:val="1"/>
    <w:qFormat/>
    <w:uiPriority w:val="0"/>
    <w:pPr>
      <w:adjustRightInd w:val="0"/>
      <w:spacing w:line="240" w:lineRule="auto"/>
      <w:ind w:left="2520" w:leftChars="1200" w:firstLine="0" w:firstLineChars="0"/>
      <w:jc w:val="both"/>
    </w:pPr>
    <w:rPr>
      <w:rFonts w:eastAsia="宋体"/>
    </w:rPr>
  </w:style>
  <w:style w:type="paragraph" w:styleId="14">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7">
    <w:name w:val="Document Map"/>
    <w:basedOn w:val="1"/>
    <w:link w:val="218"/>
    <w:semiHidden/>
    <w:qFormat/>
    <w:uiPriority w:val="0"/>
    <w:pPr>
      <w:shd w:val="clear" w:color="auto" w:fill="000080"/>
    </w:pPr>
  </w:style>
  <w:style w:type="paragraph" w:styleId="18">
    <w:name w:val="annotation text"/>
    <w:basedOn w:val="1"/>
    <w:link w:val="73"/>
    <w:qFormat/>
    <w:uiPriority w:val="99"/>
    <w:rPr>
      <w:szCs w:val="21"/>
    </w:rPr>
  </w:style>
  <w:style w:type="paragraph" w:styleId="19">
    <w:name w:val="Body Text 3"/>
    <w:basedOn w:val="1"/>
    <w:link w:val="74"/>
    <w:qFormat/>
    <w:uiPriority w:val="0"/>
    <w:pPr>
      <w:spacing w:after="120"/>
    </w:pPr>
    <w:rPr>
      <w:sz w:val="16"/>
      <w:szCs w:val="16"/>
    </w:rPr>
  </w:style>
  <w:style w:type="paragraph" w:styleId="20">
    <w:name w:val="Body Text"/>
    <w:basedOn w:val="1"/>
    <w:link w:val="70"/>
    <w:qFormat/>
    <w:uiPriority w:val="0"/>
    <w:pPr>
      <w:spacing w:after="120"/>
    </w:pPr>
  </w:style>
  <w:style w:type="paragraph" w:styleId="21">
    <w:name w:val="Body Text Indent"/>
    <w:basedOn w:val="1"/>
    <w:link w:val="75"/>
    <w:qFormat/>
    <w:uiPriority w:val="99"/>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78"/>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0"/>
    <w:qFormat/>
    <w:uiPriority w:val="0"/>
    <w:pPr>
      <w:ind w:left="2500" w:leftChars="2500"/>
    </w:pPr>
    <w:rPr>
      <w:rFonts w:eastAsia="楷体_GB2312"/>
      <w:sz w:val="32"/>
      <w:szCs w:val="20"/>
    </w:rPr>
  </w:style>
  <w:style w:type="paragraph" w:styleId="32">
    <w:name w:val="Body Text Indent 2"/>
    <w:basedOn w:val="1"/>
    <w:link w:val="81"/>
    <w:qFormat/>
    <w:uiPriority w:val="0"/>
    <w:pPr>
      <w:snapToGrid w:val="0"/>
      <w:ind w:firstLine="542" w:firstLineChars="225"/>
    </w:pPr>
    <w:rPr>
      <w:rFonts w:ascii="仿宋_GB2312" w:hAnsi="宋体"/>
      <w:b/>
      <w:bCs/>
      <w:color w:val="000000"/>
      <w:sz w:val="24"/>
    </w:rPr>
  </w:style>
  <w:style w:type="paragraph" w:styleId="33">
    <w:name w:val="endnote text"/>
    <w:basedOn w:val="1"/>
    <w:link w:val="184"/>
    <w:semiHidden/>
    <w:qFormat/>
    <w:uiPriority w:val="0"/>
    <w:pPr>
      <w:snapToGrid w:val="0"/>
      <w:spacing w:afterLines="50"/>
    </w:pPr>
    <w:rPr>
      <w:rFonts w:ascii="宋体"/>
      <w:snapToGrid w:val="0"/>
      <w:kern w:val="0"/>
      <w:szCs w:val="20"/>
    </w:rPr>
  </w:style>
  <w:style w:type="paragraph" w:styleId="34">
    <w:name w:val="Balloon Text"/>
    <w:basedOn w:val="1"/>
    <w:link w:val="82"/>
    <w:qFormat/>
    <w:uiPriority w:val="0"/>
    <w:rPr>
      <w:sz w:val="18"/>
      <w:szCs w:val="18"/>
    </w:rPr>
  </w:style>
  <w:style w:type="paragraph" w:styleId="35">
    <w:name w:val="footer"/>
    <w:basedOn w:val="1"/>
    <w:link w:val="83"/>
    <w:qFormat/>
    <w:uiPriority w:val="0"/>
    <w:pPr>
      <w:tabs>
        <w:tab w:val="center" w:pos="4153"/>
        <w:tab w:val="right" w:pos="8306"/>
      </w:tabs>
      <w:snapToGrid w:val="0"/>
    </w:pPr>
    <w:rPr>
      <w:sz w:val="18"/>
      <w:szCs w:val="18"/>
    </w:rPr>
  </w:style>
  <w:style w:type="paragraph" w:styleId="36">
    <w:name w:val="header"/>
    <w:basedOn w:val="1"/>
    <w:link w:val="84"/>
    <w:qFormat/>
    <w:uiPriority w:val="99"/>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87"/>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88"/>
    <w:unhideWhenUsed/>
    <w:qFormat/>
    <w:uiPriority w:val="99"/>
    <w:pPr>
      <w:snapToGrid w:val="0"/>
    </w:pPr>
    <w:rPr>
      <w:rFonts w:ascii="Calibri" w:hAnsi="Calibri"/>
      <w:sz w:val="18"/>
    </w:rPr>
  </w:style>
  <w:style w:type="paragraph" w:styleId="42">
    <w:name w:val="toc 6"/>
    <w:basedOn w:val="1"/>
    <w:next w:val="1"/>
    <w:semiHidden/>
    <w:unhideWhenUsed/>
    <w:qFormat/>
    <w:uiPriority w:val="39"/>
    <w:pPr>
      <w:ind w:left="2100" w:leftChars="1000"/>
    </w:pPr>
  </w:style>
  <w:style w:type="paragraph" w:styleId="43">
    <w:name w:val="Body Text Indent 3"/>
    <w:basedOn w:val="1"/>
    <w:link w:val="90"/>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3"/>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4"/>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Title"/>
    <w:basedOn w:val="1"/>
    <w:next w:val="1"/>
    <w:link w:val="95"/>
    <w:qFormat/>
    <w:uiPriority w:val="10"/>
    <w:pPr>
      <w:spacing w:before="240" w:after="60"/>
      <w:jc w:val="center"/>
      <w:outlineLvl w:val="0"/>
    </w:pPr>
    <w:rPr>
      <w:rFonts w:ascii="Cambria" w:hAnsi="Cambria"/>
      <w:b/>
      <w:bCs/>
      <w:sz w:val="32"/>
      <w:szCs w:val="32"/>
    </w:rPr>
  </w:style>
  <w:style w:type="paragraph" w:styleId="51">
    <w:name w:val="annotation subject"/>
    <w:basedOn w:val="18"/>
    <w:next w:val="18"/>
    <w:link w:val="96"/>
    <w:qFormat/>
    <w:uiPriority w:val="0"/>
    <w:rPr>
      <w:b/>
      <w:bCs/>
    </w:rPr>
  </w:style>
  <w:style w:type="paragraph" w:styleId="52">
    <w:name w:val="Body Text First Indent"/>
    <w:basedOn w:val="20"/>
    <w:link w:val="216"/>
    <w:qFormat/>
    <w:uiPriority w:val="0"/>
    <w:pPr>
      <w:ind w:firstLine="200"/>
    </w:pPr>
    <w:rPr>
      <w:rFonts w:asciiTheme="minorHAnsi" w:hAnsiTheme="minorHAnsi" w:eastAsiaTheme="minorEastAsia" w:cstheme="minorBidi"/>
      <w:bCs/>
      <w:sz w:val="24"/>
    </w:rPr>
  </w:style>
  <w:style w:type="paragraph" w:styleId="53">
    <w:name w:val="Body Text First Indent 2"/>
    <w:basedOn w:val="21"/>
    <w:link w:val="288"/>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5">
    <w:name w:val="Table Grid"/>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6">
    <w:name w:val="Table Grid 1"/>
    <w:basedOn w:val="5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7">
    <w:name w:val="Table Grid 8"/>
    <w:basedOn w:val="54"/>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9">
    <w:name w:val="Strong"/>
    <w:qFormat/>
    <w:uiPriority w:val="22"/>
    <w:rPr>
      <w:b/>
      <w:bCs/>
    </w:rPr>
  </w:style>
  <w:style w:type="character" w:styleId="60">
    <w:name w:val="page number"/>
    <w:qFormat/>
    <w:uiPriority w:val="0"/>
  </w:style>
  <w:style w:type="character" w:styleId="61">
    <w:name w:val="FollowedHyperlink"/>
    <w:basedOn w:val="58"/>
    <w:semiHidden/>
    <w:unhideWhenUsed/>
    <w:qFormat/>
    <w:uiPriority w:val="99"/>
    <w:rPr>
      <w:color w:val="954F72" w:themeColor="followedHyperlink"/>
      <w:u w:val="single"/>
      <w14:textFill>
        <w14:solidFill>
          <w14:schemeClr w14:val="folHlink"/>
        </w14:solidFill>
      </w14:textFill>
    </w:rPr>
  </w:style>
  <w:style w:type="character" w:styleId="62">
    <w:name w:val="Hyperlink"/>
    <w:qFormat/>
    <w:uiPriority w:val="99"/>
    <w:rPr>
      <w:color w:val="0000FF"/>
      <w:u w:val="single"/>
    </w:rPr>
  </w:style>
  <w:style w:type="character" w:styleId="63">
    <w:name w:val="annotation reference"/>
    <w:qFormat/>
    <w:uiPriority w:val="99"/>
    <w:rPr>
      <w:sz w:val="21"/>
      <w:szCs w:val="21"/>
    </w:rPr>
  </w:style>
  <w:style w:type="character" w:styleId="64">
    <w:name w:val="footnote reference"/>
    <w:unhideWhenUsed/>
    <w:qFormat/>
    <w:uiPriority w:val="99"/>
    <w:rPr>
      <w:rFonts w:hint="default" w:ascii="Times New Roman"/>
      <w:sz w:val="24"/>
      <w:vertAlign w:val="superscript"/>
    </w:rPr>
  </w:style>
  <w:style w:type="character" w:customStyle="1" w:styleId="65">
    <w:name w:val="标题 1 字符"/>
    <w:basedOn w:val="58"/>
    <w:link w:val="2"/>
    <w:qFormat/>
    <w:uiPriority w:val="9"/>
    <w:rPr>
      <w:rFonts w:eastAsia="微软雅黑"/>
      <w:b/>
      <w:bCs/>
      <w:kern w:val="44"/>
      <w:sz w:val="24"/>
      <w:szCs w:val="44"/>
    </w:rPr>
  </w:style>
  <w:style w:type="character" w:customStyle="1" w:styleId="66">
    <w:name w:val="标题 4 字符"/>
    <w:link w:val="7"/>
    <w:qFormat/>
    <w:uiPriority w:val="0"/>
    <w:rPr>
      <w:rFonts w:ascii="等线 Light" w:hAnsi="等线 Light" w:eastAsia="微软雅黑" w:cs="Times New Roman"/>
      <w:b/>
      <w:bCs/>
      <w:kern w:val="2"/>
      <w:sz w:val="21"/>
      <w:szCs w:val="28"/>
    </w:rPr>
  </w:style>
  <w:style w:type="character" w:customStyle="1" w:styleId="67">
    <w:name w:val="标题 3 字符"/>
    <w:basedOn w:val="58"/>
    <w:link w:val="5"/>
    <w:qFormat/>
    <w:uiPriority w:val="0"/>
    <w:rPr>
      <w:rFonts w:ascii="仿宋_GB2312" w:hAnsi="仿宋_GB2312" w:eastAsia="微软雅黑"/>
      <w:bCs/>
      <w:kern w:val="2"/>
      <w:sz w:val="21"/>
    </w:rPr>
  </w:style>
  <w:style w:type="paragraph" w:customStyle="1" w:styleId="68">
    <w:name w:val="表格文字"/>
    <w:basedOn w:val="69"/>
    <w:next w:val="20"/>
    <w:qFormat/>
    <w:uiPriority w:val="0"/>
  </w:style>
  <w:style w:type="paragraph" w:customStyle="1" w:styleId="69">
    <w:name w:val="表格文字（两侧对齐）"/>
    <w:basedOn w:val="1"/>
    <w:qFormat/>
    <w:uiPriority w:val="0"/>
    <w:pPr>
      <w:snapToGrid w:val="0"/>
    </w:pPr>
    <w:rPr>
      <w:rFonts w:eastAsia="宋体"/>
      <w:sz w:val="20"/>
    </w:rPr>
  </w:style>
  <w:style w:type="character" w:customStyle="1" w:styleId="70">
    <w:name w:val="正文文本 字符"/>
    <w:link w:val="20"/>
    <w:qFormat/>
    <w:uiPriority w:val="0"/>
    <w:rPr>
      <w:kern w:val="2"/>
      <w:sz w:val="21"/>
      <w:szCs w:val="24"/>
    </w:rPr>
  </w:style>
  <w:style w:type="character" w:customStyle="1" w:styleId="71">
    <w:name w:val="正文缩进 字符1"/>
    <w:link w:val="6"/>
    <w:qFormat/>
    <w:uiPriority w:val="0"/>
    <w:rPr>
      <w:kern w:val="2"/>
      <w:sz w:val="21"/>
    </w:rPr>
  </w:style>
  <w:style w:type="paragraph" w:customStyle="1" w:styleId="72">
    <w:name w:val="目录 71"/>
    <w:basedOn w:val="1"/>
    <w:next w:val="1"/>
    <w:unhideWhenUsed/>
    <w:qFormat/>
    <w:uiPriority w:val="39"/>
    <w:pPr>
      <w:ind w:left="2520" w:leftChars="1200"/>
    </w:pPr>
    <w:rPr>
      <w:rFonts w:ascii="Calibri" w:hAnsi="Calibri"/>
      <w:szCs w:val="22"/>
    </w:rPr>
  </w:style>
  <w:style w:type="character" w:customStyle="1" w:styleId="73">
    <w:name w:val="批注文字 字符"/>
    <w:link w:val="18"/>
    <w:qFormat/>
    <w:uiPriority w:val="99"/>
    <w:rPr>
      <w:kern w:val="2"/>
      <w:sz w:val="21"/>
      <w:szCs w:val="24"/>
    </w:rPr>
  </w:style>
  <w:style w:type="character" w:customStyle="1" w:styleId="74">
    <w:name w:val="正文文本 3 字符"/>
    <w:link w:val="19"/>
    <w:qFormat/>
    <w:uiPriority w:val="0"/>
    <w:rPr>
      <w:kern w:val="2"/>
      <w:sz w:val="16"/>
      <w:szCs w:val="16"/>
    </w:rPr>
  </w:style>
  <w:style w:type="character" w:customStyle="1" w:styleId="75">
    <w:name w:val="正文文本缩进 字符"/>
    <w:link w:val="21"/>
    <w:qFormat/>
    <w:uiPriority w:val="99"/>
    <w:rPr>
      <w:rFonts w:ascii="宋体" w:hAnsi="Courier New"/>
      <w:spacing w:val="-4"/>
      <w:kern w:val="2"/>
      <w:sz w:val="18"/>
    </w:rPr>
  </w:style>
  <w:style w:type="paragraph" w:customStyle="1" w:styleId="76">
    <w:name w:val="目录 51"/>
    <w:basedOn w:val="1"/>
    <w:next w:val="1"/>
    <w:unhideWhenUsed/>
    <w:qFormat/>
    <w:uiPriority w:val="39"/>
    <w:pPr>
      <w:ind w:left="1680" w:leftChars="800"/>
    </w:pPr>
    <w:rPr>
      <w:rFonts w:ascii="Calibri" w:hAnsi="Calibri"/>
      <w:szCs w:val="22"/>
    </w:rPr>
  </w:style>
  <w:style w:type="paragraph" w:customStyle="1" w:styleId="77">
    <w:name w:val="目录 31"/>
    <w:basedOn w:val="1"/>
    <w:next w:val="1"/>
    <w:qFormat/>
    <w:uiPriority w:val="39"/>
    <w:pPr>
      <w:ind w:left="840" w:leftChars="400"/>
    </w:pPr>
  </w:style>
  <w:style w:type="character" w:customStyle="1" w:styleId="78">
    <w:name w:val="纯文本 字符"/>
    <w:link w:val="29"/>
    <w:qFormat/>
    <w:uiPriority w:val="0"/>
    <w:rPr>
      <w:rFonts w:ascii="宋体" w:hAnsi="Courier New"/>
      <w:kern w:val="2"/>
      <w:sz w:val="21"/>
    </w:rPr>
  </w:style>
  <w:style w:type="paragraph" w:customStyle="1" w:styleId="79">
    <w:name w:val="目录 81"/>
    <w:basedOn w:val="1"/>
    <w:next w:val="1"/>
    <w:unhideWhenUsed/>
    <w:qFormat/>
    <w:uiPriority w:val="39"/>
    <w:pPr>
      <w:ind w:left="2940" w:leftChars="1400"/>
    </w:pPr>
    <w:rPr>
      <w:rFonts w:ascii="Calibri" w:hAnsi="Calibri"/>
      <w:szCs w:val="22"/>
    </w:rPr>
  </w:style>
  <w:style w:type="character" w:customStyle="1" w:styleId="80">
    <w:name w:val="日期 字符"/>
    <w:link w:val="31"/>
    <w:qFormat/>
    <w:uiPriority w:val="0"/>
    <w:rPr>
      <w:rFonts w:eastAsia="楷体_GB2312"/>
      <w:kern w:val="2"/>
      <w:sz w:val="32"/>
    </w:rPr>
  </w:style>
  <w:style w:type="character" w:customStyle="1" w:styleId="81">
    <w:name w:val="正文文本缩进 2 字符"/>
    <w:link w:val="32"/>
    <w:qFormat/>
    <w:uiPriority w:val="0"/>
    <w:rPr>
      <w:rFonts w:ascii="仿宋_GB2312" w:hAnsi="宋体" w:cs="Arial"/>
      <w:b/>
      <w:bCs/>
      <w:color w:val="000000"/>
      <w:kern w:val="2"/>
      <w:sz w:val="24"/>
      <w:szCs w:val="24"/>
    </w:rPr>
  </w:style>
  <w:style w:type="character" w:customStyle="1" w:styleId="82">
    <w:name w:val="批注框文本 字符"/>
    <w:link w:val="34"/>
    <w:qFormat/>
    <w:uiPriority w:val="0"/>
    <w:rPr>
      <w:kern w:val="2"/>
      <w:sz w:val="18"/>
      <w:szCs w:val="18"/>
    </w:rPr>
  </w:style>
  <w:style w:type="character" w:customStyle="1" w:styleId="83">
    <w:name w:val="页脚 字符1"/>
    <w:link w:val="35"/>
    <w:qFormat/>
    <w:locked/>
    <w:uiPriority w:val="0"/>
    <w:rPr>
      <w:kern w:val="2"/>
      <w:sz w:val="18"/>
      <w:szCs w:val="18"/>
    </w:rPr>
  </w:style>
  <w:style w:type="character" w:customStyle="1" w:styleId="84">
    <w:name w:val="页眉 字符"/>
    <w:link w:val="36"/>
    <w:qFormat/>
    <w:uiPriority w:val="99"/>
    <w:rPr>
      <w:rFonts w:eastAsia="微软雅黑"/>
      <w:kern w:val="2"/>
      <w:sz w:val="18"/>
      <w:szCs w:val="18"/>
    </w:rPr>
  </w:style>
  <w:style w:type="paragraph" w:customStyle="1" w:styleId="85">
    <w:name w:val="目录 11"/>
    <w:basedOn w:val="1"/>
    <w:next w:val="1"/>
    <w:qFormat/>
    <w:uiPriority w:val="39"/>
  </w:style>
  <w:style w:type="paragraph" w:customStyle="1" w:styleId="86">
    <w:name w:val="目录 41"/>
    <w:basedOn w:val="1"/>
    <w:next w:val="1"/>
    <w:unhideWhenUsed/>
    <w:qFormat/>
    <w:uiPriority w:val="39"/>
    <w:pPr>
      <w:ind w:left="1260" w:leftChars="600"/>
    </w:pPr>
    <w:rPr>
      <w:rFonts w:ascii="Calibri" w:hAnsi="Calibri"/>
      <w:szCs w:val="22"/>
    </w:rPr>
  </w:style>
  <w:style w:type="character" w:customStyle="1" w:styleId="87">
    <w:name w:val="副标题 字符"/>
    <w:link w:val="39"/>
    <w:qFormat/>
    <w:uiPriority w:val="0"/>
    <w:rPr>
      <w:rFonts w:ascii="Cambria" w:hAnsi="Cambria"/>
      <w:b/>
      <w:bCs/>
      <w:kern w:val="28"/>
      <w:sz w:val="32"/>
      <w:szCs w:val="32"/>
    </w:rPr>
  </w:style>
  <w:style w:type="character" w:customStyle="1" w:styleId="88">
    <w:name w:val="脚注文本 字符"/>
    <w:link w:val="41"/>
    <w:qFormat/>
    <w:uiPriority w:val="99"/>
    <w:rPr>
      <w:rFonts w:ascii="Calibri" w:hAnsi="Calibri"/>
      <w:kern w:val="2"/>
      <w:sz w:val="18"/>
      <w:szCs w:val="24"/>
    </w:rPr>
  </w:style>
  <w:style w:type="paragraph" w:customStyle="1" w:styleId="89">
    <w:name w:val="目录 61"/>
    <w:basedOn w:val="1"/>
    <w:next w:val="1"/>
    <w:unhideWhenUsed/>
    <w:qFormat/>
    <w:uiPriority w:val="39"/>
    <w:pPr>
      <w:ind w:left="2100" w:leftChars="1000"/>
    </w:pPr>
    <w:rPr>
      <w:rFonts w:ascii="Calibri" w:hAnsi="Calibri"/>
      <w:szCs w:val="22"/>
    </w:rPr>
  </w:style>
  <w:style w:type="character" w:customStyle="1" w:styleId="90">
    <w:name w:val="正文文本缩进 3 字符"/>
    <w:link w:val="43"/>
    <w:qFormat/>
    <w:uiPriority w:val="0"/>
    <w:rPr>
      <w:rFonts w:ascii="仿宋_GB2312" w:hAnsi="宋体" w:eastAsia="仿宋_GB2312"/>
      <w:color w:val="000000"/>
      <w:kern w:val="2"/>
      <w:sz w:val="24"/>
      <w:szCs w:val="24"/>
    </w:rPr>
  </w:style>
  <w:style w:type="paragraph" w:customStyle="1" w:styleId="91">
    <w:name w:val="目录 21"/>
    <w:basedOn w:val="1"/>
    <w:next w:val="1"/>
    <w:qFormat/>
    <w:uiPriority w:val="39"/>
    <w:pPr>
      <w:ind w:left="420" w:leftChars="200"/>
    </w:pPr>
  </w:style>
  <w:style w:type="paragraph" w:customStyle="1" w:styleId="92">
    <w:name w:val="目录 91"/>
    <w:basedOn w:val="1"/>
    <w:next w:val="1"/>
    <w:unhideWhenUsed/>
    <w:qFormat/>
    <w:uiPriority w:val="39"/>
    <w:pPr>
      <w:ind w:left="3360" w:leftChars="1600"/>
    </w:pPr>
    <w:rPr>
      <w:rFonts w:ascii="Calibri" w:hAnsi="Calibri"/>
      <w:szCs w:val="22"/>
    </w:rPr>
  </w:style>
  <w:style w:type="character" w:customStyle="1" w:styleId="93">
    <w:name w:val="正文文本 2 字符"/>
    <w:link w:val="46"/>
    <w:qFormat/>
    <w:uiPriority w:val="0"/>
    <w:rPr>
      <w:rFonts w:ascii="宋体" w:hAnsi="宋体"/>
      <w:color w:val="000000"/>
      <w:kern w:val="2"/>
      <w:sz w:val="24"/>
      <w:szCs w:val="24"/>
    </w:rPr>
  </w:style>
  <w:style w:type="character" w:customStyle="1" w:styleId="94">
    <w:name w:val="普通(网站) 字符"/>
    <w:link w:val="48"/>
    <w:qFormat/>
    <w:locked/>
    <w:uiPriority w:val="99"/>
    <w:rPr>
      <w:rFonts w:ascii="宋体" w:hAnsi="宋体" w:cs="宋体"/>
      <w:sz w:val="24"/>
      <w:szCs w:val="24"/>
    </w:rPr>
  </w:style>
  <w:style w:type="character" w:customStyle="1" w:styleId="95">
    <w:name w:val="标题 字符"/>
    <w:link w:val="50"/>
    <w:qFormat/>
    <w:uiPriority w:val="10"/>
    <w:rPr>
      <w:rFonts w:ascii="Cambria" w:hAnsi="Cambria"/>
      <w:b/>
      <w:bCs/>
      <w:kern w:val="2"/>
      <w:sz w:val="32"/>
      <w:szCs w:val="32"/>
    </w:rPr>
  </w:style>
  <w:style w:type="character" w:customStyle="1" w:styleId="96">
    <w:name w:val="批注主题 字符"/>
    <w:link w:val="51"/>
    <w:qFormat/>
    <w:uiPriority w:val="0"/>
    <w:rPr>
      <w:b/>
      <w:bCs/>
      <w:kern w:val="2"/>
      <w:sz w:val="21"/>
      <w:szCs w:val="24"/>
    </w:rPr>
  </w:style>
  <w:style w:type="paragraph" w:customStyle="1" w:styleId="97">
    <w:name w:val="正文首行缩进1"/>
    <w:basedOn w:val="20"/>
    <w:link w:val="98"/>
    <w:qFormat/>
    <w:uiPriority w:val="0"/>
    <w:pPr>
      <w:ind w:firstLine="420" w:firstLineChars="100"/>
    </w:pPr>
  </w:style>
  <w:style w:type="character" w:customStyle="1" w:styleId="98">
    <w:name w:val="正文首行缩进 Char"/>
    <w:link w:val="97"/>
    <w:qFormat/>
    <w:uiPriority w:val="0"/>
  </w:style>
  <w:style w:type="character" w:customStyle="1" w:styleId="99">
    <w:name w:val="已访问的超链接1"/>
    <w:qFormat/>
    <w:uiPriority w:val="0"/>
    <w:rPr>
      <w:color w:val="800080"/>
      <w:u w:val="single"/>
    </w:rPr>
  </w:style>
  <w:style w:type="character" w:customStyle="1" w:styleId="100">
    <w:name w:val="正文缩进 字符"/>
    <w:qFormat/>
    <w:uiPriority w:val="0"/>
    <w:rPr>
      <w:snapToGrid/>
      <w:kern w:val="0"/>
      <w:sz w:val="24"/>
    </w:rPr>
  </w:style>
  <w:style w:type="character" w:customStyle="1" w:styleId="101">
    <w:name w:val="列表段落 字符1"/>
    <w:link w:val="102"/>
    <w:qFormat/>
    <w:uiPriority w:val="99"/>
    <w:rPr>
      <w:kern w:val="2"/>
      <w:sz w:val="21"/>
      <w:szCs w:val="22"/>
    </w:rPr>
  </w:style>
  <w:style w:type="paragraph" w:styleId="102">
    <w:name w:val="List Paragraph"/>
    <w:basedOn w:val="1"/>
    <w:link w:val="101"/>
    <w:qFormat/>
    <w:uiPriority w:val="99"/>
    <w:pPr>
      <w:ind w:firstLine="420"/>
    </w:pPr>
    <w:rPr>
      <w:szCs w:val="22"/>
    </w:rPr>
  </w:style>
  <w:style w:type="character" w:customStyle="1" w:styleId="103">
    <w:name w:val="列表段落 字符"/>
    <w:qFormat/>
    <w:uiPriority w:val="34"/>
    <w:rPr>
      <w:rFonts w:ascii="Times New Roman" w:hAnsi="Times New Roman" w:eastAsia="宋体" w:cs="Times New Roman"/>
      <w:szCs w:val="24"/>
    </w:rPr>
  </w:style>
  <w:style w:type="character" w:customStyle="1" w:styleId="104">
    <w:name w:val="页脚 字符"/>
    <w:qFormat/>
    <w:uiPriority w:val="99"/>
  </w:style>
  <w:style w:type="character" w:customStyle="1" w:styleId="105">
    <w:name w:val="页眉 Char1"/>
    <w:qFormat/>
    <w:uiPriority w:val="99"/>
    <w:rPr>
      <w:kern w:val="2"/>
      <w:sz w:val="18"/>
      <w:szCs w:val="18"/>
    </w:rPr>
  </w:style>
  <w:style w:type="character" w:customStyle="1" w:styleId="106">
    <w:name w:val="普通文字 Char Char2"/>
    <w:qFormat/>
    <w:uiPriority w:val="0"/>
    <w:rPr>
      <w:rFonts w:ascii="宋体" w:hAnsi="Courier New" w:eastAsia="宋体"/>
      <w:kern w:val="2"/>
      <w:sz w:val="24"/>
      <w:szCs w:val="24"/>
      <w:lang w:val="en-US" w:eastAsia="zh-CN" w:bidi="ar-SA"/>
    </w:rPr>
  </w:style>
  <w:style w:type="character" w:customStyle="1" w:styleId="107">
    <w:name w:val="批注文字 Char"/>
    <w:qFormat/>
    <w:uiPriority w:val="0"/>
    <w:rPr>
      <w:kern w:val="2"/>
      <w:sz w:val="21"/>
      <w:szCs w:val="24"/>
    </w:rPr>
  </w:style>
  <w:style w:type="character" w:customStyle="1" w:styleId="108">
    <w:name w:val="ca-92"/>
    <w:qFormat/>
    <w:uiPriority w:val="0"/>
  </w:style>
  <w:style w:type="character" w:customStyle="1" w:styleId="109">
    <w:name w:val="bookmark-item"/>
    <w:qFormat/>
    <w:uiPriority w:val="0"/>
  </w:style>
  <w:style w:type="character" w:customStyle="1" w:styleId="110">
    <w:name w:val="纯文本 Char3"/>
    <w:qFormat/>
    <w:uiPriority w:val="0"/>
    <w:rPr>
      <w:rFonts w:ascii="宋体" w:hAnsi="Courier New" w:eastAsia="宋体"/>
      <w:kern w:val="2"/>
      <w:sz w:val="24"/>
      <w:szCs w:val="24"/>
      <w:lang w:val="en-US" w:eastAsia="zh-CN" w:bidi="ar-SA"/>
    </w:rPr>
  </w:style>
  <w:style w:type="character" w:customStyle="1" w:styleId="111">
    <w:name w:val="sub"/>
    <w:qFormat/>
    <w:uiPriority w:val="0"/>
  </w:style>
  <w:style w:type="character" w:customStyle="1" w:styleId="112">
    <w:name w:val="纯文本 Char1"/>
    <w:qFormat/>
    <w:uiPriority w:val="0"/>
    <w:rPr>
      <w:rFonts w:ascii="宋体" w:hAnsi="Courier New" w:eastAsia="宋体" w:cs="Times New Roman"/>
      <w:sz w:val="24"/>
      <w:szCs w:val="24"/>
    </w:rPr>
  </w:style>
  <w:style w:type="paragraph" w:customStyle="1" w:styleId="113">
    <w:name w:val="_Style 2"/>
    <w:basedOn w:val="1"/>
    <w:qFormat/>
    <w:uiPriority w:val="0"/>
    <w:pPr>
      <w:adjustRightInd w:val="0"/>
      <w:snapToGrid w:val="0"/>
      <w:ind w:firstLine="420"/>
    </w:pPr>
    <w:rPr>
      <w:rFonts w:ascii="Calibri" w:hAnsi="Calibri"/>
      <w:sz w:val="24"/>
    </w:rPr>
  </w:style>
  <w:style w:type="paragraph" w:customStyle="1" w:styleId="114">
    <w:name w:val="Char Char9 Char Char"/>
    <w:basedOn w:val="1"/>
    <w:qFormat/>
    <w:uiPriority w:val="0"/>
    <w:pPr>
      <w:tabs>
        <w:tab w:val="left" w:pos="360"/>
      </w:tabs>
    </w:pPr>
  </w:style>
  <w:style w:type="paragraph" w:customStyle="1" w:styleId="115">
    <w:name w:val="样式 正文1 + 段前: 0.1 行"/>
    <w:basedOn w:val="1"/>
    <w:qFormat/>
    <w:uiPriority w:val="0"/>
    <w:pPr>
      <w:snapToGrid w:val="0"/>
      <w:spacing w:beforeLines="10" w:line="440" w:lineRule="atLeast"/>
      <w:ind w:firstLine="510"/>
    </w:pPr>
    <w:rPr>
      <w:sz w:val="24"/>
    </w:rPr>
  </w:style>
  <w:style w:type="paragraph" w:customStyle="1" w:styleId="116">
    <w:name w:val="列表段落1"/>
    <w:basedOn w:val="1"/>
    <w:qFormat/>
    <w:uiPriority w:val="0"/>
    <w:pPr>
      <w:ind w:firstLine="420"/>
    </w:pPr>
    <w:rPr>
      <w:szCs w:val="21"/>
    </w:rPr>
  </w:style>
  <w:style w:type="paragraph" w:customStyle="1" w:styleId="117">
    <w:name w:val="列出段落1"/>
    <w:basedOn w:val="1"/>
    <w:link w:val="284"/>
    <w:qFormat/>
    <w:uiPriority w:val="0"/>
    <w:pPr>
      <w:ind w:firstLine="420"/>
    </w:pPr>
    <w:rPr>
      <w:rFonts w:ascii="Calibri" w:hAnsi="Calibri"/>
      <w:szCs w:val="20"/>
    </w:rPr>
  </w:style>
  <w:style w:type="paragraph" w:customStyle="1" w:styleId="118">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paragraph" w:customStyle="1" w:styleId="119">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0">
    <w:name w:val="纯文本1"/>
    <w:basedOn w:val="1"/>
    <w:qFormat/>
    <w:uiPriority w:val="0"/>
    <w:pPr>
      <w:adjustRightInd w:val="0"/>
      <w:textAlignment w:val="baseline"/>
    </w:pPr>
    <w:rPr>
      <w:rFonts w:ascii="宋体" w:hAnsi="Courier New" w:eastAsia="楷体_GB2312"/>
      <w:sz w:val="26"/>
      <w:szCs w:val="20"/>
    </w:rPr>
  </w:style>
  <w:style w:type="paragraph" w:customStyle="1" w:styleId="121">
    <w:name w:val="默认段落字体 Para Char Char Char Char Char Char Char Char Char1 Char Char Char Char"/>
    <w:basedOn w:val="1"/>
    <w:qFormat/>
    <w:uiPriority w:val="0"/>
    <w:rPr>
      <w:rFonts w:ascii="Tahoma" w:hAnsi="Tahoma"/>
      <w:sz w:val="24"/>
      <w:szCs w:val="20"/>
    </w:rPr>
  </w:style>
  <w:style w:type="paragraph" w:customStyle="1" w:styleId="122">
    <w:name w:val="表内文字"/>
    <w:basedOn w:val="1"/>
    <w:qFormat/>
    <w:uiPriority w:val="0"/>
    <w:pPr>
      <w:jc w:val="center"/>
    </w:pPr>
    <w:rPr>
      <w:rFonts w:ascii="仿宋_GB2312" w:eastAsia="仿宋_GB2312"/>
      <w:sz w:val="24"/>
    </w:rPr>
  </w:style>
  <w:style w:type="paragraph" w:customStyle="1" w:styleId="123">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4">
    <w:name w:val="1 Char Char Char Char"/>
    <w:basedOn w:val="1"/>
    <w:qFormat/>
    <w:uiPriority w:val="0"/>
    <w:rPr>
      <w:rFonts w:ascii="Tahoma" w:hAnsi="Tahoma"/>
      <w:sz w:val="24"/>
      <w:szCs w:val="20"/>
    </w:rPr>
  </w:style>
  <w:style w:type="paragraph" w:customStyle="1" w:styleId="125">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6">
    <w:name w:val="Char Char Char Char Char Char Char"/>
    <w:basedOn w:val="1"/>
    <w:qFormat/>
    <w:uiPriority w:val="0"/>
    <w:rPr>
      <w:szCs w:val="21"/>
    </w:rPr>
  </w:style>
  <w:style w:type="paragraph" w:customStyle="1" w:styleId="127">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8">
    <w:name w:val="正文段"/>
    <w:basedOn w:val="1"/>
    <w:qFormat/>
    <w:uiPriority w:val="0"/>
    <w:pPr>
      <w:widowControl/>
      <w:snapToGrid w:val="0"/>
      <w:spacing w:afterLines="50"/>
      <w:ind w:firstLine="200"/>
    </w:pPr>
    <w:rPr>
      <w:kern w:val="0"/>
      <w:sz w:val="24"/>
      <w:szCs w:val="20"/>
    </w:rPr>
  </w:style>
  <w:style w:type="paragraph" w:customStyle="1" w:styleId="129">
    <w:name w:val="纯文本2"/>
    <w:basedOn w:val="1"/>
    <w:qFormat/>
    <w:uiPriority w:val="0"/>
    <w:pPr>
      <w:adjustRightInd w:val="0"/>
      <w:textAlignment w:val="baseline"/>
    </w:pPr>
    <w:rPr>
      <w:rFonts w:ascii="宋体" w:hAnsi="Courier New" w:eastAsia="楷体_GB2312"/>
      <w:sz w:val="26"/>
      <w:szCs w:val="20"/>
    </w:rPr>
  </w:style>
  <w:style w:type="paragraph" w:customStyle="1" w:styleId="130">
    <w:name w:val="默认段落字体 Para Char Char Char Char"/>
    <w:basedOn w:val="1"/>
    <w:qFormat/>
    <w:uiPriority w:val="0"/>
    <w:rPr>
      <w:rFonts w:ascii="Arial" w:hAnsi="Arial" w:cs="Arial"/>
      <w:szCs w:val="21"/>
    </w:rPr>
  </w:style>
  <w:style w:type="paragraph" w:customStyle="1" w:styleId="131">
    <w:name w:val="_Style 54"/>
    <w:basedOn w:val="1"/>
    <w:qFormat/>
    <w:uiPriority w:val="0"/>
    <w:pPr>
      <w:adjustRightInd w:val="0"/>
      <w:snapToGrid w:val="0"/>
      <w:ind w:firstLine="420"/>
    </w:pPr>
    <w:rPr>
      <w:rFonts w:ascii="Calibri" w:hAnsi="Calibri"/>
      <w:sz w:val="24"/>
    </w:rPr>
  </w:style>
  <w:style w:type="paragraph" w:customStyle="1" w:styleId="132">
    <w:name w:val="CM11"/>
    <w:basedOn w:val="118"/>
    <w:next w:val="118"/>
    <w:unhideWhenUsed/>
    <w:qFormat/>
    <w:uiPriority w:val="99"/>
    <w:pPr>
      <w:spacing w:line="520" w:lineRule="atLeast"/>
    </w:pPr>
  </w:style>
  <w:style w:type="paragraph" w:customStyle="1" w:styleId="133">
    <w:name w:val="WPSOffice手动目录 1"/>
    <w:qFormat/>
    <w:uiPriority w:val="0"/>
    <w:rPr>
      <w:rFonts w:ascii="Times New Roman" w:hAnsi="Times New Roman" w:eastAsia="宋体" w:cs="Times New Roman"/>
      <w:lang w:val="en-US" w:eastAsia="zh-CN" w:bidi="ar-SA"/>
    </w:rPr>
  </w:style>
  <w:style w:type="paragraph" w:customStyle="1" w:styleId="134">
    <w:name w:val="p16"/>
    <w:basedOn w:val="1"/>
    <w:qFormat/>
    <w:uiPriority w:val="0"/>
    <w:pPr>
      <w:widowControl/>
    </w:pPr>
    <w:rPr>
      <w:rFonts w:ascii="宋体" w:hAnsi="宋体" w:cs="宋体"/>
      <w:kern w:val="0"/>
      <w:sz w:val="27"/>
      <w:szCs w:val="27"/>
    </w:rPr>
  </w:style>
  <w:style w:type="paragraph" w:customStyle="1" w:styleId="135">
    <w:name w:val="CM13"/>
    <w:basedOn w:val="118"/>
    <w:next w:val="118"/>
    <w:unhideWhenUsed/>
    <w:qFormat/>
    <w:uiPriority w:val="99"/>
    <w:pPr>
      <w:spacing w:line="520" w:lineRule="atLeast"/>
    </w:pPr>
  </w:style>
  <w:style w:type="paragraph" w:customStyle="1" w:styleId="136">
    <w:name w:val="CM19"/>
    <w:basedOn w:val="118"/>
    <w:next w:val="118"/>
    <w:unhideWhenUsed/>
    <w:qFormat/>
    <w:uiPriority w:val="99"/>
  </w:style>
  <w:style w:type="character" w:customStyle="1" w:styleId="137">
    <w:name w:val="font01"/>
    <w:qFormat/>
    <w:uiPriority w:val="0"/>
    <w:rPr>
      <w:rFonts w:hint="eastAsia" w:ascii="宋体" w:hAnsi="宋体" w:eastAsia="宋体" w:cs="宋体"/>
      <w:color w:val="000000"/>
      <w:sz w:val="21"/>
      <w:szCs w:val="21"/>
      <w:u w:val="none"/>
      <w:vertAlign w:val="superscript"/>
    </w:rPr>
  </w:style>
  <w:style w:type="character" w:customStyle="1" w:styleId="138">
    <w:name w:val="font11"/>
    <w:qFormat/>
    <w:uiPriority w:val="0"/>
    <w:rPr>
      <w:rFonts w:hint="eastAsia" w:ascii="宋体" w:hAnsi="宋体" w:eastAsia="宋体" w:cs="宋体"/>
      <w:color w:val="000000"/>
      <w:sz w:val="21"/>
      <w:szCs w:val="21"/>
      <w:u w:val="none"/>
    </w:rPr>
  </w:style>
  <w:style w:type="paragraph" w:customStyle="1" w:styleId="139">
    <w:name w:val="--规划正文"/>
    <w:basedOn w:val="1"/>
    <w:qFormat/>
    <w:uiPriority w:val="0"/>
    <w:pPr>
      <w:widowControl/>
      <w:suppressAutoHyphens/>
      <w:ind w:firstLine="200"/>
    </w:pPr>
    <w:rPr>
      <w:kern w:val="1"/>
      <w:szCs w:val="20"/>
      <w:lang w:eastAsia="ar-SA"/>
    </w:rPr>
  </w:style>
  <w:style w:type="character" w:customStyle="1" w:styleId="140">
    <w:name w:val="正文首行缩进 2 Char"/>
    <w:link w:val="141"/>
    <w:qFormat/>
    <w:uiPriority w:val="0"/>
    <w:rPr>
      <w:rFonts w:ascii="宋体" w:hAnsi="Courier New"/>
      <w:spacing w:val="-4"/>
      <w:kern w:val="2"/>
      <w:sz w:val="24"/>
    </w:rPr>
  </w:style>
  <w:style w:type="paragraph" w:customStyle="1" w:styleId="141">
    <w:name w:val="正文首行缩进 21"/>
    <w:basedOn w:val="21"/>
    <w:link w:val="140"/>
    <w:unhideWhenUsed/>
    <w:qFormat/>
    <w:uiPriority w:val="0"/>
    <w:pPr>
      <w:spacing w:after="120" w:line="360" w:lineRule="auto"/>
      <w:ind w:left="420" w:leftChars="200" w:firstLine="420"/>
    </w:pPr>
    <w:rPr>
      <w:sz w:val="24"/>
    </w:rPr>
  </w:style>
  <w:style w:type="character" w:customStyle="1" w:styleId="142">
    <w:name w:val="正文首行缩进 2 Char1"/>
    <w:qFormat/>
    <w:uiPriority w:val="0"/>
    <w:rPr>
      <w:rFonts w:ascii="宋体" w:hAnsi="Courier New"/>
      <w:spacing w:val="-4"/>
      <w:kern w:val="2"/>
      <w:sz w:val="21"/>
      <w:szCs w:val="24"/>
    </w:rPr>
  </w:style>
  <w:style w:type="paragraph" w:customStyle="1" w:styleId="143">
    <w:name w:val="正文sl"/>
    <w:basedOn w:val="1"/>
    <w:qFormat/>
    <w:uiPriority w:val="0"/>
    <w:pPr>
      <w:ind w:firstLine="600"/>
    </w:pPr>
    <w:rPr>
      <w:rFonts w:ascii="仿宋_GB2312" w:eastAsia="仿宋_GB2312" w:cs="宋体"/>
      <w:sz w:val="30"/>
      <w:szCs w:val="20"/>
    </w:rPr>
  </w:style>
  <w:style w:type="paragraph" w:customStyle="1" w:styleId="14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5">
    <w:name w:val="fontstyle01"/>
    <w:qFormat/>
    <w:uiPriority w:val="0"/>
    <w:rPr>
      <w:rFonts w:hint="eastAsia" w:ascii="宋体" w:hAnsi="宋体" w:eastAsia="宋体" w:cs="宋体"/>
      <w:color w:val="000000"/>
      <w:sz w:val="24"/>
      <w:szCs w:val="24"/>
    </w:rPr>
  </w:style>
  <w:style w:type="character" w:customStyle="1" w:styleId="146">
    <w:name w:val="inline-comment-marker"/>
    <w:basedOn w:val="58"/>
    <w:qFormat/>
    <w:uiPriority w:val="0"/>
  </w:style>
  <w:style w:type="paragraph" w:customStyle="1" w:styleId="147">
    <w:name w:val="列表段落11"/>
    <w:basedOn w:val="1"/>
    <w:qFormat/>
    <w:uiPriority w:val="34"/>
    <w:pPr>
      <w:widowControl/>
      <w:ind w:firstLine="420"/>
    </w:pPr>
    <w:rPr>
      <w:rFonts w:ascii="宋体" w:hAnsi="宋体" w:cs="宋体"/>
      <w:kern w:val="0"/>
      <w:sz w:val="24"/>
    </w:rPr>
  </w:style>
  <w:style w:type="character" w:customStyle="1" w:styleId="148">
    <w:name w:val="标题 5 字符"/>
    <w:basedOn w:val="58"/>
    <w:link w:val="8"/>
    <w:qFormat/>
    <w:uiPriority w:val="0"/>
    <w:rPr>
      <w:rFonts w:eastAsia="微软雅黑"/>
      <w:b/>
      <w:bCs/>
      <w:kern w:val="2"/>
      <w:sz w:val="21"/>
      <w:szCs w:val="28"/>
    </w:rPr>
  </w:style>
  <w:style w:type="character" w:customStyle="1" w:styleId="149">
    <w:name w:val="标题 6 字符"/>
    <w:basedOn w:val="58"/>
    <w:link w:val="9"/>
    <w:qFormat/>
    <w:uiPriority w:val="0"/>
    <w:rPr>
      <w:rFonts w:ascii="Arial" w:hAnsi="Arial" w:eastAsia="黑体"/>
      <w:b/>
      <w:bCs/>
      <w:kern w:val="2"/>
      <w:sz w:val="24"/>
    </w:rPr>
  </w:style>
  <w:style w:type="character" w:customStyle="1" w:styleId="150">
    <w:name w:val="标题 7 字符"/>
    <w:basedOn w:val="58"/>
    <w:link w:val="10"/>
    <w:qFormat/>
    <w:uiPriority w:val="0"/>
    <w:rPr>
      <w:rFonts w:ascii="宋体" w:eastAsia="仿宋_GB2312"/>
      <w:b/>
      <w:sz w:val="24"/>
    </w:rPr>
  </w:style>
  <w:style w:type="character" w:customStyle="1" w:styleId="151">
    <w:name w:val="标题 8 字符"/>
    <w:basedOn w:val="58"/>
    <w:link w:val="11"/>
    <w:qFormat/>
    <w:uiPriority w:val="0"/>
    <w:rPr>
      <w:rFonts w:ascii="Arial" w:hAnsi="Arial" w:eastAsia="黑体"/>
      <w:sz w:val="24"/>
    </w:rPr>
  </w:style>
  <w:style w:type="character" w:customStyle="1" w:styleId="152">
    <w:name w:val="标题 9 字符"/>
    <w:basedOn w:val="58"/>
    <w:link w:val="12"/>
    <w:qFormat/>
    <w:uiPriority w:val="0"/>
    <w:rPr>
      <w:rFonts w:ascii="Arial" w:hAnsi="Arial" w:eastAsia="黑体"/>
      <w:sz w:val="28"/>
    </w:rPr>
  </w:style>
  <w:style w:type="character" w:customStyle="1" w:styleId="153">
    <w:name w:val="标题 2 字符"/>
    <w:basedOn w:val="58"/>
    <w:link w:val="3"/>
    <w:qFormat/>
    <w:uiPriority w:val="9"/>
    <w:rPr>
      <w:rFonts w:ascii="仿宋_GB2312" w:hAnsi="仿宋_GB2312" w:eastAsia="微软雅黑"/>
      <w:b/>
      <w:sz w:val="21"/>
    </w:rPr>
  </w:style>
  <w:style w:type="character" w:customStyle="1" w:styleId="154">
    <w:name w:val="unnamed11"/>
    <w:qFormat/>
    <w:uiPriority w:val="0"/>
    <w:rPr>
      <w:sz w:val="20"/>
      <w:szCs w:val="20"/>
    </w:rPr>
  </w:style>
  <w:style w:type="character" w:customStyle="1" w:styleId="155">
    <w:name w:val="标题 1 Char Char"/>
    <w:qFormat/>
    <w:uiPriority w:val="0"/>
    <w:rPr>
      <w:rFonts w:eastAsia="宋体"/>
      <w:b/>
      <w:spacing w:val="-2"/>
      <w:sz w:val="24"/>
      <w:lang w:val="en-US" w:eastAsia="zh-CN" w:bidi="ar-SA"/>
    </w:rPr>
  </w:style>
  <w:style w:type="character" w:customStyle="1" w:styleId="156">
    <w:name w:val="line1"/>
    <w:qFormat/>
    <w:uiPriority w:val="0"/>
    <w:rPr>
      <w:u w:val="none"/>
    </w:rPr>
  </w:style>
  <w:style w:type="character" w:customStyle="1" w:styleId="157">
    <w:name w:val="point_normal1"/>
    <w:qFormat/>
    <w:uiPriority w:val="0"/>
    <w:rPr>
      <w:rFonts w:hint="default" w:ascii="Arial" w:hAnsi="Arial" w:cs="Arial"/>
      <w:sz w:val="18"/>
      <w:szCs w:val="18"/>
    </w:rPr>
  </w:style>
  <w:style w:type="character" w:customStyle="1" w:styleId="158">
    <w:name w:val="样式 小四"/>
    <w:qFormat/>
    <w:uiPriority w:val="0"/>
    <w:rPr>
      <w:sz w:val="21"/>
    </w:rPr>
  </w:style>
  <w:style w:type="character" w:customStyle="1" w:styleId="159">
    <w:name w:val="para"/>
    <w:basedOn w:val="58"/>
    <w:qFormat/>
    <w:uiPriority w:val="0"/>
  </w:style>
  <w:style w:type="character" w:customStyle="1" w:styleId="16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1">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2">
    <w:name w:val="A C"/>
    <w:qFormat/>
    <w:uiPriority w:val="0"/>
    <w:rPr>
      <w:rFonts w:ascii="仿宋_GB2312"/>
      <w:bCs/>
      <w:iCs/>
      <w:sz w:val="24"/>
    </w:rPr>
  </w:style>
  <w:style w:type="character" w:customStyle="1" w:styleId="163">
    <w:name w:val="huide001"/>
    <w:qFormat/>
    <w:uiPriority w:val="0"/>
    <w:rPr>
      <w:rFonts w:hint="default" w:ascii="Arial" w:hAnsi="Arial" w:cs="Arial"/>
      <w:color w:val="666666"/>
      <w:sz w:val="18"/>
      <w:szCs w:val="18"/>
    </w:rPr>
  </w:style>
  <w:style w:type="character" w:customStyle="1" w:styleId="164">
    <w:name w:val="tw4winMark"/>
    <w:qFormat/>
    <w:uiPriority w:val="0"/>
    <w:rPr>
      <w:rFonts w:ascii="Courier New" w:hAnsi="Courier New"/>
      <w:vanish/>
      <w:color w:val="800080"/>
      <w:vertAlign w:val="subscript"/>
    </w:rPr>
  </w:style>
  <w:style w:type="character" w:customStyle="1" w:styleId="165">
    <w:name w:val="tw4winError"/>
    <w:qFormat/>
    <w:uiPriority w:val="0"/>
    <w:rPr>
      <w:rFonts w:ascii="Courier New" w:hAnsi="Courier New"/>
      <w:color w:val="00FF00"/>
      <w:sz w:val="40"/>
    </w:rPr>
  </w:style>
  <w:style w:type="character" w:customStyle="1" w:styleId="166">
    <w:name w:val="tw4winTerm"/>
    <w:qFormat/>
    <w:uiPriority w:val="0"/>
    <w:rPr>
      <w:color w:val="0000FF"/>
    </w:rPr>
  </w:style>
  <w:style w:type="character" w:customStyle="1" w:styleId="167">
    <w:name w:val="tw4winPopup"/>
    <w:qFormat/>
    <w:uiPriority w:val="0"/>
    <w:rPr>
      <w:rFonts w:ascii="Courier New" w:hAnsi="Courier New"/>
      <w:color w:val="008000"/>
    </w:rPr>
  </w:style>
  <w:style w:type="character" w:customStyle="1" w:styleId="168">
    <w:name w:val="tw4winJump"/>
    <w:qFormat/>
    <w:uiPriority w:val="0"/>
    <w:rPr>
      <w:rFonts w:ascii="Courier New" w:hAnsi="Courier New"/>
      <w:color w:val="008080"/>
    </w:rPr>
  </w:style>
  <w:style w:type="character" w:customStyle="1" w:styleId="169">
    <w:name w:val="tw4winExternal"/>
    <w:qFormat/>
    <w:uiPriority w:val="0"/>
    <w:rPr>
      <w:rFonts w:ascii="Courier New" w:hAnsi="Courier New"/>
      <w:color w:val="808080"/>
    </w:rPr>
  </w:style>
  <w:style w:type="character" w:customStyle="1" w:styleId="170">
    <w:name w:val="tw4winInternal"/>
    <w:qFormat/>
    <w:uiPriority w:val="0"/>
    <w:rPr>
      <w:rFonts w:ascii="Courier New" w:hAnsi="Courier New"/>
      <w:color w:val="FF0000"/>
    </w:rPr>
  </w:style>
  <w:style w:type="paragraph" w:customStyle="1" w:styleId="171">
    <w:name w:val="样式 样式 标题 4 + 段后: 0.5 行1"/>
    <w:basedOn w:val="172"/>
    <w:next w:val="33"/>
    <w:qFormat/>
    <w:uiPriority w:val="0"/>
    <w:pPr>
      <w:spacing w:after="120"/>
    </w:pPr>
  </w:style>
  <w:style w:type="paragraph" w:customStyle="1" w:styleId="172">
    <w:name w:val="样式 标题 4 + 段后: 0.5 行"/>
    <w:basedOn w:val="7"/>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3">
    <w:name w:val="Bullet1"/>
    <w:basedOn w:val="1"/>
    <w:qFormat/>
    <w:uiPriority w:val="0"/>
    <w:pPr>
      <w:spacing w:afterLines="50"/>
      <w:ind w:left="720" w:hanging="432"/>
    </w:pPr>
    <w:rPr>
      <w:rFonts w:ascii="宋体"/>
      <w:snapToGrid w:val="0"/>
      <w:kern w:val="0"/>
      <w:szCs w:val="20"/>
    </w:rPr>
  </w:style>
  <w:style w:type="paragraph" w:customStyle="1" w:styleId="174">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5">
    <w:name w:val="标准标题1"/>
    <w:basedOn w:val="2"/>
    <w:qFormat/>
    <w:uiPriority w:val="0"/>
    <w:pPr>
      <w:pageBreakBefore/>
      <w:tabs>
        <w:tab w:val="left" w:pos="360"/>
        <w:tab w:val="left" w:pos="1080"/>
      </w:tabs>
      <w:ind w:left="425" w:hanging="425"/>
    </w:pPr>
    <w:rPr>
      <w:rFonts w:eastAsia="仿宋_GB2312"/>
      <w:sz w:val="32"/>
    </w:rPr>
  </w:style>
  <w:style w:type="character" w:customStyle="1" w:styleId="176">
    <w:name w:val="脚注文本 Char1"/>
    <w:basedOn w:val="58"/>
    <w:semiHidden/>
    <w:qFormat/>
    <w:uiPriority w:val="99"/>
    <w:rPr>
      <w:rFonts w:ascii="Times New Roman" w:hAnsi="Times New Roman" w:eastAsia="宋体" w:cs="Times New Roman"/>
      <w:sz w:val="18"/>
      <w:szCs w:val="18"/>
    </w:rPr>
  </w:style>
  <w:style w:type="paragraph" w:customStyle="1" w:styleId="177">
    <w:name w:val="样式 标题 2Chapter X.X. Statementh22Header 2l2Level 2 Headhea..."/>
    <w:basedOn w:val="3"/>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8">
    <w:name w:val="此正文"/>
    <w:basedOn w:val="1"/>
    <w:qFormat/>
    <w:uiPriority w:val="0"/>
    <w:pPr>
      <w:ind w:firstLine="200"/>
    </w:pPr>
    <w:rPr>
      <w:sz w:val="24"/>
      <w:szCs w:val="20"/>
    </w:rPr>
  </w:style>
  <w:style w:type="paragraph" w:customStyle="1" w:styleId="179">
    <w:name w:val="样式 标题 3Chapter X.X.X"/>
    <w:basedOn w:val="180"/>
    <w:qFormat/>
    <w:uiPriority w:val="0"/>
    <w:pPr>
      <w:tabs>
        <w:tab w:val="left" w:pos="709"/>
      </w:tabs>
      <w:spacing w:after="120"/>
    </w:pPr>
  </w:style>
  <w:style w:type="paragraph" w:customStyle="1" w:styleId="180">
    <w:name w:val="标题 3Chapter X.X.X. + 段后: 0.5 行 + 段后: 0.5 行 + 段后: 0.5 行1"/>
    <w:basedOn w:val="181"/>
    <w:qFormat/>
    <w:uiPriority w:val="0"/>
    <w:pPr>
      <w:tabs>
        <w:tab w:val="left" w:pos="709"/>
      </w:tabs>
    </w:pPr>
  </w:style>
  <w:style w:type="paragraph" w:customStyle="1" w:styleId="181">
    <w:name w:val="样式 样式 标题 3Chapter X.X.X. + 段后: 0.5 行 + 段后: 0.5 行"/>
    <w:basedOn w:val="182"/>
    <w:qFormat/>
    <w:uiPriority w:val="0"/>
    <w:pPr>
      <w:tabs>
        <w:tab w:val="left" w:pos="709"/>
      </w:tabs>
    </w:pPr>
  </w:style>
  <w:style w:type="paragraph" w:customStyle="1" w:styleId="182">
    <w:name w:val="样式 标题 3Chapter X.X.X. +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3">
    <w:name w:val="正文文本 Char1"/>
    <w:basedOn w:val="58"/>
    <w:semiHidden/>
    <w:qFormat/>
    <w:uiPriority w:val="99"/>
    <w:rPr>
      <w:rFonts w:ascii="Times New Roman" w:hAnsi="Times New Roman" w:eastAsia="宋体" w:cs="Times New Roman"/>
      <w:szCs w:val="20"/>
    </w:rPr>
  </w:style>
  <w:style w:type="character" w:customStyle="1" w:styleId="184">
    <w:name w:val="尾注文本 字符"/>
    <w:basedOn w:val="58"/>
    <w:link w:val="33"/>
    <w:semiHidden/>
    <w:qFormat/>
    <w:uiPriority w:val="0"/>
    <w:rPr>
      <w:rFonts w:ascii="宋体"/>
      <w:snapToGrid w:val="0"/>
      <w:sz w:val="21"/>
    </w:rPr>
  </w:style>
  <w:style w:type="paragraph" w:customStyle="1" w:styleId="185">
    <w:name w:val="样式 标题 2"/>
    <w:basedOn w:val="3"/>
    <w:next w:val="186"/>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6">
    <w:name w:val="最新标题3"/>
    <w:basedOn w:val="187"/>
    <w:next w:val="188"/>
    <w:qFormat/>
    <w:uiPriority w:val="0"/>
    <w:pPr>
      <w:tabs>
        <w:tab w:val="left" w:pos="709"/>
      </w:tabs>
      <w:spacing w:after="120"/>
    </w:pPr>
  </w:style>
  <w:style w:type="paragraph" w:customStyle="1" w:styleId="187">
    <w:name w:val="样式 标题 3"/>
    <w:basedOn w:val="5"/>
    <w:next w:val="188"/>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8">
    <w:name w:val="最新标题4"/>
    <w:basedOn w:val="189"/>
    <w:next w:val="1"/>
    <w:qFormat/>
    <w:uiPriority w:val="0"/>
    <w:pPr>
      <w:tabs>
        <w:tab w:val="left" w:pos="2100"/>
      </w:tabs>
      <w:spacing w:after="120"/>
      <w:ind w:left="0" w:firstLine="0"/>
    </w:pPr>
  </w:style>
  <w:style w:type="paragraph" w:customStyle="1" w:styleId="189">
    <w:name w:val="样式 标题 4"/>
    <w:basedOn w:val="190"/>
    <w:next w:val="191"/>
    <w:qFormat/>
    <w:uiPriority w:val="0"/>
    <w:pPr>
      <w:tabs>
        <w:tab w:val="left" w:pos="2100"/>
      </w:tabs>
      <w:spacing w:after="50"/>
      <w:ind w:left="2100" w:hanging="420"/>
    </w:pPr>
  </w:style>
  <w:style w:type="paragraph" w:customStyle="1" w:styleId="190">
    <w:name w:val="样式 标题 4Chapter X.X.X.X. + 段后: 0.5 行1"/>
    <w:basedOn w:val="172"/>
    <w:qFormat/>
    <w:uiPriority w:val="0"/>
    <w:pPr>
      <w:spacing w:after="120"/>
    </w:pPr>
  </w:style>
  <w:style w:type="paragraph" w:customStyle="1" w:styleId="191">
    <w:name w:val="样式 正文"/>
    <w:basedOn w:val="1"/>
    <w:next w:val="1"/>
    <w:qFormat/>
    <w:uiPriority w:val="0"/>
    <w:pPr>
      <w:spacing w:afterLines="50"/>
    </w:pPr>
    <w:rPr>
      <w:rFonts w:ascii="宋体" w:cs="宋体"/>
      <w:snapToGrid w:val="0"/>
      <w:kern w:val="0"/>
      <w:szCs w:val="20"/>
    </w:rPr>
  </w:style>
  <w:style w:type="paragraph" w:customStyle="1" w:styleId="192">
    <w:name w:val="样式 标题 2Chapter X.X. Statementh22Header 2l2Level 2 Headhea...1"/>
    <w:basedOn w:val="5"/>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3">
    <w:name w:val="表格标题"/>
    <w:basedOn w:val="194"/>
    <w:qFormat/>
    <w:uiPriority w:val="0"/>
    <w:pPr>
      <w:jc w:val="center"/>
    </w:pPr>
    <w:rPr>
      <w:b/>
      <w:bCs/>
      <w:i/>
      <w:iCs/>
    </w:rPr>
  </w:style>
  <w:style w:type="paragraph" w:customStyle="1" w:styleId="194">
    <w:name w:val="表格内容"/>
    <w:basedOn w:val="20"/>
    <w:qFormat/>
    <w:uiPriority w:val="0"/>
    <w:pPr>
      <w:suppressLineNumbers/>
      <w:suppressAutoHyphens/>
    </w:pPr>
    <w:rPr>
      <w:rFonts w:asciiTheme="minorHAnsi" w:hAnsiTheme="minorHAnsi" w:eastAsiaTheme="minorEastAsia" w:cstheme="minorBidi"/>
      <w:kern w:val="1"/>
      <w:lang w:eastAsia="ar-SA"/>
    </w:rPr>
  </w:style>
  <w:style w:type="paragraph" w:customStyle="1" w:styleId="195">
    <w:name w:val="标准标题3"/>
    <w:basedOn w:val="5"/>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6">
    <w:name w:val="paragraph1"/>
    <w:basedOn w:val="1"/>
    <w:qFormat/>
    <w:uiPriority w:val="0"/>
    <w:pPr>
      <w:spacing w:afterLines="30"/>
      <w:ind w:firstLine="420"/>
    </w:pPr>
    <w:rPr>
      <w:rFonts w:eastAsia="楷体_GB2312"/>
      <w:sz w:val="24"/>
      <w:szCs w:val="20"/>
    </w:rPr>
  </w:style>
  <w:style w:type="paragraph" w:customStyle="1" w:styleId="197">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8">
    <w:name w:val="最新标题2"/>
    <w:basedOn w:val="185"/>
    <w:next w:val="186"/>
    <w:qFormat/>
    <w:uiPriority w:val="0"/>
  </w:style>
  <w:style w:type="paragraph" w:customStyle="1" w:styleId="199">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0">
    <w:name w:val="样式 样式 正文文本缩进 + 仿宋_GB2312 小四 首行缩进:  0 厘米 行距: 1.5 倍行距 + (中文) 仿宋_GB..."/>
    <w:basedOn w:val="201"/>
    <w:qFormat/>
    <w:uiPriority w:val="0"/>
    <w:pPr>
      <w:ind w:firstLine="480"/>
    </w:pPr>
  </w:style>
  <w:style w:type="paragraph" w:customStyle="1" w:styleId="201">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2">
    <w:name w:val="样式 标题 1 + 段后: 0.5 行"/>
    <w:basedOn w:val="2"/>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3">
    <w:name w:val="Table - Text"/>
    <w:basedOn w:val="1"/>
    <w:qFormat/>
    <w:uiPriority w:val="0"/>
    <w:pPr>
      <w:widowControl/>
      <w:spacing w:before="60" w:afterLines="50"/>
    </w:pPr>
    <w:rPr>
      <w:kern w:val="0"/>
      <w:szCs w:val="20"/>
      <w:lang w:eastAsia="en-US"/>
    </w:rPr>
  </w:style>
  <w:style w:type="paragraph" w:customStyle="1" w:styleId="20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5">
    <w:name w:val="沈标题四"/>
    <w:basedOn w:val="7"/>
    <w:next w:val="1"/>
    <w:qFormat/>
    <w:uiPriority w:val="0"/>
    <w:pPr>
      <w:keepNext w:val="0"/>
      <w:keepLines w:val="0"/>
      <w:spacing w:line="377" w:lineRule="auto"/>
    </w:pPr>
    <w:rPr>
      <w:rFonts w:ascii="Arial Narrow" w:hAnsi="Arial Narrow" w:eastAsia="方正姚体"/>
      <w:b w:val="0"/>
      <w:sz w:val="24"/>
      <w:szCs w:val="24"/>
    </w:rPr>
  </w:style>
  <w:style w:type="paragraph" w:customStyle="1" w:styleId="206">
    <w:name w:val="S4-L15"/>
    <w:basedOn w:val="1"/>
    <w:qFormat/>
    <w:uiPriority w:val="0"/>
    <w:pPr>
      <w:spacing w:after="120"/>
      <w:ind w:left="720" w:firstLine="392"/>
    </w:pPr>
    <w:rPr>
      <w:szCs w:val="21"/>
      <w:lang w:val="fr-FR"/>
    </w:rPr>
  </w:style>
  <w:style w:type="paragraph" w:customStyle="1" w:styleId="207">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8">
    <w:name w:val="样式 标题 4Chapter X.X.X. + 段后: 0.5 行1 + 段后: 0.5 行"/>
    <w:basedOn w:val="209"/>
    <w:qFormat/>
    <w:uiPriority w:val="0"/>
    <w:rPr>
      <w:szCs w:val="21"/>
    </w:rPr>
  </w:style>
  <w:style w:type="paragraph" w:customStyle="1" w:styleId="209">
    <w:name w:val="样式 标题 4Chapter X.X.X. + 段后: 0.5 行1"/>
    <w:basedOn w:val="7"/>
    <w:next w:val="7"/>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1">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2">
    <w:name w:val="Paragraph1"/>
    <w:basedOn w:val="1"/>
    <w:qFormat/>
    <w:uiPriority w:val="0"/>
    <w:pPr>
      <w:spacing w:before="80" w:afterLines="50"/>
    </w:pPr>
    <w:rPr>
      <w:rFonts w:ascii="宋体"/>
      <w:snapToGrid w:val="0"/>
      <w:kern w:val="0"/>
      <w:szCs w:val="20"/>
    </w:rPr>
  </w:style>
  <w:style w:type="character" w:customStyle="1" w:styleId="213">
    <w:name w:val="HTML 预设格式 字符"/>
    <w:basedOn w:val="58"/>
    <w:link w:val="47"/>
    <w:qFormat/>
    <w:uiPriority w:val="0"/>
    <w:rPr>
      <w:rFonts w:ascii="Arial" w:hAnsi="Arial" w:cs="Arial"/>
      <w:sz w:val="24"/>
      <w:szCs w:val="24"/>
    </w:rPr>
  </w:style>
  <w:style w:type="paragraph" w:customStyle="1" w:styleId="214">
    <w:name w:val="S4-L15-No"/>
    <w:basedOn w:val="206"/>
    <w:qFormat/>
    <w:uiPriority w:val="0"/>
    <w:pPr>
      <w:tabs>
        <w:tab w:val="left" w:pos="720"/>
      </w:tabs>
      <w:ind w:hanging="720"/>
    </w:pPr>
  </w:style>
  <w:style w:type="paragraph" w:customStyle="1" w:styleId="215">
    <w:name w:val="样式 样式 样式 标题 3Chapter X.X.X. + 段后: 0.5 行 + 段后: 0.5 行 + 段后: 0.5 行"/>
    <w:basedOn w:val="181"/>
    <w:qFormat/>
    <w:uiPriority w:val="0"/>
    <w:pPr>
      <w:spacing w:after="120"/>
    </w:pPr>
  </w:style>
  <w:style w:type="character" w:customStyle="1" w:styleId="216">
    <w:name w:val="正文文本首行缩进 字符"/>
    <w:basedOn w:val="70"/>
    <w:link w:val="52"/>
    <w:semiHidden/>
    <w:qFormat/>
    <w:uiPriority w:val="0"/>
    <w:rPr>
      <w:kern w:val="2"/>
      <w:sz w:val="21"/>
      <w:szCs w:val="24"/>
    </w:rPr>
  </w:style>
  <w:style w:type="paragraph" w:customStyle="1" w:styleId="217">
    <w:name w:val="Paragraph3"/>
    <w:basedOn w:val="1"/>
    <w:qFormat/>
    <w:uiPriority w:val="0"/>
    <w:pPr>
      <w:spacing w:before="80" w:afterLines="50"/>
      <w:ind w:left="1530"/>
    </w:pPr>
    <w:rPr>
      <w:rFonts w:ascii="宋体"/>
      <w:snapToGrid w:val="0"/>
      <w:kern w:val="0"/>
      <w:szCs w:val="20"/>
    </w:rPr>
  </w:style>
  <w:style w:type="character" w:customStyle="1" w:styleId="218">
    <w:name w:val="文档结构图 字符"/>
    <w:basedOn w:val="58"/>
    <w:link w:val="17"/>
    <w:semiHidden/>
    <w:qFormat/>
    <w:uiPriority w:val="0"/>
    <w:rPr>
      <w:kern w:val="2"/>
      <w:sz w:val="21"/>
      <w:szCs w:val="24"/>
      <w:shd w:val="clear" w:color="auto" w:fill="000080"/>
    </w:rPr>
  </w:style>
  <w:style w:type="paragraph" w:customStyle="1" w:styleId="2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样式 标题 3Chapter X.X.X. + 五号 段后: 0.5 行"/>
    <w:basedOn w:val="5"/>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1">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3">
    <w:name w:val="S4-I-L15-U"/>
    <w:basedOn w:val="1"/>
    <w:qFormat/>
    <w:uiPriority w:val="0"/>
    <w:rPr>
      <w:b/>
      <w:i/>
      <w:sz w:val="24"/>
      <w:u w:val="single"/>
    </w:rPr>
  </w:style>
  <w:style w:type="paragraph" w:customStyle="1" w:styleId="224">
    <w:name w:val="InfoBlue"/>
    <w:basedOn w:val="1"/>
    <w:next w:val="20"/>
    <w:qFormat/>
    <w:uiPriority w:val="0"/>
    <w:pPr>
      <w:spacing w:afterLines="50"/>
      <w:ind w:left="720"/>
    </w:pPr>
    <w:rPr>
      <w:rFonts w:ascii="宋体"/>
      <w:i/>
      <w:snapToGrid w:val="0"/>
      <w:color w:val="0000FF"/>
      <w:kern w:val="0"/>
      <w:szCs w:val="20"/>
    </w:rPr>
  </w:style>
  <w:style w:type="paragraph" w:customStyle="1" w:styleId="225">
    <w:name w:val="标准标题2"/>
    <w:basedOn w:val="3"/>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6">
    <w:name w:val="样式 左侧:  1 厘米 段后: 0.5 行"/>
    <w:basedOn w:val="1"/>
    <w:qFormat/>
    <w:uiPriority w:val="0"/>
    <w:pPr>
      <w:spacing w:afterLines="50"/>
      <w:ind w:firstLine="425"/>
    </w:pPr>
    <w:rPr>
      <w:rFonts w:ascii="宋体" w:cs="宋体"/>
      <w:snapToGrid w:val="0"/>
      <w:kern w:val="0"/>
      <w:szCs w:val="20"/>
    </w:rPr>
  </w:style>
  <w:style w:type="paragraph" w:customStyle="1" w:styleId="227">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8">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9">
    <w:name w:val="样式 标题1"/>
    <w:basedOn w:val="202"/>
    <w:next w:val="198"/>
    <w:qFormat/>
    <w:uiPriority w:val="0"/>
    <w:pPr>
      <w:tabs>
        <w:tab w:val="left" w:pos="1140"/>
      </w:tabs>
      <w:spacing w:after="50"/>
      <w:ind w:left="1140" w:hanging="720"/>
    </w:pPr>
    <w:rPr>
      <w:bCs w:val="0"/>
      <w:sz w:val="32"/>
    </w:rPr>
  </w:style>
  <w:style w:type="paragraph" w:customStyle="1" w:styleId="230">
    <w:name w:val="Tabletext"/>
    <w:basedOn w:val="1"/>
    <w:qFormat/>
    <w:uiPriority w:val="0"/>
    <w:pPr>
      <w:keepLines/>
      <w:spacing w:afterLines="50"/>
    </w:pPr>
    <w:rPr>
      <w:rFonts w:ascii="宋体"/>
      <w:snapToGrid w:val="0"/>
      <w:kern w:val="0"/>
      <w:szCs w:val="20"/>
    </w:rPr>
  </w:style>
  <w:style w:type="paragraph" w:customStyle="1" w:styleId="231">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2">
    <w:name w:val="Bullet2"/>
    <w:basedOn w:val="1"/>
    <w:qFormat/>
    <w:uiPriority w:val="0"/>
    <w:pPr>
      <w:spacing w:afterLines="50"/>
      <w:ind w:left="1440" w:hanging="360"/>
    </w:pPr>
    <w:rPr>
      <w:rFonts w:ascii="宋体"/>
      <w:snapToGrid w:val="0"/>
      <w:color w:val="000080"/>
      <w:kern w:val="0"/>
      <w:szCs w:val="20"/>
    </w:rPr>
  </w:style>
  <w:style w:type="paragraph" w:customStyle="1" w:styleId="233">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4">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5">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6">
    <w:name w:val="S4-L15-C"/>
    <w:basedOn w:val="1"/>
    <w:qFormat/>
    <w:uiPriority w:val="0"/>
    <w:pPr>
      <w:spacing w:after="120"/>
      <w:jc w:val="center"/>
    </w:pPr>
    <w:rPr>
      <w:szCs w:val="21"/>
    </w:rPr>
  </w:style>
  <w:style w:type="paragraph" w:customStyle="1" w:styleId="237">
    <w:name w:val="二级项目符号"/>
    <w:basedOn w:val="1"/>
    <w:qFormat/>
    <w:uiPriority w:val="0"/>
    <w:pPr>
      <w:widowControl/>
      <w:tabs>
        <w:tab w:val="left" w:pos="964"/>
      </w:tabs>
      <w:ind w:left="964" w:hanging="482"/>
    </w:pPr>
    <w:rPr>
      <w:kern w:val="0"/>
      <w:sz w:val="24"/>
      <w:szCs w:val="20"/>
    </w:rPr>
  </w:style>
  <w:style w:type="paragraph" w:customStyle="1" w:styleId="2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9">
    <w:name w:val="页脚 Char1"/>
    <w:basedOn w:val="58"/>
    <w:semiHidden/>
    <w:qFormat/>
    <w:uiPriority w:val="99"/>
    <w:rPr>
      <w:rFonts w:ascii="Times New Roman" w:hAnsi="Times New Roman" w:eastAsia="宋体" w:cs="Times New Roman"/>
      <w:sz w:val="18"/>
      <w:szCs w:val="18"/>
    </w:rPr>
  </w:style>
  <w:style w:type="paragraph" w:customStyle="1" w:styleId="240">
    <w:name w:val="样式 样式 标题 4 + 段后: 0.5 行 + 段后: 0.5 行"/>
    <w:basedOn w:val="172"/>
    <w:qFormat/>
    <w:uiPriority w:val="0"/>
  </w:style>
  <w:style w:type="paragraph" w:customStyle="1" w:styleId="241">
    <w:name w:val="Main Title"/>
    <w:basedOn w:val="1"/>
    <w:qFormat/>
    <w:uiPriority w:val="0"/>
    <w:pPr>
      <w:spacing w:before="480" w:afterLines="50"/>
      <w:jc w:val="center"/>
    </w:pPr>
    <w:rPr>
      <w:rFonts w:ascii="宋体"/>
      <w:b/>
      <w:snapToGrid w:val="0"/>
      <w:kern w:val="28"/>
      <w:sz w:val="32"/>
      <w:szCs w:val="20"/>
    </w:rPr>
  </w:style>
  <w:style w:type="paragraph" w:customStyle="1" w:styleId="242">
    <w:name w:val="样式 样式 正文文本缩进 + 仿宋_GB2312 小四 首行缩进:  0 厘米 行距: 1.5 倍行距 + (中文) 仿宋_GB... Char Char"/>
    <w:basedOn w:val="201"/>
    <w:qFormat/>
    <w:uiPriority w:val="0"/>
    <w:pPr>
      <w:ind w:firstLine="480"/>
    </w:pPr>
  </w:style>
  <w:style w:type="paragraph" w:customStyle="1" w:styleId="243">
    <w:name w:val="标题1"/>
    <w:basedOn w:val="29"/>
    <w:qFormat/>
    <w:uiPriority w:val="0"/>
    <w:rPr>
      <w:rFonts w:cstheme="minorBidi"/>
      <w:b/>
      <w:sz w:val="30"/>
      <w:szCs w:val="22"/>
    </w:rPr>
  </w:style>
  <w:style w:type="paragraph" w:customStyle="1" w:styleId="244">
    <w:name w:val="样式 三号 加粗 段后: 0.5 行"/>
    <w:basedOn w:val="1"/>
    <w:qFormat/>
    <w:uiPriority w:val="0"/>
    <w:pPr>
      <w:spacing w:afterLines="50"/>
    </w:pPr>
    <w:rPr>
      <w:rFonts w:ascii="宋体" w:cs="宋体"/>
      <w:b/>
      <w:bCs/>
      <w:snapToGrid w:val="0"/>
      <w:kern w:val="0"/>
      <w:sz w:val="32"/>
      <w:szCs w:val="20"/>
    </w:rPr>
  </w:style>
  <w:style w:type="paragraph" w:customStyle="1" w:styleId="245">
    <w:name w:val="标准有序列表（L1）"/>
    <w:basedOn w:val="6"/>
    <w:qFormat/>
    <w:uiPriority w:val="0"/>
    <w:pPr>
      <w:tabs>
        <w:tab w:val="left" w:pos="0"/>
      </w:tabs>
      <w:ind w:firstLine="0"/>
    </w:pPr>
    <w:rPr>
      <w:rFonts w:ascii="黑体" w:eastAsia="黑体" w:hAnsiTheme="minorHAnsi" w:cstheme="minorBidi"/>
      <w:color w:val="000000"/>
      <w:sz w:val="24"/>
      <w:szCs w:val="22"/>
    </w:rPr>
  </w:style>
  <w:style w:type="paragraph" w:customStyle="1" w:styleId="246">
    <w:name w:val="IBM 正文"/>
    <w:basedOn w:val="1"/>
    <w:qFormat/>
    <w:uiPriority w:val="0"/>
    <w:pPr>
      <w:spacing w:line="360" w:lineRule="atLeast"/>
    </w:pPr>
    <w:rPr>
      <w:sz w:val="24"/>
      <w:szCs w:val="20"/>
    </w:rPr>
  </w:style>
  <w:style w:type="paragraph" w:customStyle="1" w:styleId="247">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8">
    <w:name w:val="S4-I-U-L15-No-dot"/>
    <w:basedOn w:val="1"/>
    <w:qFormat/>
    <w:uiPriority w:val="0"/>
    <w:pPr>
      <w:tabs>
        <w:tab w:val="left" w:pos="1112"/>
      </w:tabs>
      <w:spacing w:after="120"/>
      <w:ind w:left="1112" w:hanging="420"/>
    </w:pPr>
    <w:rPr>
      <w:i/>
      <w:sz w:val="24"/>
      <w:u w:val="single"/>
    </w:rPr>
  </w:style>
  <w:style w:type="paragraph" w:customStyle="1" w:styleId="249">
    <w:name w:val="Paragraph4"/>
    <w:basedOn w:val="1"/>
    <w:qFormat/>
    <w:uiPriority w:val="0"/>
    <w:pPr>
      <w:spacing w:before="80" w:afterLines="50"/>
      <w:ind w:left="2250"/>
    </w:pPr>
    <w:rPr>
      <w:rFonts w:ascii="宋体"/>
      <w:snapToGrid w:val="0"/>
      <w:kern w:val="0"/>
      <w:szCs w:val="20"/>
    </w:rPr>
  </w:style>
  <w:style w:type="paragraph" w:customStyle="1" w:styleId="250">
    <w:name w:val="样式 标题 1 + 五号1 Char Char Char Char Char Char Char Char Char Char Char Char Char Char Char Char Char"/>
    <w:basedOn w:val="2"/>
    <w:qFormat/>
    <w:uiPriority w:val="0"/>
    <w:pPr>
      <w:tabs>
        <w:tab w:val="left" w:pos="360"/>
      </w:tabs>
      <w:spacing w:line="480" w:lineRule="auto"/>
    </w:pPr>
    <w:rPr>
      <w:sz w:val="21"/>
    </w:rPr>
  </w:style>
  <w:style w:type="paragraph" w:customStyle="1" w:styleId="251">
    <w:name w:val="样式 标题 3Chapter X.X.X. + 段后: 0.5 行1"/>
    <w:basedOn w:val="5"/>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2">
    <w:name w:val="Body"/>
    <w:basedOn w:val="1"/>
    <w:qFormat/>
    <w:uiPriority w:val="0"/>
    <w:pPr>
      <w:widowControl/>
      <w:spacing w:before="120" w:afterLines="50"/>
    </w:pPr>
    <w:rPr>
      <w:rFonts w:ascii="宋体"/>
      <w:snapToGrid w:val="0"/>
      <w:kern w:val="0"/>
      <w:szCs w:val="20"/>
    </w:rPr>
  </w:style>
  <w:style w:type="paragraph" w:customStyle="1" w:styleId="253">
    <w:name w:val="Proposals body"/>
    <w:basedOn w:val="1"/>
    <w:next w:val="1"/>
    <w:qFormat/>
    <w:uiPriority w:val="0"/>
    <w:pPr>
      <w:widowControl/>
    </w:pPr>
    <w:rPr>
      <w:rFonts w:ascii="宋体"/>
      <w:snapToGrid w:val="0"/>
      <w:color w:val="000000"/>
      <w:kern w:val="0"/>
      <w:sz w:val="24"/>
      <w:szCs w:val="20"/>
    </w:rPr>
  </w:style>
  <w:style w:type="paragraph" w:customStyle="1" w:styleId="254">
    <w:name w:val="章正文"/>
    <w:basedOn w:val="1"/>
    <w:qFormat/>
    <w:uiPriority w:val="0"/>
    <w:pPr>
      <w:spacing w:beforeLines="50" w:after="120" w:line="300" w:lineRule="auto"/>
    </w:pPr>
    <w:rPr>
      <w:rFonts w:ascii="Helvetica" w:hAnsi="Helvetica"/>
      <w:kern w:val="0"/>
      <w:sz w:val="24"/>
    </w:rPr>
  </w:style>
  <w:style w:type="paragraph" w:customStyle="1" w:styleId="255">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6">
    <w:name w:val="样式 标题 2 + 五号"/>
    <w:basedOn w:val="3"/>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7">
    <w:name w:val="样式 标题 1 + 五号"/>
    <w:basedOn w:val="2"/>
    <w:qFormat/>
    <w:uiPriority w:val="0"/>
    <w:pPr>
      <w:tabs>
        <w:tab w:val="left" w:pos="360"/>
      </w:tabs>
      <w:spacing w:line="240" w:lineRule="auto"/>
    </w:pPr>
    <w:rPr>
      <w:sz w:val="32"/>
      <w:szCs w:val="32"/>
    </w:rPr>
  </w:style>
  <w:style w:type="paragraph" w:customStyle="1" w:styleId="258">
    <w:name w:val="文本框内文字"/>
    <w:basedOn w:val="1"/>
    <w:qFormat/>
    <w:uiPriority w:val="0"/>
    <w:pPr>
      <w:spacing w:line="0" w:lineRule="atLeast"/>
    </w:pPr>
    <w:rPr>
      <w:rFonts w:eastAsia="仿宋_GB2312"/>
      <w:sz w:val="22"/>
    </w:rPr>
  </w:style>
  <w:style w:type="paragraph" w:customStyle="1" w:styleId="259">
    <w:name w:val="P1"/>
    <w:basedOn w:val="1"/>
    <w:qFormat/>
    <w:uiPriority w:val="0"/>
    <w:pPr>
      <w:widowControl/>
      <w:spacing w:before="240" w:line="240" w:lineRule="atLeast"/>
    </w:pPr>
    <w:rPr>
      <w:b/>
      <w:kern w:val="0"/>
      <w:szCs w:val="21"/>
      <w:lang w:val="en-AU" w:eastAsia="en-US"/>
    </w:rPr>
  </w:style>
  <w:style w:type="paragraph" w:customStyle="1" w:styleId="260">
    <w:name w:val="最新标题1"/>
    <w:basedOn w:val="229"/>
    <w:next w:val="198"/>
    <w:qFormat/>
    <w:uiPriority w:val="0"/>
    <w:pPr>
      <w:spacing w:after="120"/>
    </w:pPr>
    <w:rPr>
      <w:bCs/>
    </w:rPr>
  </w:style>
  <w:style w:type="paragraph" w:customStyle="1" w:styleId="261">
    <w:name w:val="P2"/>
    <w:basedOn w:val="1"/>
    <w:qFormat/>
    <w:uiPriority w:val="0"/>
    <w:pPr>
      <w:widowControl/>
      <w:spacing w:before="240" w:line="240" w:lineRule="atLeast"/>
      <w:ind w:left="578"/>
    </w:pPr>
    <w:rPr>
      <w:b/>
      <w:kern w:val="0"/>
      <w:szCs w:val="21"/>
      <w:lang w:val="en-AU" w:eastAsia="en-US"/>
    </w:rPr>
  </w:style>
  <w:style w:type="paragraph" w:customStyle="1" w:styleId="262">
    <w:name w:val="Style-正文"/>
    <w:basedOn w:val="1"/>
    <w:qFormat/>
    <w:uiPriority w:val="0"/>
    <w:pPr>
      <w:ind w:firstLine="420"/>
    </w:pPr>
    <w:rPr>
      <w:rFonts w:ascii="宋体" w:hAnsi="宋体"/>
      <w:sz w:val="24"/>
    </w:rPr>
  </w:style>
  <w:style w:type="paragraph" w:customStyle="1" w:styleId="263">
    <w:name w:val="P3"/>
    <w:basedOn w:val="1"/>
    <w:qFormat/>
    <w:uiPriority w:val="0"/>
    <w:pPr>
      <w:widowControl/>
      <w:spacing w:before="240" w:line="240" w:lineRule="atLeast"/>
      <w:ind w:left="1152"/>
    </w:pPr>
    <w:rPr>
      <w:b/>
      <w:kern w:val="0"/>
      <w:szCs w:val="21"/>
      <w:lang w:val="en-AU" w:eastAsia="en-US"/>
    </w:rPr>
  </w:style>
  <w:style w:type="paragraph" w:customStyle="1" w:styleId="264">
    <w:name w:val="Plain Text1"/>
    <w:basedOn w:val="1"/>
    <w:qFormat/>
    <w:uiPriority w:val="0"/>
    <w:pPr>
      <w:autoSpaceDE w:val="0"/>
      <w:autoSpaceDN w:val="0"/>
      <w:adjustRightInd w:val="0"/>
    </w:pPr>
    <w:rPr>
      <w:rFonts w:hint="eastAsia" w:ascii="宋体" w:hAnsi="宋体"/>
      <w:sz w:val="24"/>
      <w:szCs w:val="20"/>
    </w:rPr>
  </w:style>
  <w:style w:type="paragraph" w:customStyle="1" w:styleId="265">
    <w:name w:val="样式　标题4"/>
    <w:basedOn w:val="209"/>
    <w:next w:val="1"/>
    <w:qFormat/>
    <w:uiPriority w:val="0"/>
  </w:style>
  <w:style w:type="paragraph" w:customStyle="1" w:styleId="266">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7">
    <w:name w:val="样式 模板描述"/>
    <w:basedOn w:val="1"/>
    <w:next w:val="191"/>
    <w:qFormat/>
    <w:uiPriority w:val="0"/>
    <w:pPr>
      <w:spacing w:afterLines="50"/>
    </w:pPr>
    <w:rPr>
      <w:rFonts w:ascii="宋体" w:cs="宋体"/>
      <w:i/>
      <w:iCs/>
      <w:snapToGrid w:val="0"/>
      <w:color w:val="0000FF"/>
      <w:kern w:val="0"/>
      <w:szCs w:val="21"/>
    </w:rPr>
  </w:style>
  <w:style w:type="paragraph" w:customStyle="1" w:styleId="268">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9">
    <w:name w:val="样式2"/>
    <w:basedOn w:val="3"/>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0">
    <w:name w:val="S4-B-L15"/>
    <w:basedOn w:val="1"/>
    <w:qFormat/>
    <w:uiPriority w:val="0"/>
    <w:rPr>
      <w:b/>
      <w:bCs/>
      <w:sz w:val="24"/>
    </w:rPr>
  </w:style>
  <w:style w:type="paragraph" w:customStyle="1" w:styleId="271">
    <w:name w:val="样式 标题 3(A-3)sect1.2.3h3H3level_3PIM 3Level 3 HeadHeading..."/>
    <w:basedOn w:val="5"/>
    <w:qFormat/>
    <w:uiPriority w:val="0"/>
    <w:pPr>
      <w:tabs>
        <w:tab w:val="left" w:pos="709"/>
      </w:tabs>
      <w:spacing w:line="416" w:lineRule="auto"/>
      <w:ind w:firstLine="0" w:firstLineChars="0"/>
    </w:pPr>
    <w:rPr>
      <w:rFonts w:ascii="Arial" w:hAnsi="Arial" w:eastAsia="宋体"/>
      <w:szCs w:val="32"/>
    </w:rPr>
  </w:style>
  <w:style w:type="paragraph" w:customStyle="1" w:styleId="272">
    <w:name w:val="Char Char2"/>
    <w:basedOn w:val="1"/>
    <w:qFormat/>
    <w:uiPriority w:val="0"/>
    <w:rPr>
      <w:rFonts w:ascii="仿宋_GB2312" w:eastAsia="仿宋_GB2312"/>
      <w:b/>
      <w:sz w:val="32"/>
      <w:szCs w:val="32"/>
    </w:rPr>
  </w:style>
  <w:style w:type="paragraph" w:customStyle="1" w:styleId="273">
    <w:name w:val="p0"/>
    <w:basedOn w:val="1"/>
    <w:qFormat/>
    <w:uiPriority w:val="0"/>
    <w:pPr>
      <w:widowControl/>
    </w:pPr>
    <w:rPr>
      <w:kern w:val="0"/>
      <w:szCs w:val="21"/>
    </w:rPr>
  </w:style>
  <w:style w:type="table" w:customStyle="1" w:styleId="274">
    <w:name w:val="网格表 4 - 着色 11"/>
    <w:basedOn w:val="54"/>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5">
    <w:name w:val="font21"/>
    <w:qFormat/>
    <w:uiPriority w:val="0"/>
    <w:rPr>
      <w:rFonts w:hint="eastAsia" w:ascii="宋体" w:hAnsi="宋体" w:eastAsia="宋体" w:cs="宋体"/>
      <w:color w:val="000000"/>
      <w:sz w:val="24"/>
      <w:szCs w:val="24"/>
      <w:u w:val="none"/>
    </w:rPr>
  </w:style>
  <w:style w:type="paragraph" w:customStyle="1" w:styleId="27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8">
    <w:name w:val="NormalCharacter"/>
    <w:qFormat/>
    <w:uiPriority w:val="0"/>
  </w:style>
  <w:style w:type="character" w:customStyle="1" w:styleId="279">
    <w:name w:val="标题 Char3"/>
    <w:qFormat/>
    <w:uiPriority w:val="0"/>
    <w:rPr>
      <w:rFonts w:ascii="Cambria" w:hAnsi="Cambria" w:eastAsia="宋体"/>
      <w:b/>
      <w:bCs/>
      <w:kern w:val="2"/>
      <w:sz w:val="32"/>
      <w:szCs w:val="32"/>
      <w:lang w:bidi="ar-SA"/>
    </w:rPr>
  </w:style>
  <w:style w:type="character" w:customStyle="1" w:styleId="280">
    <w:name w:val="正文缩进 Char2"/>
    <w:qFormat/>
    <w:uiPriority w:val="0"/>
  </w:style>
  <w:style w:type="paragraph" w:customStyle="1" w:styleId="281">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2">
    <w:name w:val="未处理的提及1"/>
    <w:basedOn w:val="58"/>
    <w:semiHidden/>
    <w:unhideWhenUsed/>
    <w:qFormat/>
    <w:uiPriority w:val="99"/>
    <w:rPr>
      <w:color w:val="605E5C"/>
      <w:shd w:val="clear" w:color="auto" w:fill="E1DFDD"/>
    </w:rPr>
  </w:style>
  <w:style w:type="character" w:customStyle="1" w:styleId="283">
    <w:name w:val="纯文本 字符2"/>
    <w:qFormat/>
    <w:uiPriority w:val="0"/>
    <w:rPr>
      <w:rFonts w:ascii="宋体" w:hAnsi="Courier New" w:eastAsia="宋体" w:cs="Times New Roman"/>
      <w:kern w:val="2"/>
      <w:sz w:val="24"/>
      <w:szCs w:val="24"/>
      <w:lang w:val="en-US" w:eastAsia="zh-CN" w:bidi="ar-SA"/>
    </w:rPr>
  </w:style>
  <w:style w:type="character" w:customStyle="1" w:styleId="284">
    <w:name w:val="List Paragraph Char"/>
    <w:link w:val="117"/>
    <w:qFormat/>
    <w:uiPriority w:val="0"/>
    <w:rPr>
      <w:rFonts w:ascii="Calibri" w:hAnsi="Calibri" w:eastAsia="微软雅黑"/>
      <w:kern w:val="2"/>
      <w:sz w:val="21"/>
    </w:rPr>
  </w:style>
  <w:style w:type="character" w:customStyle="1" w:styleId="285">
    <w:name w:val="正文文本缩进 字符1"/>
    <w:qFormat/>
    <w:uiPriority w:val="0"/>
    <w:rPr>
      <w:rFonts w:ascii="宋体" w:hAnsi="Courier New"/>
      <w:spacing w:val="-4"/>
      <w:kern w:val="2"/>
      <w:sz w:val="18"/>
    </w:rPr>
  </w:style>
  <w:style w:type="paragraph" w:customStyle="1" w:styleId="286">
    <w:name w:val="清單段落"/>
    <w:basedOn w:val="1"/>
    <w:qFormat/>
    <w:uiPriority w:val="0"/>
    <w:pPr>
      <w:spacing w:line="240" w:lineRule="auto"/>
      <w:ind w:left="480" w:leftChars="200" w:firstLine="0" w:firstLineChars="0"/>
      <w:jc w:val="both"/>
    </w:pPr>
    <w:rPr>
      <w:rFonts w:eastAsia="宋体"/>
    </w:rPr>
  </w:style>
  <w:style w:type="character" w:customStyle="1" w:styleId="287">
    <w:name w:val="未处理的提及2"/>
    <w:basedOn w:val="58"/>
    <w:semiHidden/>
    <w:unhideWhenUsed/>
    <w:qFormat/>
    <w:uiPriority w:val="99"/>
    <w:rPr>
      <w:color w:val="605E5C"/>
      <w:shd w:val="clear" w:color="auto" w:fill="E1DFDD"/>
    </w:rPr>
  </w:style>
  <w:style w:type="character" w:customStyle="1" w:styleId="288">
    <w:name w:val="正文文本首行缩进 2 字符"/>
    <w:basedOn w:val="75"/>
    <w:link w:val="53"/>
    <w:semiHidden/>
    <w:qFormat/>
    <w:uiPriority w:val="0"/>
    <w:rPr>
      <w:rFonts w:ascii="宋体" w:hAnsi="Courier New" w:eastAsia="微软雅黑"/>
      <w:spacing w:val="-4"/>
      <w:kern w:val="2"/>
      <w:sz w:val="21"/>
      <w:szCs w:val="24"/>
    </w:rPr>
  </w:style>
  <w:style w:type="character" w:customStyle="1" w:styleId="289">
    <w:name w:val="标书正文 Char"/>
    <w:qFormat/>
    <w:uiPriority w:val="0"/>
    <w:rPr>
      <w:rFonts w:ascii="宋体" w:hAnsi="宋体" w:eastAsia="宋体" w:cs="Times New Roman"/>
      <w:kern w:val="0"/>
      <w:sz w:val="24"/>
      <w:szCs w:val="20"/>
    </w:rPr>
  </w:style>
  <w:style w:type="character" w:customStyle="1" w:styleId="290">
    <w:name w:val="未处理的提及3"/>
    <w:basedOn w:val="58"/>
    <w:semiHidden/>
    <w:unhideWhenUsed/>
    <w:qFormat/>
    <w:uiPriority w:val="99"/>
    <w:rPr>
      <w:color w:val="605E5C"/>
      <w:shd w:val="clear" w:color="auto" w:fill="E1DFDD"/>
    </w:rPr>
  </w:style>
  <w:style w:type="paragraph" w:customStyle="1" w:styleId="291">
    <w:name w:val="正文2"/>
    <w:basedOn w:val="1"/>
    <w:qFormat/>
    <w:uiPriority w:val="0"/>
    <w:pPr>
      <w:spacing w:before="156"/>
      <w:ind w:firstLine="510"/>
      <w:jc w:val="both"/>
    </w:pPr>
    <w:rPr>
      <w:rFonts w:eastAsia="宋体" w:cs="宋体"/>
      <w:sz w:val="24"/>
      <w:szCs w:val="20"/>
    </w:rPr>
  </w:style>
  <w:style w:type="paragraph" w:customStyle="1" w:styleId="292">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3">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4">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5">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7">
    <w:name w:val="6级标题"/>
    <w:basedOn w:val="1"/>
    <w:qFormat/>
    <w:uiPriority w:val="0"/>
    <w:pPr>
      <w:keepNext/>
      <w:ind w:left="1151" w:hanging="431"/>
      <w:jc w:val="center"/>
      <w:outlineLvl w:val="5"/>
    </w:pPr>
    <w:rPr>
      <w:rFonts w:ascii="黑体" w:hAnsi="宋体"/>
      <w:b/>
      <w:bCs/>
      <w:sz w:val="24"/>
      <w:szCs w:val="52"/>
    </w:rPr>
  </w:style>
  <w:style w:type="paragraph" w:customStyle="1" w:styleId="298">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0">
    <w:name w:val="签发人"/>
    <w:basedOn w:val="1"/>
    <w:qFormat/>
    <w:uiPriority w:val="0"/>
    <w:pPr>
      <w:spacing w:line="240" w:lineRule="auto"/>
      <w:ind w:firstLine="0" w:firstLineChars="0"/>
      <w:jc w:val="both"/>
    </w:pPr>
    <w:rPr>
      <w:rFonts w:ascii="Calibri" w:hAnsi="Calibri" w:eastAsia="楷体"/>
      <w:sz w:val="32"/>
    </w:rPr>
  </w:style>
  <w:style w:type="character" w:customStyle="1" w:styleId="301">
    <w:name w:val="15"/>
    <w:basedOn w:val="58"/>
    <w:qFormat/>
    <w:uiPriority w:val="0"/>
    <w:rPr>
      <w:rFonts w:hint="default" w:ascii="Times New Roman" w:hAnsi="Times New Roman" w:cs="Times New Roman"/>
    </w:rPr>
  </w:style>
  <w:style w:type="character" w:customStyle="1" w:styleId="302">
    <w:name w:val="10"/>
    <w:basedOn w:val="58"/>
    <w:qFormat/>
    <w:uiPriority w:val="0"/>
    <w:rPr>
      <w:rFonts w:hint="default" w:ascii="Times New Roman" w:hAnsi="Times New Roman" w:cs="Times New Roman"/>
    </w:rPr>
  </w:style>
  <w:style w:type="character" w:customStyle="1" w:styleId="303">
    <w:name w:val="16"/>
    <w:basedOn w:val="58"/>
    <w:qFormat/>
    <w:uiPriority w:val="0"/>
    <w:rPr>
      <w:rFonts w:hint="default" w:ascii="Times New Roman" w:hAnsi="Times New Roman" w:cs="Times New Roman"/>
      <w:color w:val="467886"/>
      <w:u w:val="single"/>
    </w:rPr>
  </w:style>
  <w:style w:type="paragraph" w:customStyle="1" w:styleId="304">
    <w:name w:val="修订3"/>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5">
    <w:name w:val="未处理的提及4"/>
    <w:basedOn w:val="58"/>
    <w:semiHidden/>
    <w:unhideWhenUsed/>
    <w:qFormat/>
    <w:uiPriority w:val="99"/>
    <w:rPr>
      <w:color w:val="605E5C"/>
      <w:shd w:val="clear" w:color="auto" w:fill="E1DFDD"/>
    </w:rPr>
  </w:style>
  <w:style w:type="paragraph" w:customStyle="1" w:styleId="306">
    <w:name w:val="Normal Indent1"/>
    <w:basedOn w:val="1"/>
    <w:qFormat/>
    <w:uiPriority w:val="0"/>
    <w:pPr>
      <w:adjustRightInd w:val="0"/>
      <w:spacing w:line="240" w:lineRule="auto"/>
      <w:ind w:firstLine="420"/>
      <w:jc w:val="both"/>
    </w:pPr>
    <w:rPr>
      <w:rFonts w:eastAsia="宋体"/>
    </w:rPr>
  </w:style>
  <w:style w:type="character" w:customStyle="1" w:styleId="307">
    <w:name w:val="Unresolved Mention"/>
    <w:basedOn w:val="58"/>
    <w:semiHidden/>
    <w:unhideWhenUsed/>
    <w:qFormat/>
    <w:uiPriority w:val="99"/>
    <w:rPr>
      <w:color w:val="605E5C"/>
      <w:shd w:val="clear" w:color="auto" w:fill="E1DFDD"/>
    </w:rPr>
  </w:style>
  <w:style w:type="paragraph" w:customStyle="1" w:styleId="308">
    <w:name w:val="ZQ正文"/>
    <w:basedOn w:val="1"/>
    <w:qFormat/>
    <w:uiPriority w:val="0"/>
    <w:pPr>
      <w:ind w:firstLine="200"/>
      <w:jc w:val="both"/>
    </w:pPr>
    <w:rPr>
      <w:rFonts w:ascii="Calibri" w:hAnsi="Calibri" w:eastAsia="宋体"/>
      <w:sz w:val="24"/>
    </w:rPr>
  </w:style>
  <w:style w:type="character" w:customStyle="1" w:styleId="309">
    <w:name w:val="font41"/>
    <w:basedOn w:val="58"/>
    <w:qFormat/>
    <w:uiPriority w:val="0"/>
    <w:rPr>
      <w:rFonts w:hint="eastAsia" w:ascii="微软雅黑" w:hAnsi="微软雅黑" w:eastAsia="微软雅黑" w:cs="微软雅黑"/>
      <w:color w:val="000000"/>
      <w:sz w:val="21"/>
      <w:szCs w:val="21"/>
      <w:u w:val="none"/>
    </w:rPr>
  </w:style>
  <w:style w:type="character" w:customStyle="1" w:styleId="310">
    <w:name w:val="font131"/>
    <w:basedOn w:val="58"/>
    <w:qFormat/>
    <w:uiPriority w:val="0"/>
    <w:rPr>
      <w:rFonts w:hint="eastAsia" w:ascii="微软雅黑" w:hAnsi="微软雅黑" w:eastAsia="微软雅黑" w:cs="微软雅黑"/>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jpeg"/><Relationship Id="rId37" Type="http://schemas.openxmlformats.org/officeDocument/2006/relationships/theme" Target="theme/theme1.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1026" textRotate="1"/>
    <customShpInfo spid="_x0000_s3080"/>
    <customShpInfo spid="_x0000_s3079"/>
    <customShpInfo spid="_x0000_s3086"/>
    <customShpInfo spid="_x0000_s3085"/>
    <customShpInfo spid="_x0000_s3084"/>
    <customShpInfo spid="_x0000_s3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80</Pages>
  <Words>8951</Words>
  <Characters>10070</Characters>
  <Lines>263</Lines>
  <Paragraphs>74</Paragraphs>
  <TotalTime>24</TotalTime>
  <ScaleCrop>false</ScaleCrop>
  <LinksUpToDate>false</LinksUpToDate>
  <CharactersWithSpaces>10577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2023-06-08T09:36:00Z</dcterms:created>
  <dc:creator>微软用户</dc:creator>
  <cp:lastModifiedBy>章大莉</cp:lastModifiedBy>
  <cp:lastPrinted>2025-03-04T10:34:00Z</cp:lastPrinted>
  <dcterms:modified xsi:type="dcterms:W3CDTF">2025-03-07T08:50:45Z</dcterms:modified>
  <dc:title>1</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64F1946CFF09413E9D0CFEE7F72200A1_13</vt:lpwstr>
  </property>
  <property fmtid="{D5CDD505-2E9C-101B-9397-08002B2CF9AE}" pid="4" name="KSOTemplateDocerSaveRecord">
    <vt:lpwstr>eyJoZGlkIjoiMTJlMTYyNTAxYWM3MWI0NzliODIyODNmMjdmN2NhNGEiLCJ1c2VySWQiOiIxMjkzODA4MDU5In0=</vt:lpwstr>
  </property>
</Properties>
</file>