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679743">
      <w:pPr>
        <w:ind w:left="599" w:leftChars="-202" w:right="-521" w:rightChars="-248" w:hanging="1023" w:hangingChars="142"/>
        <w:jc w:val="center"/>
        <w:outlineLvl w:val="0"/>
        <w:rPr>
          <w:rFonts w:hint="eastAsia" w:ascii="微软雅黑" w:hAnsi="微软雅黑" w:cs="微软雅黑"/>
          <w:b/>
          <w:bCs/>
          <w:color w:val="auto"/>
          <w:sz w:val="72"/>
          <w:szCs w:val="72"/>
          <w:highlight w:val="none"/>
        </w:rPr>
      </w:pPr>
      <w:bookmarkStart w:id="0" w:name="_Toc11060"/>
      <w:bookmarkStart w:id="1" w:name="_Toc24825"/>
      <w:bookmarkStart w:id="2" w:name="_Toc12262"/>
      <w:r>
        <w:rPr>
          <w:rFonts w:hint="eastAsia" w:ascii="微软雅黑" w:hAnsi="微软雅黑" w:cs="微软雅黑"/>
          <w:b/>
          <w:bCs/>
          <w:color w:val="auto"/>
          <w:sz w:val="72"/>
          <w:szCs w:val="72"/>
          <w:highlight w:val="none"/>
        </w:rPr>
        <w:t>政府采购电子交易项目</w:t>
      </w:r>
      <w:bookmarkEnd w:id="0"/>
      <w:bookmarkEnd w:id="1"/>
      <w:bookmarkEnd w:id="2"/>
    </w:p>
    <w:p w14:paraId="5C8DFC68">
      <w:pPr>
        <w:pStyle w:val="52"/>
        <w:ind w:left="418" w:leftChars="0" w:hanging="418" w:hangingChars="58"/>
        <w:jc w:val="center"/>
        <w:rPr>
          <w:rFonts w:hint="eastAsia" w:ascii="微软雅黑" w:hAnsi="微软雅黑" w:cs="微软雅黑"/>
          <w:b/>
          <w:bCs/>
          <w:color w:val="auto"/>
          <w:sz w:val="72"/>
          <w:szCs w:val="72"/>
          <w:highlight w:val="none"/>
        </w:rPr>
      </w:pPr>
      <w:r>
        <w:rPr>
          <w:rFonts w:hint="eastAsia" w:ascii="微软雅黑" w:hAnsi="微软雅黑" w:cs="微软雅黑"/>
          <w:b/>
          <w:bCs/>
          <w:color w:val="auto"/>
          <w:sz w:val="72"/>
          <w:szCs w:val="72"/>
          <w:highlight w:val="none"/>
        </w:rPr>
        <w:t>公开招标采购文件</w:t>
      </w:r>
    </w:p>
    <w:p w14:paraId="5E2A29E6">
      <w:pPr>
        <w:pStyle w:val="278"/>
        <w:jc w:val="center"/>
        <w:rPr>
          <w:rFonts w:hint="eastAsia" w:ascii="方正粗黑宋简体" w:hAnsi="方正粗黑宋简体" w:eastAsia="方正粗黑宋简体"/>
          <w:color w:val="auto"/>
          <w:sz w:val="52"/>
          <w:szCs w:val="52"/>
          <w:highlight w:val="none"/>
        </w:rPr>
      </w:pPr>
    </w:p>
    <w:p w14:paraId="7A85BD02">
      <w:pPr>
        <w:ind w:left="120" w:leftChars="-337" w:right="-804" w:rightChars="-383" w:hanging="828" w:hangingChars="230"/>
        <w:jc w:val="center"/>
        <w:rPr>
          <w:rFonts w:hint="eastAsia" w:ascii="微软雅黑" w:hAnsi="微软雅黑"/>
          <w:b/>
          <w:bCs/>
          <w:color w:val="auto"/>
          <w:sz w:val="36"/>
          <w:szCs w:val="36"/>
          <w:highlight w:val="none"/>
        </w:rPr>
      </w:pPr>
      <w:r>
        <w:rPr>
          <w:rFonts w:ascii="微软雅黑" w:hAnsi="微软雅黑"/>
          <w:b/>
          <w:bCs/>
          <w:color w:val="auto"/>
          <w:sz w:val="36"/>
          <w:szCs w:val="36"/>
          <w:highlight w:val="none"/>
        </w:rPr>
        <w:drawing>
          <wp:inline distT="0" distB="0" distL="0" distR="0">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32"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72494964">
      <w:pPr>
        <w:pStyle w:val="29"/>
        <w:pBdr>
          <w:bottom w:val="thinThickThinMediumGap" w:color="auto" w:sz="18" w:space="1"/>
        </w:pBdr>
        <w:ind w:firstLine="532"/>
        <w:jc w:val="distribute"/>
        <w:rPr>
          <w:rFonts w:hint="eastAsia" w:ascii="微软雅黑" w:hAnsi="微软雅黑"/>
          <w:b/>
          <w:bCs/>
          <w:color w:val="auto"/>
          <w:w w:val="95"/>
          <w:sz w:val="28"/>
          <w:szCs w:val="28"/>
          <w:highlight w:val="none"/>
        </w:rPr>
      </w:pPr>
    </w:p>
    <w:p w14:paraId="7BD04F16">
      <w:pPr>
        <w:pStyle w:val="29"/>
        <w:pBdr>
          <w:bottom w:val="thinThickThinMediumGap" w:color="auto" w:sz="18" w:space="1"/>
        </w:pBdr>
        <w:ind w:firstLine="0" w:firstLineChars="0"/>
        <w:jc w:val="distribute"/>
        <w:outlineLvl w:val="0"/>
        <w:rPr>
          <w:rFonts w:hint="eastAsia" w:ascii="微软雅黑" w:hAnsi="微软雅黑"/>
          <w:b/>
          <w:bCs/>
          <w:color w:val="auto"/>
          <w:w w:val="95"/>
          <w:sz w:val="28"/>
          <w:szCs w:val="28"/>
          <w:highlight w:val="none"/>
        </w:rPr>
      </w:pPr>
      <w:bookmarkStart w:id="3" w:name="_Toc31634"/>
      <w:bookmarkStart w:id="4" w:name="_Toc32224"/>
      <w:bookmarkStart w:id="5" w:name="_Toc18138"/>
      <w:r>
        <w:rPr>
          <w:rFonts w:hint="eastAsia" w:ascii="微软雅黑" w:hAnsi="微软雅黑"/>
          <w:b/>
          <w:bCs/>
          <w:color w:val="auto"/>
          <w:w w:val="95"/>
          <w:sz w:val="28"/>
          <w:szCs w:val="28"/>
          <w:highlight w:val="none"/>
        </w:rPr>
        <w:t>嘉兴市千秋工程咨询有限公司</w:t>
      </w:r>
      <w:bookmarkEnd w:id="3"/>
      <w:bookmarkEnd w:id="4"/>
      <w:bookmarkEnd w:id="5"/>
    </w:p>
    <w:p w14:paraId="035DBFB0">
      <w:pPr>
        <w:pStyle w:val="29"/>
        <w:pBdr>
          <w:bottom w:val="thinThickThinMediumGap" w:color="auto" w:sz="18" w:space="1"/>
        </w:pBdr>
        <w:ind w:firstLine="0" w:firstLineChars="0"/>
        <w:jc w:val="distribute"/>
        <w:rPr>
          <w:rFonts w:hint="eastAsia" w:ascii="微软雅黑" w:hAnsi="微软雅黑"/>
          <w:b/>
          <w:bCs/>
          <w:color w:val="auto"/>
          <w:w w:val="95"/>
          <w:sz w:val="28"/>
          <w:szCs w:val="28"/>
          <w:highlight w:val="none"/>
        </w:rPr>
      </w:pPr>
      <w:r>
        <w:rPr>
          <w:rFonts w:hint="eastAsia" w:ascii="微软雅黑" w:hAnsi="微软雅黑"/>
          <w:b/>
          <w:bCs/>
          <w:color w:val="auto"/>
          <w:w w:val="95"/>
          <w:sz w:val="28"/>
          <w:szCs w:val="28"/>
          <w:highlight w:val="none"/>
        </w:rPr>
        <w:t>Jiaxing Qianqiu Engineering Consulting Co., Ltd</w:t>
      </w:r>
    </w:p>
    <w:p w14:paraId="0CC01E37">
      <w:pPr>
        <w:pStyle w:val="29"/>
        <w:ind w:firstLine="0" w:firstLineChars="0"/>
        <w:rPr>
          <w:rFonts w:hint="eastAsia" w:ascii="微软雅黑" w:hAnsi="微软雅黑"/>
          <w:bCs/>
          <w:color w:val="auto"/>
          <w:w w:val="95"/>
          <w:sz w:val="28"/>
          <w:szCs w:val="28"/>
          <w:highlight w:val="none"/>
        </w:rPr>
      </w:pPr>
      <w:r>
        <w:rPr>
          <w:rFonts w:hint="eastAsia" w:ascii="微软雅黑" w:hAnsi="微软雅黑"/>
          <w:bCs/>
          <w:color w:val="auto"/>
          <w:w w:val="95"/>
          <w:sz w:val="28"/>
          <w:szCs w:val="28"/>
          <w:highlight w:val="none"/>
        </w:rPr>
        <w:t>项目名称：2025年秀洲区老旧房屋保险服务项目</w:t>
      </w:r>
    </w:p>
    <w:p w14:paraId="487002DB">
      <w:pPr>
        <w:pStyle w:val="29"/>
        <w:ind w:firstLine="0" w:firstLineChars="0"/>
        <w:rPr>
          <w:rFonts w:hint="eastAsia" w:ascii="微软雅黑" w:hAnsi="微软雅黑"/>
          <w:bCs/>
          <w:color w:val="auto"/>
          <w:w w:val="95"/>
          <w:sz w:val="28"/>
          <w:szCs w:val="28"/>
          <w:highlight w:val="none"/>
        </w:rPr>
      </w:pPr>
      <w:r>
        <w:rPr>
          <w:rFonts w:hint="eastAsia" w:ascii="微软雅黑" w:hAnsi="微软雅黑"/>
          <w:bCs/>
          <w:color w:val="auto"/>
          <w:w w:val="95"/>
          <w:sz w:val="28"/>
          <w:szCs w:val="28"/>
          <w:highlight w:val="none"/>
        </w:rPr>
        <w:t>招标编号：千秋-JXQQGK（202</w:t>
      </w:r>
      <w:r>
        <w:rPr>
          <w:rFonts w:hint="eastAsia" w:ascii="微软雅黑" w:hAnsi="微软雅黑"/>
          <w:bCs/>
          <w:color w:val="auto"/>
          <w:w w:val="95"/>
          <w:sz w:val="28"/>
          <w:szCs w:val="28"/>
          <w:highlight w:val="none"/>
          <w:lang w:val="en-US" w:eastAsia="zh-CN"/>
        </w:rPr>
        <w:t>5</w:t>
      </w:r>
      <w:r>
        <w:rPr>
          <w:rFonts w:hint="eastAsia" w:ascii="微软雅黑" w:hAnsi="微软雅黑"/>
          <w:bCs/>
          <w:color w:val="auto"/>
          <w:w w:val="95"/>
          <w:sz w:val="28"/>
          <w:szCs w:val="28"/>
          <w:highlight w:val="none"/>
        </w:rPr>
        <w:t>）第</w:t>
      </w:r>
      <w:r>
        <w:rPr>
          <w:rFonts w:hint="eastAsia" w:ascii="微软雅黑" w:hAnsi="微软雅黑"/>
          <w:bCs/>
          <w:color w:val="auto"/>
          <w:w w:val="95"/>
          <w:sz w:val="28"/>
          <w:szCs w:val="28"/>
          <w:highlight w:val="none"/>
          <w:lang w:val="en-US" w:eastAsia="zh-CN"/>
        </w:rPr>
        <w:t>01</w:t>
      </w:r>
      <w:r>
        <w:rPr>
          <w:rFonts w:hint="eastAsia" w:ascii="微软雅黑" w:hAnsi="微软雅黑"/>
          <w:bCs/>
          <w:color w:val="auto"/>
          <w:w w:val="95"/>
          <w:sz w:val="28"/>
          <w:szCs w:val="28"/>
          <w:highlight w:val="none"/>
        </w:rPr>
        <w:t>号</w:t>
      </w:r>
    </w:p>
    <w:p w14:paraId="783311A4">
      <w:pPr>
        <w:pStyle w:val="29"/>
        <w:ind w:firstLine="0" w:firstLineChars="0"/>
        <w:rPr>
          <w:rFonts w:hint="eastAsia" w:ascii="微软雅黑" w:hAnsi="微软雅黑"/>
          <w:bCs/>
          <w:color w:val="auto"/>
          <w:w w:val="95"/>
          <w:sz w:val="28"/>
          <w:szCs w:val="28"/>
          <w:highlight w:val="none"/>
        </w:rPr>
      </w:pPr>
      <w:r>
        <w:rPr>
          <w:rFonts w:hint="eastAsia" w:ascii="微软雅黑" w:hAnsi="微软雅黑"/>
          <w:bCs/>
          <w:color w:val="auto"/>
          <w:w w:val="95"/>
          <w:sz w:val="28"/>
          <w:szCs w:val="28"/>
          <w:highlight w:val="none"/>
        </w:rPr>
        <w:t>采 购 人：嘉兴市秀洲区住房和城乡建设局</w:t>
      </w:r>
    </w:p>
    <w:p w14:paraId="640D0E96">
      <w:pPr>
        <w:pStyle w:val="29"/>
        <w:ind w:firstLine="0" w:firstLineChars="0"/>
        <w:rPr>
          <w:rFonts w:hint="eastAsia" w:ascii="微软雅黑" w:hAnsi="微软雅黑"/>
          <w:bCs/>
          <w:color w:val="auto"/>
          <w:w w:val="95"/>
          <w:sz w:val="28"/>
          <w:szCs w:val="28"/>
          <w:highlight w:val="none"/>
        </w:rPr>
      </w:pPr>
      <w:r>
        <w:rPr>
          <w:rFonts w:hint="eastAsia" w:ascii="微软雅黑" w:hAnsi="微软雅黑"/>
          <w:bCs/>
          <w:color w:val="auto"/>
          <w:w w:val="95"/>
          <w:sz w:val="28"/>
          <w:szCs w:val="28"/>
          <w:highlight w:val="none"/>
        </w:rPr>
        <w:t>代理机构：嘉兴市千秋工程咨询有限公司</w:t>
      </w:r>
    </w:p>
    <w:p w14:paraId="5FE86C82">
      <w:pPr>
        <w:pStyle w:val="29"/>
        <w:ind w:firstLine="0" w:firstLineChars="0"/>
        <w:rPr>
          <w:rFonts w:hint="eastAsia" w:ascii="微软雅黑" w:hAnsi="微软雅黑"/>
          <w:b/>
          <w:color w:val="auto"/>
          <w:sz w:val="28"/>
          <w:szCs w:val="28"/>
          <w:highlight w:val="none"/>
        </w:rPr>
      </w:pPr>
      <w:bookmarkStart w:id="6" w:name="_Toc50012812"/>
      <w:r>
        <w:rPr>
          <w:rFonts w:hint="eastAsia" w:ascii="微软雅黑" w:hAnsi="微软雅黑"/>
          <w:bCs/>
          <w:color w:val="auto"/>
          <w:w w:val="95"/>
          <w:sz w:val="28"/>
          <w:szCs w:val="28"/>
          <w:highlight w:val="none"/>
        </w:rPr>
        <w:t>日    期：202</w:t>
      </w:r>
      <w:r>
        <w:rPr>
          <w:rFonts w:hint="eastAsia" w:ascii="微软雅黑" w:hAnsi="微软雅黑"/>
          <w:bCs/>
          <w:color w:val="auto"/>
          <w:w w:val="95"/>
          <w:sz w:val="28"/>
          <w:szCs w:val="28"/>
          <w:highlight w:val="none"/>
          <w:lang w:val="en-US" w:eastAsia="zh-CN"/>
        </w:rPr>
        <w:t>5</w:t>
      </w:r>
      <w:r>
        <w:rPr>
          <w:rFonts w:hint="eastAsia" w:ascii="微软雅黑" w:hAnsi="微软雅黑"/>
          <w:bCs/>
          <w:color w:val="auto"/>
          <w:w w:val="95"/>
          <w:sz w:val="28"/>
          <w:szCs w:val="28"/>
          <w:highlight w:val="none"/>
        </w:rPr>
        <w:t>年</w:t>
      </w:r>
      <w:r>
        <w:rPr>
          <w:rFonts w:hint="eastAsia" w:ascii="微软雅黑" w:hAnsi="微软雅黑"/>
          <w:bCs/>
          <w:color w:val="auto"/>
          <w:w w:val="95"/>
          <w:sz w:val="28"/>
          <w:szCs w:val="28"/>
          <w:highlight w:val="none"/>
          <w:lang w:val="en-US" w:eastAsia="zh-CN"/>
        </w:rPr>
        <w:t>01</w:t>
      </w:r>
      <w:r>
        <w:rPr>
          <w:rFonts w:hint="eastAsia" w:ascii="微软雅黑" w:hAnsi="微软雅黑"/>
          <w:bCs/>
          <w:color w:val="auto"/>
          <w:w w:val="95"/>
          <w:sz w:val="28"/>
          <w:szCs w:val="28"/>
          <w:highlight w:val="none"/>
        </w:rPr>
        <w:t>月</w:t>
      </w:r>
      <w:bookmarkEnd w:id="6"/>
      <w:r>
        <w:rPr>
          <w:rFonts w:hint="eastAsia" w:ascii="微软雅黑" w:hAnsi="微软雅黑"/>
          <w:bCs/>
          <w:color w:val="auto"/>
          <w:w w:val="95"/>
          <w:sz w:val="28"/>
          <w:szCs w:val="28"/>
          <w:highlight w:val="none"/>
          <w:lang w:val="en-US" w:eastAsia="zh-CN"/>
        </w:rPr>
        <w:t>13</w:t>
      </w:r>
      <w:r>
        <w:rPr>
          <w:rFonts w:hint="eastAsia" w:ascii="微软雅黑" w:hAnsi="微软雅黑"/>
          <w:bCs/>
          <w:color w:val="auto"/>
          <w:w w:val="95"/>
          <w:sz w:val="28"/>
          <w:szCs w:val="28"/>
          <w:highlight w:val="none"/>
        </w:rPr>
        <w:t>日</w:t>
      </w:r>
    </w:p>
    <w:p w14:paraId="6547DE63">
      <w:pPr>
        <w:pStyle w:val="129"/>
        <w:spacing w:before="0" w:line="360" w:lineRule="auto"/>
        <w:rPr>
          <w:rFonts w:hint="eastAsia" w:ascii="微软雅黑" w:hAnsi="微软雅黑"/>
          <w:color w:val="auto"/>
          <w:highlight w:val="none"/>
          <w:lang w:val="zh-CN"/>
        </w:rPr>
        <w:sectPr>
          <w:headerReference r:id="rId7" w:type="first"/>
          <w:footerReference r:id="rId10" w:type="first"/>
          <w:headerReference r:id="rId5" w:type="default"/>
          <w:footerReference r:id="rId8" w:type="default"/>
          <w:headerReference r:id="rId6" w:type="even"/>
          <w:footerReference r:id="rId9" w:type="even"/>
          <w:type w:val="nextColumn"/>
          <w:pgSz w:w="11906" w:h="16838"/>
          <w:pgMar w:top="1474" w:right="1134" w:bottom="1134" w:left="1474" w:header="851" w:footer="851" w:gutter="0"/>
          <w:pgBorders>
            <w:top w:val="none" w:sz="0" w:space="0"/>
            <w:left w:val="none" w:sz="0" w:space="0"/>
            <w:bottom w:val="none" w:sz="0" w:space="0"/>
            <w:right w:val="none" w:sz="0" w:space="0"/>
          </w:pgBorders>
          <w:cols w:space="720" w:num="1"/>
          <w:docGrid w:linePitch="312" w:charSpace="0"/>
        </w:sectPr>
      </w:pPr>
    </w:p>
    <w:p w14:paraId="7F95D020">
      <w:pPr>
        <w:pStyle w:val="300"/>
        <w:rPr>
          <w:rFonts w:hint="eastAsia"/>
          <w:color w:val="auto"/>
          <w:sz w:val="40"/>
          <w:szCs w:val="40"/>
          <w:highlight w:val="none"/>
        </w:rPr>
      </w:pPr>
    </w:p>
    <w:sdt>
      <w:sdtPr>
        <w:rPr>
          <w:rFonts w:ascii="宋体" w:hAnsi="宋体" w:eastAsia="宋体"/>
          <w:color w:val="auto"/>
          <w:sz w:val="40"/>
          <w:szCs w:val="40"/>
          <w:highlight w:val="none"/>
        </w:rPr>
        <w:id w:val="147478461"/>
        <w:docPartObj>
          <w:docPartGallery w:val="Table of Contents"/>
          <w:docPartUnique/>
        </w:docPartObj>
      </w:sdtPr>
      <w:sdtEndPr>
        <w:rPr>
          <w:rFonts w:ascii="宋体" w:hAnsi="宋体" w:eastAsia="宋体"/>
          <w:b/>
          <w:color w:val="auto"/>
          <w:sz w:val="40"/>
          <w:szCs w:val="40"/>
          <w:highlight w:val="none"/>
        </w:rPr>
      </w:sdtEndPr>
      <w:sdtContent>
        <w:p w14:paraId="22B01F8A">
          <w:pPr>
            <w:spacing w:line="240" w:lineRule="auto"/>
            <w:ind w:firstLine="0" w:firstLineChars="0"/>
            <w:jc w:val="center"/>
            <w:rPr>
              <w:color w:val="auto"/>
              <w:sz w:val="40"/>
              <w:szCs w:val="40"/>
              <w:highlight w:val="none"/>
            </w:rPr>
          </w:pPr>
          <w:r>
            <w:rPr>
              <w:rFonts w:ascii="宋体" w:hAnsi="宋体" w:eastAsia="宋体"/>
              <w:color w:val="auto"/>
              <w:sz w:val="40"/>
              <w:szCs w:val="40"/>
              <w:highlight w:val="none"/>
            </w:rPr>
            <w:t>目录</w:t>
          </w:r>
        </w:p>
        <w:p w14:paraId="2E27AE96">
          <w:pPr>
            <w:pStyle w:val="135"/>
            <w:tabs>
              <w:tab w:val="right" w:leader="dot" w:pos="8312"/>
            </w:tabs>
            <w:rPr>
              <w:b/>
              <w:color w:val="auto"/>
              <w:highlight w:val="none"/>
            </w:rPr>
          </w:pPr>
          <w:r>
            <w:rPr>
              <w:color w:val="auto"/>
              <w:highlight w:val="none"/>
            </w:rPr>
            <w:fldChar w:fldCharType="begin"/>
          </w:r>
          <w:r>
            <w:rPr>
              <w:color w:val="auto"/>
              <w:highlight w:val="none"/>
            </w:rPr>
            <w:instrText xml:space="preserve">TOC \o "1-2" \h \u </w:instrText>
          </w:r>
          <w:r>
            <w:rPr>
              <w:color w:val="auto"/>
              <w:highlight w:val="none"/>
            </w:rPr>
            <w:fldChar w:fldCharType="separate"/>
          </w:r>
        </w:p>
        <w:p w14:paraId="75D856AA">
          <w:pPr>
            <w:pStyle w:val="135"/>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微软雅黑" w:hAnsi="微软雅黑" w:eastAsia="微软雅黑" w:cs="微软雅黑"/>
              <w:bCs/>
              <w:color w:val="auto"/>
              <w:sz w:val="28"/>
              <w:szCs w:val="28"/>
              <w:highlight w:val="none"/>
            </w:rPr>
            <w:t>第一章 公开招标采购公告</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_Toc19316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2</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30E8EE23">
          <w:pPr>
            <w:pStyle w:val="135"/>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"_Toc30616" </w:instrText>
          </w:r>
          <w:r>
            <w:rPr>
              <w:color w:val="auto"/>
              <w:highlight w:val="none"/>
            </w:rPr>
            <w:fldChar w:fldCharType="separate"/>
          </w:r>
          <w:r>
            <w:rPr>
              <w:rFonts w:hint="eastAsia" w:ascii="微软雅黑" w:hAnsi="微软雅黑" w:eastAsia="微软雅黑" w:cs="微软雅黑"/>
              <w:bCs/>
              <w:color w:val="auto"/>
              <w:sz w:val="28"/>
              <w:szCs w:val="28"/>
              <w:highlight w:val="none"/>
            </w:rPr>
            <w:t>第二章 招标项目要求</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_Toc30616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8</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685D0970">
          <w:pPr>
            <w:pStyle w:val="135"/>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"_Toc32265" </w:instrText>
          </w:r>
          <w:r>
            <w:rPr>
              <w:color w:val="auto"/>
              <w:highlight w:val="none"/>
            </w:rPr>
            <w:fldChar w:fldCharType="separate"/>
          </w:r>
          <w:r>
            <w:rPr>
              <w:rFonts w:hint="eastAsia" w:ascii="微软雅黑" w:hAnsi="微软雅黑" w:eastAsia="微软雅黑" w:cs="微软雅黑"/>
              <w:bCs/>
              <w:color w:val="auto"/>
              <w:sz w:val="28"/>
              <w:szCs w:val="28"/>
              <w:highlight w:val="none"/>
            </w:rPr>
            <w:t>第三章 投标人须知</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_Toc32265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10</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68A84ECD">
          <w:pPr>
            <w:pStyle w:val="301"/>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"_Toc15642" </w:instrText>
          </w:r>
          <w:r>
            <w:rPr>
              <w:color w:val="auto"/>
              <w:highlight w:val="none"/>
            </w:rPr>
            <w:fldChar w:fldCharType="separate"/>
          </w:r>
          <w:r>
            <w:rPr>
              <w:rFonts w:hint="eastAsia" w:ascii="微软雅黑" w:hAnsi="微软雅黑" w:eastAsia="微软雅黑" w:cs="微软雅黑"/>
              <w:bCs/>
              <w:color w:val="auto"/>
              <w:sz w:val="28"/>
              <w:szCs w:val="28"/>
              <w:highlight w:val="none"/>
            </w:rPr>
            <w:t>电子交易注意事项</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_Toc15642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10</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758F2D49">
          <w:pPr>
            <w:pStyle w:val="301"/>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"_Toc9927" </w:instrText>
          </w:r>
          <w:r>
            <w:rPr>
              <w:color w:val="auto"/>
              <w:highlight w:val="none"/>
            </w:rPr>
            <w:fldChar w:fldCharType="separate"/>
          </w:r>
          <w:r>
            <w:rPr>
              <w:rFonts w:hint="eastAsia" w:ascii="微软雅黑" w:hAnsi="微软雅黑" w:eastAsia="微软雅黑" w:cs="微软雅黑"/>
              <w:bCs/>
              <w:color w:val="auto"/>
              <w:sz w:val="28"/>
              <w:szCs w:val="28"/>
              <w:highlight w:val="none"/>
            </w:rPr>
            <w:t>前附表</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_Toc9927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11</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34DD1F7C">
          <w:pPr>
            <w:pStyle w:val="301"/>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"_Toc3218" </w:instrText>
          </w:r>
          <w:r>
            <w:rPr>
              <w:color w:val="auto"/>
              <w:highlight w:val="none"/>
            </w:rPr>
            <w:fldChar w:fldCharType="separate"/>
          </w:r>
          <w:r>
            <w:rPr>
              <w:rFonts w:hint="eastAsia" w:ascii="微软雅黑" w:hAnsi="微软雅黑" w:eastAsia="微软雅黑" w:cs="微软雅黑"/>
              <w:bCs/>
              <w:color w:val="auto"/>
              <w:sz w:val="28"/>
              <w:szCs w:val="28"/>
              <w:highlight w:val="none"/>
            </w:rPr>
            <w:t>一、总  则</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_Toc3218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13</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7DDE0227">
          <w:pPr>
            <w:pStyle w:val="301"/>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"_Toc27754" </w:instrText>
          </w:r>
          <w:r>
            <w:rPr>
              <w:color w:val="auto"/>
              <w:highlight w:val="none"/>
            </w:rPr>
            <w:fldChar w:fldCharType="separate"/>
          </w:r>
          <w:r>
            <w:rPr>
              <w:rFonts w:hint="eastAsia" w:ascii="微软雅黑" w:hAnsi="微软雅黑" w:eastAsia="微软雅黑" w:cs="微软雅黑"/>
              <w:bCs/>
              <w:color w:val="auto"/>
              <w:sz w:val="28"/>
              <w:szCs w:val="28"/>
              <w:highlight w:val="none"/>
            </w:rPr>
            <w:t>二 、招标文件</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_Toc27754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17</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5D667B08">
          <w:pPr>
            <w:pStyle w:val="301"/>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"_Toc27689" </w:instrText>
          </w:r>
          <w:r>
            <w:rPr>
              <w:color w:val="auto"/>
              <w:highlight w:val="none"/>
            </w:rPr>
            <w:fldChar w:fldCharType="separate"/>
          </w:r>
          <w:r>
            <w:rPr>
              <w:rFonts w:hint="eastAsia" w:ascii="微软雅黑" w:hAnsi="微软雅黑" w:eastAsia="微软雅黑" w:cs="微软雅黑"/>
              <w:bCs/>
              <w:color w:val="auto"/>
              <w:sz w:val="28"/>
              <w:szCs w:val="28"/>
              <w:highlight w:val="none"/>
            </w:rPr>
            <w:t>三、 投标文件的编制</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_Toc27689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18</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0D59F7D6">
          <w:pPr>
            <w:pStyle w:val="301"/>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"_Toc22083" </w:instrText>
          </w:r>
          <w:r>
            <w:rPr>
              <w:color w:val="auto"/>
              <w:highlight w:val="none"/>
            </w:rPr>
            <w:fldChar w:fldCharType="separate"/>
          </w:r>
          <w:r>
            <w:rPr>
              <w:rFonts w:hint="eastAsia" w:ascii="微软雅黑" w:hAnsi="微软雅黑" w:eastAsia="微软雅黑" w:cs="微软雅黑"/>
              <w:bCs/>
              <w:color w:val="auto"/>
              <w:sz w:val="28"/>
              <w:szCs w:val="28"/>
              <w:highlight w:val="none"/>
            </w:rPr>
            <w:t>四、开标</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_Toc22083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22</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7A47162A">
          <w:pPr>
            <w:pStyle w:val="301"/>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"_Toc18014" </w:instrText>
          </w:r>
          <w:r>
            <w:rPr>
              <w:color w:val="auto"/>
              <w:highlight w:val="none"/>
            </w:rPr>
            <w:fldChar w:fldCharType="separate"/>
          </w:r>
          <w:r>
            <w:rPr>
              <w:rFonts w:hint="eastAsia" w:ascii="微软雅黑" w:hAnsi="微软雅黑" w:eastAsia="微软雅黑" w:cs="微软雅黑"/>
              <w:bCs/>
              <w:color w:val="auto"/>
              <w:sz w:val="28"/>
              <w:szCs w:val="28"/>
              <w:highlight w:val="none"/>
            </w:rPr>
            <w:t>五、评标</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_Toc18014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22</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6E3A3047">
          <w:pPr>
            <w:pStyle w:val="301"/>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"_Toc30708" </w:instrText>
          </w:r>
          <w:r>
            <w:rPr>
              <w:color w:val="auto"/>
              <w:highlight w:val="none"/>
            </w:rPr>
            <w:fldChar w:fldCharType="separate"/>
          </w:r>
          <w:r>
            <w:rPr>
              <w:rFonts w:hint="eastAsia" w:ascii="微软雅黑" w:hAnsi="微软雅黑" w:eastAsia="微软雅黑" w:cs="微软雅黑"/>
              <w:bCs/>
              <w:color w:val="auto"/>
              <w:sz w:val="28"/>
              <w:szCs w:val="28"/>
              <w:highlight w:val="none"/>
            </w:rPr>
            <w:t>六、定标</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_Toc30708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25</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7EFBCC90">
          <w:pPr>
            <w:pStyle w:val="301"/>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"_Toc4086" </w:instrText>
          </w:r>
          <w:r>
            <w:rPr>
              <w:color w:val="auto"/>
              <w:highlight w:val="none"/>
            </w:rPr>
            <w:fldChar w:fldCharType="separate"/>
          </w:r>
          <w:r>
            <w:rPr>
              <w:rFonts w:hint="eastAsia" w:ascii="微软雅黑" w:hAnsi="微软雅黑" w:eastAsia="微软雅黑" w:cs="微软雅黑"/>
              <w:bCs/>
              <w:color w:val="auto"/>
              <w:sz w:val="28"/>
              <w:szCs w:val="28"/>
              <w:highlight w:val="none"/>
            </w:rPr>
            <w:t>七、合同授予</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_Toc4086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25</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39880CBF">
          <w:pPr>
            <w:pStyle w:val="301"/>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"_Toc17646" </w:instrText>
          </w:r>
          <w:r>
            <w:rPr>
              <w:color w:val="auto"/>
              <w:highlight w:val="none"/>
            </w:rPr>
            <w:fldChar w:fldCharType="separate"/>
          </w:r>
          <w:r>
            <w:rPr>
              <w:rFonts w:hint="eastAsia" w:ascii="微软雅黑" w:hAnsi="微软雅黑" w:eastAsia="微软雅黑" w:cs="微软雅黑"/>
              <w:bCs/>
              <w:color w:val="auto"/>
              <w:sz w:val="28"/>
              <w:szCs w:val="28"/>
              <w:highlight w:val="none"/>
            </w:rPr>
            <w:t>八、验收</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_Toc17646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25</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30E85F36">
          <w:pPr>
            <w:pStyle w:val="301"/>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"_Toc9282" </w:instrText>
          </w:r>
          <w:r>
            <w:rPr>
              <w:color w:val="auto"/>
              <w:highlight w:val="none"/>
            </w:rPr>
            <w:fldChar w:fldCharType="separate"/>
          </w:r>
          <w:r>
            <w:rPr>
              <w:rFonts w:hint="eastAsia" w:ascii="微软雅黑" w:hAnsi="微软雅黑" w:eastAsia="微软雅黑" w:cs="微软雅黑"/>
              <w:bCs/>
              <w:color w:val="auto"/>
              <w:sz w:val="28"/>
              <w:szCs w:val="28"/>
              <w:highlight w:val="none"/>
            </w:rPr>
            <w:t>九、招标代理费</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_Toc9282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26</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572924FA">
          <w:pPr>
            <w:pStyle w:val="135"/>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"_Toc27645" </w:instrText>
          </w:r>
          <w:r>
            <w:rPr>
              <w:color w:val="auto"/>
              <w:highlight w:val="none"/>
            </w:rPr>
            <w:fldChar w:fldCharType="separate"/>
          </w:r>
          <w:r>
            <w:rPr>
              <w:rFonts w:hint="eastAsia" w:ascii="微软雅黑" w:hAnsi="微软雅黑" w:eastAsia="微软雅黑" w:cs="微软雅黑"/>
              <w:bCs/>
              <w:color w:val="auto"/>
              <w:sz w:val="28"/>
              <w:szCs w:val="28"/>
              <w:highlight w:val="none"/>
            </w:rPr>
            <w:t>第四章 评标办法及评分标准</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_Toc27645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28</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34C3D60F">
          <w:pPr>
            <w:pStyle w:val="135"/>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"_Toc28705" </w:instrText>
          </w:r>
          <w:r>
            <w:rPr>
              <w:color w:val="auto"/>
              <w:highlight w:val="none"/>
            </w:rPr>
            <w:fldChar w:fldCharType="separate"/>
          </w:r>
          <w:r>
            <w:rPr>
              <w:rFonts w:hint="eastAsia" w:ascii="微软雅黑" w:hAnsi="微软雅黑" w:eastAsia="微软雅黑" w:cs="微软雅黑"/>
              <w:bCs/>
              <w:color w:val="auto"/>
              <w:sz w:val="28"/>
              <w:szCs w:val="28"/>
              <w:highlight w:val="none"/>
            </w:rPr>
            <w:t>第五章 采购合同（指引）</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_Toc28705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31</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76804D46">
          <w:pPr>
            <w:pStyle w:val="135"/>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"_Toc2506" </w:instrText>
          </w:r>
          <w:r>
            <w:rPr>
              <w:color w:val="auto"/>
              <w:highlight w:val="none"/>
            </w:rPr>
            <w:fldChar w:fldCharType="separate"/>
          </w:r>
          <w:r>
            <w:rPr>
              <w:rFonts w:hint="eastAsia" w:ascii="微软雅黑" w:hAnsi="微软雅黑" w:eastAsia="微软雅黑" w:cs="微软雅黑"/>
              <w:bCs/>
              <w:color w:val="auto"/>
              <w:sz w:val="28"/>
              <w:szCs w:val="28"/>
              <w:highlight w:val="none"/>
            </w:rPr>
            <w:t>第六章 投标文件相关格式</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_Toc2506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37</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541DCBBF">
          <w:pPr>
            <w:pStyle w:val="135"/>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"_Toc13790" </w:instrText>
          </w:r>
          <w:r>
            <w:rPr>
              <w:color w:val="auto"/>
              <w:highlight w:val="none"/>
            </w:rPr>
            <w:fldChar w:fldCharType="separate"/>
          </w:r>
          <w:r>
            <w:rPr>
              <w:rFonts w:hint="eastAsia" w:ascii="微软雅黑" w:hAnsi="微软雅黑" w:eastAsia="微软雅黑" w:cs="微软雅黑"/>
              <w:bCs/>
              <w:color w:val="auto"/>
              <w:sz w:val="28"/>
              <w:szCs w:val="28"/>
              <w:highlight w:val="none"/>
            </w:rPr>
            <w:t>国家统计局关于印发统计上大中小微型企业划分办法的通知</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_Toc13790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57</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6477B733">
          <w:pPr>
            <w:pStyle w:val="135"/>
            <w:tabs>
              <w:tab w:val="right" w:leader="dot" w:pos="8312"/>
            </w:tabs>
            <w:rPr>
              <w:b/>
              <w:color w:val="auto"/>
              <w:highlight w:val="none"/>
            </w:rPr>
          </w:pPr>
        </w:p>
        <w:p w14:paraId="31F341D2">
          <w:pPr>
            <w:ind w:firstLine="420"/>
            <w:rPr>
              <w:color w:val="auto"/>
              <w:highlight w:val="none"/>
            </w:rPr>
          </w:pPr>
          <w:r>
            <w:rPr>
              <w:b/>
              <w:color w:val="auto"/>
              <w:highlight w:val="none"/>
            </w:rPr>
            <w:fldChar w:fldCharType="end"/>
          </w:r>
        </w:p>
      </w:sdtContent>
    </w:sdt>
    <w:p w14:paraId="3C265E23">
      <w:pPr>
        <w:pStyle w:val="5"/>
        <w:numPr>
          <w:ilvl w:val="0"/>
          <w:numId w:val="3"/>
        </w:numPr>
        <w:rPr>
          <w:rStyle w:val="70"/>
          <w:b/>
          <w:bCs/>
          <w:color w:val="auto"/>
          <w:highlight w:val="none"/>
        </w:rPr>
        <w:sectPr>
          <w:headerReference r:id="rId13" w:type="first"/>
          <w:headerReference r:id="rId11" w:type="default"/>
          <w:footerReference r:id="rId14" w:type="default"/>
          <w:headerReference r:id="rId12" w:type="even"/>
          <w:type w:val="nextColumn"/>
          <w:pgSz w:w="11906" w:h="16838"/>
          <w:pgMar w:top="1474" w:right="1134" w:bottom="1134" w:left="1474" w:header="851" w:footer="851" w:gutter="0"/>
          <w:pgBorders>
            <w:top w:val="none" w:sz="0" w:space="0"/>
            <w:left w:val="none" w:sz="0" w:space="0"/>
            <w:bottom w:val="none" w:sz="0" w:space="0"/>
            <w:right w:val="none" w:sz="0" w:space="0"/>
          </w:pgBorders>
          <w:pgNumType w:start="1"/>
          <w:cols w:space="720" w:num="1"/>
          <w:docGrid w:linePitch="312" w:charSpace="0"/>
        </w:sectPr>
      </w:pPr>
      <w:bookmarkStart w:id="7" w:name="_Toc19316"/>
    </w:p>
    <w:p w14:paraId="2FDE40F1">
      <w:pPr>
        <w:pStyle w:val="5"/>
        <w:numPr>
          <w:ilvl w:val="0"/>
          <w:numId w:val="3"/>
        </w:numPr>
        <w:rPr>
          <w:rStyle w:val="70"/>
          <w:b/>
          <w:bCs/>
          <w:color w:val="auto"/>
          <w:highlight w:val="none"/>
        </w:rPr>
      </w:pPr>
      <w:r>
        <w:rPr>
          <w:rStyle w:val="70"/>
          <w:rFonts w:hint="eastAsia"/>
          <w:b/>
          <w:bCs/>
          <w:color w:val="auto"/>
          <w:highlight w:val="none"/>
        </w:rPr>
        <w:t>公开招标采购公告</w:t>
      </w:r>
      <w:bookmarkEnd w:id="7"/>
    </w:p>
    <w:tbl>
      <w:tblPr>
        <w:tblStyle w:val="5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4362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14:paraId="048790E7">
            <w:pPr>
              <w:pStyle w:val="48"/>
              <w:spacing w:before="75" w:beforeAutospacing="0" w:after="75" w:afterAutospacing="0" w:line="276" w:lineRule="auto"/>
              <w:ind w:firstLine="0" w:firstLineChars="0"/>
              <w:jc w:val="both"/>
              <w:rPr>
                <w:rFonts w:hint="eastAsia" w:ascii="微软雅黑" w:hAnsi="微软雅黑" w:cs="Arial"/>
                <w:color w:val="auto"/>
                <w:sz w:val="21"/>
                <w:szCs w:val="21"/>
                <w:highlight w:val="none"/>
              </w:rPr>
            </w:pPr>
            <w:bookmarkStart w:id="8" w:name="_Toc493511541"/>
            <w:bookmarkStart w:id="9" w:name="_Toc177870534"/>
            <w:r>
              <w:rPr>
                <w:rFonts w:hint="eastAsia" w:ascii="微软雅黑" w:hAnsi="微软雅黑" w:cs="Arial"/>
                <w:color w:val="auto"/>
                <w:sz w:val="21"/>
                <w:szCs w:val="21"/>
                <w:highlight w:val="none"/>
              </w:rPr>
              <w:t>项目概况</w:t>
            </w:r>
            <w:r>
              <w:rPr>
                <w:rFonts w:ascii="微软雅黑" w:hAnsi="微软雅黑" w:cs="Calibri"/>
                <w:color w:val="auto"/>
                <w:sz w:val="21"/>
                <w:szCs w:val="21"/>
                <w:highlight w:val="none"/>
              </w:rPr>
              <w:t>                           </w:t>
            </w:r>
          </w:p>
          <w:p w14:paraId="136C2AA6">
            <w:pPr>
              <w:pStyle w:val="48"/>
              <w:spacing w:before="75" w:beforeAutospacing="0" w:after="75" w:afterAutospacing="0" w:line="276" w:lineRule="auto"/>
              <w:ind w:firstLine="420"/>
              <w:rPr>
                <w:rFonts w:hint="eastAsia" w:ascii="微软雅黑" w:hAnsi="微软雅黑" w:cs="Arial"/>
                <w:color w:val="auto"/>
                <w:sz w:val="21"/>
                <w:szCs w:val="21"/>
                <w:highlight w:val="none"/>
              </w:rPr>
            </w:pPr>
            <w:r>
              <w:rPr>
                <w:rFonts w:hint="eastAsia"/>
                <w:color w:val="auto"/>
                <w:sz w:val="21"/>
                <w:szCs w:val="21"/>
                <w:highlight w:val="none"/>
              </w:rPr>
              <w:t>2025年秀洲区老旧房屋保险服务项目</w:t>
            </w:r>
            <w:r>
              <w:rPr>
                <w:rFonts w:hint="eastAsia" w:ascii="微软雅黑" w:hAnsi="微软雅黑" w:cs="Arial"/>
                <w:color w:val="auto"/>
                <w:sz w:val="21"/>
                <w:szCs w:val="21"/>
                <w:highlight w:val="none"/>
              </w:rPr>
              <w:t>的潜在投标人应在https://www.zcygov.cn获取（下载）招标文件，并于</w:t>
            </w:r>
            <w:r>
              <w:rPr>
                <w:rFonts w:ascii="微软雅黑" w:hAnsi="微软雅黑" w:cs="Calibri"/>
                <w:color w:val="auto"/>
                <w:sz w:val="21"/>
                <w:szCs w:val="21"/>
                <w:highlight w:val="none"/>
              </w:rPr>
              <w:t> </w:t>
            </w:r>
            <w:r>
              <w:rPr>
                <w:rFonts w:hint="eastAsia" w:ascii="微软雅黑" w:hAnsi="微软雅黑" w:cs="Arial"/>
                <w:color w:val="auto"/>
                <w:sz w:val="21"/>
                <w:szCs w:val="21"/>
                <w:highlight w:val="none"/>
              </w:rPr>
              <w:t>202</w:t>
            </w:r>
            <w:r>
              <w:rPr>
                <w:rFonts w:hint="eastAsia" w:ascii="微软雅黑" w:hAnsi="微软雅黑" w:cs="Arial"/>
                <w:color w:val="auto"/>
                <w:sz w:val="21"/>
                <w:szCs w:val="21"/>
                <w:highlight w:val="none"/>
                <w:lang w:val="en-US" w:eastAsia="zh-CN"/>
              </w:rPr>
              <w:t>5</w:t>
            </w:r>
            <w:r>
              <w:rPr>
                <w:rFonts w:hint="eastAsia" w:ascii="微软雅黑" w:hAnsi="微软雅黑" w:cs="Arial"/>
                <w:color w:val="auto"/>
                <w:sz w:val="21"/>
                <w:szCs w:val="21"/>
                <w:highlight w:val="none"/>
              </w:rPr>
              <w:t>年</w:t>
            </w:r>
            <w:r>
              <w:rPr>
                <w:rFonts w:hint="eastAsia" w:ascii="微软雅黑" w:hAnsi="微软雅黑" w:cs="Arial"/>
                <w:color w:val="auto"/>
                <w:sz w:val="21"/>
                <w:szCs w:val="21"/>
                <w:highlight w:val="none"/>
                <w:lang w:val="en-US" w:eastAsia="zh-CN"/>
              </w:rPr>
              <w:t>02</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07</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14</w:t>
            </w:r>
            <w:r>
              <w:rPr>
                <w:rFonts w:hint="eastAsia" w:ascii="微软雅黑" w:hAnsi="微软雅黑" w:cs="Arial"/>
                <w:color w:val="auto"/>
                <w:sz w:val="21"/>
                <w:szCs w:val="21"/>
                <w:highlight w:val="none"/>
              </w:rPr>
              <w:t>：</w:t>
            </w:r>
            <w:r>
              <w:rPr>
                <w:rFonts w:hint="eastAsia" w:ascii="微软雅黑" w:hAnsi="微软雅黑" w:cs="Arial"/>
                <w:color w:val="auto"/>
                <w:sz w:val="21"/>
                <w:szCs w:val="21"/>
                <w:highlight w:val="none"/>
                <w:lang w:val="en-US" w:eastAsia="zh-CN"/>
              </w:rPr>
              <w:t>00</w:t>
            </w:r>
            <w:r>
              <w:rPr>
                <w:rFonts w:hint="eastAsia" w:ascii="微软雅黑" w:hAnsi="微软雅黑" w:cs="Arial"/>
                <w:color w:val="auto"/>
                <w:sz w:val="21"/>
                <w:szCs w:val="21"/>
                <w:highlight w:val="none"/>
              </w:rPr>
              <w:t>（北京时间）前递交（上传）投标文件。</w:t>
            </w:r>
            <w:r>
              <w:rPr>
                <w:rFonts w:ascii="微软雅黑" w:hAnsi="微软雅黑" w:cs="Calibri"/>
                <w:color w:val="auto"/>
                <w:sz w:val="21"/>
                <w:szCs w:val="21"/>
                <w:highlight w:val="none"/>
              </w:rPr>
              <w:t>      </w:t>
            </w:r>
          </w:p>
        </w:tc>
      </w:tr>
    </w:tbl>
    <w:p w14:paraId="5E3FEDA2">
      <w:pPr>
        <w:widowControl/>
        <w:spacing w:before="255" w:after="255" w:line="300" w:lineRule="atLeast"/>
        <w:ind w:firstLine="0" w:firstLineChars="0"/>
        <w:jc w:val="both"/>
        <w:rPr>
          <w:rFonts w:hint="eastAsia" w:ascii="微软雅黑" w:hAnsi="微软雅黑" w:cs="Arial"/>
          <w:color w:val="auto"/>
          <w:kern w:val="0"/>
          <w:szCs w:val="21"/>
          <w:highlight w:val="none"/>
        </w:rPr>
      </w:pPr>
      <w:r>
        <w:rPr>
          <w:rFonts w:hint="eastAsia" w:ascii="微软雅黑" w:hAnsi="微软雅黑" w:cs="Arial"/>
          <w:b/>
          <w:bCs/>
          <w:color w:val="auto"/>
          <w:kern w:val="0"/>
          <w:szCs w:val="21"/>
          <w:highlight w:val="none"/>
        </w:rPr>
        <w:t>一、项目基本情况</w:t>
      </w:r>
      <w:r>
        <w:rPr>
          <w:rFonts w:ascii="微软雅黑" w:hAnsi="微软雅黑" w:cs="Calibri"/>
          <w:color w:val="auto"/>
          <w:kern w:val="0"/>
          <w:szCs w:val="21"/>
          <w:highlight w:val="none"/>
        </w:rPr>
        <w:t>                       </w:t>
      </w:r>
    </w:p>
    <w:p w14:paraId="6A9F1983">
      <w:pPr>
        <w:widowControl/>
        <w:spacing w:before="75" w:after="75" w:line="300" w:lineRule="atLeast"/>
        <w:ind w:firstLine="424" w:firstLineChars="202"/>
        <w:rPr>
          <w:rFonts w:hint="eastAsia" w:ascii="微软雅黑" w:hAnsi="微软雅黑" w:cs="Calibri"/>
          <w:color w:val="auto"/>
          <w:kern w:val="0"/>
          <w:szCs w:val="21"/>
          <w:highlight w:val="none"/>
        </w:rPr>
      </w:pPr>
      <w:r>
        <w:rPr>
          <w:rFonts w:hint="eastAsia" w:ascii="微软雅黑" w:hAnsi="微软雅黑" w:cs="Calibri"/>
          <w:color w:val="auto"/>
          <w:kern w:val="0"/>
          <w:szCs w:val="21"/>
          <w:highlight w:val="none"/>
        </w:rPr>
        <w:t>采购计划编号：</w:t>
      </w:r>
      <w:r>
        <w:rPr>
          <w:rFonts w:hint="eastAsia" w:ascii="微软雅黑" w:hAnsi="微软雅黑" w:cs="微软雅黑"/>
          <w:color w:val="auto"/>
          <w:szCs w:val="21"/>
          <w:highlight w:val="none"/>
        </w:rPr>
        <w:t xml:space="preserve"> </w:t>
      </w:r>
      <w:r>
        <w:rPr>
          <w:rFonts w:hint="eastAsia" w:ascii="微软雅黑" w:hAnsi="微软雅黑" w:cs="Calibri"/>
          <w:color w:val="auto"/>
          <w:kern w:val="0"/>
          <w:szCs w:val="21"/>
          <w:highlight w:val="none"/>
        </w:rPr>
        <w:t xml:space="preserve"> 临[2025]1号</w:t>
      </w:r>
      <w:r>
        <w:rPr>
          <w:color w:val="auto"/>
          <w:highlight w:val="none"/>
        </w:rPr>
        <w:t xml:space="preserve"> </w:t>
      </w:r>
      <w:r>
        <w:rPr>
          <w:color w:val="auto"/>
          <w:highlight w:val="none"/>
        </w:rPr>
        <w:fldChar w:fldCharType="begin"/>
      </w:r>
      <w:r>
        <w:rPr>
          <w:color w:val="auto"/>
          <w:highlight w:val="none"/>
        </w:rPr>
        <w:instrText xml:space="preserve"> HYPERLINK "https://pay.zcygov.cn/purchaseplan_front/" \l "/plan/list/view?id=1000000000013025774&amp;_app_=zcy.procurement" \t "_blank" </w:instrText>
      </w:r>
      <w:r>
        <w:rPr>
          <w:color w:val="auto"/>
          <w:highlight w:val="none"/>
        </w:rPr>
        <w:fldChar w:fldCharType="separate"/>
      </w:r>
      <w:r>
        <w:rPr>
          <w:color w:val="auto"/>
          <w:highlight w:val="none"/>
        </w:rPr>
        <w:fldChar w:fldCharType="end"/>
      </w:r>
    </w:p>
    <w:p w14:paraId="2966F942">
      <w:pPr>
        <w:widowControl/>
        <w:spacing w:before="75" w:after="75" w:line="300" w:lineRule="atLeast"/>
        <w:ind w:firstLine="424" w:firstLineChars="202"/>
        <w:rPr>
          <w:rFonts w:hint="eastAsia" w:ascii="微软雅黑" w:hAnsi="微软雅黑" w:cs="Calibri"/>
          <w:color w:val="auto"/>
          <w:kern w:val="0"/>
          <w:szCs w:val="21"/>
          <w:highlight w:val="none"/>
        </w:rPr>
      </w:pPr>
      <w:r>
        <w:rPr>
          <w:rFonts w:hint="eastAsia" w:ascii="微软雅黑" w:hAnsi="微软雅黑" w:cs="Calibri"/>
          <w:color w:val="auto"/>
          <w:kern w:val="0"/>
          <w:szCs w:val="21"/>
          <w:highlight w:val="none"/>
        </w:rPr>
        <w:t>项目编号：</w:t>
      </w:r>
      <w:r>
        <w:rPr>
          <w:rFonts w:ascii="微软雅黑" w:hAnsi="微软雅黑" w:cs="Calibri"/>
          <w:color w:val="auto"/>
          <w:kern w:val="0"/>
          <w:szCs w:val="21"/>
          <w:highlight w:val="none"/>
        </w:rPr>
        <w:t> </w:t>
      </w:r>
      <w:r>
        <w:rPr>
          <w:rFonts w:hint="eastAsia" w:ascii="微软雅黑" w:hAnsi="微软雅黑" w:cs="Calibri"/>
          <w:color w:val="auto"/>
          <w:kern w:val="0"/>
          <w:szCs w:val="21"/>
          <w:highlight w:val="none"/>
        </w:rPr>
        <w:t>千秋-JXQQGK（202</w:t>
      </w:r>
      <w:r>
        <w:rPr>
          <w:rFonts w:hint="eastAsia" w:ascii="微软雅黑" w:hAnsi="微软雅黑" w:cs="Calibri"/>
          <w:color w:val="auto"/>
          <w:kern w:val="0"/>
          <w:szCs w:val="21"/>
          <w:highlight w:val="none"/>
          <w:lang w:val="en-US" w:eastAsia="zh-CN"/>
        </w:rPr>
        <w:t>5</w:t>
      </w:r>
      <w:r>
        <w:rPr>
          <w:rFonts w:hint="eastAsia" w:ascii="微软雅黑" w:hAnsi="微软雅黑" w:cs="Calibri"/>
          <w:color w:val="auto"/>
          <w:kern w:val="0"/>
          <w:szCs w:val="21"/>
          <w:highlight w:val="none"/>
        </w:rPr>
        <w:t>）第</w:t>
      </w:r>
      <w:r>
        <w:rPr>
          <w:rFonts w:hint="eastAsia" w:ascii="微软雅黑" w:hAnsi="微软雅黑" w:cs="Calibri"/>
          <w:color w:val="auto"/>
          <w:kern w:val="0"/>
          <w:szCs w:val="21"/>
          <w:highlight w:val="none"/>
          <w:lang w:val="en-US" w:eastAsia="zh-CN"/>
        </w:rPr>
        <w:t>01</w:t>
      </w:r>
      <w:r>
        <w:rPr>
          <w:rFonts w:hint="eastAsia" w:ascii="微软雅黑" w:hAnsi="微软雅黑" w:cs="Calibri"/>
          <w:color w:val="auto"/>
          <w:kern w:val="0"/>
          <w:szCs w:val="21"/>
          <w:highlight w:val="none"/>
        </w:rPr>
        <w:t>号</w:t>
      </w:r>
    </w:p>
    <w:p w14:paraId="0B2F6FD6">
      <w:pPr>
        <w:widowControl/>
        <w:spacing w:before="75" w:after="75" w:line="300" w:lineRule="atLeast"/>
        <w:ind w:firstLine="424" w:firstLineChars="202"/>
        <w:rPr>
          <w:rFonts w:hint="eastAsia" w:ascii="微软雅黑" w:hAnsi="微软雅黑" w:cs="Arial"/>
          <w:color w:val="auto"/>
          <w:kern w:val="0"/>
          <w:szCs w:val="21"/>
          <w:highlight w:val="none"/>
        </w:rPr>
      </w:pPr>
      <w:r>
        <w:rPr>
          <w:rFonts w:hint="eastAsia" w:ascii="微软雅黑" w:hAnsi="微软雅黑" w:cs="Arial"/>
          <w:color w:val="auto"/>
          <w:kern w:val="0"/>
          <w:szCs w:val="21"/>
          <w:highlight w:val="none"/>
        </w:rPr>
        <w:t>项目名称：</w:t>
      </w:r>
      <w:r>
        <w:rPr>
          <w:rFonts w:hint="eastAsia" w:ascii="微软雅黑" w:hAnsi="微软雅黑" w:cs="Arial"/>
          <w:color w:val="auto"/>
          <w:szCs w:val="21"/>
          <w:highlight w:val="none"/>
        </w:rPr>
        <w:t>2025年秀洲区老旧房屋保险服务项目</w:t>
      </w:r>
    </w:p>
    <w:p w14:paraId="004DC534">
      <w:pPr>
        <w:widowControl/>
        <w:spacing w:before="75" w:after="75" w:line="300" w:lineRule="atLeast"/>
        <w:ind w:firstLine="424" w:firstLineChars="202"/>
        <w:rPr>
          <w:rFonts w:hint="eastAsia" w:ascii="微软雅黑" w:hAnsi="微软雅黑" w:cs="Calibri"/>
          <w:color w:val="auto"/>
          <w:kern w:val="0"/>
          <w:szCs w:val="21"/>
          <w:highlight w:val="none"/>
        </w:rPr>
      </w:pPr>
      <w:r>
        <w:rPr>
          <w:rFonts w:hint="eastAsia" w:ascii="微软雅黑" w:hAnsi="微软雅黑" w:cs="Calibri"/>
          <w:color w:val="auto"/>
          <w:kern w:val="0"/>
          <w:szCs w:val="21"/>
          <w:highlight w:val="none"/>
        </w:rPr>
        <w:t>采购方式 ：公开招标</w:t>
      </w:r>
    </w:p>
    <w:p w14:paraId="7DC8EAAE">
      <w:pPr>
        <w:widowControl/>
        <w:spacing w:before="75" w:after="75" w:line="300" w:lineRule="atLeast"/>
        <w:ind w:firstLine="424" w:firstLineChars="202"/>
        <w:rPr>
          <w:rFonts w:hint="default" w:ascii="微软雅黑" w:hAnsi="微软雅黑" w:eastAsia="微软雅黑" w:cs="Calibri"/>
          <w:color w:val="auto"/>
          <w:kern w:val="0"/>
          <w:szCs w:val="21"/>
          <w:highlight w:val="none"/>
          <w:lang w:val="en-US" w:eastAsia="zh-CN"/>
        </w:rPr>
      </w:pPr>
      <w:r>
        <w:rPr>
          <w:rFonts w:hint="eastAsia" w:ascii="微软雅黑" w:hAnsi="微软雅黑" w:cs="Calibri"/>
          <w:color w:val="auto"/>
          <w:kern w:val="0"/>
          <w:szCs w:val="21"/>
          <w:highlight w:val="none"/>
        </w:rPr>
        <w:t>预算金额（元）：</w:t>
      </w:r>
      <w:r>
        <w:rPr>
          <w:rFonts w:hint="eastAsia" w:ascii="微软雅黑" w:hAnsi="微软雅黑" w:cs="Calibri"/>
          <w:color w:val="auto"/>
          <w:kern w:val="0"/>
          <w:szCs w:val="21"/>
          <w:highlight w:val="none"/>
          <w:lang w:val="en-US" w:eastAsia="zh-CN"/>
        </w:rPr>
        <w:t>2250000.00</w:t>
      </w:r>
    </w:p>
    <w:p w14:paraId="4CCACA69">
      <w:pPr>
        <w:widowControl/>
        <w:spacing w:before="75" w:after="75" w:line="300" w:lineRule="atLeast"/>
        <w:ind w:firstLine="424" w:firstLineChars="202"/>
        <w:rPr>
          <w:rFonts w:hint="eastAsia" w:ascii="微软雅黑" w:hAnsi="微软雅黑" w:cs="Calibri"/>
          <w:color w:val="auto"/>
          <w:kern w:val="0"/>
          <w:szCs w:val="21"/>
          <w:highlight w:val="none"/>
        </w:rPr>
      </w:pPr>
      <w:r>
        <w:rPr>
          <w:rFonts w:hint="eastAsia" w:ascii="微软雅黑" w:hAnsi="微软雅黑" w:cs="Calibri"/>
          <w:color w:val="auto"/>
          <w:kern w:val="0"/>
          <w:szCs w:val="21"/>
          <w:highlight w:val="none"/>
        </w:rPr>
        <w:t>最高限价（元）：</w:t>
      </w:r>
      <w:r>
        <w:rPr>
          <w:rFonts w:hint="eastAsia" w:ascii="微软雅黑" w:hAnsi="微软雅黑" w:cs="宋体"/>
          <w:color w:val="auto"/>
          <w:kern w:val="0"/>
          <w:szCs w:val="21"/>
          <w:highlight w:val="none"/>
        </w:rPr>
        <w:t>（预算单价：2.92元/㎡）</w:t>
      </w:r>
    </w:p>
    <w:p w14:paraId="4397E562">
      <w:pPr>
        <w:widowControl/>
        <w:spacing w:before="75" w:after="75" w:line="300" w:lineRule="atLeast"/>
        <w:ind w:firstLine="424" w:firstLineChars="202"/>
        <w:rPr>
          <w:rFonts w:hint="eastAsia" w:ascii="微软雅黑" w:hAnsi="微软雅黑" w:cs="微软雅黑"/>
          <w:color w:val="auto"/>
          <w:szCs w:val="21"/>
          <w:highlight w:val="none"/>
        </w:rPr>
      </w:pPr>
      <w:r>
        <w:rPr>
          <w:rFonts w:hint="eastAsia" w:ascii="微软雅黑" w:hAnsi="微软雅黑"/>
          <w:color w:val="auto"/>
          <w:szCs w:val="21"/>
          <w:highlight w:val="none"/>
        </w:rPr>
        <w:t>采购需求：</w:t>
      </w:r>
      <w:r>
        <w:rPr>
          <w:rFonts w:hint="eastAsia" w:ascii="微软雅黑" w:hAnsi="微软雅黑" w:cs="宋体"/>
          <w:color w:val="auto"/>
          <w:kern w:val="0"/>
          <w:szCs w:val="21"/>
          <w:highlight w:val="none"/>
        </w:rPr>
        <w:t>对秀洲区（五个乡镇）行政辖区内所有在 2000 年前建成使用及需重点关注的老旧砖混、砖木住宅房屋实施房屋安全综合保险及监测服务，合计约3243幢（旧房、危房），建筑面积约768980.94平方米</w:t>
      </w:r>
      <w:r>
        <w:rPr>
          <w:rFonts w:hint="eastAsia" w:ascii="微软雅黑" w:hAnsi="微软雅黑" w:cs="Arial"/>
          <w:color w:val="auto"/>
          <w:szCs w:val="21"/>
          <w:highlight w:val="none"/>
        </w:rPr>
        <w:t>。</w:t>
      </w:r>
    </w:p>
    <w:p w14:paraId="24333369">
      <w:pPr>
        <w:widowControl/>
        <w:spacing w:before="75" w:after="75" w:line="300" w:lineRule="atLeast"/>
        <w:ind w:firstLine="424" w:firstLineChars="202"/>
        <w:rPr>
          <w:rFonts w:hint="eastAsia" w:ascii="微软雅黑" w:hAnsi="微软雅黑" w:cs="微软雅黑"/>
          <w:color w:val="auto"/>
          <w:szCs w:val="21"/>
          <w:highlight w:val="none"/>
        </w:rPr>
      </w:pPr>
      <w:r>
        <w:rPr>
          <w:rFonts w:hint="eastAsia" w:ascii="微软雅黑" w:hAnsi="微软雅黑"/>
          <w:color w:val="auto"/>
          <w:highlight w:val="none"/>
        </w:rPr>
        <w:t>合同履约期限</w:t>
      </w:r>
      <w:r>
        <w:rPr>
          <w:rFonts w:hint="eastAsia" w:ascii="微软雅黑" w:hAnsi="微软雅黑" w:cs="宋体"/>
          <w:color w:val="auto"/>
          <w:highlight w:val="none"/>
        </w:rPr>
        <w:t>：</w:t>
      </w:r>
      <w:r>
        <w:rPr>
          <w:rFonts w:hint="eastAsia" w:ascii="微软雅黑" w:hAnsi="微软雅黑" w:cs="微软雅黑"/>
          <w:color w:val="auto"/>
          <w:szCs w:val="21"/>
          <w:highlight w:val="none"/>
        </w:rPr>
        <w:t>一年期。</w:t>
      </w:r>
    </w:p>
    <w:p w14:paraId="1F41364E">
      <w:pPr>
        <w:spacing w:line="540" w:lineRule="exact"/>
        <w:ind w:firstLine="424" w:firstLineChars="202"/>
        <w:rPr>
          <w:rFonts w:hint="eastAsia" w:ascii="微软雅黑" w:hAnsi="微软雅黑" w:cs="宋体"/>
          <w:color w:val="auto"/>
          <w:highlight w:val="none"/>
        </w:rPr>
      </w:pPr>
      <w:r>
        <w:rPr>
          <w:rFonts w:hint="eastAsia" w:ascii="微软雅黑" w:hAnsi="微软雅黑" w:cs="宋体"/>
          <w:color w:val="auto"/>
          <w:highlight w:val="none"/>
        </w:rPr>
        <w:t>本项目接受联合体投标：</w:t>
      </w:r>
      <w:r>
        <w:rPr>
          <w:rFonts w:hint="eastAsia" w:ascii="微软雅黑" w:hAnsi="微软雅黑" w:cs="宋体"/>
          <w:color w:val="auto"/>
          <w:highlight w:val="none"/>
        </w:rPr>
        <w:sym w:font="Wingdings" w:char="00FE"/>
      </w:r>
      <w:r>
        <w:rPr>
          <w:rFonts w:hint="eastAsia" w:ascii="微软雅黑" w:hAnsi="微软雅黑" w:cs="宋体"/>
          <w:color w:val="auto"/>
          <w:highlight w:val="none"/>
        </w:rPr>
        <w:t xml:space="preserve"> 是（</w:t>
      </w:r>
      <w:r>
        <w:rPr>
          <w:rFonts w:hint="eastAsia" w:ascii="微软雅黑" w:hAnsi="微软雅黑" w:cs="微软雅黑"/>
          <w:color w:val="auto"/>
          <w:szCs w:val="21"/>
          <w:highlight w:val="none"/>
        </w:rPr>
        <w:t>组成联合体的供应商不得超过2家）</w:t>
      </w:r>
      <w:r>
        <w:rPr>
          <w:rFonts w:hint="eastAsia" w:ascii="微软雅黑" w:hAnsi="微软雅黑" w:cs="宋体"/>
          <w:color w:val="auto"/>
          <w:highlight w:val="none"/>
        </w:rPr>
        <w:t>，</w:t>
      </w:r>
      <w:r>
        <w:rPr>
          <w:rFonts w:hint="eastAsia" w:ascii="微软雅黑" w:hAnsi="微软雅黑" w:cs="宋体"/>
          <w:color w:val="auto"/>
          <w:highlight w:val="none"/>
        </w:rPr>
        <w:sym w:font="Wingdings" w:char="00A8"/>
      </w:r>
      <w:r>
        <w:rPr>
          <w:rFonts w:hint="eastAsia" w:ascii="微软雅黑" w:hAnsi="微软雅黑" w:cs="宋体"/>
          <w:color w:val="auto"/>
          <w:highlight w:val="none"/>
        </w:rPr>
        <w:t>否。</w:t>
      </w:r>
    </w:p>
    <w:p w14:paraId="06BCD12F">
      <w:pPr>
        <w:widowControl/>
        <w:spacing w:before="75" w:after="75" w:line="360" w:lineRule="atLeast"/>
        <w:ind w:firstLine="0" w:firstLineChars="0"/>
        <w:outlineLvl w:val="1"/>
        <w:rPr>
          <w:rFonts w:hint="eastAsia" w:ascii="微软雅黑" w:hAnsi="微软雅黑" w:cs="Arial"/>
          <w:color w:val="auto"/>
          <w:kern w:val="0"/>
          <w:szCs w:val="21"/>
          <w:highlight w:val="none"/>
        </w:rPr>
      </w:pPr>
      <w:bookmarkStart w:id="10" w:name="_Toc32337"/>
      <w:r>
        <w:rPr>
          <w:rFonts w:hint="eastAsia" w:ascii="微软雅黑" w:hAnsi="微软雅黑" w:cs="Arial"/>
          <w:b/>
          <w:bCs/>
          <w:color w:val="auto"/>
          <w:kern w:val="0"/>
          <w:szCs w:val="21"/>
          <w:highlight w:val="none"/>
        </w:rPr>
        <w:t>二、申请人的资格要求：</w:t>
      </w:r>
      <w:bookmarkEnd w:id="10"/>
    </w:p>
    <w:p w14:paraId="32D5368D">
      <w:pPr>
        <w:ind w:firstLine="420"/>
        <w:rPr>
          <w:rFonts w:hint="eastAsia" w:ascii="微软雅黑" w:hAnsi="微软雅黑"/>
          <w:color w:val="auto"/>
          <w:szCs w:val="21"/>
          <w:highlight w:val="none"/>
        </w:rPr>
      </w:pPr>
      <w:r>
        <w:rPr>
          <w:rFonts w:hint="eastAsia" w:ascii="微软雅黑" w:hAnsi="微软雅黑"/>
          <w:color w:val="auto"/>
          <w:szCs w:val="21"/>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250E3EE">
      <w:pPr>
        <w:ind w:firstLine="420"/>
        <w:rPr>
          <w:rFonts w:hint="eastAsia" w:ascii="微软雅黑" w:hAnsi="微软雅黑"/>
          <w:color w:val="auto"/>
          <w:szCs w:val="21"/>
          <w:highlight w:val="none"/>
        </w:rPr>
      </w:pPr>
      <w:r>
        <w:rPr>
          <w:rFonts w:hint="eastAsia" w:ascii="微软雅黑" w:hAnsi="微软雅黑"/>
          <w:color w:val="auto"/>
          <w:szCs w:val="21"/>
          <w:highlight w:val="none"/>
        </w:rPr>
        <w:t>2.落实政府采购支持中小企业政策需满足的资格要求：</w:t>
      </w:r>
    </w:p>
    <w:p w14:paraId="73C8576E">
      <w:pPr>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2.1 </w:t>
      </w:r>
      <w:r>
        <w:rPr>
          <w:rFonts w:hint="eastAsia" w:ascii="微软雅黑" w:hAnsi="微软雅黑"/>
          <w:color w:val="auto"/>
          <w:szCs w:val="21"/>
          <w:highlight w:val="none"/>
        </w:rPr>
        <w:sym w:font="Wingdings" w:char="00FE"/>
      </w:r>
      <w:r>
        <w:rPr>
          <w:rFonts w:hint="eastAsia" w:ascii="微软雅黑" w:hAnsi="微软雅黑"/>
          <w:color w:val="auto"/>
          <w:szCs w:val="21"/>
          <w:highlight w:val="none"/>
        </w:rPr>
        <w:t>无需落实；</w:t>
      </w:r>
    </w:p>
    <w:p w14:paraId="63358D82">
      <w:pPr>
        <w:ind w:firstLine="420"/>
        <w:rPr>
          <w:rFonts w:hint="eastAsia" w:ascii="微软雅黑" w:hAnsi="微软雅黑" w:cs="Arial"/>
          <w:color w:val="auto"/>
          <w:kern w:val="0"/>
          <w:szCs w:val="21"/>
          <w:highlight w:val="none"/>
        </w:rPr>
      </w:pPr>
      <w:r>
        <w:rPr>
          <w:rFonts w:hint="eastAsia" w:ascii="微软雅黑" w:hAnsi="微软雅黑"/>
          <w:color w:val="auto"/>
          <w:szCs w:val="21"/>
          <w:highlight w:val="none"/>
        </w:rPr>
        <w:t>2.2</w:t>
      </w: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rPr>
        <w:t>需要落实：</w:t>
      </w:r>
    </w:p>
    <w:p w14:paraId="7EF59785">
      <w:pPr>
        <w:ind w:firstLine="630" w:firstLineChars="300"/>
        <w:rPr>
          <w:rFonts w:hint="eastAsia" w:ascii="微软雅黑" w:hAnsi="微软雅黑"/>
          <w:color w:val="auto"/>
          <w:szCs w:val="21"/>
          <w:highlight w:val="none"/>
        </w:rPr>
      </w:pPr>
      <w:r>
        <w:rPr>
          <w:rFonts w:hint="eastAsia" w:ascii="微软雅黑" w:hAnsi="微软雅黑"/>
          <w:color w:val="auto"/>
          <w:szCs w:val="21"/>
          <w:highlight w:val="none"/>
        </w:rPr>
        <w:t>2.2.1专门面向中小企业</w:t>
      </w:r>
    </w:p>
    <w:p w14:paraId="02059C86">
      <w:pPr>
        <w:ind w:firstLine="840" w:firstLineChars="40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olor w:val="auto"/>
          <w:szCs w:val="21"/>
          <w:highlight w:val="none"/>
        </w:rPr>
        <w:t>货物全部由符合政策要求的中小企业制造，提供中小企业声明函；</w:t>
      </w:r>
    </w:p>
    <w:p w14:paraId="11D3908C">
      <w:pPr>
        <w:ind w:firstLine="840" w:firstLineChars="40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olor w:val="auto"/>
          <w:szCs w:val="21"/>
          <w:highlight w:val="none"/>
        </w:rPr>
        <w:t>货物全部由符合政策要求的小微企业制造，提供中小企业声明函；</w:t>
      </w:r>
    </w:p>
    <w:p w14:paraId="2D113A35">
      <w:pPr>
        <w:ind w:firstLine="840" w:firstLineChars="40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olor w:val="auto"/>
          <w:szCs w:val="21"/>
          <w:highlight w:val="none"/>
        </w:rPr>
        <w:t>服务全部由符合政策要求的中小企业承接，提供中小企业声明函；</w:t>
      </w:r>
    </w:p>
    <w:p w14:paraId="7334A794">
      <w:pPr>
        <w:ind w:firstLine="420"/>
        <w:rPr>
          <w:rFonts w:hint="eastAsia" w:ascii="微软雅黑" w:hAnsi="微软雅黑"/>
          <w:color w:val="auto"/>
          <w:szCs w:val="21"/>
          <w:highlight w:val="none"/>
        </w:rPr>
      </w:pPr>
      <w:r>
        <w:rPr>
          <w:rFonts w:hint="eastAsia" w:ascii="微软雅黑" w:hAnsi="微软雅黑" w:cs="Arial"/>
          <w:color w:val="auto"/>
          <w:kern w:val="0"/>
          <w:szCs w:val="21"/>
          <w:highlight w:val="none"/>
        </w:rPr>
        <w:tab/>
      </w:r>
      <w:r>
        <w:rPr>
          <w:rFonts w:hint="eastAsia" w:ascii="微软雅黑" w:hAnsi="微软雅黑" w:cs="Arial"/>
          <w:color w:val="auto"/>
          <w:kern w:val="0"/>
          <w:szCs w:val="21"/>
          <w:highlight w:val="none"/>
        </w:rPr>
        <w:t xml:space="preserve">    </w:t>
      </w:r>
      <w:r>
        <w:rPr>
          <w:rFonts w:ascii="微软雅黑" w:hAnsi="微软雅黑" w:cs="Arial"/>
          <w:color w:val="auto"/>
          <w:kern w:val="0"/>
          <w:szCs w:val="21"/>
          <w:highlight w:val="none"/>
        </w:rPr>
        <w:sym w:font="Wingdings" w:char="00A8"/>
      </w:r>
      <w:r>
        <w:rPr>
          <w:rFonts w:hint="eastAsia" w:ascii="微软雅黑" w:hAnsi="微软雅黑"/>
          <w:color w:val="auto"/>
          <w:szCs w:val="21"/>
          <w:highlight w:val="none"/>
        </w:rPr>
        <w:t>服务全部由符合政策要求的小微企业承接，提供中小企业声明函；</w:t>
      </w:r>
    </w:p>
    <w:p w14:paraId="296A3A6D">
      <w:pPr>
        <w:ind w:firstLine="630" w:firstLineChars="300"/>
        <w:rPr>
          <w:rFonts w:hint="eastAsia" w:ascii="微软雅黑" w:hAnsi="微软雅黑"/>
          <w:color w:val="auto"/>
          <w:szCs w:val="21"/>
          <w:highlight w:val="none"/>
        </w:rPr>
      </w:pPr>
      <w:r>
        <w:rPr>
          <w:rFonts w:hint="eastAsia" w:ascii="微软雅黑" w:hAnsi="微软雅黑" w:cs="宋体"/>
          <w:color w:val="auto"/>
          <w:szCs w:val="21"/>
          <w:highlight w:val="none"/>
        </w:rPr>
        <w:t>2.2.2</w:t>
      </w:r>
      <w:r>
        <w:rPr>
          <w:rFonts w:ascii="微软雅黑" w:hAnsi="微软雅黑" w:cs="Arial"/>
          <w:color w:val="auto"/>
          <w:kern w:val="0"/>
          <w:szCs w:val="21"/>
          <w:highlight w:val="none"/>
        </w:rPr>
        <w:sym w:font="Wingdings" w:char="00A8"/>
      </w:r>
      <w:r>
        <w:rPr>
          <w:rFonts w:hint="eastAsia" w:ascii="微软雅黑" w:hAnsi="微软雅黑"/>
          <w:color w:val="auto"/>
          <w:szCs w:val="21"/>
          <w:highlight w:val="none"/>
        </w:rPr>
        <w:t>要求以联合体形式参加，提供联合协议和中小企业声明函，联合协议中中小企业合同金额应当达到%（不得低于40%），其中小微企业合同金额应当达到%（不得低于70%）;如果供应商本身提供所有标的均由中小企业制造、承建或承接，视同符合了资格条件，无需再与其他中小企业组成联合体参加政府采购活动，无需提供联合协议；</w:t>
      </w:r>
    </w:p>
    <w:p w14:paraId="5B608B23">
      <w:pPr>
        <w:ind w:firstLine="630" w:firstLineChars="300"/>
        <w:rPr>
          <w:rFonts w:hint="eastAsia" w:ascii="微软雅黑" w:hAnsi="微软雅黑"/>
          <w:color w:val="auto"/>
          <w:szCs w:val="21"/>
          <w:highlight w:val="none"/>
        </w:rPr>
      </w:pPr>
      <w:r>
        <w:rPr>
          <w:rFonts w:hint="eastAsia" w:ascii="微软雅黑" w:hAnsi="微软雅黑"/>
          <w:color w:val="auto"/>
          <w:szCs w:val="21"/>
          <w:highlight w:val="none"/>
        </w:rPr>
        <w:t>2.2.3</w:t>
      </w:r>
      <w:r>
        <w:rPr>
          <w:rFonts w:hint="eastAsia" w:ascii="微软雅黑" w:hAnsi="微软雅黑"/>
          <w:color w:val="auto"/>
          <w:szCs w:val="21"/>
          <w:highlight w:val="none"/>
        </w:rPr>
        <w:sym w:font="Wingdings" w:char="00A8"/>
      </w:r>
      <w:r>
        <w:rPr>
          <w:rFonts w:hint="eastAsia" w:ascii="微软雅黑" w:hAnsi="微软雅黑"/>
          <w:color w:val="auto"/>
          <w:szCs w:val="21"/>
          <w:highlight w:val="none"/>
        </w:rPr>
        <w:t>要求合同分包，提供分包意向协议和中小企业声明函，分包意向协议中中小企业合同金额应当达到% （不得低于40%），其中小微企业合同金额应当达到% （不得低于70%）;如果供应商本身提供所有标的均由中小企业制造、承建或承接，视同符合了资格条件，无需再向中小企业分包，无需提供分包意向协议；</w:t>
      </w:r>
    </w:p>
    <w:p w14:paraId="0AD29716">
      <w:pPr>
        <w:widowControl/>
        <w:tabs>
          <w:tab w:val="left" w:pos="142"/>
        </w:tabs>
        <w:spacing w:before="75" w:after="75" w:line="300" w:lineRule="atLeast"/>
        <w:ind w:firstLine="424" w:firstLineChars="202"/>
        <w:rPr>
          <w:rFonts w:hint="eastAsia" w:ascii="微软雅黑" w:hAnsi="微软雅黑"/>
          <w:color w:val="auto"/>
          <w:szCs w:val="21"/>
          <w:highlight w:val="none"/>
        </w:rPr>
      </w:pPr>
      <w:r>
        <w:rPr>
          <w:rFonts w:hint="eastAsia" w:ascii="微软雅黑" w:hAnsi="微软雅黑"/>
          <w:color w:val="auto"/>
          <w:szCs w:val="21"/>
          <w:highlight w:val="none"/>
        </w:rPr>
        <w:t>3.本项目的特定资格要求：</w:t>
      </w:r>
    </w:p>
    <w:p w14:paraId="7ED1402A">
      <w:pPr>
        <w:widowControl/>
        <w:tabs>
          <w:tab w:val="left" w:pos="142"/>
        </w:tabs>
        <w:spacing w:before="75" w:after="75"/>
        <w:ind w:firstLine="424" w:firstLineChars="202"/>
        <w:rPr>
          <w:rFonts w:hint="eastAsia" w:ascii="微软雅黑" w:hAnsi="微软雅黑" w:eastAsia="微软雅黑" w:cs="Calibri"/>
          <w:color w:val="auto"/>
          <w:kern w:val="0"/>
          <w:sz w:val="21"/>
          <w:szCs w:val="21"/>
          <w:highlight w:val="none"/>
          <w:lang w:val="en-US" w:eastAsia="zh-CN" w:bidi="ar-SA"/>
        </w:rPr>
      </w:pPr>
      <w:r>
        <w:rPr>
          <w:rFonts w:hint="eastAsia" w:ascii="微软雅黑" w:hAnsi="微软雅黑" w:cs="宋体"/>
          <w:color w:val="auto"/>
          <w:kern w:val="0"/>
          <w:szCs w:val="21"/>
          <w:highlight w:val="none"/>
          <w:u w:val="single"/>
        </w:rPr>
        <w:t>投标人必须为经国家保险监督管理机构批准在中华人民共和国境内设立和营业的保险公司，投标人须具有《经营保险业务许可证》（业务范围须涵盖本次保险险种）,如无独立法人资格的企业须由上级具有独立法人资格企业的授权。</w:t>
      </w:r>
    </w:p>
    <w:p w14:paraId="17A68B87">
      <w:pPr>
        <w:pStyle w:val="65"/>
        <w:ind w:firstLine="400"/>
        <w:rPr>
          <w:color w:val="auto"/>
          <w:highlight w:val="none"/>
        </w:rPr>
      </w:pPr>
    </w:p>
    <w:p w14:paraId="18E9E47D">
      <w:pPr>
        <w:ind w:firstLine="420"/>
        <w:rPr>
          <w:rFonts w:hint="eastAsia" w:ascii="微软雅黑" w:hAnsi="微软雅黑"/>
          <w:color w:val="auto"/>
          <w:szCs w:val="21"/>
          <w:highlight w:val="none"/>
        </w:rPr>
      </w:pPr>
      <w:r>
        <w:rPr>
          <w:rFonts w:hint="eastAsia" w:ascii="微软雅黑" w:hAnsi="微软雅黑"/>
          <w:color w:val="auto"/>
          <w:szCs w:val="21"/>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9366660">
      <w:pPr>
        <w:widowControl/>
        <w:spacing w:before="255" w:after="255" w:line="300" w:lineRule="atLeast"/>
        <w:ind w:firstLine="0" w:firstLineChars="0"/>
        <w:jc w:val="both"/>
        <w:outlineLvl w:val="1"/>
        <w:rPr>
          <w:rFonts w:hint="eastAsia" w:ascii="微软雅黑" w:hAnsi="微软雅黑" w:cs="Arial"/>
          <w:color w:val="auto"/>
          <w:kern w:val="0"/>
          <w:szCs w:val="21"/>
          <w:highlight w:val="none"/>
        </w:rPr>
      </w:pPr>
      <w:bookmarkStart w:id="11" w:name="_Toc14749"/>
      <w:r>
        <w:rPr>
          <w:rFonts w:hint="eastAsia" w:ascii="微软雅黑" w:hAnsi="微软雅黑" w:cs="Arial"/>
          <w:b/>
          <w:bCs/>
          <w:color w:val="auto"/>
          <w:kern w:val="0"/>
          <w:szCs w:val="21"/>
          <w:highlight w:val="none"/>
        </w:rPr>
        <w:t>三、获取招标文件</w:t>
      </w:r>
      <w:r>
        <w:rPr>
          <w:rFonts w:ascii="微软雅黑" w:hAnsi="微软雅黑" w:cs="Calibri"/>
          <w:color w:val="auto"/>
          <w:kern w:val="0"/>
          <w:szCs w:val="21"/>
          <w:highlight w:val="none"/>
        </w:rPr>
        <w:t> </w:t>
      </w:r>
      <w:bookmarkEnd w:id="11"/>
    </w:p>
    <w:p w14:paraId="6457151B">
      <w:pPr>
        <w:spacing w:line="540" w:lineRule="exact"/>
        <w:ind w:firstLine="420"/>
        <w:rPr>
          <w:rFonts w:hint="eastAsia" w:ascii="微软雅黑" w:hAnsi="微软雅黑" w:cs="Arial"/>
          <w:color w:val="auto"/>
          <w:sz w:val="21"/>
          <w:szCs w:val="21"/>
          <w:highlight w:val="none"/>
          <w:lang w:val="en-US" w:eastAsia="zh-CN"/>
        </w:rPr>
      </w:pPr>
      <w:r>
        <w:rPr>
          <w:rFonts w:ascii="微软雅黑" w:hAnsi="微软雅黑" w:cs="Calibri"/>
          <w:color w:val="auto"/>
          <w:kern w:val="0"/>
          <w:szCs w:val="21"/>
          <w:highlight w:val="none"/>
        </w:rPr>
        <w:t> </w:t>
      </w:r>
      <w:r>
        <w:rPr>
          <w:rFonts w:hint="eastAsia" w:ascii="微软雅黑" w:hAnsi="微软雅黑"/>
          <w:color w:val="auto"/>
          <w:highlight w:val="none"/>
        </w:rPr>
        <w:t>时间：202</w:t>
      </w:r>
      <w:r>
        <w:rPr>
          <w:rFonts w:hint="eastAsia" w:ascii="微软雅黑" w:hAnsi="微软雅黑"/>
          <w:color w:val="auto"/>
          <w:highlight w:val="none"/>
          <w:lang w:val="en-US" w:eastAsia="zh-CN"/>
        </w:rPr>
        <w:t>5</w:t>
      </w:r>
      <w:r>
        <w:rPr>
          <w:rFonts w:hint="eastAsia" w:ascii="微软雅黑" w:hAnsi="微软雅黑"/>
          <w:color w:val="auto"/>
          <w:highlight w:val="none"/>
        </w:rPr>
        <w:t>年</w:t>
      </w:r>
      <w:r>
        <w:rPr>
          <w:rFonts w:hint="eastAsia" w:ascii="微软雅黑" w:hAnsi="微软雅黑"/>
          <w:color w:val="auto"/>
          <w:highlight w:val="none"/>
          <w:lang w:val="en-US" w:eastAsia="zh-CN"/>
        </w:rPr>
        <w:t>01</w:t>
      </w:r>
      <w:r>
        <w:rPr>
          <w:rFonts w:hint="eastAsia" w:ascii="微软雅黑" w:hAnsi="微软雅黑"/>
          <w:color w:val="auto"/>
          <w:highlight w:val="none"/>
        </w:rPr>
        <w:t xml:space="preserve">月 </w:t>
      </w:r>
      <w:r>
        <w:rPr>
          <w:rFonts w:hint="eastAsia" w:ascii="微软雅黑" w:hAnsi="微软雅黑"/>
          <w:color w:val="auto"/>
          <w:highlight w:val="none"/>
          <w:lang w:val="en-US" w:eastAsia="zh-CN"/>
        </w:rPr>
        <w:t>13</w:t>
      </w:r>
      <w:r>
        <w:rPr>
          <w:rFonts w:hint="eastAsia" w:ascii="微软雅黑" w:hAnsi="微软雅黑"/>
          <w:color w:val="auto"/>
          <w:highlight w:val="none"/>
        </w:rPr>
        <w:t>日至</w:t>
      </w:r>
      <w:r>
        <w:rPr>
          <w:rFonts w:hint="eastAsia" w:ascii="微软雅黑" w:hAnsi="微软雅黑" w:cs="Arial"/>
          <w:color w:val="auto"/>
          <w:sz w:val="21"/>
          <w:szCs w:val="21"/>
          <w:highlight w:val="none"/>
        </w:rPr>
        <w:t>202</w:t>
      </w:r>
      <w:r>
        <w:rPr>
          <w:rFonts w:hint="eastAsia" w:ascii="微软雅黑" w:hAnsi="微软雅黑" w:cs="Arial"/>
          <w:color w:val="auto"/>
          <w:sz w:val="21"/>
          <w:szCs w:val="21"/>
          <w:highlight w:val="none"/>
          <w:lang w:val="en-US" w:eastAsia="zh-CN"/>
        </w:rPr>
        <w:t>5</w:t>
      </w:r>
      <w:r>
        <w:rPr>
          <w:rFonts w:hint="eastAsia" w:ascii="微软雅黑" w:hAnsi="微软雅黑" w:cs="Arial"/>
          <w:color w:val="auto"/>
          <w:sz w:val="21"/>
          <w:szCs w:val="21"/>
          <w:highlight w:val="none"/>
        </w:rPr>
        <w:t>年</w:t>
      </w:r>
      <w:r>
        <w:rPr>
          <w:rFonts w:hint="eastAsia" w:ascii="微软雅黑" w:hAnsi="微软雅黑" w:cs="Arial"/>
          <w:color w:val="auto"/>
          <w:sz w:val="21"/>
          <w:szCs w:val="21"/>
          <w:highlight w:val="none"/>
          <w:lang w:val="en-US" w:eastAsia="zh-CN"/>
        </w:rPr>
        <w:t>02</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07</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14</w:t>
      </w:r>
      <w:r>
        <w:rPr>
          <w:rFonts w:hint="eastAsia" w:ascii="微软雅黑" w:hAnsi="微软雅黑" w:cs="Arial"/>
          <w:color w:val="auto"/>
          <w:sz w:val="21"/>
          <w:szCs w:val="21"/>
          <w:highlight w:val="none"/>
        </w:rPr>
        <w:t>：</w:t>
      </w:r>
      <w:r>
        <w:rPr>
          <w:rFonts w:hint="eastAsia" w:ascii="微软雅黑" w:hAnsi="微软雅黑" w:cs="Arial"/>
          <w:color w:val="auto"/>
          <w:sz w:val="21"/>
          <w:szCs w:val="21"/>
          <w:highlight w:val="none"/>
          <w:lang w:val="en-US" w:eastAsia="zh-CN"/>
        </w:rPr>
        <w:t>00</w:t>
      </w:r>
    </w:p>
    <w:p w14:paraId="2F10D090">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 xml:space="preserve">地点（网址）：政采云平台（https://www.zcygov.cn/） </w:t>
      </w:r>
    </w:p>
    <w:p w14:paraId="292A423C">
      <w:pPr>
        <w:spacing w:line="540" w:lineRule="exact"/>
        <w:ind w:firstLine="420"/>
        <w:rPr>
          <w:rFonts w:hint="eastAsia" w:ascii="微软雅黑" w:hAnsi="微软雅黑"/>
          <w:strike/>
          <w:color w:val="auto"/>
          <w:highlight w:val="none"/>
        </w:rPr>
      </w:pPr>
      <w:r>
        <w:rPr>
          <w:rFonts w:hint="eastAsia" w:ascii="微软雅黑" w:hAnsi="微软雅黑" w:cs="宋体"/>
          <w:color w:val="auto"/>
          <w:highlight w:val="none"/>
        </w:rPr>
        <w:t>方式：供应商登录政采云平台https://www.zcygov.cn/在线申请获取招标文件（进入“项目采购”应用，在获取招标文件菜单中选择项目，申请获取招标文件）。</w:t>
      </w:r>
    </w:p>
    <w:p w14:paraId="0EE79CDF">
      <w:pPr>
        <w:spacing w:line="540" w:lineRule="exact"/>
        <w:ind w:firstLine="420"/>
        <w:rPr>
          <w:rFonts w:hint="eastAsia" w:ascii="微软雅黑" w:hAnsi="微软雅黑"/>
          <w:color w:val="auto"/>
          <w:highlight w:val="none"/>
        </w:rPr>
      </w:pPr>
      <w:r>
        <w:rPr>
          <w:rFonts w:hint="eastAsia" w:ascii="微软雅黑" w:hAnsi="微软雅黑"/>
          <w:color w:val="auto"/>
          <w:highlight w:val="none"/>
        </w:rPr>
        <w:t>售价：免费。</w:t>
      </w:r>
    </w:p>
    <w:p w14:paraId="09C59B55">
      <w:pPr>
        <w:widowControl/>
        <w:spacing w:before="75" w:after="75" w:line="300" w:lineRule="atLeast"/>
        <w:ind w:firstLine="0" w:firstLineChars="0"/>
        <w:outlineLvl w:val="1"/>
        <w:rPr>
          <w:rFonts w:hint="eastAsia" w:ascii="微软雅黑" w:hAnsi="微软雅黑" w:cs="Arial"/>
          <w:color w:val="auto"/>
          <w:kern w:val="0"/>
          <w:szCs w:val="21"/>
          <w:highlight w:val="none"/>
        </w:rPr>
      </w:pPr>
      <w:bookmarkStart w:id="12" w:name="_Toc22530"/>
      <w:r>
        <w:rPr>
          <w:rFonts w:hint="eastAsia" w:ascii="微软雅黑" w:hAnsi="微软雅黑" w:cs="Arial"/>
          <w:b/>
          <w:bCs/>
          <w:color w:val="auto"/>
          <w:kern w:val="0"/>
          <w:szCs w:val="21"/>
          <w:highlight w:val="none"/>
        </w:rPr>
        <w:t>四、提交投标文件截止时间、开标时间和地点</w:t>
      </w:r>
      <w:bookmarkEnd w:id="12"/>
    </w:p>
    <w:p w14:paraId="403B59A3">
      <w:pPr>
        <w:spacing w:line="540" w:lineRule="exact"/>
        <w:ind w:firstLine="420"/>
        <w:rPr>
          <w:rFonts w:hint="eastAsia" w:ascii="微软雅黑" w:hAnsi="微软雅黑"/>
          <w:color w:val="auto"/>
          <w:highlight w:val="none"/>
        </w:rPr>
      </w:pPr>
      <w:r>
        <w:rPr>
          <w:rFonts w:hint="eastAsia" w:ascii="微软雅黑" w:hAnsi="微软雅黑" w:cs="Arial"/>
          <w:color w:val="auto"/>
          <w:sz w:val="21"/>
          <w:szCs w:val="21"/>
          <w:highlight w:val="none"/>
        </w:rPr>
        <w:t>202</w:t>
      </w:r>
      <w:r>
        <w:rPr>
          <w:rFonts w:hint="eastAsia" w:ascii="微软雅黑" w:hAnsi="微软雅黑" w:cs="Arial"/>
          <w:color w:val="auto"/>
          <w:sz w:val="21"/>
          <w:szCs w:val="21"/>
          <w:highlight w:val="none"/>
          <w:lang w:val="en-US" w:eastAsia="zh-CN"/>
        </w:rPr>
        <w:t>5</w:t>
      </w:r>
      <w:r>
        <w:rPr>
          <w:rFonts w:hint="eastAsia" w:ascii="微软雅黑" w:hAnsi="微软雅黑" w:cs="Arial"/>
          <w:color w:val="auto"/>
          <w:sz w:val="21"/>
          <w:szCs w:val="21"/>
          <w:highlight w:val="none"/>
        </w:rPr>
        <w:t>年</w:t>
      </w:r>
      <w:r>
        <w:rPr>
          <w:rFonts w:hint="eastAsia" w:ascii="微软雅黑" w:hAnsi="微软雅黑" w:cs="Arial"/>
          <w:color w:val="auto"/>
          <w:sz w:val="21"/>
          <w:szCs w:val="21"/>
          <w:highlight w:val="none"/>
          <w:lang w:val="en-US" w:eastAsia="zh-CN"/>
        </w:rPr>
        <w:t>02</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07</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14</w:t>
      </w:r>
      <w:r>
        <w:rPr>
          <w:rFonts w:hint="eastAsia" w:ascii="微软雅黑" w:hAnsi="微软雅黑" w:cs="Arial"/>
          <w:color w:val="auto"/>
          <w:sz w:val="21"/>
          <w:szCs w:val="21"/>
          <w:highlight w:val="none"/>
        </w:rPr>
        <w:t>：</w:t>
      </w:r>
      <w:r>
        <w:rPr>
          <w:rFonts w:hint="eastAsia" w:ascii="微软雅黑" w:hAnsi="微软雅黑" w:cs="Arial"/>
          <w:color w:val="auto"/>
          <w:sz w:val="21"/>
          <w:szCs w:val="21"/>
          <w:highlight w:val="none"/>
          <w:lang w:val="en-US" w:eastAsia="zh-CN"/>
        </w:rPr>
        <w:t>00</w:t>
      </w:r>
      <w:r>
        <w:rPr>
          <w:rFonts w:hint="eastAsia" w:ascii="微软雅黑" w:hAnsi="微软雅黑"/>
          <w:color w:val="auto"/>
          <w:highlight w:val="none"/>
        </w:rPr>
        <w:t>（北京时间）</w:t>
      </w:r>
    </w:p>
    <w:p w14:paraId="7AD7C445">
      <w:pPr>
        <w:spacing w:line="540" w:lineRule="exact"/>
        <w:ind w:firstLine="420"/>
        <w:rPr>
          <w:rFonts w:hint="eastAsia" w:ascii="微软雅黑" w:hAnsi="微软雅黑" w:cs="Arial"/>
          <w:color w:val="auto"/>
          <w:kern w:val="0"/>
          <w:szCs w:val="21"/>
          <w:highlight w:val="none"/>
        </w:rPr>
      </w:pPr>
      <w:r>
        <w:rPr>
          <w:rFonts w:hint="eastAsia" w:ascii="微软雅黑" w:hAnsi="微软雅黑"/>
          <w:color w:val="auto"/>
          <w:highlight w:val="none"/>
        </w:rPr>
        <w:t>地点（网址）：政采云平台（https://www.zcygov.cn/）</w:t>
      </w:r>
      <w:r>
        <w:rPr>
          <w:rFonts w:ascii="微软雅黑" w:hAnsi="微软雅黑" w:cs="Calibri"/>
          <w:color w:val="auto"/>
          <w:kern w:val="0"/>
          <w:szCs w:val="21"/>
          <w:highlight w:val="none"/>
        </w:rPr>
        <w:t>  </w:t>
      </w:r>
    </w:p>
    <w:p w14:paraId="156F63FC">
      <w:pPr>
        <w:widowControl/>
        <w:spacing w:before="255" w:after="255" w:line="300" w:lineRule="atLeast"/>
        <w:ind w:firstLine="0" w:firstLineChars="0"/>
        <w:jc w:val="both"/>
        <w:outlineLvl w:val="1"/>
        <w:rPr>
          <w:rFonts w:hint="eastAsia" w:ascii="微软雅黑" w:hAnsi="微软雅黑" w:cs="Arial"/>
          <w:color w:val="auto"/>
          <w:kern w:val="0"/>
          <w:szCs w:val="21"/>
          <w:highlight w:val="none"/>
        </w:rPr>
      </w:pPr>
      <w:bookmarkStart w:id="13" w:name="_Toc26663"/>
      <w:r>
        <w:rPr>
          <w:rFonts w:hint="eastAsia" w:ascii="微软雅黑" w:hAnsi="微软雅黑" w:cs="Arial"/>
          <w:b/>
          <w:bCs/>
          <w:color w:val="auto"/>
          <w:kern w:val="0"/>
          <w:szCs w:val="21"/>
          <w:highlight w:val="none"/>
        </w:rPr>
        <w:t>五、公告期限</w:t>
      </w:r>
      <w:r>
        <w:rPr>
          <w:rFonts w:ascii="微软雅黑" w:hAnsi="微软雅黑" w:cs="Calibri"/>
          <w:color w:val="auto"/>
          <w:kern w:val="0"/>
          <w:szCs w:val="21"/>
          <w:highlight w:val="none"/>
        </w:rPr>
        <w:t> </w:t>
      </w:r>
      <w:bookmarkEnd w:id="13"/>
    </w:p>
    <w:p w14:paraId="5D80342C">
      <w:pPr>
        <w:widowControl/>
        <w:spacing w:before="75" w:after="75" w:line="240" w:lineRule="auto"/>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自本公告发布之日起5个工作日。</w:t>
      </w:r>
    </w:p>
    <w:p w14:paraId="75612049">
      <w:pPr>
        <w:widowControl/>
        <w:spacing w:before="255" w:after="255" w:line="300" w:lineRule="atLeast"/>
        <w:ind w:firstLine="0" w:firstLineChars="0"/>
        <w:jc w:val="both"/>
        <w:outlineLvl w:val="1"/>
        <w:rPr>
          <w:rFonts w:hint="eastAsia" w:ascii="微软雅黑" w:hAnsi="微软雅黑" w:cs="Arial"/>
          <w:b/>
          <w:bCs/>
          <w:color w:val="auto"/>
          <w:kern w:val="0"/>
          <w:szCs w:val="21"/>
          <w:highlight w:val="none"/>
        </w:rPr>
      </w:pPr>
      <w:bookmarkStart w:id="14" w:name="_Toc8493"/>
      <w:r>
        <w:rPr>
          <w:rFonts w:hint="eastAsia" w:ascii="微软雅黑" w:hAnsi="微软雅黑" w:cs="Arial"/>
          <w:b/>
          <w:bCs/>
          <w:color w:val="auto"/>
          <w:kern w:val="0"/>
          <w:szCs w:val="21"/>
          <w:highlight w:val="none"/>
        </w:rPr>
        <w:t>六、其他补充事宜</w:t>
      </w:r>
      <w:bookmarkEnd w:id="14"/>
    </w:p>
    <w:p w14:paraId="065BD7AA">
      <w:pPr>
        <w:spacing w:line="540" w:lineRule="exact"/>
        <w:ind w:firstLine="420"/>
        <w:rPr>
          <w:rFonts w:hint="eastAsia" w:ascii="微软雅黑" w:hAnsi="微软雅黑"/>
          <w:color w:val="auto"/>
          <w:highlight w:val="none"/>
        </w:rPr>
      </w:pPr>
      <w:r>
        <w:rPr>
          <w:rFonts w:hint="eastAsia" w:ascii="微软雅黑" w:hAnsi="微软雅黑" w:cs="宋体"/>
          <w:color w:val="auto"/>
          <w:highlight w:val="none"/>
        </w:rPr>
        <w:t>1.</w:t>
      </w:r>
      <w:r>
        <w:rPr>
          <w:rFonts w:hint="eastAsia" w:ascii="微软雅黑" w:hAnsi="微软雅黑"/>
          <w:color w:val="auto"/>
          <w:highlight w:val="none"/>
        </w:rPr>
        <w:t>供应商认为招标文件、采购过程、中标或者成交结果使自己的权益受到损害的，可以在知道或者应知其权益受到损害之日起7个工作日内，</w:t>
      </w:r>
      <w:r>
        <w:rPr>
          <w:rFonts w:hint="eastAsia" w:ascii="微软雅黑" w:hAnsi="微软雅黑" w:cs="宋体"/>
          <w:color w:val="auto"/>
          <w:highlight w:val="none"/>
        </w:rPr>
        <w:t>以书面形式在政采云平台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DAF3F35">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2.其他事项：</w:t>
      </w:r>
    </w:p>
    <w:p w14:paraId="75DDD5C6">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（1）需要落实的政府采购政策：包括节约资源、保护环境、支持创新、促进中小企业发展等。</w:t>
      </w:r>
    </w:p>
    <w:p w14:paraId="735F6A2A">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（2）电子招投标的说明：</w:t>
      </w:r>
    </w:p>
    <w:p w14:paraId="61410A17">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①电子招投标：本项目以数据电文形式，依托“政府采购云平台（www.zcygov.cn）”进行招投标活动，不接受纸质投标文件；</w:t>
      </w:r>
    </w:p>
    <w:p w14:paraId="53F554D6">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微软雅黑" w:hAnsi="微软雅黑" w:cs="宋体"/>
          <w:b/>
          <w:bCs/>
          <w:color w:val="auto"/>
          <w:highlight w:val="none"/>
        </w:rPr>
        <w:t>中标供应商在签订合同前，如不完成注册，视为放弃</w:t>
      </w:r>
      <w:r>
        <w:rPr>
          <w:rFonts w:hint="eastAsia" w:ascii="微软雅黑" w:hAnsi="微软雅黑" w:cs="宋体"/>
          <w:color w:val="auto"/>
          <w:highlight w:val="none"/>
        </w:rPr>
        <w:t>；</w:t>
      </w:r>
    </w:p>
    <w:p w14:paraId="749E8C26">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CA驱动和申领流程</w:t>
      </w:r>
    </w:p>
    <w:p w14:paraId="1840AE61">
      <w:pPr>
        <w:spacing w:before="120" w:beforeLines="50" w:after="120" w:afterLines="50" w:line="276" w:lineRule="auto"/>
        <w:ind w:firstLine="420"/>
        <w:rPr>
          <w:rStyle w:val="62"/>
          <w:rFonts w:hint="eastAsia" w:ascii="微软雅黑" w:hAnsi="微软雅黑"/>
          <w:color w:val="auto"/>
          <w:szCs w:val="22"/>
          <w:highlight w:val="none"/>
        </w:rPr>
      </w:pPr>
      <w:r>
        <w:rPr>
          <w:rStyle w:val="62"/>
          <w:rFonts w:hint="eastAsia" w:ascii="微软雅黑" w:hAnsi="微软雅黑"/>
          <w:color w:val="auto"/>
          <w:szCs w:val="22"/>
          <w:highlight w:val="none"/>
        </w:rPr>
        <w:t xml:space="preserve">https://zfcg.czt.zj.gov.cn/bidClientTemplate/2019-05-27/12945.html    </w:t>
      </w:r>
    </w:p>
    <w:p w14:paraId="0DCFB16E">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注：ＣＡ证书遗失补办、延期、解锁、质保等业务可以在联连客户端上进行操作；使用政采云投标客户端时，建议使用windows7以上且64位的操作系统。</w:t>
      </w:r>
    </w:p>
    <w:p w14:paraId="6B9DE774">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CA证书办理操作视频</w:t>
      </w:r>
    </w:p>
    <w:p w14:paraId="1D806698">
      <w:pPr>
        <w:spacing w:before="120" w:beforeLines="50" w:after="120" w:afterLines="50" w:line="276" w:lineRule="auto"/>
        <w:ind w:firstLine="420"/>
        <w:rPr>
          <w:rStyle w:val="62"/>
          <w:rFonts w:hint="eastAsia" w:ascii="微软雅黑" w:hAnsi="微软雅黑"/>
          <w:color w:val="auto"/>
          <w:szCs w:val="22"/>
          <w:highlight w:val="none"/>
        </w:rPr>
      </w:pPr>
      <w:r>
        <w:rPr>
          <w:rStyle w:val="62"/>
          <w:rFonts w:hint="eastAsia" w:ascii="微软雅黑" w:hAnsi="微软雅黑"/>
          <w:color w:val="auto"/>
          <w:szCs w:val="22"/>
          <w:highlight w:val="none"/>
        </w:rPr>
        <w:t>https://service.zcygov.cn/#/knowledges/UgcbC3EBiyELHE-opz1b/EWqqyXEByNnJ3A2CPyDI</w:t>
      </w:r>
    </w:p>
    <w:p w14:paraId="13CA38C6">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CA绑定登录操作视频</w:t>
      </w:r>
    </w:p>
    <w:p w14:paraId="1CCDC2EC">
      <w:pPr>
        <w:spacing w:before="120" w:beforeLines="50" w:after="120" w:afterLines="50" w:line="276" w:lineRule="auto"/>
        <w:ind w:firstLine="420"/>
        <w:rPr>
          <w:rFonts w:hint="eastAsia" w:ascii="微软雅黑" w:hAnsi="微软雅黑"/>
          <w:color w:val="auto"/>
          <w:highlight w:val="none"/>
        </w:rPr>
      </w:pPr>
      <w:r>
        <w:rPr>
          <w:rStyle w:val="62"/>
          <w:rFonts w:hint="eastAsia" w:ascii="微软雅黑" w:hAnsi="微软雅黑"/>
          <w:color w:val="auto"/>
          <w:szCs w:val="22"/>
          <w:highlight w:val="none"/>
        </w:rPr>
        <w:t>https://service.zcygov.cn/#/knowledges/UgcbC3EBiyELHE-opz1b/nAkmyXEBiyELHE-o-983</w:t>
      </w:r>
    </w:p>
    <w:p w14:paraId="6CB88B46">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③招标文件的获取：使用账号登录或者使用CA登录政采云平台；进入“项目采购”应用，在获取招标文件菜单中选择项目，获取招标文件；</w:t>
      </w:r>
    </w:p>
    <w:p w14:paraId="64ADEC05">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④投标文件的制作：在“政采云电子交易客户端”中完成“填写基本信息”、“导入投标文件”、“标书关联”、“标书检查”、“电子签名”、“生成电子标书”等操作；</w:t>
      </w:r>
    </w:p>
    <w:p w14:paraId="6F5A1001">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 xml:space="preserve">⑤采购人、采购机构将依托政采云平台完成本项目的电子交易活动，平台不接受未按上述方式获取招标文件的供应商进行投标活动； </w:t>
      </w:r>
    </w:p>
    <w:p w14:paraId="2381A1B2">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⑥对未按上述方式获取招标文件的供应商对该文件提出的质疑，采购人或采购代理机构将不予处理；</w:t>
      </w:r>
    </w:p>
    <w:p w14:paraId="24BA8323">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⑦不提供招标文件纸质版；</w:t>
      </w:r>
    </w:p>
    <w:p w14:paraId="744842C8">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⑧投标文件的传输递交：投标供应商在投标截止时间前将加密的投标文件上传至政府采购云平台，同时可在投标截止时间前将政采云平台上最后生成的具备电子签章的备份电子标文件1份下载至U盘，直接提交或者以</w:t>
      </w:r>
      <w:r>
        <w:rPr>
          <w:rFonts w:hint="eastAsia" w:ascii="微软雅黑" w:hAnsi="微软雅黑" w:cs="宋体"/>
          <w:b/>
          <w:bCs/>
          <w:color w:val="auto"/>
          <w:highlight w:val="none"/>
          <w:u w:val="single"/>
        </w:rPr>
        <w:t>快递</w:t>
      </w:r>
      <w:r>
        <w:rPr>
          <w:rFonts w:hint="eastAsia" w:ascii="微软雅黑" w:hAnsi="微软雅黑" w:cs="宋体"/>
          <w:color w:val="auto"/>
          <w:highlight w:val="none"/>
        </w:rPr>
        <w:t>方式递交【地址：嘉兴市秀洲区新平路299号中禾广场23楼2323室；收件人：章莉莉；电话：13605735186；快递寄出同时，项目被授权代表须以邮件方式将快递单号、项目名称、公司名称、被授权代表姓名及联系方式等内容（邮件格式为：</w:t>
      </w:r>
      <w:r>
        <w:rPr>
          <w:rFonts w:hint="eastAsia"/>
          <w:color w:val="auto"/>
          <w:highlight w:val="none"/>
        </w:rPr>
        <w:fldChar w:fldCharType="begin"/>
      </w:r>
      <w:r>
        <w:rPr>
          <w:color w:val="auto"/>
          <w:highlight w:val="none"/>
        </w:rPr>
        <w:instrText xml:space="preserve"> HYPERLINK "mailto:项目编号+快递单号+公司名称+被授权代表姓名及联系方式）发代理机构联系人邮箱1450912653@qq.com)】" </w:instrText>
      </w:r>
      <w:r>
        <w:rPr>
          <w:rFonts w:hint="eastAsia"/>
          <w:color w:val="auto"/>
          <w:highlight w:val="none"/>
        </w:rPr>
        <w:fldChar w:fldCharType="separate"/>
      </w:r>
      <w:r>
        <w:rPr>
          <w:rStyle w:val="62"/>
          <w:rFonts w:hint="eastAsia" w:ascii="微软雅黑" w:hAnsi="微软雅黑" w:cs="宋体"/>
          <w:color w:val="auto"/>
          <w:highlight w:val="none"/>
        </w:rPr>
        <w:t>项目编号+快递单号+公司名称+被授权代表姓名及联系方式）发代理机构联系人邮箱1450912653@qq.com)】</w:t>
      </w:r>
      <w:r>
        <w:rPr>
          <w:rStyle w:val="62"/>
          <w:rFonts w:hint="eastAsia" w:ascii="微软雅黑" w:hAnsi="微软雅黑" w:cs="宋体"/>
          <w:color w:val="auto"/>
          <w:highlight w:val="none"/>
        </w:rPr>
        <w:fldChar w:fldCharType="end"/>
      </w:r>
      <w:r>
        <w:rPr>
          <w:rFonts w:hint="eastAsia" w:ascii="微软雅黑" w:hAnsi="微软雅黑" w:cs="宋体"/>
          <w:color w:val="auto"/>
          <w:highlight w:val="none"/>
        </w:rPr>
        <w:t>；</w:t>
      </w:r>
    </w:p>
    <w:p w14:paraId="7BDFD37F">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备份投标文件递交须满足：外包装封面上应注明投标供应商名称、投标供应商联系方式（授权代表手机）、投标文件名称（备份投标文件）、投标项目名称、项目编号、标项及“开标时启封”字样，并加盖投标供应商公章。</w:t>
      </w:r>
    </w:p>
    <w:p w14:paraId="6D130CD7">
      <w:pPr>
        <w:spacing w:line="540" w:lineRule="exact"/>
        <w:ind w:firstLine="420"/>
        <w:rPr>
          <w:rFonts w:hint="eastAsia" w:ascii="微软雅黑" w:hAnsi="微软雅黑" w:cs="宋体"/>
          <w:b/>
          <w:bCs/>
          <w:color w:val="auto"/>
          <w:highlight w:val="none"/>
        </w:rPr>
      </w:pPr>
      <w:r>
        <w:rPr>
          <w:rFonts w:hint="eastAsia" w:ascii="微软雅黑" w:hAnsi="微软雅黑" w:cs="宋体"/>
          <w:b/>
          <w:bCs/>
          <w:color w:val="auto"/>
          <w:highlight w:val="none"/>
        </w:rPr>
        <w:t>投标供应商递交的备份投标文件，出现下列情况之一的，将被拒收：</w:t>
      </w:r>
    </w:p>
    <w:p w14:paraId="4DC266FD">
      <w:pPr>
        <w:spacing w:line="540" w:lineRule="exact"/>
        <w:ind w:firstLine="420"/>
        <w:rPr>
          <w:rFonts w:hint="eastAsia" w:ascii="微软雅黑" w:hAnsi="微软雅黑" w:cs="宋体"/>
          <w:color w:val="auto"/>
          <w:highlight w:val="none"/>
        </w:rPr>
      </w:pPr>
      <w:r>
        <w:rPr>
          <w:rFonts w:hint="eastAsia" w:ascii="微软雅黑" w:hAnsi="微软雅黑" w:cs="汉仪大黑简"/>
          <w:color w:val="auto"/>
          <w:highlight w:val="none"/>
        </w:rPr>
        <w:t>·</w:t>
      </w:r>
      <w:r>
        <w:rPr>
          <w:rFonts w:hint="eastAsia" w:ascii="微软雅黑" w:hAnsi="微软雅黑" w:cs="宋体"/>
          <w:color w:val="auto"/>
          <w:highlight w:val="none"/>
        </w:rPr>
        <w:t>未按规定密封或标记的；</w:t>
      </w:r>
    </w:p>
    <w:p w14:paraId="3BFFFB7F">
      <w:pPr>
        <w:spacing w:line="540" w:lineRule="exact"/>
        <w:ind w:firstLine="420"/>
        <w:rPr>
          <w:rFonts w:hint="eastAsia" w:ascii="微软雅黑" w:hAnsi="微软雅黑" w:cs="宋体"/>
          <w:color w:val="auto"/>
          <w:highlight w:val="none"/>
        </w:rPr>
      </w:pPr>
      <w:r>
        <w:rPr>
          <w:rFonts w:hint="eastAsia" w:ascii="微软雅黑" w:hAnsi="微软雅黑" w:cs="汉仪大黑简"/>
          <w:color w:val="auto"/>
          <w:highlight w:val="none"/>
        </w:rPr>
        <w:t>·</w:t>
      </w:r>
      <w:r>
        <w:rPr>
          <w:rFonts w:hint="eastAsia" w:ascii="微软雅黑" w:hAnsi="微软雅黑" w:cs="宋体"/>
          <w:color w:val="auto"/>
          <w:highlight w:val="none"/>
        </w:rPr>
        <w:t>由于包装不妥，在送交途中严重破损或失散的；</w:t>
      </w:r>
    </w:p>
    <w:p w14:paraId="736799F3">
      <w:pPr>
        <w:spacing w:line="540" w:lineRule="exact"/>
        <w:ind w:firstLine="420"/>
        <w:rPr>
          <w:rFonts w:hint="eastAsia" w:ascii="微软雅黑" w:hAnsi="微软雅黑" w:cs="宋体"/>
          <w:color w:val="auto"/>
          <w:highlight w:val="none"/>
        </w:rPr>
      </w:pPr>
      <w:r>
        <w:rPr>
          <w:rFonts w:hint="eastAsia" w:ascii="微软雅黑" w:hAnsi="微软雅黑" w:cs="汉仪大黑简"/>
          <w:color w:val="auto"/>
          <w:highlight w:val="none"/>
        </w:rPr>
        <w:t>·</w:t>
      </w:r>
      <w:r>
        <w:rPr>
          <w:rFonts w:hint="eastAsia" w:ascii="微软雅黑" w:hAnsi="微软雅黑" w:cs="宋体"/>
          <w:color w:val="auto"/>
          <w:highlight w:val="none"/>
        </w:rPr>
        <w:t>超过投标截止时间送达的；</w:t>
      </w:r>
    </w:p>
    <w:p w14:paraId="7601E6E3">
      <w:pPr>
        <w:spacing w:line="540" w:lineRule="exact"/>
        <w:ind w:firstLine="420"/>
        <w:rPr>
          <w:rFonts w:hint="eastAsia" w:ascii="微软雅黑" w:hAnsi="微软雅黑" w:cs="宋体"/>
          <w:color w:val="auto"/>
          <w:highlight w:val="none"/>
        </w:rPr>
      </w:pPr>
      <w:r>
        <w:rPr>
          <w:rFonts w:hint="eastAsia" w:ascii="微软雅黑" w:hAnsi="微软雅黑"/>
          <w:color w:val="auto"/>
          <w:highlight w:val="none"/>
        </w:rPr>
        <w:t>·快递方式：快递费到付。</w:t>
      </w:r>
    </w:p>
    <w:p w14:paraId="543F94BD">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⑨投标文件的解密：投标供应商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供应商仅提交备份投标文件，没有在电子交易平台传输递交投标文件的，投标无效；</w:t>
      </w:r>
    </w:p>
    <w:p w14:paraId="57CE5769">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⑩具体操作指南：详见政采云平台“服务中心-帮助文档-项目采购-操作流程-电子招投标-政府采购项目电子交易管理操作指南-供应商”（浙江省“项目采购电子交易系统/不见面开评标”学习专题：</w:t>
      </w:r>
      <w:r>
        <w:rPr>
          <w:rFonts w:hint="eastAsia"/>
          <w:color w:val="auto"/>
          <w:highlight w:val="none"/>
        </w:rPr>
        <w:fldChar w:fldCharType="begin"/>
      </w:r>
      <w:r>
        <w:rPr>
          <w:color w:val="auto"/>
          <w:highlight w:val="none"/>
        </w:rPr>
        <w:instrText xml:space="preserve"> HYPERLINK "https://edu.zcygov.cn/luban/e-biding" </w:instrText>
      </w:r>
      <w:r>
        <w:rPr>
          <w:rFonts w:hint="eastAsia"/>
          <w:color w:val="auto"/>
          <w:highlight w:val="none"/>
        </w:rPr>
        <w:fldChar w:fldCharType="separate"/>
      </w:r>
      <w:r>
        <w:rPr>
          <w:rFonts w:hint="eastAsia" w:ascii="微软雅黑" w:hAnsi="微软雅黑" w:cs="宋体"/>
          <w:color w:val="auto"/>
          <w:highlight w:val="none"/>
        </w:rPr>
        <w:t>https://edu.zcygov.cn/luban/e-biding</w:t>
      </w:r>
      <w:r>
        <w:rPr>
          <w:rFonts w:hint="eastAsia" w:ascii="微软雅黑" w:hAnsi="微软雅黑" w:cs="宋体"/>
          <w:color w:val="auto"/>
          <w:highlight w:val="none"/>
        </w:rPr>
        <w:fldChar w:fldCharType="end"/>
      </w:r>
      <w:r>
        <w:rPr>
          <w:rFonts w:hint="eastAsia" w:ascii="微软雅黑" w:hAnsi="微软雅黑" w:cs="宋体"/>
          <w:color w:val="auto"/>
          <w:highlight w:val="none"/>
        </w:rPr>
        <w:t>）。</w:t>
      </w:r>
    </w:p>
    <w:p w14:paraId="0F08627B">
      <w:pPr>
        <w:spacing w:line="540" w:lineRule="exact"/>
        <w:ind w:firstLine="420"/>
        <w:rPr>
          <w:rFonts w:hint="eastAsia" w:ascii="微软雅黑" w:hAnsi="微软雅黑"/>
          <w:color w:val="auto"/>
          <w:highlight w:val="none"/>
        </w:rPr>
      </w:pPr>
      <w:r>
        <w:rPr>
          <w:rFonts w:hint="eastAsia" w:ascii="微软雅黑" w:hAnsi="微软雅黑"/>
          <w:color w:val="auto"/>
          <w:highlight w:val="none"/>
        </w:rPr>
        <w:t>3.惠企政策</w:t>
      </w:r>
    </w:p>
    <w:p w14:paraId="7B5B319D">
      <w:pPr>
        <w:spacing w:line="540" w:lineRule="exact"/>
        <w:ind w:firstLine="420"/>
        <w:rPr>
          <w:rFonts w:hint="eastAsia" w:ascii="微软雅黑" w:hAnsi="微软雅黑"/>
          <w:color w:val="auto"/>
          <w:highlight w:val="none"/>
        </w:rPr>
      </w:pPr>
      <w:r>
        <w:rPr>
          <w:rFonts w:hint="eastAsia" w:ascii="微软雅黑" w:hAnsi="微软雅黑"/>
          <w:color w:val="auto"/>
          <w:highlight w:val="none"/>
        </w:rPr>
        <w:t>3.1本采购项目，中标供应商与采购人签订的政府采购合同适用于嘉兴市政府采购贷款政策（简称“政采贷”），具体内容可参阅政府采购贷款流程：</w:t>
      </w:r>
    </w:p>
    <w:p w14:paraId="6E12B391">
      <w:pPr>
        <w:spacing w:line="540" w:lineRule="exact"/>
        <w:ind w:firstLine="420"/>
        <w:rPr>
          <w:rFonts w:hint="eastAsia" w:ascii="微软雅黑" w:hAnsi="微软雅黑"/>
          <w:color w:val="auto"/>
          <w:highlight w:val="none"/>
        </w:rPr>
      </w:pPr>
      <w:r>
        <w:rPr>
          <w:rFonts w:hint="eastAsia" w:ascii="微软雅黑" w:hAnsi="微软雅黑"/>
          <w:color w:val="auto"/>
          <w:highlight w:val="none"/>
        </w:rPr>
        <w:t>http://jxszwsjb.jiaxing.gov.cn/zxfw/005001/005001004/20190315/76d484f7-8fac-497f-9359-4df81cc086da.html</w:t>
      </w:r>
    </w:p>
    <w:p w14:paraId="75A62752">
      <w:pPr>
        <w:spacing w:line="540" w:lineRule="exact"/>
        <w:ind w:firstLine="420"/>
        <w:rPr>
          <w:rFonts w:hint="eastAsia" w:ascii="微软雅黑" w:hAnsi="微软雅黑" w:cs="宋体"/>
          <w:color w:val="auto"/>
          <w:sz w:val="24"/>
          <w:highlight w:val="none"/>
        </w:rPr>
      </w:pPr>
      <w:r>
        <w:rPr>
          <w:rFonts w:hint="eastAsia" w:ascii="微软雅黑" w:hAnsi="微软雅黑"/>
          <w:color w:val="auto"/>
          <w:highlight w:val="none"/>
        </w:rPr>
        <w:t>3.2</w:t>
      </w:r>
      <w:r>
        <w:rPr>
          <w:rFonts w:hint="eastAsia" w:ascii="微软雅黑" w:hAnsi="微软雅黑" w:cs="宋体"/>
          <w:color w:val="auto"/>
          <w:highlight w:val="none"/>
        </w:rPr>
        <w:t>根据浙江省财政厅2022年3号文、8号文具体工作要求，鼓励政府采购供应商使用政采贷获得普惠融资，使用履约保险/保函、预付款保险/保函释放保证金或者提高增信。具体内容可登录政采云平台（https://www.zcygov.cn/），点击右侧咨询小采。</w:t>
      </w:r>
    </w:p>
    <w:p w14:paraId="3B338ED2">
      <w:pPr>
        <w:widowControl/>
        <w:spacing w:before="255" w:after="255" w:line="480" w:lineRule="atLeast"/>
        <w:ind w:firstLine="0" w:firstLineChars="0"/>
        <w:jc w:val="both"/>
        <w:outlineLvl w:val="1"/>
        <w:rPr>
          <w:rFonts w:hint="eastAsia" w:ascii="微软雅黑" w:hAnsi="微软雅黑" w:cs="Arial"/>
          <w:color w:val="auto"/>
          <w:kern w:val="0"/>
          <w:szCs w:val="21"/>
          <w:highlight w:val="none"/>
        </w:rPr>
      </w:pPr>
      <w:bookmarkStart w:id="15" w:name="_Toc30576"/>
      <w:r>
        <w:rPr>
          <w:rFonts w:hint="eastAsia" w:ascii="微软雅黑" w:hAnsi="微软雅黑" w:cs="Arial"/>
          <w:b/>
          <w:bCs/>
          <w:color w:val="auto"/>
          <w:kern w:val="0"/>
          <w:szCs w:val="21"/>
          <w:highlight w:val="none"/>
        </w:rPr>
        <w:t>七、对本次采购提出询问、质疑、投诉，请按以下方式联系</w:t>
      </w:r>
      <w:bookmarkEnd w:id="15"/>
    </w:p>
    <w:p w14:paraId="35E9F248">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1.采购人信息</w:t>
      </w:r>
    </w:p>
    <w:p w14:paraId="0C0CDED1">
      <w:pPr>
        <w:widowControl/>
        <w:spacing w:before="75" w:after="75" w:line="300" w:lineRule="atLeast"/>
        <w:ind w:firstLine="426" w:firstLineChars="0"/>
        <w:rPr>
          <w:rFonts w:hint="eastAsia" w:ascii="微软雅黑" w:hAnsi="微软雅黑" w:cs="Arial"/>
          <w:color w:val="auto"/>
          <w:kern w:val="0"/>
          <w:szCs w:val="21"/>
          <w:highlight w:val="none"/>
        </w:rPr>
      </w:pPr>
      <w:r>
        <w:rPr>
          <w:rFonts w:hint="eastAsia" w:ascii="微软雅黑" w:hAnsi="微软雅黑" w:cs="Arial"/>
          <w:color w:val="auto"/>
          <w:kern w:val="0"/>
          <w:szCs w:val="21"/>
          <w:highlight w:val="none"/>
        </w:rPr>
        <w:t>名</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称：嘉兴市秀洲区住房和城乡建设局</w:t>
      </w:r>
    </w:p>
    <w:p w14:paraId="7FFE32AD">
      <w:pPr>
        <w:widowControl/>
        <w:spacing w:before="75" w:after="75" w:line="300" w:lineRule="atLeast"/>
        <w:ind w:firstLine="426" w:firstLineChars="0"/>
        <w:rPr>
          <w:rFonts w:hint="eastAsia" w:ascii="微软雅黑" w:hAnsi="微软雅黑" w:cs="宋体"/>
          <w:color w:val="auto"/>
          <w:kern w:val="0"/>
          <w:szCs w:val="21"/>
          <w:highlight w:val="none"/>
        </w:rPr>
      </w:pPr>
      <w:r>
        <w:rPr>
          <w:rFonts w:hint="eastAsia" w:ascii="微软雅黑" w:hAnsi="微软雅黑" w:cs="微软雅黑"/>
          <w:color w:val="auto"/>
          <w:kern w:val="0"/>
          <w:szCs w:val="21"/>
          <w:highlight w:val="none"/>
        </w:rPr>
        <w:t xml:space="preserve">地    址： 嘉兴市秀洲区秀洲大道767号 </w:t>
      </w:r>
    </w:p>
    <w:p w14:paraId="74E7741C">
      <w:pPr>
        <w:widowControl/>
        <w:spacing w:before="75" w:after="75" w:line="300" w:lineRule="atLeast"/>
        <w:ind w:firstLine="426" w:firstLineChars="0"/>
        <w:rPr>
          <w:rFonts w:hint="eastAsia" w:ascii="微软雅黑" w:hAnsi="微软雅黑" w:eastAsia="微软雅黑" w:cs="微软雅黑"/>
          <w:color w:val="auto"/>
          <w:kern w:val="0"/>
          <w:szCs w:val="21"/>
          <w:highlight w:val="none"/>
          <w:lang w:val="en-US" w:eastAsia="zh-CN"/>
        </w:rPr>
      </w:pPr>
      <w:r>
        <w:rPr>
          <w:rFonts w:hint="eastAsia" w:ascii="微软雅黑" w:hAnsi="微软雅黑" w:cs="微软雅黑"/>
          <w:color w:val="auto"/>
          <w:kern w:val="0"/>
          <w:szCs w:val="21"/>
          <w:highlight w:val="none"/>
        </w:rPr>
        <w:t>传    真：</w:t>
      </w:r>
      <w:r>
        <w:rPr>
          <w:rFonts w:hint="eastAsia" w:ascii="微软雅黑" w:hAnsi="微软雅黑" w:cs="微软雅黑"/>
          <w:color w:val="auto"/>
          <w:kern w:val="0"/>
          <w:szCs w:val="21"/>
          <w:highlight w:val="none"/>
          <w:lang w:val="en-US" w:eastAsia="zh-CN"/>
        </w:rPr>
        <w:t>/</w:t>
      </w:r>
    </w:p>
    <w:p w14:paraId="17FB09CF">
      <w:pPr>
        <w:widowControl/>
        <w:tabs>
          <w:tab w:val="left" w:pos="142"/>
        </w:tabs>
        <w:spacing w:before="75" w:after="75" w:line="300" w:lineRule="atLeas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 xml:space="preserve">项目联系人（询问）：孙先生 </w:t>
      </w:r>
      <w:r>
        <w:rPr>
          <w:rFonts w:hint="eastAsia" w:ascii="微软雅黑" w:hAnsi="微软雅黑" w:cs="Calibri"/>
          <w:color w:val="auto"/>
          <w:kern w:val="0"/>
          <w:szCs w:val="21"/>
          <w:highlight w:val="none"/>
        </w:rPr>
        <w:t xml:space="preserve"> </w:t>
      </w:r>
      <w:r>
        <w:rPr>
          <w:rFonts w:ascii="微软雅黑" w:hAnsi="微软雅黑" w:cs="Calibri"/>
          <w:color w:val="auto"/>
          <w:kern w:val="0"/>
          <w:szCs w:val="21"/>
          <w:highlight w:val="none"/>
        </w:rPr>
        <w:t> </w:t>
      </w:r>
    </w:p>
    <w:p w14:paraId="5736150F">
      <w:pPr>
        <w:widowControl/>
        <w:tabs>
          <w:tab w:val="left" w:pos="142"/>
        </w:tabs>
        <w:spacing w:before="75" w:after="75" w:line="300" w:lineRule="atLeast"/>
        <w:ind w:firstLine="426" w:firstLineChars="0"/>
        <w:rPr>
          <w:rFonts w:hint="eastAsia" w:ascii="微软雅黑" w:hAnsi="微软雅黑" w:cs="Calibri"/>
          <w:color w:val="auto"/>
          <w:kern w:val="0"/>
          <w:szCs w:val="21"/>
          <w:highlight w:val="none"/>
        </w:rPr>
      </w:pPr>
      <w:r>
        <w:rPr>
          <w:rFonts w:hint="eastAsia" w:ascii="微软雅黑" w:hAnsi="微软雅黑" w:cs="宋体"/>
          <w:color w:val="auto"/>
          <w:kern w:val="0"/>
          <w:szCs w:val="21"/>
          <w:highlight w:val="none"/>
        </w:rPr>
        <w:t xml:space="preserve">项目联系方式（询问）：0573-82721909 </w:t>
      </w:r>
      <w:r>
        <w:rPr>
          <w:rFonts w:ascii="微软雅黑" w:hAnsi="微软雅黑" w:cs="宋体"/>
          <w:color w:val="auto"/>
          <w:kern w:val="0"/>
          <w:szCs w:val="21"/>
          <w:highlight w:val="none"/>
        </w:rPr>
        <w:t xml:space="preserve"> </w:t>
      </w:r>
      <w:r>
        <w:rPr>
          <w:rFonts w:hint="eastAsia" w:ascii="微软雅黑" w:hAnsi="微软雅黑" w:cs="宋体"/>
          <w:color w:val="auto"/>
          <w:kern w:val="0"/>
          <w:szCs w:val="21"/>
          <w:highlight w:val="none"/>
        </w:rPr>
        <w:t xml:space="preserve"> </w:t>
      </w:r>
      <w:r>
        <w:rPr>
          <w:rFonts w:ascii="微软雅黑" w:hAnsi="微软雅黑" w:cs="Calibri"/>
          <w:color w:val="auto"/>
          <w:kern w:val="0"/>
          <w:szCs w:val="21"/>
          <w:highlight w:val="none"/>
        </w:rPr>
        <w:t> </w:t>
      </w:r>
    </w:p>
    <w:p w14:paraId="3E139718">
      <w:pPr>
        <w:widowControl/>
        <w:tabs>
          <w:tab w:val="left" w:pos="142"/>
        </w:tabs>
        <w:spacing w:before="75" w:after="75" w:line="300" w:lineRule="atLeast"/>
        <w:ind w:firstLine="426" w:firstLineChars="0"/>
        <w:rPr>
          <w:rFonts w:hint="eastAsia" w:ascii="微软雅黑" w:hAnsi="微软雅黑" w:cs="微软雅黑"/>
          <w:color w:val="auto"/>
          <w:szCs w:val="21"/>
          <w:highlight w:val="yellow"/>
        </w:rPr>
      </w:pPr>
      <w:r>
        <w:rPr>
          <w:rFonts w:hint="eastAsia" w:ascii="微软雅黑" w:hAnsi="微软雅黑" w:cs="微软雅黑"/>
          <w:color w:val="auto"/>
          <w:szCs w:val="21"/>
          <w:highlight w:val="yellow"/>
        </w:rPr>
        <w:t xml:space="preserve">质疑联系人： 袁女士 </w:t>
      </w:r>
    </w:p>
    <w:p w14:paraId="6BBBD686">
      <w:pPr>
        <w:widowControl/>
        <w:tabs>
          <w:tab w:val="left" w:pos="142"/>
        </w:tabs>
        <w:spacing w:before="75" w:after="75" w:line="300" w:lineRule="atLeast"/>
        <w:ind w:firstLine="426" w:firstLineChars="0"/>
        <w:rPr>
          <w:rFonts w:hint="eastAsia" w:ascii="微软雅黑" w:hAnsi="微软雅黑" w:cs="Calibri"/>
          <w:color w:val="auto"/>
          <w:kern w:val="0"/>
          <w:szCs w:val="21"/>
          <w:highlight w:val="yellow"/>
        </w:rPr>
      </w:pPr>
      <w:r>
        <w:rPr>
          <w:rFonts w:hint="eastAsia" w:ascii="微软雅黑" w:hAnsi="微软雅黑" w:cs="微软雅黑"/>
          <w:color w:val="auto"/>
          <w:szCs w:val="21"/>
          <w:highlight w:val="yellow"/>
        </w:rPr>
        <w:t xml:space="preserve">质疑联系方式： 0573-82721167 </w:t>
      </w:r>
      <w:r>
        <w:rPr>
          <w:rFonts w:ascii="微软雅黑" w:hAnsi="微软雅黑" w:cs="Calibri"/>
          <w:color w:val="auto"/>
          <w:kern w:val="0"/>
          <w:szCs w:val="21"/>
          <w:highlight w:val="yellow"/>
        </w:rPr>
        <w:t>  </w:t>
      </w:r>
    </w:p>
    <w:p w14:paraId="2EDF16BA">
      <w:pPr>
        <w:pStyle w:val="3"/>
        <w:ind w:firstLine="480"/>
        <w:rPr>
          <w:rFonts w:hint="eastAsia"/>
          <w:color w:val="auto"/>
          <w:highlight w:val="none"/>
        </w:rPr>
      </w:pPr>
    </w:p>
    <w:p w14:paraId="01CE9954">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2.采购代理机构信息</w:t>
      </w:r>
      <w:r>
        <w:rPr>
          <w:rFonts w:ascii="微软雅黑" w:hAnsi="微软雅黑" w:cs="Calibri"/>
          <w:color w:val="auto"/>
          <w:kern w:val="0"/>
          <w:szCs w:val="21"/>
          <w:highlight w:val="none"/>
        </w:rPr>
        <w:t>       </w:t>
      </w:r>
    </w:p>
    <w:p w14:paraId="515E2C7A">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名</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称：嘉兴市千秋工程咨询有限公司</w:t>
      </w:r>
      <w:r>
        <w:rPr>
          <w:rFonts w:ascii="微软雅黑" w:hAnsi="微软雅黑" w:cs="Calibri"/>
          <w:color w:val="auto"/>
          <w:kern w:val="0"/>
          <w:szCs w:val="21"/>
          <w:highlight w:val="none"/>
        </w:rPr>
        <w:t>        </w:t>
      </w:r>
    </w:p>
    <w:p w14:paraId="68897376">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地</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址：嘉兴市秀洲区新平路299号中禾广场23楼</w:t>
      </w:r>
      <w:r>
        <w:rPr>
          <w:rFonts w:ascii="微软雅黑" w:hAnsi="微软雅黑" w:cs="Calibri"/>
          <w:color w:val="auto"/>
          <w:kern w:val="0"/>
          <w:szCs w:val="21"/>
          <w:highlight w:val="none"/>
        </w:rPr>
        <w:t>        </w:t>
      </w:r>
    </w:p>
    <w:p w14:paraId="50822EA0">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传</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真：</w:t>
      </w:r>
      <w:r>
        <w:rPr>
          <w:rFonts w:hint="eastAsia" w:ascii="微软雅黑" w:hAnsi="微软雅黑" w:cs="Arial"/>
          <w:color w:val="auto"/>
          <w:kern w:val="0"/>
          <w:szCs w:val="21"/>
          <w:highlight w:val="none"/>
          <w:lang w:val="en-US" w:eastAsia="zh-CN"/>
        </w:rPr>
        <w:t>/</w:t>
      </w:r>
      <w:r>
        <w:rPr>
          <w:rFonts w:ascii="微软雅黑" w:hAnsi="微软雅黑" w:cs="Calibri"/>
          <w:color w:val="auto"/>
          <w:kern w:val="0"/>
          <w:szCs w:val="21"/>
          <w:highlight w:val="none"/>
        </w:rPr>
        <w:t>        </w:t>
      </w:r>
    </w:p>
    <w:p w14:paraId="451B400A">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项目联系人（询问）：</w:t>
      </w:r>
      <w:r>
        <w:rPr>
          <w:rFonts w:hint="eastAsia" w:ascii="微软雅黑" w:hAnsi="微软雅黑" w:cs="Arial"/>
          <w:color w:val="auto"/>
          <w:kern w:val="0"/>
          <w:szCs w:val="21"/>
          <w:highlight w:val="none"/>
          <w:lang w:val="en-US" w:eastAsia="zh-CN"/>
        </w:rPr>
        <w:t>章莉莉、李建良</w:t>
      </w:r>
      <w:r>
        <w:rPr>
          <w:rFonts w:ascii="微软雅黑" w:hAnsi="微软雅黑" w:cs="Calibri"/>
          <w:color w:val="auto"/>
          <w:kern w:val="0"/>
          <w:szCs w:val="21"/>
          <w:highlight w:val="none"/>
        </w:rPr>
        <w:t>         </w:t>
      </w:r>
    </w:p>
    <w:p w14:paraId="212AFBCD">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项目联系方式（询问）：</w:t>
      </w:r>
      <w:r>
        <w:rPr>
          <w:rFonts w:hint="eastAsia" w:ascii="微软雅黑" w:hAnsi="微软雅黑" w:cs="Arial"/>
          <w:color w:val="auto"/>
          <w:kern w:val="0"/>
          <w:szCs w:val="21"/>
          <w:highlight w:val="none"/>
          <w:lang w:val="en-US" w:eastAsia="zh-CN"/>
        </w:rPr>
        <w:t>0573-83705015、</w:t>
      </w:r>
      <w:r>
        <w:rPr>
          <w:rFonts w:hint="eastAsia" w:ascii="微软雅黑" w:hAnsi="微软雅黑" w:cs="Arial"/>
          <w:color w:val="auto"/>
          <w:kern w:val="0"/>
          <w:szCs w:val="21"/>
          <w:highlight w:val="none"/>
        </w:rPr>
        <w:t>1</w:t>
      </w:r>
      <w:r>
        <w:rPr>
          <w:rFonts w:ascii="微软雅黑" w:hAnsi="微软雅黑" w:cs="Arial"/>
          <w:color w:val="auto"/>
          <w:kern w:val="0"/>
          <w:szCs w:val="21"/>
          <w:highlight w:val="none"/>
        </w:rPr>
        <w:t>3605735186</w:t>
      </w:r>
    </w:p>
    <w:p w14:paraId="7EFB906A">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质疑联系人：项兴戟</w:t>
      </w:r>
      <w:r>
        <w:rPr>
          <w:rFonts w:hint="eastAsia" w:ascii="微软雅黑" w:hAnsi="微软雅黑" w:cs="Arial"/>
          <w:color w:val="auto"/>
          <w:kern w:val="0"/>
          <w:szCs w:val="21"/>
          <w:highlight w:val="none"/>
          <w:lang w:eastAsia="zh-CN"/>
        </w:rPr>
        <w:t>、</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lang w:val="en-US" w:eastAsia="zh-CN"/>
        </w:rPr>
        <w:t>林晨</w:t>
      </w:r>
      <w:r>
        <w:rPr>
          <w:rFonts w:ascii="微软雅黑" w:hAnsi="微软雅黑" w:cs="Calibri"/>
          <w:color w:val="auto"/>
          <w:kern w:val="0"/>
          <w:szCs w:val="21"/>
          <w:highlight w:val="none"/>
        </w:rPr>
        <w:t>       </w:t>
      </w:r>
    </w:p>
    <w:p w14:paraId="7A6614F6">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质疑联系方式：0573-8370501</w:t>
      </w:r>
      <w:r>
        <w:rPr>
          <w:rFonts w:hint="eastAsia" w:ascii="微软雅黑" w:hAnsi="微软雅黑" w:cs="Arial"/>
          <w:color w:val="auto"/>
          <w:kern w:val="0"/>
          <w:szCs w:val="21"/>
          <w:highlight w:val="none"/>
          <w:lang w:val="en-US" w:eastAsia="zh-CN"/>
        </w:rPr>
        <w:t>3</w:t>
      </w:r>
      <w:r>
        <w:rPr>
          <w:rFonts w:hint="eastAsia" w:ascii="微软雅黑" w:hAnsi="微软雅黑" w:cs="Arial"/>
          <w:color w:val="auto"/>
          <w:kern w:val="0"/>
          <w:szCs w:val="21"/>
          <w:highlight w:val="none"/>
          <w:lang w:eastAsia="zh-CN"/>
        </w:rPr>
        <w:t>、</w:t>
      </w:r>
      <w:r>
        <w:rPr>
          <w:rFonts w:hint="eastAsia" w:ascii="微软雅黑" w:hAnsi="微软雅黑" w:cs="Arial"/>
          <w:color w:val="auto"/>
          <w:kern w:val="0"/>
          <w:szCs w:val="21"/>
          <w:highlight w:val="none"/>
        </w:rPr>
        <w:t>13605738567</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w:t>
      </w:r>
      <w:r>
        <w:rPr>
          <w:rFonts w:ascii="微软雅黑" w:hAnsi="微软雅黑" w:cs="Calibri"/>
          <w:color w:val="auto"/>
          <w:kern w:val="0"/>
          <w:szCs w:val="21"/>
          <w:highlight w:val="none"/>
        </w:rPr>
        <w:t>   </w:t>
      </w:r>
    </w:p>
    <w:p w14:paraId="780FD47B">
      <w:pPr>
        <w:widowControl/>
        <w:spacing w:before="75" w:after="75" w:line="300" w:lineRule="atLeast"/>
        <w:ind w:firstLine="0" w:firstLineChars="0"/>
        <w:rPr>
          <w:rFonts w:hint="eastAsia" w:ascii="微软雅黑" w:hAnsi="微软雅黑" w:cs="Calibri"/>
          <w:color w:val="auto"/>
          <w:kern w:val="0"/>
          <w:szCs w:val="21"/>
          <w:highlight w:val="none"/>
        </w:rPr>
      </w:pPr>
      <w:r>
        <w:rPr>
          <w:rFonts w:ascii="微软雅黑" w:hAnsi="微软雅黑" w:cs="Calibri"/>
          <w:color w:val="auto"/>
          <w:kern w:val="0"/>
          <w:szCs w:val="21"/>
          <w:highlight w:val="none"/>
        </w:rPr>
        <w:t>  </w:t>
      </w:r>
    </w:p>
    <w:p w14:paraId="4BC5B70C">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3.同级政府采购监督管理部门</w:t>
      </w:r>
      <w:r>
        <w:rPr>
          <w:rFonts w:ascii="微软雅黑" w:hAnsi="微软雅黑" w:cs="Calibri"/>
          <w:color w:val="auto"/>
          <w:kern w:val="0"/>
          <w:szCs w:val="21"/>
          <w:highlight w:val="none"/>
        </w:rPr>
        <w:t>       </w:t>
      </w:r>
    </w:p>
    <w:p w14:paraId="41AAE604">
      <w:pPr>
        <w:spacing w:line="54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政府采购行政监管及投诉受理部门：嘉兴市秀洲区财政局</w:t>
      </w:r>
    </w:p>
    <w:p w14:paraId="76EF2B80">
      <w:pPr>
        <w:spacing w:line="54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地    址：秀洲区洪兴路1765号</w:t>
      </w:r>
    </w:p>
    <w:p w14:paraId="4C128117">
      <w:pPr>
        <w:spacing w:line="54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传    真：/</w:t>
      </w:r>
    </w:p>
    <w:p w14:paraId="084CF9FB">
      <w:pPr>
        <w:spacing w:line="54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联系人 ：宋女士</w:t>
      </w:r>
    </w:p>
    <w:p w14:paraId="0B1E8D90">
      <w:pPr>
        <w:spacing w:line="540" w:lineRule="exact"/>
        <w:ind w:firstLine="420"/>
        <w:rPr>
          <w:rFonts w:hint="eastAsia" w:ascii="微软雅黑" w:hAnsi="微软雅黑" w:cs="宋体"/>
          <w:color w:val="auto"/>
          <w:szCs w:val="21"/>
          <w:highlight w:val="none"/>
        </w:rPr>
      </w:pPr>
      <w:r>
        <w:rPr>
          <w:rFonts w:hint="eastAsia" w:ascii="微软雅黑" w:hAnsi="微软雅黑" w:cs="微软雅黑"/>
          <w:color w:val="auto"/>
          <w:kern w:val="0"/>
          <w:szCs w:val="21"/>
          <w:highlight w:val="none"/>
        </w:rPr>
        <w:t>监督投诉电话：0573-8272008</w:t>
      </w:r>
      <w:r>
        <w:rPr>
          <w:rFonts w:ascii="微软雅黑" w:hAnsi="微软雅黑" w:cs="微软雅黑"/>
          <w:color w:val="auto"/>
          <w:kern w:val="0"/>
          <w:szCs w:val="21"/>
          <w:highlight w:val="none"/>
        </w:rPr>
        <w:t>5</w:t>
      </w:r>
    </w:p>
    <w:p w14:paraId="06DCB507">
      <w:pPr>
        <w:ind w:firstLine="420"/>
        <w:rPr>
          <w:rFonts w:hint="eastAsia" w:ascii="微软雅黑" w:hAnsi="微软雅黑"/>
          <w:color w:val="auto"/>
          <w:szCs w:val="21"/>
          <w:highlight w:val="none"/>
        </w:rPr>
      </w:pPr>
      <w:r>
        <w:rPr>
          <w:rFonts w:hint="eastAsia" w:ascii="微软雅黑" w:hAnsi="微软雅黑"/>
          <w:color w:val="auto"/>
          <w:szCs w:val="21"/>
          <w:highlight w:val="none"/>
        </w:rPr>
        <w:t>若对项目采购电子交易系统操作有疑问，可登录政采云（</w:t>
      </w:r>
      <w:r>
        <w:rPr>
          <w:rFonts w:ascii="微软雅黑" w:hAnsi="微软雅黑"/>
          <w:color w:val="auto"/>
          <w:szCs w:val="21"/>
          <w:highlight w:val="none"/>
        </w:rPr>
        <w:t>https://www.zcygov.cn/），点击右侧咨询小采，获取采小蜜智能服务管家帮助，或拨打政</w:t>
      </w:r>
      <w:r>
        <w:rPr>
          <w:rFonts w:hint="eastAsia" w:ascii="微软雅黑" w:hAnsi="微软雅黑"/>
          <w:color w:val="auto"/>
          <w:szCs w:val="21"/>
          <w:highlight w:val="none"/>
        </w:rPr>
        <w:t>采云服务热线95763</w:t>
      </w:r>
      <w:r>
        <w:rPr>
          <w:rFonts w:ascii="微软雅黑" w:hAnsi="微软雅黑"/>
          <w:color w:val="auto"/>
          <w:szCs w:val="21"/>
          <w:highlight w:val="none"/>
        </w:rPr>
        <w:t>获取热线服务帮助。</w:t>
      </w:r>
    </w:p>
    <w:p w14:paraId="18C3AE95">
      <w:pPr>
        <w:ind w:firstLine="420"/>
        <w:rPr>
          <w:rFonts w:hint="eastAsia" w:ascii="微软雅黑" w:hAnsi="微软雅黑" w:cs="Arial"/>
          <w:color w:val="auto"/>
          <w:kern w:val="0"/>
          <w:szCs w:val="21"/>
          <w:highlight w:val="none"/>
        </w:rPr>
      </w:pPr>
      <w:r>
        <w:rPr>
          <w:rFonts w:ascii="微软雅黑" w:hAnsi="微软雅黑"/>
          <w:color w:val="auto"/>
          <w:szCs w:val="21"/>
          <w:highlight w:val="none"/>
        </w:rPr>
        <w:t>CA问题联系电话（人工）：</w:t>
      </w:r>
      <w:r>
        <w:rPr>
          <w:rFonts w:hint="eastAsia" w:ascii="微软雅黑" w:hAnsi="微软雅黑"/>
          <w:color w:val="auto"/>
          <w:szCs w:val="21"/>
          <w:highlight w:val="none"/>
        </w:rPr>
        <w:t>汇信</w:t>
      </w:r>
      <w:r>
        <w:rPr>
          <w:rFonts w:ascii="微软雅黑" w:hAnsi="微软雅黑"/>
          <w:color w:val="auto"/>
          <w:szCs w:val="21"/>
          <w:highlight w:val="none"/>
        </w:rPr>
        <w:t>CA 400-888-4636；天谷CA 400-087-8198。</w:t>
      </w:r>
      <w:r>
        <w:rPr>
          <w:rFonts w:ascii="微软雅黑" w:hAnsi="微软雅黑" w:cs="Calibri"/>
          <w:color w:val="auto"/>
          <w:kern w:val="0"/>
          <w:szCs w:val="21"/>
          <w:highlight w:val="none"/>
        </w:rPr>
        <w:t>     </w:t>
      </w:r>
    </w:p>
    <w:p w14:paraId="4C504E46">
      <w:pPr>
        <w:pStyle w:val="5"/>
        <w:rPr>
          <w:rStyle w:val="70"/>
          <w:b/>
          <w:bCs/>
          <w:color w:val="auto"/>
          <w:highlight w:val="none"/>
        </w:rPr>
        <w:sectPr>
          <w:type w:val="nextColumn"/>
          <w:pgSz w:w="11906" w:h="16838"/>
          <w:pgMar w:top="1474" w:right="1134" w:bottom="1134" w:left="1474" w:header="851" w:footer="851" w:gutter="0"/>
          <w:pgBorders>
            <w:top w:val="none" w:sz="0" w:space="0"/>
            <w:left w:val="none" w:sz="0" w:space="0"/>
            <w:bottom w:val="none" w:sz="0" w:space="0"/>
            <w:right w:val="none" w:sz="0" w:space="0"/>
          </w:pgBorders>
          <w:cols w:space="720" w:num="1"/>
          <w:docGrid w:linePitch="312" w:charSpace="0"/>
        </w:sectPr>
      </w:pPr>
      <w:bookmarkStart w:id="16" w:name="_Toc5875"/>
    </w:p>
    <w:p w14:paraId="3700E006">
      <w:pPr>
        <w:pStyle w:val="5"/>
        <w:numPr>
          <w:ilvl w:val="0"/>
          <w:numId w:val="3"/>
        </w:numPr>
        <w:rPr>
          <w:rStyle w:val="70"/>
          <w:b/>
          <w:bCs/>
          <w:color w:val="auto"/>
          <w:highlight w:val="none"/>
        </w:rPr>
      </w:pPr>
      <w:bookmarkStart w:id="17" w:name="_Toc30616"/>
      <w:r>
        <w:rPr>
          <w:rStyle w:val="70"/>
          <w:rFonts w:hint="eastAsia"/>
          <w:b/>
          <w:bCs/>
          <w:color w:val="auto"/>
          <w:highlight w:val="none"/>
        </w:rPr>
        <w:t>招标项目要求</w:t>
      </w:r>
      <w:bookmarkEnd w:id="8"/>
      <w:bookmarkEnd w:id="16"/>
      <w:bookmarkEnd w:id="17"/>
    </w:p>
    <w:p w14:paraId="6A18ED4D">
      <w:pPr>
        <w:numPr>
          <w:ilvl w:val="0"/>
          <w:numId w:val="4"/>
        </w:numPr>
        <w:adjustRightInd w:val="0"/>
        <w:snapToGrid w:val="0"/>
        <w:spacing w:line="500" w:lineRule="exact"/>
        <w:ind w:firstLineChars="0"/>
        <w:outlineLvl w:val="1"/>
        <w:rPr>
          <w:rFonts w:hint="eastAsia" w:ascii="微软雅黑" w:hAnsi="微软雅黑" w:cs="微软雅黑"/>
          <w:b/>
          <w:color w:val="auto"/>
          <w:szCs w:val="21"/>
          <w:highlight w:val="none"/>
        </w:rPr>
      </w:pPr>
      <w:bookmarkStart w:id="18" w:name="_Toc435628187"/>
      <w:bookmarkStart w:id="19" w:name="_Toc25959"/>
      <w:bookmarkStart w:id="20" w:name="_Toc454092169"/>
      <w:bookmarkStart w:id="21" w:name="_Toc505676226"/>
      <w:bookmarkStart w:id="22" w:name="_Toc33535343"/>
      <w:bookmarkStart w:id="23" w:name="_Toc505677926"/>
      <w:bookmarkStart w:id="24" w:name="_Toc405469032"/>
      <w:bookmarkStart w:id="25" w:name="_Toc493511542"/>
      <w:bookmarkStart w:id="26" w:name="_Toc19683"/>
      <w:r>
        <w:rPr>
          <w:rFonts w:ascii="微软雅黑" w:hAnsi="微软雅黑" w:cs="微软雅黑"/>
          <w:b/>
          <w:color w:val="auto"/>
          <w:szCs w:val="21"/>
          <w:highlight w:val="none"/>
        </w:rPr>
        <w:t>服务对象：</w:t>
      </w:r>
    </w:p>
    <w:p w14:paraId="1CA6C45E">
      <w:pPr>
        <w:pStyle w:val="2"/>
        <w:spacing w:after="0"/>
        <w:ind w:right="-477" w:rightChars="-227" w:firstLine="420"/>
        <w:rPr>
          <w:rFonts w:hint="eastAsia" w:ascii="微软雅黑" w:hAnsi="微软雅黑"/>
          <w:color w:val="auto"/>
          <w:szCs w:val="21"/>
          <w:highlight w:val="none"/>
        </w:rPr>
      </w:pPr>
      <w:r>
        <w:rPr>
          <w:rFonts w:hint="eastAsia" w:ascii="微软雅黑" w:hAnsi="微软雅黑" w:cs="Calibri"/>
          <w:color w:val="auto"/>
          <w:kern w:val="0"/>
          <w:szCs w:val="21"/>
          <w:highlight w:val="none"/>
        </w:rPr>
        <w:t>对秀洲区（五个乡镇）行政辖区内所有在 2000 年前建成使用及需重点关注的老旧砖混、砖木住宅房屋实施房屋安全综合保险及监测服务，</w:t>
      </w:r>
      <w:r>
        <w:rPr>
          <w:rFonts w:hint="eastAsia" w:ascii="微软雅黑" w:hAnsi="微软雅黑" w:cs="宋体"/>
          <w:color w:val="auto"/>
          <w:kern w:val="0"/>
          <w:szCs w:val="21"/>
          <w:highlight w:val="none"/>
        </w:rPr>
        <w:t>合计约3243幢（旧房、危房），建筑面积约768980.94平方米</w:t>
      </w:r>
      <w:r>
        <w:rPr>
          <w:rFonts w:hint="eastAsia" w:ascii="微软雅黑" w:hAnsi="微软雅黑"/>
          <w:color w:val="auto"/>
          <w:szCs w:val="21"/>
          <w:highlight w:val="none"/>
        </w:rPr>
        <w:t>。</w:t>
      </w:r>
    </w:p>
    <w:p w14:paraId="11F7B12D">
      <w:pPr>
        <w:numPr>
          <w:ilvl w:val="0"/>
          <w:numId w:val="4"/>
        </w:numPr>
        <w:adjustRightInd w:val="0"/>
        <w:snapToGrid w:val="0"/>
        <w:spacing w:line="500" w:lineRule="exact"/>
        <w:ind w:firstLineChars="0"/>
        <w:outlineLvl w:val="1"/>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服务标准：根据保险条款约定提供符合标准的服务。</w:t>
      </w:r>
    </w:p>
    <w:p w14:paraId="1053A9E1">
      <w:pPr>
        <w:numPr>
          <w:ilvl w:val="0"/>
          <w:numId w:val="4"/>
        </w:numPr>
        <w:adjustRightInd w:val="0"/>
        <w:snapToGrid w:val="0"/>
        <w:spacing w:line="500" w:lineRule="exact"/>
        <w:ind w:firstLineChars="0"/>
        <w:outlineLvl w:val="1"/>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服务内容</w:t>
      </w:r>
    </w:p>
    <w:p w14:paraId="630DECDB">
      <w:pPr>
        <w:pStyle w:val="307"/>
        <w:numPr>
          <w:ilvl w:val="0"/>
          <w:numId w:val="5"/>
        </w:numPr>
        <w:tabs>
          <w:tab w:val="left" w:pos="840"/>
          <w:tab w:val="left" w:pos="1550"/>
        </w:tabs>
        <w:spacing w:before="0" w:line="360" w:lineRule="auto"/>
        <w:ind w:left="4" w:right="-477" w:rightChars="-227" w:firstLine="420"/>
        <w:rPr>
          <w:rFonts w:hint="eastAsia" w:ascii="微软雅黑" w:hAnsi="微软雅黑" w:eastAsia="微软雅黑"/>
          <w:b/>
          <w:bCs/>
          <w:color w:val="auto"/>
          <w:sz w:val="21"/>
          <w:szCs w:val="21"/>
          <w:highlight w:val="none"/>
        </w:rPr>
      </w:pPr>
      <w:r>
        <w:rPr>
          <w:rFonts w:ascii="微软雅黑" w:hAnsi="微软雅黑" w:eastAsia="微软雅黑"/>
          <w:b/>
          <w:bCs/>
          <w:color w:val="auto"/>
          <w:spacing w:val="-1"/>
          <w:sz w:val="21"/>
          <w:szCs w:val="21"/>
          <w:highlight w:val="none"/>
        </w:rPr>
        <w:t>保险服务</w:t>
      </w:r>
    </w:p>
    <w:p w14:paraId="48C48C20">
      <w:pPr>
        <w:pStyle w:val="307"/>
        <w:numPr>
          <w:ilvl w:val="1"/>
          <w:numId w:val="6"/>
        </w:numPr>
        <w:tabs>
          <w:tab w:val="left" w:pos="851"/>
        </w:tabs>
        <w:spacing w:before="0" w:line="360" w:lineRule="auto"/>
        <w:ind w:left="0" w:right="-477" w:rightChars="-227" w:firstLine="426"/>
        <w:rPr>
          <w:rFonts w:hint="eastAsia" w:ascii="微软雅黑" w:hAnsi="微软雅黑" w:eastAsia="微软雅黑"/>
          <w:b/>
          <w:bCs/>
          <w:color w:val="auto"/>
          <w:sz w:val="21"/>
          <w:szCs w:val="21"/>
          <w:highlight w:val="none"/>
        </w:rPr>
      </w:pPr>
      <w:r>
        <w:rPr>
          <w:rFonts w:hint="eastAsia" w:ascii="微软雅黑" w:hAnsi="微软雅黑" w:eastAsia="微软雅黑"/>
          <w:b/>
          <w:bCs/>
          <w:color w:val="auto"/>
          <w:sz w:val="21"/>
          <w:szCs w:val="21"/>
          <w:highlight w:val="none"/>
        </w:rPr>
        <w:t>保险标的</w:t>
      </w:r>
    </w:p>
    <w:p w14:paraId="0BD8BF0B">
      <w:pPr>
        <w:pStyle w:val="2"/>
        <w:spacing w:after="0"/>
        <w:ind w:right="-477" w:rightChars="-227" w:firstLine="428" w:firstLineChars="204"/>
        <w:rPr>
          <w:rFonts w:hint="eastAsia" w:ascii="微软雅黑" w:hAnsi="微软雅黑"/>
          <w:color w:val="auto"/>
          <w:szCs w:val="21"/>
          <w:highlight w:val="none"/>
        </w:rPr>
      </w:pPr>
      <w:r>
        <w:rPr>
          <w:rFonts w:hint="eastAsia" w:ascii="微软雅黑" w:hAnsi="微软雅黑"/>
          <w:color w:val="auto"/>
          <w:szCs w:val="21"/>
          <w:highlight w:val="none"/>
        </w:rPr>
        <w:t>保险标的：</w:t>
      </w:r>
      <w:r>
        <w:rPr>
          <w:rFonts w:hint="eastAsia" w:ascii="微软雅黑" w:hAnsi="微软雅黑" w:cs="Calibri"/>
          <w:color w:val="auto"/>
          <w:kern w:val="0"/>
          <w:szCs w:val="21"/>
          <w:highlight w:val="none"/>
        </w:rPr>
        <w:t>秀洲区（五个乡镇）行政辖区内</w:t>
      </w:r>
      <w:r>
        <w:rPr>
          <w:rFonts w:ascii="微软雅黑" w:hAnsi="微软雅黑"/>
          <w:color w:val="auto"/>
          <w:szCs w:val="21"/>
          <w:highlight w:val="none"/>
        </w:rPr>
        <w:t>所有在2000 年前建成及需重点排查关注的老旧砖混、砖木住宅房屋，</w:t>
      </w:r>
      <w:r>
        <w:rPr>
          <w:rFonts w:hint="eastAsia" w:ascii="微软雅黑" w:hAnsi="微软雅黑" w:cs="宋体"/>
          <w:color w:val="auto"/>
          <w:kern w:val="0"/>
          <w:szCs w:val="21"/>
          <w:highlight w:val="none"/>
        </w:rPr>
        <w:t>合计约3243幢（旧房、危房），建筑面积约768980.94平方米</w:t>
      </w:r>
      <w:r>
        <w:rPr>
          <w:rFonts w:hint="eastAsia" w:ascii="微软雅黑" w:hAnsi="微软雅黑"/>
          <w:color w:val="auto"/>
          <w:szCs w:val="21"/>
          <w:highlight w:val="none"/>
        </w:rPr>
        <w:t>。</w:t>
      </w:r>
    </w:p>
    <w:p w14:paraId="60D3E882">
      <w:pPr>
        <w:pStyle w:val="307"/>
        <w:numPr>
          <w:ilvl w:val="2"/>
          <w:numId w:val="7"/>
        </w:numPr>
        <w:spacing w:before="0" w:line="360" w:lineRule="auto"/>
        <w:ind w:left="0" w:right="-477" w:rightChars="-227" w:firstLine="426"/>
        <w:rPr>
          <w:rFonts w:hint="eastAsia" w:ascii="微软雅黑" w:hAnsi="微软雅黑" w:eastAsia="微软雅黑"/>
          <w:b/>
          <w:bCs/>
          <w:color w:val="auto"/>
          <w:sz w:val="21"/>
          <w:szCs w:val="21"/>
          <w:highlight w:val="none"/>
        </w:rPr>
      </w:pPr>
      <w:r>
        <w:rPr>
          <w:rFonts w:hint="eastAsia" w:ascii="微软雅黑" w:hAnsi="微软雅黑" w:eastAsia="微软雅黑"/>
          <w:b/>
          <w:bCs/>
          <w:color w:val="auto"/>
          <w:sz w:val="21"/>
          <w:szCs w:val="21"/>
          <w:highlight w:val="none"/>
        </w:rPr>
        <w:t>针对房屋主体的保障</w:t>
      </w:r>
    </w:p>
    <w:p w14:paraId="7426984C">
      <w:pPr>
        <w:pStyle w:val="2"/>
        <w:spacing w:after="0"/>
        <w:ind w:right="-477" w:rightChars="-227" w:firstLine="383" w:firstLineChars="204"/>
        <w:rPr>
          <w:rFonts w:hint="eastAsia" w:ascii="微软雅黑" w:hAnsi="微软雅黑"/>
          <w:color w:val="auto"/>
          <w:szCs w:val="21"/>
          <w:highlight w:val="none"/>
        </w:rPr>
      </w:pPr>
      <w:r>
        <w:rPr>
          <w:rFonts w:ascii="微软雅黑" w:hAnsi="微软雅黑"/>
          <w:color w:val="auto"/>
          <w:spacing w:val="-11"/>
          <w:szCs w:val="21"/>
          <w:highlight w:val="none"/>
        </w:rPr>
        <w:t>保险责任：在保险期间内，由于整体倒塌造成保险房屋损失的，保险公司依照本保险合</w:t>
      </w:r>
      <w:r>
        <w:rPr>
          <w:rFonts w:ascii="微软雅黑" w:hAnsi="微软雅黑"/>
          <w:color w:val="auto"/>
          <w:spacing w:val="-6"/>
          <w:szCs w:val="21"/>
          <w:highlight w:val="none"/>
        </w:rPr>
        <w:t>同的约定负责赔偿。</w:t>
      </w:r>
    </w:p>
    <w:p w14:paraId="2D52E55A">
      <w:pPr>
        <w:pStyle w:val="2"/>
        <w:spacing w:after="0"/>
        <w:ind w:right="-477" w:rightChars="-227" w:firstLine="383" w:firstLineChars="204"/>
        <w:rPr>
          <w:rFonts w:hint="eastAsia" w:ascii="微软雅黑" w:hAnsi="微软雅黑"/>
          <w:color w:val="auto"/>
          <w:spacing w:val="-11"/>
          <w:szCs w:val="21"/>
          <w:highlight w:val="none"/>
        </w:rPr>
      </w:pPr>
      <w:r>
        <w:rPr>
          <w:rFonts w:ascii="微软雅黑" w:hAnsi="微软雅黑"/>
          <w:color w:val="auto"/>
          <w:spacing w:val="-11"/>
          <w:szCs w:val="21"/>
          <w:highlight w:val="none"/>
        </w:rPr>
        <w:t>总保险房屋面积为</w:t>
      </w:r>
      <w:r>
        <w:rPr>
          <w:rFonts w:hint="eastAsia" w:ascii="微软雅黑" w:hAnsi="微软雅黑" w:cs="Calibri"/>
          <w:color w:val="auto"/>
          <w:kern w:val="0"/>
          <w:szCs w:val="21"/>
          <w:highlight w:val="none"/>
        </w:rPr>
        <w:t>768980.94</w:t>
      </w:r>
      <w:r>
        <w:rPr>
          <w:rFonts w:ascii="微软雅黑" w:hAnsi="微软雅黑"/>
          <w:color w:val="auto"/>
          <w:spacing w:val="-11"/>
          <w:szCs w:val="21"/>
          <w:highlight w:val="none"/>
        </w:rPr>
        <w:t>平方米，单位面积保险金额为每平方米 2500 元。保险金额=总保险房屋面积*单位面积保险金额=</w:t>
      </w:r>
      <w:r>
        <w:rPr>
          <w:rFonts w:hint="eastAsia" w:ascii="微软雅黑" w:hAnsi="微软雅黑"/>
          <w:color w:val="auto"/>
          <w:spacing w:val="-11"/>
          <w:szCs w:val="21"/>
          <w:highlight w:val="none"/>
        </w:rPr>
        <w:t>192245.2350万元。</w:t>
      </w:r>
    </w:p>
    <w:p w14:paraId="50B437A2">
      <w:pPr>
        <w:pStyle w:val="307"/>
        <w:tabs>
          <w:tab w:val="left" w:pos="1969"/>
          <w:tab w:val="left" w:pos="1970"/>
        </w:tabs>
        <w:spacing w:before="0" w:line="360" w:lineRule="auto"/>
        <w:ind w:left="0" w:right="-477" w:rightChars="-227" w:firstLine="379" w:firstLineChars="204"/>
        <w:rPr>
          <w:rFonts w:hint="eastAsia" w:ascii="微软雅黑" w:hAnsi="微软雅黑" w:eastAsia="微软雅黑"/>
          <w:color w:val="auto"/>
          <w:sz w:val="21"/>
          <w:szCs w:val="21"/>
          <w:highlight w:val="none"/>
        </w:rPr>
      </w:pPr>
      <w:r>
        <w:rPr>
          <w:rFonts w:ascii="微软雅黑" w:hAnsi="微软雅黑" w:eastAsia="微软雅黑"/>
          <w:color w:val="auto"/>
          <w:spacing w:val="-12"/>
          <w:sz w:val="21"/>
          <w:szCs w:val="21"/>
          <w:highlight w:val="none"/>
        </w:rPr>
        <w:t xml:space="preserve">特别约定：发生保险事故后，保险公司根据倒塌房屋实际建筑面积按 </w:t>
      </w:r>
      <w:r>
        <w:rPr>
          <w:rFonts w:ascii="微软雅黑" w:hAnsi="微软雅黑" w:eastAsia="微软雅黑"/>
          <w:color w:val="auto"/>
          <w:sz w:val="21"/>
          <w:szCs w:val="21"/>
          <w:highlight w:val="none"/>
        </w:rPr>
        <w:t>2500元/平方</w:t>
      </w:r>
      <w:r>
        <w:rPr>
          <w:rFonts w:ascii="微软雅黑" w:hAnsi="微软雅黑" w:eastAsia="微软雅黑"/>
          <w:color w:val="auto"/>
          <w:spacing w:val="-3"/>
          <w:sz w:val="21"/>
          <w:szCs w:val="21"/>
          <w:highlight w:val="none"/>
        </w:rPr>
        <w:t>米标准予以赔付</w:t>
      </w:r>
      <w:r>
        <w:rPr>
          <w:rFonts w:hint="eastAsia" w:ascii="微软雅黑" w:hAnsi="微软雅黑" w:eastAsia="微软雅黑"/>
          <w:color w:val="auto"/>
          <w:spacing w:val="-3"/>
          <w:sz w:val="21"/>
          <w:szCs w:val="21"/>
          <w:highlight w:val="none"/>
        </w:rPr>
        <w:t>。</w:t>
      </w:r>
    </w:p>
    <w:p w14:paraId="4BE6AE99">
      <w:pPr>
        <w:pStyle w:val="307"/>
        <w:numPr>
          <w:ilvl w:val="1"/>
          <w:numId w:val="6"/>
        </w:numPr>
        <w:tabs>
          <w:tab w:val="left" w:pos="851"/>
        </w:tabs>
        <w:spacing w:before="0" w:line="360" w:lineRule="auto"/>
        <w:ind w:left="0" w:right="-477" w:rightChars="-227" w:firstLine="426"/>
        <w:rPr>
          <w:rFonts w:hint="eastAsia" w:ascii="微软雅黑" w:hAnsi="微软雅黑" w:eastAsia="微软雅黑"/>
          <w:b/>
          <w:bCs/>
          <w:color w:val="auto"/>
          <w:spacing w:val="-3"/>
          <w:sz w:val="21"/>
          <w:szCs w:val="21"/>
          <w:highlight w:val="none"/>
        </w:rPr>
      </w:pPr>
      <w:r>
        <w:rPr>
          <w:rFonts w:hint="eastAsia" w:ascii="微软雅黑" w:hAnsi="微软雅黑" w:eastAsia="微软雅黑"/>
          <w:b/>
          <w:bCs/>
          <w:color w:val="auto"/>
          <w:spacing w:val="-3"/>
          <w:sz w:val="21"/>
          <w:szCs w:val="21"/>
          <w:highlight w:val="none"/>
        </w:rPr>
        <w:t>针对其他风险的保障</w:t>
      </w:r>
    </w:p>
    <w:p w14:paraId="5248A45D">
      <w:pPr>
        <w:pStyle w:val="104"/>
        <w:numPr>
          <w:ilvl w:val="0"/>
          <w:numId w:val="8"/>
        </w:numPr>
        <w:tabs>
          <w:tab w:val="left" w:pos="426"/>
        </w:tabs>
        <w:autoSpaceDE w:val="0"/>
        <w:autoSpaceDN w:val="0"/>
        <w:ind w:right="-477" w:rightChars="-227" w:firstLineChars="0"/>
        <w:rPr>
          <w:rFonts w:hint="eastAsia" w:ascii="微软雅黑" w:hAnsi="微软雅黑"/>
          <w:b/>
          <w:bCs/>
          <w:vanish/>
          <w:color w:val="auto"/>
          <w:spacing w:val="2"/>
          <w:kern w:val="0"/>
          <w:szCs w:val="21"/>
          <w:highlight w:val="none"/>
        </w:rPr>
      </w:pPr>
    </w:p>
    <w:p w14:paraId="5CDF95D3">
      <w:pPr>
        <w:pStyle w:val="104"/>
        <w:numPr>
          <w:ilvl w:val="1"/>
          <w:numId w:val="8"/>
        </w:numPr>
        <w:tabs>
          <w:tab w:val="left" w:pos="426"/>
        </w:tabs>
        <w:autoSpaceDE w:val="0"/>
        <w:autoSpaceDN w:val="0"/>
        <w:ind w:right="-477" w:rightChars="-227" w:firstLineChars="0"/>
        <w:rPr>
          <w:rFonts w:hint="eastAsia" w:ascii="微软雅黑" w:hAnsi="微软雅黑"/>
          <w:b/>
          <w:bCs/>
          <w:vanish/>
          <w:color w:val="auto"/>
          <w:spacing w:val="2"/>
          <w:kern w:val="0"/>
          <w:szCs w:val="21"/>
          <w:highlight w:val="none"/>
        </w:rPr>
      </w:pPr>
    </w:p>
    <w:p w14:paraId="0F842DA6">
      <w:pPr>
        <w:pStyle w:val="307"/>
        <w:numPr>
          <w:ilvl w:val="2"/>
          <w:numId w:val="9"/>
        </w:numPr>
        <w:tabs>
          <w:tab w:val="left" w:pos="426"/>
        </w:tabs>
        <w:spacing w:before="0" w:line="360" w:lineRule="auto"/>
        <w:ind w:left="0" w:right="-477" w:rightChars="-227" w:firstLine="426"/>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由于房屋整体倒塌产生的安置费用</w:t>
      </w:r>
    </w:p>
    <w:p w14:paraId="7B32748C">
      <w:pPr>
        <w:pStyle w:val="2"/>
        <w:spacing w:after="0"/>
        <w:ind w:right="-477" w:rightChars="-227" w:firstLine="383" w:firstLineChars="204"/>
        <w:rPr>
          <w:rFonts w:hint="eastAsia" w:ascii="微软雅黑" w:hAnsi="微软雅黑"/>
          <w:color w:val="auto"/>
          <w:szCs w:val="21"/>
          <w:highlight w:val="none"/>
        </w:rPr>
      </w:pPr>
      <w:r>
        <w:rPr>
          <w:rFonts w:ascii="微软雅黑" w:hAnsi="微软雅黑"/>
          <w:color w:val="auto"/>
          <w:spacing w:val="-11"/>
          <w:szCs w:val="21"/>
          <w:highlight w:val="none"/>
        </w:rPr>
        <w:t>保险责任：在保险期间内，由于主险保险责任范围内的原因造成保险房屋整体</w:t>
      </w:r>
      <w:r>
        <w:rPr>
          <w:rFonts w:ascii="微软雅黑" w:hAnsi="微软雅黑"/>
          <w:color w:val="auto"/>
          <w:spacing w:val="-11"/>
          <w:szCs w:val="21"/>
          <w:highlight w:val="none"/>
          <w:woUserID w:val="1"/>
        </w:rPr>
        <w:t>（部分）</w:t>
      </w:r>
      <w:r>
        <w:rPr>
          <w:rFonts w:ascii="微软雅黑" w:hAnsi="微软雅黑"/>
          <w:color w:val="auto"/>
          <w:spacing w:val="-11"/>
          <w:szCs w:val="21"/>
          <w:highlight w:val="none"/>
        </w:rPr>
        <w:t>倒塌，致</w:t>
      </w:r>
      <w:r>
        <w:rPr>
          <w:rFonts w:ascii="微软雅黑" w:hAnsi="微软雅黑"/>
          <w:color w:val="auto"/>
          <w:spacing w:val="-9"/>
          <w:szCs w:val="21"/>
          <w:highlight w:val="none"/>
        </w:rPr>
        <w:t>使实际居住的该房屋及前后左右相邻保险房屋内的房屋无法继续居住生活的，保险公司按照</w:t>
      </w:r>
      <w:r>
        <w:rPr>
          <w:rFonts w:ascii="微软雅黑" w:hAnsi="微软雅黑"/>
          <w:color w:val="auto"/>
          <w:spacing w:val="-5"/>
          <w:szCs w:val="21"/>
          <w:highlight w:val="none"/>
        </w:rPr>
        <w:t>附加险的约定在保险金额内负责赔偿临时安置费用。</w:t>
      </w:r>
    </w:p>
    <w:p w14:paraId="4AAAC4F8">
      <w:pPr>
        <w:pStyle w:val="2"/>
        <w:spacing w:after="0"/>
        <w:ind w:right="-477" w:rightChars="-227" w:firstLine="383" w:firstLineChars="204"/>
        <w:rPr>
          <w:rFonts w:hint="eastAsia" w:ascii="微软雅黑" w:hAnsi="微软雅黑"/>
          <w:color w:val="auto"/>
          <w:spacing w:val="-11"/>
          <w:szCs w:val="21"/>
          <w:highlight w:val="none"/>
        </w:rPr>
      </w:pPr>
      <w:r>
        <w:rPr>
          <w:rFonts w:ascii="微软雅黑" w:hAnsi="微软雅黑"/>
          <w:color w:val="auto"/>
          <w:spacing w:val="-11"/>
          <w:szCs w:val="21"/>
          <w:highlight w:val="none"/>
        </w:rPr>
        <w:t>单位面积保额：每平方米每天人民币壹元整（1 元/平方米•天），每次事故最高安置天数 180 天（从房屋倒塌开始计算），每次事故最多安置幢数 5 幢。</w:t>
      </w:r>
    </w:p>
    <w:p w14:paraId="1632B88E">
      <w:pPr>
        <w:pStyle w:val="2"/>
        <w:spacing w:after="0"/>
        <w:ind w:right="-477" w:rightChars="-227" w:firstLine="428" w:firstLineChars="204"/>
        <w:rPr>
          <w:rFonts w:hint="eastAsia" w:ascii="微软雅黑" w:hAnsi="微软雅黑"/>
          <w:color w:val="auto"/>
          <w:szCs w:val="21"/>
          <w:highlight w:val="none"/>
        </w:rPr>
      </w:pPr>
      <w:r>
        <w:rPr>
          <w:rFonts w:ascii="微软雅黑" w:hAnsi="微软雅黑"/>
          <w:color w:val="auto"/>
          <w:szCs w:val="21"/>
          <w:highlight w:val="none"/>
        </w:rPr>
        <w:t>保险金额=主险承保面积×单位面积保额×180×5=</w:t>
      </w:r>
      <w:r>
        <w:rPr>
          <w:rFonts w:hint="eastAsia" w:ascii="微软雅黑" w:hAnsi="微软雅黑"/>
          <w:color w:val="auto"/>
          <w:szCs w:val="21"/>
          <w:highlight w:val="none"/>
        </w:rPr>
        <w:t>69208.2846</w:t>
      </w:r>
      <w:r>
        <w:rPr>
          <w:rFonts w:ascii="微软雅黑" w:hAnsi="微软雅黑"/>
          <w:color w:val="auto"/>
          <w:szCs w:val="21"/>
          <w:highlight w:val="none"/>
        </w:rPr>
        <w:t>万元</w:t>
      </w:r>
    </w:p>
    <w:p w14:paraId="54391E4A">
      <w:pPr>
        <w:pStyle w:val="2"/>
        <w:spacing w:after="0"/>
        <w:ind w:right="-477" w:rightChars="-227" w:firstLine="428" w:firstLineChars="204"/>
        <w:rPr>
          <w:rFonts w:hint="eastAsia" w:ascii="微软雅黑" w:hAnsi="微软雅黑"/>
          <w:color w:val="auto"/>
          <w:szCs w:val="21"/>
          <w:highlight w:val="none"/>
        </w:rPr>
      </w:pPr>
      <w:r>
        <w:rPr>
          <w:rFonts w:ascii="微软雅黑" w:hAnsi="微软雅黑"/>
          <w:color w:val="auto"/>
          <w:szCs w:val="21"/>
          <w:highlight w:val="none"/>
        </w:rPr>
        <w:t>赔偿限额：累计赔偿限额为 100 万元。</w:t>
      </w:r>
    </w:p>
    <w:p w14:paraId="53F77113">
      <w:pPr>
        <w:pStyle w:val="307"/>
        <w:numPr>
          <w:ilvl w:val="2"/>
          <w:numId w:val="10"/>
        </w:numPr>
        <w:tabs>
          <w:tab w:val="left" w:pos="426"/>
        </w:tabs>
        <w:spacing w:before="0" w:line="360" w:lineRule="auto"/>
        <w:ind w:left="0" w:right="-477" w:rightChars="-227" w:firstLine="426"/>
        <w:rPr>
          <w:rFonts w:hint="eastAsia" w:ascii="微软雅黑" w:hAnsi="微软雅黑" w:eastAsia="微软雅黑"/>
          <w:b/>
          <w:bCs/>
          <w:color w:val="auto"/>
          <w:spacing w:val="2"/>
          <w:sz w:val="21"/>
          <w:szCs w:val="21"/>
          <w:highlight w:val="none"/>
        </w:rPr>
      </w:pPr>
      <w:r>
        <w:rPr>
          <w:rFonts w:hint="eastAsia" w:ascii="微软雅黑" w:hAnsi="微软雅黑" w:eastAsia="微软雅黑"/>
          <w:b/>
          <w:bCs/>
          <w:color w:val="auto"/>
          <w:spacing w:val="2"/>
          <w:sz w:val="21"/>
          <w:szCs w:val="21"/>
          <w:highlight w:val="none"/>
        </w:rPr>
        <w:t>由于需要强制撤离产生的安置费用</w:t>
      </w:r>
    </w:p>
    <w:p w14:paraId="3E862DD6">
      <w:pPr>
        <w:pStyle w:val="2"/>
        <w:spacing w:after="0"/>
        <w:ind w:right="-477" w:rightChars="-227" w:firstLine="383" w:firstLineChars="204"/>
        <w:rPr>
          <w:rFonts w:hint="eastAsia" w:ascii="微软雅黑" w:hAnsi="微软雅黑"/>
          <w:color w:val="auto"/>
          <w:spacing w:val="-11"/>
          <w:szCs w:val="21"/>
          <w:highlight w:val="none"/>
        </w:rPr>
      </w:pPr>
      <w:r>
        <w:rPr>
          <w:rFonts w:ascii="微软雅黑" w:hAnsi="微软雅黑"/>
          <w:color w:val="auto"/>
          <w:spacing w:val="-11"/>
          <w:szCs w:val="21"/>
          <w:highlight w:val="none"/>
        </w:rPr>
        <w:t>保险责任：在保险期间内，由于主险保险责任范围内的原因导致保险房屋整体成为危房， 经政府指定有关专业技术部门鉴定为 C、D 级危房，或虽未走危房鉴定流程，但政府根据房屋实际危险状况发出强制撤离令而发生的临时安置费用，保险人按照附加险的约定在保险金额范围内负责赔偿。</w:t>
      </w:r>
    </w:p>
    <w:p w14:paraId="598D0FAE">
      <w:pPr>
        <w:pStyle w:val="2"/>
        <w:spacing w:after="0"/>
        <w:ind w:right="-477" w:rightChars="-227" w:firstLine="383" w:firstLineChars="204"/>
        <w:rPr>
          <w:rFonts w:hint="eastAsia" w:ascii="微软雅黑" w:hAnsi="微软雅黑"/>
          <w:color w:val="auto"/>
          <w:spacing w:val="-11"/>
          <w:szCs w:val="21"/>
          <w:highlight w:val="none"/>
        </w:rPr>
      </w:pPr>
      <w:r>
        <w:rPr>
          <w:rFonts w:ascii="微软雅黑" w:hAnsi="微软雅黑"/>
          <w:color w:val="auto"/>
          <w:spacing w:val="-11"/>
          <w:szCs w:val="21"/>
          <w:highlight w:val="none"/>
        </w:rPr>
        <w:t>单位面积保额：每平方米每天人民币壹元整（1 元/平方米•天），每次事故最高安置天数 180 天（从预警发布之日起，至预警解除之日止），每次事故最多安置幢数 1 幢。</w:t>
      </w:r>
    </w:p>
    <w:p w14:paraId="36C508D7">
      <w:pPr>
        <w:pStyle w:val="2"/>
        <w:spacing w:after="0"/>
        <w:ind w:right="-477" w:rightChars="-227" w:firstLine="428" w:firstLineChars="204"/>
        <w:rPr>
          <w:rFonts w:hint="eastAsia" w:ascii="微软雅黑" w:hAnsi="微软雅黑"/>
          <w:color w:val="auto"/>
          <w:szCs w:val="21"/>
          <w:highlight w:val="none"/>
        </w:rPr>
      </w:pPr>
      <w:r>
        <w:rPr>
          <w:rFonts w:ascii="微软雅黑" w:hAnsi="微软雅黑"/>
          <w:color w:val="auto"/>
          <w:szCs w:val="21"/>
          <w:highlight w:val="none"/>
        </w:rPr>
        <w:t>保险金额=主险承保面积×单位面积保额×180×1=</w:t>
      </w:r>
      <w:r>
        <w:rPr>
          <w:rFonts w:hint="eastAsia" w:ascii="微软雅黑" w:hAnsi="微软雅黑"/>
          <w:color w:val="auto"/>
          <w:szCs w:val="21"/>
          <w:highlight w:val="none"/>
        </w:rPr>
        <w:t>13841.65692</w:t>
      </w:r>
      <w:r>
        <w:rPr>
          <w:rFonts w:ascii="微软雅黑" w:hAnsi="微软雅黑"/>
          <w:color w:val="auto"/>
          <w:szCs w:val="21"/>
          <w:highlight w:val="none"/>
        </w:rPr>
        <w:t>万元</w:t>
      </w:r>
    </w:p>
    <w:p w14:paraId="0293C620">
      <w:pPr>
        <w:pStyle w:val="2"/>
        <w:spacing w:after="0"/>
        <w:ind w:right="-477" w:rightChars="-227" w:firstLine="428" w:firstLineChars="204"/>
        <w:rPr>
          <w:rFonts w:hint="eastAsia" w:ascii="微软雅黑" w:hAnsi="微软雅黑"/>
          <w:color w:val="auto"/>
          <w:szCs w:val="21"/>
          <w:highlight w:val="none"/>
        </w:rPr>
      </w:pPr>
      <w:r>
        <w:rPr>
          <w:rFonts w:ascii="微软雅黑" w:hAnsi="微软雅黑"/>
          <w:color w:val="auto"/>
          <w:szCs w:val="21"/>
          <w:highlight w:val="none"/>
        </w:rPr>
        <w:t>赔偿限额：累计赔偿限额为 200 万元。</w:t>
      </w:r>
    </w:p>
    <w:p w14:paraId="75EF5D61">
      <w:pPr>
        <w:pStyle w:val="307"/>
        <w:numPr>
          <w:ilvl w:val="2"/>
          <w:numId w:val="11"/>
        </w:numPr>
        <w:tabs>
          <w:tab w:val="left" w:pos="426"/>
        </w:tabs>
        <w:spacing w:before="0" w:line="360" w:lineRule="auto"/>
        <w:ind w:left="0" w:right="-477" w:rightChars="-227" w:firstLine="426"/>
        <w:rPr>
          <w:rFonts w:hint="eastAsia" w:ascii="微软雅黑" w:hAnsi="微软雅黑" w:eastAsia="微软雅黑"/>
          <w:b/>
          <w:bCs/>
          <w:color w:val="auto"/>
          <w:spacing w:val="2"/>
          <w:sz w:val="21"/>
          <w:szCs w:val="21"/>
          <w:highlight w:val="none"/>
        </w:rPr>
      </w:pPr>
      <w:r>
        <w:rPr>
          <w:rFonts w:hint="eastAsia" w:ascii="微软雅黑" w:hAnsi="微软雅黑" w:eastAsia="微软雅黑" w:cs="微软雅黑"/>
          <w:b/>
          <w:bCs/>
          <w:color w:val="auto"/>
          <w:spacing w:val="2"/>
          <w:sz w:val="21"/>
          <w:szCs w:val="21"/>
          <w:highlight w:val="none"/>
        </w:rPr>
        <w:t>由于需要应急加固产生的维修费用</w:t>
      </w:r>
    </w:p>
    <w:p w14:paraId="178AD927">
      <w:pPr>
        <w:pStyle w:val="2"/>
        <w:spacing w:after="0"/>
        <w:ind w:right="-477" w:rightChars="-227" w:firstLine="383" w:firstLineChars="204"/>
        <w:rPr>
          <w:rFonts w:hint="eastAsia" w:ascii="微软雅黑" w:hAnsi="微软雅黑"/>
          <w:color w:val="auto"/>
          <w:spacing w:val="-11"/>
          <w:szCs w:val="21"/>
          <w:highlight w:val="none"/>
        </w:rPr>
      </w:pPr>
      <w:r>
        <w:rPr>
          <w:rFonts w:ascii="微软雅黑" w:hAnsi="微软雅黑"/>
          <w:color w:val="auto"/>
          <w:spacing w:val="-11"/>
          <w:szCs w:val="21"/>
          <w:highlight w:val="none"/>
        </w:rPr>
        <w:t>保险责任：在保险期间内，为避免保险房屋倒塌所发生的应急加固维修费用，保险公司按照附加险的约定，根据核定的市场价格，负责赔偿。</w:t>
      </w:r>
    </w:p>
    <w:p w14:paraId="455EFA26">
      <w:pPr>
        <w:pStyle w:val="2"/>
        <w:spacing w:after="0"/>
        <w:ind w:right="-477" w:rightChars="-227" w:firstLine="428" w:firstLineChars="204"/>
        <w:rPr>
          <w:rFonts w:hint="eastAsia" w:ascii="微软雅黑" w:hAnsi="微软雅黑"/>
          <w:color w:val="auto"/>
          <w:szCs w:val="21"/>
          <w:highlight w:val="none"/>
        </w:rPr>
      </w:pPr>
      <w:r>
        <w:rPr>
          <w:rFonts w:ascii="微软雅黑" w:hAnsi="微软雅黑"/>
          <w:color w:val="auto"/>
          <w:szCs w:val="21"/>
          <w:highlight w:val="none"/>
        </w:rPr>
        <w:t xml:space="preserve">赔偿限额：累计赔偿限额为 </w:t>
      </w:r>
      <w:r>
        <w:rPr>
          <w:rFonts w:hint="eastAsia" w:ascii="微软雅黑" w:hAnsi="微软雅黑"/>
          <w:color w:val="auto"/>
          <w:szCs w:val="21"/>
          <w:highlight w:val="none"/>
        </w:rPr>
        <w:t>40</w:t>
      </w:r>
      <w:r>
        <w:rPr>
          <w:rFonts w:ascii="微软雅黑" w:hAnsi="微软雅黑"/>
          <w:color w:val="auto"/>
          <w:szCs w:val="21"/>
          <w:highlight w:val="none"/>
        </w:rPr>
        <w:t>万元；每次事故赔偿限额为 5 万元。</w:t>
      </w:r>
    </w:p>
    <w:p w14:paraId="217FE77D">
      <w:pPr>
        <w:pStyle w:val="307"/>
        <w:numPr>
          <w:ilvl w:val="2"/>
          <w:numId w:val="12"/>
        </w:numPr>
        <w:tabs>
          <w:tab w:val="left" w:pos="426"/>
        </w:tabs>
        <w:spacing w:before="0" w:line="360" w:lineRule="auto"/>
        <w:ind w:left="0" w:right="-477" w:rightChars="-227" w:firstLine="426"/>
        <w:rPr>
          <w:rFonts w:hint="eastAsia" w:ascii="微软雅黑" w:hAnsi="微软雅黑" w:eastAsia="微软雅黑"/>
          <w:b/>
          <w:bCs/>
          <w:color w:val="auto"/>
          <w:spacing w:val="2"/>
          <w:sz w:val="21"/>
          <w:szCs w:val="21"/>
          <w:highlight w:val="none"/>
        </w:rPr>
      </w:pPr>
      <w:r>
        <w:rPr>
          <w:rFonts w:hint="eastAsia" w:ascii="微软雅黑" w:hAnsi="微软雅黑" w:eastAsia="微软雅黑" w:cs="微软雅黑"/>
          <w:b/>
          <w:bCs/>
          <w:color w:val="auto"/>
          <w:spacing w:val="2"/>
          <w:sz w:val="21"/>
          <w:szCs w:val="21"/>
          <w:highlight w:val="none"/>
        </w:rPr>
        <w:t>由于需要鉴定所产生费用</w:t>
      </w:r>
    </w:p>
    <w:p w14:paraId="78022429">
      <w:pPr>
        <w:pStyle w:val="2"/>
        <w:spacing w:after="0"/>
        <w:ind w:right="-477" w:rightChars="-227" w:firstLine="383" w:firstLineChars="204"/>
        <w:rPr>
          <w:rFonts w:hint="eastAsia" w:ascii="微软雅黑" w:hAnsi="微软雅黑"/>
          <w:color w:val="auto"/>
          <w:szCs w:val="21"/>
          <w:highlight w:val="none"/>
        </w:rPr>
      </w:pPr>
      <w:r>
        <w:rPr>
          <w:rFonts w:ascii="微软雅黑" w:hAnsi="微软雅黑"/>
          <w:color w:val="auto"/>
          <w:spacing w:val="-11"/>
          <w:szCs w:val="21"/>
          <w:highlight w:val="none"/>
        </w:rPr>
        <w:t>保险责任：在保险期间内，保险房屋危险状况发生变化，聘请政府指定的有关专业技术</w:t>
      </w:r>
      <w:r>
        <w:rPr>
          <w:rFonts w:ascii="微软雅黑" w:hAnsi="微软雅黑"/>
          <w:color w:val="auto"/>
          <w:spacing w:val="-6"/>
          <w:szCs w:val="21"/>
          <w:highlight w:val="none"/>
        </w:rPr>
        <w:t>部门进行鉴定而支付的费用，保险人按照本附加险的约定。</w:t>
      </w:r>
    </w:p>
    <w:p w14:paraId="13097929">
      <w:pPr>
        <w:pStyle w:val="2"/>
        <w:spacing w:after="0"/>
        <w:ind w:right="-477" w:rightChars="-227" w:firstLine="428" w:firstLineChars="204"/>
        <w:rPr>
          <w:rFonts w:hint="eastAsia" w:ascii="微软雅黑" w:hAnsi="微软雅黑"/>
          <w:color w:val="auto"/>
          <w:szCs w:val="21"/>
          <w:highlight w:val="none"/>
        </w:rPr>
      </w:pPr>
      <w:r>
        <w:rPr>
          <w:rFonts w:ascii="微软雅黑" w:hAnsi="微软雅黑"/>
          <w:color w:val="auto"/>
          <w:szCs w:val="21"/>
          <w:highlight w:val="none"/>
        </w:rPr>
        <w:t>赔偿限额：累计赔偿限额为 5 万元.</w:t>
      </w:r>
    </w:p>
    <w:p w14:paraId="1A4ED887">
      <w:pPr>
        <w:pStyle w:val="307"/>
        <w:numPr>
          <w:ilvl w:val="2"/>
          <w:numId w:val="13"/>
        </w:numPr>
        <w:tabs>
          <w:tab w:val="left" w:pos="426"/>
        </w:tabs>
        <w:spacing w:before="0" w:line="360" w:lineRule="auto"/>
        <w:ind w:left="0" w:right="-477" w:rightChars="-227" w:firstLine="426"/>
        <w:rPr>
          <w:rFonts w:hint="eastAsia" w:ascii="微软雅黑" w:hAnsi="微软雅黑" w:eastAsia="微软雅黑"/>
          <w:b/>
          <w:bCs/>
          <w:color w:val="auto"/>
          <w:spacing w:val="2"/>
          <w:sz w:val="21"/>
          <w:szCs w:val="21"/>
          <w:highlight w:val="none"/>
        </w:rPr>
      </w:pPr>
      <w:r>
        <w:rPr>
          <w:rFonts w:hint="eastAsia" w:ascii="微软雅黑" w:hAnsi="微软雅黑" w:eastAsia="微软雅黑" w:cs="微软雅黑"/>
          <w:b/>
          <w:bCs/>
          <w:color w:val="auto"/>
          <w:spacing w:val="2"/>
          <w:sz w:val="21"/>
          <w:szCs w:val="21"/>
          <w:highlight w:val="none"/>
        </w:rPr>
        <w:t>由于需要对房屋监管所产生的费用</w:t>
      </w:r>
    </w:p>
    <w:p w14:paraId="2D3F8350">
      <w:pPr>
        <w:pStyle w:val="2"/>
        <w:spacing w:after="0"/>
        <w:ind w:right="-477" w:rightChars="-227" w:firstLine="383" w:firstLineChars="204"/>
        <w:rPr>
          <w:rFonts w:hint="eastAsia" w:ascii="微软雅黑" w:hAnsi="微软雅黑"/>
          <w:color w:val="auto"/>
          <w:spacing w:val="-7"/>
          <w:szCs w:val="21"/>
          <w:highlight w:val="none"/>
        </w:rPr>
      </w:pPr>
      <w:r>
        <w:rPr>
          <w:rFonts w:ascii="微软雅黑" w:hAnsi="微软雅黑"/>
          <w:color w:val="auto"/>
          <w:spacing w:val="-11"/>
          <w:szCs w:val="21"/>
          <w:highlight w:val="none"/>
        </w:rPr>
        <w:t>保险责任：在保险期间内，当保险房屋出现危险点时，为维护保险房屋安全所发生的房屋安全动态监测费用，保险人按照本附加险的约定，根据核定的市场价格，在保险金额内负</w:t>
      </w:r>
      <w:r>
        <w:rPr>
          <w:rFonts w:ascii="微软雅黑" w:hAnsi="微软雅黑"/>
          <w:color w:val="auto"/>
          <w:spacing w:val="-7"/>
          <w:szCs w:val="21"/>
          <w:highlight w:val="none"/>
        </w:rPr>
        <w:t>责赔偿。</w:t>
      </w:r>
    </w:p>
    <w:p w14:paraId="45738A11">
      <w:pPr>
        <w:ind w:right="-477" w:rightChars="-227" w:firstLine="428" w:firstLineChars="204"/>
        <w:rPr>
          <w:rFonts w:hint="eastAsia" w:ascii="微软雅黑" w:hAnsi="微软雅黑"/>
          <w:color w:val="auto"/>
          <w:szCs w:val="21"/>
          <w:highlight w:val="none"/>
        </w:rPr>
      </w:pPr>
      <w:r>
        <w:rPr>
          <w:rFonts w:hint="eastAsia" w:ascii="微软雅黑" w:hAnsi="微软雅黑"/>
          <w:color w:val="auto"/>
          <w:szCs w:val="21"/>
          <w:highlight w:val="none"/>
        </w:rPr>
        <w:t>动态</w:t>
      </w:r>
      <w:r>
        <w:rPr>
          <w:rFonts w:ascii="微软雅黑" w:hAnsi="微软雅黑"/>
          <w:color w:val="auto"/>
          <w:szCs w:val="21"/>
          <w:highlight w:val="none"/>
        </w:rPr>
        <w:t>监测服务不限于房屋整体性检查、地基基础检查、混凝土结构检查、砌体结构检查、木结构</w:t>
      </w:r>
      <w:r>
        <w:rPr>
          <w:rFonts w:hint="eastAsia" w:ascii="微软雅黑" w:hAnsi="微软雅黑"/>
          <w:color w:val="auto"/>
          <w:szCs w:val="21"/>
          <w:highlight w:val="none"/>
        </w:rPr>
        <w:t>部</w:t>
      </w:r>
      <w:r>
        <w:rPr>
          <w:rFonts w:ascii="微软雅黑" w:hAnsi="微软雅黑"/>
          <w:color w:val="auto"/>
          <w:szCs w:val="21"/>
          <w:highlight w:val="none"/>
        </w:rPr>
        <w:t>分检查等。</w:t>
      </w:r>
      <w:r>
        <w:rPr>
          <w:rFonts w:hint="eastAsia" w:ascii="微软雅黑" w:hAnsi="微软雅黑"/>
          <w:color w:val="auto"/>
          <w:szCs w:val="21"/>
          <w:highlight w:val="none"/>
        </w:rPr>
        <w:t>通过</w:t>
      </w:r>
      <w:r>
        <w:rPr>
          <w:rFonts w:ascii="微软雅黑" w:hAnsi="微软雅黑"/>
          <w:color w:val="auto"/>
          <w:szCs w:val="21"/>
          <w:highlight w:val="none"/>
        </w:rPr>
        <w:t>建立危情预警和报告制度</w:t>
      </w:r>
      <w:r>
        <w:rPr>
          <w:rFonts w:hint="eastAsia" w:ascii="微软雅黑" w:hAnsi="微软雅黑"/>
          <w:color w:val="auto"/>
          <w:szCs w:val="21"/>
          <w:highlight w:val="none"/>
        </w:rPr>
        <w:t>、</w:t>
      </w:r>
      <w:r>
        <w:rPr>
          <w:rFonts w:ascii="微软雅黑" w:hAnsi="微软雅黑"/>
          <w:color w:val="auto"/>
          <w:szCs w:val="21"/>
          <w:highlight w:val="none"/>
        </w:rPr>
        <w:t>建立灾害天气房屋安全应急处置工作机制</w:t>
      </w:r>
      <w:r>
        <w:rPr>
          <w:rFonts w:hint="eastAsia" w:ascii="微软雅黑" w:hAnsi="微软雅黑"/>
          <w:color w:val="auto"/>
          <w:szCs w:val="21"/>
          <w:highlight w:val="none"/>
        </w:rPr>
        <w:t>，</w:t>
      </w:r>
      <w:r>
        <w:rPr>
          <w:rFonts w:ascii="微软雅黑" w:hAnsi="微软雅黑"/>
          <w:color w:val="auto"/>
          <w:szCs w:val="21"/>
          <w:highlight w:val="none"/>
        </w:rPr>
        <w:t>对</w:t>
      </w:r>
      <w:r>
        <w:rPr>
          <w:rFonts w:hint="eastAsia" w:ascii="微软雅黑" w:hAnsi="微软雅黑"/>
          <w:color w:val="auto"/>
          <w:szCs w:val="21"/>
          <w:highlight w:val="none"/>
        </w:rPr>
        <w:t>具有严重安全隐患的房屋</w:t>
      </w:r>
      <w:r>
        <w:rPr>
          <w:rFonts w:ascii="微软雅黑" w:hAnsi="微软雅黑"/>
          <w:color w:val="auto"/>
          <w:szCs w:val="21"/>
          <w:highlight w:val="none"/>
        </w:rPr>
        <w:t>采用先进的监测设备，对危旧房的沉降、裂缝、倾斜等实行动态监测</w:t>
      </w:r>
      <w:r>
        <w:rPr>
          <w:rFonts w:hint="eastAsia" w:ascii="微软雅黑" w:hAnsi="微软雅黑"/>
          <w:color w:val="auto"/>
          <w:szCs w:val="21"/>
          <w:highlight w:val="none"/>
        </w:rPr>
        <w:t>。</w:t>
      </w:r>
    </w:p>
    <w:p w14:paraId="255AA863">
      <w:pPr>
        <w:ind w:right="-477" w:rightChars="-227" w:firstLine="428" w:firstLineChars="204"/>
        <w:rPr>
          <w:rFonts w:hint="eastAsia" w:ascii="微软雅黑" w:hAnsi="微软雅黑"/>
          <w:color w:val="auto"/>
          <w:szCs w:val="21"/>
          <w:highlight w:val="none"/>
        </w:rPr>
      </w:pPr>
      <w:r>
        <w:rPr>
          <w:rFonts w:ascii="微软雅黑" w:hAnsi="微软雅黑"/>
          <w:color w:val="auto"/>
          <w:szCs w:val="21"/>
          <w:highlight w:val="none"/>
        </w:rPr>
        <w:t>监测要求</w:t>
      </w:r>
      <w:r>
        <w:rPr>
          <w:rFonts w:hint="eastAsia" w:ascii="微软雅黑" w:hAnsi="微软雅黑"/>
          <w:color w:val="auto"/>
          <w:szCs w:val="21"/>
          <w:highlight w:val="none"/>
        </w:rPr>
        <w:t>：</w:t>
      </w:r>
      <w:r>
        <w:rPr>
          <w:rFonts w:ascii="微软雅黑" w:hAnsi="微软雅黑"/>
          <w:color w:val="auto"/>
          <w:szCs w:val="21"/>
          <w:highlight w:val="none"/>
        </w:rPr>
        <w:t>房屋外观检查</w:t>
      </w:r>
      <w:r>
        <w:rPr>
          <w:rFonts w:hint="eastAsia" w:ascii="微软雅黑" w:hAnsi="微软雅黑"/>
          <w:color w:val="auto"/>
          <w:szCs w:val="21"/>
          <w:highlight w:val="none"/>
        </w:rPr>
        <w:t>、</w:t>
      </w:r>
      <w:r>
        <w:rPr>
          <w:rFonts w:ascii="微软雅黑" w:hAnsi="微软雅黑"/>
          <w:color w:val="auto"/>
          <w:szCs w:val="21"/>
          <w:highlight w:val="none"/>
        </w:rPr>
        <w:t>房屋入户检查</w:t>
      </w:r>
      <w:r>
        <w:rPr>
          <w:rFonts w:hint="eastAsia" w:ascii="微软雅黑" w:hAnsi="微软雅黑"/>
          <w:color w:val="auto"/>
          <w:szCs w:val="21"/>
          <w:highlight w:val="none"/>
        </w:rPr>
        <w:t>、</w:t>
      </w:r>
      <w:r>
        <w:rPr>
          <w:rFonts w:ascii="微软雅黑" w:hAnsi="微软雅黑"/>
          <w:color w:val="auto"/>
          <w:szCs w:val="21"/>
          <w:highlight w:val="none"/>
        </w:rPr>
        <w:t>沉降观测</w:t>
      </w:r>
      <w:r>
        <w:rPr>
          <w:rFonts w:hint="eastAsia" w:ascii="微软雅黑" w:hAnsi="微软雅黑"/>
          <w:color w:val="auto"/>
          <w:szCs w:val="21"/>
          <w:highlight w:val="none"/>
        </w:rPr>
        <w:t>、</w:t>
      </w:r>
      <w:r>
        <w:rPr>
          <w:rFonts w:ascii="微软雅黑" w:hAnsi="微软雅黑"/>
          <w:color w:val="auto"/>
          <w:szCs w:val="21"/>
          <w:highlight w:val="none"/>
        </w:rPr>
        <w:t>倾斜观测</w:t>
      </w:r>
      <w:r>
        <w:rPr>
          <w:rFonts w:hint="eastAsia" w:ascii="微软雅黑" w:hAnsi="微软雅黑"/>
          <w:color w:val="auto"/>
          <w:szCs w:val="21"/>
          <w:highlight w:val="none"/>
        </w:rPr>
        <w:t>、</w:t>
      </w:r>
      <w:r>
        <w:rPr>
          <w:rFonts w:ascii="微软雅黑" w:hAnsi="微软雅黑"/>
          <w:color w:val="auto"/>
          <w:szCs w:val="21"/>
          <w:highlight w:val="none"/>
        </w:rPr>
        <w:t>裂缝观测</w:t>
      </w:r>
      <w:r>
        <w:rPr>
          <w:rFonts w:hint="eastAsia" w:ascii="微软雅黑" w:hAnsi="微软雅黑"/>
          <w:color w:val="auto"/>
          <w:szCs w:val="21"/>
          <w:highlight w:val="none"/>
        </w:rPr>
        <w:t>。如果动态监测过程中发现未在初始投保清单内的房屋，但实际需在保单年度内纳入重点监测的，经业主单位书面同意，可纳入动态监测保险服务（保险保障除外）。</w:t>
      </w:r>
      <w:r>
        <w:rPr>
          <w:rFonts w:ascii="微软雅黑" w:hAnsi="微软雅黑"/>
          <w:color w:val="auto"/>
          <w:szCs w:val="21"/>
          <w:highlight w:val="none"/>
        </w:rPr>
        <w:t>监测的数据真实性及准确率由投标人负责，如采购人抽检发现数据存在造假、误差率超过10%的，采购人有权向中标人提出赔偿，情况严重的可以直接解除合同。</w:t>
      </w:r>
    </w:p>
    <w:p w14:paraId="2238851B">
      <w:pPr>
        <w:ind w:right="-477" w:rightChars="-227" w:firstLine="428" w:firstLineChars="204"/>
        <w:rPr>
          <w:rFonts w:hint="eastAsia" w:ascii="微软雅黑" w:hAnsi="微软雅黑"/>
          <w:color w:val="auto"/>
          <w:spacing w:val="-7"/>
          <w:szCs w:val="21"/>
          <w:highlight w:val="none"/>
        </w:rPr>
      </w:pPr>
      <w:r>
        <w:rPr>
          <w:rFonts w:ascii="微软雅黑" w:hAnsi="微软雅黑"/>
          <w:color w:val="auto"/>
          <w:szCs w:val="21"/>
          <w:highlight w:val="none"/>
        </w:rPr>
        <w:t>根据监测情况及天气预报情况，提前发出撤离预警或安全预警，其中房屋自身开裂、倾斜等安全预警原则上不少于24小时。</w:t>
      </w:r>
    </w:p>
    <w:p w14:paraId="39FA75F5">
      <w:pPr>
        <w:pStyle w:val="307"/>
        <w:numPr>
          <w:ilvl w:val="2"/>
          <w:numId w:val="14"/>
        </w:numPr>
        <w:tabs>
          <w:tab w:val="left" w:pos="426"/>
        </w:tabs>
        <w:spacing w:before="0" w:line="360" w:lineRule="auto"/>
        <w:ind w:left="0" w:right="-477" w:rightChars="-227" w:firstLine="426"/>
        <w:rPr>
          <w:rFonts w:hint="eastAsia" w:ascii="微软雅黑" w:hAnsi="微软雅黑" w:eastAsia="微软雅黑"/>
          <w:b/>
          <w:bCs/>
          <w:color w:val="auto"/>
          <w:spacing w:val="2"/>
          <w:sz w:val="21"/>
          <w:szCs w:val="21"/>
          <w:highlight w:val="none"/>
        </w:rPr>
      </w:pPr>
      <w:r>
        <w:rPr>
          <w:rFonts w:hint="eastAsia" w:ascii="微软雅黑" w:hAnsi="微软雅黑" w:eastAsia="微软雅黑" w:cs="微软雅黑"/>
          <w:b/>
          <w:bCs/>
          <w:color w:val="auto"/>
          <w:spacing w:val="2"/>
          <w:sz w:val="21"/>
          <w:szCs w:val="21"/>
          <w:highlight w:val="none"/>
        </w:rPr>
        <w:t>对第三者人身伤亡的保障</w:t>
      </w:r>
    </w:p>
    <w:p w14:paraId="64232584">
      <w:pPr>
        <w:pStyle w:val="2"/>
        <w:spacing w:after="0"/>
        <w:ind w:right="-477" w:rightChars="-227" w:firstLine="428" w:firstLineChars="204"/>
        <w:rPr>
          <w:rFonts w:hint="eastAsia" w:ascii="微软雅黑" w:hAnsi="微软雅黑"/>
          <w:color w:val="auto"/>
          <w:szCs w:val="21"/>
          <w:highlight w:val="none"/>
        </w:rPr>
      </w:pPr>
      <w:r>
        <w:rPr>
          <w:rFonts w:ascii="微软雅黑" w:hAnsi="微软雅黑"/>
          <w:color w:val="auto"/>
          <w:szCs w:val="21"/>
          <w:highlight w:val="none"/>
        </w:rPr>
        <w:t>保险责任：赔偿因辖区内房屋整体倒塌致使第三者人身伤亡的损失</w:t>
      </w:r>
      <w:r>
        <w:rPr>
          <w:rFonts w:hint="eastAsia" w:ascii="微软雅黑" w:hAnsi="微软雅黑"/>
          <w:color w:val="auto"/>
          <w:szCs w:val="21"/>
          <w:highlight w:val="none"/>
        </w:rPr>
        <w:t>。</w:t>
      </w:r>
    </w:p>
    <w:p w14:paraId="6B09D393">
      <w:pPr>
        <w:pStyle w:val="2"/>
        <w:spacing w:after="0"/>
        <w:ind w:right="-477" w:rightChars="-227" w:firstLine="428" w:firstLineChars="204"/>
        <w:rPr>
          <w:rFonts w:hint="eastAsia" w:ascii="微软雅黑" w:hAnsi="微软雅黑"/>
          <w:color w:val="auto"/>
          <w:szCs w:val="21"/>
          <w:highlight w:val="none"/>
        </w:rPr>
      </w:pPr>
      <w:r>
        <w:rPr>
          <w:rFonts w:ascii="微软雅黑" w:hAnsi="微软雅黑"/>
          <w:color w:val="auto"/>
          <w:szCs w:val="21"/>
          <w:highlight w:val="none"/>
        </w:rPr>
        <w:t>赔偿限额：每人人身伤亡限额 50 万元、医疗费限额 5 万元，每次事故限额 1000 万元，</w:t>
      </w:r>
    </w:p>
    <w:p w14:paraId="61488E12">
      <w:pPr>
        <w:pStyle w:val="2"/>
        <w:spacing w:after="0"/>
        <w:ind w:right="-477" w:rightChars="-227" w:firstLine="428" w:firstLineChars="204"/>
        <w:rPr>
          <w:rFonts w:hint="eastAsia" w:ascii="微软雅黑" w:hAnsi="微软雅黑"/>
          <w:color w:val="auto"/>
          <w:szCs w:val="21"/>
          <w:highlight w:val="none"/>
        </w:rPr>
      </w:pPr>
      <w:r>
        <w:rPr>
          <w:rFonts w:ascii="微软雅黑" w:hAnsi="微软雅黑"/>
          <w:color w:val="auto"/>
          <w:szCs w:val="21"/>
          <w:highlight w:val="none"/>
        </w:rPr>
        <w:t>保险期间累计限额 2000 万元。</w:t>
      </w:r>
    </w:p>
    <w:p w14:paraId="74A99483">
      <w:pPr>
        <w:pStyle w:val="307"/>
        <w:numPr>
          <w:ilvl w:val="1"/>
          <w:numId w:val="6"/>
        </w:numPr>
        <w:tabs>
          <w:tab w:val="left" w:pos="851"/>
        </w:tabs>
        <w:spacing w:before="0" w:line="360" w:lineRule="auto"/>
        <w:ind w:left="0" w:right="-477" w:rightChars="-227" w:firstLine="426"/>
        <w:rPr>
          <w:rFonts w:hint="eastAsia" w:ascii="微软雅黑" w:hAnsi="微软雅黑" w:eastAsia="微软雅黑"/>
          <w:b/>
          <w:bCs/>
          <w:color w:val="auto"/>
          <w:spacing w:val="-3"/>
          <w:sz w:val="21"/>
          <w:szCs w:val="21"/>
          <w:highlight w:val="none"/>
        </w:rPr>
      </w:pPr>
      <w:r>
        <w:rPr>
          <w:rFonts w:ascii="微软雅黑" w:hAnsi="微软雅黑" w:eastAsia="微软雅黑"/>
          <w:b/>
          <w:bCs/>
          <w:color w:val="auto"/>
          <w:spacing w:val="-3"/>
          <w:sz w:val="21"/>
          <w:szCs w:val="21"/>
          <w:highlight w:val="none"/>
        </w:rPr>
        <w:t>保险产品的要求</w:t>
      </w:r>
    </w:p>
    <w:p w14:paraId="11864962">
      <w:pPr>
        <w:pStyle w:val="2"/>
        <w:spacing w:after="0"/>
        <w:ind w:right="-477" w:rightChars="-227" w:firstLine="428" w:firstLineChars="204"/>
        <w:rPr>
          <w:rFonts w:hint="eastAsia" w:ascii="微软雅黑" w:hAnsi="微软雅黑"/>
          <w:color w:val="auto"/>
          <w:szCs w:val="21"/>
          <w:highlight w:val="none"/>
        </w:rPr>
      </w:pPr>
      <w:r>
        <w:rPr>
          <w:rFonts w:ascii="微软雅黑" w:hAnsi="微软雅黑"/>
          <w:color w:val="auto"/>
          <w:szCs w:val="21"/>
          <w:highlight w:val="none"/>
        </w:rPr>
        <w:t>投标人所投的城镇住房保险产品条款必须满足以下要求：</w:t>
      </w:r>
    </w:p>
    <w:p w14:paraId="264B45D3">
      <w:pPr>
        <w:pStyle w:val="307"/>
        <w:numPr>
          <w:ilvl w:val="2"/>
          <w:numId w:val="15"/>
        </w:numPr>
        <w:tabs>
          <w:tab w:val="left" w:pos="709"/>
        </w:tabs>
        <w:spacing w:before="0" w:line="360" w:lineRule="auto"/>
        <w:ind w:left="0" w:right="-477" w:rightChars="-227" w:firstLine="426"/>
        <w:jc w:val="both"/>
        <w:rPr>
          <w:rFonts w:hint="eastAsia" w:ascii="微软雅黑" w:hAnsi="微软雅黑" w:eastAsia="微软雅黑"/>
          <w:color w:val="auto"/>
          <w:sz w:val="21"/>
          <w:szCs w:val="21"/>
          <w:highlight w:val="none"/>
        </w:rPr>
      </w:pPr>
      <w:r>
        <w:rPr>
          <w:rFonts w:ascii="微软雅黑" w:hAnsi="微软雅黑" w:eastAsia="微软雅黑"/>
          <w:color w:val="auto"/>
          <w:spacing w:val="-8"/>
          <w:sz w:val="21"/>
          <w:szCs w:val="21"/>
          <w:highlight w:val="none"/>
        </w:rPr>
        <w:t>提供的保险产品必须完全响应招标文件内的需求。对保险产品的责任扩大，限</w:t>
      </w:r>
      <w:r>
        <w:rPr>
          <w:rFonts w:ascii="微软雅黑" w:hAnsi="微软雅黑" w:eastAsia="微软雅黑"/>
          <w:color w:val="auto"/>
          <w:spacing w:val="-5"/>
          <w:sz w:val="21"/>
          <w:szCs w:val="21"/>
          <w:highlight w:val="none"/>
        </w:rPr>
        <w:t>制或删除特定责任免除条文的视同完全响应</w:t>
      </w:r>
      <w:r>
        <w:rPr>
          <w:rFonts w:ascii="微软雅黑" w:hAnsi="微软雅黑" w:eastAsia="微软雅黑"/>
          <w:color w:val="auto"/>
          <w:spacing w:val="-3"/>
          <w:sz w:val="21"/>
          <w:szCs w:val="21"/>
          <w:highlight w:val="none"/>
        </w:rPr>
        <w:t>）</w:t>
      </w:r>
      <w:r>
        <w:rPr>
          <w:rFonts w:ascii="微软雅黑" w:hAnsi="微软雅黑" w:eastAsia="微软雅黑"/>
          <w:color w:val="auto"/>
          <w:sz w:val="21"/>
          <w:szCs w:val="21"/>
          <w:highlight w:val="none"/>
        </w:rPr>
        <w:t>。</w:t>
      </w:r>
    </w:p>
    <w:p w14:paraId="23FADF51">
      <w:pPr>
        <w:pStyle w:val="307"/>
        <w:numPr>
          <w:ilvl w:val="2"/>
          <w:numId w:val="16"/>
        </w:numPr>
        <w:tabs>
          <w:tab w:val="left" w:pos="426"/>
        </w:tabs>
        <w:spacing w:before="0" w:line="360" w:lineRule="auto"/>
        <w:ind w:left="0" w:right="-477" w:rightChars="-227" w:firstLine="426"/>
        <w:jc w:val="both"/>
        <w:rPr>
          <w:rFonts w:hint="eastAsia" w:ascii="微软雅黑" w:hAnsi="微软雅黑" w:eastAsia="微软雅黑"/>
          <w:color w:val="auto"/>
          <w:spacing w:val="-8"/>
          <w:sz w:val="21"/>
          <w:szCs w:val="21"/>
          <w:highlight w:val="none"/>
        </w:rPr>
      </w:pPr>
      <w:r>
        <w:rPr>
          <w:rFonts w:hint="eastAsia" w:ascii="微软雅黑" w:hAnsi="微软雅黑" w:eastAsia="微软雅黑"/>
          <w:color w:val="auto"/>
          <w:spacing w:val="-8"/>
          <w:sz w:val="21"/>
          <w:szCs w:val="21"/>
          <w:highlight w:val="none"/>
        </w:rPr>
        <w:t>1</w:t>
      </w:r>
      <w:r>
        <w:rPr>
          <w:rFonts w:ascii="微软雅黑" w:hAnsi="微软雅黑" w:eastAsia="微软雅黑"/>
          <w:color w:val="auto"/>
          <w:spacing w:val="-8"/>
          <w:sz w:val="21"/>
          <w:szCs w:val="21"/>
          <w:highlight w:val="none"/>
        </w:rPr>
        <w:t>对于需要拆除的危旧房，由保险公司负责危旧房居民的临时安置费用。</w:t>
      </w:r>
    </w:p>
    <w:p w14:paraId="5BF2CE64">
      <w:pPr>
        <w:pStyle w:val="307"/>
        <w:numPr>
          <w:ilvl w:val="2"/>
          <w:numId w:val="17"/>
        </w:numPr>
        <w:tabs>
          <w:tab w:val="left" w:pos="426"/>
        </w:tabs>
        <w:spacing w:before="0" w:line="360" w:lineRule="auto"/>
        <w:ind w:left="0" w:right="-477" w:rightChars="-227" w:firstLine="426"/>
        <w:jc w:val="both"/>
        <w:rPr>
          <w:rFonts w:hint="eastAsia" w:ascii="微软雅黑" w:hAnsi="微软雅黑" w:eastAsia="微软雅黑"/>
          <w:color w:val="auto"/>
          <w:spacing w:val="-8"/>
          <w:sz w:val="21"/>
          <w:szCs w:val="21"/>
          <w:highlight w:val="none"/>
        </w:rPr>
      </w:pPr>
      <w:r>
        <w:rPr>
          <w:rFonts w:ascii="微软雅黑" w:hAnsi="微软雅黑" w:eastAsia="微软雅黑"/>
          <w:color w:val="auto"/>
          <w:spacing w:val="-8"/>
          <w:sz w:val="21"/>
          <w:szCs w:val="21"/>
          <w:highlight w:val="none"/>
        </w:rPr>
        <w:t>在</w:t>
      </w:r>
      <w:r>
        <w:rPr>
          <w:rFonts w:hint="eastAsia" w:ascii="微软雅黑" w:hAnsi="微软雅黑" w:eastAsia="微软雅黑"/>
          <w:color w:val="auto"/>
          <w:spacing w:val="-8"/>
          <w:sz w:val="21"/>
          <w:szCs w:val="21"/>
          <w:highlight w:val="none"/>
        </w:rPr>
        <w:t>保险服务</w:t>
      </w:r>
      <w:r>
        <w:rPr>
          <w:rFonts w:ascii="微软雅黑" w:hAnsi="微软雅黑" w:eastAsia="微软雅黑"/>
          <w:color w:val="auto"/>
          <w:spacing w:val="-8"/>
          <w:sz w:val="21"/>
          <w:szCs w:val="21"/>
          <w:highlight w:val="none"/>
        </w:rPr>
        <w:t>过程中发现业主方对房屋主体结构进行变更，若影响房屋整体结构安全的，需上报政府主管部门。政府主管部门获悉后必须强制业主方进行有效整改。因业主方拒不整改而造成的房屋倒塌，中标人不需要承担赔偿责任。对于不配合政府安排拒绝撤离危旧房屋的居民，发生倒房事故造成人身伤亡的，中标人同样不需要承担赔偿责任。</w:t>
      </w:r>
    </w:p>
    <w:p w14:paraId="552EE118">
      <w:pPr>
        <w:pStyle w:val="307"/>
        <w:numPr>
          <w:ilvl w:val="2"/>
          <w:numId w:val="18"/>
        </w:numPr>
        <w:tabs>
          <w:tab w:val="left" w:pos="426"/>
        </w:tabs>
        <w:spacing w:before="0" w:line="360" w:lineRule="auto"/>
        <w:ind w:left="0" w:right="-477" w:rightChars="-227" w:firstLine="426"/>
        <w:jc w:val="both"/>
        <w:rPr>
          <w:rFonts w:hint="eastAsia" w:ascii="微软雅黑" w:hAnsi="微软雅黑" w:eastAsia="微软雅黑"/>
          <w:color w:val="auto"/>
          <w:spacing w:val="-8"/>
          <w:sz w:val="21"/>
          <w:szCs w:val="21"/>
          <w:highlight w:val="none"/>
        </w:rPr>
      </w:pPr>
      <w:r>
        <w:rPr>
          <w:rFonts w:ascii="微软雅黑" w:hAnsi="微软雅黑" w:eastAsia="微软雅黑"/>
          <w:color w:val="auto"/>
          <w:spacing w:val="-8"/>
          <w:sz w:val="21"/>
          <w:szCs w:val="21"/>
          <w:highlight w:val="none"/>
        </w:rPr>
        <w:t>因政府职能部门相关措施需要（如：台汛期因紧急避汛、团块改造）发出强制撤离指令而发生的临时安置费用，中标人不需要承担支出临时安置费用。</w:t>
      </w:r>
    </w:p>
    <w:p w14:paraId="31D4EAA2">
      <w:pPr>
        <w:pStyle w:val="307"/>
        <w:numPr>
          <w:ilvl w:val="0"/>
          <w:numId w:val="5"/>
        </w:numPr>
        <w:tabs>
          <w:tab w:val="left" w:pos="840"/>
          <w:tab w:val="left" w:pos="1550"/>
        </w:tabs>
        <w:spacing w:before="0" w:line="360" w:lineRule="auto"/>
        <w:ind w:left="4" w:right="-477" w:rightChars="-227" w:firstLine="420"/>
        <w:rPr>
          <w:rFonts w:hint="eastAsia" w:ascii="微软雅黑" w:hAnsi="微软雅黑" w:eastAsia="微软雅黑"/>
          <w:b/>
          <w:bCs/>
          <w:color w:val="auto"/>
          <w:spacing w:val="-1"/>
          <w:sz w:val="21"/>
          <w:szCs w:val="21"/>
          <w:highlight w:val="none"/>
        </w:rPr>
      </w:pPr>
      <w:r>
        <w:rPr>
          <w:rFonts w:hint="eastAsia" w:ascii="微软雅黑" w:hAnsi="微软雅黑" w:eastAsia="微软雅黑"/>
          <w:b/>
          <w:bCs/>
          <w:color w:val="auto"/>
          <w:spacing w:val="-1"/>
          <w:sz w:val="21"/>
          <w:szCs w:val="21"/>
          <w:highlight w:val="none"/>
        </w:rPr>
        <w:t>监测内容</w:t>
      </w:r>
    </w:p>
    <w:p w14:paraId="7F5A2D4E">
      <w:pPr>
        <w:widowControl/>
        <w:tabs>
          <w:tab w:val="left" w:pos="142"/>
        </w:tabs>
        <w:spacing w:before="75" w:after="75"/>
        <w:ind w:firstLine="420" w:firstLineChars="202"/>
        <w:rPr>
          <w:rFonts w:hint="default" w:ascii="微软雅黑" w:hAnsi="微软雅黑" w:eastAsia="微软雅黑"/>
          <w:b/>
          <w:bCs/>
          <w:color w:val="auto"/>
          <w:spacing w:val="-1"/>
          <w:sz w:val="21"/>
          <w:szCs w:val="21"/>
          <w:highlight w:val="none"/>
          <w:lang w:val="en-US" w:eastAsia="zh-CN"/>
        </w:rPr>
      </w:pPr>
      <w:r>
        <w:rPr>
          <w:rFonts w:hint="eastAsia" w:ascii="微软雅黑" w:hAnsi="微软雅黑" w:eastAsia="微软雅黑" w:cs="微软雅黑"/>
          <w:b/>
          <w:bCs/>
          <w:color w:val="auto"/>
          <w:spacing w:val="-1"/>
          <w:sz w:val="21"/>
          <w:szCs w:val="21"/>
          <w:highlight w:val="none"/>
          <w:lang w:val="en-US" w:eastAsia="zh-CN"/>
        </w:rPr>
        <w:t>▲</w:t>
      </w:r>
      <w:r>
        <w:rPr>
          <w:rFonts w:hint="eastAsia" w:ascii="微软雅黑" w:hAnsi="微软雅黑" w:eastAsia="微软雅黑"/>
          <w:b/>
          <w:bCs/>
          <w:color w:val="auto"/>
          <w:spacing w:val="-1"/>
          <w:sz w:val="21"/>
          <w:szCs w:val="21"/>
          <w:highlight w:val="none"/>
          <w:lang w:val="en-US" w:eastAsia="zh-CN"/>
        </w:rPr>
        <w:t>监测单位</w:t>
      </w:r>
      <w:r>
        <w:rPr>
          <w:rFonts w:hint="eastAsia" w:ascii="微软雅黑" w:hAnsi="微软雅黑" w:cs="Calibri"/>
          <w:b/>
          <w:bCs/>
          <w:color w:val="auto"/>
          <w:kern w:val="0"/>
          <w:sz w:val="21"/>
          <w:szCs w:val="21"/>
          <w:highlight w:val="none"/>
          <w:lang w:val="en-US" w:eastAsia="zh-CN" w:bidi="ar-SA"/>
        </w:rPr>
        <w:t>需</w:t>
      </w:r>
      <w:r>
        <w:rPr>
          <w:rFonts w:hint="eastAsia" w:ascii="微软雅黑" w:hAnsi="微软雅黑" w:eastAsia="微软雅黑" w:cs="Calibri"/>
          <w:b/>
          <w:bCs/>
          <w:color w:val="auto"/>
          <w:kern w:val="0"/>
          <w:sz w:val="21"/>
          <w:szCs w:val="21"/>
          <w:highlight w:val="none"/>
          <w:lang w:val="en-US" w:eastAsia="zh-CN" w:bidi="ar-SA"/>
        </w:rPr>
        <w:t>具有建设主管部门核发的建设工程质量检测资质证书（其中检测范围须包含建设工程结构检测、地基基础检测、钢结构工程检测、见证取样检测资质）</w:t>
      </w:r>
      <w:r>
        <w:rPr>
          <w:rFonts w:hint="eastAsia" w:ascii="微软雅黑" w:hAnsi="微软雅黑" w:cs="Calibri"/>
          <w:b/>
          <w:bCs/>
          <w:color w:val="auto"/>
          <w:kern w:val="0"/>
          <w:sz w:val="21"/>
          <w:szCs w:val="21"/>
          <w:highlight w:val="none"/>
          <w:lang w:val="en-US" w:eastAsia="zh-CN" w:bidi="ar-SA"/>
        </w:rPr>
        <w:t>，复件件做在投标文件中</w:t>
      </w:r>
      <w:r>
        <w:rPr>
          <w:rFonts w:hint="eastAsia" w:ascii="微软雅黑" w:hAnsi="微软雅黑" w:eastAsia="微软雅黑" w:cs="Calibri"/>
          <w:b/>
          <w:bCs/>
          <w:color w:val="auto"/>
          <w:kern w:val="0"/>
          <w:sz w:val="21"/>
          <w:szCs w:val="21"/>
          <w:highlight w:val="none"/>
          <w:lang w:val="en-US" w:eastAsia="zh-CN" w:bidi="ar-SA"/>
        </w:rPr>
        <w:t>。</w:t>
      </w:r>
    </w:p>
    <w:p w14:paraId="491A504C">
      <w:pPr>
        <w:pStyle w:val="104"/>
        <w:numPr>
          <w:ilvl w:val="0"/>
          <w:numId w:val="19"/>
        </w:numPr>
        <w:tabs>
          <w:tab w:val="left" w:pos="1549"/>
          <w:tab w:val="left" w:pos="1550"/>
        </w:tabs>
        <w:autoSpaceDE w:val="0"/>
        <w:autoSpaceDN w:val="0"/>
        <w:ind w:right="-477" w:rightChars="-227" w:firstLineChars="0"/>
        <w:rPr>
          <w:rFonts w:hint="eastAsia" w:ascii="微软雅黑" w:hAnsi="微软雅黑"/>
          <w:b/>
          <w:bCs/>
          <w:vanish/>
          <w:color w:val="auto"/>
          <w:spacing w:val="-1"/>
          <w:kern w:val="0"/>
          <w:szCs w:val="21"/>
          <w:highlight w:val="none"/>
        </w:rPr>
      </w:pPr>
    </w:p>
    <w:p w14:paraId="20D5EBB6">
      <w:pPr>
        <w:pStyle w:val="104"/>
        <w:numPr>
          <w:ilvl w:val="0"/>
          <w:numId w:val="19"/>
        </w:numPr>
        <w:tabs>
          <w:tab w:val="left" w:pos="1549"/>
          <w:tab w:val="left" w:pos="1550"/>
        </w:tabs>
        <w:autoSpaceDE w:val="0"/>
        <w:autoSpaceDN w:val="0"/>
        <w:ind w:right="-477" w:rightChars="-227" w:firstLineChars="0"/>
        <w:rPr>
          <w:rFonts w:hint="eastAsia" w:ascii="微软雅黑" w:hAnsi="微软雅黑"/>
          <w:b/>
          <w:bCs/>
          <w:vanish/>
          <w:color w:val="auto"/>
          <w:spacing w:val="-1"/>
          <w:kern w:val="0"/>
          <w:szCs w:val="21"/>
          <w:highlight w:val="none"/>
        </w:rPr>
      </w:pPr>
    </w:p>
    <w:p w14:paraId="3735738B">
      <w:pPr>
        <w:pStyle w:val="307"/>
        <w:numPr>
          <w:ilvl w:val="1"/>
          <w:numId w:val="19"/>
        </w:numPr>
        <w:tabs>
          <w:tab w:val="left" w:pos="851"/>
        </w:tabs>
        <w:spacing w:before="0" w:line="360" w:lineRule="auto"/>
        <w:ind w:left="0" w:right="-477" w:rightChars="-227" w:firstLine="426"/>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监测内容</w:t>
      </w:r>
    </w:p>
    <w:p w14:paraId="106E356A">
      <w:pPr>
        <w:pStyle w:val="307"/>
        <w:numPr>
          <w:ilvl w:val="2"/>
          <w:numId w:val="19"/>
        </w:numPr>
        <w:spacing w:before="0" w:line="360" w:lineRule="auto"/>
        <w:ind w:left="0" w:right="-477" w:rightChars="-227" w:firstLine="426"/>
        <w:rPr>
          <w:rFonts w:hint="eastAsia" w:ascii="微软雅黑" w:hAnsi="微软雅黑" w:eastAsia="微软雅黑"/>
          <w:color w:val="auto"/>
          <w:spacing w:val="-1"/>
          <w:sz w:val="21"/>
          <w:szCs w:val="21"/>
          <w:highlight w:val="none"/>
        </w:rPr>
      </w:pPr>
      <w:r>
        <w:rPr>
          <w:rFonts w:hint="eastAsia" w:ascii="微软雅黑" w:hAnsi="微软雅黑" w:eastAsia="微软雅黑" w:cs="Calibri"/>
          <w:color w:val="auto"/>
          <w:sz w:val="21"/>
          <w:szCs w:val="21"/>
          <w:highlight w:val="none"/>
        </w:rPr>
        <w:t xml:space="preserve">对秀洲区（五个乡镇）行政辖区内所有在 2000 年前建成使用及需重点关注的老旧砖混、砖木住宅房屋实施房屋安全综合保险服务，合计约3243幢（旧房、危房），建筑面积约 </w:t>
      </w:r>
      <w:r>
        <w:rPr>
          <w:rFonts w:hint="eastAsia" w:ascii="微软雅黑" w:hAnsi="微软雅黑" w:cs="Calibri"/>
          <w:color w:val="auto"/>
          <w:szCs w:val="21"/>
          <w:highlight w:val="none"/>
        </w:rPr>
        <w:t>768980.94</w:t>
      </w:r>
      <w:r>
        <w:rPr>
          <w:rFonts w:hint="eastAsia" w:ascii="微软雅黑" w:hAnsi="微软雅黑" w:eastAsia="微软雅黑" w:cs="Calibri"/>
          <w:color w:val="auto"/>
          <w:sz w:val="21"/>
          <w:szCs w:val="21"/>
          <w:highlight w:val="none"/>
        </w:rPr>
        <w:t>平方米</w:t>
      </w:r>
      <w:r>
        <w:rPr>
          <w:rFonts w:hint="eastAsia" w:ascii="微软雅黑" w:hAnsi="微软雅黑" w:eastAsia="微软雅黑"/>
          <w:color w:val="auto"/>
          <w:spacing w:val="-1"/>
          <w:sz w:val="21"/>
          <w:szCs w:val="21"/>
          <w:highlight w:val="none"/>
        </w:rPr>
        <w:t>。进行安全排查，根据要求对危旧住房进行动态实时监测。</w:t>
      </w:r>
    </w:p>
    <w:p w14:paraId="4B08030E">
      <w:pPr>
        <w:pStyle w:val="307"/>
        <w:numPr>
          <w:ilvl w:val="2"/>
          <w:numId w:val="19"/>
        </w:numPr>
        <w:spacing w:before="0" w:line="360" w:lineRule="auto"/>
        <w:ind w:left="0" w:right="-477" w:rightChars="-227" w:firstLine="426"/>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监测服务不限于房屋整体性检查、地基基础检查、混凝土结构检查、砌体结构检查、木结构部分检查等。</w:t>
      </w:r>
    </w:p>
    <w:p w14:paraId="5376D796">
      <w:pPr>
        <w:pStyle w:val="307"/>
        <w:numPr>
          <w:ilvl w:val="2"/>
          <w:numId w:val="19"/>
        </w:numPr>
        <w:spacing w:before="0" w:line="360" w:lineRule="auto"/>
        <w:ind w:left="0" w:right="-477" w:rightChars="-227" w:firstLine="426"/>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建立危情预警和报告制度。房屋出现险情时，应落实专业技术人员和设备，对房屋进行评估，并做好记录，形成书面报告，发现问题及时上报，报告信息手段丰富、及时、有效；在应急处置过程中，及时向产权人或使用人等做好解释工作。</w:t>
      </w:r>
    </w:p>
    <w:p w14:paraId="07CB0016">
      <w:pPr>
        <w:pStyle w:val="307"/>
        <w:numPr>
          <w:ilvl w:val="2"/>
          <w:numId w:val="19"/>
        </w:numPr>
        <w:spacing w:before="0" w:line="360" w:lineRule="auto"/>
        <w:ind w:left="0" w:right="-477" w:rightChars="-227" w:firstLine="426"/>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建立灾害天气房屋专项安全巡查及应急处置工作机制。在灾害天气前后对房屋进行专项安全巡查，对房屋安全进行应急调查，基本查清房屋安全危险概况、危险程度、发生原因与发展趋势，指出存在隐患，并提出针对性的整治措施和建议，并形成书面报告。</w:t>
      </w:r>
    </w:p>
    <w:p w14:paraId="3685BE2E">
      <w:pPr>
        <w:pStyle w:val="307"/>
        <w:numPr>
          <w:ilvl w:val="2"/>
          <w:numId w:val="19"/>
        </w:numPr>
        <w:spacing w:before="0" w:line="360" w:lineRule="auto"/>
        <w:ind w:left="0" w:right="-477" w:rightChars="-227" w:firstLine="426"/>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对城镇危房采用先进的监测设备，对危旧房的沉降、裂缝、倾斜等实行动态监测，监测设备及线路的敷设及费用等均由中标人承担。</w:t>
      </w:r>
    </w:p>
    <w:p w14:paraId="3A30BBC4">
      <w:pPr>
        <w:pStyle w:val="307"/>
        <w:numPr>
          <w:ilvl w:val="2"/>
          <w:numId w:val="19"/>
        </w:numPr>
        <w:spacing w:before="0" w:line="360" w:lineRule="auto"/>
        <w:ind w:left="0" w:right="-477" w:rightChars="-227" w:firstLine="426"/>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需配备专业技术服务团队驻点，随时提供监测预警服务，对危房进行定期巡检。</w:t>
      </w:r>
    </w:p>
    <w:p w14:paraId="0F3B4ACA">
      <w:pPr>
        <w:pStyle w:val="307"/>
        <w:numPr>
          <w:ilvl w:val="1"/>
          <w:numId w:val="19"/>
        </w:numPr>
        <w:tabs>
          <w:tab w:val="left" w:pos="851"/>
        </w:tabs>
        <w:spacing w:before="0" w:line="360" w:lineRule="auto"/>
        <w:ind w:left="0" w:right="-477" w:rightChars="-227" w:firstLine="426"/>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监测要求</w:t>
      </w:r>
    </w:p>
    <w:p w14:paraId="4D7215C4">
      <w:pPr>
        <w:pStyle w:val="307"/>
        <w:numPr>
          <w:ilvl w:val="2"/>
          <w:numId w:val="19"/>
        </w:numPr>
        <w:tabs>
          <w:tab w:val="left" w:pos="851"/>
        </w:tabs>
        <w:spacing w:before="0" w:line="360" w:lineRule="auto"/>
        <w:ind w:left="0" w:right="-477" w:rightChars="-227" w:firstLine="426"/>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房屋外观检查</w:t>
      </w:r>
    </w:p>
    <w:p w14:paraId="78FD5B57">
      <w:pPr>
        <w:pStyle w:val="104"/>
        <w:numPr>
          <w:ilvl w:val="0"/>
          <w:numId w:val="20"/>
        </w:numPr>
        <w:tabs>
          <w:tab w:val="left" w:pos="0"/>
        </w:tabs>
        <w:autoSpaceDE w:val="0"/>
        <w:autoSpaceDN w:val="0"/>
        <w:ind w:right="-477" w:rightChars="-227" w:firstLineChars="0"/>
        <w:rPr>
          <w:rFonts w:hint="eastAsia" w:ascii="微软雅黑" w:hAnsi="微软雅黑"/>
          <w:vanish/>
          <w:color w:val="auto"/>
          <w:kern w:val="0"/>
          <w:szCs w:val="21"/>
          <w:highlight w:val="none"/>
        </w:rPr>
      </w:pPr>
    </w:p>
    <w:p w14:paraId="3BA7FEB3">
      <w:pPr>
        <w:pStyle w:val="104"/>
        <w:numPr>
          <w:ilvl w:val="0"/>
          <w:numId w:val="20"/>
        </w:numPr>
        <w:tabs>
          <w:tab w:val="left" w:pos="0"/>
        </w:tabs>
        <w:autoSpaceDE w:val="0"/>
        <w:autoSpaceDN w:val="0"/>
        <w:ind w:right="-477" w:rightChars="-227" w:firstLineChars="0"/>
        <w:rPr>
          <w:rFonts w:hint="eastAsia" w:ascii="微软雅黑" w:hAnsi="微软雅黑"/>
          <w:vanish/>
          <w:color w:val="auto"/>
          <w:kern w:val="0"/>
          <w:szCs w:val="21"/>
          <w:highlight w:val="none"/>
        </w:rPr>
      </w:pPr>
    </w:p>
    <w:p w14:paraId="2DAAF54B">
      <w:pPr>
        <w:pStyle w:val="104"/>
        <w:numPr>
          <w:ilvl w:val="1"/>
          <w:numId w:val="20"/>
        </w:numPr>
        <w:tabs>
          <w:tab w:val="left" w:pos="0"/>
        </w:tabs>
        <w:autoSpaceDE w:val="0"/>
        <w:autoSpaceDN w:val="0"/>
        <w:ind w:right="-477" w:rightChars="-227" w:firstLineChars="0"/>
        <w:rPr>
          <w:rFonts w:hint="eastAsia" w:ascii="微软雅黑" w:hAnsi="微软雅黑"/>
          <w:vanish/>
          <w:color w:val="auto"/>
          <w:kern w:val="0"/>
          <w:szCs w:val="21"/>
          <w:highlight w:val="none"/>
        </w:rPr>
      </w:pPr>
    </w:p>
    <w:p w14:paraId="573BC02E">
      <w:pPr>
        <w:pStyle w:val="104"/>
        <w:numPr>
          <w:ilvl w:val="1"/>
          <w:numId w:val="20"/>
        </w:numPr>
        <w:tabs>
          <w:tab w:val="left" w:pos="0"/>
        </w:tabs>
        <w:autoSpaceDE w:val="0"/>
        <w:autoSpaceDN w:val="0"/>
        <w:ind w:right="-477" w:rightChars="-227" w:firstLineChars="0"/>
        <w:rPr>
          <w:rFonts w:hint="eastAsia" w:ascii="微软雅黑" w:hAnsi="微软雅黑"/>
          <w:vanish/>
          <w:color w:val="auto"/>
          <w:kern w:val="0"/>
          <w:szCs w:val="21"/>
          <w:highlight w:val="none"/>
        </w:rPr>
      </w:pPr>
    </w:p>
    <w:p w14:paraId="0AA2744B">
      <w:pPr>
        <w:pStyle w:val="307"/>
        <w:numPr>
          <w:ilvl w:val="1"/>
          <w:numId w:val="21"/>
        </w:numPr>
        <w:tabs>
          <w:tab w:val="left" w:pos="0"/>
        </w:tabs>
        <w:spacing w:before="0" w:line="360" w:lineRule="auto"/>
        <w:ind w:left="0" w:right="-477" w:rightChars="-227" w:firstLine="418" w:firstLineChars="201"/>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与相连的附属建筑物有无异常情况。</w:t>
      </w:r>
    </w:p>
    <w:p w14:paraId="78B3DD38">
      <w:pPr>
        <w:pStyle w:val="307"/>
        <w:numPr>
          <w:ilvl w:val="1"/>
          <w:numId w:val="21"/>
        </w:numPr>
        <w:tabs>
          <w:tab w:val="left" w:pos="0"/>
        </w:tabs>
        <w:spacing w:before="0" w:line="360" w:lineRule="auto"/>
        <w:ind w:left="0" w:right="-477" w:rightChars="-227" w:firstLine="418" w:firstLineChars="201"/>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砌体查看：通过砌筑砂浆强度、饱满度、砌块强度及墙体粉刷风化情况，根据技术人员的经验初步判断墙体整体强度情况。</w:t>
      </w:r>
    </w:p>
    <w:p w14:paraId="0EF78321">
      <w:pPr>
        <w:pStyle w:val="307"/>
        <w:numPr>
          <w:ilvl w:val="1"/>
          <w:numId w:val="21"/>
        </w:numPr>
        <w:tabs>
          <w:tab w:val="left" w:pos="0"/>
        </w:tabs>
        <w:spacing w:before="0" w:line="360" w:lineRule="auto"/>
        <w:ind w:left="0" w:right="-477" w:rightChars="-227" w:firstLine="418" w:firstLineChars="201"/>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混凝体老化：混凝土是否有变形、崩裂现象，钢筋是否锈蚀是否加剧失效。</w:t>
      </w:r>
    </w:p>
    <w:p w14:paraId="0668D9D6">
      <w:pPr>
        <w:pStyle w:val="307"/>
        <w:numPr>
          <w:ilvl w:val="1"/>
          <w:numId w:val="21"/>
        </w:numPr>
        <w:tabs>
          <w:tab w:val="left" w:pos="0"/>
        </w:tabs>
        <w:spacing w:before="0" w:line="360" w:lineRule="auto"/>
        <w:ind w:left="0" w:right="-477" w:rightChars="-227" w:firstLine="418" w:firstLineChars="201"/>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外墙破墙开洞：楼梯间墙体是否新增开洞（水表箱、电表箱等），外墙（除楼梯间外）是否新增破墙开洞（开门窗洞），新增洞口位置、尺寸；原墙体开洞部位是否出现裂缝、变形等情况。</w:t>
      </w:r>
    </w:p>
    <w:p w14:paraId="1DECAB65">
      <w:pPr>
        <w:pStyle w:val="307"/>
        <w:numPr>
          <w:ilvl w:val="1"/>
          <w:numId w:val="21"/>
        </w:numPr>
        <w:tabs>
          <w:tab w:val="left" w:pos="0"/>
        </w:tabs>
        <w:spacing w:before="0" w:line="360" w:lineRule="auto"/>
        <w:ind w:left="0" w:right="-477" w:rightChars="-227" w:firstLine="418" w:firstLineChars="201"/>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房屋周边环境是否发生影响安全使用的变化。</w:t>
      </w:r>
    </w:p>
    <w:p w14:paraId="0018FC30">
      <w:pPr>
        <w:pStyle w:val="307"/>
        <w:numPr>
          <w:ilvl w:val="1"/>
          <w:numId w:val="21"/>
        </w:numPr>
        <w:tabs>
          <w:tab w:val="left" w:pos="0"/>
        </w:tabs>
        <w:spacing w:before="0" w:line="360" w:lineRule="auto"/>
        <w:ind w:left="0" w:right="-477" w:rightChars="-227" w:firstLine="418" w:firstLineChars="201"/>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房屋出现了其他异常现象。</w:t>
      </w:r>
    </w:p>
    <w:p w14:paraId="4B64AE14">
      <w:pPr>
        <w:pStyle w:val="307"/>
        <w:numPr>
          <w:ilvl w:val="2"/>
          <w:numId w:val="19"/>
        </w:numPr>
        <w:tabs>
          <w:tab w:val="left" w:pos="851"/>
        </w:tabs>
        <w:spacing w:before="0" w:line="360" w:lineRule="auto"/>
        <w:ind w:left="0" w:right="-477" w:rightChars="-227" w:firstLine="418" w:firstLineChars="201"/>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房屋入户检查</w:t>
      </w:r>
    </w:p>
    <w:p w14:paraId="076E6346">
      <w:pPr>
        <w:pStyle w:val="104"/>
        <w:numPr>
          <w:ilvl w:val="1"/>
          <w:numId w:val="22"/>
        </w:numPr>
        <w:spacing w:before="157" w:line="276" w:lineRule="auto"/>
        <w:ind w:left="0" w:firstLine="420" w:firstLineChars="0"/>
        <w:rPr>
          <w:rFonts w:hint="eastAsia" w:ascii="微软雅黑" w:hAnsi="微软雅黑"/>
          <w:color w:val="auto"/>
          <w:highlight w:val="none"/>
        </w:rPr>
      </w:pPr>
      <w:r>
        <w:rPr>
          <w:rFonts w:ascii="微软雅黑" w:hAnsi="微软雅黑" w:cs="宋体"/>
          <w:color w:val="auto"/>
          <w:highlight w:val="none"/>
        </w:rPr>
        <w:t>户内承重墙体开洞位置、洞口大小</w:t>
      </w:r>
      <w:r>
        <w:rPr>
          <w:rFonts w:hint="eastAsia" w:ascii="微软雅黑" w:hAnsi="微软雅黑" w:cs="宋体"/>
          <w:color w:val="auto"/>
          <w:highlight w:val="none"/>
        </w:rPr>
        <w:t>。</w:t>
      </w:r>
    </w:p>
    <w:p w14:paraId="764D4DE8">
      <w:pPr>
        <w:pStyle w:val="104"/>
        <w:numPr>
          <w:ilvl w:val="1"/>
          <w:numId w:val="22"/>
        </w:numPr>
        <w:spacing w:before="159" w:line="276" w:lineRule="auto"/>
        <w:ind w:left="0" w:firstLine="420" w:firstLineChars="0"/>
        <w:rPr>
          <w:rFonts w:hint="eastAsia" w:ascii="微软雅黑" w:hAnsi="微软雅黑"/>
          <w:color w:val="auto"/>
          <w:highlight w:val="none"/>
        </w:rPr>
      </w:pPr>
      <w:r>
        <w:rPr>
          <w:rFonts w:ascii="微软雅黑" w:hAnsi="微软雅黑" w:cs="宋体"/>
          <w:color w:val="auto"/>
          <w:highlight w:val="none"/>
        </w:rPr>
        <w:t>装修情况，特别是上下楼层之间的装修对比，检查是否有装修改变原结构体系的情况</w:t>
      </w:r>
      <w:r>
        <w:rPr>
          <w:rFonts w:hint="eastAsia" w:ascii="微软雅黑" w:hAnsi="微软雅黑" w:cs="宋体"/>
          <w:color w:val="auto"/>
          <w:highlight w:val="none"/>
        </w:rPr>
        <w:t>。</w:t>
      </w:r>
    </w:p>
    <w:p w14:paraId="59F27E25">
      <w:pPr>
        <w:pStyle w:val="104"/>
        <w:numPr>
          <w:ilvl w:val="1"/>
          <w:numId w:val="22"/>
        </w:numPr>
        <w:spacing w:before="159" w:line="276" w:lineRule="auto"/>
        <w:ind w:left="0" w:firstLine="420" w:firstLineChars="0"/>
        <w:rPr>
          <w:rFonts w:hint="eastAsia" w:ascii="微软雅黑" w:hAnsi="微软雅黑"/>
          <w:color w:val="auto"/>
          <w:highlight w:val="none"/>
        </w:rPr>
      </w:pPr>
      <w:r>
        <w:rPr>
          <w:rFonts w:ascii="微软雅黑" w:hAnsi="微软雅黑" w:cs="宋体"/>
          <w:color w:val="auto"/>
          <w:highlight w:val="none"/>
        </w:rPr>
        <w:t>卫生间加高情况、墙体是否移动位置、多孔板开孔等</w:t>
      </w:r>
      <w:r>
        <w:rPr>
          <w:rFonts w:hint="eastAsia" w:ascii="微软雅黑" w:hAnsi="微软雅黑" w:cs="宋体"/>
          <w:color w:val="auto"/>
          <w:highlight w:val="none"/>
        </w:rPr>
        <w:t>。</w:t>
      </w:r>
    </w:p>
    <w:p w14:paraId="3E28663C">
      <w:pPr>
        <w:pStyle w:val="104"/>
        <w:numPr>
          <w:ilvl w:val="1"/>
          <w:numId w:val="22"/>
        </w:numPr>
        <w:spacing w:before="157" w:line="276" w:lineRule="auto"/>
        <w:ind w:left="0" w:firstLine="420" w:firstLineChars="0"/>
        <w:rPr>
          <w:rFonts w:hint="eastAsia" w:ascii="微软雅黑" w:hAnsi="微软雅黑"/>
          <w:color w:val="auto"/>
          <w:highlight w:val="none"/>
        </w:rPr>
      </w:pPr>
      <w:r>
        <w:rPr>
          <w:rFonts w:ascii="微软雅黑" w:hAnsi="微软雅黑" w:cs="宋体"/>
          <w:color w:val="auto"/>
          <w:highlight w:val="none"/>
        </w:rPr>
        <w:t>是否改变使用用途</w:t>
      </w:r>
      <w:r>
        <w:rPr>
          <w:rFonts w:hint="eastAsia" w:ascii="微软雅黑" w:hAnsi="微软雅黑" w:cs="宋体"/>
          <w:color w:val="auto"/>
          <w:highlight w:val="none"/>
        </w:rPr>
        <w:t>。</w:t>
      </w:r>
    </w:p>
    <w:p w14:paraId="61F7C09A">
      <w:pPr>
        <w:pStyle w:val="104"/>
        <w:numPr>
          <w:ilvl w:val="1"/>
          <w:numId w:val="22"/>
        </w:numPr>
        <w:spacing w:before="159" w:line="276" w:lineRule="auto"/>
        <w:ind w:left="0" w:firstLine="420" w:firstLineChars="0"/>
        <w:rPr>
          <w:rFonts w:hint="eastAsia" w:ascii="微软雅黑" w:hAnsi="微软雅黑"/>
          <w:color w:val="auto"/>
          <w:highlight w:val="none"/>
        </w:rPr>
      </w:pPr>
      <w:r>
        <w:rPr>
          <w:rFonts w:ascii="微软雅黑" w:hAnsi="微软雅黑" w:cs="宋体"/>
          <w:color w:val="auto"/>
          <w:highlight w:val="none"/>
        </w:rPr>
        <w:t>房屋是否出租、违规分隔为多个房间</w:t>
      </w:r>
      <w:r>
        <w:rPr>
          <w:rFonts w:hint="eastAsia" w:ascii="微软雅黑" w:hAnsi="微软雅黑" w:cs="宋体"/>
          <w:color w:val="auto"/>
          <w:highlight w:val="none"/>
        </w:rPr>
        <w:t>。</w:t>
      </w:r>
    </w:p>
    <w:p w14:paraId="2D0D7009">
      <w:pPr>
        <w:pStyle w:val="104"/>
        <w:numPr>
          <w:ilvl w:val="1"/>
          <w:numId w:val="22"/>
        </w:numPr>
        <w:spacing w:before="159" w:line="276" w:lineRule="auto"/>
        <w:ind w:left="0" w:firstLine="420" w:firstLineChars="0"/>
        <w:rPr>
          <w:rFonts w:hint="eastAsia" w:ascii="微软雅黑" w:hAnsi="微软雅黑"/>
          <w:color w:val="auto"/>
          <w:highlight w:val="none"/>
        </w:rPr>
      </w:pPr>
      <w:r>
        <w:rPr>
          <w:rFonts w:ascii="微软雅黑" w:hAnsi="微软雅黑" w:cs="宋体"/>
          <w:color w:val="auto"/>
          <w:highlight w:val="none"/>
        </w:rPr>
        <w:t>排查阶段发现的问题在动态监测过程中是否显现出破坏。</w:t>
      </w:r>
    </w:p>
    <w:p w14:paraId="25101F88">
      <w:pPr>
        <w:pStyle w:val="104"/>
        <w:numPr>
          <w:ilvl w:val="1"/>
          <w:numId w:val="22"/>
        </w:numPr>
        <w:spacing w:before="157" w:line="276" w:lineRule="auto"/>
        <w:ind w:left="0" w:firstLine="420" w:firstLineChars="0"/>
        <w:rPr>
          <w:rFonts w:hint="eastAsia" w:ascii="微软雅黑" w:hAnsi="微软雅黑"/>
          <w:color w:val="auto"/>
          <w:highlight w:val="none"/>
        </w:rPr>
      </w:pPr>
      <w:r>
        <w:rPr>
          <w:rFonts w:ascii="微软雅黑" w:hAnsi="微软雅黑" w:cs="宋体"/>
          <w:color w:val="auto"/>
          <w:highlight w:val="none"/>
          <w:lang w:eastAsia="en-US"/>
        </w:rPr>
        <w:t>发现违章装修现象。</w:t>
      </w:r>
    </w:p>
    <w:p w14:paraId="7EB9A45F">
      <w:pPr>
        <w:pStyle w:val="307"/>
        <w:numPr>
          <w:ilvl w:val="2"/>
          <w:numId w:val="19"/>
        </w:numPr>
        <w:tabs>
          <w:tab w:val="left" w:pos="851"/>
        </w:tabs>
        <w:spacing w:before="0" w:line="360" w:lineRule="auto"/>
        <w:ind w:left="0" w:right="-477" w:rightChars="-227" w:firstLine="426"/>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房屋入户检查</w:t>
      </w:r>
    </w:p>
    <w:p w14:paraId="07BFEFAE">
      <w:pPr>
        <w:pStyle w:val="104"/>
        <w:numPr>
          <w:ilvl w:val="1"/>
          <w:numId w:val="23"/>
        </w:numPr>
        <w:spacing w:before="159" w:line="276" w:lineRule="auto"/>
        <w:ind w:left="0" w:firstLine="426" w:firstLineChars="0"/>
        <w:rPr>
          <w:rFonts w:hint="eastAsia" w:ascii="微软雅黑" w:hAnsi="微软雅黑"/>
          <w:color w:val="auto"/>
          <w:highlight w:val="none"/>
        </w:rPr>
      </w:pPr>
      <w:r>
        <w:rPr>
          <w:rFonts w:ascii="微软雅黑" w:hAnsi="微软雅黑" w:cs="宋体"/>
          <w:color w:val="auto"/>
          <w:highlight w:val="none"/>
        </w:rPr>
        <w:t>建筑物沉降观测精度要求为二级</w:t>
      </w:r>
      <w:r>
        <w:rPr>
          <w:rFonts w:hint="eastAsia" w:ascii="微软雅黑" w:hAnsi="微软雅黑" w:cs="宋体"/>
          <w:color w:val="auto"/>
          <w:highlight w:val="none"/>
        </w:rPr>
        <w:t>。</w:t>
      </w:r>
    </w:p>
    <w:p w14:paraId="73C475DD">
      <w:pPr>
        <w:pStyle w:val="104"/>
        <w:numPr>
          <w:ilvl w:val="1"/>
          <w:numId w:val="23"/>
        </w:numPr>
        <w:spacing w:before="157" w:line="276" w:lineRule="auto"/>
        <w:ind w:left="0" w:firstLine="426" w:firstLineChars="0"/>
        <w:rPr>
          <w:rFonts w:hint="eastAsia" w:ascii="微软雅黑" w:hAnsi="微软雅黑"/>
          <w:color w:val="auto"/>
          <w:highlight w:val="none"/>
        </w:rPr>
      </w:pPr>
      <w:r>
        <w:rPr>
          <w:rFonts w:ascii="微软雅黑" w:hAnsi="微软雅黑" w:cs="宋体"/>
          <w:color w:val="auto"/>
          <w:highlight w:val="none"/>
        </w:rPr>
        <w:t>按要求设置观测点、基准点，观测点数布置不能低于国家规范</w:t>
      </w:r>
      <w:r>
        <w:rPr>
          <w:rFonts w:hint="eastAsia" w:ascii="微软雅黑" w:hAnsi="微软雅黑" w:cs="宋体"/>
          <w:color w:val="auto"/>
          <w:highlight w:val="none"/>
        </w:rPr>
        <w:t>。</w:t>
      </w:r>
    </w:p>
    <w:p w14:paraId="4A8CD443">
      <w:pPr>
        <w:pStyle w:val="104"/>
        <w:numPr>
          <w:ilvl w:val="1"/>
          <w:numId w:val="23"/>
        </w:numPr>
        <w:spacing w:before="159" w:line="276" w:lineRule="auto"/>
        <w:ind w:left="0" w:firstLine="426" w:firstLineChars="0"/>
        <w:rPr>
          <w:rFonts w:hint="eastAsia" w:ascii="微软雅黑" w:hAnsi="微软雅黑"/>
          <w:color w:val="auto"/>
          <w:highlight w:val="none"/>
        </w:rPr>
      </w:pPr>
      <w:r>
        <w:rPr>
          <w:rFonts w:ascii="微软雅黑" w:hAnsi="微软雅黑" w:cs="宋体"/>
          <w:color w:val="auto"/>
          <w:highlight w:val="none"/>
        </w:rPr>
        <w:t>在观测过程中，若有基础附近地面荷载突然增减、基础口周大量积水、长时间连续降雨等情况均应及时增加观测次数。当建筑突然发生大量沉降、不均匀沉降或严重裂缝时，应立即报告</w:t>
      </w:r>
      <w:r>
        <w:rPr>
          <w:rFonts w:hint="eastAsia" w:ascii="微软雅黑" w:hAnsi="微软雅黑" w:cs="宋体"/>
          <w:color w:val="auto"/>
          <w:highlight w:val="none"/>
        </w:rPr>
        <w:t>秀洲区</w:t>
      </w:r>
      <w:r>
        <w:rPr>
          <w:rFonts w:ascii="微软雅黑" w:hAnsi="微软雅黑" w:cs="宋体"/>
          <w:color w:val="auto"/>
          <w:highlight w:val="none"/>
        </w:rPr>
        <w:t>住房和城乡建设规划局和当地镇街道，并协助镇街道做好居民撤离工作</w:t>
      </w:r>
      <w:r>
        <w:rPr>
          <w:rFonts w:hint="eastAsia" w:ascii="微软雅黑" w:hAnsi="微软雅黑" w:cs="宋体"/>
          <w:color w:val="auto"/>
          <w:highlight w:val="none"/>
        </w:rPr>
        <w:t>。</w:t>
      </w:r>
    </w:p>
    <w:p w14:paraId="5F3A8F2D">
      <w:pPr>
        <w:pStyle w:val="307"/>
        <w:numPr>
          <w:ilvl w:val="2"/>
          <w:numId w:val="19"/>
        </w:numPr>
        <w:tabs>
          <w:tab w:val="left" w:pos="851"/>
        </w:tabs>
        <w:spacing w:before="0" w:line="360" w:lineRule="auto"/>
        <w:ind w:left="0" w:right="-477" w:rightChars="-227" w:firstLine="426"/>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倾斜观测</w:t>
      </w:r>
    </w:p>
    <w:p w14:paraId="2E6EED1F">
      <w:pPr>
        <w:pStyle w:val="104"/>
        <w:numPr>
          <w:ilvl w:val="1"/>
          <w:numId w:val="24"/>
        </w:numPr>
        <w:spacing w:before="157"/>
        <w:ind w:left="0" w:firstLine="426" w:firstLineChars="0"/>
        <w:rPr>
          <w:rFonts w:hint="eastAsia" w:ascii="微软雅黑" w:hAnsi="微软雅黑"/>
          <w:color w:val="auto"/>
          <w:highlight w:val="none"/>
        </w:rPr>
      </w:pPr>
      <w:r>
        <w:rPr>
          <w:rFonts w:ascii="微软雅黑" w:hAnsi="微软雅黑" w:cs="宋体"/>
          <w:color w:val="auto"/>
          <w:highlight w:val="none"/>
        </w:rPr>
        <w:t>按可操作的实际情况布设观测点</w:t>
      </w:r>
      <w:r>
        <w:rPr>
          <w:rFonts w:hint="eastAsia" w:ascii="微软雅黑" w:hAnsi="微软雅黑" w:cs="宋体"/>
          <w:color w:val="auto"/>
          <w:highlight w:val="none"/>
        </w:rPr>
        <w:t>。</w:t>
      </w:r>
    </w:p>
    <w:p w14:paraId="110AF348">
      <w:pPr>
        <w:pStyle w:val="104"/>
        <w:numPr>
          <w:ilvl w:val="1"/>
          <w:numId w:val="24"/>
        </w:numPr>
        <w:spacing w:before="159"/>
        <w:ind w:left="0" w:firstLine="426" w:firstLineChars="0"/>
        <w:rPr>
          <w:rFonts w:hint="eastAsia" w:ascii="微软雅黑" w:hAnsi="微软雅黑"/>
          <w:color w:val="auto"/>
          <w:highlight w:val="none"/>
        </w:rPr>
      </w:pPr>
      <w:r>
        <w:rPr>
          <w:rFonts w:ascii="微软雅黑" w:hAnsi="微软雅黑" w:cs="宋体"/>
          <w:color w:val="auto"/>
          <w:highlight w:val="none"/>
        </w:rPr>
        <w:t>当遇基础附近因大量堆载或卸载、场地降雨长期积水等而导致倾斜速度加快时，应及时增加观测次数。当建筑倾斜已严重影响居民居住安全时，应立即报告</w:t>
      </w:r>
      <w:r>
        <w:rPr>
          <w:rFonts w:hint="eastAsia" w:ascii="微软雅黑" w:hAnsi="微软雅黑" w:cs="宋体"/>
          <w:color w:val="auto"/>
          <w:highlight w:val="none"/>
        </w:rPr>
        <w:t>秀洲区</w:t>
      </w:r>
      <w:r>
        <w:rPr>
          <w:rFonts w:ascii="微软雅黑" w:hAnsi="微软雅黑" w:cs="宋体"/>
          <w:color w:val="auto"/>
          <w:highlight w:val="none"/>
        </w:rPr>
        <w:t>住房和城乡建设规划局和当地镇街道，并协助镇街道做好居民撤离工作</w:t>
      </w:r>
      <w:r>
        <w:rPr>
          <w:rFonts w:hint="eastAsia" w:ascii="微软雅黑" w:hAnsi="微软雅黑" w:cs="宋体"/>
          <w:color w:val="auto"/>
          <w:highlight w:val="none"/>
        </w:rPr>
        <w:t>。</w:t>
      </w:r>
    </w:p>
    <w:p w14:paraId="5B80A156">
      <w:pPr>
        <w:pStyle w:val="307"/>
        <w:numPr>
          <w:ilvl w:val="2"/>
          <w:numId w:val="19"/>
        </w:numPr>
        <w:tabs>
          <w:tab w:val="left" w:pos="851"/>
        </w:tabs>
        <w:spacing w:before="0" w:line="360" w:lineRule="auto"/>
        <w:ind w:left="0" w:right="-477" w:rightChars="-227" w:firstLine="426"/>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裂缝观测</w:t>
      </w:r>
    </w:p>
    <w:p w14:paraId="5E88F22B">
      <w:pPr>
        <w:pStyle w:val="104"/>
        <w:numPr>
          <w:ilvl w:val="1"/>
          <w:numId w:val="25"/>
        </w:numPr>
        <w:spacing w:before="198" w:line="276" w:lineRule="auto"/>
        <w:ind w:left="0" w:firstLine="426" w:firstLineChars="0"/>
        <w:rPr>
          <w:rFonts w:hint="eastAsia" w:ascii="微软雅黑" w:hAnsi="微软雅黑"/>
          <w:color w:val="auto"/>
          <w:highlight w:val="none"/>
        </w:rPr>
      </w:pPr>
      <w:r>
        <w:rPr>
          <w:rFonts w:ascii="微软雅黑" w:hAnsi="微软雅黑" w:cs="宋体"/>
          <w:color w:val="auto"/>
          <w:highlight w:val="none"/>
        </w:rPr>
        <w:t>对需要观测的裂缝应统一进行编号。每条裂缝应至少布设两组观测标志，其中一组应在裂缝的最宽处，另一组应在裂缝的末端。每组应使用两个对应的标志，分别设在裂缝的两侧</w:t>
      </w:r>
      <w:r>
        <w:rPr>
          <w:rFonts w:hint="eastAsia" w:ascii="微软雅黑" w:hAnsi="微软雅黑" w:cs="宋体"/>
          <w:color w:val="auto"/>
          <w:highlight w:val="none"/>
        </w:rPr>
        <w:t>。</w:t>
      </w:r>
    </w:p>
    <w:p w14:paraId="60D884C9">
      <w:pPr>
        <w:pStyle w:val="104"/>
        <w:numPr>
          <w:ilvl w:val="1"/>
          <w:numId w:val="25"/>
        </w:numPr>
        <w:spacing w:before="175" w:line="276" w:lineRule="auto"/>
        <w:ind w:left="0" w:firstLine="426" w:firstLineChars="0"/>
        <w:rPr>
          <w:rFonts w:hint="eastAsia" w:ascii="微软雅黑" w:hAnsi="微软雅黑"/>
          <w:color w:val="auto"/>
          <w:highlight w:val="none"/>
        </w:rPr>
      </w:pPr>
      <w:r>
        <w:rPr>
          <w:rFonts w:ascii="微软雅黑" w:hAnsi="微软雅黑" w:cs="宋体"/>
          <w:color w:val="auto"/>
          <w:highlight w:val="none"/>
        </w:rPr>
        <w:t>当发现裂缝加大时，应及时增加观测次数。裂缝观测中，裂缝宽度数据应量至</w:t>
      </w:r>
      <w:r>
        <w:rPr>
          <w:rFonts w:ascii="微软雅黑" w:hAnsi="微软雅黑" w:cstheme="minorBidi"/>
          <w:color w:val="auto"/>
          <w:spacing w:val="2"/>
          <w:highlight w:val="none"/>
        </w:rPr>
        <w:t xml:space="preserve"> </w:t>
      </w:r>
      <w:r>
        <w:rPr>
          <w:rFonts w:ascii="微软雅黑" w:hAnsi="微软雅黑" w:cstheme="minorBidi"/>
          <w:color w:val="auto"/>
          <w:highlight w:val="none"/>
        </w:rPr>
        <w:t>0.1mm</w:t>
      </w:r>
      <w:r>
        <w:rPr>
          <w:rFonts w:ascii="微软雅黑" w:hAnsi="微软雅黑" w:cs="宋体"/>
          <w:color w:val="auto"/>
          <w:highlight w:val="none"/>
        </w:rPr>
        <w:t>，每次观测应绘出裂缝的位置、形态和尺寸，注明日期，并拍摄裂缝照片；</w:t>
      </w:r>
      <w:r>
        <w:rPr>
          <w:rFonts w:ascii="微软雅黑" w:hAnsi="微软雅黑" w:cstheme="minorBidi"/>
          <w:color w:val="auto"/>
          <w:highlight w:val="none"/>
        </w:rPr>
        <w:t>3)</w:t>
      </w:r>
      <w:r>
        <w:rPr>
          <w:rFonts w:ascii="微软雅黑" w:hAnsi="微软雅黑" w:cs="宋体"/>
          <w:color w:val="auto"/>
          <w:highlight w:val="none"/>
        </w:rPr>
        <w:t>当建筑严重裂缝，严重影响居住安全时，应立即报告</w:t>
      </w:r>
      <w:r>
        <w:rPr>
          <w:rFonts w:hint="eastAsia" w:ascii="微软雅黑" w:hAnsi="微软雅黑" w:cs="宋体"/>
          <w:color w:val="auto"/>
          <w:highlight w:val="none"/>
        </w:rPr>
        <w:t>秀洲区</w:t>
      </w:r>
      <w:r>
        <w:rPr>
          <w:rFonts w:ascii="微软雅黑" w:hAnsi="微软雅黑" w:cs="宋体"/>
          <w:color w:val="auto"/>
          <w:highlight w:val="none"/>
        </w:rPr>
        <w:t>住房和城乡建设规划局和当地镇街道，并协助镇街道做好居民撤离工作</w:t>
      </w:r>
      <w:r>
        <w:rPr>
          <w:rFonts w:hint="eastAsia" w:ascii="微软雅黑" w:hAnsi="微软雅黑" w:cs="宋体"/>
          <w:color w:val="auto"/>
          <w:highlight w:val="none"/>
        </w:rPr>
        <w:t>。</w:t>
      </w:r>
    </w:p>
    <w:p w14:paraId="2EA03CA9">
      <w:pPr>
        <w:pStyle w:val="307"/>
        <w:numPr>
          <w:ilvl w:val="2"/>
          <w:numId w:val="19"/>
        </w:numPr>
        <w:tabs>
          <w:tab w:val="left" w:pos="851"/>
        </w:tabs>
        <w:spacing w:before="0" w:line="360" w:lineRule="auto"/>
        <w:ind w:left="0" w:right="-477" w:rightChars="-227" w:firstLine="426"/>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监测的数据真实性及准确率由中标人负责，如采购人抽检发现数据存在造假、误差率超过 10%的，采购人有权向中标人提出赔偿，情况严重的可以直接解除合同。</w:t>
      </w:r>
    </w:p>
    <w:p w14:paraId="44A9CF7C">
      <w:pPr>
        <w:pStyle w:val="307"/>
        <w:numPr>
          <w:ilvl w:val="2"/>
          <w:numId w:val="19"/>
        </w:numPr>
        <w:tabs>
          <w:tab w:val="left" w:pos="851"/>
        </w:tabs>
        <w:spacing w:before="0" w:line="360" w:lineRule="auto"/>
        <w:ind w:left="0" w:right="-477" w:rightChars="-227" w:firstLine="426"/>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监测频率按每年两次为最低标准，投标人在此基础上如有更优质的服务，可以在实施方案中说明。</w:t>
      </w:r>
    </w:p>
    <w:p w14:paraId="4172E36F">
      <w:pPr>
        <w:pStyle w:val="307"/>
        <w:numPr>
          <w:ilvl w:val="2"/>
          <w:numId w:val="19"/>
        </w:numPr>
        <w:tabs>
          <w:tab w:val="left" w:pos="851"/>
        </w:tabs>
        <w:spacing w:before="0" w:line="276" w:lineRule="auto"/>
        <w:ind w:left="0" w:right="-477" w:rightChars="-227" w:firstLine="426"/>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预警要求</w:t>
      </w:r>
    </w:p>
    <w:p w14:paraId="01FB57D2">
      <w:pPr>
        <w:pStyle w:val="104"/>
        <w:spacing w:before="175" w:line="276" w:lineRule="auto"/>
        <w:ind w:firstLine="424" w:firstLineChars="202"/>
        <w:rPr>
          <w:rFonts w:hint="eastAsia" w:ascii="微软雅黑" w:hAnsi="微软雅黑"/>
          <w:color w:val="auto"/>
          <w:highlight w:val="none"/>
        </w:rPr>
      </w:pPr>
      <w:r>
        <w:rPr>
          <w:rFonts w:hint="eastAsia" w:ascii="微软雅黑" w:hAnsi="微软雅黑"/>
          <w:color w:val="auto"/>
          <w:highlight w:val="none"/>
        </w:rPr>
        <w:t>监测机构根据监测情况及天气预报情况，提前发出撤离预警或安全预警，其中房屋自身开裂、倾斜等安全预警原则上不少于 24 小时。</w:t>
      </w:r>
    </w:p>
    <w:p w14:paraId="5563E818">
      <w:pPr>
        <w:numPr>
          <w:ilvl w:val="0"/>
          <w:numId w:val="26"/>
        </w:numPr>
        <w:adjustRightInd w:val="0"/>
        <w:snapToGrid w:val="0"/>
        <w:spacing w:line="500" w:lineRule="exact"/>
        <w:ind w:firstLine="420" w:firstLineChars="0"/>
        <w:outlineLvl w:val="1"/>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技术标准、规范（不限于以下）</w:t>
      </w:r>
    </w:p>
    <w:p w14:paraId="134ACEFF">
      <w:pPr>
        <w:pStyle w:val="307"/>
        <w:tabs>
          <w:tab w:val="left" w:pos="0"/>
        </w:tabs>
        <w:spacing w:before="0" w:line="276" w:lineRule="auto"/>
        <w:ind w:left="420" w:right="-477" w:rightChars="-227" w:firstLine="0"/>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国家规定的标准及规范、行业标准及规范。包括但不仅限于以下规范：</w:t>
      </w:r>
    </w:p>
    <w:p w14:paraId="63F8EF5D">
      <w:pPr>
        <w:pStyle w:val="307"/>
        <w:numPr>
          <w:ilvl w:val="0"/>
          <w:numId w:val="27"/>
        </w:numPr>
        <w:tabs>
          <w:tab w:val="left" w:pos="0"/>
          <w:tab w:val="left" w:pos="840"/>
          <w:tab w:val="left" w:pos="1050"/>
        </w:tabs>
        <w:spacing w:before="0" w:line="276" w:lineRule="auto"/>
        <w:ind w:left="-2" w:leftChars="-1" w:right="-477" w:rightChars="-227" w:firstLine="426" w:firstLineChars="205"/>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《危险房屋鉴定标准》JGJ125；</w:t>
      </w:r>
    </w:p>
    <w:p w14:paraId="5AA6C90A">
      <w:pPr>
        <w:pStyle w:val="307"/>
        <w:numPr>
          <w:ilvl w:val="0"/>
          <w:numId w:val="27"/>
        </w:numPr>
        <w:tabs>
          <w:tab w:val="left" w:pos="0"/>
          <w:tab w:val="left" w:pos="840"/>
          <w:tab w:val="left" w:pos="1050"/>
        </w:tabs>
        <w:spacing w:before="0" w:line="276" w:lineRule="auto"/>
        <w:ind w:left="-2" w:leftChars="-1" w:right="-477" w:rightChars="-227" w:firstLine="426" w:firstLineChars="205"/>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《建筑变形测量规范》JGJ8；</w:t>
      </w:r>
    </w:p>
    <w:p w14:paraId="60B9F336">
      <w:pPr>
        <w:pStyle w:val="307"/>
        <w:numPr>
          <w:ilvl w:val="0"/>
          <w:numId w:val="27"/>
        </w:numPr>
        <w:tabs>
          <w:tab w:val="left" w:pos="0"/>
          <w:tab w:val="left" w:pos="840"/>
          <w:tab w:val="left" w:pos="1050"/>
        </w:tabs>
        <w:spacing w:before="0" w:line="276" w:lineRule="auto"/>
        <w:ind w:left="-2" w:leftChars="-1" w:right="-477" w:rightChars="-227" w:firstLine="426" w:firstLineChars="205"/>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《木结构工程施工质量验收规范》GB50206；</w:t>
      </w:r>
    </w:p>
    <w:p w14:paraId="4BC1A12B">
      <w:pPr>
        <w:pStyle w:val="307"/>
        <w:numPr>
          <w:ilvl w:val="0"/>
          <w:numId w:val="27"/>
        </w:numPr>
        <w:tabs>
          <w:tab w:val="left" w:pos="0"/>
          <w:tab w:val="left" w:pos="840"/>
          <w:tab w:val="left" w:pos="1050"/>
        </w:tabs>
        <w:spacing w:before="0" w:line="276" w:lineRule="auto"/>
        <w:ind w:left="-2" w:leftChars="-1" w:right="-477" w:rightChars="-227" w:firstLine="426" w:firstLineChars="205"/>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《屋面工程质量验收规范》GB50207；</w:t>
      </w:r>
    </w:p>
    <w:p w14:paraId="69B91F8A">
      <w:pPr>
        <w:pStyle w:val="307"/>
        <w:numPr>
          <w:ilvl w:val="0"/>
          <w:numId w:val="27"/>
        </w:numPr>
        <w:tabs>
          <w:tab w:val="left" w:pos="0"/>
          <w:tab w:val="left" w:pos="840"/>
          <w:tab w:val="left" w:pos="1050"/>
        </w:tabs>
        <w:spacing w:before="0" w:line="276" w:lineRule="auto"/>
        <w:ind w:left="-2" w:leftChars="-1" w:right="-477" w:rightChars="-227" w:firstLine="426" w:firstLineChars="205"/>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《住宅装饰装修工程施工规范》GB50327；</w:t>
      </w:r>
    </w:p>
    <w:p w14:paraId="05CBE063">
      <w:pPr>
        <w:pStyle w:val="307"/>
        <w:numPr>
          <w:ilvl w:val="0"/>
          <w:numId w:val="27"/>
        </w:numPr>
        <w:tabs>
          <w:tab w:val="left" w:pos="0"/>
          <w:tab w:val="left" w:pos="840"/>
          <w:tab w:val="left" w:pos="1050"/>
        </w:tabs>
        <w:spacing w:before="0" w:line="276" w:lineRule="auto"/>
        <w:ind w:left="-2" w:leftChars="-1" w:right="-477" w:rightChars="-227" w:firstLine="426" w:firstLineChars="205"/>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《建筑装饰装修工程质量验收规范》GB50210；</w:t>
      </w:r>
    </w:p>
    <w:p w14:paraId="7CFD96F7">
      <w:pPr>
        <w:pStyle w:val="307"/>
        <w:numPr>
          <w:ilvl w:val="0"/>
          <w:numId w:val="27"/>
        </w:numPr>
        <w:tabs>
          <w:tab w:val="left" w:pos="0"/>
          <w:tab w:val="left" w:pos="840"/>
          <w:tab w:val="left" w:pos="1050"/>
        </w:tabs>
        <w:spacing w:before="0" w:line="276" w:lineRule="auto"/>
        <w:ind w:left="-2" w:leftChars="-1" w:right="-477" w:rightChars="-227" w:firstLine="426" w:firstLineChars="205"/>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《外墙饰面砖工程施工及验收规程》JGJ126；</w:t>
      </w:r>
    </w:p>
    <w:p w14:paraId="738C727A">
      <w:pPr>
        <w:pStyle w:val="307"/>
        <w:numPr>
          <w:ilvl w:val="0"/>
          <w:numId w:val="27"/>
        </w:numPr>
        <w:tabs>
          <w:tab w:val="left" w:pos="0"/>
          <w:tab w:val="left" w:pos="840"/>
          <w:tab w:val="left" w:pos="1050"/>
        </w:tabs>
        <w:spacing w:before="0" w:line="276" w:lineRule="auto"/>
        <w:ind w:left="-2" w:leftChars="-1" w:right="-477" w:rightChars="-227" w:firstLine="426" w:firstLineChars="205"/>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《建筑工程饰面砖粘结强度检验标准》JGJ1108；</w:t>
      </w:r>
    </w:p>
    <w:p w14:paraId="4E633053">
      <w:pPr>
        <w:pStyle w:val="307"/>
        <w:tabs>
          <w:tab w:val="left" w:pos="0"/>
        </w:tabs>
        <w:spacing w:before="0" w:line="276" w:lineRule="auto"/>
        <w:ind w:left="840" w:right="-477" w:rightChars="-227" w:firstLine="0"/>
        <w:rPr>
          <w:rFonts w:hint="eastAsia" w:ascii="微软雅黑" w:hAnsi="微软雅黑" w:eastAsia="微软雅黑"/>
          <w:color w:val="auto"/>
          <w:spacing w:val="-1"/>
          <w:sz w:val="21"/>
          <w:szCs w:val="21"/>
          <w:highlight w:val="none"/>
        </w:rPr>
      </w:pPr>
      <w:r>
        <w:rPr>
          <w:rFonts w:hint="eastAsia" w:ascii="微软雅黑" w:hAnsi="微软雅黑" w:eastAsia="微软雅黑"/>
          <w:color w:val="auto"/>
          <w:spacing w:val="-1"/>
          <w:sz w:val="21"/>
          <w:szCs w:val="21"/>
          <w:highlight w:val="none"/>
        </w:rPr>
        <w:t>所有规范及标准如有变更按最新的执行。</w:t>
      </w:r>
    </w:p>
    <w:p w14:paraId="25A4649C">
      <w:pPr>
        <w:numPr>
          <w:ilvl w:val="0"/>
          <w:numId w:val="26"/>
        </w:numPr>
        <w:adjustRightInd w:val="0"/>
        <w:snapToGrid w:val="0"/>
        <w:spacing w:line="500" w:lineRule="exact"/>
        <w:ind w:firstLine="420" w:firstLineChars="0"/>
        <w:outlineLvl w:val="1"/>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人员要求</w:t>
      </w:r>
    </w:p>
    <w:p w14:paraId="0017AFC6">
      <w:pPr>
        <w:spacing w:before="175" w:line="276" w:lineRule="auto"/>
        <w:ind w:firstLine="424" w:firstLineChars="202"/>
        <w:rPr>
          <w:rFonts w:hint="eastAsia" w:ascii="微软雅黑" w:hAnsi="微软雅黑" w:cs="宋体"/>
          <w:color w:val="auto"/>
          <w:szCs w:val="22"/>
          <w:highlight w:val="none"/>
        </w:rPr>
      </w:pPr>
      <w:r>
        <w:rPr>
          <w:rFonts w:ascii="微软雅黑" w:hAnsi="微软雅黑" w:cs="宋体"/>
          <w:color w:val="auto"/>
          <w:highlight w:val="none"/>
        </w:rPr>
        <w:t>本项目派现场监测人员监测鉴定工作年限均应超过</w:t>
      </w:r>
      <w:r>
        <w:rPr>
          <w:rFonts w:ascii="微软雅黑" w:hAnsi="微软雅黑" w:cstheme="minorBidi"/>
          <w:color w:val="auto"/>
          <w:spacing w:val="2"/>
          <w:highlight w:val="none"/>
        </w:rPr>
        <w:t xml:space="preserve"> </w:t>
      </w:r>
      <w:r>
        <w:rPr>
          <w:rFonts w:ascii="微软雅黑" w:hAnsi="微软雅黑" w:cstheme="minorBidi"/>
          <w:color w:val="auto"/>
          <w:highlight w:val="none"/>
        </w:rPr>
        <w:t>5</w:t>
      </w:r>
      <w:r>
        <w:rPr>
          <w:rFonts w:ascii="微软雅黑" w:hAnsi="微软雅黑" w:cstheme="minorBidi"/>
          <w:color w:val="auto"/>
          <w:spacing w:val="1"/>
          <w:highlight w:val="none"/>
        </w:rPr>
        <w:t xml:space="preserve"> </w:t>
      </w:r>
      <w:r>
        <w:rPr>
          <w:rFonts w:ascii="微软雅黑" w:hAnsi="微软雅黑" w:cs="宋体"/>
          <w:color w:val="auto"/>
          <w:highlight w:val="none"/>
        </w:rPr>
        <w:t>年，具备丰富监测鉴定经验。项目负责人</w:t>
      </w:r>
      <w:r>
        <w:rPr>
          <w:rFonts w:ascii="微软雅黑" w:hAnsi="微软雅黑" w:cstheme="minorBidi"/>
          <w:color w:val="auto"/>
          <w:spacing w:val="2"/>
          <w:highlight w:val="none"/>
        </w:rPr>
        <w:t xml:space="preserve"> </w:t>
      </w:r>
      <w:r>
        <w:rPr>
          <w:rFonts w:ascii="微软雅黑" w:hAnsi="微软雅黑" w:cstheme="minorBidi"/>
          <w:color w:val="auto"/>
          <w:highlight w:val="none"/>
        </w:rPr>
        <w:t>1</w:t>
      </w:r>
      <w:r>
        <w:rPr>
          <w:rFonts w:ascii="微软雅黑" w:hAnsi="微软雅黑" w:cstheme="minorBidi"/>
          <w:color w:val="auto"/>
          <w:spacing w:val="-1"/>
          <w:highlight w:val="none"/>
        </w:rPr>
        <w:t xml:space="preserve"> </w:t>
      </w:r>
      <w:r>
        <w:rPr>
          <w:rFonts w:ascii="微软雅黑" w:hAnsi="微软雅黑" w:cs="宋体"/>
          <w:color w:val="auto"/>
          <w:spacing w:val="1"/>
          <w:highlight w:val="none"/>
        </w:rPr>
        <w:t>人，</w:t>
      </w:r>
      <w:r>
        <w:rPr>
          <w:rFonts w:ascii="微软雅黑" w:hAnsi="微软雅黑" w:cs="宋体"/>
          <w:color w:val="auto"/>
          <w:highlight w:val="none"/>
        </w:rPr>
        <w:t>现场监测人员不少于</w:t>
      </w:r>
      <w:r>
        <w:rPr>
          <w:rFonts w:ascii="微软雅黑" w:hAnsi="微软雅黑" w:cstheme="minorBidi"/>
          <w:color w:val="auto"/>
          <w:spacing w:val="2"/>
          <w:highlight w:val="none"/>
        </w:rPr>
        <w:t xml:space="preserve"> </w:t>
      </w:r>
      <w:r>
        <w:rPr>
          <w:rFonts w:ascii="微软雅黑" w:hAnsi="微软雅黑" w:cstheme="minorBidi"/>
          <w:color w:val="auto"/>
          <w:highlight w:val="none"/>
        </w:rPr>
        <w:t>3</w:t>
      </w:r>
      <w:r>
        <w:rPr>
          <w:rFonts w:ascii="微软雅黑" w:hAnsi="微软雅黑" w:cstheme="minorBidi"/>
          <w:color w:val="auto"/>
          <w:spacing w:val="-1"/>
          <w:highlight w:val="none"/>
        </w:rPr>
        <w:t xml:space="preserve"> </w:t>
      </w:r>
      <w:r>
        <w:rPr>
          <w:rFonts w:ascii="微软雅黑" w:hAnsi="微软雅黑" w:cs="宋体"/>
          <w:color w:val="auto"/>
          <w:spacing w:val="-1"/>
          <w:highlight w:val="none"/>
        </w:rPr>
        <w:t>组，每组人员不少于</w:t>
      </w:r>
      <w:r>
        <w:rPr>
          <w:rFonts w:ascii="微软雅黑" w:hAnsi="微软雅黑" w:cstheme="minorBidi"/>
          <w:color w:val="auto"/>
          <w:highlight w:val="none"/>
        </w:rPr>
        <w:t xml:space="preserve"> 2</w:t>
      </w:r>
      <w:r>
        <w:rPr>
          <w:rFonts w:ascii="微软雅黑" w:hAnsi="微软雅黑" w:cstheme="minorBidi"/>
          <w:color w:val="auto"/>
          <w:spacing w:val="1"/>
          <w:highlight w:val="none"/>
        </w:rPr>
        <w:t xml:space="preserve"> </w:t>
      </w:r>
      <w:r>
        <w:rPr>
          <w:rFonts w:ascii="微软雅黑" w:hAnsi="微软雅黑" w:cs="宋体"/>
          <w:color w:val="auto"/>
          <w:spacing w:val="-1"/>
          <w:highlight w:val="none"/>
        </w:rPr>
        <w:t>名，现场</w:t>
      </w:r>
      <w:r>
        <w:rPr>
          <w:rFonts w:ascii="微软雅黑" w:hAnsi="微软雅黑" w:cs="宋体"/>
          <w:color w:val="auto"/>
          <w:spacing w:val="-1"/>
          <w:highlight w:val="none"/>
          <w:woUserID w:val="1"/>
        </w:rPr>
        <w:t>监</w:t>
      </w:r>
      <w:r>
        <w:rPr>
          <w:rFonts w:ascii="微软雅黑" w:hAnsi="微软雅黑" w:cs="宋体"/>
          <w:color w:val="auto"/>
          <w:spacing w:val="-1"/>
          <w:highlight w:val="none"/>
        </w:rPr>
        <w:t>测人员至少一人具备</w:t>
      </w:r>
      <w:r>
        <w:rPr>
          <w:rFonts w:ascii="微软雅黑" w:hAnsi="微软雅黑" w:cs="宋体"/>
          <w:color w:val="auto"/>
          <w:spacing w:val="-1"/>
          <w:highlight w:val="none"/>
          <w:woUserID w:val="1"/>
        </w:rPr>
        <w:t>房屋安全相关专业</w:t>
      </w:r>
      <w:r>
        <w:rPr>
          <w:rFonts w:ascii="微软雅黑" w:hAnsi="微软雅黑" w:cs="宋体"/>
          <w:color w:val="auto"/>
          <w:spacing w:val="-1"/>
          <w:highlight w:val="none"/>
        </w:rPr>
        <w:t>工程师及以上职称。现场监</w:t>
      </w:r>
      <w:r>
        <w:rPr>
          <w:rFonts w:ascii="微软雅黑" w:hAnsi="微软雅黑" w:cs="宋体"/>
          <w:color w:val="auto"/>
          <w:szCs w:val="22"/>
          <w:highlight w:val="none"/>
        </w:rPr>
        <w:t>测人员均需常驻</w:t>
      </w:r>
      <w:r>
        <w:rPr>
          <w:rFonts w:hint="eastAsia" w:ascii="微软雅黑" w:hAnsi="微软雅黑" w:cs="宋体"/>
          <w:color w:val="auto"/>
          <w:szCs w:val="22"/>
          <w:highlight w:val="none"/>
        </w:rPr>
        <w:t>嘉兴市</w:t>
      </w:r>
      <w:r>
        <w:rPr>
          <w:rFonts w:ascii="微软雅黑" w:hAnsi="微软雅黑" w:cs="宋体"/>
          <w:color w:val="auto"/>
          <w:szCs w:val="22"/>
          <w:highlight w:val="none"/>
        </w:rPr>
        <w:t>。</w:t>
      </w:r>
    </w:p>
    <w:p w14:paraId="2EAFCC4E">
      <w:pPr>
        <w:numPr>
          <w:ilvl w:val="0"/>
          <w:numId w:val="26"/>
        </w:numPr>
        <w:adjustRightInd w:val="0"/>
        <w:snapToGrid w:val="0"/>
        <w:spacing w:line="500" w:lineRule="exact"/>
        <w:ind w:firstLine="420" w:firstLineChars="0"/>
        <w:outlineLvl w:val="1"/>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项目考核</w:t>
      </w:r>
    </w:p>
    <w:p w14:paraId="256733C4">
      <w:pPr>
        <w:pStyle w:val="104"/>
        <w:numPr>
          <w:ilvl w:val="1"/>
          <w:numId w:val="28"/>
        </w:numPr>
        <w:spacing w:before="173" w:line="276" w:lineRule="auto"/>
        <w:ind w:left="0" w:firstLine="424" w:firstLineChars="0"/>
        <w:rPr>
          <w:rFonts w:hint="eastAsia" w:ascii="微软雅黑" w:hAnsi="微软雅黑"/>
          <w:color w:val="auto"/>
          <w:highlight w:val="none"/>
        </w:rPr>
      </w:pPr>
      <w:r>
        <w:rPr>
          <w:rFonts w:ascii="微软雅黑" w:hAnsi="微软雅黑" w:cs="宋体"/>
          <w:color w:val="auto"/>
          <w:highlight w:val="none"/>
        </w:rPr>
        <w:t>考核主体：由采购人牵头</w:t>
      </w:r>
      <w:r>
        <w:rPr>
          <w:rFonts w:hint="eastAsia" w:ascii="微软雅黑" w:hAnsi="微软雅黑" w:cs="宋体"/>
          <w:color w:val="auto"/>
          <w:highlight w:val="none"/>
        </w:rPr>
        <w:t>及五个乡镇相应工作人员</w:t>
      </w:r>
      <w:r>
        <w:rPr>
          <w:rFonts w:ascii="微软雅黑" w:hAnsi="微软雅黑" w:cs="宋体"/>
          <w:color w:val="auto"/>
          <w:highlight w:val="none"/>
        </w:rPr>
        <w:t>对本项目保险及房屋动态监测工作进行考核。</w:t>
      </w:r>
    </w:p>
    <w:p w14:paraId="158D99A4">
      <w:pPr>
        <w:pStyle w:val="104"/>
        <w:numPr>
          <w:ilvl w:val="1"/>
          <w:numId w:val="28"/>
        </w:numPr>
        <w:spacing w:before="173" w:line="276" w:lineRule="auto"/>
        <w:ind w:left="0" w:firstLine="424" w:firstLineChars="0"/>
        <w:rPr>
          <w:rFonts w:hint="eastAsia" w:ascii="微软雅黑" w:hAnsi="微软雅黑" w:cs="宋体"/>
          <w:color w:val="auto"/>
          <w:highlight w:val="none"/>
        </w:rPr>
      </w:pPr>
      <w:r>
        <w:rPr>
          <w:rFonts w:ascii="微软雅黑" w:hAnsi="微软雅黑" w:cs="宋体"/>
          <w:color w:val="auto"/>
          <w:highlight w:val="none"/>
        </w:rPr>
        <w:t>考核内容和要求：</w:t>
      </w:r>
    </w:p>
    <w:p w14:paraId="63787709">
      <w:pPr>
        <w:pStyle w:val="104"/>
        <w:numPr>
          <w:ilvl w:val="5"/>
          <w:numId w:val="29"/>
        </w:numPr>
        <w:tabs>
          <w:tab w:val="left" w:pos="993"/>
        </w:tabs>
        <w:spacing w:before="159" w:line="276" w:lineRule="auto"/>
        <w:ind w:left="0" w:firstLine="424" w:firstLineChars="0"/>
        <w:rPr>
          <w:rFonts w:hint="eastAsia" w:ascii="微软雅黑" w:hAnsi="微软雅黑"/>
          <w:color w:val="auto"/>
          <w:highlight w:val="none"/>
        </w:rPr>
      </w:pPr>
      <w:r>
        <w:rPr>
          <w:rFonts w:ascii="微软雅黑" w:hAnsi="微软雅黑" w:cs="宋体"/>
          <w:color w:val="auto"/>
          <w:highlight w:val="none"/>
        </w:rPr>
        <w:t>考核方式：根据督查情况按季度对其实施考核。考核总分为</w:t>
      </w:r>
      <w:r>
        <w:rPr>
          <w:rFonts w:ascii="微软雅黑" w:hAnsi="微软雅黑" w:cstheme="minorBidi"/>
          <w:color w:val="auto"/>
          <w:spacing w:val="2"/>
          <w:highlight w:val="none"/>
        </w:rPr>
        <w:t xml:space="preserve"> </w:t>
      </w:r>
      <w:r>
        <w:rPr>
          <w:rFonts w:ascii="微软雅黑" w:hAnsi="微软雅黑" w:cstheme="minorBidi"/>
          <w:color w:val="auto"/>
          <w:spacing w:val="1"/>
          <w:highlight w:val="none"/>
        </w:rPr>
        <w:t>100</w:t>
      </w:r>
      <w:r>
        <w:rPr>
          <w:rFonts w:ascii="微软雅黑" w:hAnsi="微软雅黑" w:cstheme="minorBidi"/>
          <w:color w:val="auto"/>
          <w:spacing w:val="-2"/>
          <w:highlight w:val="none"/>
        </w:rPr>
        <w:t xml:space="preserve"> </w:t>
      </w:r>
      <w:r>
        <w:rPr>
          <w:rFonts w:ascii="微软雅黑" w:hAnsi="微软雅黑" w:cs="宋体"/>
          <w:color w:val="auto"/>
          <w:highlight w:val="none"/>
        </w:rPr>
        <w:t>分。具体考核办法见附件。</w:t>
      </w:r>
    </w:p>
    <w:p w14:paraId="6410EC0C">
      <w:pPr>
        <w:pStyle w:val="104"/>
        <w:numPr>
          <w:ilvl w:val="5"/>
          <w:numId w:val="29"/>
        </w:numPr>
        <w:tabs>
          <w:tab w:val="left" w:pos="993"/>
        </w:tabs>
        <w:spacing w:before="157" w:line="276" w:lineRule="auto"/>
        <w:ind w:left="0" w:firstLine="424" w:firstLineChars="0"/>
        <w:rPr>
          <w:rFonts w:hint="eastAsia" w:ascii="微软雅黑" w:hAnsi="微软雅黑"/>
          <w:color w:val="auto"/>
          <w:highlight w:val="none"/>
        </w:rPr>
      </w:pPr>
      <w:r>
        <w:rPr>
          <w:rFonts w:ascii="微软雅黑" w:hAnsi="微软雅黑" w:cs="宋体"/>
          <w:color w:val="auto"/>
          <w:highlight w:val="none"/>
        </w:rPr>
        <w:t>考核内容和要求：</w:t>
      </w:r>
    </w:p>
    <w:p w14:paraId="7E77CB1E">
      <w:pPr>
        <w:tabs>
          <w:tab w:val="left" w:pos="640"/>
        </w:tabs>
        <w:spacing w:before="173" w:line="276" w:lineRule="auto"/>
        <w:ind w:firstLine="384"/>
        <w:rPr>
          <w:rFonts w:hint="eastAsia" w:ascii="微软雅黑" w:hAnsi="微软雅黑"/>
          <w:color w:val="auto"/>
          <w:szCs w:val="22"/>
          <w:highlight w:val="none"/>
        </w:rPr>
      </w:pPr>
      <w:r>
        <w:rPr>
          <w:rFonts w:ascii="微软雅黑" w:hAnsi="微软雅黑"/>
          <w:color w:val="auto"/>
          <w:spacing w:val="-9"/>
          <w:szCs w:val="21"/>
          <w:highlight w:val="none"/>
        </w:rPr>
        <w:t xml:space="preserve">考核总分按 </w:t>
      </w:r>
      <w:r>
        <w:rPr>
          <w:rFonts w:ascii="微软雅黑" w:hAnsi="微软雅黑"/>
          <w:color w:val="auto"/>
          <w:szCs w:val="21"/>
          <w:highlight w:val="none"/>
        </w:rPr>
        <w:t xml:space="preserve">100 </w:t>
      </w:r>
      <w:r>
        <w:rPr>
          <w:rFonts w:ascii="微软雅黑" w:hAnsi="微软雅黑"/>
          <w:color w:val="auto"/>
          <w:spacing w:val="-2"/>
          <w:szCs w:val="21"/>
          <w:highlight w:val="none"/>
        </w:rPr>
        <w:t>分计算</w:t>
      </w:r>
      <w:r>
        <w:rPr>
          <w:rFonts w:ascii="微软雅黑" w:hAnsi="微软雅黑"/>
          <w:color w:val="auto"/>
          <w:spacing w:val="-3"/>
          <w:szCs w:val="21"/>
          <w:highlight w:val="none"/>
        </w:rPr>
        <w:t>（具体见考核评分表</w:t>
      </w:r>
      <w:r>
        <w:rPr>
          <w:rFonts w:ascii="微软雅黑" w:hAnsi="微软雅黑"/>
          <w:color w:val="auto"/>
          <w:szCs w:val="21"/>
          <w:highlight w:val="none"/>
        </w:rPr>
        <w:t>）</w:t>
      </w:r>
      <w:r>
        <w:rPr>
          <w:rFonts w:ascii="微软雅黑" w:hAnsi="微软雅黑"/>
          <w:color w:val="auto"/>
          <w:spacing w:val="-8"/>
          <w:szCs w:val="21"/>
          <w:highlight w:val="none"/>
        </w:rPr>
        <w:t xml:space="preserve">，每季度考核分达到 </w:t>
      </w:r>
      <w:r>
        <w:rPr>
          <w:rFonts w:ascii="微软雅黑" w:hAnsi="微软雅黑"/>
          <w:color w:val="auto"/>
          <w:szCs w:val="21"/>
          <w:highlight w:val="none"/>
        </w:rPr>
        <w:t xml:space="preserve">70 </w:t>
      </w:r>
      <w:r>
        <w:rPr>
          <w:rFonts w:ascii="微软雅黑" w:hAnsi="微软雅黑"/>
          <w:color w:val="auto"/>
          <w:spacing w:val="-3"/>
          <w:szCs w:val="21"/>
          <w:highlight w:val="none"/>
        </w:rPr>
        <w:t>分（</w:t>
      </w:r>
      <w:r>
        <w:rPr>
          <w:rFonts w:ascii="微软雅黑" w:hAnsi="微软雅黑"/>
          <w:color w:val="auto"/>
          <w:spacing w:val="-21"/>
          <w:szCs w:val="21"/>
          <w:highlight w:val="none"/>
        </w:rPr>
        <w:t>含</w:t>
      </w:r>
      <w:r>
        <w:rPr>
          <w:rFonts w:hint="eastAsia" w:ascii="微软雅黑" w:hAnsi="微软雅黑"/>
          <w:color w:val="auto"/>
          <w:spacing w:val="-21"/>
          <w:szCs w:val="21"/>
          <w:highlight w:val="none"/>
        </w:rPr>
        <w:t xml:space="preserve"> </w:t>
      </w:r>
      <w:r>
        <w:rPr>
          <w:rFonts w:ascii="微软雅黑" w:hAnsi="微软雅黑"/>
          <w:color w:val="auto"/>
          <w:spacing w:val="-21"/>
          <w:szCs w:val="21"/>
          <w:highlight w:val="none"/>
        </w:rPr>
        <w:t xml:space="preserve"> </w:t>
      </w:r>
      <w:r>
        <w:rPr>
          <w:rFonts w:ascii="微软雅黑" w:hAnsi="微软雅黑"/>
          <w:color w:val="auto"/>
          <w:szCs w:val="21"/>
          <w:highlight w:val="none"/>
        </w:rPr>
        <w:t xml:space="preserve">70 分） </w:t>
      </w:r>
      <w:r>
        <w:rPr>
          <w:rFonts w:ascii="微软雅黑" w:hAnsi="微软雅黑"/>
          <w:color w:val="auto"/>
          <w:spacing w:val="-2"/>
          <w:szCs w:val="21"/>
          <w:highlight w:val="none"/>
        </w:rPr>
        <w:t>以上为合格，一次考核不合格的，将罚处</w:t>
      </w:r>
      <w:r>
        <w:rPr>
          <w:rFonts w:hint="eastAsia" w:ascii="微软雅黑" w:hAnsi="微软雅黑"/>
          <w:color w:val="auto"/>
          <w:spacing w:val="-2"/>
          <w:szCs w:val="21"/>
          <w:highlight w:val="none"/>
        </w:rPr>
        <w:t>保险费</w:t>
      </w:r>
      <w:r>
        <w:rPr>
          <w:rFonts w:ascii="微软雅黑" w:hAnsi="微软雅黑"/>
          <w:color w:val="auto"/>
          <w:spacing w:val="-2"/>
          <w:szCs w:val="21"/>
          <w:highlight w:val="none"/>
        </w:rPr>
        <w:t xml:space="preserve">的 </w:t>
      </w:r>
      <w:r>
        <w:rPr>
          <w:rFonts w:hint="eastAsia" w:ascii="微软雅黑" w:hAnsi="微软雅黑"/>
          <w:color w:val="auto"/>
          <w:szCs w:val="21"/>
          <w:highlight w:val="none"/>
        </w:rPr>
        <w:t>5</w:t>
      </w:r>
      <w:r>
        <w:rPr>
          <w:rFonts w:ascii="微软雅黑" w:hAnsi="微软雅黑"/>
          <w:color w:val="auto"/>
          <w:szCs w:val="21"/>
          <w:highlight w:val="none"/>
        </w:rPr>
        <w:t>%</w:t>
      </w:r>
      <w:r>
        <w:rPr>
          <w:rFonts w:ascii="微软雅黑" w:hAnsi="微软雅黑"/>
          <w:color w:val="auto"/>
          <w:spacing w:val="-3"/>
          <w:szCs w:val="21"/>
          <w:highlight w:val="none"/>
        </w:rPr>
        <w:t>，二次考核不合格的，将罚处</w:t>
      </w:r>
      <w:r>
        <w:rPr>
          <w:rFonts w:hint="eastAsia" w:ascii="微软雅黑" w:hAnsi="微软雅黑"/>
          <w:color w:val="auto"/>
          <w:spacing w:val="2"/>
          <w:szCs w:val="21"/>
          <w:highlight w:val="none"/>
        </w:rPr>
        <w:t>保险</w:t>
      </w:r>
      <w:r>
        <w:rPr>
          <w:rFonts w:ascii="微软雅黑" w:hAnsi="微软雅黑"/>
          <w:color w:val="auto"/>
          <w:spacing w:val="2"/>
          <w:szCs w:val="21"/>
          <w:highlight w:val="none"/>
        </w:rPr>
        <w:t>费的</w:t>
      </w:r>
      <w:r>
        <w:rPr>
          <w:rFonts w:hint="eastAsia" w:ascii="微软雅黑" w:hAnsi="微软雅黑"/>
          <w:color w:val="auto"/>
          <w:spacing w:val="2"/>
          <w:szCs w:val="21"/>
          <w:highlight w:val="none"/>
        </w:rPr>
        <w:t>10</w:t>
      </w:r>
      <w:r>
        <w:rPr>
          <w:rFonts w:ascii="微软雅黑" w:hAnsi="微软雅黑"/>
          <w:color w:val="auto"/>
          <w:szCs w:val="21"/>
          <w:highlight w:val="none"/>
        </w:rPr>
        <w:t>%</w:t>
      </w:r>
      <w:r>
        <w:rPr>
          <w:rFonts w:hint="eastAsia" w:ascii="微软雅黑" w:hAnsi="微软雅黑"/>
          <w:color w:val="auto"/>
          <w:szCs w:val="21"/>
          <w:highlight w:val="none"/>
        </w:rPr>
        <w:t>，并择期作出整改</w:t>
      </w:r>
      <w:r>
        <w:rPr>
          <w:rFonts w:ascii="微软雅黑" w:hAnsi="微软雅黑" w:cs="宋体"/>
          <w:color w:val="auto"/>
          <w:szCs w:val="22"/>
          <w:highlight w:val="none"/>
        </w:rPr>
        <w:t>。</w:t>
      </w:r>
    </w:p>
    <w:p w14:paraId="75127391">
      <w:pPr>
        <w:pStyle w:val="10"/>
        <w:ind w:right="-477" w:rightChars="-227" w:firstLine="420"/>
        <w:rPr>
          <w:rFonts w:hint="eastAsia" w:ascii="微软雅黑" w:hAnsi="微软雅黑"/>
          <w:color w:val="auto"/>
          <w:szCs w:val="21"/>
          <w:highlight w:val="none"/>
        </w:rPr>
      </w:pPr>
      <w:r>
        <w:rPr>
          <w:rFonts w:hint="eastAsia" w:ascii="微软雅黑" w:hAnsi="微软雅黑"/>
          <w:color w:val="auto"/>
          <w:szCs w:val="21"/>
          <w:highlight w:val="none"/>
        </w:rPr>
        <w:t>保险服务考核评分表</w:t>
      </w:r>
    </w:p>
    <w:tbl>
      <w:tblPr>
        <w:tblStyle w:val="54"/>
        <w:tblW w:w="9055" w:type="dxa"/>
        <w:tblInd w:w="32"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0" w:type="dxa"/>
          <w:bottom w:w="0" w:type="dxa"/>
          <w:right w:w="0" w:type="dxa"/>
        </w:tblCellMar>
      </w:tblPr>
      <w:tblGrid>
        <w:gridCol w:w="1678"/>
        <w:gridCol w:w="3071"/>
        <w:gridCol w:w="3001"/>
        <w:gridCol w:w="1305"/>
      </w:tblGrid>
      <w:tr w14:paraId="75B1E18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440" w:hRule="atLeast"/>
        </w:trPr>
        <w:tc>
          <w:tcPr>
            <w:tcW w:w="1678" w:type="dxa"/>
            <w:tcBorders>
              <w:bottom w:val="single" w:color="000000" w:sz="6" w:space="0"/>
              <w:right w:val="single" w:color="000000" w:sz="6" w:space="0"/>
            </w:tcBorders>
          </w:tcPr>
          <w:p w14:paraId="19815FD8">
            <w:pPr>
              <w:pStyle w:val="308"/>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考核单位</w:t>
            </w:r>
          </w:p>
        </w:tc>
        <w:tc>
          <w:tcPr>
            <w:tcW w:w="7377" w:type="dxa"/>
            <w:gridSpan w:val="3"/>
            <w:tcBorders>
              <w:left w:val="single" w:color="000000" w:sz="6" w:space="0"/>
              <w:bottom w:val="single" w:color="000000" w:sz="6" w:space="0"/>
            </w:tcBorders>
          </w:tcPr>
          <w:p w14:paraId="6DF13D7A">
            <w:pPr>
              <w:pStyle w:val="308"/>
              <w:rPr>
                <w:rFonts w:hint="eastAsia" w:ascii="微软雅黑" w:hAnsi="微软雅黑" w:eastAsia="微软雅黑"/>
                <w:color w:val="auto"/>
                <w:sz w:val="21"/>
                <w:szCs w:val="21"/>
                <w:highlight w:val="none"/>
              </w:rPr>
            </w:pPr>
          </w:p>
        </w:tc>
      </w:tr>
      <w:tr w14:paraId="6846DF4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500" w:hRule="atLeast"/>
        </w:trPr>
        <w:tc>
          <w:tcPr>
            <w:tcW w:w="1678" w:type="dxa"/>
            <w:tcBorders>
              <w:top w:val="single" w:color="000000" w:sz="6" w:space="0"/>
              <w:bottom w:val="single" w:color="000000" w:sz="6" w:space="0"/>
              <w:right w:val="single" w:color="000000" w:sz="6" w:space="0"/>
            </w:tcBorders>
          </w:tcPr>
          <w:p w14:paraId="50F64E19">
            <w:pPr>
              <w:pStyle w:val="308"/>
              <w:tabs>
                <w:tab w:val="left" w:pos="443"/>
              </w:tabs>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项</w:t>
            </w:r>
            <w:r>
              <w:rPr>
                <w:rFonts w:ascii="微软雅黑" w:hAnsi="微软雅黑" w:eastAsia="微软雅黑"/>
                <w:color w:val="auto"/>
                <w:sz w:val="21"/>
                <w:szCs w:val="21"/>
                <w:highlight w:val="none"/>
              </w:rPr>
              <w:tab/>
            </w:r>
            <w:r>
              <w:rPr>
                <w:rFonts w:ascii="微软雅黑" w:hAnsi="微软雅黑" w:eastAsia="微软雅黑"/>
                <w:color w:val="auto"/>
                <w:sz w:val="21"/>
                <w:szCs w:val="21"/>
                <w:highlight w:val="none"/>
              </w:rPr>
              <w:t>目</w:t>
            </w:r>
          </w:p>
        </w:tc>
        <w:tc>
          <w:tcPr>
            <w:tcW w:w="6072" w:type="dxa"/>
            <w:gridSpan w:val="2"/>
            <w:tcBorders>
              <w:top w:val="single" w:color="000000" w:sz="6" w:space="0"/>
              <w:left w:val="single" w:color="000000" w:sz="6" w:space="0"/>
              <w:bottom w:val="single" w:color="000000" w:sz="6" w:space="0"/>
              <w:right w:val="single" w:color="000000" w:sz="6" w:space="0"/>
            </w:tcBorders>
          </w:tcPr>
          <w:p w14:paraId="0769ED48">
            <w:pPr>
              <w:pStyle w:val="308"/>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扣 罚 记 分 规 则</w:t>
            </w:r>
          </w:p>
        </w:tc>
        <w:tc>
          <w:tcPr>
            <w:tcW w:w="1305" w:type="dxa"/>
            <w:tcBorders>
              <w:top w:val="single" w:color="000000" w:sz="6" w:space="0"/>
              <w:left w:val="single" w:color="000000" w:sz="6" w:space="0"/>
              <w:bottom w:val="single" w:color="000000" w:sz="6" w:space="0"/>
            </w:tcBorders>
          </w:tcPr>
          <w:p w14:paraId="7221263A">
            <w:pPr>
              <w:pStyle w:val="308"/>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扣分情况</w:t>
            </w:r>
          </w:p>
        </w:tc>
      </w:tr>
      <w:tr w14:paraId="0A8DE76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2472" w:hRule="atLeast"/>
        </w:trPr>
        <w:tc>
          <w:tcPr>
            <w:tcW w:w="1678" w:type="dxa"/>
            <w:tcBorders>
              <w:top w:val="single" w:color="000000" w:sz="6" w:space="0"/>
              <w:bottom w:val="single" w:color="000000" w:sz="6" w:space="0"/>
              <w:right w:val="single" w:color="000000" w:sz="6" w:space="0"/>
            </w:tcBorders>
          </w:tcPr>
          <w:p w14:paraId="6989E616">
            <w:pPr>
              <w:pStyle w:val="308"/>
              <w:jc w:val="center"/>
              <w:rPr>
                <w:rFonts w:hint="eastAsia" w:ascii="微软雅黑" w:hAnsi="微软雅黑" w:eastAsia="微软雅黑"/>
                <w:color w:val="auto"/>
                <w:sz w:val="21"/>
                <w:szCs w:val="21"/>
                <w:highlight w:val="none"/>
              </w:rPr>
            </w:pPr>
          </w:p>
          <w:p w14:paraId="0E1701B1">
            <w:pPr>
              <w:pStyle w:val="308"/>
              <w:jc w:val="center"/>
              <w:rPr>
                <w:rFonts w:hint="eastAsia" w:ascii="微软雅黑" w:hAnsi="微软雅黑" w:eastAsia="微软雅黑"/>
                <w:color w:val="auto"/>
                <w:sz w:val="21"/>
                <w:szCs w:val="21"/>
                <w:highlight w:val="none"/>
              </w:rPr>
            </w:pPr>
          </w:p>
          <w:p w14:paraId="3FE72167">
            <w:pPr>
              <w:pStyle w:val="308"/>
              <w:jc w:val="center"/>
              <w:rPr>
                <w:rFonts w:hint="eastAsia" w:ascii="微软雅黑" w:hAnsi="微软雅黑" w:eastAsia="微软雅黑"/>
                <w:color w:val="auto"/>
                <w:sz w:val="21"/>
                <w:szCs w:val="21"/>
                <w:highlight w:val="none"/>
              </w:rPr>
            </w:pPr>
          </w:p>
          <w:p w14:paraId="0243CB42">
            <w:pPr>
              <w:pStyle w:val="308"/>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综合服务</w:t>
            </w:r>
          </w:p>
        </w:tc>
        <w:tc>
          <w:tcPr>
            <w:tcW w:w="6072" w:type="dxa"/>
            <w:gridSpan w:val="2"/>
            <w:tcBorders>
              <w:top w:val="single" w:color="000000" w:sz="6" w:space="0"/>
              <w:left w:val="single" w:color="000000" w:sz="6" w:space="0"/>
              <w:bottom w:val="single" w:color="000000" w:sz="6" w:space="0"/>
              <w:right w:val="single" w:color="000000" w:sz="6" w:space="0"/>
            </w:tcBorders>
          </w:tcPr>
          <w:p w14:paraId="469FD855">
            <w:pPr>
              <w:pStyle w:val="308"/>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①监测范围不全面的，每发现一项扣 2 分；</w:t>
            </w:r>
          </w:p>
          <w:p w14:paraId="65AAA9DE">
            <w:pPr>
              <w:pStyle w:val="308"/>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②监测频次不满足要求的，每发现一项扣 2 分；</w:t>
            </w:r>
          </w:p>
          <w:p w14:paraId="799F1A3E">
            <w:pPr>
              <w:pStyle w:val="308"/>
              <w:rPr>
                <w:rFonts w:hint="eastAsia" w:ascii="微软雅黑" w:hAnsi="微软雅黑" w:eastAsia="微软雅黑"/>
                <w:color w:val="auto"/>
                <w:sz w:val="21"/>
                <w:szCs w:val="21"/>
                <w:highlight w:val="none"/>
              </w:rPr>
            </w:pPr>
            <w:r>
              <w:rPr>
                <w:rFonts w:ascii="微软雅黑" w:hAnsi="微软雅黑" w:eastAsia="微软雅黑"/>
                <w:color w:val="auto"/>
                <w:spacing w:val="-10"/>
                <w:sz w:val="21"/>
                <w:szCs w:val="21"/>
                <w:highlight w:val="none"/>
              </w:rPr>
              <w:t xml:space="preserve">③发现危情预警未及时上报政府主管部门的，每次扣 </w:t>
            </w:r>
            <w:r>
              <w:rPr>
                <w:rFonts w:ascii="微软雅黑" w:hAnsi="微软雅黑" w:eastAsia="微软雅黑"/>
                <w:color w:val="auto"/>
                <w:sz w:val="21"/>
                <w:szCs w:val="21"/>
                <w:highlight w:val="none"/>
              </w:rPr>
              <w:t>3</w:t>
            </w:r>
            <w:r>
              <w:rPr>
                <w:rFonts w:ascii="微软雅黑" w:hAnsi="微软雅黑" w:eastAsia="微软雅黑"/>
                <w:color w:val="auto"/>
                <w:spacing w:val="-17"/>
                <w:sz w:val="21"/>
                <w:szCs w:val="21"/>
                <w:highlight w:val="none"/>
              </w:rPr>
              <w:t xml:space="preserve"> 分；</w:t>
            </w:r>
          </w:p>
          <w:p w14:paraId="03AC6C59">
            <w:pPr>
              <w:pStyle w:val="308"/>
              <w:rPr>
                <w:rFonts w:hint="eastAsia" w:ascii="微软雅黑" w:hAnsi="微软雅黑" w:eastAsia="微软雅黑"/>
                <w:color w:val="auto"/>
                <w:sz w:val="21"/>
                <w:szCs w:val="21"/>
                <w:highlight w:val="none"/>
              </w:rPr>
            </w:pPr>
            <w:r>
              <w:rPr>
                <w:rFonts w:ascii="微软雅黑" w:hAnsi="微软雅黑" w:eastAsia="微软雅黑"/>
                <w:color w:val="auto"/>
                <w:spacing w:val="-5"/>
                <w:sz w:val="21"/>
                <w:szCs w:val="21"/>
                <w:highlight w:val="none"/>
              </w:rPr>
              <w:t xml:space="preserve">④未做好房屋评估记录的，每发现一项扣 </w:t>
            </w:r>
            <w:r>
              <w:rPr>
                <w:rFonts w:ascii="微软雅黑" w:hAnsi="微软雅黑" w:eastAsia="微软雅黑"/>
                <w:color w:val="auto"/>
                <w:sz w:val="21"/>
                <w:szCs w:val="21"/>
                <w:highlight w:val="none"/>
              </w:rPr>
              <w:t>2</w:t>
            </w:r>
            <w:r>
              <w:rPr>
                <w:rFonts w:ascii="微软雅黑" w:hAnsi="微软雅黑" w:eastAsia="微软雅黑"/>
                <w:color w:val="auto"/>
                <w:spacing w:val="-16"/>
                <w:sz w:val="21"/>
                <w:szCs w:val="21"/>
                <w:highlight w:val="none"/>
              </w:rPr>
              <w:t xml:space="preserve"> 分；</w:t>
            </w:r>
          </w:p>
          <w:p w14:paraId="70738185">
            <w:pPr>
              <w:pStyle w:val="308"/>
              <w:rPr>
                <w:rFonts w:hint="eastAsia" w:ascii="微软雅黑" w:hAnsi="微软雅黑" w:eastAsia="微软雅黑"/>
                <w:color w:val="auto"/>
                <w:sz w:val="21"/>
                <w:szCs w:val="21"/>
                <w:highlight w:val="none"/>
              </w:rPr>
            </w:pPr>
            <w:r>
              <w:rPr>
                <w:rFonts w:ascii="微软雅黑" w:hAnsi="微软雅黑" w:eastAsia="微软雅黑"/>
                <w:color w:val="auto"/>
                <w:spacing w:val="-5"/>
                <w:sz w:val="21"/>
                <w:szCs w:val="21"/>
                <w:highlight w:val="none"/>
              </w:rPr>
              <w:t xml:space="preserve">⑤报告信息未及时有效的，每发现一次扣 </w:t>
            </w:r>
            <w:r>
              <w:rPr>
                <w:rFonts w:ascii="微软雅黑" w:hAnsi="微软雅黑" w:eastAsia="微软雅黑"/>
                <w:color w:val="auto"/>
                <w:sz w:val="21"/>
                <w:szCs w:val="21"/>
                <w:highlight w:val="none"/>
              </w:rPr>
              <w:t>2</w:t>
            </w:r>
            <w:r>
              <w:rPr>
                <w:rFonts w:ascii="微软雅黑" w:hAnsi="微软雅黑" w:eastAsia="微软雅黑"/>
                <w:color w:val="auto"/>
                <w:spacing w:val="-16"/>
                <w:sz w:val="21"/>
                <w:szCs w:val="21"/>
                <w:highlight w:val="none"/>
              </w:rPr>
              <w:t xml:space="preserve"> 分；</w:t>
            </w:r>
          </w:p>
          <w:p w14:paraId="5D126A49">
            <w:pPr>
              <w:pStyle w:val="308"/>
              <w:rPr>
                <w:rFonts w:hint="eastAsia" w:ascii="微软雅黑" w:hAnsi="微软雅黑" w:eastAsia="微软雅黑"/>
                <w:color w:val="auto"/>
                <w:sz w:val="21"/>
                <w:szCs w:val="21"/>
                <w:highlight w:val="none"/>
              </w:rPr>
            </w:pPr>
            <w:r>
              <w:rPr>
                <w:rFonts w:ascii="微软雅黑" w:hAnsi="微软雅黑" w:eastAsia="微软雅黑"/>
                <w:color w:val="auto"/>
                <w:spacing w:val="-6"/>
                <w:sz w:val="21"/>
                <w:szCs w:val="21"/>
                <w:highlight w:val="none"/>
              </w:rPr>
              <w:t xml:space="preserve">⑥监测数据不实、不全的，每发现一次扣 </w:t>
            </w:r>
            <w:r>
              <w:rPr>
                <w:rFonts w:ascii="微软雅黑" w:hAnsi="微软雅黑" w:eastAsia="微软雅黑"/>
                <w:color w:val="auto"/>
                <w:sz w:val="21"/>
                <w:szCs w:val="21"/>
                <w:highlight w:val="none"/>
              </w:rPr>
              <w:t>3</w:t>
            </w:r>
            <w:r>
              <w:rPr>
                <w:rFonts w:ascii="微软雅黑" w:hAnsi="微软雅黑" w:eastAsia="微软雅黑"/>
                <w:color w:val="auto"/>
                <w:spacing w:val="-17"/>
                <w:sz w:val="21"/>
                <w:szCs w:val="21"/>
                <w:highlight w:val="none"/>
              </w:rPr>
              <w:t xml:space="preserve"> 分；</w:t>
            </w:r>
          </w:p>
          <w:p w14:paraId="7153C5C2">
            <w:pPr>
              <w:pStyle w:val="308"/>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⑦如因服务问题造成群体事件或媒体曝光的，每次扣 3 分。</w:t>
            </w:r>
          </w:p>
        </w:tc>
        <w:tc>
          <w:tcPr>
            <w:tcW w:w="1305" w:type="dxa"/>
            <w:tcBorders>
              <w:top w:val="single" w:color="000000" w:sz="6" w:space="0"/>
              <w:left w:val="single" w:color="000000" w:sz="6" w:space="0"/>
              <w:bottom w:val="single" w:color="000000" w:sz="6" w:space="0"/>
            </w:tcBorders>
          </w:tcPr>
          <w:p w14:paraId="67247556">
            <w:pPr>
              <w:pStyle w:val="308"/>
              <w:rPr>
                <w:rFonts w:hint="eastAsia" w:ascii="微软雅黑" w:hAnsi="微软雅黑" w:eastAsia="微软雅黑"/>
                <w:color w:val="auto"/>
                <w:sz w:val="21"/>
                <w:szCs w:val="21"/>
                <w:highlight w:val="none"/>
              </w:rPr>
            </w:pPr>
          </w:p>
        </w:tc>
      </w:tr>
      <w:tr w14:paraId="557D2E6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1627" w:hRule="atLeast"/>
        </w:trPr>
        <w:tc>
          <w:tcPr>
            <w:tcW w:w="1678" w:type="dxa"/>
            <w:tcBorders>
              <w:top w:val="single" w:color="000000" w:sz="6" w:space="0"/>
              <w:right w:val="single" w:color="000000" w:sz="6" w:space="0"/>
            </w:tcBorders>
          </w:tcPr>
          <w:p w14:paraId="7DD395CB">
            <w:pPr>
              <w:pStyle w:val="308"/>
              <w:jc w:val="center"/>
              <w:rPr>
                <w:rFonts w:hint="eastAsia" w:ascii="微软雅黑" w:hAnsi="微软雅黑" w:eastAsia="微软雅黑"/>
                <w:color w:val="auto"/>
                <w:sz w:val="21"/>
                <w:szCs w:val="21"/>
                <w:highlight w:val="none"/>
              </w:rPr>
            </w:pPr>
          </w:p>
          <w:p w14:paraId="5DB3E68E">
            <w:pPr>
              <w:pStyle w:val="308"/>
              <w:jc w:val="center"/>
              <w:rPr>
                <w:rFonts w:hint="eastAsia" w:ascii="微软雅黑" w:hAnsi="微软雅黑" w:eastAsia="微软雅黑"/>
                <w:color w:val="auto"/>
                <w:sz w:val="21"/>
                <w:szCs w:val="21"/>
                <w:highlight w:val="none"/>
              </w:rPr>
            </w:pPr>
          </w:p>
          <w:p w14:paraId="0E0E24F9">
            <w:pPr>
              <w:pStyle w:val="308"/>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应急服务</w:t>
            </w:r>
          </w:p>
        </w:tc>
        <w:tc>
          <w:tcPr>
            <w:tcW w:w="6072" w:type="dxa"/>
            <w:gridSpan w:val="2"/>
            <w:tcBorders>
              <w:top w:val="single" w:color="000000" w:sz="6" w:space="0"/>
              <w:left w:val="single" w:color="000000" w:sz="6" w:space="0"/>
              <w:right w:val="single" w:color="000000" w:sz="6" w:space="0"/>
            </w:tcBorders>
          </w:tcPr>
          <w:p w14:paraId="71884F08">
            <w:pPr>
              <w:pStyle w:val="308"/>
              <w:rPr>
                <w:rFonts w:hint="eastAsia" w:ascii="微软雅黑" w:hAnsi="微软雅黑" w:eastAsia="微软雅黑"/>
                <w:color w:val="auto"/>
                <w:sz w:val="21"/>
                <w:szCs w:val="21"/>
                <w:highlight w:val="none"/>
              </w:rPr>
            </w:pPr>
            <w:r>
              <w:rPr>
                <w:rFonts w:ascii="微软雅黑" w:hAnsi="微软雅黑" w:eastAsia="微软雅黑"/>
                <w:color w:val="auto"/>
                <w:spacing w:val="-11"/>
                <w:sz w:val="21"/>
                <w:szCs w:val="21"/>
                <w:highlight w:val="none"/>
              </w:rPr>
              <w:t xml:space="preserve">①发生突发应急事件，须在 </w:t>
            </w:r>
            <w:r>
              <w:rPr>
                <w:rFonts w:ascii="微软雅黑" w:hAnsi="微软雅黑" w:eastAsia="微软雅黑"/>
                <w:color w:val="auto"/>
                <w:sz w:val="21"/>
                <w:szCs w:val="21"/>
                <w:highlight w:val="none"/>
              </w:rPr>
              <w:t>30</w:t>
            </w:r>
            <w:r>
              <w:rPr>
                <w:rFonts w:ascii="微软雅黑" w:hAnsi="微软雅黑" w:eastAsia="微软雅黑"/>
                <w:color w:val="auto"/>
                <w:spacing w:val="-11"/>
                <w:sz w:val="21"/>
                <w:szCs w:val="21"/>
                <w:highlight w:val="none"/>
              </w:rPr>
              <w:t xml:space="preserve"> 分钟内到达现场，未在规定</w:t>
            </w:r>
          </w:p>
          <w:p w14:paraId="07591222">
            <w:pPr>
              <w:pStyle w:val="308"/>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时间内达到的每次扣 2 分；</w:t>
            </w:r>
          </w:p>
          <w:p w14:paraId="414D6B2D">
            <w:pPr>
              <w:pStyle w:val="308"/>
              <w:rPr>
                <w:rFonts w:hint="eastAsia" w:ascii="微软雅黑" w:hAnsi="微软雅黑" w:eastAsia="微软雅黑"/>
                <w:color w:val="auto"/>
                <w:sz w:val="21"/>
                <w:szCs w:val="21"/>
                <w:highlight w:val="none"/>
              </w:rPr>
            </w:pPr>
            <w:r>
              <w:rPr>
                <w:rFonts w:ascii="微软雅黑" w:hAnsi="微软雅黑" w:eastAsia="微软雅黑"/>
                <w:color w:val="auto"/>
                <w:spacing w:val="-15"/>
                <w:sz w:val="21"/>
                <w:szCs w:val="21"/>
                <w:highlight w:val="none"/>
              </w:rPr>
              <w:t xml:space="preserve">②发生突发应急事件，未在 </w:t>
            </w:r>
            <w:r>
              <w:rPr>
                <w:rFonts w:ascii="微软雅黑" w:hAnsi="微软雅黑" w:eastAsia="微软雅黑"/>
                <w:color w:val="auto"/>
                <w:sz w:val="21"/>
                <w:szCs w:val="21"/>
                <w:highlight w:val="none"/>
              </w:rPr>
              <w:t>24</w:t>
            </w:r>
            <w:r>
              <w:rPr>
                <w:rFonts w:ascii="微软雅黑" w:hAnsi="微软雅黑" w:eastAsia="微软雅黑"/>
                <w:color w:val="auto"/>
                <w:spacing w:val="-8"/>
                <w:sz w:val="21"/>
                <w:szCs w:val="21"/>
                <w:highlight w:val="none"/>
              </w:rPr>
              <w:t xml:space="preserve"> 小时内提供解决方案的每次</w:t>
            </w:r>
          </w:p>
          <w:p w14:paraId="4E2B4F18">
            <w:pPr>
              <w:pStyle w:val="308"/>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扣 2 分；</w:t>
            </w:r>
          </w:p>
          <w:p w14:paraId="5C7CB63E">
            <w:pPr>
              <w:pStyle w:val="308"/>
              <w:rPr>
                <w:rFonts w:hint="eastAsia" w:ascii="微软雅黑" w:hAnsi="微软雅黑" w:eastAsia="微软雅黑"/>
                <w:color w:val="auto"/>
                <w:sz w:val="21"/>
                <w:szCs w:val="21"/>
                <w:highlight w:val="none"/>
              </w:rPr>
            </w:pPr>
            <w:r>
              <w:rPr>
                <w:rFonts w:ascii="微软雅黑" w:hAnsi="微软雅黑" w:eastAsia="微软雅黑"/>
                <w:color w:val="auto"/>
                <w:spacing w:val="-11"/>
                <w:sz w:val="21"/>
                <w:szCs w:val="21"/>
                <w:highlight w:val="none"/>
              </w:rPr>
              <w:t>③</w:t>
            </w:r>
            <w:r>
              <w:rPr>
                <w:rFonts w:ascii="微软雅黑" w:hAnsi="微软雅黑" w:eastAsia="微软雅黑"/>
                <w:color w:val="auto"/>
                <w:spacing w:val="-5"/>
                <w:sz w:val="21"/>
                <w:szCs w:val="21"/>
                <w:highlight w:val="none"/>
              </w:rPr>
              <w:t xml:space="preserve">因应急处理不当，引起重大社会反响的，每次扣 </w:t>
            </w:r>
            <w:r>
              <w:rPr>
                <w:rFonts w:ascii="微软雅黑" w:hAnsi="微软雅黑" w:eastAsia="微软雅黑"/>
                <w:color w:val="auto"/>
                <w:sz w:val="21"/>
                <w:szCs w:val="21"/>
                <w:highlight w:val="none"/>
              </w:rPr>
              <w:t>5</w:t>
            </w:r>
            <w:r>
              <w:rPr>
                <w:rFonts w:ascii="微软雅黑" w:hAnsi="微软雅黑" w:eastAsia="微软雅黑"/>
                <w:color w:val="auto"/>
                <w:spacing w:val="-16"/>
                <w:sz w:val="21"/>
                <w:szCs w:val="21"/>
                <w:highlight w:val="none"/>
              </w:rPr>
              <w:t xml:space="preserve"> 分。</w:t>
            </w:r>
          </w:p>
        </w:tc>
        <w:tc>
          <w:tcPr>
            <w:tcW w:w="1305" w:type="dxa"/>
            <w:tcBorders>
              <w:top w:val="single" w:color="000000" w:sz="6" w:space="0"/>
              <w:left w:val="single" w:color="000000" w:sz="6" w:space="0"/>
            </w:tcBorders>
          </w:tcPr>
          <w:p w14:paraId="59C0E31E">
            <w:pPr>
              <w:pStyle w:val="308"/>
              <w:rPr>
                <w:rFonts w:hint="eastAsia" w:ascii="微软雅黑" w:hAnsi="微软雅黑" w:eastAsia="微软雅黑"/>
                <w:color w:val="auto"/>
                <w:sz w:val="21"/>
                <w:szCs w:val="21"/>
                <w:highlight w:val="none"/>
              </w:rPr>
            </w:pPr>
          </w:p>
        </w:tc>
      </w:tr>
      <w:tr w14:paraId="4683936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1238" w:hRule="atLeast"/>
        </w:trPr>
        <w:tc>
          <w:tcPr>
            <w:tcW w:w="1678" w:type="dxa"/>
            <w:tcBorders>
              <w:top w:val="single" w:color="000000" w:sz="6" w:space="0"/>
              <w:left w:val="single" w:color="auto" w:sz="12" w:space="0"/>
              <w:bottom w:val="single" w:color="auto" w:sz="12" w:space="0"/>
              <w:right w:val="single" w:color="000000" w:sz="6" w:space="0"/>
            </w:tcBorders>
          </w:tcPr>
          <w:p w14:paraId="4B4D05EB">
            <w:pPr>
              <w:pStyle w:val="308"/>
              <w:jc w:val="center"/>
              <w:rPr>
                <w:rFonts w:hint="eastAsia" w:ascii="微软雅黑" w:hAnsi="微软雅黑" w:eastAsia="微软雅黑"/>
                <w:color w:val="auto"/>
                <w:sz w:val="21"/>
                <w:szCs w:val="21"/>
                <w:highlight w:val="none"/>
              </w:rPr>
            </w:pPr>
          </w:p>
          <w:p w14:paraId="600DD140">
            <w:pPr>
              <w:pStyle w:val="308"/>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项目部人员考勤</w:t>
            </w:r>
          </w:p>
        </w:tc>
        <w:tc>
          <w:tcPr>
            <w:tcW w:w="6072" w:type="dxa"/>
            <w:gridSpan w:val="2"/>
            <w:tcBorders>
              <w:top w:val="single" w:color="000000" w:sz="6" w:space="0"/>
              <w:left w:val="single" w:color="000000" w:sz="6" w:space="0"/>
              <w:bottom w:val="single" w:color="auto" w:sz="12" w:space="0"/>
              <w:right w:val="single" w:color="000000" w:sz="6" w:space="0"/>
            </w:tcBorders>
          </w:tcPr>
          <w:p w14:paraId="5CFEDB64">
            <w:pPr>
              <w:pStyle w:val="308"/>
              <w:rPr>
                <w:rFonts w:hint="eastAsia" w:ascii="微软雅黑" w:hAnsi="微软雅黑" w:eastAsia="微软雅黑"/>
                <w:color w:val="auto"/>
                <w:spacing w:val="-11"/>
                <w:sz w:val="21"/>
                <w:szCs w:val="21"/>
                <w:highlight w:val="none"/>
              </w:rPr>
            </w:pPr>
            <w:r>
              <w:rPr>
                <w:rFonts w:ascii="微软雅黑" w:hAnsi="微软雅黑" w:eastAsia="微软雅黑"/>
                <w:color w:val="auto"/>
                <w:spacing w:val="-11"/>
                <w:sz w:val="21"/>
                <w:szCs w:val="21"/>
                <w:highlight w:val="none"/>
              </w:rPr>
              <w:t>①出勤率不足 80%扣 3 分；</w:t>
            </w:r>
          </w:p>
          <w:p w14:paraId="19C45837">
            <w:pPr>
              <w:pStyle w:val="308"/>
              <w:rPr>
                <w:rFonts w:hint="eastAsia" w:ascii="微软雅黑" w:hAnsi="微软雅黑" w:eastAsia="微软雅黑"/>
                <w:color w:val="auto"/>
                <w:spacing w:val="-11"/>
                <w:sz w:val="21"/>
                <w:szCs w:val="21"/>
                <w:highlight w:val="none"/>
              </w:rPr>
            </w:pPr>
            <w:r>
              <w:rPr>
                <w:rFonts w:ascii="微软雅黑" w:hAnsi="微软雅黑" w:eastAsia="微软雅黑"/>
                <w:color w:val="auto"/>
                <w:spacing w:val="-11"/>
                <w:sz w:val="21"/>
                <w:szCs w:val="21"/>
                <w:highlight w:val="none"/>
              </w:rPr>
              <w:t>②发现未按规定做到定员定岗扣 1 分；</w:t>
            </w:r>
          </w:p>
          <w:p w14:paraId="707DC8D9">
            <w:pPr>
              <w:pStyle w:val="308"/>
              <w:rPr>
                <w:rFonts w:hint="eastAsia" w:ascii="微软雅黑" w:hAnsi="微软雅黑" w:eastAsia="微软雅黑"/>
                <w:color w:val="auto"/>
                <w:spacing w:val="-11"/>
                <w:sz w:val="21"/>
                <w:szCs w:val="21"/>
                <w:highlight w:val="none"/>
              </w:rPr>
            </w:pPr>
            <w:r>
              <w:rPr>
                <w:rFonts w:ascii="微软雅黑" w:hAnsi="微软雅黑" w:eastAsia="微软雅黑"/>
                <w:color w:val="auto"/>
                <w:spacing w:val="-11"/>
                <w:sz w:val="21"/>
                <w:szCs w:val="21"/>
                <w:highlight w:val="none"/>
              </w:rPr>
              <w:t>③监测作业时间不符合规定要求扣 1 分。</w:t>
            </w:r>
          </w:p>
        </w:tc>
        <w:tc>
          <w:tcPr>
            <w:tcW w:w="1305" w:type="dxa"/>
            <w:tcBorders>
              <w:top w:val="single" w:color="000000" w:sz="6" w:space="0"/>
              <w:left w:val="single" w:color="000000" w:sz="6" w:space="0"/>
              <w:bottom w:val="single" w:color="auto" w:sz="12" w:space="0"/>
              <w:right w:val="single" w:color="auto" w:sz="12" w:space="0"/>
            </w:tcBorders>
          </w:tcPr>
          <w:p w14:paraId="704A4E62">
            <w:pPr>
              <w:pStyle w:val="308"/>
              <w:rPr>
                <w:rFonts w:hint="eastAsia" w:ascii="微软雅黑" w:hAnsi="微软雅黑" w:eastAsia="微软雅黑"/>
                <w:color w:val="auto"/>
                <w:sz w:val="21"/>
                <w:szCs w:val="21"/>
                <w:highlight w:val="none"/>
              </w:rPr>
            </w:pPr>
          </w:p>
        </w:tc>
      </w:tr>
      <w:tr w14:paraId="7F87606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1342" w:hRule="atLeast"/>
        </w:trPr>
        <w:tc>
          <w:tcPr>
            <w:tcW w:w="1678" w:type="dxa"/>
            <w:tcBorders>
              <w:top w:val="single" w:color="000000" w:sz="6" w:space="0"/>
              <w:left w:val="single" w:color="auto" w:sz="12" w:space="0"/>
              <w:bottom w:val="single" w:color="auto" w:sz="12" w:space="0"/>
              <w:right w:val="single" w:color="000000" w:sz="6" w:space="0"/>
            </w:tcBorders>
          </w:tcPr>
          <w:p w14:paraId="5A0D0725">
            <w:pPr>
              <w:pStyle w:val="308"/>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制度建设和计划方案制定与实施</w:t>
            </w:r>
          </w:p>
        </w:tc>
        <w:tc>
          <w:tcPr>
            <w:tcW w:w="6072" w:type="dxa"/>
            <w:gridSpan w:val="2"/>
            <w:tcBorders>
              <w:top w:val="single" w:color="000000" w:sz="6" w:space="0"/>
              <w:left w:val="single" w:color="000000" w:sz="6" w:space="0"/>
              <w:bottom w:val="single" w:color="auto" w:sz="12" w:space="0"/>
              <w:right w:val="single" w:color="000000" w:sz="6" w:space="0"/>
            </w:tcBorders>
          </w:tcPr>
          <w:p w14:paraId="2F8C8812">
            <w:pPr>
              <w:pStyle w:val="308"/>
              <w:rPr>
                <w:rFonts w:hint="eastAsia" w:ascii="微软雅黑" w:hAnsi="微软雅黑" w:eastAsia="微软雅黑"/>
                <w:color w:val="auto"/>
                <w:spacing w:val="-11"/>
                <w:sz w:val="21"/>
                <w:szCs w:val="21"/>
                <w:highlight w:val="none"/>
              </w:rPr>
            </w:pPr>
            <w:r>
              <w:rPr>
                <w:rFonts w:ascii="微软雅黑" w:hAnsi="微软雅黑" w:eastAsia="微软雅黑"/>
                <w:color w:val="auto"/>
                <w:spacing w:val="-11"/>
                <w:sz w:val="21"/>
                <w:szCs w:val="21"/>
                <w:highlight w:val="none"/>
              </w:rPr>
              <w:t>①制度不健全制度不落实内容不完备每项扣 1 分；</w:t>
            </w:r>
          </w:p>
          <w:p w14:paraId="5003199B">
            <w:pPr>
              <w:pStyle w:val="308"/>
              <w:rPr>
                <w:rFonts w:hint="eastAsia" w:ascii="微软雅黑" w:hAnsi="微软雅黑" w:eastAsia="微软雅黑"/>
                <w:color w:val="auto"/>
                <w:spacing w:val="-11"/>
                <w:sz w:val="21"/>
                <w:szCs w:val="21"/>
                <w:highlight w:val="none"/>
              </w:rPr>
            </w:pPr>
            <w:r>
              <w:rPr>
                <w:rFonts w:ascii="微软雅黑" w:hAnsi="微软雅黑" w:eastAsia="微软雅黑"/>
                <w:color w:val="auto"/>
                <w:spacing w:val="-11"/>
                <w:sz w:val="21"/>
                <w:szCs w:val="21"/>
                <w:highlight w:val="none"/>
              </w:rPr>
              <w:t>②制度建设和方案制定无实施的，扣 3 分；</w:t>
            </w:r>
          </w:p>
          <w:p w14:paraId="03E00236">
            <w:pPr>
              <w:pStyle w:val="308"/>
              <w:rPr>
                <w:rFonts w:hint="eastAsia" w:ascii="微软雅黑" w:hAnsi="微软雅黑" w:eastAsia="微软雅黑"/>
                <w:color w:val="auto"/>
                <w:spacing w:val="-11"/>
                <w:sz w:val="21"/>
                <w:szCs w:val="21"/>
                <w:highlight w:val="none"/>
              </w:rPr>
            </w:pPr>
            <w:r>
              <w:rPr>
                <w:rFonts w:ascii="微软雅黑" w:hAnsi="微软雅黑" w:eastAsia="微软雅黑"/>
                <w:color w:val="auto"/>
                <w:spacing w:val="-11"/>
                <w:sz w:val="21"/>
                <w:szCs w:val="21"/>
                <w:highlight w:val="none"/>
              </w:rPr>
              <w:t>③规划方案实施，违规一项扣 1 分。</w:t>
            </w:r>
          </w:p>
        </w:tc>
        <w:tc>
          <w:tcPr>
            <w:tcW w:w="1305" w:type="dxa"/>
            <w:tcBorders>
              <w:top w:val="single" w:color="000000" w:sz="6" w:space="0"/>
              <w:left w:val="single" w:color="000000" w:sz="6" w:space="0"/>
              <w:bottom w:val="single" w:color="auto" w:sz="12" w:space="0"/>
              <w:right w:val="single" w:color="auto" w:sz="12" w:space="0"/>
            </w:tcBorders>
          </w:tcPr>
          <w:p w14:paraId="58149D43">
            <w:pPr>
              <w:pStyle w:val="308"/>
              <w:rPr>
                <w:rFonts w:hint="eastAsia" w:ascii="微软雅黑" w:hAnsi="微软雅黑" w:eastAsia="微软雅黑"/>
                <w:color w:val="auto"/>
                <w:sz w:val="21"/>
                <w:szCs w:val="21"/>
                <w:highlight w:val="none"/>
              </w:rPr>
            </w:pPr>
          </w:p>
        </w:tc>
      </w:tr>
      <w:tr w14:paraId="727E59B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722" w:hRule="atLeast"/>
        </w:trPr>
        <w:tc>
          <w:tcPr>
            <w:tcW w:w="1678" w:type="dxa"/>
            <w:tcBorders>
              <w:top w:val="single" w:color="000000" w:sz="6" w:space="0"/>
              <w:left w:val="single" w:color="auto" w:sz="12" w:space="0"/>
              <w:bottom w:val="single" w:color="auto" w:sz="12" w:space="0"/>
              <w:right w:val="single" w:color="000000" w:sz="6" w:space="0"/>
            </w:tcBorders>
          </w:tcPr>
          <w:p w14:paraId="344A9BF7">
            <w:pPr>
              <w:pStyle w:val="308"/>
              <w:jc w:val="center"/>
              <w:rPr>
                <w:rFonts w:hint="eastAsia" w:ascii="微软雅黑" w:hAnsi="微软雅黑" w:eastAsia="微软雅黑"/>
                <w:color w:val="auto"/>
                <w:sz w:val="21"/>
                <w:szCs w:val="21"/>
                <w:highlight w:val="none"/>
              </w:rPr>
            </w:pPr>
          </w:p>
          <w:p w14:paraId="37435A85">
            <w:pPr>
              <w:pStyle w:val="308"/>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安全事故</w:t>
            </w:r>
          </w:p>
        </w:tc>
        <w:tc>
          <w:tcPr>
            <w:tcW w:w="6072" w:type="dxa"/>
            <w:gridSpan w:val="2"/>
            <w:tcBorders>
              <w:top w:val="single" w:color="000000" w:sz="6" w:space="0"/>
              <w:left w:val="single" w:color="000000" w:sz="6" w:space="0"/>
              <w:bottom w:val="single" w:color="auto" w:sz="12" w:space="0"/>
              <w:right w:val="single" w:color="000000" w:sz="6" w:space="0"/>
            </w:tcBorders>
          </w:tcPr>
          <w:p w14:paraId="3A39F138">
            <w:pPr>
              <w:pStyle w:val="308"/>
              <w:rPr>
                <w:rFonts w:hint="eastAsia" w:ascii="微软雅黑" w:hAnsi="微软雅黑" w:eastAsia="微软雅黑"/>
                <w:color w:val="auto"/>
                <w:spacing w:val="-11"/>
                <w:sz w:val="21"/>
                <w:szCs w:val="21"/>
                <w:highlight w:val="none"/>
              </w:rPr>
            </w:pPr>
            <w:r>
              <w:rPr>
                <w:rFonts w:ascii="微软雅黑" w:hAnsi="微软雅黑" w:eastAsia="微软雅黑"/>
                <w:color w:val="auto"/>
                <w:spacing w:val="-11"/>
                <w:sz w:val="21"/>
                <w:szCs w:val="21"/>
                <w:highlight w:val="none"/>
              </w:rPr>
              <w:t>未及时发现房屋的安全隐患的每次扣 5 分，发现后未及时</w:t>
            </w:r>
          </w:p>
          <w:p w14:paraId="0E5C5AE0">
            <w:pPr>
              <w:pStyle w:val="308"/>
              <w:rPr>
                <w:rFonts w:hint="eastAsia" w:ascii="微软雅黑" w:hAnsi="微软雅黑" w:eastAsia="微软雅黑"/>
                <w:color w:val="auto"/>
                <w:spacing w:val="-11"/>
                <w:sz w:val="21"/>
                <w:szCs w:val="21"/>
                <w:highlight w:val="none"/>
              </w:rPr>
            </w:pPr>
            <w:r>
              <w:rPr>
                <w:rFonts w:ascii="微软雅黑" w:hAnsi="微软雅黑" w:eastAsia="微软雅黑"/>
                <w:color w:val="auto"/>
                <w:spacing w:val="-11"/>
                <w:sz w:val="21"/>
                <w:szCs w:val="21"/>
                <w:highlight w:val="none"/>
              </w:rPr>
              <w:t>处理的每次扣 8 分</w:t>
            </w:r>
          </w:p>
        </w:tc>
        <w:tc>
          <w:tcPr>
            <w:tcW w:w="1305" w:type="dxa"/>
            <w:tcBorders>
              <w:top w:val="single" w:color="000000" w:sz="6" w:space="0"/>
              <w:left w:val="single" w:color="000000" w:sz="6" w:space="0"/>
              <w:bottom w:val="single" w:color="auto" w:sz="12" w:space="0"/>
              <w:right w:val="single" w:color="auto" w:sz="12" w:space="0"/>
            </w:tcBorders>
          </w:tcPr>
          <w:p w14:paraId="72F2DFE1">
            <w:pPr>
              <w:pStyle w:val="308"/>
              <w:rPr>
                <w:rFonts w:hint="eastAsia" w:ascii="微软雅黑" w:hAnsi="微软雅黑" w:eastAsia="微软雅黑"/>
                <w:color w:val="auto"/>
                <w:sz w:val="21"/>
                <w:szCs w:val="21"/>
                <w:highlight w:val="none"/>
              </w:rPr>
            </w:pPr>
          </w:p>
        </w:tc>
      </w:tr>
      <w:tr w14:paraId="5B09BBB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595" w:hRule="atLeast"/>
        </w:trPr>
        <w:tc>
          <w:tcPr>
            <w:tcW w:w="1678" w:type="dxa"/>
            <w:tcBorders>
              <w:top w:val="single" w:color="000000" w:sz="6" w:space="0"/>
              <w:left w:val="single" w:color="auto" w:sz="12" w:space="0"/>
              <w:bottom w:val="single" w:color="auto" w:sz="12" w:space="0"/>
              <w:right w:val="single" w:color="000000" w:sz="6" w:space="0"/>
            </w:tcBorders>
          </w:tcPr>
          <w:p w14:paraId="1F3049E7">
            <w:pPr>
              <w:pStyle w:val="308"/>
              <w:jc w:val="center"/>
              <w:rPr>
                <w:rFonts w:hint="eastAsia" w:ascii="微软雅黑" w:hAnsi="微软雅黑" w:eastAsia="微软雅黑"/>
                <w:color w:val="auto"/>
                <w:sz w:val="21"/>
                <w:szCs w:val="21"/>
                <w:highlight w:val="none"/>
              </w:rPr>
            </w:pPr>
          </w:p>
        </w:tc>
        <w:tc>
          <w:tcPr>
            <w:tcW w:w="6072" w:type="dxa"/>
            <w:gridSpan w:val="2"/>
            <w:tcBorders>
              <w:top w:val="single" w:color="000000" w:sz="6" w:space="0"/>
              <w:left w:val="single" w:color="000000" w:sz="6" w:space="0"/>
              <w:bottom w:val="single" w:color="auto" w:sz="12" w:space="0"/>
              <w:right w:val="single" w:color="000000" w:sz="6" w:space="0"/>
            </w:tcBorders>
          </w:tcPr>
          <w:p w14:paraId="1E17D897">
            <w:pPr>
              <w:pStyle w:val="308"/>
              <w:rPr>
                <w:rFonts w:hint="eastAsia" w:ascii="微软雅黑" w:hAnsi="微软雅黑" w:eastAsia="微软雅黑"/>
                <w:color w:val="auto"/>
                <w:spacing w:val="-11"/>
                <w:sz w:val="21"/>
                <w:szCs w:val="21"/>
                <w:highlight w:val="none"/>
              </w:rPr>
            </w:pPr>
            <w:r>
              <w:rPr>
                <w:rFonts w:ascii="微软雅黑" w:hAnsi="微软雅黑" w:eastAsia="微软雅黑"/>
                <w:color w:val="auto"/>
                <w:spacing w:val="-11"/>
                <w:sz w:val="21"/>
                <w:szCs w:val="21"/>
                <w:highlight w:val="none"/>
              </w:rPr>
              <w:t>因投标人原因造成房屋倒塌或人员伤亡等安全事故的</w:t>
            </w:r>
            <w:r>
              <w:rPr>
                <w:rFonts w:ascii="微软雅黑" w:hAnsi="微软雅黑" w:eastAsia="微软雅黑"/>
                <w:color w:val="auto"/>
                <w:spacing w:val="-11"/>
                <w:sz w:val="21"/>
                <w:szCs w:val="21"/>
                <w:highlight w:val="none"/>
                <w:woUserID w:val="1"/>
              </w:rPr>
              <w:t>或者未按规定时间理赔的</w:t>
            </w:r>
            <w:r>
              <w:rPr>
                <w:rFonts w:ascii="微软雅黑" w:hAnsi="微软雅黑" w:eastAsia="微软雅黑"/>
                <w:color w:val="auto"/>
                <w:spacing w:val="-11"/>
                <w:sz w:val="21"/>
                <w:szCs w:val="21"/>
                <w:highlight w:val="none"/>
              </w:rPr>
              <w:t>，每次扣 20 分</w:t>
            </w:r>
          </w:p>
        </w:tc>
        <w:tc>
          <w:tcPr>
            <w:tcW w:w="1305" w:type="dxa"/>
            <w:tcBorders>
              <w:top w:val="single" w:color="000000" w:sz="6" w:space="0"/>
              <w:left w:val="single" w:color="000000" w:sz="6" w:space="0"/>
              <w:bottom w:val="single" w:color="auto" w:sz="12" w:space="0"/>
              <w:right w:val="single" w:color="auto" w:sz="12" w:space="0"/>
            </w:tcBorders>
          </w:tcPr>
          <w:p w14:paraId="4E871E29">
            <w:pPr>
              <w:pStyle w:val="308"/>
              <w:rPr>
                <w:rFonts w:hint="eastAsia" w:ascii="微软雅黑" w:hAnsi="微软雅黑" w:eastAsia="微软雅黑"/>
                <w:color w:val="auto"/>
                <w:sz w:val="21"/>
                <w:szCs w:val="21"/>
                <w:highlight w:val="none"/>
              </w:rPr>
            </w:pPr>
          </w:p>
        </w:tc>
      </w:tr>
      <w:tr w14:paraId="41E5C7A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773" w:hRule="atLeast"/>
        </w:trPr>
        <w:tc>
          <w:tcPr>
            <w:tcW w:w="1678" w:type="dxa"/>
            <w:tcBorders>
              <w:top w:val="single" w:color="000000" w:sz="6" w:space="0"/>
              <w:bottom w:val="single" w:color="000000" w:sz="6" w:space="0"/>
              <w:right w:val="single" w:color="000000" w:sz="6" w:space="0"/>
            </w:tcBorders>
          </w:tcPr>
          <w:p w14:paraId="0763A2CC">
            <w:pPr>
              <w:pStyle w:val="308"/>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定期考核得分总计</w:t>
            </w:r>
          </w:p>
        </w:tc>
        <w:tc>
          <w:tcPr>
            <w:tcW w:w="3071" w:type="dxa"/>
            <w:tcBorders>
              <w:top w:val="single" w:color="000000" w:sz="6" w:space="0"/>
              <w:left w:val="single" w:color="000000" w:sz="6" w:space="0"/>
              <w:bottom w:val="single" w:color="000000" w:sz="6" w:space="0"/>
              <w:right w:val="single" w:color="000000" w:sz="4" w:space="0"/>
            </w:tcBorders>
          </w:tcPr>
          <w:p w14:paraId="573FBBFD">
            <w:pPr>
              <w:pStyle w:val="308"/>
              <w:rPr>
                <w:rFonts w:hint="eastAsia" w:ascii="微软雅黑" w:hAnsi="微软雅黑" w:eastAsia="微软雅黑"/>
                <w:b/>
                <w:color w:val="auto"/>
                <w:sz w:val="21"/>
                <w:szCs w:val="21"/>
                <w:highlight w:val="none"/>
              </w:rPr>
            </w:pPr>
          </w:p>
          <w:p w14:paraId="5511CA4A">
            <w:pPr>
              <w:pStyle w:val="308"/>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100 分</w:t>
            </w:r>
          </w:p>
        </w:tc>
        <w:tc>
          <w:tcPr>
            <w:tcW w:w="3001" w:type="dxa"/>
            <w:tcBorders>
              <w:top w:val="single" w:color="000000" w:sz="6" w:space="0"/>
              <w:left w:val="single" w:color="000000" w:sz="4" w:space="0"/>
              <w:bottom w:val="single" w:color="000000" w:sz="6" w:space="0"/>
              <w:right w:val="single" w:color="000000" w:sz="6" w:space="0"/>
            </w:tcBorders>
          </w:tcPr>
          <w:p w14:paraId="684E12DC">
            <w:pPr>
              <w:pStyle w:val="308"/>
              <w:rPr>
                <w:rFonts w:hint="eastAsia" w:ascii="微软雅黑" w:hAnsi="微软雅黑" w:eastAsia="微软雅黑"/>
                <w:b/>
                <w:color w:val="auto"/>
                <w:sz w:val="21"/>
                <w:szCs w:val="21"/>
                <w:highlight w:val="none"/>
              </w:rPr>
            </w:pPr>
          </w:p>
          <w:p w14:paraId="31B451F9">
            <w:pPr>
              <w:pStyle w:val="308"/>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合计扣分情况</w:t>
            </w:r>
          </w:p>
        </w:tc>
        <w:tc>
          <w:tcPr>
            <w:tcW w:w="1305" w:type="dxa"/>
            <w:tcBorders>
              <w:top w:val="single" w:color="000000" w:sz="6" w:space="0"/>
              <w:left w:val="single" w:color="000000" w:sz="6" w:space="0"/>
              <w:bottom w:val="single" w:color="000000" w:sz="6" w:space="0"/>
            </w:tcBorders>
          </w:tcPr>
          <w:p w14:paraId="651DFE82">
            <w:pPr>
              <w:pStyle w:val="308"/>
              <w:rPr>
                <w:rFonts w:hint="eastAsia" w:ascii="微软雅黑" w:hAnsi="微软雅黑" w:eastAsia="微软雅黑"/>
                <w:color w:val="auto"/>
                <w:sz w:val="21"/>
                <w:szCs w:val="21"/>
                <w:highlight w:val="none"/>
              </w:rPr>
            </w:pPr>
          </w:p>
        </w:tc>
      </w:tr>
      <w:tr w14:paraId="0FB6602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796" w:hRule="atLeast"/>
        </w:trPr>
        <w:tc>
          <w:tcPr>
            <w:tcW w:w="1678" w:type="dxa"/>
            <w:tcBorders>
              <w:top w:val="single" w:color="000000" w:sz="6" w:space="0"/>
              <w:bottom w:val="single" w:color="000000" w:sz="6" w:space="0"/>
              <w:right w:val="single" w:color="000000" w:sz="6" w:space="0"/>
            </w:tcBorders>
          </w:tcPr>
          <w:p w14:paraId="3923DB03">
            <w:pPr>
              <w:pStyle w:val="308"/>
              <w:jc w:val="center"/>
              <w:rPr>
                <w:rFonts w:hint="eastAsia" w:ascii="微软雅黑" w:hAnsi="微软雅黑" w:eastAsia="微软雅黑"/>
                <w:color w:val="auto"/>
                <w:sz w:val="21"/>
                <w:szCs w:val="21"/>
                <w:highlight w:val="none"/>
              </w:rPr>
            </w:pPr>
            <w:r>
              <w:rPr>
                <w:rFonts w:ascii="微软雅黑" w:hAnsi="微软雅黑" w:eastAsia="微软雅黑"/>
                <w:color w:val="auto"/>
                <w:spacing w:val="-21"/>
                <w:sz w:val="21"/>
                <w:szCs w:val="21"/>
                <w:highlight w:val="none"/>
              </w:rPr>
              <w:t>考 核 情 况 认 定</w:t>
            </w:r>
          </w:p>
          <w:p w14:paraId="35FFEE60">
            <w:pPr>
              <w:pStyle w:val="308"/>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w:t>
            </w:r>
            <w:r>
              <w:rPr>
                <w:rFonts w:ascii="微软雅黑" w:hAnsi="微软雅黑" w:eastAsia="微软雅黑"/>
                <w:color w:val="auto"/>
                <w:spacing w:val="-2"/>
                <w:sz w:val="21"/>
                <w:szCs w:val="21"/>
                <w:highlight w:val="none"/>
              </w:rPr>
              <w:t>合格</w:t>
            </w:r>
            <w:r>
              <w:rPr>
                <w:rFonts w:ascii="微软雅黑" w:hAnsi="微软雅黑" w:eastAsia="微软雅黑"/>
                <w:color w:val="auto"/>
                <w:sz w:val="21"/>
                <w:szCs w:val="21"/>
                <w:highlight w:val="none"/>
              </w:rPr>
              <w:t>/</w:t>
            </w:r>
            <w:r>
              <w:rPr>
                <w:rFonts w:ascii="微软雅黑" w:hAnsi="微软雅黑" w:eastAsia="微软雅黑"/>
                <w:color w:val="auto"/>
                <w:spacing w:val="-3"/>
                <w:sz w:val="21"/>
                <w:szCs w:val="21"/>
                <w:highlight w:val="none"/>
              </w:rPr>
              <w:t>不合格</w:t>
            </w:r>
            <w:r>
              <w:rPr>
                <w:rFonts w:ascii="微软雅黑" w:hAnsi="微软雅黑" w:eastAsia="微软雅黑"/>
                <w:color w:val="auto"/>
                <w:sz w:val="21"/>
                <w:szCs w:val="21"/>
                <w:highlight w:val="none"/>
              </w:rPr>
              <w:t>）</w:t>
            </w:r>
          </w:p>
        </w:tc>
        <w:tc>
          <w:tcPr>
            <w:tcW w:w="7377" w:type="dxa"/>
            <w:gridSpan w:val="3"/>
            <w:tcBorders>
              <w:top w:val="single" w:color="000000" w:sz="6" w:space="0"/>
              <w:left w:val="single" w:color="000000" w:sz="6" w:space="0"/>
              <w:bottom w:val="single" w:color="000000" w:sz="6" w:space="0"/>
            </w:tcBorders>
          </w:tcPr>
          <w:p w14:paraId="35C5DAF3">
            <w:pPr>
              <w:pStyle w:val="308"/>
              <w:rPr>
                <w:rFonts w:hint="eastAsia" w:ascii="微软雅黑" w:hAnsi="微软雅黑" w:eastAsia="微软雅黑"/>
                <w:color w:val="auto"/>
                <w:sz w:val="21"/>
                <w:szCs w:val="21"/>
                <w:highlight w:val="none"/>
              </w:rPr>
            </w:pPr>
          </w:p>
        </w:tc>
      </w:tr>
      <w:tr w14:paraId="3627695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584" w:hRule="atLeast"/>
        </w:trPr>
        <w:tc>
          <w:tcPr>
            <w:tcW w:w="1678" w:type="dxa"/>
            <w:tcBorders>
              <w:top w:val="single" w:color="000000" w:sz="6" w:space="0"/>
              <w:right w:val="single" w:color="000000" w:sz="4" w:space="0"/>
            </w:tcBorders>
          </w:tcPr>
          <w:p w14:paraId="7EBAB9D7">
            <w:pPr>
              <w:pStyle w:val="308"/>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考核人员签名</w:t>
            </w:r>
          </w:p>
        </w:tc>
        <w:tc>
          <w:tcPr>
            <w:tcW w:w="7377" w:type="dxa"/>
            <w:gridSpan w:val="3"/>
            <w:tcBorders>
              <w:top w:val="single" w:color="000000" w:sz="6" w:space="0"/>
              <w:left w:val="single" w:color="000000" w:sz="4" w:space="0"/>
            </w:tcBorders>
          </w:tcPr>
          <w:p w14:paraId="19EEDE12">
            <w:pPr>
              <w:pStyle w:val="308"/>
              <w:ind w:firstLine="218" w:firstLineChars="104"/>
              <w:jc w:val="both"/>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盖章：</w:t>
            </w:r>
          </w:p>
          <w:p w14:paraId="5BD17893">
            <w:pPr>
              <w:pStyle w:val="308"/>
              <w:ind w:firstLine="218" w:firstLineChars="104"/>
              <w:jc w:val="both"/>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年  月  日</w:t>
            </w:r>
          </w:p>
        </w:tc>
      </w:tr>
    </w:tbl>
    <w:p w14:paraId="3E5D79CF">
      <w:pPr>
        <w:pStyle w:val="2"/>
        <w:tabs>
          <w:tab w:val="left" w:pos="8380"/>
          <w:tab w:val="left" w:pos="9021"/>
        </w:tabs>
        <w:spacing w:before="71" w:line="240" w:lineRule="auto"/>
        <w:ind w:right="-477" w:rightChars="-227" w:firstLine="420"/>
        <w:rPr>
          <w:color w:val="auto"/>
          <w:highlight w:val="none"/>
        </w:rPr>
      </w:pPr>
      <w:r>
        <w:rPr>
          <w:rFonts w:ascii="微软雅黑" w:hAnsi="微软雅黑"/>
          <w:color w:val="auto"/>
          <w:szCs w:val="21"/>
          <w:highlight w:val="none"/>
        </w:rPr>
        <w:t>注：具体以采购人签订合同时确定为准。</w:t>
      </w:r>
    </w:p>
    <w:p w14:paraId="7AC740E4">
      <w:pPr>
        <w:numPr>
          <w:ilvl w:val="0"/>
          <w:numId w:val="26"/>
        </w:numPr>
        <w:adjustRightInd w:val="0"/>
        <w:snapToGrid w:val="0"/>
        <w:spacing w:line="240" w:lineRule="auto"/>
        <w:ind w:firstLine="420" w:firstLineChars="0"/>
        <w:outlineLvl w:val="1"/>
        <w:rPr>
          <w:rFonts w:ascii="微软雅黑" w:hAnsi="微软雅黑" w:cs="微软雅黑"/>
          <w:b/>
          <w:color w:val="auto"/>
          <w:szCs w:val="21"/>
          <w:highlight w:val="none"/>
        </w:rPr>
      </w:pPr>
      <w:r>
        <w:rPr>
          <w:rFonts w:hint="eastAsia" w:ascii="微软雅黑" w:hAnsi="微软雅黑" w:cs="微软雅黑"/>
          <w:b/>
          <w:color w:val="auto"/>
          <w:szCs w:val="21"/>
          <w:highlight w:val="none"/>
        </w:rPr>
        <w:t>中标人须提交的材料及其他工作要求</w:t>
      </w:r>
    </w:p>
    <w:p w14:paraId="5344516B">
      <w:pPr>
        <w:pStyle w:val="104"/>
        <w:numPr>
          <w:ilvl w:val="0"/>
          <w:numId w:val="30"/>
        </w:numPr>
        <w:ind w:left="0" w:firstLine="424" w:firstLineChars="202"/>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中标人在每季度向各乡镇递交一次检测及鉴定报告的同时，须同时向牵头方（采购人）递交相应材料的电子稿进行备案。</w:t>
      </w:r>
    </w:p>
    <w:p w14:paraId="6BC5A7BA">
      <w:pPr>
        <w:pStyle w:val="104"/>
        <w:numPr>
          <w:ilvl w:val="0"/>
          <w:numId w:val="30"/>
        </w:numPr>
        <w:ind w:left="0" w:firstLine="424" w:firstLineChars="202"/>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中标人在一年服务期满后，须向牵头方（采购人）递交一份年终总结报告，报告内容包括但不限于以下内容：年度工作量的汇总，根据以上考核内容作出的年终自查报告。</w:t>
      </w:r>
    </w:p>
    <w:p w14:paraId="5D89B12C">
      <w:pPr>
        <w:pStyle w:val="104"/>
        <w:numPr>
          <w:ilvl w:val="0"/>
          <w:numId w:val="30"/>
        </w:numPr>
        <w:ind w:left="0" w:firstLine="424" w:firstLineChars="202"/>
        <w:rPr>
          <w:rFonts w:ascii="微软雅黑" w:hAnsi="微软雅黑" w:cs="微软雅黑"/>
          <w:color w:val="auto"/>
          <w:kern w:val="0"/>
          <w:szCs w:val="21"/>
          <w:highlight w:val="none"/>
        </w:rPr>
      </w:pPr>
      <w:bookmarkStart w:id="27" w:name="OLE_LINK1"/>
      <w:r>
        <w:rPr>
          <w:rFonts w:hint="eastAsia" w:ascii="微软雅黑" w:hAnsi="微软雅黑" w:cs="微软雅黑"/>
          <w:color w:val="auto"/>
          <w:kern w:val="0"/>
          <w:szCs w:val="21"/>
          <w:highlight w:val="none"/>
        </w:rPr>
        <w:t>中标人应在服务期内（一年不少于一次）对各乡镇的对应此项工作的相关工作人员、网格员等排查人员进行检测及监测的相应技能培训，场地由各乡镇自行解决</w:t>
      </w:r>
      <w:bookmarkEnd w:id="27"/>
      <w:r>
        <w:rPr>
          <w:rFonts w:hint="eastAsia" w:ascii="微软雅黑" w:hAnsi="微软雅黑" w:cs="微软雅黑"/>
          <w:color w:val="auto"/>
          <w:kern w:val="0"/>
          <w:szCs w:val="21"/>
          <w:highlight w:val="none"/>
        </w:rPr>
        <w:t>。</w:t>
      </w:r>
    </w:p>
    <w:p w14:paraId="6133C52F">
      <w:pPr>
        <w:numPr>
          <w:ilvl w:val="0"/>
          <w:numId w:val="26"/>
        </w:numPr>
        <w:adjustRightInd w:val="0"/>
        <w:snapToGrid w:val="0"/>
        <w:spacing w:line="240" w:lineRule="auto"/>
        <w:ind w:firstLine="420" w:firstLineChars="0"/>
        <w:outlineLvl w:val="1"/>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其他</w:t>
      </w:r>
    </w:p>
    <w:p w14:paraId="19C9FCA9">
      <w:pPr>
        <w:pStyle w:val="104"/>
        <w:numPr>
          <w:ilvl w:val="1"/>
          <w:numId w:val="31"/>
        </w:numPr>
        <w:spacing w:line="276" w:lineRule="auto"/>
        <w:ind w:left="0" w:firstLine="424" w:firstLineChars="202"/>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投标人针对项目推进和实施中可能会出现的问题和存在的困难，进行客观仔细地分析，并结合自身专业、经验等实际情况，提出合理化建议（解决对策）。</w:t>
      </w:r>
    </w:p>
    <w:p w14:paraId="6594874B">
      <w:pPr>
        <w:pStyle w:val="104"/>
        <w:numPr>
          <w:ilvl w:val="1"/>
          <w:numId w:val="31"/>
        </w:numPr>
        <w:spacing w:line="276" w:lineRule="auto"/>
        <w:ind w:left="0" w:firstLine="424" w:firstLineChars="202"/>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应根据项目要求实际情况，明确项目组织实施方案，服务团队组织架构、专业设置、分工等团队架构、城镇住房保险附加动态监测工作、保险附加动态监测服务监管方、投保手续、理赔流程，售后服务及承诺、突发事件应急服务响应方案并针对突发事件，请自行模拟一个案例进行方案演示。</w:t>
      </w:r>
    </w:p>
    <w:p w14:paraId="723BF4B7">
      <w:pPr>
        <w:pStyle w:val="104"/>
        <w:numPr>
          <w:ilvl w:val="1"/>
          <w:numId w:val="31"/>
        </w:numPr>
        <w:spacing w:line="276" w:lineRule="auto"/>
        <w:ind w:left="0"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为实现智能化服务，投标人需自主配备相关数字化监测服务专属平台系统及相关电脑等设备，用于提升本项目的服务质量，便于数据查询及核对等工作，数字化监测服务专属平台系统要求包含但不限于以下功能。①房屋统计功能、②维实时查看功能、③信息检索功能、④检查记录汇总功能。</w:t>
      </w:r>
    </w:p>
    <w:p w14:paraId="6B971213">
      <w:pPr>
        <w:numPr>
          <w:ilvl w:val="0"/>
          <w:numId w:val="26"/>
        </w:numPr>
        <w:adjustRightInd w:val="0"/>
        <w:snapToGrid w:val="0"/>
        <w:spacing w:line="240" w:lineRule="auto"/>
        <w:ind w:firstLine="420" w:firstLineChars="0"/>
        <w:outlineLvl w:val="1"/>
        <w:rPr>
          <w:rFonts w:hint="eastAsia" w:ascii="微软雅黑" w:hAnsi="微软雅黑" w:cs="微软雅黑"/>
          <w:b/>
          <w:color w:val="auto"/>
          <w:szCs w:val="21"/>
          <w:highlight w:val="none"/>
        </w:rPr>
      </w:pPr>
      <w:r>
        <w:rPr>
          <w:rFonts w:ascii="微软雅黑" w:hAnsi="微软雅黑" w:cs="微软雅黑"/>
          <w:b/>
          <w:color w:val="auto"/>
          <w:szCs w:val="21"/>
          <w:highlight w:val="none"/>
        </w:rPr>
        <w:t>商务要求</w:t>
      </w:r>
    </w:p>
    <w:tbl>
      <w:tblPr>
        <w:tblStyle w:val="54"/>
        <w:tblW w:w="8667"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00"/>
        <w:gridCol w:w="6767"/>
      </w:tblGrid>
      <w:tr w14:paraId="785F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6" w:hRule="atLeast"/>
        </w:trPr>
        <w:tc>
          <w:tcPr>
            <w:tcW w:w="1900" w:type="dxa"/>
          </w:tcPr>
          <w:p w14:paraId="53B37FF4">
            <w:pPr>
              <w:pStyle w:val="308"/>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服务期限</w:t>
            </w:r>
          </w:p>
        </w:tc>
        <w:tc>
          <w:tcPr>
            <w:tcW w:w="6767" w:type="dxa"/>
          </w:tcPr>
          <w:p w14:paraId="59F00C02">
            <w:pPr>
              <w:pStyle w:val="308"/>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合同签订之日起一年。服务期满后根据中标单位的工作情况、采购单位满意度情况，综合考虑是否续签合同（按浙财采监〔2021〕2号《浙江省财政厅关于进一步规范政府购买服务采购管理的通知》的有关规定续签合同）,最多续签一次。</w:t>
            </w:r>
          </w:p>
          <w:p w14:paraId="58F8E7B5">
            <w:pPr>
              <w:pStyle w:val="308"/>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本项目合同由中标人与秀洲区（五个乡镇）分别签订合同，按实际面积*中标单价金额进行结算。</w:t>
            </w:r>
          </w:p>
        </w:tc>
      </w:tr>
      <w:tr w14:paraId="6F83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00" w:type="dxa"/>
          </w:tcPr>
          <w:p w14:paraId="40DEE8DD">
            <w:pPr>
              <w:pStyle w:val="308"/>
              <w:jc w:val="center"/>
              <w:rPr>
                <w:rFonts w:hint="eastAsia" w:ascii="微软雅黑" w:hAnsi="微软雅黑" w:eastAsia="微软雅黑"/>
                <w:b/>
                <w:color w:val="auto"/>
                <w:sz w:val="21"/>
                <w:szCs w:val="21"/>
                <w:highlight w:val="none"/>
              </w:rPr>
            </w:pPr>
          </w:p>
          <w:p w14:paraId="2A33DD21">
            <w:pPr>
              <w:pStyle w:val="308"/>
              <w:jc w:val="center"/>
              <w:rPr>
                <w:rFonts w:hint="eastAsia" w:ascii="微软雅黑" w:hAnsi="微软雅黑" w:eastAsia="微软雅黑"/>
                <w:b/>
                <w:color w:val="auto"/>
                <w:sz w:val="21"/>
                <w:szCs w:val="21"/>
                <w:highlight w:val="none"/>
              </w:rPr>
            </w:pPr>
          </w:p>
          <w:p w14:paraId="73BED664">
            <w:pPr>
              <w:pStyle w:val="308"/>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应急服务</w:t>
            </w:r>
          </w:p>
        </w:tc>
        <w:tc>
          <w:tcPr>
            <w:tcW w:w="6767" w:type="dxa"/>
          </w:tcPr>
          <w:p w14:paraId="5FFD1545">
            <w:pPr>
              <w:pStyle w:val="308"/>
              <w:numPr>
                <w:ilvl w:val="0"/>
                <w:numId w:val="32"/>
              </w:numPr>
              <w:tabs>
                <w:tab w:val="left" w:pos="320"/>
              </w:tabs>
              <w:ind w:left="216" w:leftChars="103" w:firstLine="0"/>
              <w:rPr>
                <w:rFonts w:hint="eastAsia" w:ascii="微软雅黑" w:hAnsi="微软雅黑" w:eastAsia="微软雅黑"/>
                <w:color w:val="auto"/>
                <w:sz w:val="21"/>
                <w:szCs w:val="21"/>
                <w:highlight w:val="none"/>
              </w:rPr>
            </w:pPr>
            <w:r>
              <w:rPr>
                <w:rFonts w:ascii="微软雅黑" w:hAnsi="微软雅黑" w:eastAsia="微软雅黑"/>
                <w:color w:val="auto"/>
                <w:spacing w:val="-5"/>
                <w:sz w:val="21"/>
                <w:szCs w:val="21"/>
                <w:highlight w:val="none"/>
              </w:rPr>
              <w:t xml:space="preserve">对于突发应急事件，中标人必须在 </w:t>
            </w:r>
            <w:r>
              <w:rPr>
                <w:rFonts w:ascii="微软雅黑" w:hAnsi="微软雅黑" w:eastAsia="微软雅黑"/>
                <w:color w:val="auto"/>
                <w:sz w:val="21"/>
                <w:szCs w:val="21"/>
                <w:highlight w:val="none"/>
              </w:rPr>
              <w:t>30</w:t>
            </w:r>
            <w:r>
              <w:rPr>
                <w:rFonts w:ascii="微软雅黑" w:hAnsi="微软雅黑" w:eastAsia="微软雅黑"/>
                <w:color w:val="auto"/>
                <w:spacing w:val="-10"/>
                <w:sz w:val="21"/>
                <w:szCs w:val="21"/>
                <w:highlight w:val="none"/>
              </w:rPr>
              <w:t xml:space="preserve"> 分钟内赶赴现场，必须在 </w:t>
            </w:r>
            <w:r>
              <w:rPr>
                <w:rFonts w:ascii="微软雅黑" w:hAnsi="微软雅黑" w:eastAsia="微软雅黑"/>
                <w:color w:val="auto"/>
                <w:sz w:val="21"/>
                <w:szCs w:val="21"/>
                <w:highlight w:val="none"/>
              </w:rPr>
              <w:t>24</w:t>
            </w:r>
            <w:r>
              <w:rPr>
                <w:rFonts w:ascii="微软雅黑" w:hAnsi="微软雅黑" w:eastAsia="微软雅黑"/>
                <w:color w:val="auto"/>
                <w:spacing w:val="-7"/>
                <w:sz w:val="21"/>
                <w:szCs w:val="21"/>
                <w:highlight w:val="none"/>
              </w:rPr>
              <w:t xml:space="preserve"> 小时内提供解决方</w:t>
            </w:r>
            <w:r>
              <w:rPr>
                <w:rFonts w:ascii="微软雅黑" w:hAnsi="微软雅黑" w:eastAsia="微软雅黑"/>
                <w:color w:val="auto"/>
                <w:spacing w:val="-5"/>
                <w:sz w:val="21"/>
                <w:szCs w:val="21"/>
                <w:highlight w:val="none"/>
              </w:rPr>
              <w:t>案。应急解决方案的费用由中标人承担。</w:t>
            </w:r>
          </w:p>
          <w:p w14:paraId="3173B246">
            <w:pPr>
              <w:pStyle w:val="308"/>
              <w:numPr>
                <w:ilvl w:val="0"/>
                <w:numId w:val="32"/>
              </w:numPr>
              <w:tabs>
                <w:tab w:val="left" w:pos="320"/>
              </w:tabs>
              <w:ind w:left="216" w:leftChars="103" w:firstLine="0"/>
              <w:rPr>
                <w:rFonts w:hint="eastAsia" w:ascii="微软雅黑" w:hAnsi="微软雅黑" w:eastAsia="微软雅黑"/>
                <w:color w:val="auto"/>
                <w:sz w:val="21"/>
                <w:szCs w:val="21"/>
                <w:highlight w:val="none"/>
              </w:rPr>
            </w:pPr>
            <w:r>
              <w:rPr>
                <w:rFonts w:ascii="微软雅黑" w:hAnsi="微软雅黑" w:eastAsia="微软雅黑"/>
                <w:color w:val="auto"/>
                <w:spacing w:val="-1"/>
                <w:sz w:val="21"/>
                <w:szCs w:val="21"/>
                <w:highlight w:val="none"/>
              </w:rPr>
              <w:t>如果出现人员伤亡的事件，及时妥善的解决赔偿及情况认定，避免社会群体事件的发</w:t>
            </w:r>
            <w:r>
              <w:rPr>
                <w:rFonts w:ascii="微软雅黑" w:hAnsi="微软雅黑" w:eastAsia="微软雅黑"/>
                <w:color w:val="auto"/>
                <w:sz w:val="21"/>
                <w:szCs w:val="21"/>
                <w:highlight w:val="none"/>
              </w:rPr>
              <w:t>生。</w:t>
            </w:r>
          </w:p>
          <w:p w14:paraId="08FD5451">
            <w:pPr>
              <w:pStyle w:val="308"/>
              <w:numPr>
                <w:ilvl w:val="0"/>
                <w:numId w:val="32"/>
              </w:numPr>
              <w:tabs>
                <w:tab w:val="left" w:pos="320"/>
              </w:tabs>
              <w:ind w:left="216" w:leftChars="103" w:firstLine="0"/>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如因为中标人问题造成群体事件或被媒体曝光，采购人有权解除合同，并追究相关责任。</w:t>
            </w:r>
          </w:p>
        </w:tc>
      </w:tr>
      <w:tr w14:paraId="3394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trPr>
        <w:tc>
          <w:tcPr>
            <w:tcW w:w="1900" w:type="dxa"/>
          </w:tcPr>
          <w:p w14:paraId="59E06F58">
            <w:pPr>
              <w:pStyle w:val="308"/>
              <w:jc w:val="center"/>
              <w:rPr>
                <w:rFonts w:hint="eastAsia" w:ascii="微软雅黑" w:hAnsi="微软雅黑" w:eastAsia="微软雅黑"/>
                <w:b/>
                <w:color w:val="auto"/>
                <w:sz w:val="21"/>
                <w:szCs w:val="21"/>
                <w:highlight w:val="none"/>
              </w:rPr>
            </w:pPr>
          </w:p>
          <w:p w14:paraId="680DE519">
            <w:pPr>
              <w:pStyle w:val="308"/>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技术支持及售后服务要求</w:t>
            </w:r>
          </w:p>
        </w:tc>
        <w:tc>
          <w:tcPr>
            <w:tcW w:w="6767" w:type="dxa"/>
          </w:tcPr>
          <w:p w14:paraId="65B62649">
            <w:pPr>
              <w:pStyle w:val="308"/>
              <w:numPr>
                <w:ilvl w:val="0"/>
                <w:numId w:val="33"/>
              </w:numPr>
              <w:tabs>
                <w:tab w:val="left" w:pos="320"/>
              </w:tabs>
              <w:ind w:left="216" w:leftChars="103" w:firstLine="0"/>
              <w:rPr>
                <w:rFonts w:hint="eastAsia" w:ascii="微软雅黑" w:hAnsi="微软雅黑" w:eastAsia="微软雅黑"/>
                <w:color w:val="auto"/>
                <w:sz w:val="21"/>
                <w:szCs w:val="21"/>
                <w:highlight w:val="none"/>
              </w:rPr>
            </w:pPr>
            <w:r>
              <w:rPr>
                <w:rFonts w:ascii="微软雅黑" w:hAnsi="微软雅黑" w:eastAsia="微软雅黑"/>
                <w:color w:val="auto"/>
                <w:spacing w:val="-19"/>
                <w:sz w:val="21"/>
                <w:szCs w:val="21"/>
                <w:highlight w:val="none"/>
              </w:rPr>
              <w:t xml:space="preserve">提供 </w:t>
            </w:r>
            <w:r>
              <w:rPr>
                <w:rFonts w:ascii="微软雅黑" w:hAnsi="微软雅黑" w:eastAsia="微软雅黑"/>
                <w:color w:val="auto"/>
                <w:sz w:val="21"/>
                <w:szCs w:val="21"/>
                <w:highlight w:val="none"/>
              </w:rPr>
              <w:t>365*24</w:t>
            </w:r>
            <w:r>
              <w:rPr>
                <w:rFonts w:ascii="微软雅黑" w:hAnsi="微软雅黑" w:eastAsia="微软雅黑"/>
                <w:color w:val="auto"/>
                <w:spacing w:val="-9"/>
                <w:sz w:val="21"/>
                <w:szCs w:val="21"/>
                <w:highlight w:val="none"/>
              </w:rPr>
              <w:t xml:space="preserve"> 小时的保险服务专线，可随时受理被保险人的报案。</w:t>
            </w:r>
          </w:p>
          <w:p w14:paraId="744E5A68">
            <w:pPr>
              <w:pStyle w:val="308"/>
              <w:numPr>
                <w:ilvl w:val="0"/>
                <w:numId w:val="33"/>
              </w:numPr>
              <w:tabs>
                <w:tab w:val="left" w:pos="320"/>
              </w:tabs>
              <w:ind w:left="216" w:leftChars="103" w:firstLine="0"/>
              <w:rPr>
                <w:rFonts w:hint="eastAsia" w:ascii="微软雅黑" w:hAnsi="微软雅黑" w:eastAsia="微软雅黑"/>
                <w:color w:val="auto"/>
                <w:sz w:val="21"/>
                <w:szCs w:val="21"/>
                <w:highlight w:val="none"/>
              </w:rPr>
            </w:pPr>
            <w:r>
              <w:rPr>
                <w:rFonts w:ascii="微软雅黑" w:hAnsi="微软雅黑" w:eastAsia="微软雅黑"/>
                <w:color w:val="auto"/>
                <w:spacing w:val="-8"/>
                <w:sz w:val="21"/>
                <w:szCs w:val="21"/>
                <w:highlight w:val="none"/>
              </w:rPr>
              <w:t xml:space="preserve">保险理赔时效不超过 </w:t>
            </w:r>
            <w:r>
              <w:rPr>
                <w:rFonts w:ascii="微软雅黑" w:hAnsi="微软雅黑" w:eastAsia="微软雅黑"/>
                <w:color w:val="auto"/>
                <w:sz w:val="21"/>
                <w:szCs w:val="21"/>
                <w:highlight w:val="none"/>
              </w:rPr>
              <w:t>2</w:t>
            </w:r>
            <w:r>
              <w:rPr>
                <w:rFonts w:ascii="微软雅黑" w:hAnsi="微软雅黑" w:eastAsia="微软雅黑"/>
                <w:color w:val="auto"/>
                <w:spacing w:val="-15"/>
                <w:sz w:val="21"/>
                <w:szCs w:val="21"/>
                <w:highlight w:val="none"/>
              </w:rPr>
              <w:t xml:space="preserve"> 个工作日，理赔资料齐全后，理赔到账时间不超过 </w:t>
            </w:r>
            <w:r>
              <w:rPr>
                <w:rFonts w:ascii="微软雅黑" w:hAnsi="微软雅黑" w:eastAsia="微软雅黑"/>
                <w:color w:val="auto"/>
                <w:sz w:val="21"/>
                <w:szCs w:val="21"/>
                <w:highlight w:val="none"/>
              </w:rPr>
              <w:t>5</w:t>
            </w:r>
            <w:r>
              <w:rPr>
                <w:rFonts w:ascii="微软雅黑" w:hAnsi="微软雅黑" w:eastAsia="微软雅黑"/>
                <w:color w:val="auto"/>
                <w:spacing w:val="-10"/>
                <w:sz w:val="21"/>
                <w:szCs w:val="21"/>
                <w:highlight w:val="none"/>
              </w:rPr>
              <w:t xml:space="preserve"> 个工作日。</w:t>
            </w:r>
          </w:p>
          <w:p w14:paraId="6F0120B1">
            <w:pPr>
              <w:pStyle w:val="308"/>
              <w:numPr>
                <w:ilvl w:val="0"/>
                <w:numId w:val="33"/>
              </w:numPr>
              <w:tabs>
                <w:tab w:val="left" w:pos="320"/>
              </w:tabs>
              <w:ind w:left="216" w:leftChars="103" w:firstLine="0"/>
              <w:rPr>
                <w:rFonts w:hint="eastAsia" w:ascii="微软雅黑" w:hAnsi="微软雅黑" w:eastAsia="微软雅黑"/>
                <w:color w:val="auto"/>
                <w:sz w:val="21"/>
                <w:szCs w:val="21"/>
                <w:highlight w:val="none"/>
              </w:rPr>
            </w:pPr>
            <w:r>
              <w:rPr>
                <w:rFonts w:ascii="微软雅黑" w:hAnsi="微软雅黑" w:eastAsia="微软雅黑"/>
                <w:color w:val="auto"/>
                <w:spacing w:val="-8"/>
                <w:sz w:val="21"/>
                <w:szCs w:val="21"/>
                <w:highlight w:val="none"/>
              </w:rPr>
              <w:t xml:space="preserve">对于特殊事件，要求专人 </w:t>
            </w:r>
            <w:r>
              <w:rPr>
                <w:rFonts w:ascii="微软雅黑" w:hAnsi="微软雅黑" w:eastAsia="微软雅黑"/>
                <w:color w:val="auto"/>
                <w:sz w:val="21"/>
                <w:szCs w:val="21"/>
                <w:highlight w:val="none"/>
              </w:rPr>
              <w:t>7*24</w:t>
            </w:r>
            <w:r>
              <w:rPr>
                <w:rFonts w:ascii="微软雅黑" w:hAnsi="微软雅黑" w:eastAsia="微软雅黑"/>
                <w:color w:val="auto"/>
                <w:spacing w:val="-9"/>
                <w:sz w:val="21"/>
                <w:szCs w:val="21"/>
                <w:highlight w:val="none"/>
              </w:rPr>
              <w:t xml:space="preserve"> 小时负责随时联系。</w:t>
            </w:r>
          </w:p>
          <w:p w14:paraId="5E6EA657">
            <w:pPr>
              <w:pStyle w:val="308"/>
              <w:numPr>
                <w:ilvl w:val="0"/>
                <w:numId w:val="33"/>
              </w:numPr>
              <w:tabs>
                <w:tab w:val="left" w:pos="320"/>
              </w:tabs>
              <w:ind w:left="216" w:leftChars="103" w:firstLine="0"/>
              <w:rPr>
                <w:rFonts w:hint="eastAsia" w:ascii="微软雅黑" w:hAnsi="微软雅黑" w:eastAsia="微软雅黑"/>
                <w:color w:val="auto"/>
                <w:sz w:val="21"/>
                <w:szCs w:val="21"/>
                <w:highlight w:val="none"/>
              </w:rPr>
            </w:pPr>
            <w:r>
              <w:rPr>
                <w:rFonts w:ascii="微软雅黑" w:hAnsi="微软雅黑" w:eastAsia="微软雅黑"/>
                <w:color w:val="auto"/>
                <w:spacing w:val="-3"/>
                <w:sz w:val="21"/>
                <w:szCs w:val="21"/>
                <w:highlight w:val="none"/>
              </w:rPr>
              <w:t>对于存在困难的居民，提供法律援助及医疗跟踪服务。</w:t>
            </w:r>
          </w:p>
          <w:p w14:paraId="780FD694">
            <w:pPr>
              <w:pStyle w:val="308"/>
              <w:numPr>
                <w:ilvl w:val="0"/>
                <w:numId w:val="33"/>
              </w:numPr>
              <w:tabs>
                <w:tab w:val="left" w:pos="320"/>
              </w:tabs>
              <w:ind w:left="216" w:leftChars="103" w:firstLine="0"/>
              <w:rPr>
                <w:rFonts w:hint="eastAsia" w:ascii="微软雅黑" w:hAnsi="微软雅黑" w:eastAsia="微软雅黑"/>
                <w:color w:val="auto"/>
                <w:sz w:val="21"/>
                <w:szCs w:val="21"/>
                <w:highlight w:val="none"/>
              </w:rPr>
            </w:pPr>
            <w:r>
              <w:rPr>
                <w:rFonts w:ascii="微软雅黑" w:hAnsi="微软雅黑" w:eastAsia="微软雅黑"/>
                <w:color w:val="auto"/>
                <w:spacing w:val="-3"/>
                <w:sz w:val="21"/>
                <w:szCs w:val="21"/>
                <w:highlight w:val="none"/>
              </w:rPr>
              <w:t>定期对受保居民开展保险</w:t>
            </w:r>
            <w:r>
              <w:rPr>
                <w:rFonts w:hint="eastAsia" w:ascii="微软雅黑" w:hAnsi="微软雅黑" w:eastAsia="微软雅黑"/>
                <w:color w:val="auto"/>
                <w:spacing w:val="-3"/>
                <w:sz w:val="21"/>
                <w:szCs w:val="21"/>
                <w:highlight w:val="none"/>
              </w:rPr>
              <w:t>、保险监测减损服务</w:t>
            </w:r>
            <w:r>
              <w:rPr>
                <w:rFonts w:ascii="微软雅黑" w:hAnsi="微软雅黑" w:eastAsia="微软雅黑"/>
                <w:color w:val="auto"/>
                <w:spacing w:val="-3"/>
                <w:sz w:val="21"/>
                <w:szCs w:val="21"/>
                <w:highlight w:val="none"/>
              </w:rPr>
              <w:t>等相关方面的知识普及。</w:t>
            </w:r>
          </w:p>
        </w:tc>
      </w:tr>
      <w:tr w14:paraId="0B79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1" w:hRule="atLeast"/>
        </w:trPr>
        <w:tc>
          <w:tcPr>
            <w:tcW w:w="1900" w:type="dxa"/>
          </w:tcPr>
          <w:p w14:paraId="69C9ABC1">
            <w:pPr>
              <w:pStyle w:val="308"/>
              <w:jc w:val="center"/>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其他</w:t>
            </w:r>
          </w:p>
        </w:tc>
        <w:tc>
          <w:tcPr>
            <w:tcW w:w="6767" w:type="dxa"/>
          </w:tcPr>
          <w:p w14:paraId="4B74695D">
            <w:pPr>
              <w:pStyle w:val="308"/>
              <w:tabs>
                <w:tab w:val="left" w:pos="320"/>
              </w:tabs>
              <w:ind w:left="216" w:leftChars="103"/>
              <w:rPr>
                <w:rFonts w:hint="eastAsia" w:ascii="微软雅黑" w:hAnsi="微软雅黑" w:eastAsia="微软雅黑"/>
                <w:color w:val="auto"/>
                <w:spacing w:val="-19"/>
                <w:sz w:val="21"/>
                <w:szCs w:val="21"/>
                <w:highlight w:val="none"/>
              </w:rPr>
            </w:pPr>
            <w:r>
              <w:rPr>
                <w:rFonts w:hint="eastAsia" w:ascii="微软雅黑" w:hAnsi="微软雅黑" w:eastAsia="微软雅黑"/>
                <w:color w:val="auto"/>
                <w:spacing w:val="-5"/>
                <w:sz w:val="21"/>
                <w:szCs w:val="21"/>
                <w:highlight w:val="none"/>
              </w:rPr>
              <w:t>现场实际统计汇总的数据以及其它数字化成果产权均归招标单位（嘉兴市秀洲区住房和城乡建设局）所有，中标单位须做好项目数据保密工作。</w:t>
            </w:r>
          </w:p>
        </w:tc>
      </w:tr>
      <w:tr w14:paraId="3E67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78" w:hRule="atLeast"/>
        </w:trPr>
        <w:tc>
          <w:tcPr>
            <w:tcW w:w="1900" w:type="dxa"/>
          </w:tcPr>
          <w:p w14:paraId="58029444">
            <w:pPr>
              <w:pStyle w:val="308"/>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付款条件</w:t>
            </w:r>
          </w:p>
        </w:tc>
        <w:tc>
          <w:tcPr>
            <w:tcW w:w="6767" w:type="dxa"/>
          </w:tcPr>
          <w:p w14:paraId="0EBC8908">
            <w:pPr>
              <w:pStyle w:val="7"/>
              <w:keepNext w:val="0"/>
              <w:keepLines w:val="0"/>
              <w:numPr>
                <w:ilvl w:val="0"/>
                <w:numId w:val="34"/>
              </w:numPr>
              <w:snapToGrid w:val="0"/>
              <w:spacing w:line="240" w:lineRule="auto"/>
              <w:ind w:left="216" w:leftChars="103" w:firstLine="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预付款政策告知</w:t>
            </w:r>
          </w:p>
          <w:p w14:paraId="743334EA">
            <w:pPr>
              <w:spacing w:line="240" w:lineRule="auto"/>
              <w:ind w:left="216" w:leftChars="103" w:firstLine="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根据《浙江省财政厅关于进一步发挥政府采购政策功能全力推动经济稳进提质的通知》[浙财采监〔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供应商为大型企业的项目或者以人工投入为主且实行按月定期结算支付款项的项目，预付款比例可低于上述比例或者不约定预付款。在签订合同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1B6B7C81">
            <w:pPr>
              <w:pStyle w:val="7"/>
              <w:keepNext w:val="0"/>
              <w:keepLines w:val="0"/>
              <w:numPr>
                <w:ilvl w:val="0"/>
                <w:numId w:val="34"/>
              </w:numPr>
              <w:snapToGrid w:val="0"/>
              <w:spacing w:line="240" w:lineRule="auto"/>
              <w:ind w:left="216" w:leftChars="103" w:firstLine="0" w:firstLineChars="0"/>
              <w:rPr>
                <w:rFonts w:hint="eastAsia" w:ascii="微软雅黑" w:hAnsi="微软雅黑" w:cs="微软雅黑"/>
                <w:bCs w:val="0"/>
                <w:color w:val="auto"/>
                <w:szCs w:val="21"/>
                <w:highlight w:val="none"/>
              </w:rPr>
            </w:pPr>
            <w:r>
              <w:rPr>
                <w:rFonts w:hint="eastAsia" w:ascii="微软雅黑" w:hAnsi="微软雅黑" w:cs="微软雅黑"/>
                <w:bCs w:val="0"/>
                <w:color w:val="auto"/>
                <w:szCs w:val="21"/>
                <w:highlight w:val="none"/>
              </w:rPr>
              <w:t>项目进度款</w:t>
            </w:r>
          </w:p>
          <w:p w14:paraId="6F90359F">
            <w:pPr>
              <w:pStyle w:val="104"/>
              <w:numPr>
                <w:ilvl w:val="0"/>
                <w:numId w:val="35"/>
              </w:numPr>
              <w:snapToGrid w:val="0"/>
              <w:spacing w:line="240" w:lineRule="auto"/>
              <w:ind w:left="216" w:leftChars="103" w:firstLine="0" w:firstLineChars="0"/>
              <w:rPr>
                <w:rFonts w:hint="eastAsia" w:ascii="微软雅黑" w:hAnsi="微软雅黑" w:cs="宋体"/>
                <w:color w:val="auto"/>
                <w:szCs w:val="21"/>
                <w:highlight w:val="none"/>
              </w:rPr>
            </w:pPr>
            <w:r>
              <w:rPr>
                <w:rFonts w:hint="eastAsia" w:ascii="微软雅黑" w:hAnsi="微软雅黑"/>
                <w:color w:val="auto"/>
                <w:szCs w:val="21"/>
                <w:highlight w:val="none"/>
              </w:rPr>
              <w:t>支付方式：款项金额按实际数量，由各镇自行支付。</w:t>
            </w:r>
          </w:p>
          <w:p w14:paraId="491391C6">
            <w:pPr>
              <w:pStyle w:val="104"/>
              <w:snapToGrid w:val="0"/>
              <w:spacing w:line="240" w:lineRule="auto"/>
              <w:ind w:left="216" w:leftChars="103" w:firstLine="0" w:firstLineChars="0"/>
              <w:rPr>
                <w:rFonts w:hint="eastAsia" w:ascii="微软雅黑" w:hAnsi="微软雅黑"/>
                <w:color w:val="auto"/>
                <w:szCs w:val="21"/>
                <w:highlight w:val="none"/>
              </w:rPr>
            </w:pPr>
            <w:r>
              <w:rPr>
                <w:rFonts w:hint="eastAsia" w:ascii="微软雅黑" w:hAnsi="微软雅黑"/>
                <w:color w:val="auto"/>
                <w:szCs w:val="21"/>
                <w:highlight w:val="none"/>
              </w:rPr>
              <w:t>每季度支付一次，各镇按</w:t>
            </w:r>
            <w:r>
              <w:rPr>
                <w:rFonts w:ascii="微软雅黑" w:hAnsi="微软雅黑"/>
                <w:color w:val="auto"/>
                <w:spacing w:val="-9"/>
                <w:szCs w:val="21"/>
                <w:highlight w:val="none"/>
              </w:rPr>
              <w:t>考核情况支付</w:t>
            </w:r>
            <w:r>
              <w:rPr>
                <w:rFonts w:hint="eastAsia" w:ascii="微软雅黑" w:hAnsi="微软雅黑"/>
                <w:color w:val="auto"/>
                <w:spacing w:val="-9"/>
                <w:szCs w:val="21"/>
                <w:highlight w:val="none"/>
              </w:rPr>
              <w:t>本镇费用</w:t>
            </w:r>
            <w:r>
              <w:rPr>
                <w:rFonts w:ascii="微软雅黑" w:hAnsi="微软雅黑"/>
                <w:color w:val="auto"/>
                <w:spacing w:val="-9"/>
                <w:szCs w:val="21"/>
                <w:highlight w:val="none"/>
              </w:rPr>
              <w:t>的</w:t>
            </w:r>
            <w:r>
              <w:rPr>
                <w:rFonts w:ascii="微软雅黑" w:hAnsi="微软雅黑"/>
                <w:color w:val="auto"/>
                <w:szCs w:val="21"/>
                <w:highlight w:val="none"/>
              </w:rPr>
              <w:t>1/4</w:t>
            </w:r>
            <w:r>
              <w:rPr>
                <w:rFonts w:hint="eastAsia" w:ascii="微软雅黑" w:hAnsi="微软雅黑"/>
                <w:color w:val="auto"/>
                <w:szCs w:val="21"/>
                <w:highlight w:val="none"/>
              </w:rPr>
              <w:t>。</w:t>
            </w:r>
          </w:p>
          <w:p w14:paraId="55A52F33">
            <w:pPr>
              <w:pStyle w:val="104"/>
              <w:numPr>
                <w:ilvl w:val="0"/>
                <w:numId w:val="35"/>
              </w:numPr>
              <w:snapToGrid w:val="0"/>
              <w:spacing w:line="240" w:lineRule="auto"/>
              <w:ind w:left="216" w:leftChars="103" w:firstLine="0" w:firstLineChars="0"/>
              <w:rPr>
                <w:rFonts w:hint="eastAsia" w:ascii="微软雅黑" w:hAnsi="微软雅黑"/>
                <w:color w:val="auto"/>
                <w:szCs w:val="21"/>
                <w:highlight w:val="none"/>
              </w:rPr>
            </w:pPr>
            <w:r>
              <w:rPr>
                <w:rFonts w:hint="eastAsia" w:ascii="微软雅黑" w:hAnsi="微软雅黑" w:cs="宋体"/>
                <w:color w:val="auto"/>
                <w:szCs w:val="21"/>
                <w:highlight w:val="none"/>
              </w:rPr>
              <w:t>本项目支付时，承包人必须提供正规合法的税票。</w:t>
            </w:r>
          </w:p>
        </w:tc>
      </w:tr>
    </w:tbl>
    <w:p w14:paraId="36DDF941">
      <w:pPr>
        <w:pStyle w:val="5"/>
        <w:numPr>
          <w:ilvl w:val="0"/>
          <w:numId w:val="36"/>
        </w:numPr>
        <w:rPr>
          <w:rStyle w:val="70"/>
          <w:b/>
          <w:bCs/>
          <w:color w:val="auto"/>
          <w:highlight w:val="none"/>
        </w:rPr>
        <w:sectPr>
          <w:headerReference r:id="rId16" w:type="first"/>
          <w:footerReference r:id="rId17" w:type="default"/>
          <w:headerReference r:id="rId15" w:type="even"/>
          <w:type w:val="nextColumn"/>
          <w:pgSz w:w="11906" w:h="16838"/>
          <w:pgMar w:top="1474" w:right="1797" w:bottom="1247" w:left="1797" w:header="851" w:footer="850" w:gutter="0"/>
          <w:pgBorders>
            <w:top w:val="none" w:sz="0" w:space="0"/>
            <w:left w:val="none" w:sz="0" w:space="0"/>
            <w:bottom w:val="none" w:sz="0" w:space="0"/>
            <w:right w:val="none" w:sz="0" w:space="0"/>
          </w:pgBorders>
          <w:cols w:space="0" w:num="1"/>
          <w:docGrid w:linePitch="312" w:charSpace="0"/>
        </w:sectPr>
      </w:pPr>
    </w:p>
    <w:bookmarkEnd w:id="18"/>
    <w:bookmarkEnd w:id="19"/>
    <w:bookmarkEnd w:id="20"/>
    <w:bookmarkEnd w:id="21"/>
    <w:bookmarkEnd w:id="22"/>
    <w:bookmarkEnd w:id="23"/>
    <w:bookmarkEnd w:id="24"/>
    <w:p w14:paraId="55930AA4">
      <w:pPr>
        <w:pStyle w:val="5"/>
        <w:numPr>
          <w:ilvl w:val="0"/>
          <w:numId w:val="3"/>
        </w:numPr>
        <w:rPr>
          <w:rStyle w:val="70"/>
          <w:b/>
          <w:bCs/>
          <w:color w:val="auto"/>
          <w:highlight w:val="none"/>
        </w:rPr>
      </w:pPr>
      <w:bookmarkStart w:id="28" w:name="_Toc32265"/>
      <w:r>
        <w:rPr>
          <w:rStyle w:val="70"/>
          <w:rFonts w:hint="eastAsia"/>
          <w:b/>
          <w:bCs/>
          <w:color w:val="auto"/>
          <w:highlight w:val="none"/>
        </w:rPr>
        <w:t>投标人须知</w:t>
      </w:r>
      <w:bookmarkEnd w:id="9"/>
      <w:bookmarkEnd w:id="25"/>
      <w:bookmarkEnd w:id="26"/>
      <w:bookmarkEnd w:id="28"/>
    </w:p>
    <w:p w14:paraId="5245C183">
      <w:pPr>
        <w:pStyle w:val="6"/>
        <w:ind w:firstLine="420"/>
        <w:jc w:val="center"/>
        <w:rPr>
          <w:rFonts w:hint="eastAsia"/>
          <w:color w:val="auto"/>
          <w:highlight w:val="none"/>
        </w:rPr>
      </w:pPr>
      <w:bookmarkStart w:id="29" w:name="_Toc15642"/>
      <w:bookmarkStart w:id="30" w:name="_Toc493511543"/>
      <w:bookmarkStart w:id="31" w:name="_Toc177870535"/>
      <w:r>
        <w:rPr>
          <w:rFonts w:hint="eastAsia"/>
          <w:color w:val="auto"/>
          <w:highlight w:val="none"/>
        </w:rPr>
        <w:t>电子交易注意事项</w:t>
      </w:r>
      <w:bookmarkEnd w:id="29"/>
    </w:p>
    <w:p w14:paraId="09716A9F">
      <w:pPr>
        <w:ind w:firstLine="210" w:firstLineChars="100"/>
        <w:rPr>
          <w:rFonts w:hint="eastAsia"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政府采购项目电子交易活动适用《浙江省政府采购项目电子交易管理暂行办法》，现将相关注意事项告知如下：</w:t>
      </w:r>
    </w:p>
    <w:p w14:paraId="55886279">
      <w:pPr>
        <w:ind w:firstLine="210" w:firstLineChars="100"/>
        <w:rPr>
          <w:rFonts w:hint="eastAsia" w:ascii="微软雅黑" w:hAnsi="微软雅黑"/>
          <w:color w:val="auto"/>
          <w:szCs w:val="21"/>
          <w:highlight w:val="none"/>
        </w:rPr>
      </w:pPr>
      <w:r>
        <w:rPr>
          <w:rFonts w:hint="eastAsia" w:ascii="微软雅黑" w:hAnsi="微软雅黑"/>
          <w:color w:val="auto"/>
          <w:szCs w:val="21"/>
          <w:highlight w:val="none"/>
        </w:rPr>
        <w:t>　1.代理机构按照招标文件规定的时间通过电子交易平台组织开标、开启投标文件，所有供应商均应当准时在线参加，直至评审结束。</w:t>
      </w:r>
    </w:p>
    <w:p w14:paraId="04812D94">
      <w:pPr>
        <w:pStyle w:val="48"/>
        <w:spacing w:beforeAutospacing="0" w:after="120" w:afterAutospacing="0"/>
        <w:ind w:firstLine="210" w:firstLineChars="10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　2. 投标文件未按时解密，供应商如提供备份投标文件的，以符合要求的备份投标文件作为依据，否则视为投标文件撤回。投标文件已按时解密的，备份投标文件自动失效。</w:t>
      </w:r>
    </w:p>
    <w:p w14:paraId="270F132D">
      <w:pPr>
        <w:pStyle w:val="48"/>
        <w:spacing w:beforeAutospacing="0" w:after="120" w:afterAutospacing="0"/>
        <w:ind w:firstLine="210" w:firstLineChars="10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　3. 采购过程中出现以下情形，导致电子交易平台无法正常运行，或者无法保证电子交易的公平、公正和安全时，代理机构可中止电子交易活动：</w:t>
      </w:r>
    </w:p>
    <w:p w14:paraId="6704951F">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（一）电子交易平台发生故障而无法登录访问的。</w:t>
      </w:r>
    </w:p>
    <w:p w14:paraId="6C4EDB63">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（二）电子交易平台应用或数据库出现错误，不能进行正常操作的。</w:t>
      </w:r>
    </w:p>
    <w:p w14:paraId="1636D246">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（三）电子交易平台发现严重安全漏洞，有潜在泄密危险的。</w:t>
      </w:r>
    </w:p>
    <w:p w14:paraId="1FA13D2A">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（四）病毒发作导致不能进行正常操作的。 </w:t>
      </w:r>
    </w:p>
    <w:p w14:paraId="6137C027">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（五）其他无法保证电子交易的公平、公正和安全的情况。</w:t>
      </w:r>
    </w:p>
    <w:p w14:paraId="494CB3D5">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出现前款规定情形，不影响采购公平、公正性的，代理机构可以待上述情形消除后继续组织电子交易活动，也可以决定某些环节以纸质形式进行；影响或可能影响采购公平、公正性的，应当重新采购。</w:t>
      </w:r>
    </w:p>
    <w:p w14:paraId="0A4F013B">
      <w:pPr>
        <w:pStyle w:val="48"/>
        <w:numPr>
          <w:ilvl w:val="0"/>
          <w:numId w:val="37"/>
        </w:numPr>
        <w:spacing w:beforeAutospacing="0" w:after="120" w:afterAutospacing="0" w:line="560" w:lineRule="exact"/>
        <w:ind w:firstLineChars="0"/>
        <w:rPr>
          <w:rFonts w:hint="eastAsia" w:ascii="微软雅黑" w:hAnsi="微软雅黑"/>
          <w:color w:val="auto"/>
          <w:sz w:val="21"/>
          <w:szCs w:val="21"/>
          <w:highlight w:val="none"/>
        </w:rPr>
      </w:pPr>
      <w:r>
        <w:rPr>
          <w:rFonts w:hint="eastAsia" w:ascii="微软雅黑" w:hAnsi="微软雅黑"/>
          <w:color w:val="auto"/>
          <w:sz w:val="21"/>
          <w:szCs w:val="21"/>
          <w:highlight w:val="none"/>
          <w:shd w:val="clear" w:color="auto" w:fill="FFFFFF"/>
        </w:rPr>
        <w:t>评审中需要供应商对投标文件作出澄清、说明或者补正的，评审小组和供应商应当通过电子交易平台交换数据电文。供应商需在半小时内提交澄清说明或补正，供应商已经明确表示澄清说明或补正完毕的除外。</w:t>
      </w:r>
    </w:p>
    <w:p w14:paraId="5A030AE0">
      <w:pPr>
        <w:ind w:left="238" w:firstLine="420"/>
        <w:jc w:val="center"/>
        <w:rPr>
          <w:rFonts w:hint="eastAsia" w:ascii="微软雅黑" w:hAnsi="微软雅黑"/>
          <w:b/>
          <w:color w:val="auto"/>
          <w:szCs w:val="21"/>
          <w:highlight w:val="none"/>
        </w:rPr>
        <w:sectPr>
          <w:headerReference r:id="rId19" w:type="first"/>
          <w:footerReference r:id="rId20" w:type="default"/>
          <w:headerReference r:id="rId18" w:type="even"/>
          <w:type w:val="nextColumn"/>
          <w:pgSz w:w="11906" w:h="16838"/>
          <w:pgMar w:top="1474" w:right="1134" w:bottom="1134" w:left="1474" w:header="851" w:footer="851" w:gutter="0"/>
          <w:pgBorders>
            <w:top w:val="none" w:sz="0" w:space="0"/>
            <w:left w:val="none" w:sz="0" w:space="0"/>
            <w:bottom w:val="none" w:sz="0" w:space="0"/>
            <w:right w:val="none" w:sz="0" w:space="0"/>
          </w:pgBorders>
          <w:cols w:space="720" w:num="1"/>
          <w:docGrid w:linePitch="312" w:charSpace="0"/>
        </w:sectPr>
      </w:pPr>
    </w:p>
    <w:p w14:paraId="07AD9BAD">
      <w:pPr>
        <w:ind w:left="238" w:firstLine="420"/>
        <w:jc w:val="center"/>
        <w:outlineLvl w:val="1"/>
        <w:rPr>
          <w:rFonts w:hint="eastAsia" w:ascii="微软雅黑" w:hAnsi="微软雅黑"/>
          <w:b/>
          <w:color w:val="auto"/>
          <w:szCs w:val="21"/>
          <w:highlight w:val="none"/>
        </w:rPr>
      </w:pPr>
      <w:bookmarkStart w:id="32" w:name="_Toc9927"/>
      <w:r>
        <w:rPr>
          <w:rFonts w:hint="eastAsia" w:ascii="微软雅黑" w:hAnsi="微软雅黑"/>
          <w:b/>
          <w:color w:val="auto"/>
          <w:szCs w:val="21"/>
          <w:highlight w:val="none"/>
        </w:rPr>
        <w:t>前附表</w:t>
      </w:r>
      <w:bookmarkEnd w:id="30"/>
      <w:bookmarkEnd w:id="31"/>
      <w:bookmarkEnd w:id="32"/>
    </w:p>
    <w:tbl>
      <w:tblPr>
        <w:tblStyle w:val="54"/>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220708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1A63E62E">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07C607C">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55D3AD64">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本项目的特别规定</w:t>
            </w:r>
          </w:p>
        </w:tc>
      </w:tr>
      <w:tr w14:paraId="299C17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F1A23DA">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EBB4DA9">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项目名称</w:t>
            </w:r>
          </w:p>
        </w:tc>
        <w:tc>
          <w:tcPr>
            <w:tcW w:w="6095" w:type="dxa"/>
            <w:tcBorders>
              <w:top w:val="single" w:color="000000" w:sz="8" w:space="0"/>
              <w:left w:val="single" w:color="000000" w:sz="2" w:space="0"/>
              <w:bottom w:val="single" w:color="000000" w:sz="8" w:space="0"/>
              <w:right w:val="single" w:color="000000" w:sz="8" w:space="0"/>
            </w:tcBorders>
            <w:vAlign w:val="center"/>
          </w:tcPr>
          <w:p w14:paraId="5F82CF74">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color w:val="auto"/>
                <w:highlight w:val="none"/>
              </w:rPr>
              <w:t>2025年秀洲区老旧房屋保险服务项目</w:t>
            </w:r>
          </w:p>
        </w:tc>
      </w:tr>
      <w:tr w14:paraId="6762F2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538F214">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10ADDBA">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采购内容</w:t>
            </w:r>
          </w:p>
        </w:tc>
        <w:tc>
          <w:tcPr>
            <w:tcW w:w="6095" w:type="dxa"/>
            <w:tcBorders>
              <w:top w:val="single" w:color="000000" w:sz="8" w:space="0"/>
              <w:left w:val="single" w:color="000000" w:sz="2" w:space="0"/>
              <w:bottom w:val="single" w:color="000000" w:sz="8" w:space="0"/>
              <w:right w:val="single" w:color="000000" w:sz="8" w:space="0"/>
            </w:tcBorders>
            <w:vAlign w:val="center"/>
          </w:tcPr>
          <w:p w14:paraId="4C83BD30">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详见第二章</w:t>
            </w:r>
          </w:p>
        </w:tc>
      </w:tr>
      <w:tr w14:paraId="438408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1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41F9435">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344BCFB5">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1C18FBD7">
            <w:pPr>
              <w:spacing w:line="240" w:lineRule="auto"/>
              <w:ind w:firstLine="0" w:firstLineChars="0"/>
              <w:rPr>
                <w:rFonts w:hint="eastAsia" w:ascii="微软雅黑" w:hAnsi="微软雅黑" w:cs="宋体"/>
                <w:color w:val="auto"/>
                <w:szCs w:val="21"/>
                <w:highlight w:val="none"/>
                <w:lang w:val="zh-CN"/>
              </w:rPr>
            </w:pPr>
            <w:r>
              <w:rPr>
                <w:rFonts w:hint="eastAsia" w:ascii="微软雅黑" w:hAnsi="微软雅黑" w:cs="宋体"/>
                <w:color w:val="auto"/>
                <w:szCs w:val="21"/>
                <w:highlight w:val="none"/>
                <w:lang w:val="zh-CN"/>
              </w:rPr>
              <w:t>有关本项目实施所需的所有费用（含税费）均计入报价。开标一览表（报价表）是报价的唯一载体。投标文件中价格全部采用人民币报价。招标文件未列明，而投标供应商认为必需的费用也需列入报价。</w:t>
            </w:r>
          </w:p>
          <w:p w14:paraId="1C6D0B93">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b/>
                <w:color w:val="auto"/>
                <w:kern w:val="0"/>
                <w:szCs w:val="21"/>
                <w:highlight w:val="none"/>
                <w:lang w:val="zh-CN"/>
              </w:rPr>
              <w:t>提醒：验收时检测费、</w:t>
            </w:r>
            <w:r>
              <w:rPr>
                <w:rFonts w:hint="eastAsia" w:ascii="微软雅黑" w:hAnsi="微软雅黑" w:cs="仿宋_GB2312"/>
                <w:b/>
                <w:color w:val="auto"/>
                <w:kern w:val="0"/>
                <w:szCs w:val="21"/>
                <w:highlight w:val="none"/>
              </w:rPr>
              <w:t>专家费等验收所产生的合理费</w:t>
            </w:r>
            <w:r>
              <w:rPr>
                <w:rFonts w:hint="eastAsia" w:ascii="微软雅黑" w:hAnsi="微软雅黑" w:cs="仿宋_GB2312"/>
                <w:b/>
                <w:color w:val="auto"/>
                <w:kern w:val="0"/>
                <w:szCs w:val="21"/>
                <w:highlight w:val="none"/>
                <w:lang w:val="zh-CN"/>
              </w:rPr>
              <w:t>用由采购人承担，不包含在投标总价中，</w:t>
            </w:r>
            <w:r>
              <w:rPr>
                <w:rFonts w:hint="eastAsia" w:ascii="微软雅黑" w:hAnsi="微软雅黑" w:cs="仿宋_GB2312"/>
                <w:b/>
                <w:color w:val="auto"/>
                <w:kern w:val="0"/>
                <w:szCs w:val="21"/>
                <w:highlight w:val="none"/>
              </w:rPr>
              <w:t>若由中标方原因造成的验收不合格所产生的费用，由中标方承担</w:t>
            </w:r>
            <w:r>
              <w:rPr>
                <w:rFonts w:hint="eastAsia" w:ascii="微软雅黑" w:hAnsi="微软雅黑" w:cs="仿宋_GB2312"/>
                <w:b/>
                <w:color w:val="auto"/>
                <w:kern w:val="0"/>
                <w:szCs w:val="21"/>
                <w:highlight w:val="none"/>
                <w:lang w:val="zh-CN"/>
              </w:rPr>
              <w:t>。</w:t>
            </w:r>
          </w:p>
        </w:tc>
      </w:tr>
      <w:tr w14:paraId="789ABA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6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8793C17">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0EE2156">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76E5011E">
            <w:pPr>
              <w:spacing w:line="240" w:lineRule="auto"/>
              <w:ind w:firstLine="0" w:firstLineChars="0"/>
              <w:rPr>
                <w:rFonts w:hint="eastAsia" w:ascii="微软雅黑" w:hAnsi="微软雅黑" w:cs="仿宋_GB2312"/>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A同意将非主体、非关键性的工作分包。</w:t>
            </w:r>
            <w:r>
              <w:rPr>
                <w:rFonts w:ascii="微软雅黑" w:hAnsi="微软雅黑" w:cs="Arial"/>
                <w:color w:val="auto"/>
                <w:kern w:val="0"/>
                <w:szCs w:val="21"/>
                <w:highlight w:val="none"/>
              </w:rPr>
              <w:sym w:font="Wingdings" w:char="00FE"/>
            </w:r>
            <w:r>
              <w:rPr>
                <w:rFonts w:hint="eastAsia" w:ascii="微软雅黑" w:hAnsi="微软雅黑" w:cs="宋体"/>
                <w:color w:val="auto"/>
                <w:szCs w:val="21"/>
                <w:highlight w:val="none"/>
                <w:lang w:val="zh-CN"/>
              </w:rPr>
              <w:t>B不同意分包。</w:t>
            </w:r>
          </w:p>
        </w:tc>
      </w:tr>
      <w:tr w14:paraId="38A2D9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9ED4A41">
            <w:pPr>
              <w:snapToGrid w:val="0"/>
              <w:spacing w:line="240" w:lineRule="auto"/>
              <w:ind w:firstLine="0" w:firstLineChars="0"/>
              <w:jc w:val="center"/>
              <w:rPr>
                <w:rFonts w:hint="eastAsia" w:ascii="微软雅黑" w:hAnsi="微软雅黑" w:cs="仿宋_GB2312"/>
                <w:color w:val="auto"/>
                <w:szCs w:val="21"/>
                <w:highlight w:val="none"/>
              </w:rPr>
            </w:pPr>
          </w:p>
          <w:p w14:paraId="32FCB11A">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11F2C6DD">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开标前答疑会或现场踏勘</w:t>
            </w:r>
          </w:p>
        </w:tc>
        <w:tc>
          <w:tcPr>
            <w:tcW w:w="6095" w:type="dxa"/>
            <w:tcBorders>
              <w:top w:val="single" w:color="000000" w:sz="8" w:space="0"/>
              <w:left w:val="single" w:color="000000" w:sz="2" w:space="0"/>
              <w:bottom w:val="single" w:color="000000" w:sz="8" w:space="0"/>
              <w:right w:val="single" w:color="000000" w:sz="8" w:space="0"/>
            </w:tcBorders>
            <w:vAlign w:val="center"/>
          </w:tcPr>
          <w:p w14:paraId="3CA2F68C">
            <w:pPr>
              <w:spacing w:line="240" w:lineRule="auto"/>
              <w:ind w:firstLine="0" w:firstLineChars="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FE"/>
            </w:r>
            <w:r>
              <w:rPr>
                <w:rFonts w:hint="eastAsia" w:ascii="微软雅黑" w:hAnsi="微软雅黑" w:cs="宋体"/>
                <w:color w:val="auto"/>
                <w:szCs w:val="21"/>
                <w:highlight w:val="none"/>
                <w:lang w:val="zh-CN"/>
              </w:rPr>
              <w:t>A不组织。</w:t>
            </w:r>
            <w:r>
              <w:rPr>
                <w:rFonts w:hint="eastAsia" w:ascii="微软雅黑" w:hAnsi="微软雅黑"/>
                <w:color w:val="auto"/>
                <w:szCs w:val="21"/>
                <w:highlight w:val="none"/>
                <w:lang w:val="zh-CN"/>
              </w:rPr>
              <w:t>本项目须进行</w:t>
            </w:r>
            <w:r>
              <w:rPr>
                <w:rFonts w:hint="eastAsia" w:ascii="微软雅黑" w:hAnsi="微软雅黑"/>
                <w:color w:val="auto"/>
                <w:szCs w:val="21"/>
                <w:highlight w:val="none"/>
              </w:rPr>
              <w:t>自行</w:t>
            </w:r>
            <w:r>
              <w:rPr>
                <w:rFonts w:hint="eastAsia" w:ascii="微软雅黑" w:hAnsi="微软雅黑"/>
                <w:color w:val="auto"/>
                <w:szCs w:val="21"/>
                <w:highlight w:val="none"/>
                <w:lang w:val="zh-CN"/>
              </w:rPr>
              <w:t>踏勘（招标文件中不能详细表述的不可预见费用、招标需求等，投标供应商需通过现场踏勘后考虑在最终报价内，否则后果由中标供应商自负），</w:t>
            </w:r>
            <w:r>
              <w:rPr>
                <w:rFonts w:hint="eastAsia" w:ascii="微软雅黑" w:hAnsi="微软雅黑" w:cs="宋体"/>
                <w:color w:val="auto"/>
                <w:szCs w:val="21"/>
                <w:highlight w:val="none"/>
                <w:lang w:val="zh-CN"/>
              </w:rPr>
              <w:t>联系人</w:t>
            </w:r>
            <w:r>
              <w:rPr>
                <w:rFonts w:hint="eastAsia" w:ascii="微软雅黑" w:hAnsi="微软雅黑" w:cs="宋体"/>
                <w:color w:val="auto"/>
                <w:szCs w:val="21"/>
                <w:highlight w:val="none"/>
              </w:rPr>
              <w:t>及</w:t>
            </w:r>
            <w:r>
              <w:rPr>
                <w:rFonts w:hint="eastAsia" w:ascii="微软雅黑" w:hAnsi="微软雅黑" w:cs="宋体"/>
                <w:color w:val="auto"/>
                <w:szCs w:val="21"/>
                <w:highlight w:val="none"/>
                <w:lang w:val="zh-CN"/>
              </w:rPr>
              <w:t>联系方式</w:t>
            </w:r>
            <w:r>
              <w:rPr>
                <w:rFonts w:hint="eastAsia" w:ascii="微软雅黑" w:hAnsi="微软雅黑" w:cs="宋体"/>
                <w:color w:val="auto"/>
                <w:szCs w:val="21"/>
                <w:highlight w:val="none"/>
              </w:rPr>
              <w:t>同招标公告内采购方联系人。</w:t>
            </w:r>
          </w:p>
          <w:p w14:paraId="1904CFCB">
            <w:pPr>
              <w:spacing w:line="240" w:lineRule="auto"/>
              <w:ind w:firstLine="0" w:firstLineChars="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B组织，时间：</w:t>
            </w:r>
            <w:r>
              <w:rPr>
                <w:rFonts w:ascii="微软雅黑" w:hAnsi="微软雅黑"/>
                <w:color w:val="auto"/>
                <w:szCs w:val="21"/>
                <w:highlight w:val="none"/>
              </w:rPr>
              <w:t>,</w:t>
            </w:r>
            <w:r>
              <w:rPr>
                <w:rFonts w:hint="eastAsia" w:ascii="微软雅黑" w:hAnsi="微软雅黑" w:cs="宋体"/>
                <w:color w:val="auto"/>
                <w:szCs w:val="21"/>
                <w:highlight w:val="none"/>
                <w:lang w:val="zh-CN"/>
              </w:rPr>
              <w:t>地点：</w:t>
            </w:r>
            <w:r>
              <w:rPr>
                <w:rFonts w:hint="eastAsia" w:ascii="微软雅黑" w:hAnsi="微软雅黑" w:cs="宋体"/>
                <w:color w:val="auto"/>
                <w:szCs w:val="21"/>
                <w:highlight w:val="none"/>
                <w:u w:val="single"/>
              </w:rPr>
              <w:t>嘉兴市**区**路**号**室</w:t>
            </w:r>
            <w:r>
              <w:rPr>
                <w:rFonts w:hint="eastAsia" w:ascii="微软雅黑" w:hAnsi="微软雅黑" w:cs="宋体"/>
                <w:color w:val="auto"/>
                <w:szCs w:val="21"/>
                <w:highlight w:val="none"/>
                <w:lang w:val="zh-CN"/>
              </w:rPr>
              <w:t>，联系人：</w:t>
            </w:r>
            <w:r>
              <w:rPr>
                <w:rFonts w:hint="eastAsia" w:ascii="微软雅黑" w:hAnsi="微软雅黑"/>
                <w:color w:val="auto"/>
                <w:szCs w:val="21"/>
                <w:highlight w:val="none"/>
              </w:rPr>
              <w:t>，</w:t>
            </w:r>
            <w:r>
              <w:rPr>
                <w:rFonts w:hint="eastAsia" w:ascii="微软雅黑" w:hAnsi="微软雅黑" w:cs="宋体"/>
                <w:color w:val="auto"/>
                <w:szCs w:val="21"/>
                <w:highlight w:val="none"/>
                <w:lang w:val="zh-CN"/>
              </w:rPr>
              <w:t>联系方式：</w:t>
            </w:r>
            <w:r>
              <w:rPr>
                <w:rFonts w:hint="eastAsia" w:ascii="微软雅黑" w:hAnsi="微软雅黑"/>
                <w:color w:val="auto"/>
                <w:szCs w:val="21"/>
                <w:highlight w:val="none"/>
              </w:rPr>
              <w:t>。</w:t>
            </w:r>
          </w:p>
        </w:tc>
      </w:tr>
      <w:tr w14:paraId="030B99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EEF5EEB">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C376967">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投标</w:t>
            </w:r>
            <w:r>
              <w:rPr>
                <w:rFonts w:hint="eastAsia" w:ascii="微软雅黑" w:hAnsi="微软雅黑" w:cs="仿宋_GB2312"/>
                <w:b/>
                <w:color w:val="auto"/>
                <w:szCs w:val="21"/>
                <w:highlight w:val="none"/>
                <w:lang w:val="zh-CN"/>
              </w:rPr>
              <w:t>文件组成</w:t>
            </w:r>
          </w:p>
        </w:tc>
        <w:tc>
          <w:tcPr>
            <w:tcW w:w="6095" w:type="dxa"/>
            <w:tcBorders>
              <w:top w:val="single" w:color="000000" w:sz="8" w:space="0"/>
              <w:left w:val="single" w:color="000000" w:sz="2" w:space="0"/>
              <w:bottom w:val="single" w:color="000000" w:sz="8" w:space="0"/>
              <w:right w:val="single" w:color="000000" w:sz="8" w:space="0"/>
            </w:tcBorders>
            <w:vAlign w:val="center"/>
          </w:tcPr>
          <w:p w14:paraId="2C5B05BF">
            <w:pPr>
              <w:snapToGrid w:val="0"/>
              <w:spacing w:line="240" w:lineRule="auto"/>
              <w:ind w:firstLine="0" w:firstLineChars="0"/>
              <w:rPr>
                <w:rFonts w:hint="eastAsia" w:ascii="微软雅黑" w:hAnsi="微软雅黑"/>
                <w:color w:val="auto"/>
                <w:szCs w:val="21"/>
                <w:highlight w:val="none"/>
                <w:lang w:val="zh-CN"/>
              </w:rPr>
            </w:pPr>
            <w:r>
              <w:rPr>
                <w:rFonts w:hint="eastAsia" w:ascii="微软雅黑" w:hAnsi="微软雅黑"/>
                <w:color w:val="auto"/>
                <w:szCs w:val="21"/>
                <w:highlight w:val="none"/>
                <w:lang w:val="zh-CN"/>
              </w:rPr>
              <w:t>电子</w:t>
            </w:r>
            <w:r>
              <w:rPr>
                <w:rFonts w:hint="eastAsia" w:ascii="微软雅黑" w:hAnsi="微软雅黑"/>
                <w:color w:val="auto"/>
                <w:szCs w:val="21"/>
                <w:highlight w:val="none"/>
              </w:rPr>
              <w:t>投标</w:t>
            </w:r>
            <w:r>
              <w:rPr>
                <w:rFonts w:hint="eastAsia" w:ascii="微软雅黑" w:hAnsi="微软雅黑"/>
                <w:color w:val="auto"/>
                <w:szCs w:val="21"/>
                <w:highlight w:val="none"/>
                <w:lang w:val="zh-CN"/>
              </w:rPr>
              <w:t>文件和备份</w:t>
            </w:r>
            <w:r>
              <w:rPr>
                <w:rFonts w:hint="eastAsia" w:ascii="微软雅黑" w:hAnsi="微软雅黑"/>
                <w:color w:val="auto"/>
                <w:szCs w:val="21"/>
                <w:highlight w:val="none"/>
              </w:rPr>
              <w:t>投标</w:t>
            </w:r>
            <w:r>
              <w:rPr>
                <w:rFonts w:hint="eastAsia" w:ascii="微软雅黑" w:hAnsi="微软雅黑"/>
                <w:color w:val="auto"/>
                <w:szCs w:val="21"/>
                <w:highlight w:val="none"/>
                <w:lang w:val="zh-CN"/>
              </w:rPr>
              <w:t>文件均由</w:t>
            </w:r>
            <w:r>
              <w:rPr>
                <w:rFonts w:hint="eastAsia" w:ascii="微软雅黑" w:hAnsi="微软雅黑"/>
                <w:color w:val="auto"/>
                <w:szCs w:val="21"/>
                <w:highlight w:val="none"/>
              </w:rPr>
              <w:t>资格</w:t>
            </w:r>
            <w:r>
              <w:rPr>
                <w:rFonts w:hint="eastAsia" w:ascii="微软雅黑" w:hAnsi="微软雅黑"/>
                <w:color w:val="auto"/>
                <w:szCs w:val="21"/>
                <w:highlight w:val="none"/>
                <w:lang w:val="zh-CN"/>
              </w:rPr>
              <w:t>文件、</w:t>
            </w:r>
            <w:r>
              <w:rPr>
                <w:rFonts w:hint="eastAsia" w:ascii="微软雅黑" w:hAnsi="微软雅黑"/>
                <w:color w:val="auto"/>
                <w:szCs w:val="21"/>
                <w:highlight w:val="none"/>
              </w:rPr>
              <w:t>商务</w:t>
            </w:r>
            <w:r>
              <w:rPr>
                <w:rFonts w:hint="eastAsia" w:ascii="微软雅黑" w:hAnsi="微软雅黑"/>
                <w:color w:val="auto"/>
                <w:szCs w:val="21"/>
                <w:highlight w:val="none"/>
                <w:lang w:val="zh-CN"/>
              </w:rPr>
              <w:t>技术文件及投标报价文件</w:t>
            </w:r>
            <w:r>
              <w:rPr>
                <w:rFonts w:hint="eastAsia" w:ascii="微软雅黑" w:hAnsi="微软雅黑"/>
                <w:color w:val="auto"/>
                <w:szCs w:val="21"/>
                <w:highlight w:val="none"/>
              </w:rPr>
              <w:t>三</w:t>
            </w:r>
            <w:r>
              <w:rPr>
                <w:rFonts w:hint="eastAsia" w:ascii="微软雅黑" w:hAnsi="微软雅黑"/>
                <w:color w:val="auto"/>
                <w:szCs w:val="21"/>
                <w:highlight w:val="none"/>
                <w:lang w:val="zh-CN"/>
              </w:rPr>
              <w:t>部分组成。</w:t>
            </w:r>
          </w:p>
        </w:tc>
      </w:tr>
      <w:tr w14:paraId="44EF6A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B0DC6AD">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02C6DF3D">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lang w:val="zh-CN"/>
              </w:rPr>
              <w:t>开标时间及地点</w:t>
            </w:r>
          </w:p>
        </w:tc>
        <w:tc>
          <w:tcPr>
            <w:tcW w:w="6095" w:type="dxa"/>
            <w:tcBorders>
              <w:top w:val="single" w:color="000000" w:sz="8" w:space="0"/>
              <w:left w:val="single" w:color="000000" w:sz="2" w:space="0"/>
              <w:bottom w:val="single" w:color="000000" w:sz="8" w:space="0"/>
              <w:right w:val="single" w:color="000000" w:sz="8" w:space="0"/>
            </w:tcBorders>
            <w:vAlign w:val="center"/>
          </w:tcPr>
          <w:p w14:paraId="2C597C96">
            <w:pPr>
              <w:snapToGrid w:val="0"/>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时间：</w:t>
            </w:r>
            <w:r>
              <w:rPr>
                <w:rFonts w:ascii="微软雅黑" w:hAnsi="微软雅黑" w:cs="Calibri"/>
                <w:color w:val="auto"/>
                <w:szCs w:val="21"/>
                <w:highlight w:val="none"/>
              </w:rPr>
              <w:t> </w:t>
            </w:r>
            <w:r>
              <w:rPr>
                <w:rFonts w:hint="eastAsia" w:ascii="微软雅黑" w:hAnsi="微软雅黑" w:cs="Arial"/>
                <w:color w:val="auto"/>
                <w:sz w:val="21"/>
                <w:szCs w:val="21"/>
                <w:highlight w:val="none"/>
              </w:rPr>
              <w:t>202</w:t>
            </w:r>
            <w:r>
              <w:rPr>
                <w:rFonts w:hint="eastAsia" w:ascii="微软雅黑" w:hAnsi="微软雅黑" w:cs="Arial"/>
                <w:color w:val="auto"/>
                <w:sz w:val="21"/>
                <w:szCs w:val="21"/>
                <w:highlight w:val="none"/>
                <w:lang w:val="en-US" w:eastAsia="zh-CN"/>
              </w:rPr>
              <w:t>5</w:t>
            </w:r>
            <w:r>
              <w:rPr>
                <w:rFonts w:hint="eastAsia" w:ascii="微软雅黑" w:hAnsi="微软雅黑" w:cs="Arial"/>
                <w:color w:val="auto"/>
                <w:sz w:val="21"/>
                <w:szCs w:val="21"/>
                <w:highlight w:val="none"/>
              </w:rPr>
              <w:t>年</w:t>
            </w:r>
            <w:r>
              <w:rPr>
                <w:rFonts w:hint="eastAsia" w:ascii="微软雅黑" w:hAnsi="微软雅黑" w:cs="Arial"/>
                <w:color w:val="auto"/>
                <w:sz w:val="21"/>
                <w:szCs w:val="21"/>
                <w:highlight w:val="none"/>
                <w:lang w:val="en-US" w:eastAsia="zh-CN"/>
              </w:rPr>
              <w:t>02</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07</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14</w:t>
            </w:r>
            <w:r>
              <w:rPr>
                <w:rFonts w:hint="eastAsia" w:ascii="微软雅黑" w:hAnsi="微软雅黑" w:cs="Arial"/>
                <w:color w:val="auto"/>
                <w:sz w:val="21"/>
                <w:szCs w:val="21"/>
                <w:highlight w:val="none"/>
              </w:rPr>
              <w:t>：</w:t>
            </w:r>
            <w:r>
              <w:rPr>
                <w:rFonts w:hint="eastAsia" w:ascii="微软雅黑" w:hAnsi="微软雅黑" w:cs="Arial"/>
                <w:color w:val="auto"/>
                <w:sz w:val="21"/>
                <w:szCs w:val="21"/>
                <w:highlight w:val="none"/>
                <w:lang w:val="en-US" w:eastAsia="zh-CN"/>
              </w:rPr>
              <w:t>00</w:t>
            </w:r>
            <w:r>
              <w:rPr>
                <w:rFonts w:hint="eastAsia" w:ascii="微软雅黑" w:hAnsi="微软雅黑" w:cs="Arial"/>
                <w:color w:val="auto"/>
                <w:szCs w:val="21"/>
                <w:highlight w:val="none"/>
              </w:rPr>
              <w:t xml:space="preserve"> </w:t>
            </w:r>
          </w:p>
          <w:p w14:paraId="4BFEBD15">
            <w:pPr>
              <w:snapToGrid w:val="0"/>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地点：政采云平台</w:t>
            </w:r>
          </w:p>
          <w:p w14:paraId="70837728">
            <w:pPr>
              <w:snapToGrid w:val="0"/>
              <w:spacing w:line="240" w:lineRule="auto"/>
              <w:ind w:firstLine="0" w:firstLineChars="0"/>
              <w:rPr>
                <w:rFonts w:hint="eastAsia" w:ascii="微软雅黑" w:hAnsi="微软雅黑"/>
                <w:color w:val="auto"/>
                <w:szCs w:val="21"/>
                <w:highlight w:val="none"/>
                <w:lang w:val="zh-CN"/>
              </w:rPr>
            </w:pPr>
            <w:r>
              <w:rPr>
                <w:rFonts w:hint="eastAsia" w:ascii="微软雅黑" w:hAnsi="微软雅黑"/>
                <w:b/>
                <w:bCs/>
                <w:color w:val="auto"/>
                <w:szCs w:val="21"/>
                <w:highlight w:val="none"/>
                <w:u w:val="single"/>
                <w:lang w:val="zh-CN"/>
              </w:rPr>
              <w:t>供应商无需到开标现场，但须准时在线参加，直至评审结束。</w:t>
            </w:r>
          </w:p>
        </w:tc>
      </w:tr>
      <w:tr w14:paraId="399B3D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0D12AE7">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722977BD">
            <w:pPr>
              <w:snapToGrid w:val="0"/>
              <w:spacing w:line="240" w:lineRule="auto"/>
              <w:ind w:firstLine="0" w:firstLineChars="0"/>
              <w:jc w:val="center"/>
              <w:rPr>
                <w:rFonts w:hint="eastAsia" w:ascii="微软雅黑" w:hAnsi="微软雅黑" w:cs="仿宋_GB2312"/>
                <w:bCs/>
                <w:color w:val="auto"/>
                <w:szCs w:val="21"/>
                <w:highlight w:val="none"/>
              </w:rPr>
            </w:pPr>
            <w:r>
              <w:rPr>
                <w:rFonts w:hint="eastAsia" w:ascii="微软雅黑" w:hAnsi="微软雅黑" w:cs="仿宋_GB2312"/>
                <w:b/>
                <w:color w:val="auto"/>
                <w:szCs w:val="21"/>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478FD3BF">
            <w:pPr>
              <w:snapToGrid w:val="0"/>
              <w:spacing w:line="240" w:lineRule="auto"/>
              <w:ind w:firstLine="0" w:firstLineChars="0"/>
              <w:rPr>
                <w:rFonts w:hint="eastAsia" w:ascii="微软雅黑" w:hAnsi="微软雅黑"/>
                <w:color w:val="auto"/>
                <w:kern w:val="0"/>
                <w:szCs w:val="21"/>
                <w:highlight w:val="none"/>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A不组织。</w:t>
            </w:r>
          </w:p>
          <w:p w14:paraId="5AB52701">
            <w:pPr>
              <w:spacing w:line="240" w:lineRule="auto"/>
              <w:ind w:firstLine="0" w:firstLineChars="0"/>
              <w:rPr>
                <w:rFonts w:hint="eastAsia" w:ascii="微软雅黑" w:hAnsi="微软雅黑" w:cs="宋体"/>
                <w:color w:val="auto"/>
                <w:szCs w:val="21"/>
                <w:highlight w:val="none"/>
                <w:lang w:val="zh-CN"/>
              </w:rPr>
            </w:pPr>
            <w:r>
              <w:rPr>
                <w:rFonts w:ascii="微软雅黑" w:hAnsi="微软雅黑" w:cs="Arial"/>
                <w:color w:val="auto"/>
                <w:kern w:val="0"/>
                <w:szCs w:val="21"/>
                <w:highlight w:val="none"/>
              </w:rPr>
              <w:sym w:font="Wingdings" w:char="00FE"/>
            </w:r>
            <w:r>
              <w:rPr>
                <w:rFonts w:hint="eastAsia" w:ascii="微软雅黑" w:hAnsi="微软雅黑" w:cs="宋体"/>
                <w:color w:val="auto"/>
                <w:szCs w:val="21"/>
                <w:highlight w:val="none"/>
                <w:lang w:val="zh-CN"/>
              </w:rPr>
              <w:t>B组织。</w:t>
            </w:r>
          </w:p>
          <w:p w14:paraId="2784063B">
            <w:pPr>
              <w:spacing w:line="240" w:lineRule="auto"/>
              <w:ind w:firstLine="0" w:firstLineChars="0"/>
              <w:rPr>
                <w:rFonts w:hint="eastAsia" w:ascii="微软雅黑" w:hAnsi="微软雅黑"/>
                <w:color w:val="auto"/>
                <w:kern w:val="0"/>
                <w:szCs w:val="21"/>
                <w:highlight w:val="none"/>
                <w:lang w:val="zh-CN"/>
              </w:rPr>
            </w:pPr>
            <w:r>
              <w:rPr>
                <w:rFonts w:hint="eastAsia" w:ascii="微软雅黑" w:hAnsi="微软雅黑" w:cs="微软雅黑"/>
                <w:color w:val="auto"/>
                <w:kern w:val="0"/>
                <w:szCs w:val="21"/>
                <w:highlight w:val="none"/>
              </w:rPr>
              <w:t>方式采用视频方式，</w:t>
            </w:r>
            <w:r>
              <w:rPr>
                <w:rFonts w:hint="eastAsia" w:ascii="微软雅黑" w:hAnsi="微软雅黑" w:cs="微软雅黑"/>
                <w:color w:val="auto"/>
                <w:szCs w:val="21"/>
                <w:highlight w:val="none"/>
              </w:rPr>
              <w:t>要求录制演示视频（mp4格式，</w:t>
            </w:r>
            <w:r>
              <w:rPr>
                <w:rFonts w:hint="eastAsia" w:ascii="微软雅黑" w:hAnsi="微软雅黑" w:cs="微软雅黑"/>
                <w:b/>
                <w:bCs/>
                <w:color w:val="auto"/>
                <w:szCs w:val="21"/>
                <w:highlight w:val="none"/>
              </w:rPr>
              <w:t>并配语音讲解</w:t>
            </w:r>
            <w:r>
              <w:rPr>
                <w:rFonts w:hint="eastAsia" w:ascii="微软雅黑" w:hAnsi="微软雅黑" w:cs="微软雅黑"/>
                <w:color w:val="auto"/>
                <w:szCs w:val="21"/>
                <w:highlight w:val="none"/>
              </w:rPr>
              <w:t>；时间控制在20分钟以内），演示视频电子文件用U盘拷贝），</w:t>
            </w:r>
            <w:r>
              <w:rPr>
                <w:rFonts w:hint="eastAsia" w:ascii="微软雅黑" w:hAnsi="微软雅黑" w:cs="微软雅黑"/>
                <w:b/>
                <w:bCs/>
                <w:color w:val="auto"/>
                <w:szCs w:val="21"/>
                <w:highlight w:val="none"/>
              </w:rPr>
              <w:t>密封包装并标注项目名称及投标单位全称</w:t>
            </w:r>
            <w:r>
              <w:rPr>
                <w:rFonts w:hint="eastAsia" w:ascii="微软雅黑" w:hAnsi="微软雅黑" w:cs="微软雅黑"/>
                <w:color w:val="auto"/>
                <w:szCs w:val="21"/>
                <w:highlight w:val="none"/>
              </w:rPr>
              <w:t>。在（</w:t>
            </w:r>
            <w:r>
              <w:rPr>
                <w:rFonts w:hint="eastAsia" w:ascii="微软雅黑" w:hAnsi="微软雅黑" w:cs="微软雅黑"/>
                <w:color w:val="auto"/>
                <w:szCs w:val="21"/>
                <w:highlight w:val="none"/>
                <w:u w:val="single"/>
              </w:rPr>
              <w:t>投标截止时间前</w:t>
            </w:r>
            <w:r>
              <w:rPr>
                <w:rFonts w:hint="eastAsia" w:ascii="微软雅黑" w:hAnsi="微软雅黑" w:cs="微软雅黑"/>
                <w:color w:val="auto"/>
                <w:szCs w:val="21"/>
                <w:highlight w:val="none"/>
              </w:rPr>
              <w:t>）送至或寄至代理公司（嘉兴市秀洲区新平路299号中禾广场23楼2323室 章莉莉13605735186）</w:t>
            </w:r>
          </w:p>
        </w:tc>
      </w:tr>
      <w:tr w14:paraId="2E5F93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7D25350">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654E764F">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63516D1">
            <w:pPr>
              <w:spacing w:line="240" w:lineRule="auto"/>
              <w:ind w:firstLine="0" w:firstLineChars="0"/>
              <w:rPr>
                <w:rFonts w:hint="eastAsia" w:ascii="微软雅黑" w:hAnsi="微软雅黑" w:cs="Arial"/>
                <w:color w:val="auto"/>
                <w:kern w:val="0"/>
                <w:szCs w:val="21"/>
                <w:highlight w:val="none"/>
              </w:rPr>
            </w:pPr>
            <w:r>
              <w:rPr>
                <w:rFonts w:ascii="微软雅黑" w:hAnsi="微软雅黑" w:cs="Arial"/>
                <w:color w:val="auto"/>
                <w:kern w:val="0"/>
                <w:szCs w:val="21"/>
                <w:highlight w:val="none"/>
              </w:rPr>
              <w:sym w:font="Wingdings" w:char="00FE"/>
            </w:r>
            <w:r>
              <w:rPr>
                <w:rFonts w:hint="eastAsia" w:ascii="微软雅黑" w:hAnsi="微软雅黑" w:cs="宋体"/>
                <w:color w:val="auto"/>
                <w:szCs w:val="21"/>
                <w:highlight w:val="none"/>
                <w:lang w:val="zh-CN"/>
              </w:rPr>
              <w:t>本项目不允许采购进口产品。</w:t>
            </w:r>
          </w:p>
          <w:p w14:paraId="427211DD">
            <w:pPr>
              <w:spacing w:line="240" w:lineRule="auto"/>
              <w:ind w:firstLine="0" w:firstLineChars="0"/>
              <w:rPr>
                <w:rFonts w:hint="eastAsia" w:ascii="微软雅黑" w:hAnsi="微软雅黑"/>
                <w:color w:val="auto"/>
                <w:szCs w:val="21"/>
                <w:highlight w:val="none"/>
              </w:rPr>
            </w:pPr>
            <w:r>
              <w:rPr>
                <w:rFonts w:ascii="Segoe UI Symbol" w:hAnsi="Segoe UI Symbol" w:cs="Segoe UI Symbol"/>
                <w:color w:val="auto"/>
                <w:kern w:val="0"/>
                <w:szCs w:val="21"/>
                <w:highlight w:val="none"/>
              </w:rPr>
              <w:t>☐</w:t>
            </w:r>
            <w:r>
              <w:rPr>
                <w:rFonts w:hint="eastAsia" w:ascii="微软雅黑" w:hAnsi="微软雅黑" w:cs="宋体"/>
                <w:color w:val="auto"/>
                <w:szCs w:val="21"/>
                <w:highlight w:val="none"/>
                <w:lang w:val="zh-CN"/>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C773C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BA0938C">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BFF8D2C">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85148CF">
            <w:pPr>
              <w:spacing w:line="240" w:lineRule="auto"/>
              <w:ind w:firstLine="0" w:firstLineChars="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A货物类，核心产品为：</w:t>
            </w:r>
            <w:r>
              <w:rPr>
                <w:rFonts w:hint="eastAsia" w:ascii="微软雅黑" w:hAnsi="微软雅黑"/>
                <w:color w:val="auto"/>
                <w:szCs w:val="21"/>
                <w:highlight w:val="none"/>
              </w:rPr>
              <w:t>。</w:t>
            </w:r>
          </w:p>
          <w:p w14:paraId="4197A5C1">
            <w:pPr>
              <w:spacing w:line="240" w:lineRule="auto"/>
              <w:ind w:firstLine="0" w:firstLineChars="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FE"/>
            </w:r>
            <w:r>
              <w:rPr>
                <w:rFonts w:hint="eastAsia" w:ascii="微软雅黑" w:hAnsi="微软雅黑" w:cs="宋体"/>
                <w:color w:val="auto"/>
                <w:szCs w:val="21"/>
                <w:highlight w:val="none"/>
                <w:lang w:val="zh-CN"/>
              </w:rPr>
              <w:t>B服务类。</w:t>
            </w:r>
          </w:p>
        </w:tc>
      </w:tr>
      <w:tr w14:paraId="21DB6A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3CA3B73">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497C9517">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6926C4F">
            <w:pPr>
              <w:snapToGrid w:val="0"/>
              <w:spacing w:line="240" w:lineRule="auto"/>
              <w:ind w:firstLine="0" w:firstLineChars="0"/>
              <w:rPr>
                <w:rFonts w:hint="eastAsia" w:ascii="微软雅黑" w:hAnsi="微软雅黑"/>
                <w:color w:val="auto"/>
                <w:szCs w:val="21"/>
                <w:highlight w:val="none"/>
              </w:rPr>
            </w:pPr>
            <w:r>
              <w:rPr>
                <w:rFonts w:hint="eastAsia" w:ascii="微软雅黑" w:hAnsi="微软雅黑" w:cs="宋体"/>
                <w:color w:val="auto"/>
                <w:szCs w:val="21"/>
                <w:highlight w:val="none"/>
                <w:lang w:val="zh-CN"/>
              </w:rPr>
              <w:t>标的：</w:t>
            </w:r>
            <w:r>
              <w:rPr>
                <w:rFonts w:hint="eastAsia" w:ascii="微软雅黑" w:hAnsi="微软雅黑" w:cs="宋体"/>
                <w:color w:val="auto"/>
                <w:szCs w:val="21"/>
                <w:highlight w:val="none"/>
                <w:u w:val="single"/>
              </w:rPr>
              <w:t>保险</w:t>
            </w:r>
            <w:r>
              <w:rPr>
                <w:rFonts w:hint="eastAsia" w:ascii="微软雅黑" w:hAnsi="微软雅黑" w:cs="Arial"/>
                <w:color w:val="auto"/>
                <w:kern w:val="0"/>
                <w:szCs w:val="21"/>
                <w:highlight w:val="none"/>
              </w:rPr>
              <w:t>，</w:t>
            </w:r>
            <w:r>
              <w:rPr>
                <w:rFonts w:hint="eastAsia" w:ascii="微软雅黑" w:hAnsi="微软雅黑" w:cs="宋体"/>
                <w:color w:val="auto"/>
                <w:szCs w:val="21"/>
                <w:highlight w:val="none"/>
                <w:lang w:val="zh-CN"/>
              </w:rPr>
              <w:t>属于</w:t>
            </w:r>
            <w:r>
              <w:rPr>
                <w:rFonts w:hint="eastAsia" w:ascii="微软雅黑" w:hAnsi="微软雅黑" w:cs="Arial"/>
                <w:color w:val="auto"/>
                <w:kern w:val="0"/>
                <w:szCs w:val="21"/>
                <w:highlight w:val="none"/>
                <w:u w:val="single"/>
              </w:rPr>
              <w:t xml:space="preserve"> 其他未列明 </w:t>
            </w:r>
            <w:r>
              <w:rPr>
                <w:rFonts w:hint="eastAsia" w:ascii="微软雅黑" w:hAnsi="微软雅黑" w:cs="宋体"/>
                <w:color w:val="auto"/>
                <w:szCs w:val="21"/>
                <w:highlight w:val="none"/>
                <w:lang w:val="zh-CN"/>
              </w:rPr>
              <w:t>行业；</w:t>
            </w:r>
          </w:p>
        </w:tc>
      </w:tr>
      <w:tr w14:paraId="1553A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BFA7E6B">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5F2EABD5">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F931692">
            <w:pPr>
              <w:snapToGrid w:val="0"/>
              <w:spacing w:line="240" w:lineRule="auto"/>
              <w:ind w:firstLine="0" w:firstLineChars="0"/>
              <w:rPr>
                <w:rFonts w:hint="eastAsia" w:ascii="微软雅黑" w:hAnsi="微软雅黑"/>
                <w:color w:val="auto"/>
                <w:szCs w:val="21"/>
                <w:highlight w:val="none"/>
              </w:rPr>
            </w:pPr>
            <w:r>
              <w:rPr>
                <w:rFonts w:hint="eastAsia" w:ascii="微软雅黑" w:hAnsi="微软雅黑"/>
                <w:snapToGrid w:val="0"/>
                <w:color w:val="auto"/>
                <w:kern w:val="0"/>
                <w:szCs w:val="21"/>
                <w:highlight w:val="none"/>
              </w:rPr>
              <w:t>按《节能产品政府采购品目清单》财库〔2019〕19号执行；政府采购节能产品、环境标志产品实施品目清单管理：投标产品符合财库〔2019〕9号《关于调整优化节能产品、环境标志产品政府采购执行机制的通知》条件。</w:t>
            </w:r>
          </w:p>
        </w:tc>
      </w:tr>
      <w:tr w14:paraId="775B74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39" w:hRule="atLeast"/>
          <w:tblHeader/>
        </w:trPr>
        <w:tc>
          <w:tcPr>
            <w:tcW w:w="629" w:type="dxa"/>
            <w:tcBorders>
              <w:left w:val="single" w:color="000000" w:sz="8" w:space="0"/>
              <w:right w:val="single" w:color="000000" w:sz="2" w:space="0"/>
            </w:tcBorders>
            <w:vAlign w:val="center"/>
          </w:tcPr>
          <w:p w14:paraId="3AB2070F">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13</w:t>
            </w:r>
          </w:p>
        </w:tc>
        <w:tc>
          <w:tcPr>
            <w:tcW w:w="1843" w:type="dxa"/>
            <w:tcBorders>
              <w:left w:val="single" w:color="000000" w:sz="2" w:space="0"/>
              <w:right w:val="single" w:color="000000" w:sz="8" w:space="0"/>
            </w:tcBorders>
            <w:vAlign w:val="center"/>
          </w:tcPr>
          <w:p w14:paraId="65F48EB1">
            <w:pPr>
              <w:snapToGrid w:val="0"/>
              <w:spacing w:line="240" w:lineRule="auto"/>
              <w:ind w:firstLine="0" w:firstLineChars="0"/>
              <w:jc w:val="center"/>
              <w:rPr>
                <w:rFonts w:hint="eastAsia" w:ascii="微软雅黑" w:hAnsi="微软雅黑"/>
                <w:color w:val="auto"/>
                <w:szCs w:val="21"/>
                <w:highlight w:val="none"/>
              </w:rPr>
            </w:pPr>
            <w:r>
              <w:rPr>
                <w:rFonts w:hint="eastAsia" w:ascii="微软雅黑" w:hAnsi="微软雅黑" w:cs="仿宋_GB2312"/>
                <w:b/>
                <w:color w:val="auto"/>
                <w:szCs w:val="21"/>
                <w:highlight w:val="none"/>
              </w:rPr>
              <w:t>评标结果公告及中标通知书</w:t>
            </w:r>
          </w:p>
        </w:tc>
        <w:tc>
          <w:tcPr>
            <w:tcW w:w="6095" w:type="dxa"/>
            <w:tcBorders>
              <w:top w:val="single" w:color="000000" w:sz="8" w:space="0"/>
              <w:left w:val="single" w:color="000000" w:sz="2" w:space="0"/>
              <w:bottom w:val="single" w:color="000000" w:sz="8" w:space="0"/>
              <w:right w:val="single" w:color="000000" w:sz="8" w:space="0"/>
            </w:tcBorders>
            <w:vAlign w:val="center"/>
          </w:tcPr>
          <w:p w14:paraId="57E08AA6">
            <w:pPr>
              <w:autoSpaceDE w:val="0"/>
              <w:autoSpaceDN w:val="0"/>
              <w:snapToGrid w:val="0"/>
              <w:spacing w:line="240" w:lineRule="auto"/>
              <w:ind w:firstLine="0" w:firstLineChars="0"/>
              <w:textAlignment w:val="bottom"/>
              <w:rPr>
                <w:rFonts w:hint="eastAsia" w:ascii="微软雅黑" w:hAnsi="微软雅黑"/>
                <w:color w:val="auto"/>
                <w:szCs w:val="21"/>
                <w:highlight w:val="none"/>
              </w:rPr>
            </w:pPr>
            <w:r>
              <w:rPr>
                <w:rFonts w:hint="eastAsia" w:ascii="微软雅黑" w:hAnsi="微软雅黑"/>
                <w:color w:val="auto"/>
                <w:szCs w:val="21"/>
                <w:highlight w:val="none"/>
              </w:rPr>
              <w:t>评标结束后2个工作日内，评标结果公告于浙江政府采购网(http://www.zjzfcg.gov.cn/new/)</w:t>
            </w:r>
          </w:p>
          <w:p w14:paraId="20D04A2D">
            <w:pPr>
              <w:autoSpaceDE w:val="0"/>
              <w:autoSpaceDN w:val="0"/>
              <w:snapToGrid w:val="0"/>
              <w:spacing w:line="240" w:lineRule="auto"/>
              <w:ind w:firstLine="0" w:firstLineChars="0"/>
              <w:textAlignment w:val="bottom"/>
              <w:rPr>
                <w:rFonts w:hint="eastAsia" w:ascii="微软雅黑" w:hAnsi="微软雅黑"/>
                <w:snapToGrid w:val="0"/>
                <w:color w:val="auto"/>
                <w:kern w:val="28"/>
                <w:szCs w:val="21"/>
                <w:highlight w:val="none"/>
              </w:rPr>
            </w:pPr>
            <w:r>
              <w:rPr>
                <w:rFonts w:hint="eastAsia" w:ascii="微软雅黑" w:hAnsi="微软雅黑"/>
                <w:color w:val="auto"/>
                <w:kern w:val="0"/>
                <w:szCs w:val="21"/>
                <w:highlight w:val="none"/>
              </w:rPr>
              <w:t>中标公告期限为1个工作日</w:t>
            </w:r>
            <w:r>
              <w:rPr>
                <w:rFonts w:hint="eastAsia" w:ascii="微软雅黑" w:hAnsi="微软雅黑" w:cs="宋体"/>
                <w:b/>
                <w:bCs/>
                <w:color w:val="auto"/>
                <w:szCs w:val="21"/>
                <w:highlight w:val="none"/>
              </w:rPr>
              <w:t>（中标供应商为小微企业的，其中小企业声明函将随中标结果同时公告）</w:t>
            </w:r>
            <w:r>
              <w:rPr>
                <w:rFonts w:hint="eastAsia" w:ascii="微软雅黑" w:hAnsi="微软雅黑"/>
                <w:color w:val="auto"/>
                <w:kern w:val="0"/>
                <w:szCs w:val="21"/>
                <w:highlight w:val="none"/>
              </w:rPr>
              <w:t>。在公告中标结果的同时，代理机构在政采云系统向中标供应商发出中标通知书。</w:t>
            </w:r>
          </w:p>
        </w:tc>
      </w:tr>
      <w:tr w14:paraId="7E52D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DD15269">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14</w:t>
            </w:r>
          </w:p>
        </w:tc>
        <w:tc>
          <w:tcPr>
            <w:tcW w:w="1843" w:type="dxa"/>
            <w:tcBorders>
              <w:top w:val="single" w:color="000000" w:sz="8" w:space="0"/>
              <w:left w:val="single" w:color="000000" w:sz="2" w:space="0"/>
              <w:bottom w:val="single" w:color="000000" w:sz="8" w:space="0"/>
              <w:right w:val="single" w:color="000000" w:sz="8" w:space="0"/>
            </w:tcBorders>
            <w:vAlign w:val="center"/>
          </w:tcPr>
          <w:p w14:paraId="41985431">
            <w:pPr>
              <w:autoSpaceDE w:val="0"/>
              <w:autoSpaceDN w:val="0"/>
              <w:snapToGrid w:val="0"/>
              <w:spacing w:line="240" w:lineRule="auto"/>
              <w:ind w:firstLine="0" w:firstLineChars="0"/>
              <w:jc w:val="center"/>
              <w:textAlignment w:val="bottom"/>
              <w:rPr>
                <w:rFonts w:hint="eastAsia" w:ascii="微软雅黑" w:hAnsi="微软雅黑"/>
                <w:color w:val="auto"/>
                <w:kern w:val="0"/>
                <w:szCs w:val="21"/>
                <w:highlight w:val="none"/>
              </w:rPr>
            </w:pPr>
            <w:r>
              <w:rPr>
                <w:rFonts w:hint="eastAsia" w:ascii="微软雅黑" w:hAnsi="微软雅黑" w:cs="仿宋_GB2312"/>
                <w:b/>
                <w:color w:val="auto"/>
                <w:szCs w:val="21"/>
                <w:highlight w:val="none"/>
              </w:rPr>
              <w:t>履约保证金</w:t>
            </w:r>
          </w:p>
        </w:tc>
        <w:tc>
          <w:tcPr>
            <w:tcW w:w="6095" w:type="dxa"/>
            <w:tcBorders>
              <w:top w:val="single" w:color="000000" w:sz="8" w:space="0"/>
              <w:left w:val="single" w:color="000000" w:sz="2" w:space="0"/>
              <w:bottom w:val="single" w:color="000000" w:sz="8" w:space="0"/>
              <w:right w:val="single" w:color="000000" w:sz="8" w:space="0"/>
            </w:tcBorders>
            <w:vAlign w:val="center"/>
          </w:tcPr>
          <w:p w14:paraId="2C85E37B">
            <w:pPr>
              <w:spacing w:line="240" w:lineRule="auto"/>
              <w:ind w:firstLine="0" w:firstLineChars="0"/>
              <w:rPr>
                <w:rFonts w:hint="eastAsia" w:ascii="微软雅黑" w:hAnsi="微软雅黑"/>
                <w:color w:val="auto"/>
                <w:kern w:val="0"/>
                <w:szCs w:val="21"/>
                <w:highlight w:val="none"/>
              </w:rPr>
            </w:pPr>
            <w:r>
              <w:rPr>
                <w:rFonts w:hint="eastAsia" w:ascii="微软雅黑" w:hAnsi="微软雅黑" w:cs="宋体"/>
                <w:color w:val="auto"/>
                <w:szCs w:val="21"/>
                <w:highlight w:val="none"/>
                <w:lang w:val="zh-CN"/>
              </w:rPr>
              <w:t>无</w:t>
            </w:r>
            <w:r>
              <w:rPr>
                <w:rFonts w:hint="eastAsia" w:ascii="微软雅黑" w:hAnsi="微软雅黑"/>
                <w:color w:val="auto"/>
                <w:szCs w:val="21"/>
                <w:highlight w:val="none"/>
              </w:rPr>
              <w:t>。</w:t>
            </w:r>
          </w:p>
        </w:tc>
      </w:tr>
      <w:tr w14:paraId="5D94A6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0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622D60B">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15</w:t>
            </w:r>
          </w:p>
        </w:tc>
        <w:tc>
          <w:tcPr>
            <w:tcW w:w="1843" w:type="dxa"/>
            <w:tcBorders>
              <w:top w:val="single" w:color="000000" w:sz="8" w:space="0"/>
              <w:left w:val="single" w:color="000000" w:sz="2" w:space="0"/>
              <w:bottom w:val="single" w:color="000000" w:sz="8" w:space="0"/>
              <w:right w:val="single" w:color="000000" w:sz="8" w:space="0"/>
            </w:tcBorders>
            <w:vAlign w:val="center"/>
          </w:tcPr>
          <w:p w14:paraId="1DF11D41">
            <w:pPr>
              <w:snapToGrid w:val="0"/>
              <w:spacing w:line="240" w:lineRule="auto"/>
              <w:ind w:firstLine="0" w:firstLineChars="0"/>
              <w:jc w:val="center"/>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签订合同时间</w:t>
            </w:r>
          </w:p>
        </w:tc>
        <w:tc>
          <w:tcPr>
            <w:tcW w:w="6095" w:type="dxa"/>
            <w:tcBorders>
              <w:top w:val="single" w:color="000000" w:sz="8" w:space="0"/>
              <w:left w:val="single" w:color="000000" w:sz="2" w:space="0"/>
              <w:bottom w:val="single" w:color="000000" w:sz="8" w:space="0"/>
              <w:right w:val="single" w:color="000000" w:sz="8" w:space="0"/>
            </w:tcBorders>
            <w:vAlign w:val="center"/>
          </w:tcPr>
          <w:p w14:paraId="74761A7A">
            <w:pPr>
              <w:autoSpaceDE w:val="0"/>
              <w:autoSpaceDN w:val="0"/>
              <w:snapToGrid w:val="0"/>
              <w:spacing w:line="240" w:lineRule="auto"/>
              <w:ind w:firstLine="0" w:firstLineChars="0"/>
              <w:textAlignment w:val="bottom"/>
              <w:rPr>
                <w:rFonts w:hint="eastAsia" w:ascii="微软雅黑" w:hAnsi="微软雅黑"/>
                <w:strike/>
                <w:color w:val="auto"/>
                <w:kern w:val="28"/>
                <w:szCs w:val="21"/>
                <w:highlight w:val="none"/>
              </w:rPr>
            </w:pPr>
            <w:r>
              <w:rPr>
                <w:rFonts w:hint="eastAsia" w:ascii="微软雅黑" w:hAnsi="微软雅黑"/>
                <w:color w:val="auto"/>
                <w:szCs w:val="21"/>
                <w:highlight w:val="none"/>
              </w:rPr>
              <w:t>中标通知书发出后30日内。</w:t>
            </w:r>
            <w:r>
              <w:rPr>
                <w:rFonts w:hint="eastAsia" w:ascii="微软雅黑" w:hAnsi="微软雅黑"/>
                <w:color w:val="auto"/>
                <w:kern w:val="0"/>
                <w:szCs w:val="21"/>
                <w:highlight w:val="none"/>
              </w:rPr>
              <w:t>建议采购人在对采购结果质疑期（自采购结果公告之日起七个工作日）后与中标供应商签订政府采购合同。</w:t>
            </w:r>
          </w:p>
        </w:tc>
      </w:tr>
      <w:tr w14:paraId="0E12B3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05A15A9">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4A059C46">
            <w:pPr>
              <w:snapToGrid w:val="0"/>
              <w:spacing w:line="240" w:lineRule="auto"/>
              <w:ind w:firstLine="0" w:firstLineChars="0"/>
              <w:jc w:val="center"/>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合同公告</w:t>
            </w:r>
          </w:p>
        </w:tc>
        <w:tc>
          <w:tcPr>
            <w:tcW w:w="6095" w:type="dxa"/>
            <w:tcBorders>
              <w:top w:val="single" w:color="000000" w:sz="8" w:space="0"/>
              <w:left w:val="single" w:color="000000" w:sz="2" w:space="0"/>
              <w:bottom w:val="single" w:color="000000" w:sz="8" w:space="0"/>
              <w:right w:val="single" w:color="000000" w:sz="8" w:space="0"/>
            </w:tcBorders>
            <w:vAlign w:val="center"/>
          </w:tcPr>
          <w:p w14:paraId="0E78DD14">
            <w:pPr>
              <w:autoSpaceDE w:val="0"/>
              <w:autoSpaceDN w:val="0"/>
              <w:snapToGrid w:val="0"/>
              <w:spacing w:line="240" w:lineRule="auto"/>
              <w:ind w:firstLine="0" w:firstLineChars="0"/>
              <w:textAlignment w:val="bottom"/>
              <w:rPr>
                <w:rFonts w:hint="eastAsia" w:ascii="微软雅黑" w:hAnsi="微软雅黑"/>
                <w:strike/>
                <w:color w:val="auto"/>
                <w:kern w:val="28"/>
                <w:szCs w:val="21"/>
                <w:highlight w:val="none"/>
              </w:rPr>
            </w:pPr>
            <w:r>
              <w:rPr>
                <w:rFonts w:hint="eastAsia" w:ascii="微软雅黑" w:hAnsi="微软雅黑"/>
                <w:color w:val="auto"/>
                <w:szCs w:val="21"/>
                <w:highlight w:val="none"/>
              </w:rPr>
              <w:t>本项目政府采购合同将于签订之日起2个工作日内发布于浙江政府采购网，但政府采购合同中涉及国家秘密、商业秘密的内容除外。</w:t>
            </w:r>
          </w:p>
        </w:tc>
      </w:tr>
      <w:tr w14:paraId="1F3DF9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A267526">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17</w:t>
            </w:r>
          </w:p>
        </w:tc>
        <w:tc>
          <w:tcPr>
            <w:tcW w:w="1843" w:type="dxa"/>
            <w:tcBorders>
              <w:top w:val="single" w:color="000000" w:sz="8" w:space="0"/>
              <w:left w:val="single" w:color="000000" w:sz="2" w:space="0"/>
              <w:bottom w:val="single" w:color="000000" w:sz="8" w:space="0"/>
              <w:right w:val="single" w:color="000000" w:sz="8" w:space="0"/>
            </w:tcBorders>
            <w:vAlign w:val="center"/>
          </w:tcPr>
          <w:p w14:paraId="05FF0903">
            <w:pPr>
              <w:snapToGrid w:val="0"/>
              <w:spacing w:line="240" w:lineRule="auto"/>
              <w:ind w:firstLine="0" w:firstLineChars="0"/>
              <w:jc w:val="center"/>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本项目预算金额</w:t>
            </w:r>
          </w:p>
        </w:tc>
        <w:tc>
          <w:tcPr>
            <w:tcW w:w="6095" w:type="dxa"/>
            <w:tcBorders>
              <w:top w:val="single" w:color="000000" w:sz="8" w:space="0"/>
              <w:left w:val="single" w:color="000000" w:sz="2" w:space="0"/>
              <w:bottom w:val="single" w:color="000000" w:sz="8" w:space="0"/>
              <w:right w:val="single" w:color="000000" w:sz="8" w:space="0"/>
            </w:tcBorders>
            <w:vAlign w:val="center"/>
          </w:tcPr>
          <w:p w14:paraId="735F2F47">
            <w:pPr>
              <w:widowControl/>
              <w:spacing w:before="75" w:after="75" w:line="300" w:lineRule="atLeast"/>
              <w:ind w:firstLine="0" w:firstLineChars="0"/>
              <w:rPr>
                <w:rFonts w:hint="eastAsia" w:ascii="微软雅黑" w:hAnsi="微软雅黑"/>
                <w:strike/>
                <w:color w:val="auto"/>
                <w:kern w:val="28"/>
                <w:szCs w:val="21"/>
                <w:highlight w:val="none"/>
              </w:rPr>
            </w:pPr>
            <w:r>
              <w:rPr>
                <w:rFonts w:hint="eastAsia" w:ascii="微软雅黑" w:hAnsi="微软雅黑" w:cs="Calibri"/>
                <w:color w:val="auto"/>
                <w:kern w:val="0"/>
                <w:szCs w:val="21"/>
                <w:highlight w:val="none"/>
              </w:rPr>
              <w:t>预算价：</w:t>
            </w:r>
            <w:r>
              <w:rPr>
                <w:rFonts w:hint="eastAsia" w:ascii="微软雅黑" w:hAnsi="微软雅黑" w:cs="Calibri"/>
                <w:color w:val="auto"/>
                <w:kern w:val="0"/>
                <w:szCs w:val="21"/>
                <w:highlight w:val="none"/>
                <w:lang w:val="en-US" w:eastAsia="zh-CN"/>
              </w:rPr>
              <w:t>2250000.00</w:t>
            </w:r>
            <w:r>
              <w:rPr>
                <w:rFonts w:hint="eastAsia" w:ascii="微软雅黑" w:hAnsi="微软雅黑" w:cs="Calibri"/>
                <w:color w:val="auto"/>
                <w:kern w:val="0"/>
                <w:szCs w:val="21"/>
                <w:highlight w:val="none"/>
              </w:rPr>
              <w:t>元（</w:t>
            </w:r>
            <w:r>
              <w:rPr>
                <w:rFonts w:hint="eastAsia" w:ascii="微软雅黑" w:hAnsi="微软雅黑" w:cs="宋体"/>
                <w:color w:val="auto"/>
                <w:kern w:val="0"/>
                <w:szCs w:val="21"/>
                <w:highlight w:val="none"/>
              </w:rPr>
              <w:t>（预算单价：2.92元/㎡）</w:t>
            </w:r>
            <w:r>
              <w:rPr>
                <w:rFonts w:hint="eastAsia" w:ascii="微软雅黑" w:hAnsi="微软雅黑"/>
                <w:color w:val="auto"/>
                <w:kern w:val="0"/>
                <w:szCs w:val="21"/>
                <w:highlight w:val="none"/>
              </w:rPr>
              <w:t>；</w:t>
            </w:r>
            <w:r>
              <w:rPr>
                <w:rFonts w:hint="eastAsia" w:ascii="微软雅黑" w:hAnsi="微软雅黑"/>
                <w:color w:val="auto"/>
                <w:szCs w:val="21"/>
                <w:highlight w:val="none"/>
              </w:rPr>
              <w:t>最高限价为预算价，超预算价的投标文件无效。</w:t>
            </w:r>
          </w:p>
        </w:tc>
      </w:tr>
      <w:tr w14:paraId="4EF4B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9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5043987">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18</w:t>
            </w:r>
          </w:p>
        </w:tc>
        <w:tc>
          <w:tcPr>
            <w:tcW w:w="1843" w:type="dxa"/>
            <w:tcBorders>
              <w:top w:val="single" w:color="000000" w:sz="8" w:space="0"/>
              <w:left w:val="single" w:color="000000" w:sz="2" w:space="0"/>
              <w:bottom w:val="single" w:color="000000" w:sz="8" w:space="0"/>
              <w:right w:val="single" w:color="000000" w:sz="8" w:space="0"/>
            </w:tcBorders>
            <w:vAlign w:val="center"/>
          </w:tcPr>
          <w:p w14:paraId="098AC16E">
            <w:pPr>
              <w:snapToGrid w:val="0"/>
              <w:spacing w:line="240" w:lineRule="auto"/>
              <w:ind w:firstLine="0" w:firstLineChars="0"/>
              <w:jc w:val="center"/>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投标文件有效期</w:t>
            </w:r>
          </w:p>
        </w:tc>
        <w:tc>
          <w:tcPr>
            <w:tcW w:w="6095" w:type="dxa"/>
            <w:tcBorders>
              <w:top w:val="single" w:color="000000" w:sz="8" w:space="0"/>
              <w:left w:val="single" w:color="000000" w:sz="2" w:space="0"/>
              <w:bottom w:val="single" w:color="000000" w:sz="8" w:space="0"/>
              <w:right w:val="single" w:color="000000" w:sz="8" w:space="0"/>
            </w:tcBorders>
            <w:vAlign w:val="center"/>
          </w:tcPr>
          <w:p w14:paraId="56E71595">
            <w:pPr>
              <w:autoSpaceDE w:val="0"/>
              <w:autoSpaceDN w:val="0"/>
              <w:snapToGrid w:val="0"/>
              <w:spacing w:line="240" w:lineRule="auto"/>
              <w:ind w:firstLine="0" w:firstLineChars="0"/>
              <w:textAlignment w:val="bottom"/>
              <w:rPr>
                <w:rFonts w:hint="eastAsia" w:ascii="微软雅黑" w:hAnsi="微软雅黑"/>
                <w:strike/>
                <w:color w:val="auto"/>
                <w:kern w:val="28"/>
                <w:szCs w:val="21"/>
                <w:highlight w:val="none"/>
              </w:rPr>
            </w:pPr>
            <w:r>
              <w:rPr>
                <w:rFonts w:hint="eastAsia" w:ascii="微软雅黑" w:hAnsi="微软雅黑"/>
                <w:color w:val="auto"/>
                <w:szCs w:val="21"/>
                <w:highlight w:val="none"/>
                <w:u w:val="single"/>
              </w:rPr>
              <w:t>90</w:t>
            </w:r>
            <w:r>
              <w:rPr>
                <w:rFonts w:hint="eastAsia" w:ascii="微软雅黑" w:hAnsi="微软雅黑"/>
                <w:color w:val="auto"/>
                <w:szCs w:val="21"/>
                <w:highlight w:val="none"/>
              </w:rPr>
              <w:t>天</w:t>
            </w:r>
          </w:p>
        </w:tc>
      </w:tr>
      <w:tr w14:paraId="286009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B048D9E">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19</w:t>
            </w:r>
          </w:p>
        </w:tc>
        <w:tc>
          <w:tcPr>
            <w:tcW w:w="1843" w:type="dxa"/>
            <w:tcBorders>
              <w:top w:val="single" w:color="000000" w:sz="8" w:space="0"/>
              <w:left w:val="single" w:color="000000" w:sz="2" w:space="0"/>
              <w:bottom w:val="single" w:color="000000" w:sz="8" w:space="0"/>
              <w:right w:val="single" w:color="000000" w:sz="8" w:space="0"/>
            </w:tcBorders>
            <w:vAlign w:val="center"/>
          </w:tcPr>
          <w:p w14:paraId="26ECE0D8">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中小企业预留份额情况</w:t>
            </w:r>
          </w:p>
        </w:tc>
        <w:tc>
          <w:tcPr>
            <w:tcW w:w="6095" w:type="dxa"/>
            <w:tcBorders>
              <w:top w:val="single" w:color="000000" w:sz="8" w:space="0"/>
              <w:left w:val="single" w:color="000000" w:sz="2" w:space="0"/>
              <w:bottom w:val="single" w:color="000000" w:sz="8" w:space="0"/>
              <w:right w:val="single" w:color="000000" w:sz="8" w:space="0"/>
            </w:tcBorders>
            <w:vAlign w:val="center"/>
          </w:tcPr>
          <w:p w14:paraId="4B2FD1D1">
            <w:pPr>
              <w:spacing w:line="240" w:lineRule="auto"/>
              <w:ind w:firstLine="0" w:firstLineChars="0"/>
              <w:rPr>
                <w:rFonts w:hint="eastAsia" w:ascii="微软雅黑" w:hAnsi="微软雅黑" w:cs="Arial"/>
                <w:color w:val="auto"/>
                <w:kern w:val="0"/>
                <w:szCs w:val="21"/>
                <w:highlight w:val="none"/>
              </w:rPr>
            </w:pPr>
            <w:r>
              <w:rPr>
                <w:rFonts w:hint="eastAsia" w:ascii="宋体" w:hAnsi="宋体"/>
                <w:color w:val="auto"/>
                <w:highlight w:val="none"/>
              </w:rPr>
              <w:t>根据《政府采购促进中小企业发展管理办法》财库〔2020〕46号文件的规定，本项目不属于预留份额专门面向中小企业采购的项目。</w:t>
            </w:r>
          </w:p>
        </w:tc>
      </w:tr>
      <w:tr w14:paraId="1CA9E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1589FAB">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20</w:t>
            </w:r>
          </w:p>
        </w:tc>
        <w:tc>
          <w:tcPr>
            <w:tcW w:w="1843" w:type="dxa"/>
            <w:tcBorders>
              <w:top w:val="single" w:color="000000" w:sz="8" w:space="0"/>
              <w:left w:val="single" w:color="000000" w:sz="2" w:space="0"/>
              <w:bottom w:val="single" w:color="000000" w:sz="8" w:space="0"/>
              <w:right w:val="single" w:color="000000" w:sz="8" w:space="0"/>
            </w:tcBorders>
            <w:vAlign w:val="center"/>
          </w:tcPr>
          <w:p w14:paraId="587D872A">
            <w:pPr>
              <w:tabs>
                <w:tab w:val="center" w:pos="954"/>
                <w:tab w:val="right" w:pos="1787"/>
              </w:tabs>
              <w:snapToGrid w:val="0"/>
              <w:spacing w:line="240" w:lineRule="auto"/>
              <w:ind w:firstLine="0" w:firstLineChars="0"/>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ab/>
            </w:r>
            <w:r>
              <w:rPr>
                <w:rFonts w:hint="eastAsia" w:ascii="微软雅黑" w:hAnsi="微软雅黑" w:cs="仿宋_GB2312"/>
                <w:b/>
                <w:color w:val="auto"/>
                <w:szCs w:val="21"/>
                <w:highlight w:val="none"/>
              </w:rPr>
              <w:t>政策优惠</w:t>
            </w:r>
            <w:r>
              <w:rPr>
                <w:rFonts w:hint="eastAsia" w:ascii="微软雅黑" w:hAnsi="微软雅黑" w:cs="仿宋_GB2312"/>
                <w:b/>
                <w:color w:val="auto"/>
                <w:szCs w:val="21"/>
                <w:highlight w:val="none"/>
              </w:rPr>
              <w:tab/>
            </w:r>
          </w:p>
        </w:tc>
        <w:tc>
          <w:tcPr>
            <w:tcW w:w="6095" w:type="dxa"/>
            <w:tcBorders>
              <w:top w:val="single" w:color="000000" w:sz="8" w:space="0"/>
              <w:left w:val="single" w:color="000000" w:sz="2" w:space="0"/>
              <w:bottom w:val="single" w:color="000000" w:sz="8" w:space="0"/>
              <w:right w:val="single" w:color="000000" w:sz="8" w:space="0"/>
            </w:tcBorders>
            <w:vAlign w:val="center"/>
          </w:tcPr>
          <w:p w14:paraId="51AC973A">
            <w:pPr>
              <w:autoSpaceDE w:val="0"/>
              <w:autoSpaceDN w:val="0"/>
              <w:snapToGrid w:val="0"/>
              <w:spacing w:line="240" w:lineRule="auto"/>
              <w:ind w:firstLine="0" w:firstLineChars="0"/>
              <w:textAlignment w:val="bottom"/>
              <w:rPr>
                <w:rFonts w:hint="eastAsia" w:ascii="微软雅黑" w:hAnsi="微软雅黑" w:cs="宋体"/>
                <w:snapToGrid w:val="0"/>
                <w:color w:val="auto"/>
                <w:kern w:val="0"/>
                <w:szCs w:val="21"/>
                <w:highlight w:val="none"/>
              </w:rPr>
            </w:pPr>
            <w:r>
              <w:rPr>
                <w:rFonts w:hint="eastAsia" w:ascii="微软雅黑" w:hAnsi="微软雅黑"/>
                <w:color w:val="auto"/>
                <w:szCs w:val="21"/>
                <w:highlight w:val="none"/>
              </w:rPr>
              <w:t>1.根据财库〔2020〕46号、财库〔2022〕19号等相关规定，在评审时对于未预留份额专门面向中小企业的政府采购货物或服务项目，以及预留份额政府采购货物或服务项目中的非预留部分标项，对小型和微型企业的</w:t>
            </w:r>
            <w:r>
              <w:rPr>
                <w:rFonts w:ascii="微软雅黑" w:hAnsi="微软雅黑"/>
                <w:color w:val="auto"/>
                <w:szCs w:val="21"/>
                <w:highlight w:val="none"/>
              </w:rPr>
              <w:t>投标报价给予20%的扣除</w:t>
            </w:r>
            <w:r>
              <w:rPr>
                <w:rFonts w:hint="eastAsia" w:ascii="微软雅黑" w:hAnsi="微软雅黑"/>
                <w:color w:val="auto"/>
                <w:szCs w:val="21"/>
                <w:highlight w:val="none"/>
              </w:rPr>
              <w:t>，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40%以上的，对联合体或者大中型企业的报价给予</w:t>
            </w:r>
            <w:r>
              <w:rPr>
                <w:rFonts w:ascii="微软雅黑" w:hAnsi="微软雅黑"/>
                <w:color w:val="auto"/>
                <w:szCs w:val="21"/>
                <w:highlight w:val="none"/>
              </w:rPr>
              <w:t>6</w:t>
            </w:r>
            <w:r>
              <w:rPr>
                <w:rFonts w:hint="eastAsia" w:ascii="微软雅黑" w:hAnsi="微软雅黑"/>
                <w:color w:val="auto"/>
                <w:szCs w:val="21"/>
                <w:highlight w:val="none"/>
              </w:rPr>
              <w:t>%的扣除，用扣除后的价格参加评审。组成联合体或者接受分包的小微企业与联合体内其他企业、分包企业之间存在直接控股、管理关系的，不享受价格扣除优惠政策。属于小微企业的，投标文件必须提供《中小企业声明函》（模板见第六章）。</w:t>
            </w:r>
          </w:p>
          <w:p w14:paraId="48215E68">
            <w:pPr>
              <w:tabs>
                <w:tab w:val="left" w:pos="3870"/>
                <w:tab w:val="left" w:pos="4085"/>
              </w:tabs>
              <w:snapToGrid w:val="0"/>
              <w:spacing w:line="240" w:lineRule="auto"/>
              <w:ind w:firstLine="0" w:firstLineChars="0"/>
              <w:rPr>
                <w:rFonts w:hint="eastAsia" w:ascii="微软雅黑" w:hAnsi="微软雅黑"/>
                <w:snapToGrid w:val="0"/>
                <w:color w:val="auto"/>
                <w:kern w:val="0"/>
                <w:szCs w:val="21"/>
                <w:highlight w:val="none"/>
              </w:rPr>
            </w:pPr>
            <w:r>
              <w:rPr>
                <w:rFonts w:hint="eastAsia" w:ascii="微软雅黑" w:hAnsi="微软雅黑"/>
                <w:snapToGrid w:val="0"/>
                <w:color w:val="auto"/>
                <w:kern w:val="0"/>
                <w:szCs w:val="21"/>
                <w:highlight w:val="none"/>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486649AF">
            <w:pPr>
              <w:autoSpaceDE w:val="0"/>
              <w:autoSpaceDN w:val="0"/>
              <w:snapToGrid w:val="0"/>
              <w:spacing w:line="240" w:lineRule="auto"/>
              <w:ind w:firstLine="0" w:firstLineChars="0"/>
              <w:textAlignment w:val="bottom"/>
              <w:rPr>
                <w:rFonts w:hint="eastAsia" w:ascii="微软雅黑" w:hAnsi="微软雅黑"/>
                <w:strike/>
                <w:color w:val="auto"/>
                <w:kern w:val="28"/>
                <w:szCs w:val="21"/>
                <w:highlight w:val="none"/>
              </w:rPr>
            </w:pPr>
            <w:r>
              <w:rPr>
                <w:rFonts w:hint="eastAsia" w:ascii="微软雅黑" w:hAnsi="微软雅黑"/>
                <w:snapToGrid w:val="0"/>
                <w:color w:val="auto"/>
                <w:kern w:val="0"/>
                <w:szCs w:val="21"/>
                <w:highlight w:val="none"/>
              </w:rPr>
              <w:t>3.监狱企业同视为小型、微型企业，享受中小企业政策扶持。</w:t>
            </w:r>
          </w:p>
        </w:tc>
      </w:tr>
      <w:tr w14:paraId="613566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418CE0A">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21</w:t>
            </w:r>
          </w:p>
        </w:tc>
        <w:tc>
          <w:tcPr>
            <w:tcW w:w="1843" w:type="dxa"/>
            <w:tcBorders>
              <w:top w:val="single" w:color="000000" w:sz="8" w:space="0"/>
              <w:left w:val="single" w:color="000000" w:sz="2" w:space="0"/>
              <w:bottom w:val="single" w:color="000000" w:sz="8" w:space="0"/>
              <w:right w:val="single" w:color="000000" w:sz="8" w:space="0"/>
            </w:tcBorders>
            <w:vAlign w:val="center"/>
          </w:tcPr>
          <w:p w14:paraId="615C855D">
            <w:pPr>
              <w:snapToGrid w:val="0"/>
              <w:spacing w:line="240" w:lineRule="auto"/>
              <w:ind w:firstLine="0" w:firstLineChars="0"/>
              <w:jc w:val="center"/>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0B506561">
            <w:pPr>
              <w:autoSpaceDE w:val="0"/>
              <w:autoSpaceDN w:val="0"/>
              <w:snapToGrid w:val="0"/>
              <w:spacing w:line="240" w:lineRule="auto"/>
              <w:ind w:firstLine="0" w:firstLineChars="0"/>
              <w:textAlignment w:val="bottom"/>
              <w:rPr>
                <w:rFonts w:hint="eastAsia" w:ascii="微软雅黑" w:hAnsi="微软雅黑"/>
                <w:strike/>
                <w:color w:val="auto"/>
                <w:kern w:val="28"/>
                <w:szCs w:val="21"/>
                <w:highlight w:val="none"/>
              </w:rPr>
            </w:pPr>
            <w:r>
              <w:rPr>
                <w:rFonts w:hint="eastAsia" w:ascii="微软雅黑" w:hAnsi="微软雅黑"/>
                <w:snapToGrid w:val="0"/>
                <w:color w:val="auto"/>
                <w:kern w:val="0"/>
                <w:szCs w:val="21"/>
                <w:highlight w:val="none"/>
              </w:rPr>
              <w:t>本招标文件的解释权属于采购人</w:t>
            </w:r>
          </w:p>
        </w:tc>
      </w:tr>
    </w:tbl>
    <w:p w14:paraId="4FC3030A">
      <w:pPr>
        <w:pStyle w:val="6"/>
        <w:spacing w:line="500" w:lineRule="exact"/>
        <w:ind w:firstLine="420"/>
        <w:rPr>
          <w:rFonts w:hint="eastAsia" w:ascii="微软雅黑" w:hAnsi="微软雅黑"/>
          <w:color w:val="auto"/>
          <w:szCs w:val="21"/>
          <w:highlight w:val="none"/>
        </w:rPr>
      </w:pPr>
      <w:bookmarkStart w:id="33" w:name="_Toc493511580"/>
      <w:bookmarkStart w:id="34" w:name="_Toc177870536"/>
      <w:bookmarkStart w:id="35" w:name="_Toc3218"/>
      <w:r>
        <w:rPr>
          <w:rFonts w:hint="eastAsia" w:ascii="微软雅黑" w:hAnsi="微软雅黑"/>
          <w:color w:val="auto"/>
          <w:szCs w:val="21"/>
          <w:highlight w:val="none"/>
        </w:rPr>
        <w:t>一、总  则</w:t>
      </w:r>
      <w:bookmarkEnd w:id="33"/>
      <w:bookmarkEnd w:id="34"/>
      <w:bookmarkEnd w:id="35"/>
    </w:p>
    <w:p w14:paraId="42ED34F8">
      <w:pPr>
        <w:snapToGrid w:val="0"/>
        <w:ind w:firstLine="412" w:firstLineChars="196"/>
        <w:outlineLvl w:val="2"/>
        <w:rPr>
          <w:rFonts w:hint="eastAsia" w:ascii="微软雅黑" w:hAnsi="微软雅黑"/>
          <w:b/>
          <w:color w:val="auto"/>
          <w:szCs w:val="21"/>
          <w:highlight w:val="none"/>
        </w:rPr>
      </w:pPr>
      <w:bookmarkStart w:id="36" w:name="_Toc164943190"/>
      <w:bookmarkStart w:id="37" w:name="_Toc169015114"/>
      <w:bookmarkStart w:id="38" w:name="_Toc397670919"/>
      <w:bookmarkStart w:id="39" w:name="_Toc397670948"/>
      <w:bookmarkStart w:id="40" w:name="_Toc177870544"/>
      <w:bookmarkStart w:id="41" w:name="_Toc493511613"/>
      <w:r>
        <w:rPr>
          <w:rFonts w:hint="eastAsia" w:ascii="微软雅黑" w:hAnsi="微软雅黑"/>
          <w:b/>
          <w:color w:val="auto"/>
          <w:szCs w:val="21"/>
          <w:highlight w:val="none"/>
        </w:rPr>
        <w:t>（一）适用范围</w:t>
      </w:r>
      <w:bookmarkEnd w:id="36"/>
      <w:bookmarkEnd w:id="37"/>
    </w:p>
    <w:p w14:paraId="194C5071">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本招标文件适用于该项目的招标、投标、评标、定标、验收、合同履约、付款等行为（法律、法规另有规定的，从其规定）。</w:t>
      </w:r>
    </w:p>
    <w:p w14:paraId="04451183">
      <w:pPr>
        <w:snapToGrid w:val="0"/>
        <w:ind w:firstLine="309" w:firstLineChars="147"/>
        <w:outlineLvl w:val="2"/>
        <w:rPr>
          <w:rFonts w:hint="eastAsia" w:ascii="微软雅黑" w:hAnsi="微软雅黑"/>
          <w:b/>
          <w:color w:val="auto"/>
          <w:szCs w:val="21"/>
          <w:highlight w:val="none"/>
        </w:rPr>
      </w:pPr>
      <w:bookmarkStart w:id="42" w:name="_Toc169015115"/>
      <w:bookmarkStart w:id="43" w:name="_Toc164943191"/>
      <w:r>
        <w:rPr>
          <w:rFonts w:hint="eastAsia" w:ascii="微软雅黑" w:hAnsi="微软雅黑"/>
          <w:b/>
          <w:color w:val="auto"/>
          <w:szCs w:val="21"/>
          <w:highlight w:val="none"/>
        </w:rPr>
        <w:t>（二）定义</w:t>
      </w:r>
      <w:bookmarkEnd w:id="42"/>
      <w:bookmarkEnd w:id="43"/>
    </w:p>
    <w:p w14:paraId="0F79ADAA">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w:t>
      </w:r>
      <w:r>
        <w:rPr>
          <w:rFonts w:hint="eastAsia" w:ascii="微软雅黑" w:hAnsi="微软雅黑" w:cs="宋体"/>
          <w:color w:val="auto"/>
          <w:szCs w:val="21"/>
          <w:highlight w:val="none"/>
        </w:rPr>
        <w:t>“采购人”系指招标公告中载明的本项目的采购人。</w:t>
      </w:r>
    </w:p>
    <w:p w14:paraId="0BEFEEC3">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2.“采购代理机构”系指招标公告中载明的本项目的采购代理机构</w:t>
      </w:r>
    </w:p>
    <w:p w14:paraId="03A7DB1C">
      <w:pPr>
        <w:snapToGrid w:val="0"/>
        <w:ind w:firstLine="420"/>
        <w:rPr>
          <w:rFonts w:hint="eastAsia" w:ascii="微软雅黑" w:hAnsi="微软雅黑" w:cs="宋体"/>
          <w:color w:val="auto"/>
          <w:szCs w:val="21"/>
          <w:highlight w:val="none"/>
        </w:rPr>
      </w:pPr>
      <w:r>
        <w:rPr>
          <w:rFonts w:hint="eastAsia" w:ascii="微软雅黑" w:hAnsi="微软雅黑"/>
          <w:color w:val="auto"/>
          <w:szCs w:val="21"/>
          <w:highlight w:val="none"/>
        </w:rPr>
        <w:t>3.“供应商”</w:t>
      </w:r>
      <w:r>
        <w:rPr>
          <w:rFonts w:hint="eastAsia" w:ascii="微软雅黑" w:hAnsi="微软雅黑" w:cs="宋体"/>
          <w:color w:val="auto"/>
          <w:szCs w:val="21"/>
          <w:highlight w:val="none"/>
        </w:rPr>
        <w:t>系指是指响应招标、参加投标竞争的法人、其他组织或者自然人。</w:t>
      </w:r>
    </w:p>
    <w:p w14:paraId="249FE177">
      <w:pPr>
        <w:snapToGrid w:val="0"/>
        <w:ind w:firstLine="420"/>
        <w:rPr>
          <w:rFonts w:hint="eastAsia" w:ascii="微软雅黑" w:hAnsi="微软雅黑"/>
          <w:color w:val="auto"/>
          <w:szCs w:val="21"/>
          <w:highlight w:val="none"/>
        </w:rPr>
      </w:pPr>
      <w:r>
        <w:rPr>
          <w:rFonts w:hint="eastAsia" w:ascii="微软雅黑" w:hAnsi="微软雅黑" w:cs="宋体"/>
          <w:color w:val="auto"/>
          <w:szCs w:val="21"/>
          <w:highlight w:val="none"/>
        </w:rPr>
        <w:t>4.“负责人”系指法人企业的法定负责人，或其他组织为法律、行政法规规定代表单位行使职权的主要负责人，或自然人本人。</w:t>
      </w:r>
    </w:p>
    <w:p w14:paraId="01E4358E">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5.“产品”系指供方按招标文件规定，须向采购人提供的一切设备、保险、税金、备品备件、工具、手册及其他有关技术资料和材料。</w:t>
      </w:r>
    </w:p>
    <w:p w14:paraId="60A5616E">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6.“服务”系指招标文件规定投标供应商须承担的安装、调试、技术协助、校准、培训、技术指导以及其他类似的义务。</w:t>
      </w:r>
    </w:p>
    <w:p w14:paraId="40C38F4E">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7.“项目”系指投标供应商按招标文件规定向采购人提供的产品和服务。</w:t>
      </w:r>
    </w:p>
    <w:p w14:paraId="4045BD07">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8.“书面形式”包括信函、传真、电报等。</w:t>
      </w:r>
    </w:p>
    <w:p w14:paraId="0F0714C7">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9.“电子签名”系指数据电文中以电子形式所含、所附用于识别签名人身份并表明签名人认可其中内容的数据；“公章”系指单位法定名称章。</w:t>
      </w:r>
    </w:p>
    <w:p w14:paraId="5D510481">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10.“电子交易平台”是指本项目政府采购活动所依托的政府采购云平台。（https://www.zcygov.cn/）。</w:t>
      </w:r>
    </w:p>
    <w:p w14:paraId="436FA663">
      <w:pPr>
        <w:snapToGrid w:val="0"/>
        <w:ind w:left="210" w:leftChars="100" w:firstLine="210" w:firstLineChars="100"/>
        <w:rPr>
          <w:rFonts w:hint="eastAsia" w:ascii="微软雅黑" w:hAnsi="微软雅黑" w:cs="宋体"/>
          <w:color w:val="auto"/>
          <w:szCs w:val="21"/>
          <w:highlight w:val="none"/>
        </w:rPr>
      </w:pPr>
      <w:r>
        <w:rPr>
          <w:rFonts w:hint="eastAsia" w:ascii="微软雅黑" w:hAnsi="微软雅黑"/>
          <w:color w:val="auto"/>
          <w:szCs w:val="21"/>
          <w:highlight w:val="none"/>
        </w:rPr>
        <w:t>11.“▲”系指实质性要求条款，不满足实行性要求条款的投标文件无效。“★”系指产品采购项目中核心产品。“</w:t>
      </w:r>
      <w:r>
        <w:rPr>
          <w:rFonts w:ascii="微软雅黑" w:hAnsi="微软雅黑" w:cs="Arial"/>
          <w:color w:val="auto"/>
          <w:kern w:val="0"/>
          <w:szCs w:val="21"/>
          <w:highlight w:val="none"/>
        </w:rPr>
        <w:t></w:t>
      </w:r>
      <w:r>
        <w:rPr>
          <w:rFonts w:hint="eastAsia" w:ascii="微软雅黑" w:hAnsi="微软雅黑"/>
          <w:color w:val="auto"/>
          <w:szCs w:val="21"/>
          <w:highlight w:val="none"/>
        </w:rPr>
        <w:t>”</w:t>
      </w:r>
      <w:r>
        <w:rPr>
          <w:rFonts w:hint="eastAsia" w:ascii="微软雅黑" w:hAnsi="微软雅黑" w:cs="宋体"/>
          <w:color w:val="auto"/>
          <w:szCs w:val="21"/>
          <w:highlight w:val="none"/>
        </w:rPr>
        <w:t>系指适用本项目的要求，“</w:t>
      </w: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 系指不适用本项目的要求。</w:t>
      </w:r>
    </w:p>
    <w:bookmarkEnd w:id="38"/>
    <w:bookmarkEnd w:id="39"/>
    <w:p w14:paraId="217790F8">
      <w:pPr>
        <w:snapToGrid w:val="0"/>
        <w:ind w:firstLine="412" w:firstLineChars="196"/>
        <w:outlineLvl w:val="2"/>
        <w:rPr>
          <w:rFonts w:hint="eastAsia" w:ascii="微软雅黑" w:hAnsi="微软雅黑"/>
          <w:b/>
          <w:color w:val="auto"/>
          <w:szCs w:val="21"/>
          <w:highlight w:val="none"/>
        </w:rPr>
      </w:pPr>
      <w:bookmarkStart w:id="44" w:name="_Toc169015116"/>
      <w:bookmarkStart w:id="45" w:name="_Toc164943192"/>
      <w:bookmarkStart w:id="46" w:name="_Toc397670920"/>
      <w:bookmarkStart w:id="47" w:name="_Toc397670949"/>
      <w:r>
        <w:rPr>
          <w:rFonts w:hint="eastAsia" w:ascii="微软雅黑" w:hAnsi="微软雅黑"/>
          <w:b/>
          <w:color w:val="auto"/>
          <w:szCs w:val="21"/>
          <w:highlight w:val="none"/>
        </w:rPr>
        <w:t>（三）采购方式</w:t>
      </w:r>
      <w:bookmarkEnd w:id="44"/>
      <w:bookmarkEnd w:id="45"/>
    </w:p>
    <w:p w14:paraId="7143DCCF">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本次招标采用公开采购方式进行。</w:t>
      </w:r>
    </w:p>
    <w:bookmarkEnd w:id="46"/>
    <w:bookmarkEnd w:id="47"/>
    <w:p w14:paraId="6014747F">
      <w:pPr>
        <w:snapToGrid w:val="0"/>
        <w:spacing w:before="120" w:beforeLines="50"/>
        <w:ind w:firstLine="412" w:firstLineChars="196"/>
        <w:outlineLvl w:val="2"/>
        <w:rPr>
          <w:rFonts w:hint="eastAsia" w:ascii="微软雅黑" w:hAnsi="微软雅黑"/>
          <w:b/>
          <w:color w:val="auto"/>
          <w:szCs w:val="21"/>
          <w:highlight w:val="none"/>
        </w:rPr>
      </w:pPr>
      <w:bookmarkStart w:id="48" w:name="_Toc397670950"/>
      <w:bookmarkStart w:id="49" w:name="_Toc169015117"/>
      <w:bookmarkStart w:id="50" w:name="_Toc397670921"/>
      <w:bookmarkStart w:id="51" w:name="_Toc164943193"/>
      <w:r>
        <w:rPr>
          <w:rFonts w:hint="eastAsia" w:ascii="微软雅黑" w:hAnsi="微软雅黑"/>
          <w:b/>
          <w:color w:val="auto"/>
          <w:szCs w:val="21"/>
          <w:highlight w:val="none"/>
        </w:rPr>
        <w:t>（四）投标费用</w:t>
      </w:r>
      <w:bookmarkEnd w:id="48"/>
      <w:bookmarkEnd w:id="49"/>
      <w:bookmarkEnd w:id="50"/>
      <w:bookmarkEnd w:id="51"/>
    </w:p>
    <w:p w14:paraId="343F8891">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不论投标结果如何，投标供应商均应自行承担所有与投标有关的全部费用（招标文件有相反规定除外）。</w:t>
      </w:r>
    </w:p>
    <w:p w14:paraId="27BDC759">
      <w:pPr>
        <w:snapToGrid w:val="0"/>
        <w:spacing w:before="120" w:beforeLines="50"/>
        <w:ind w:firstLine="412" w:firstLineChars="196"/>
        <w:outlineLvl w:val="2"/>
        <w:rPr>
          <w:rFonts w:hint="eastAsia" w:ascii="微软雅黑" w:hAnsi="微软雅黑" w:cs="宋体"/>
          <w:b/>
          <w:color w:val="auto"/>
          <w:szCs w:val="21"/>
          <w:highlight w:val="none"/>
        </w:rPr>
      </w:pPr>
      <w:bookmarkStart w:id="52" w:name="_Toc164943194"/>
      <w:bookmarkStart w:id="53" w:name="_Toc169015118"/>
      <w:r>
        <w:rPr>
          <w:rFonts w:hint="eastAsia" w:ascii="微软雅黑" w:hAnsi="微软雅黑" w:cs="宋体"/>
          <w:b/>
          <w:color w:val="auto"/>
          <w:szCs w:val="21"/>
          <w:highlight w:val="none"/>
        </w:rPr>
        <w:t>（五）相关政府采购政策</w:t>
      </w:r>
      <w:bookmarkEnd w:id="52"/>
      <w:bookmarkEnd w:id="53"/>
    </w:p>
    <w:p w14:paraId="2B7536C8">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92A2252">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2.支持绿色发展</w:t>
      </w:r>
    </w:p>
    <w:p w14:paraId="1D08D480">
      <w:pPr>
        <w:snapToGrid w:val="0"/>
        <w:ind w:firstLine="420"/>
        <w:rPr>
          <w:rFonts w:hint="eastAsia" w:ascii="微软雅黑" w:hAnsi="微软雅黑"/>
          <w:b/>
          <w:color w:val="auto"/>
          <w:szCs w:val="21"/>
          <w:highlight w:val="none"/>
        </w:rPr>
      </w:pPr>
      <w:r>
        <w:rPr>
          <w:rFonts w:hint="eastAsia" w:ascii="微软雅黑" w:hAnsi="微软雅黑" w:cs="宋体"/>
          <w:color w:val="auto"/>
          <w:szCs w:val="21"/>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证书。</w:t>
      </w:r>
      <w:r>
        <w:rPr>
          <w:rFonts w:ascii="微软雅黑" w:hAnsi="微软雅黑"/>
          <w:color w:val="auto"/>
          <w:szCs w:val="21"/>
          <w:highlight w:val="none"/>
        </w:rPr>
        <w:t>▲</w:t>
      </w:r>
      <w:r>
        <w:rPr>
          <w:rFonts w:hint="eastAsia" w:ascii="微软雅黑" w:hAnsi="微软雅黑"/>
          <w:b/>
          <w:color w:val="auto"/>
          <w:szCs w:val="21"/>
          <w:highlight w:val="none"/>
        </w:rPr>
        <w:t>采购人拟采购的产品属于政府强制采购的节能产品品目清单范围的，投标供应商未按招标文件要求提供国家确定的认证机构出具的、处于有效期之内的节能产品认证证书的，投标无效。</w:t>
      </w:r>
    </w:p>
    <w:p w14:paraId="19E0BA05">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 修缮、装修类项目采购建材的，采购人应将绿色建筑和绿色建材性能、指标等作为实质性条件纳入招标文件和合同。</w:t>
      </w:r>
    </w:p>
    <w:p w14:paraId="5096EB92">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2FCF28E">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3.支持中小企业发展</w:t>
      </w:r>
    </w:p>
    <w:p w14:paraId="6BE88282">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62CA0277">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符合中小企业划分标准的个体工商户，在政府采购活动中视同中小企业。</w:t>
      </w:r>
    </w:p>
    <w:p w14:paraId="7BDD578A">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3.2在政府采购活动中，投标供应商提供的货物、工程或者服务符合下列情形的，享受中小企业扶持政策：</w:t>
      </w:r>
    </w:p>
    <w:p w14:paraId="389B5040">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3.2.1在货物采购项目中，货物由中小企业制造，即货物由中小企业生产且使用该中小企业商号或者注册商标；</w:t>
      </w:r>
    </w:p>
    <w:p w14:paraId="5092BC19">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3.2.2在工程采购项目中，工程由中小企业承建，即工程施工单位为中小企业；</w:t>
      </w:r>
    </w:p>
    <w:p w14:paraId="39109FF8">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3.2.3在服务采购项目中，服务由中小企业承接，即提供服务的人员为中小企业依照《中华人民共和国劳动合同法》订立劳动合同的从业人员。</w:t>
      </w:r>
    </w:p>
    <w:p w14:paraId="28CC63B8">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在货物采购项目中，投标供应商提供的货物既有中小企业制造货物，也有大型企业制造货物的，不享受中小企业扶持政策。</w:t>
      </w:r>
    </w:p>
    <w:p w14:paraId="429CCAA7">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以联合体形式参加政府采购活动，联合体各方均为中小企业的，联合体视同中小企业。其中，联合体各方均为小微企业的，联合体视同小微企业。</w:t>
      </w:r>
    </w:p>
    <w:p w14:paraId="61ED23DE">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3.3符合《关于促进残疾人就业政府采购政策的通知》（财库〔2017〕141号）规定的条件并提供《残疾人福利性单位声明函》（附件1）的残疾人福利性单位视同小型、微型企业；</w:t>
      </w:r>
    </w:p>
    <w:p w14:paraId="3477C0CF">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3.4符合《关于政府采购支持监狱企业发展有关问题的通知》（财库[2014]68号）规定的监狱企业并提供由省级以上监狱管理局、戒毒管理局（含新疆生产建设兵团）出具的属于监狱企业证明文件的，视同为小型、微型企业。</w:t>
      </w:r>
    </w:p>
    <w:p w14:paraId="5F51D756">
      <w:pPr>
        <w:snapToGrid w:val="0"/>
        <w:ind w:firstLine="420"/>
        <w:rPr>
          <w:rFonts w:hint="eastAsia" w:ascii="微软雅黑" w:hAnsi="微软雅黑"/>
          <w:b/>
          <w:bCs/>
          <w:color w:val="auto"/>
          <w:szCs w:val="21"/>
          <w:highlight w:val="none"/>
        </w:rPr>
      </w:pPr>
      <w:r>
        <w:rPr>
          <w:rFonts w:hint="eastAsia" w:ascii="微软雅黑" w:hAnsi="微软雅黑" w:cs="宋体"/>
          <w:color w:val="auto"/>
          <w:szCs w:val="21"/>
          <w:highlight w:val="none"/>
        </w:rPr>
        <w:t>3.5可享受中小企业扶持政策的投标供应商应按照招标文件格式要求提供《中小企业声明函》，投标供应商提供的《中小企业声明函》与实际情况不符的，不享受中小企业扶持政策。</w:t>
      </w:r>
      <w:r>
        <w:rPr>
          <w:rFonts w:hint="eastAsia" w:ascii="微软雅黑" w:hAnsi="微软雅黑"/>
          <w:b/>
          <w:bCs/>
          <w:color w:val="auto"/>
          <w:szCs w:val="21"/>
          <w:highlight w:val="none"/>
        </w:rPr>
        <w:t>声明内容不实的，属于提供虚假材料谋取中标、成交的，依法承担法律责任。</w:t>
      </w:r>
    </w:p>
    <w:p w14:paraId="1A169CC4">
      <w:pPr>
        <w:snapToGrid w:val="0"/>
        <w:ind w:firstLine="420"/>
        <w:rPr>
          <w:rFonts w:hint="eastAsia" w:ascii="微软雅黑" w:hAnsi="微软雅黑"/>
          <w:b/>
          <w:strike/>
          <w:color w:val="auto"/>
          <w:szCs w:val="21"/>
          <w:highlight w:val="none"/>
        </w:rPr>
      </w:pPr>
      <w:r>
        <w:rPr>
          <w:rFonts w:hint="eastAsia" w:ascii="微软雅黑" w:hAnsi="微软雅黑" w:cs="宋体"/>
          <w:color w:val="auto"/>
          <w:szCs w:val="21"/>
          <w:highlight w:val="none"/>
        </w:rPr>
        <w:t>3.6中小企业享受扶持政策获得政府采购合同的，小微企业不得将合同分包给大中型企业，中型企业不得将合同分包给大型企业。</w:t>
      </w:r>
    </w:p>
    <w:p w14:paraId="4EEC70D7">
      <w:pPr>
        <w:snapToGrid w:val="0"/>
        <w:ind w:firstLine="412" w:firstLineChars="196"/>
        <w:outlineLvl w:val="2"/>
        <w:rPr>
          <w:rFonts w:hint="eastAsia" w:ascii="微软雅黑" w:hAnsi="微软雅黑"/>
          <w:b/>
          <w:color w:val="auto"/>
          <w:szCs w:val="21"/>
          <w:highlight w:val="none"/>
        </w:rPr>
      </w:pPr>
      <w:bookmarkStart w:id="54" w:name="_Toc169015119"/>
      <w:bookmarkStart w:id="55" w:name="_Toc164943195"/>
      <w:r>
        <w:rPr>
          <w:rFonts w:hint="eastAsia" w:ascii="微软雅黑" w:hAnsi="微软雅黑"/>
          <w:b/>
          <w:color w:val="auto"/>
          <w:szCs w:val="21"/>
          <w:highlight w:val="none"/>
        </w:rPr>
        <w:t>（六）特别说明：</w:t>
      </w:r>
      <w:bookmarkEnd w:id="54"/>
      <w:bookmarkEnd w:id="55"/>
    </w:p>
    <w:p w14:paraId="29937615">
      <w:pPr>
        <w:pStyle w:val="29"/>
        <w:snapToGrid w:val="0"/>
        <w:ind w:left="2" w:leftChars="1"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采用最低评标价法的采购项目，提供相同品牌产品的不同投标供应商参加同一合同项下投标的，以其中通过资格审查、符合性审查且报价最低的参加评标；报价相同的，由采购人或者采购人委托评标委员会按照招标文件规定的方式确定一个参加评标的投标供应商，招标文件未规定的采取随机抽取方式确定，其他投标无效。</w:t>
      </w:r>
    </w:p>
    <w:p w14:paraId="650EBEB4">
      <w:pPr>
        <w:pStyle w:val="29"/>
        <w:snapToGrid w:val="0"/>
        <w:ind w:left="2" w:leftChars="1"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使用综合评分法的采购项目，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招标文件规定的方式确定一个投标供应商获得中标供应商推荐资格，招标文件未规定的采取随机抽取方式确定，其他同品牌投标供应商不作为中标候选人。</w:t>
      </w:r>
    </w:p>
    <w:p w14:paraId="26A9BAEC">
      <w:pPr>
        <w:pStyle w:val="29"/>
        <w:snapToGrid w:val="0"/>
        <w:ind w:left="2" w:leftChars="1" w:firstLine="420"/>
        <w:rPr>
          <w:rFonts w:hint="eastAsia" w:ascii="微软雅黑" w:hAnsi="微软雅黑"/>
          <w:color w:val="auto"/>
          <w:szCs w:val="21"/>
          <w:highlight w:val="none"/>
        </w:rPr>
      </w:pPr>
      <w:r>
        <w:rPr>
          <w:rFonts w:hint="eastAsia" w:ascii="微软雅黑" w:hAnsi="微软雅黑" w:cs="宋体"/>
          <w:color w:val="auto"/>
          <w:szCs w:val="21"/>
          <w:highlight w:val="none"/>
        </w:rPr>
        <w:t>非单一产品采购项目，采购人应当根据采购项目技术构成、产品价格比重等合理确定核心产品，并在招标文件中载明。多家投标供应商提供的核心产品品牌相同的，按前两款规定处理。</w:t>
      </w:r>
    </w:p>
    <w:p w14:paraId="6CFDDEC3">
      <w:pPr>
        <w:pStyle w:val="29"/>
        <w:snapToGrid w:val="0"/>
        <w:spacing w:before="120" w:after="120"/>
        <w:ind w:left="2" w:leftChars="1" w:firstLine="420"/>
        <w:rPr>
          <w:rFonts w:hint="eastAsia" w:ascii="微软雅黑" w:hAnsi="微软雅黑"/>
          <w:color w:val="auto"/>
          <w:szCs w:val="21"/>
          <w:highlight w:val="none"/>
        </w:rPr>
      </w:pPr>
      <w:r>
        <w:rPr>
          <w:rFonts w:hint="eastAsia" w:ascii="微软雅黑" w:hAnsi="微软雅黑"/>
          <w:color w:val="auto"/>
          <w:szCs w:val="21"/>
          <w:highlight w:val="none"/>
        </w:rPr>
        <w:t>2.投标供应商投标所使用的资格、信誉、荣誉、业绩与企业认证必须为本法人所拥有。投标供应商投标所使用的采购项目实施人员必须为本法人员工（或必须为本法人或控股投标供应商正式员工）。</w:t>
      </w:r>
    </w:p>
    <w:p w14:paraId="0BFC8900">
      <w:pPr>
        <w:pStyle w:val="29"/>
        <w:snapToGrid w:val="0"/>
        <w:spacing w:before="120" w:after="120"/>
        <w:ind w:left="2" w:leftChars="1" w:firstLine="420"/>
        <w:rPr>
          <w:rFonts w:hint="eastAsia" w:ascii="微软雅黑" w:hAnsi="微软雅黑"/>
          <w:color w:val="auto"/>
          <w:szCs w:val="21"/>
          <w:highlight w:val="none"/>
        </w:rPr>
      </w:pPr>
      <w:r>
        <w:rPr>
          <w:rFonts w:hint="eastAsia" w:ascii="微软雅黑" w:hAnsi="微软雅黑"/>
          <w:color w:val="auto"/>
          <w:szCs w:val="21"/>
          <w:highlight w:val="none"/>
        </w:rPr>
        <w:t>3.投标供应商应仔细阅读招标文件的所有内容，按照招标文件的要求提交投标文件，并对所提供的全部资料的真实性承担法律责任。</w:t>
      </w:r>
    </w:p>
    <w:p w14:paraId="75042EDC">
      <w:pPr>
        <w:pStyle w:val="29"/>
        <w:snapToGrid w:val="0"/>
        <w:spacing w:before="120" w:after="120"/>
        <w:ind w:left="2" w:leftChars="1" w:firstLine="420"/>
        <w:rPr>
          <w:rFonts w:hint="eastAsia" w:ascii="微软雅黑" w:hAnsi="微软雅黑"/>
          <w:color w:val="auto"/>
          <w:szCs w:val="21"/>
          <w:highlight w:val="none"/>
        </w:rPr>
      </w:pPr>
      <w:r>
        <w:rPr>
          <w:rFonts w:hint="eastAsia" w:ascii="微软雅黑" w:hAnsi="微软雅黑"/>
          <w:color w:val="auto"/>
          <w:szCs w:val="21"/>
          <w:highlight w:val="none"/>
        </w:rPr>
        <w:t>4.投标供应商在投标活动中提供任何虚假材料，其投标无效，并报监管部门查处；中标后发现的，中标供应商须依照《中华人民共和国消费者权益保护法》第49条之规定双倍赔偿采购人，且民事赔偿并不免除违法投标供应商的行政与刑事责任。</w:t>
      </w:r>
    </w:p>
    <w:p w14:paraId="78A399F4">
      <w:pPr>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（七）质疑和投诉</w:t>
      </w:r>
    </w:p>
    <w:p w14:paraId="32D96D70">
      <w:pPr>
        <w:ind w:firstLine="420"/>
        <w:rPr>
          <w:rFonts w:hint="eastAsia" w:ascii="微软雅黑" w:hAnsi="微软雅黑"/>
          <w:color w:val="auto"/>
          <w:szCs w:val="21"/>
          <w:highlight w:val="none"/>
        </w:rPr>
      </w:pPr>
      <w:r>
        <w:rPr>
          <w:rFonts w:hint="eastAsia" w:ascii="微软雅黑" w:hAnsi="微软雅黑"/>
          <w:color w:val="auto"/>
          <w:szCs w:val="21"/>
          <w:highlight w:val="none"/>
        </w:rPr>
        <w:t>1.质疑和投诉应当满足《政府采购质疑和投诉办法》（中华人民共和国财政部令第94号）要求。</w:t>
      </w:r>
    </w:p>
    <w:p w14:paraId="2AA8EB07">
      <w:pPr>
        <w:ind w:firstLine="420"/>
        <w:rPr>
          <w:rFonts w:hint="eastAsia" w:ascii="微软雅黑" w:hAnsi="微软雅黑"/>
          <w:color w:val="auto"/>
          <w:szCs w:val="21"/>
          <w:highlight w:val="none"/>
        </w:rPr>
      </w:pPr>
      <w:r>
        <w:rPr>
          <w:rFonts w:hint="eastAsia" w:ascii="微软雅黑" w:hAnsi="微软雅黑"/>
          <w:color w:val="auto"/>
          <w:szCs w:val="21"/>
          <w:highlight w:val="none"/>
        </w:rPr>
        <w:t>2.招标文件质疑：供应商可在获取招标文件之日或者招标文件公告期限届满之日（公告期限届满后获取招标文件的，以公告期限届满之日为准）起7个工作日内发起；采购过程质疑：投标（响应）供应商可在投标（响应）截止时间后，采购结果公告发布时间起7个工作日内发起；采购结果质疑：投标（响应）供应商可在采购结果公告期限届满之日起7个工作日内发起。</w:t>
      </w:r>
    </w:p>
    <w:p w14:paraId="2EAFF309">
      <w:pPr>
        <w:ind w:firstLine="420"/>
        <w:rPr>
          <w:rFonts w:hint="eastAsia" w:ascii="微软雅黑" w:hAnsi="微软雅黑"/>
          <w:color w:val="auto"/>
          <w:szCs w:val="21"/>
          <w:highlight w:val="none"/>
        </w:rPr>
      </w:pPr>
      <w:r>
        <w:rPr>
          <w:rFonts w:hint="eastAsia" w:ascii="微软雅黑" w:hAnsi="微软雅黑"/>
          <w:color w:val="auto"/>
          <w:szCs w:val="21"/>
          <w:highlight w:val="none"/>
        </w:rPr>
        <w:t>3.供应商须在法定质疑期内一次性提出针对同一采购程序环节的质疑。</w:t>
      </w:r>
    </w:p>
    <w:p w14:paraId="3B7C3474">
      <w:pPr>
        <w:ind w:firstLine="420"/>
        <w:rPr>
          <w:rFonts w:hint="eastAsia" w:ascii="微软雅黑" w:hAnsi="微软雅黑"/>
          <w:color w:val="auto"/>
          <w:szCs w:val="21"/>
          <w:highlight w:val="none"/>
        </w:rPr>
      </w:pPr>
      <w:r>
        <w:rPr>
          <w:rFonts w:hint="eastAsia" w:ascii="微软雅黑" w:hAnsi="微软雅黑"/>
          <w:color w:val="auto"/>
          <w:szCs w:val="21"/>
          <w:highlight w:val="none"/>
        </w:rPr>
        <w:t>4.供应商须按上述规定，在政采云系统里提出质疑。询问路径为：政采云-项目采购-询问质疑投诉-询问列表；质疑路径为：政采云-项目采购-询问质疑投诉-质疑列表。质疑供应商对在线质疑答复不满意的，可在线提起投诉，投诉路径为：浙江政府服务网-政府采购投诉处理-在线办理。</w:t>
      </w:r>
    </w:p>
    <w:p w14:paraId="551308FE">
      <w:pPr>
        <w:pStyle w:val="6"/>
        <w:spacing w:line="500" w:lineRule="exact"/>
        <w:ind w:firstLine="420"/>
        <w:rPr>
          <w:rFonts w:hint="eastAsia" w:ascii="微软雅黑" w:hAnsi="微软雅黑"/>
          <w:color w:val="auto"/>
          <w:szCs w:val="21"/>
          <w:highlight w:val="none"/>
        </w:rPr>
      </w:pPr>
      <w:bookmarkStart w:id="56" w:name="_Toc27754"/>
      <w:r>
        <w:rPr>
          <w:rFonts w:hint="eastAsia" w:ascii="微软雅黑" w:hAnsi="微软雅黑"/>
          <w:color w:val="auto"/>
          <w:szCs w:val="21"/>
          <w:highlight w:val="none"/>
        </w:rPr>
        <w:t>二 、招标文件</w:t>
      </w:r>
      <w:bookmarkEnd w:id="40"/>
      <w:bookmarkEnd w:id="41"/>
      <w:bookmarkEnd w:id="56"/>
    </w:p>
    <w:p w14:paraId="6A92A77A">
      <w:pPr>
        <w:snapToGrid w:val="0"/>
        <w:ind w:firstLine="412" w:firstLineChars="196"/>
        <w:rPr>
          <w:rFonts w:hint="eastAsia" w:ascii="微软雅黑" w:hAnsi="微软雅黑"/>
          <w:b/>
          <w:color w:val="auto"/>
          <w:szCs w:val="21"/>
          <w:highlight w:val="none"/>
        </w:rPr>
      </w:pPr>
      <w:bookmarkStart w:id="57" w:name="_Toc493511630"/>
      <w:bookmarkStart w:id="58" w:name="_Toc177870545"/>
      <w:r>
        <w:rPr>
          <w:rFonts w:hint="eastAsia" w:ascii="微软雅黑" w:hAnsi="微软雅黑"/>
          <w:b/>
          <w:color w:val="auto"/>
          <w:szCs w:val="21"/>
          <w:highlight w:val="none"/>
        </w:rPr>
        <w:t>（一）招标文件的构成。本招标文件由以下部分组成：</w:t>
      </w:r>
    </w:p>
    <w:p w14:paraId="25D86A8D">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1.招标公告</w:t>
      </w:r>
    </w:p>
    <w:p w14:paraId="08EBE845">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2.招标需求</w:t>
      </w:r>
    </w:p>
    <w:p w14:paraId="6941BA1C">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3.投标供应商须知</w:t>
      </w:r>
    </w:p>
    <w:p w14:paraId="1DDB4395">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4.评标办法及标准</w:t>
      </w:r>
    </w:p>
    <w:p w14:paraId="6A220273">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5.合同主要条款</w:t>
      </w:r>
    </w:p>
    <w:p w14:paraId="2A34A5BC">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6.投标文件格式</w:t>
      </w:r>
    </w:p>
    <w:p w14:paraId="5B4D39F5">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7.本项目招标文件的澄清、答复、修改、补充的内容</w:t>
      </w:r>
    </w:p>
    <w:p w14:paraId="04616A65">
      <w:pPr>
        <w:snapToGrid w:val="0"/>
        <w:ind w:firstLine="412" w:firstLineChars="196"/>
        <w:rPr>
          <w:rFonts w:hint="eastAsia" w:ascii="微软雅黑" w:hAnsi="微软雅黑"/>
          <w:b/>
          <w:color w:val="auto"/>
          <w:szCs w:val="21"/>
          <w:highlight w:val="none"/>
        </w:rPr>
      </w:pPr>
      <w:r>
        <w:rPr>
          <w:rFonts w:hint="eastAsia" w:ascii="微软雅黑" w:hAnsi="微软雅黑"/>
          <w:b/>
          <w:color w:val="auto"/>
          <w:szCs w:val="21"/>
          <w:highlight w:val="none"/>
        </w:rPr>
        <w:t>（二）投标供应商的风险</w:t>
      </w:r>
    </w:p>
    <w:p w14:paraId="3E700251">
      <w:pPr>
        <w:pStyle w:val="43"/>
        <w:ind w:firstLine="424" w:firstLineChars="202"/>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投标供应商没有按照招标文件要求提供全部资料，或者投标供应商没有对招标文件在各方面做出实质性响应是投标供应商的风险，并可能导致其投标为无效标。</w:t>
      </w:r>
    </w:p>
    <w:p w14:paraId="6B16A1B7">
      <w:pPr>
        <w:pStyle w:val="293"/>
        <w:snapToGrid w:val="0"/>
        <w:spacing w:before="0"/>
        <w:ind w:left="480" w:firstLine="0" w:firstLineChars="0"/>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（三）招标文件的澄清与修改</w:t>
      </w:r>
    </w:p>
    <w:p w14:paraId="3033E8CD">
      <w:pPr>
        <w:pStyle w:val="293"/>
        <w:snapToGrid w:val="0"/>
        <w:spacing w:before="0"/>
        <w:ind w:left="480" w:firstLine="0" w:firstLineChars="0"/>
        <w:rPr>
          <w:rFonts w:hint="eastAsia" w:ascii="微软雅黑" w:hAnsi="微软雅黑" w:eastAsia="微软雅黑"/>
          <w:color w:val="auto"/>
          <w:sz w:val="21"/>
          <w:szCs w:val="21"/>
          <w:highlight w:val="none"/>
        </w:rPr>
      </w:pPr>
      <w:r>
        <w:rPr>
          <w:rFonts w:hint="eastAsia" w:ascii="微软雅黑" w:hAnsi="微软雅黑" w:eastAsia="微软雅黑" w:cs="Times New Roman"/>
          <w:color w:val="auto"/>
          <w:kern w:val="0"/>
          <w:sz w:val="21"/>
          <w:szCs w:val="21"/>
          <w:highlight w:val="none"/>
        </w:rPr>
        <w:t>1.</w:t>
      </w:r>
      <w:r>
        <w:rPr>
          <w:rFonts w:hint="eastAsia" w:ascii="微软雅黑" w:hAnsi="微软雅黑" w:eastAsia="微软雅黑"/>
          <w:color w:val="auto"/>
          <w:sz w:val="21"/>
          <w:szCs w:val="21"/>
          <w:highlight w:val="none"/>
        </w:rPr>
        <w:t>投标供应商应认真阅读本招标文件，发现其中有误或有不合理要求的，可</w:t>
      </w:r>
    </w:p>
    <w:p w14:paraId="127B9E9D">
      <w:pPr>
        <w:pStyle w:val="293"/>
        <w:snapToGrid w:val="0"/>
        <w:spacing w:before="0"/>
        <w:ind w:firstLine="0" w:firstLineChars="0"/>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要求招标采购人澄清。招标采购人对已发出的招标文件进行必要澄清或者修改的，应当在招标文件要求提交投标文件截止十五日前，在财政部门指定的政府采购信息发布媒体上发布更正公告，并以书面形式通知所有招标文件获取人。</w:t>
      </w:r>
    </w:p>
    <w:p w14:paraId="61E39DA6">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2.招标文件澄清或者修改的内容为招标文件的组成部分。当招标文件与澄清或者修改就同一内容的表述不一致时，以最后发出的书面文件为准。</w:t>
      </w:r>
    </w:p>
    <w:p w14:paraId="0EB0667C">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3.对招标文件的澄清、答复、修改或补充都应该通过代理机构以法定形式发布，采购人非通过本机构，不得擅自澄清、答复、修改或补充招标文件。</w:t>
      </w:r>
    </w:p>
    <w:p w14:paraId="467C8160">
      <w:pPr>
        <w:pStyle w:val="6"/>
        <w:spacing w:line="500" w:lineRule="exact"/>
        <w:ind w:firstLine="420"/>
        <w:rPr>
          <w:rFonts w:hint="eastAsia" w:ascii="微软雅黑" w:hAnsi="微软雅黑"/>
          <w:color w:val="auto"/>
          <w:szCs w:val="21"/>
          <w:highlight w:val="none"/>
        </w:rPr>
      </w:pPr>
      <w:bookmarkStart w:id="59" w:name="_Toc27689"/>
      <w:r>
        <w:rPr>
          <w:rFonts w:hint="eastAsia" w:ascii="微软雅黑" w:hAnsi="微软雅黑"/>
          <w:color w:val="auto"/>
          <w:szCs w:val="21"/>
          <w:highlight w:val="none"/>
        </w:rPr>
        <w:t>三、 投标文件的编制</w:t>
      </w:r>
      <w:bookmarkEnd w:id="57"/>
      <w:bookmarkEnd w:id="58"/>
      <w:bookmarkEnd w:id="59"/>
    </w:p>
    <w:p w14:paraId="4183125B">
      <w:pPr>
        <w:ind w:firstLine="420"/>
        <w:rPr>
          <w:rFonts w:hint="eastAsia" w:ascii="微软雅黑" w:hAnsi="微软雅黑"/>
          <w:b/>
          <w:bCs/>
          <w:color w:val="auto"/>
          <w:szCs w:val="21"/>
          <w:highlight w:val="none"/>
        </w:rPr>
      </w:pPr>
      <w:bookmarkStart w:id="60" w:name="_Toc21392"/>
      <w:bookmarkStart w:id="61" w:name="_Toc14074"/>
      <w:bookmarkStart w:id="62" w:name="_Toc406402944"/>
      <w:bookmarkStart w:id="63" w:name="_Toc532218225"/>
      <w:bookmarkStart w:id="64" w:name="_Toc406402988"/>
      <w:bookmarkStart w:id="65" w:name="_Toc33535369"/>
      <w:bookmarkStart w:id="66" w:name="_Toc493511751"/>
      <w:r>
        <w:rPr>
          <w:rFonts w:hint="eastAsia" w:ascii="微软雅黑" w:hAnsi="微软雅黑"/>
          <w:b/>
          <w:bCs/>
          <w:color w:val="auto"/>
          <w:szCs w:val="21"/>
          <w:highlight w:val="none"/>
        </w:rPr>
        <w:t>本项目所涉投标文件格式请详见第六章，未给出的格式请自拟。商务、资信及其他及技术文件中不得出现报价，否则投标文件将被视为无效。</w:t>
      </w:r>
    </w:p>
    <w:p w14:paraId="4887DF84">
      <w:pPr>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注：电子投标文件按政采云平台供应商电子招投标操作指南及本招标文件规定的格式和顺序编制电子投标文件并进行关联。建议根据招标文件合格供应商的资格要求、投标文件的编制及评分标准等内容一一关联。</w:t>
      </w:r>
    </w:p>
    <w:p w14:paraId="51E136C8">
      <w:pPr>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路径：浙江省“项目采购电子交易系统/不见面开评标”学习专题-操作指南-供应商</w:t>
      </w:r>
    </w:p>
    <w:p w14:paraId="6E14CCD9">
      <w:pPr>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网址：</w:t>
      </w:r>
      <w:r>
        <w:rPr>
          <w:color w:val="auto"/>
          <w:highlight w:val="none"/>
        </w:rPr>
        <w:fldChar w:fldCharType="begin"/>
      </w:r>
      <w:r>
        <w:rPr>
          <w:color w:val="auto"/>
          <w:highlight w:val="none"/>
        </w:rPr>
        <w:instrText xml:space="preserve"> HYPERLINK "https://help.zcygov.cn/web/site_2/2018/12-28/2573.html%EF%BC%89%E5%8F%8A%E6%9C%AC%E6%8B%9B%E6%A0%87%E6%96%87%E4%BB%B6%E8%A7%84%E5%AE%9A%E7%9A%84%E6%A0%BC%E5%BC%8F%E5%92%8C%E9%A1%BA%E5%BA%8F%E7%BC%96%E5%88%B6%E7%94%B5%E5%AD%90%E6%8A%95%E6%A0%87%E6%96%87%E4%BB%B6%E5%B9%B6%E8%BF%9B%E8%A1%8C%E5%85%B3%E8%81%94%E5%AE%9A" \t "_blank" </w:instrText>
      </w:r>
      <w:r>
        <w:rPr>
          <w:color w:val="auto"/>
          <w:highlight w:val="none"/>
        </w:rPr>
        <w:fldChar w:fldCharType="separate"/>
      </w:r>
      <w:r>
        <w:rPr>
          <w:rFonts w:hint="eastAsia" w:ascii="微软雅黑" w:hAnsi="微软雅黑"/>
          <w:b/>
          <w:bCs/>
          <w:color w:val="auto"/>
          <w:szCs w:val="21"/>
          <w:highlight w:val="none"/>
        </w:rPr>
        <w:t>https://edu.zcygov.cn/luban/e-biding</w:t>
      </w:r>
      <w:r>
        <w:rPr>
          <w:rFonts w:hint="eastAsia" w:ascii="微软雅黑" w:hAnsi="微软雅黑"/>
          <w:b/>
          <w:bCs/>
          <w:color w:val="auto"/>
          <w:szCs w:val="21"/>
          <w:highlight w:val="none"/>
        </w:rPr>
        <w:fldChar w:fldCharType="end"/>
      </w:r>
    </w:p>
    <w:p w14:paraId="090E8672">
      <w:pPr>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总体要求：</w:t>
      </w:r>
    </w:p>
    <w:p w14:paraId="2BA93C1D">
      <w:pPr>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1.供应商应仔细阅读招标文件的所有内容，按本文件的要求提供投标文件，并保证所提供的全部资料的真实性，以使其投标文件对招标文件作出实质性响应，否则，投标文件可能视为无效投标文件。 </w:t>
      </w:r>
    </w:p>
    <w:p w14:paraId="28DEB830">
      <w:pPr>
        <w:ind w:firstLine="420"/>
        <w:rPr>
          <w:rFonts w:hint="eastAsia" w:ascii="微软雅黑" w:hAnsi="微软雅黑"/>
          <w:color w:val="auto"/>
          <w:szCs w:val="21"/>
          <w:highlight w:val="none"/>
        </w:rPr>
      </w:pPr>
      <w:r>
        <w:rPr>
          <w:rFonts w:hint="eastAsia" w:ascii="微软雅黑" w:hAnsi="微软雅黑"/>
          <w:color w:val="auto"/>
          <w:szCs w:val="21"/>
          <w:highlight w:val="none"/>
        </w:rPr>
        <w:t>2.投标文件及供应商与采购有关的来往通知，函件和文件均应使用中文。</w:t>
      </w:r>
    </w:p>
    <w:p w14:paraId="4418492B">
      <w:pPr>
        <w:ind w:firstLine="420"/>
        <w:rPr>
          <w:rFonts w:hint="eastAsia" w:ascii="微软雅黑" w:hAnsi="微软雅黑"/>
          <w:b/>
          <w:color w:val="auto"/>
          <w:szCs w:val="21"/>
          <w:highlight w:val="none"/>
          <w:u w:val="single"/>
        </w:rPr>
      </w:pPr>
      <w:r>
        <w:rPr>
          <w:rFonts w:hint="eastAsia" w:ascii="微软雅黑" w:hAnsi="微软雅黑"/>
          <w:color w:val="auto"/>
          <w:szCs w:val="21"/>
          <w:highlight w:val="none"/>
        </w:rPr>
        <w:t>3.供应商应按本文件中提供的文件格式、内容和要求制作投标文件</w:t>
      </w:r>
      <w:r>
        <w:rPr>
          <w:rFonts w:hint="eastAsia" w:ascii="微软雅黑" w:hAnsi="微软雅黑"/>
          <w:b/>
          <w:color w:val="auto"/>
          <w:szCs w:val="21"/>
          <w:highlight w:val="none"/>
        </w:rPr>
        <w:t>。</w:t>
      </w:r>
    </w:p>
    <w:p w14:paraId="422C3B34">
      <w:pPr>
        <w:pStyle w:val="7"/>
        <w:ind w:firstLine="420"/>
        <w:rPr>
          <w:rFonts w:hint="eastAsia" w:ascii="微软雅黑" w:hAnsi="微软雅黑"/>
          <w:color w:val="auto"/>
          <w:szCs w:val="21"/>
          <w:highlight w:val="none"/>
        </w:rPr>
      </w:pPr>
      <w:bookmarkStart w:id="67" w:name="_Toc169015122"/>
      <w:bookmarkStart w:id="68" w:name="_Toc164943198"/>
      <w:r>
        <w:rPr>
          <w:rFonts w:hint="eastAsia" w:ascii="微软雅黑" w:hAnsi="微软雅黑"/>
          <w:color w:val="auto"/>
          <w:szCs w:val="21"/>
          <w:highlight w:val="none"/>
        </w:rPr>
        <w:t>（一）投标文件的组成</w:t>
      </w:r>
      <w:bookmarkEnd w:id="60"/>
      <w:bookmarkEnd w:id="61"/>
      <w:bookmarkEnd w:id="67"/>
      <w:bookmarkEnd w:id="68"/>
    </w:p>
    <w:p w14:paraId="25A8F58B">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电子投标文件和备份投标文件均由</w:t>
      </w:r>
      <w:r>
        <w:rPr>
          <w:rFonts w:hint="eastAsia" w:ascii="微软雅黑" w:hAnsi="微软雅黑" w:cs="宋体"/>
          <w:color w:val="auto"/>
          <w:szCs w:val="21"/>
          <w:highlight w:val="none"/>
          <w:lang w:val="zh-CN"/>
        </w:rPr>
        <w:t>资格文件、商务技术文件、报价</w:t>
      </w:r>
      <w:r>
        <w:rPr>
          <w:rFonts w:hint="eastAsia" w:ascii="微软雅黑" w:hAnsi="微软雅黑"/>
          <w:color w:val="auto"/>
          <w:szCs w:val="21"/>
          <w:highlight w:val="none"/>
        </w:rPr>
        <w:t>文件三部分组成。投标文件中所须加盖公章部分均采用CA签章。</w:t>
      </w:r>
    </w:p>
    <w:bookmarkEnd w:id="62"/>
    <w:bookmarkEnd w:id="63"/>
    <w:bookmarkEnd w:id="64"/>
    <w:p w14:paraId="78D2DC63">
      <w:pPr>
        <w:snapToGrid w:val="0"/>
        <w:ind w:firstLine="412" w:firstLineChars="196"/>
        <w:outlineLvl w:val="2"/>
        <w:rPr>
          <w:rFonts w:hint="eastAsia" w:ascii="微软雅黑" w:hAnsi="微软雅黑"/>
          <w:b/>
          <w:color w:val="auto"/>
          <w:szCs w:val="21"/>
          <w:highlight w:val="none"/>
        </w:rPr>
      </w:pPr>
      <w:bookmarkStart w:id="69" w:name="_Toc164943199"/>
      <w:bookmarkStart w:id="70" w:name="_Toc169015123"/>
      <w:r>
        <w:rPr>
          <w:rFonts w:hint="eastAsia" w:ascii="微软雅黑" w:hAnsi="微软雅黑"/>
          <w:b/>
          <w:color w:val="auto"/>
          <w:szCs w:val="21"/>
          <w:highlight w:val="none"/>
        </w:rPr>
        <w:t>（二）</w:t>
      </w:r>
      <w:r>
        <w:rPr>
          <w:rFonts w:hint="eastAsia" w:ascii="微软雅黑" w:hAnsi="微软雅黑" w:cs="宋体"/>
          <w:b/>
          <w:bCs/>
          <w:color w:val="auto"/>
          <w:szCs w:val="21"/>
          <w:highlight w:val="none"/>
        </w:rPr>
        <w:t>投标文件的编制</w:t>
      </w:r>
      <w:bookmarkEnd w:id="69"/>
      <w:bookmarkEnd w:id="70"/>
    </w:p>
    <w:p w14:paraId="34AB1FCA">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lang w:val="zh-CN"/>
        </w:rPr>
        <w:t>1</w:t>
      </w:r>
      <w:r>
        <w:rPr>
          <w:rFonts w:hint="eastAsia" w:ascii="微软雅黑" w:hAnsi="微软雅黑" w:cs="宋体"/>
          <w:color w:val="auto"/>
          <w:szCs w:val="21"/>
          <w:highlight w:val="none"/>
        </w:rPr>
        <w:t>.</w:t>
      </w:r>
      <w:r>
        <w:rPr>
          <w:rFonts w:hint="eastAsia" w:ascii="微软雅黑" w:hAnsi="微软雅黑" w:cs="宋体"/>
          <w:color w:val="auto"/>
          <w:szCs w:val="21"/>
          <w:highlight w:val="none"/>
          <w:lang w:val="zh-CN"/>
        </w:rPr>
        <w:t>投标文件分为资格文件、商务技术文件、报价文件三部分。各投标供应商在编制投标文件时请按照招标文件规定的格式进行，混乱的编排导致投标文件被误读或评标委员会查找不到有效文件是投标供应商的风险。</w:t>
      </w:r>
    </w:p>
    <w:p w14:paraId="4C91AE4C">
      <w:pPr>
        <w:snapToGrid w:val="0"/>
        <w:ind w:firstLine="420"/>
        <w:rPr>
          <w:rFonts w:hint="eastAsia" w:ascii="微软雅黑" w:hAnsi="微软雅黑" w:cs="宋体"/>
          <w:color w:val="auto"/>
          <w:szCs w:val="21"/>
          <w:highlight w:val="none"/>
          <w:lang w:val="zh-CN"/>
        </w:rPr>
      </w:pPr>
      <w:r>
        <w:rPr>
          <w:rFonts w:hint="eastAsia" w:ascii="微软雅黑" w:hAnsi="微软雅黑" w:cs="宋体"/>
          <w:color w:val="auto"/>
          <w:szCs w:val="21"/>
          <w:highlight w:val="none"/>
          <w:lang w:val="zh-CN"/>
        </w:rPr>
        <w:t>2</w:t>
      </w:r>
      <w:r>
        <w:rPr>
          <w:rFonts w:hint="eastAsia" w:ascii="微软雅黑" w:hAnsi="微软雅黑" w:cs="宋体"/>
          <w:color w:val="auto"/>
          <w:szCs w:val="21"/>
          <w:highlight w:val="none"/>
        </w:rPr>
        <w:t>.</w:t>
      </w:r>
      <w:r>
        <w:rPr>
          <w:rFonts w:hint="eastAsia" w:ascii="微软雅黑" w:hAnsi="微软雅黑" w:cs="宋体"/>
          <w:color w:val="auto"/>
          <w:szCs w:val="21"/>
          <w:highlight w:val="none"/>
          <w:lang w:val="zh-CN"/>
        </w:rPr>
        <w:t>投标供应商进行电子投标应安装客户端软件—“政采云电子交易客户端”，并按照招标文件和电子交易平台的要求编制并加密投标文件。投标供应商未按规定加密的投标文件，电子交易平台将拒收并提示。</w:t>
      </w:r>
    </w:p>
    <w:p w14:paraId="528D5277">
      <w:pPr>
        <w:snapToGrid w:val="0"/>
        <w:ind w:firstLine="420"/>
        <w:rPr>
          <w:rFonts w:hint="eastAsia" w:ascii="微软雅黑" w:hAnsi="微软雅黑" w:cs="宋体"/>
          <w:color w:val="auto"/>
          <w:szCs w:val="21"/>
          <w:highlight w:val="none"/>
          <w:lang w:val="zh-CN"/>
        </w:rPr>
      </w:pPr>
      <w:r>
        <w:rPr>
          <w:rFonts w:hint="eastAsia" w:ascii="微软雅黑" w:hAnsi="微软雅黑" w:cs="宋体"/>
          <w:color w:val="auto"/>
          <w:szCs w:val="21"/>
          <w:highlight w:val="none"/>
          <w:lang w:val="zh-CN"/>
        </w:rPr>
        <w:t>3</w:t>
      </w:r>
      <w:r>
        <w:rPr>
          <w:rFonts w:hint="eastAsia" w:ascii="微软雅黑" w:hAnsi="微软雅黑" w:cs="宋体"/>
          <w:color w:val="auto"/>
          <w:szCs w:val="21"/>
          <w:highlight w:val="none"/>
        </w:rPr>
        <w:t>.</w:t>
      </w:r>
      <w:r>
        <w:rPr>
          <w:rFonts w:hint="eastAsia" w:ascii="微软雅黑" w:hAnsi="微软雅黑" w:cs="宋体"/>
          <w:color w:val="auto"/>
          <w:szCs w:val="21"/>
          <w:highlight w:val="none"/>
          <w:lang w:val="zh-CN"/>
        </w:rPr>
        <w:t>使用“政采云电子交易客户端”需要提前申领CA数字证书，申领流程请自行前往“浙江政府采购网-下载专区-电子交易客户端-CA驱动和申领流程”进行查阅。</w:t>
      </w:r>
    </w:p>
    <w:p w14:paraId="64E89027">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4.投标文件按照招标文件要求进行签署、盖章。</w:t>
      </w:r>
    </w:p>
    <w:p w14:paraId="3D66490B">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5.为确保网上操作合法、有效和安全，投标供应商应当在投标截止时间前完成在“政府采购云平台”的身份认证，确保在电子投标过程中能够对相关数据电文进行加密和使用电子签名。</w:t>
      </w:r>
    </w:p>
    <w:p w14:paraId="7ED4B73C">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6.招标文件对投标文件签署、盖章的要求适用于电子签名。</w:t>
      </w:r>
    </w:p>
    <w:p w14:paraId="1A0583FF">
      <w:pPr>
        <w:snapToGrid w:val="0"/>
        <w:ind w:firstLine="412" w:firstLineChars="196"/>
        <w:outlineLvl w:val="2"/>
        <w:rPr>
          <w:rFonts w:hint="eastAsia" w:ascii="微软雅黑" w:hAnsi="微软雅黑"/>
          <w:b/>
          <w:color w:val="auto"/>
          <w:szCs w:val="21"/>
          <w:highlight w:val="none"/>
        </w:rPr>
      </w:pPr>
      <w:bookmarkStart w:id="71" w:name="_Toc164943200"/>
      <w:bookmarkStart w:id="72" w:name="_Toc406402990"/>
      <w:bookmarkStart w:id="73" w:name="_Toc169015124"/>
      <w:bookmarkStart w:id="74" w:name="_Toc385854146"/>
      <w:bookmarkStart w:id="75" w:name="_Toc402963117"/>
      <w:bookmarkStart w:id="76" w:name="_Toc385854100"/>
      <w:bookmarkStart w:id="77" w:name="_Toc406402946"/>
      <w:bookmarkStart w:id="78" w:name="_Toc402963084"/>
      <w:bookmarkStart w:id="79" w:name="_Toc532218227"/>
      <w:r>
        <w:rPr>
          <w:rFonts w:hint="eastAsia" w:ascii="微软雅黑" w:hAnsi="微软雅黑"/>
          <w:b/>
          <w:color w:val="auto"/>
          <w:szCs w:val="21"/>
          <w:highlight w:val="none"/>
        </w:rPr>
        <w:t>（三）投标文件的语言及计量</w:t>
      </w:r>
      <w:bookmarkEnd w:id="71"/>
      <w:bookmarkEnd w:id="72"/>
      <w:bookmarkEnd w:id="73"/>
      <w:bookmarkEnd w:id="74"/>
      <w:bookmarkEnd w:id="75"/>
      <w:bookmarkEnd w:id="76"/>
      <w:bookmarkEnd w:id="77"/>
      <w:bookmarkEnd w:id="78"/>
      <w:bookmarkEnd w:id="79"/>
    </w:p>
    <w:p w14:paraId="7FECE9F0">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1.投标文件以及投标方与采购人就有关投标事宜的所有来往函电，均应以中文汉语书写。除签名、盖章、专用名称等特殊情形外，以中文汉语以外的文字表述的投标文件视同未提供。</w:t>
      </w:r>
    </w:p>
    <w:p w14:paraId="2F2A6C68">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2.投标计量单位，招标文件已有明确规定的，使用招标文件规定的计量单位；招标文件没有规定的，应采用中华人民共和国法定计量单位（货币单位：人民币元），否则视同未响应。</w:t>
      </w:r>
    </w:p>
    <w:p w14:paraId="1F6543F4">
      <w:pPr>
        <w:pStyle w:val="293"/>
        <w:spacing w:before="0"/>
        <w:ind w:firstLine="420"/>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（四）投标文件的提交、补充、修改、撤回</w:t>
      </w:r>
    </w:p>
    <w:p w14:paraId="071C45FD">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B75CA1">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2.电子交易平台收到投标文件，将妥善保存并即时向供应商发出确认回执通知。在投标截止时间前，除供应商补充、修改或者撤回投标文件外，任何单位和个人不得解密或提取投标文件。</w:t>
      </w:r>
    </w:p>
    <w:p w14:paraId="7207AE40">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3.采购人、采购机构可以视情况延长投标文件提交的截止时间。在上述情况下，采购机构与投标供应商以前在投标截止期方面的全部权利、责任和义务，将适用于延长至新的投标截止期。</w:t>
      </w:r>
    </w:p>
    <w:p w14:paraId="3AC409DA">
      <w:pPr>
        <w:snapToGrid w:val="0"/>
        <w:ind w:firstLine="412" w:firstLineChars="196"/>
        <w:outlineLvl w:val="2"/>
        <w:rPr>
          <w:rFonts w:hint="eastAsia" w:ascii="微软雅黑" w:hAnsi="微软雅黑"/>
          <w:b/>
          <w:color w:val="auto"/>
          <w:szCs w:val="21"/>
          <w:highlight w:val="none"/>
        </w:rPr>
      </w:pPr>
      <w:bookmarkStart w:id="80" w:name="_Toc402963085"/>
      <w:bookmarkStart w:id="81" w:name="_Toc164943201"/>
      <w:bookmarkStart w:id="82" w:name="_Toc385854147"/>
      <w:bookmarkStart w:id="83" w:name="_Toc532218228"/>
      <w:bookmarkStart w:id="84" w:name="_Toc402963118"/>
      <w:bookmarkStart w:id="85" w:name="_Toc385854101"/>
      <w:bookmarkStart w:id="86" w:name="_Toc406402947"/>
      <w:bookmarkStart w:id="87" w:name="_Toc406402991"/>
      <w:bookmarkStart w:id="88" w:name="_Toc169015125"/>
      <w:r>
        <w:rPr>
          <w:rFonts w:hint="eastAsia" w:ascii="微软雅黑" w:hAnsi="微软雅黑"/>
          <w:b/>
          <w:color w:val="auto"/>
          <w:szCs w:val="21"/>
          <w:highlight w:val="none"/>
        </w:rPr>
        <w:t>（五）投标报价</w:t>
      </w:r>
      <w:bookmarkEnd w:id="80"/>
      <w:bookmarkEnd w:id="81"/>
      <w:bookmarkEnd w:id="82"/>
      <w:bookmarkEnd w:id="83"/>
      <w:bookmarkEnd w:id="84"/>
      <w:bookmarkEnd w:id="85"/>
      <w:bookmarkEnd w:id="86"/>
      <w:bookmarkEnd w:id="87"/>
      <w:bookmarkEnd w:id="88"/>
    </w:p>
    <w:p w14:paraId="2D792AB6">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1.投标报价应按招标文件中相关附表格式填写。</w:t>
      </w:r>
    </w:p>
    <w:p w14:paraId="41DE42B8">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2.投标报价是履行合同的最终价格，有关本项目实施所涉及的一切费用均计入报价;</w:t>
      </w:r>
    </w:p>
    <w:p w14:paraId="2F6005A9">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3.投标文件只允许有一个报价，有选择的报价将不予接受。</w:t>
      </w:r>
    </w:p>
    <w:p w14:paraId="54037686">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4.采购人将以合同形式有偿取得货物或服务,不接受投标人给予的赠品、回扣或者与采购无关的其他商品、服务。</w:t>
      </w:r>
    </w:p>
    <w:p w14:paraId="316BB437">
      <w:pPr>
        <w:tabs>
          <w:tab w:val="left" w:pos="525"/>
        </w:tabs>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5.投标文件只允许有一个报价，有选择的或有条件的报价将不予接受。</w:t>
      </w:r>
    </w:p>
    <w:p w14:paraId="2EBD4DC1">
      <w:pPr>
        <w:snapToGrid w:val="0"/>
        <w:ind w:firstLine="412" w:firstLineChars="196"/>
        <w:outlineLvl w:val="2"/>
        <w:rPr>
          <w:rFonts w:hint="eastAsia" w:ascii="微软雅黑" w:hAnsi="微软雅黑"/>
          <w:b/>
          <w:color w:val="auto"/>
          <w:szCs w:val="21"/>
          <w:highlight w:val="none"/>
        </w:rPr>
      </w:pPr>
      <w:bookmarkStart w:id="89" w:name="_Toc169015126"/>
      <w:bookmarkStart w:id="90" w:name="_Toc164943202"/>
      <w:r>
        <w:rPr>
          <w:rFonts w:hint="eastAsia" w:ascii="微软雅黑" w:hAnsi="微软雅黑"/>
          <w:b/>
          <w:color w:val="auto"/>
          <w:szCs w:val="21"/>
          <w:highlight w:val="none"/>
        </w:rPr>
        <w:t>（六）投标文件的有效期</w:t>
      </w:r>
      <w:bookmarkEnd w:id="89"/>
      <w:bookmarkEnd w:id="90"/>
    </w:p>
    <w:p w14:paraId="3DF4F157">
      <w:pPr>
        <w:pStyle w:val="16"/>
        <w:numPr>
          <w:ilvl w:val="0"/>
          <w:numId w:val="0"/>
        </w:numPr>
        <w:tabs>
          <w:tab w:val="left" w:pos="360"/>
        </w:tabs>
        <w:snapToGrid w:val="0"/>
        <w:spacing w:after="120"/>
        <w:ind w:left="420" w:leftChars="200"/>
        <w:rPr>
          <w:rFonts w:hint="eastAsia" w:ascii="微软雅黑" w:hAnsi="微软雅黑"/>
          <w:color w:val="auto"/>
          <w:sz w:val="21"/>
          <w:szCs w:val="21"/>
          <w:highlight w:val="none"/>
        </w:rPr>
      </w:pPr>
      <w:r>
        <w:rPr>
          <w:rFonts w:hint="eastAsia" w:ascii="微软雅黑" w:hAnsi="微软雅黑"/>
          <w:color w:val="auto"/>
          <w:sz w:val="21"/>
          <w:szCs w:val="21"/>
          <w:highlight w:val="none"/>
        </w:rPr>
        <w:t>1.自投标截止日起</w:t>
      </w:r>
      <w:r>
        <w:rPr>
          <w:rFonts w:hint="eastAsia" w:ascii="微软雅黑" w:hAnsi="微软雅黑"/>
          <w:color w:val="auto"/>
          <w:sz w:val="21"/>
          <w:szCs w:val="21"/>
          <w:highlight w:val="none"/>
          <w:u w:val="single"/>
        </w:rPr>
        <w:t>90</w:t>
      </w:r>
      <w:r>
        <w:rPr>
          <w:rFonts w:hint="eastAsia" w:ascii="微软雅黑" w:hAnsi="微软雅黑"/>
          <w:color w:val="auto"/>
          <w:sz w:val="21"/>
          <w:szCs w:val="21"/>
          <w:highlight w:val="none"/>
        </w:rPr>
        <w:t>天投标文件应保持有效。有效期不足的投标文件将被拒绝。</w:t>
      </w:r>
    </w:p>
    <w:p w14:paraId="605CD8BD">
      <w:pPr>
        <w:pStyle w:val="16"/>
        <w:numPr>
          <w:ilvl w:val="0"/>
          <w:numId w:val="0"/>
        </w:numPr>
        <w:tabs>
          <w:tab w:val="left" w:pos="360"/>
        </w:tabs>
        <w:snapToGrid w:val="0"/>
        <w:spacing w:after="120"/>
        <w:ind w:firstLine="420" w:firstLineChars="200"/>
        <w:rPr>
          <w:rFonts w:hint="eastAsia" w:ascii="微软雅黑" w:hAnsi="微软雅黑"/>
          <w:color w:val="auto"/>
          <w:sz w:val="21"/>
          <w:szCs w:val="21"/>
          <w:highlight w:val="none"/>
        </w:rPr>
      </w:pPr>
      <w:r>
        <w:rPr>
          <w:rFonts w:hint="eastAsia" w:ascii="微软雅黑" w:hAnsi="微软雅黑"/>
          <w:color w:val="auto"/>
          <w:sz w:val="21"/>
          <w:szCs w:val="21"/>
          <w:highlight w:val="none"/>
        </w:rPr>
        <w:t>2.在特殊情况下，采购人可与投标供应商协商延长投标书的有效期，这种要求和答复均以书面形式进行。</w:t>
      </w:r>
    </w:p>
    <w:p w14:paraId="5B5BAA64">
      <w:pPr>
        <w:pStyle w:val="16"/>
        <w:numPr>
          <w:ilvl w:val="0"/>
          <w:numId w:val="0"/>
        </w:numPr>
        <w:tabs>
          <w:tab w:val="left" w:pos="360"/>
        </w:tabs>
        <w:snapToGrid w:val="0"/>
        <w:spacing w:after="120"/>
        <w:ind w:firstLine="420" w:firstLineChars="200"/>
        <w:rPr>
          <w:rFonts w:hint="eastAsia" w:ascii="微软雅黑" w:hAnsi="微软雅黑"/>
          <w:color w:val="auto"/>
          <w:sz w:val="21"/>
          <w:szCs w:val="21"/>
          <w:highlight w:val="none"/>
        </w:rPr>
      </w:pPr>
      <w:bookmarkStart w:id="91" w:name="_Toc385854149"/>
      <w:bookmarkStart w:id="92" w:name="_Toc402963087"/>
      <w:bookmarkStart w:id="93" w:name="_Toc406402949"/>
      <w:bookmarkStart w:id="94" w:name="_Toc402963120"/>
      <w:bookmarkStart w:id="95" w:name="_Toc532218229"/>
      <w:bookmarkStart w:id="96" w:name="_Toc406402993"/>
      <w:bookmarkStart w:id="97" w:name="_Toc385854103"/>
      <w:r>
        <w:rPr>
          <w:rFonts w:hint="eastAsia" w:ascii="微软雅黑" w:hAnsi="微软雅黑"/>
          <w:color w:val="auto"/>
          <w:sz w:val="21"/>
          <w:szCs w:val="21"/>
          <w:highlight w:val="none"/>
        </w:rPr>
        <w:t>3.中标供应商的投标文件自开标之日起至合同履行完毕止均应保持有效。</w:t>
      </w:r>
      <w:bookmarkEnd w:id="91"/>
      <w:bookmarkEnd w:id="92"/>
      <w:bookmarkEnd w:id="93"/>
      <w:bookmarkEnd w:id="94"/>
      <w:bookmarkEnd w:id="95"/>
      <w:bookmarkEnd w:id="96"/>
      <w:bookmarkEnd w:id="97"/>
    </w:p>
    <w:p w14:paraId="71618F3F">
      <w:pPr>
        <w:pStyle w:val="293"/>
        <w:spacing w:before="0"/>
        <w:ind w:firstLine="420"/>
        <w:rPr>
          <w:rFonts w:hint="eastAsia" w:ascii="微软雅黑" w:hAnsi="微软雅黑" w:eastAsia="微软雅黑"/>
          <w:color w:val="auto"/>
          <w:sz w:val="21"/>
          <w:szCs w:val="21"/>
          <w:highlight w:val="none"/>
        </w:rPr>
      </w:pPr>
      <w:r>
        <w:rPr>
          <w:rFonts w:hint="eastAsia" w:ascii="微软雅黑" w:hAnsi="微软雅黑" w:eastAsia="微软雅黑" w:cs="Times New Roman"/>
          <w:color w:val="auto"/>
          <w:sz w:val="21"/>
          <w:szCs w:val="21"/>
          <w:highlight w:val="none"/>
        </w:rPr>
        <w:t>4.在原定投标有效期满之前，如果出现特殊情况，采购机构可以以书面形式通知投标供应商延长投标有效期。投标供应商同意延长的，不得要求或被允许修改其投标文件，投标供应商拒绝延长的，其投标无效。</w:t>
      </w:r>
    </w:p>
    <w:p w14:paraId="17C45A8B">
      <w:pPr>
        <w:snapToGrid w:val="0"/>
        <w:ind w:firstLine="420"/>
        <w:outlineLvl w:val="2"/>
        <w:rPr>
          <w:rFonts w:hint="eastAsia" w:ascii="微软雅黑" w:hAnsi="微软雅黑"/>
          <w:b/>
          <w:color w:val="auto"/>
          <w:szCs w:val="21"/>
          <w:highlight w:val="none"/>
        </w:rPr>
      </w:pPr>
      <w:bookmarkStart w:id="98" w:name="_Toc169015127"/>
      <w:bookmarkStart w:id="99" w:name="_Toc164943203"/>
      <w:r>
        <w:rPr>
          <w:rFonts w:hint="eastAsia" w:ascii="微软雅黑" w:hAnsi="微软雅黑"/>
          <w:b/>
          <w:color w:val="auto"/>
          <w:szCs w:val="21"/>
          <w:highlight w:val="none"/>
        </w:rPr>
        <w:t>（七）投标无效的情形</w:t>
      </w:r>
      <w:bookmarkEnd w:id="98"/>
      <w:bookmarkEnd w:id="99"/>
    </w:p>
    <w:p w14:paraId="518479AB">
      <w:pPr>
        <w:snapToGrid w:val="0"/>
        <w:spacing w:line="48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1.电子投标文件解密失败的，且未在规定时间内提交有效备份投标文件的。电子投标文件解密失败，虽然在规定时间内提交了备份投标文件，但是备份投标文件无法导入或者无法读取或者不符合本招标文件和电子交易平台要求的。</w:t>
      </w:r>
    </w:p>
    <w:p w14:paraId="2D18A485">
      <w:pPr>
        <w:snapToGrid w:val="0"/>
        <w:spacing w:line="48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2.仅提交备份投标文件，没有在电子交易平台传输递交投标文件的。</w:t>
      </w:r>
    </w:p>
    <w:p w14:paraId="68352C00">
      <w:pPr>
        <w:snapToGrid w:val="0"/>
        <w:spacing w:line="48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3.没有通过资格审查的，投标文件将被视为无效。</w:t>
      </w:r>
    </w:p>
    <w:p w14:paraId="10ED6186">
      <w:pPr>
        <w:snapToGrid w:val="0"/>
        <w:spacing w:line="48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4.在符合性审查和商务评审时，如发现下列情形之一的，投标文件将被视为无效：</w:t>
      </w:r>
    </w:p>
    <w:p w14:paraId="06CBA9BE">
      <w:pPr>
        <w:snapToGrid w:val="0"/>
        <w:spacing w:line="480" w:lineRule="exact"/>
        <w:ind w:firstLine="411" w:firstLineChars="196"/>
        <w:rPr>
          <w:rFonts w:hint="eastAsia" w:ascii="微软雅黑" w:hAnsi="微软雅黑"/>
          <w:color w:val="auto"/>
          <w:szCs w:val="21"/>
          <w:highlight w:val="none"/>
        </w:rPr>
      </w:pPr>
      <w:r>
        <w:rPr>
          <w:rFonts w:hint="eastAsia" w:ascii="微软雅黑" w:hAnsi="微软雅黑"/>
          <w:bCs/>
          <w:color w:val="auto"/>
          <w:szCs w:val="21"/>
          <w:highlight w:val="none"/>
        </w:rPr>
        <w:t>4.1</w:t>
      </w:r>
      <w:r>
        <w:rPr>
          <w:rFonts w:hint="eastAsia" w:ascii="微软雅黑" w:hAnsi="微软雅黑"/>
          <w:color w:val="auto"/>
          <w:szCs w:val="21"/>
          <w:highlight w:val="none"/>
        </w:rPr>
        <w:t>电子投标文件未按规定要求提供电子签章的。</w:t>
      </w:r>
    </w:p>
    <w:p w14:paraId="36828995">
      <w:pPr>
        <w:snapToGrid w:val="0"/>
        <w:spacing w:line="480" w:lineRule="exact"/>
        <w:ind w:firstLine="420"/>
        <w:rPr>
          <w:rFonts w:hint="eastAsia" w:ascii="微软雅黑" w:hAnsi="微软雅黑"/>
          <w:bCs/>
          <w:color w:val="auto"/>
          <w:szCs w:val="21"/>
          <w:highlight w:val="none"/>
        </w:rPr>
      </w:pPr>
      <w:r>
        <w:rPr>
          <w:rFonts w:hint="eastAsia" w:ascii="微软雅黑" w:hAnsi="微软雅黑"/>
          <w:color w:val="auto"/>
          <w:szCs w:val="21"/>
          <w:highlight w:val="none"/>
        </w:rPr>
        <w:t>4.2</w:t>
      </w:r>
      <w:r>
        <w:rPr>
          <w:rFonts w:hint="eastAsia" w:ascii="微软雅黑" w:hAnsi="微软雅黑"/>
          <w:bCs/>
          <w:color w:val="auto"/>
          <w:szCs w:val="21"/>
          <w:highlight w:val="none"/>
        </w:rPr>
        <w:t>在资信商务技术文件中出现报价的。</w:t>
      </w:r>
    </w:p>
    <w:p w14:paraId="68524416">
      <w:pPr>
        <w:snapToGrid w:val="0"/>
        <w:spacing w:line="48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4.3未按要求对资格文件进行承诺，或虚假承诺的。</w:t>
      </w:r>
    </w:p>
    <w:p w14:paraId="1930A4DA">
      <w:pPr>
        <w:snapToGrid w:val="0"/>
        <w:spacing w:line="480" w:lineRule="exact"/>
        <w:ind w:firstLine="411" w:firstLineChars="196"/>
        <w:rPr>
          <w:rFonts w:hint="eastAsia" w:ascii="微软雅黑" w:hAnsi="微软雅黑"/>
          <w:bCs/>
          <w:color w:val="auto"/>
          <w:kern w:val="0"/>
          <w:szCs w:val="21"/>
          <w:highlight w:val="none"/>
        </w:rPr>
      </w:pPr>
      <w:r>
        <w:rPr>
          <w:rFonts w:hint="eastAsia" w:ascii="微软雅黑" w:hAnsi="微软雅黑"/>
          <w:color w:val="auto"/>
          <w:szCs w:val="21"/>
          <w:highlight w:val="none"/>
        </w:rPr>
        <w:t>4.4未</w:t>
      </w:r>
      <w:r>
        <w:rPr>
          <w:rFonts w:hint="eastAsia" w:ascii="微软雅黑" w:hAnsi="微软雅黑"/>
          <w:bCs/>
          <w:color w:val="auto"/>
          <w:kern w:val="0"/>
          <w:szCs w:val="21"/>
          <w:highlight w:val="none"/>
        </w:rPr>
        <w:t>提供法定代表人（负责人）授权委托书、投标函或者填写项目不齐全的。</w:t>
      </w:r>
    </w:p>
    <w:p w14:paraId="72E46091">
      <w:pPr>
        <w:pStyle w:val="9"/>
        <w:snapToGrid w:val="0"/>
        <w:spacing w:after="120" w:line="480" w:lineRule="exact"/>
        <w:ind w:firstLine="395" w:firstLineChars="196"/>
        <w:rPr>
          <w:rFonts w:hint="eastAsia" w:ascii="微软雅黑" w:hAnsi="微软雅黑"/>
          <w:snapToGrid w:val="0"/>
          <w:color w:val="auto"/>
          <w:sz w:val="21"/>
          <w:szCs w:val="21"/>
          <w:highlight w:val="none"/>
        </w:rPr>
      </w:pPr>
      <w:r>
        <w:rPr>
          <w:rFonts w:hint="eastAsia" w:ascii="微软雅黑" w:hAnsi="微软雅黑"/>
          <w:color w:val="auto"/>
          <w:sz w:val="21"/>
          <w:szCs w:val="21"/>
          <w:highlight w:val="none"/>
        </w:rPr>
        <w:t>4.5投标文件格式不规范、项目不齐全或者内容虚假的。</w:t>
      </w:r>
    </w:p>
    <w:p w14:paraId="782B347F">
      <w:pPr>
        <w:pStyle w:val="9"/>
        <w:snapToGrid w:val="0"/>
        <w:spacing w:after="120" w:line="480" w:lineRule="exact"/>
        <w:ind w:firstLine="395" w:firstLineChars="196"/>
        <w:rPr>
          <w:rFonts w:hint="eastAsia" w:ascii="微软雅黑" w:hAnsi="微软雅黑"/>
          <w:snapToGrid w:val="0"/>
          <w:color w:val="auto"/>
          <w:sz w:val="21"/>
          <w:szCs w:val="21"/>
          <w:highlight w:val="none"/>
        </w:rPr>
      </w:pPr>
      <w:r>
        <w:rPr>
          <w:rFonts w:hint="eastAsia" w:ascii="微软雅黑" w:hAnsi="微软雅黑"/>
          <w:color w:val="auto"/>
          <w:sz w:val="21"/>
          <w:szCs w:val="21"/>
          <w:highlight w:val="none"/>
        </w:rPr>
        <w:t>4.6投标文件的实质性内容未使用中文表述、意思表述不明确、前后矛盾或者使用计量单位不符合招标文件要求的（经评标委员会认定并允许其当场更正的笔误除外）。</w:t>
      </w:r>
    </w:p>
    <w:p w14:paraId="7F7C55FA">
      <w:pPr>
        <w:pStyle w:val="9"/>
        <w:snapToGrid w:val="0"/>
        <w:spacing w:after="120" w:line="480" w:lineRule="exact"/>
        <w:ind w:firstLine="395" w:firstLineChars="196"/>
        <w:rPr>
          <w:rFonts w:hint="eastAsia" w:ascii="微软雅黑" w:hAnsi="微软雅黑"/>
          <w:snapToGrid w:val="0"/>
          <w:color w:val="auto"/>
          <w:sz w:val="21"/>
          <w:szCs w:val="21"/>
          <w:highlight w:val="none"/>
        </w:rPr>
      </w:pPr>
      <w:r>
        <w:rPr>
          <w:rFonts w:hint="eastAsia" w:ascii="微软雅黑" w:hAnsi="微软雅黑"/>
          <w:color w:val="auto"/>
          <w:sz w:val="21"/>
          <w:szCs w:val="21"/>
          <w:highlight w:val="none"/>
        </w:rPr>
        <w:t>4.7</w:t>
      </w:r>
      <w:r>
        <w:rPr>
          <w:rFonts w:hint="eastAsia" w:ascii="微软雅黑" w:hAnsi="微软雅黑"/>
          <w:snapToGrid w:val="0"/>
          <w:color w:val="auto"/>
          <w:sz w:val="21"/>
          <w:szCs w:val="21"/>
          <w:highlight w:val="none"/>
        </w:rPr>
        <w:t>投标有效期、服务承诺等商务条款不能满足招标文件要求的。</w:t>
      </w:r>
    </w:p>
    <w:p w14:paraId="0072D4CF">
      <w:pPr>
        <w:pStyle w:val="9"/>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4.8未实质性响应招标文件要求或者投标文件有采购人不能接受的附加条件的。</w:t>
      </w:r>
    </w:p>
    <w:p w14:paraId="547AC025">
      <w:pPr>
        <w:pStyle w:val="9"/>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4.9不符合本招标文件中的实质性要求条款。</w:t>
      </w:r>
    </w:p>
    <w:p w14:paraId="64D93525">
      <w:pPr>
        <w:pStyle w:val="9"/>
        <w:snapToGrid w:val="0"/>
        <w:spacing w:after="120" w:line="360" w:lineRule="auto"/>
        <w:ind w:firstLine="396" w:firstLineChars="196"/>
        <w:rPr>
          <w:rFonts w:hint="eastAsia" w:ascii="微软雅黑" w:hAnsi="微软雅黑"/>
          <w:b/>
          <w:bCs/>
          <w:color w:val="auto"/>
          <w:sz w:val="21"/>
          <w:szCs w:val="21"/>
          <w:highlight w:val="none"/>
        </w:rPr>
      </w:pPr>
      <w:r>
        <w:rPr>
          <w:rFonts w:hint="eastAsia" w:ascii="微软雅黑" w:hAnsi="微软雅黑"/>
          <w:b/>
          <w:bCs/>
          <w:color w:val="auto"/>
          <w:sz w:val="21"/>
          <w:szCs w:val="21"/>
          <w:highlight w:val="none"/>
        </w:rPr>
        <w:t>5.在技术评审时，如发现下列情形之一的，投标文件将被视为无效：</w:t>
      </w:r>
    </w:p>
    <w:p w14:paraId="14D4D439">
      <w:pPr>
        <w:pStyle w:val="9"/>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5.1未提供或未如实提供投标货物的技术参数，或者投标文件标明的响应或偏离与事实不符或虚假投标的。</w:t>
      </w:r>
    </w:p>
    <w:p w14:paraId="05F4CA33">
      <w:pPr>
        <w:pStyle w:val="9"/>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5.2</w:t>
      </w:r>
      <w:r>
        <w:rPr>
          <w:rFonts w:hint="eastAsia" w:ascii="微软雅黑" w:hAnsi="微软雅黑"/>
          <w:snapToGrid w:val="0"/>
          <w:color w:val="auto"/>
          <w:sz w:val="21"/>
          <w:szCs w:val="21"/>
          <w:highlight w:val="none"/>
        </w:rPr>
        <w:t>明显不符合招标文件要求的规格型号、质量标准，或者与</w:t>
      </w:r>
      <w:r>
        <w:rPr>
          <w:rFonts w:hint="eastAsia" w:ascii="微软雅黑" w:hAnsi="微软雅黑"/>
          <w:color w:val="auto"/>
          <w:sz w:val="21"/>
          <w:szCs w:val="21"/>
          <w:highlight w:val="none"/>
        </w:rPr>
        <w:t>招标文件中标“▲”的技术指标、主要功能项目发生实质性偏离的。</w:t>
      </w:r>
    </w:p>
    <w:p w14:paraId="3A2E54A8">
      <w:pPr>
        <w:pStyle w:val="9"/>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snapToGrid w:val="0"/>
          <w:color w:val="auto"/>
          <w:sz w:val="21"/>
          <w:szCs w:val="21"/>
          <w:highlight w:val="none"/>
        </w:rPr>
        <w:t>5.3</w:t>
      </w:r>
      <w:r>
        <w:rPr>
          <w:rFonts w:hint="eastAsia" w:ascii="微软雅黑" w:hAnsi="微软雅黑"/>
          <w:color w:val="auto"/>
          <w:sz w:val="21"/>
          <w:szCs w:val="21"/>
          <w:highlight w:val="none"/>
        </w:rPr>
        <w:t>投标技术方案不明确，存在一个或一个以上备选（替代）投标方案的。</w:t>
      </w:r>
    </w:p>
    <w:p w14:paraId="0F81C732">
      <w:pPr>
        <w:pStyle w:val="9"/>
        <w:snapToGrid w:val="0"/>
        <w:spacing w:after="120" w:line="480" w:lineRule="exact"/>
        <w:ind w:firstLine="396" w:firstLineChars="196"/>
        <w:rPr>
          <w:rFonts w:hint="eastAsia" w:ascii="微软雅黑" w:hAnsi="微软雅黑"/>
          <w:b/>
          <w:bCs/>
          <w:color w:val="auto"/>
          <w:sz w:val="21"/>
          <w:szCs w:val="21"/>
          <w:highlight w:val="none"/>
        </w:rPr>
      </w:pPr>
      <w:r>
        <w:rPr>
          <w:rFonts w:hint="eastAsia" w:ascii="微软雅黑" w:hAnsi="微软雅黑"/>
          <w:b/>
          <w:bCs/>
          <w:color w:val="auto"/>
          <w:sz w:val="21"/>
          <w:szCs w:val="21"/>
          <w:highlight w:val="none"/>
        </w:rPr>
        <w:t>6.在报价评审时，如发现下列情形之一的，投标文件将被视为无效：</w:t>
      </w:r>
    </w:p>
    <w:p w14:paraId="6C29314F">
      <w:pPr>
        <w:pStyle w:val="9"/>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6.1未按要求提供《开标一览表》。</w:t>
      </w:r>
    </w:p>
    <w:p w14:paraId="35F5E057">
      <w:pPr>
        <w:pStyle w:val="9"/>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6.2未采用人民币报价或者未按照招标文件标明的币种报价的。</w:t>
      </w:r>
    </w:p>
    <w:p w14:paraId="30F4B95E">
      <w:pPr>
        <w:pStyle w:val="9"/>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6.3报价超出最高限价的。</w:t>
      </w:r>
    </w:p>
    <w:p w14:paraId="333EFF86">
      <w:pPr>
        <w:pStyle w:val="9"/>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 xml:space="preserve">6.4投标报价具有选择性，或者开标价格与投标文件承诺的优惠（折扣）价格不一致的。   </w:t>
      </w:r>
    </w:p>
    <w:p w14:paraId="0DC10674">
      <w:pPr>
        <w:ind w:firstLine="404"/>
        <w:rPr>
          <w:rFonts w:hint="eastAsia" w:ascii="微软雅黑" w:hAnsi="微软雅黑"/>
          <w:color w:val="auto"/>
          <w:spacing w:val="-4"/>
          <w:kern w:val="0"/>
          <w:szCs w:val="21"/>
          <w:highlight w:val="none"/>
        </w:rPr>
      </w:pPr>
      <w:r>
        <w:rPr>
          <w:rFonts w:hint="eastAsia" w:ascii="微软雅黑" w:hAnsi="微软雅黑"/>
          <w:color w:val="auto"/>
          <w:spacing w:val="-4"/>
          <w:kern w:val="0"/>
          <w:szCs w:val="21"/>
          <w:highlight w:val="none"/>
        </w:rPr>
        <w:t xml:space="preserve">6.5报价明显低于其他通过符合性审查投标供应商的报价，有可能影响产品质量或者不能诚信履约的，未能按要求提供书面说明或者提交相关证明材料，不能证明其报价合理性的; </w:t>
      </w:r>
    </w:p>
    <w:p w14:paraId="4BF8BE20">
      <w:pPr>
        <w:ind w:firstLine="404"/>
        <w:rPr>
          <w:rFonts w:hint="eastAsia" w:ascii="微软雅黑" w:hAnsi="微软雅黑"/>
          <w:color w:val="auto"/>
          <w:spacing w:val="-4"/>
          <w:kern w:val="0"/>
          <w:szCs w:val="21"/>
          <w:highlight w:val="none"/>
        </w:rPr>
      </w:pPr>
      <w:r>
        <w:rPr>
          <w:rFonts w:hint="eastAsia" w:ascii="微软雅黑" w:hAnsi="微软雅黑"/>
          <w:color w:val="auto"/>
          <w:spacing w:val="-4"/>
          <w:kern w:val="0"/>
          <w:szCs w:val="21"/>
          <w:highlight w:val="none"/>
        </w:rPr>
        <w:t xml:space="preserve">6.6报价一经涂改，应在涂改处加盖单位公章或者由法定代表人（负责人）或被授权人签字（或盖章），否则其投标作无效标处理；   </w:t>
      </w:r>
    </w:p>
    <w:p w14:paraId="1C9BE436">
      <w:pPr>
        <w:ind w:firstLine="420"/>
        <w:rPr>
          <w:rFonts w:ascii="微软雅黑" w:hAnsi="微软雅黑" w:cs="Arial"/>
          <w:color w:val="auto"/>
          <w:kern w:val="0"/>
          <w:szCs w:val="21"/>
          <w:highlight w:val="none"/>
        </w:rPr>
      </w:pPr>
      <w:r>
        <w:rPr>
          <w:rFonts w:hint="eastAsia" w:ascii="微软雅黑" w:hAnsi="微软雅黑"/>
          <w:color w:val="auto"/>
          <w:szCs w:val="21"/>
          <w:highlight w:val="none"/>
        </w:rPr>
        <w:t>7.</w:t>
      </w:r>
      <w:r>
        <w:rPr>
          <w:rFonts w:hint="eastAsia" w:ascii="微软雅黑" w:hAnsi="微软雅黑" w:cs="宋体"/>
          <w:b/>
          <w:bCs/>
          <w:color w:val="auto"/>
          <w:szCs w:val="21"/>
          <w:highlight w:val="none"/>
        </w:rPr>
        <w:t>投标供应商有恶意串通、妨碍其他投标供应商的竞争行为、损害采购人或者其他投标供应商的合法权益情形的，投标文</w:t>
      </w:r>
      <w:r>
        <w:rPr>
          <w:rFonts w:hint="eastAsia" w:ascii="微软雅黑" w:hAnsi="微软雅黑"/>
          <w:b/>
          <w:bCs/>
          <w:color w:val="auto"/>
          <w:szCs w:val="21"/>
          <w:highlight w:val="none"/>
        </w:rPr>
        <w:t>件将被视为无效</w:t>
      </w:r>
      <w:r>
        <w:rPr>
          <w:rFonts w:ascii="微软雅黑" w:hAnsi="微软雅黑" w:cs="Arial"/>
          <w:color w:val="auto"/>
          <w:kern w:val="0"/>
          <w:szCs w:val="21"/>
          <w:highlight w:val="none"/>
        </w:rPr>
        <w:t>；</w:t>
      </w:r>
    </w:p>
    <w:p w14:paraId="46DEE42A">
      <w:pPr>
        <w:pStyle w:val="2"/>
        <w:rPr>
          <w:rFonts w:hint="eastAsia"/>
          <w:color w:val="auto"/>
          <w:highlight w:val="none"/>
          <w:shd w:val="clear" w:color="FFFFFF" w:fill="D9D9D9"/>
        </w:rPr>
      </w:pPr>
      <w:r>
        <w:rPr>
          <w:rFonts w:hint="eastAsia"/>
          <w:color w:val="auto"/>
          <w:highlight w:val="none"/>
          <w:shd w:val="clear" w:color="FFFFFF" w:fill="D9D9D9"/>
        </w:rPr>
        <w:t>除政府采购法律法规规章规定的属于恶意串通、视为串通投标情形外，在不影响公平竞争的前提下，采购人在采购文件中可以明确规定参与同一个采购包（标段）的供应商存在下列情形之一的，其投标（响应）文件无效：(1）不同供应商的电子投标（响应）文件上传计算机的网卡 MAC 地址、 CPU 序列号和硬盘序列号等硬件信息相同的；(2）上传的电子投标（响应）文件若出现使用本项目其他投标（响应）供应商的数字证书加息密的，或者加盖本项目其他投标（响应）供应商的电子印章的；(3）不同供应商的投标（响应）文件的内容存在三处（含）以上错误一致，且无法合理解释的；(4）不同供应商联系人为同一人或不同联系人的联系电话一致，且无法合理解释的。</w:t>
      </w:r>
    </w:p>
    <w:p w14:paraId="106B89B9">
      <w:pPr>
        <w:pStyle w:val="2"/>
        <w:rPr>
          <w:rFonts w:hint="eastAsia"/>
          <w:color w:val="auto"/>
          <w:highlight w:val="none"/>
        </w:rPr>
      </w:pPr>
      <w:r>
        <w:rPr>
          <w:rFonts w:hint="eastAsia"/>
          <w:color w:val="auto"/>
          <w:highlight w:val="none"/>
          <w:shd w:val="clear" w:color="FFFFFF" w:fill="D9D9D9"/>
        </w:rPr>
        <w:t>在资格审查过程中，如发现本系统供应商有采购文件约定的上述情形，采购人、采购代理机构应当根据采购文件认定其投标（响应）无效，并书面报告本级财政部门；在评审过程中，发现供应商有采购文件约定的上述情形的，评审小组应当根据采购文件认定其投标（响应）无效，评审报告应详细记录相关情况，评审结束后由采购代理机构或采购人书面报告本级财政部门。</w:t>
      </w:r>
    </w:p>
    <w:p w14:paraId="66097D9A">
      <w:pPr>
        <w:pStyle w:val="9"/>
        <w:snapToGrid w:val="0"/>
        <w:spacing w:after="120" w:line="480" w:lineRule="exact"/>
        <w:ind w:firstLine="396" w:firstLineChars="196"/>
        <w:rPr>
          <w:rFonts w:hint="eastAsia" w:ascii="微软雅黑" w:hAnsi="微软雅黑"/>
          <w:color w:val="auto"/>
          <w:sz w:val="21"/>
          <w:szCs w:val="21"/>
          <w:highlight w:val="none"/>
        </w:rPr>
      </w:pPr>
      <w:r>
        <w:rPr>
          <w:rFonts w:hint="eastAsia" w:ascii="微软雅黑" w:hAnsi="微软雅黑"/>
          <w:b/>
          <w:bCs/>
          <w:color w:val="auto"/>
          <w:sz w:val="21"/>
          <w:szCs w:val="21"/>
          <w:highlight w:val="none"/>
        </w:rPr>
        <w:t>8.法律、法规、规章（适用本市的）及省级以上规范性文件（适用本市的）规定的其他无效情形。</w:t>
      </w:r>
    </w:p>
    <w:p w14:paraId="4A69CB28">
      <w:pPr>
        <w:pStyle w:val="9"/>
        <w:snapToGrid w:val="0"/>
        <w:spacing w:after="120" w:line="480" w:lineRule="exact"/>
        <w:ind w:firstLine="404"/>
        <w:rPr>
          <w:rFonts w:hint="eastAsia" w:ascii="微软雅黑" w:hAnsi="微软雅黑"/>
          <w:b/>
          <w:color w:val="auto"/>
          <w:sz w:val="21"/>
          <w:szCs w:val="21"/>
          <w:highlight w:val="none"/>
        </w:rPr>
      </w:pPr>
      <w:r>
        <w:rPr>
          <w:rFonts w:hint="eastAsia" w:ascii="微软雅黑" w:hAnsi="微软雅黑"/>
          <w:b/>
          <w:color w:val="auto"/>
          <w:sz w:val="21"/>
          <w:szCs w:val="21"/>
          <w:highlight w:val="none"/>
        </w:rPr>
        <w:t>9.被拒绝的投标文件为无效。</w:t>
      </w:r>
    </w:p>
    <w:p w14:paraId="49012963">
      <w:pPr>
        <w:pStyle w:val="9"/>
        <w:snapToGrid w:val="0"/>
        <w:spacing w:after="120" w:line="480" w:lineRule="exact"/>
        <w:ind w:firstLine="202" w:firstLineChars="100"/>
        <w:rPr>
          <w:rFonts w:hint="eastAsia" w:ascii="微软雅黑" w:hAnsi="微软雅黑"/>
          <w:b/>
          <w:color w:val="auto"/>
          <w:sz w:val="21"/>
          <w:szCs w:val="21"/>
          <w:highlight w:val="none"/>
        </w:rPr>
      </w:pPr>
      <w:r>
        <w:rPr>
          <w:rFonts w:hint="eastAsia" w:ascii="微软雅黑" w:hAnsi="微软雅黑"/>
          <w:b/>
          <w:color w:val="auto"/>
          <w:sz w:val="21"/>
          <w:szCs w:val="21"/>
          <w:highlight w:val="none"/>
        </w:rPr>
        <w:t>（八）废标的情形</w:t>
      </w:r>
    </w:p>
    <w:p w14:paraId="2A279192">
      <w:pPr>
        <w:pStyle w:val="9"/>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根据《中华人民共和国政府采购法》第三十六条之规定，在采购中，出现下列情形之一的，应予废标：</w:t>
      </w:r>
    </w:p>
    <w:p w14:paraId="39D15DB7">
      <w:pPr>
        <w:pStyle w:val="9"/>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1.符合专业条件的供应商或者对招标文件作实质响应的供应商不足3家的；</w:t>
      </w:r>
    </w:p>
    <w:p w14:paraId="3CFD45A5">
      <w:pPr>
        <w:pStyle w:val="9"/>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2.出现影响采购公正的违法、违规行为的；</w:t>
      </w:r>
    </w:p>
    <w:p w14:paraId="7C0CA60B">
      <w:pPr>
        <w:pStyle w:val="9"/>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3.投标供应商的报价均超过了采购预算，采购人不能支付的；</w:t>
      </w:r>
    </w:p>
    <w:p w14:paraId="2E2C1533">
      <w:pPr>
        <w:pStyle w:val="9"/>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4.因重大变故，采购任务取消的。</w:t>
      </w:r>
    </w:p>
    <w:p w14:paraId="25A1BDEE">
      <w:pPr>
        <w:pStyle w:val="9"/>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废标后，采购机构应当将废标理由通知所有投标供应商。</w:t>
      </w:r>
    </w:p>
    <w:p w14:paraId="49192937">
      <w:pPr>
        <w:pStyle w:val="6"/>
        <w:spacing w:line="500" w:lineRule="exact"/>
        <w:ind w:firstLine="420"/>
        <w:rPr>
          <w:rFonts w:hint="eastAsia" w:ascii="微软雅黑" w:hAnsi="微软雅黑"/>
          <w:color w:val="auto"/>
          <w:szCs w:val="21"/>
          <w:highlight w:val="none"/>
        </w:rPr>
      </w:pPr>
      <w:bookmarkStart w:id="100" w:name="_Toc22083"/>
      <w:r>
        <w:rPr>
          <w:rFonts w:hint="eastAsia" w:ascii="微软雅黑" w:hAnsi="微软雅黑"/>
          <w:color w:val="auto"/>
          <w:szCs w:val="21"/>
          <w:highlight w:val="none"/>
        </w:rPr>
        <w:t>四、开标</w:t>
      </w:r>
      <w:bookmarkEnd w:id="65"/>
      <w:bookmarkEnd w:id="100"/>
    </w:p>
    <w:p w14:paraId="0E9296B2">
      <w:pPr>
        <w:pStyle w:val="9"/>
        <w:snapToGrid w:val="0"/>
        <w:spacing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1.本项目实行电子开评标，供应商无需到开标现场，但须准时在线参加，直至评审结束。投标供应商不足3家的，不得开标。</w:t>
      </w:r>
    </w:p>
    <w:p w14:paraId="1B5158FA">
      <w:pPr>
        <w:pStyle w:val="9"/>
        <w:snapToGrid w:val="0"/>
        <w:spacing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2.投标截止时间后的半小时内，由各供应商自行对电子投标文件进行解密请各供应商务必在规定时间内完成电子投标文件的解密工作；开启报价环节，供应商须在15分钟内在系统里CA签字确认。</w:t>
      </w:r>
    </w:p>
    <w:p w14:paraId="32B83535">
      <w:pPr>
        <w:pStyle w:val="9"/>
        <w:snapToGrid w:val="0"/>
        <w:spacing w:line="480" w:lineRule="exact"/>
        <w:ind w:firstLine="395" w:firstLineChars="196"/>
        <w:rPr>
          <w:rFonts w:hint="eastAsia" w:ascii="微软雅黑" w:hAnsi="微软雅黑" w:cs="宋体"/>
          <w:color w:val="auto"/>
          <w:kern w:val="0"/>
          <w:sz w:val="21"/>
          <w:szCs w:val="21"/>
          <w:highlight w:val="none"/>
          <w:shd w:val="pct10" w:color="auto" w:fill="FFFFFF"/>
        </w:rPr>
      </w:pPr>
      <w:r>
        <w:rPr>
          <w:rFonts w:hint="eastAsia" w:ascii="微软雅黑" w:hAnsi="微软雅黑"/>
          <w:color w:val="auto"/>
          <w:sz w:val="21"/>
          <w:szCs w:val="21"/>
          <w:highlight w:val="none"/>
        </w:rPr>
        <w:t>3.投标文件未按时解密，投标供应商提供了备份投标文件的，以备份投标文件作为依据，否则视为投标文件撤回。投标文件已按时解密的，备份投标文件自动失效。</w:t>
      </w:r>
    </w:p>
    <w:p w14:paraId="1DB29F10">
      <w:pPr>
        <w:pStyle w:val="6"/>
        <w:spacing w:line="500" w:lineRule="exact"/>
        <w:ind w:firstLine="420"/>
        <w:rPr>
          <w:rFonts w:hint="eastAsia" w:ascii="微软雅黑" w:hAnsi="微软雅黑"/>
          <w:color w:val="auto"/>
          <w:szCs w:val="21"/>
          <w:highlight w:val="none"/>
        </w:rPr>
      </w:pPr>
      <w:bookmarkStart w:id="101" w:name="_Toc18014"/>
      <w:bookmarkStart w:id="102" w:name="_Toc33535370"/>
      <w:r>
        <w:rPr>
          <w:rFonts w:hint="eastAsia" w:ascii="微软雅黑" w:hAnsi="微软雅黑"/>
          <w:color w:val="auto"/>
          <w:szCs w:val="21"/>
          <w:highlight w:val="none"/>
        </w:rPr>
        <w:t>五、评标</w:t>
      </w:r>
      <w:bookmarkEnd w:id="101"/>
      <w:bookmarkEnd w:id="102"/>
    </w:p>
    <w:p w14:paraId="321A34C6">
      <w:pPr>
        <w:pStyle w:val="29"/>
        <w:snapToGrid w:val="0"/>
        <w:spacing w:before="120" w:after="120"/>
        <w:ind w:left="689" w:leftChars="228" w:hanging="210" w:hangingChars="100"/>
        <w:rPr>
          <w:rFonts w:hint="eastAsia" w:ascii="微软雅黑" w:hAnsi="微软雅黑"/>
          <w:b/>
          <w:color w:val="auto"/>
          <w:szCs w:val="21"/>
          <w:highlight w:val="none"/>
        </w:rPr>
      </w:pPr>
      <w:bookmarkStart w:id="103" w:name="_Toc33535371"/>
      <w:r>
        <w:rPr>
          <w:rFonts w:hint="eastAsia" w:ascii="微软雅黑" w:hAnsi="微软雅黑"/>
          <w:b/>
          <w:color w:val="auto"/>
          <w:szCs w:val="21"/>
          <w:highlight w:val="none"/>
        </w:rPr>
        <w:t>（一）组建评标委员会</w:t>
      </w:r>
    </w:p>
    <w:p w14:paraId="7F8103F7">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评标委员会由采购人代表和评审专家组成，政府采购评审专家</w:t>
      </w:r>
      <w:r>
        <w:rPr>
          <w:rFonts w:hint="eastAsia" w:ascii="微软雅黑" w:hAnsi="微软雅黑"/>
          <w:color w:val="auto"/>
          <w:szCs w:val="21"/>
          <w:highlight w:val="none"/>
          <w:u w:val="single"/>
        </w:rPr>
        <w:t xml:space="preserve"> 4 </w:t>
      </w:r>
      <w:r>
        <w:rPr>
          <w:rFonts w:hint="eastAsia" w:ascii="微软雅黑" w:hAnsi="微软雅黑"/>
          <w:color w:val="auto"/>
          <w:szCs w:val="21"/>
          <w:highlight w:val="none"/>
        </w:rPr>
        <w:t>人和采购人代表</w:t>
      </w:r>
      <w:r>
        <w:rPr>
          <w:rFonts w:hint="eastAsia" w:ascii="微软雅黑" w:hAnsi="微软雅黑"/>
          <w:color w:val="auto"/>
          <w:szCs w:val="21"/>
          <w:highlight w:val="none"/>
          <w:u w:val="single"/>
        </w:rPr>
        <w:t xml:space="preserve"> 1  </w:t>
      </w:r>
      <w:r>
        <w:rPr>
          <w:rFonts w:hint="eastAsia" w:ascii="微软雅黑" w:hAnsi="微软雅黑"/>
          <w:color w:val="auto"/>
          <w:szCs w:val="21"/>
          <w:highlight w:val="none"/>
        </w:rPr>
        <w:t>人，共</w:t>
      </w:r>
      <w:r>
        <w:rPr>
          <w:rFonts w:hint="eastAsia" w:ascii="微软雅黑" w:hAnsi="微软雅黑"/>
          <w:color w:val="auto"/>
          <w:szCs w:val="21"/>
          <w:highlight w:val="none"/>
          <w:u w:val="single"/>
        </w:rPr>
        <w:t xml:space="preserve"> 5 </w:t>
      </w:r>
      <w:r>
        <w:rPr>
          <w:rFonts w:hint="eastAsia" w:ascii="微软雅黑" w:hAnsi="微软雅黑"/>
          <w:color w:val="auto"/>
          <w:szCs w:val="21"/>
          <w:highlight w:val="none"/>
        </w:rPr>
        <w:t>人组成。</w:t>
      </w:r>
    </w:p>
    <w:p w14:paraId="7AB715A9">
      <w:pPr>
        <w:rPr>
          <w:rFonts w:hint="eastAsia"/>
        </w:rPr>
      </w:pPr>
      <w:r>
        <w:rPr>
          <w:rFonts w:hint="eastAsia"/>
        </w:rPr>
        <w:t>评标委员会负责具体评标事务，并独立履行下列职责：</w:t>
      </w:r>
    </w:p>
    <w:p w14:paraId="55C58319">
      <w:pPr>
        <w:rPr>
          <w:rFonts w:hint="eastAsia"/>
        </w:rPr>
      </w:pPr>
      <w:r>
        <w:rPr>
          <w:rFonts w:hint="eastAsia"/>
        </w:rPr>
        <w:t>1.审查、评价投标文件是否符合招标文件的商务、技术等实质性要求。</w:t>
      </w:r>
    </w:p>
    <w:p w14:paraId="73608C38">
      <w:pPr>
        <w:rPr>
          <w:rFonts w:hint="eastAsia"/>
        </w:rPr>
      </w:pPr>
      <w:r>
        <w:rPr>
          <w:rFonts w:hint="eastAsia"/>
        </w:rPr>
        <w:t>2.要求投标供应商对投标文件有关事项做出澄清或者说明。</w:t>
      </w:r>
    </w:p>
    <w:p w14:paraId="232791E4">
      <w:pPr>
        <w:rPr>
          <w:rFonts w:hint="eastAsia"/>
        </w:rPr>
      </w:pPr>
      <w:r>
        <w:rPr>
          <w:rFonts w:hint="eastAsia"/>
        </w:rPr>
        <w:t>3.对投标文件进行比较和评价。</w:t>
      </w:r>
    </w:p>
    <w:p w14:paraId="53537E8A">
      <w:pPr>
        <w:rPr>
          <w:rFonts w:hint="eastAsia"/>
        </w:rPr>
      </w:pPr>
      <w:r>
        <w:rPr>
          <w:rFonts w:hint="eastAsia"/>
        </w:rPr>
        <w:t>4.确定中标供应商名单，以及根据采购人委托直接确定中标供应商。</w:t>
      </w:r>
    </w:p>
    <w:p w14:paraId="7F295FC5">
      <w:pPr>
        <w:rPr>
          <w:rFonts w:hint="eastAsia"/>
        </w:rPr>
      </w:pPr>
      <w:r>
        <w:rPr>
          <w:rFonts w:hint="eastAsia"/>
        </w:rPr>
        <w:t>5.向采购人、代理机构或者有关部门报告评标中发现的违法行为。</w:t>
      </w:r>
    </w:p>
    <w:p w14:paraId="09009981">
      <w:pPr>
        <w:rPr>
          <w:rFonts w:hint="eastAsia"/>
        </w:rPr>
      </w:pPr>
      <w:r>
        <w:rPr>
          <w:rFonts w:hint="eastAsia"/>
        </w:rPr>
        <w:t>除除采购人代表及所派纪检监察人员、评标现场组织人员外，采购人的其他工作人员以及与评标工作无关的人员不得进入评标现场。</w:t>
      </w:r>
    </w:p>
    <w:p w14:paraId="460CA61E">
      <w:pPr>
        <w:pStyle w:val="29"/>
        <w:snapToGrid w:val="0"/>
        <w:spacing w:before="120" w:after="120"/>
        <w:ind w:left="689" w:leftChars="228" w:hanging="210" w:hangingChars="100"/>
        <w:rPr>
          <w:rFonts w:hint="eastAsia" w:ascii="微软雅黑" w:hAnsi="微软雅黑"/>
          <w:b/>
          <w:color w:val="auto"/>
          <w:szCs w:val="21"/>
          <w:highlight w:val="none"/>
        </w:rPr>
      </w:pPr>
      <w:r>
        <w:rPr>
          <w:rFonts w:hint="eastAsia" w:ascii="微软雅黑" w:hAnsi="微软雅黑"/>
          <w:b/>
          <w:color w:val="auto"/>
          <w:szCs w:val="21"/>
          <w:highlight w:val="none"/>
        </w:rPr>
        <w:t>（二）评标的方式</w:t>
      </w:r>
    </w:p>
    <w:p w14:paraId="533BDFC8">
      <w:pPr>
        <w:pStyle w:val="29"/>
        <w:snapToGrid w:val="0"/>
        <w:spacing w:before="120" w:after="120"/>
        <w:ind w:left="689" w:leftChars="228" w:hanging="210" w:hangingChars="100"/>
        <w:rPr>
          <w:rFonts w:hint="eastAsia" w:ascii="微软雅黑" w:hAnsi="微软雅黑"/>
          <w:color w:val="auto"/>
          <w:szCs w:val="21"/>
          <w:highlight w:val="none"/>
        </w:rPr>
      </w:pPr>
      <w:r>
        <w:rPr>
          <w:rFonts w:hint="eastAsia" w:ascii="微软雅黑" w:hAnsi="微软雅黑"/>
          <w:color w:val="auto"/>
          <w:szCs w:val="21"/>
          <w:highlight w:val="none"/>
        </w:rPr>
        <w:t>本项目采用不公开方式评标，评标的依据为招标文件和投标文件。</w:t>
      </w:r>
    </w:p>
    <w:p w14:paraId="7356110E">
      <w:pPr>
        <w:pStyle w:val="29"/>
        <w:snapToGrid w:val="0"/>
        <w:spacing w:before="120" w:after="120"/>
        <w:ind w:left="689" w:leftChars="228" w:hanging="210" w:hangingChars="100"/>
        <w:rPr>
          <w:rFonts w:hint="eastAsia" w:ascii="微软雅黑" w:hAnsi="微软雅黑"/>
          <w:b/>
          <w:bCs/>
          <w:color w:val="auto"/>
          <w:szCs w:val="21"/>
          <w:highlight w:val="none"/>
        </w:rPr>
      </w:pPr>
      <w:r>
        <w:rPr>
          <w:rFonts w:hint="eastAsia" w:ascii="微软雅黑" w:hAnsi="微软雅黑"/>
          <w:b/>
          <w:color w:val="auto"/>
          <w:szCs w:val="21"/>
          <w:highlight w:val="none"/>
        </w:rPr>
        <w:t>（三）</w:t>
      </w:r>
      <w:r>
        <w:rPr>
          <w:rFonts w:hint="eastAsia" w:ascii="微软雅黑" w:hAnsi="微软雅黑"/>
          <w:b/>
          <w:bCs/>
          <w:color w:val="auto"/>
          <w:szCs w:val="21"/>
          <w:highlight w:val="none"/>
        </w:rPr>
        <w:t>评标程序</w:t>
      </w:r>
    </w:p>
    <w:p w14:paraId="66E1F652">
      <w:pPr>
        <w:pStyle w:val="29"/>
        <w:snapToGrid w:val="0"/>
        <w:spacing w:before="120" w:after="120"/>
        <w:ind w:firstLine="420"/>
        <w:rPr>
          <w:rFonts w:hint="eastAsia" w:ascii="微软雅黑" w:hAnsi="微软雅黑"/>
          <w:bCs/>
          <w:color w:val="auto"/>
          <w:szCs w:val="21"/>
          <w:highlight w:val="none"/>
        </w:rPr>
      </w:pPr>
      <w:r>
        <w:rPr>
          <w:rFonts w:hint="eastAsia" w:ascii="微软雅黑" w:hAnsi="微软雅黑"/>
          <w:bCs/>
          <w:color w:val="auto"/>
          <w:szCs w:val="21"/>
          <w:highlight w:val="none"/>
        </w:rPr>
        <w:t>采购人可以在评标前说明项目背景和采购需求，说明内容不得含有歧视性、倾向性意见，不得超出招标文件所述范围。说明应当提交书面材料，并随招标文件一并存档。</w:t>
      </w:r>
    </w:p>
    <w:p w14:paraId="1B6EE845">
      <w:pPr>
        <w:snapToGrid w:val="0"/>
        <w:ind w:firstLine="412" w:firstLineChars="196"/>
        <w:rPr>
          <w:rFonts w:hint="eastAsia" w:ascii="微软雅黑" w:hAnsi="微软雅黑"/>
          <w:b/>
          <w:bCs/>
          <w:color w:val="auto"/>
          <w:szCs w:val="21"/>
          <w:highlight w:val="none"/>
        </w:rPr>
      </w:pPr>
      <w:r>
        <w:rPr>
          <w:rFonts w:hint="eastAsia" w:ascii="微软雅黑" w:hAnsi="微软雅黑"/>
          <w:b/>
          <w:bCs/>
          <w:color w:val="auto"/>
          <w:szCs w:val="21"/>
          <w:highlight w:val="none"/>
        </w:rPr>
        <w:t>1.形式审查</w:t>
      </w:r>
    </w:p>
    <w:p w14:paraId="59D31808">
      <w:pPr>
        <w:snapToGrid w:val="0"/>
        <w:ind w:firstLine="420"/>
        <w:rPr>
          <w:rFonts w:hint="eastAsia" w:ascii="微软雅黑" w:hAnsi="微软雅黑" w:cs="宋体"/>
          <w:bCs/>
          <w:color w:val="auto"/>
          <w:szCs w:val="21"/>
          <w:highlight w:val="none"/>
        </w:rPr>
      </w:pPr>
      <w:r>
        <w:rPr>
          <w:rFonts w:hint="eastAsia" w:ascii="微软雅黑" w:hAnsi="微软雅黑"/>
          <w:bCs/>
          <w:color w:val="auto"/>
          <w:szCs w:val="21"/>
          <w:highlight w:val="none"/>
        </w:rPr>
        <w:t>1.1形式审查包括资格审查（除符合性审查以外的关于投标供应商资格条件等内容）和符合性审查，即对投标供应商的资格和投标文件的完整性、合法性等</w:t>
      </w:r>
      <w:r>
        <w:rPr>
          <w:rFonts w:hint="eastAsia" w:ascii="微软雅黑" w:hAnsi="微软雅黑" w:cs="宋体"/>
          <w:bCs/>
          <w:color w:val="auto"/>
          <w:szCs w:val="21"/>
          <w:highlight w:val="none"/>
        </w:rPr>
        <w:t>进行审查。投标文件形式审查未通过的投标供应商，其投标文件将不再评审。合格投标供应商不足3家的，不再评标。</w:t>
      </w:r>
    </w:p>
    <w:p w14:paraId="5C185FA8">
      <w:pPr>
        <w:snapToGrid w:val="0"/>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1.2信用信息查询</w:t>
      </w:r>
    </w:p>
    <w:p w14:paraId="045F0DD2">
      <w:pPr>
        <w:snapToGrid w:val="0"/>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1.2.1信用信息查询渠道及截止时间：采购人将通过“信用中国”网站(www.creditchina.gov.cn)、中国政府采购网(www.ccgp.gov.cn)渠道查询投标供应商投标截止时间当天的信用记录。</w:t>
      </w:r>
    </w:p>
    <w:p w14:paraId="45CEA2E8">
      <w:pPr>
        <w:snapToGrid w:val="0"/>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1.2.2信用信息查询记录和证据留存的具体方式：现场查询的投标供应商的信用记录、查询结果经确认后将与招标文件一起存档。</w:t>
      </w:r>
    </w:p>
    <w:p w14:paraId="7955E3E7">
      <w:pPr>
        <w:snapToGrid w:val="0"/>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1.2.3信用信息的使用规则：经查询列入失信被执行人名单、重大税收违法案件当事人名单、政府采购严重违法失信行为记录名单的投标供应商将被拒绝参与政府采购活动。</w:t>
      </w:r>
    </w:p>
    <w:p w14:paraId="616FB44C">
      <w:pPr>
        <w:snapToGrid w:val="0"/>
        <w:ind w:firstLine="420"/>
        <w:rPr>
          <w:rFonts w:hint="eastAsia" w:ascii="微软雅黑" w:hAnsi="微软雅黑"/>
          <w:color w:val="auto"/>
          <w:szCs w:val="21"/>
          <w:highlight w:val="none"/>
        </w:rPr>
      </w:pPr>
      <w:r>
        <w:rPr>
          <w:rFonts w:hint="eastAsia" w:ascii="微软雅黑" w:hAnsi="微软雅黑" w:cs="宋体"/>
          <w:bCs/>
          <w:color w:val="auto"/>
          <w:szCs w:val="21"/>
          <w:highlight w:val="none"/>
        </w:rPr>
        <w:t>1.2.4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AE702E6">
      <w:pPr>
        <w:snapToGrid w:val="0"/>
        <w:ind w:firstLine="412" w:firstLineChars="196"/>
        <w:rPr>
          <w:rFonts w:hint="eastAsia" w:ascii="微软雅黑" w:hAnsi="微软雅黑"/>
          <w:b/>
          <w:bCs/>
          <w:color w:val="auto"/>
          <w:szCs w:val="21"/>
          <w:highlight w:val="none"/>
        </w:rPr>
      </w:pPr>
      <w:r>
        <w:rPr>
          <w:rFonts w:hint="eastAsia" w:ascii="微软雅黑" w:hAnsi="微软雅黑"/>
          <w:b/>
          <w:bCs/>
          <w:color w:val="auto"/>
          <w:szCs w:val="21"/>
          <w:highlight w:val="none"/>
        </w:rPr>
        <w:t>2.实质审查</w:t>
      </w:r>
    </w:p>
    <w:p w14:paraId="5B03258D">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2.1评标委员会审查投标文件的实质性内容是否符合招标文件的实质性要求。</w:t>
      </w:r>
    </w:p>
    <w:p w14:paraId="431275C1">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2.2评标委员会将根据投标供应商的投标文件进行审查、核对，如有疑问，将对投标供应商进行询标，投标供应商要向评标委员会澄清有关问题，并最终以书面形式进行答复。</w:t>
      </w:r>
    </w:p>
    <w:p w14:paraId="139E12E6">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询标时，投标供应商代表未到场或者拒绝澄清或者澄清的内容改变了投标文件的实质性内容的，评标委员会有权对该投标文件做出不利于投标供应商的评判。</w:t>
      </w:r>
    </w:p>
    <w:p w14:paraId="56D9BFA5">
      <w:pPr>
        <w:snapToGrid w:val="0"/>
        <w:ind w:firstLine="420"/>
        <w:rPr>
          <w:rFonts w:hint="eastAsia" w:ascii="微软雅黑" w:hAnsi="微软雅黑"/>
          <w:strike/>
          <w:color w:val="auto"/>
          <w:szCs w:val="21"/>
          <w:highlight w:val="none"/>
        </w:rPr>
      </w:pPr>
      <w:r>
        <w:rPr>
          <w:rFonts w:hint="eastAsia" w:ascii="微软雅黑" w:hAnsi="微软雅黑" w:cs="Arial"/>
          <w:color w:val="auto"/>
          <w:kern w:val="0"/>
          <w:szCs w:val="21"/>
          <w:highlight w:val="none"/>
        </w:rPr>
        <w:t>2.3</w:t>
      </w:r>
      <w:r>
        <w:rPr>
          <w:rFonts w:hint="eastAsia" w:ascii="微软雅黑" w:hAnsi="微软雅黑"/>
          <w:color w:val="auto"/>
          <w:szCs w:val="21"/>
          <w:highlight w:val="none"/>
        </w:rPr>
        <w:t>评标委员会各成员应当独立对每个投标供应商的商务和技术文件进行评价，并汇总商务技术得分情况。</w:t>
      </w:r>
    </w:p>
    <w:p w14:paraId="2BE38947">
      <w:pPr>
        <w:pStyle w:val="6"/>
        <w:ind w:firstLine="420"/>
        <w:rPr>
          <w:rFonts w:hint="eastAsia" w:ascii="微软雅黑" w:hAnsi="微软雅黑" w:cs="宋体"/>
          <w:bCs/>
          <w:color w:val="auto"/>
          <w:kern w:val="2"/>
          <w:szCs w:val="21"/>
          <w:highlight w:val="none"/>
        </w:rPr>
      </w:pPr>
      <w:bookmarkStart w:id="104" w:name="_Toc164943206"/>
      <w:bookmarkStart w:id="105" w:name="_Toc27524"/>
      <w:bookmarkStart w:id="106" w:name="_Toc169015130"/>
      <w:r>
        <w:rPr>
          <w:rFonts w:hint="eastAsia" w:ascii="微软雅黑" w:hAnsi="微软雅黑" w:cs="宋体"/>
          <w:bCs/>
          <w:color w:val="auto"/>
          <w:kern w:val="2"/>
          <w:szCs w:val="21"/>
          <w:highlight w:val="none"/>
        </w:rPr>
        <w:t>3.报价审查</w:t>
      </w:r>
      <w:bookmarkEnd w:id="104"/>
      <w:bookmarkEnd w:id="105"/>
      <w:bookmarkEnd w:id="106"/>
    </w:p>
    <w:p w14:paraId="4B5152B5">
      <w:pPr>
        <w:pStyle w:val="29"/>
        <w:snapToGrid w:val="0"/>
        <w:spacing w:before="120" w:after="120"/>
        <w:ind w:left="689" w:leftChars="228" w:hanging="210" w:hangingChars="100"/>
        <w:rPr>
          <w:rFonts w:hint="eastAsia" w:ascii="微软雅黑" w:hAnsi="微软雅黑"/>
          <w:color w:val="auto"/>
          <w:szCs w:val="21"/>
          <w:highlight w:val="none"/>
        </w:rPr>
      </w:pPr>
      <w:r>
        <w:rPr>
          <w:rFonts w:hint="eastAsia" w:ascii="微软雅黑" w:hAnsi="微软雅黑"/>
          <w:color w:val="auto"/>
          <w:szCs w:val="21"/>
          <w:highlight w:val="none"/>
        </w:rPr>
        <w:t>(1)投标文件报价如果出现计算或表达上的错误，修正错误的原则如下：</w:t>
      </w:r>
    </w:p>
    <w:p w14:paraId="7C97F094">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1.1报价</w:t>
      </w:r>
      <w:r>
        <w:rPr>
          <w:rFonts w:hint="eastAsia" w:ascii="微软雅黑" w:hAnsi="微软雅黑"/>
          <w:color w:val="auto"/>
          <w:kern w:val="0"/>
          <w:szCs w:val="21"/>
          <w:highlight w:val="none"/>
        </w:rPr>
        <w:t>以开标一览表为准。</w:t>
      </w:r>
    </w:p>
    <w:p w14:paraId="0000B540">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1.2投标文件的大写金额和小写金额不一致的，以大写金额为准。</w:t>
      </w:r>
    </w:p>
    <w:p w14:paraId="569B57C0">
      <w:pPr>
        <w:pStyle w:val="293"/>
        <w:spacing w:before="0"/>
        <w:ind w:firstLine="420"/>
        <w:rPr>
          <w:rFonts w:hint="eastAsia" w:ascii="微软雅黑" w:hAnsi="微软雅黑" w:eastAsia="微软雅黑"/>
          <w:color w:val="auto"/>
          <w:sz w:val="21"/>
          <w:szCs w:val="21"/>
          <w:highlight w:val="none"/>
        </w:rPr>
      </w:pPr>
      <w:r>
        <w:rPr>
          <w:rFonts w:hint="eastAsia" w:ascii="微软雅黑" w:hAnsi="微软雅黑" w:eastAsia="微软雅黑" w:cs="Times New Roman"/>
          <w:color w:val="auto"/>
          <w:kern w:val="0"/>
          <w:sz w:val="21"/>
          <w:szCs w:val="21"/>
          <w:highlight w:val="none"/>
        </w:rPr>
        <w:t>1.3总</w:t>
      </w:r>
      <w:r>
        <w:rPr>
          <w:rFonts w:hint="eastAsia" w:ascii="微软雅黑" w:hAnsi="微软雅黑" w:eastAsia="微软雅黑"/>
          <w:color w:val="auto"/>
          <w:sz w:val="21"/>
          <w:szCs w:val="21"/>
          <w:highlight w:val="none"/>
        </w:rPr>
        <w:t>价金额与按单价汇总金额不一致的，以单价金额计算结果为准。</w:t>
      </w:r>
    </w:p>
    <w:p w14:paraId="5DFB8703">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s="仿宋"/>
          <w:color w:val="auto"/>
          <w:kern w:val="0"/>
          <w:szCs w:val="21"/>
          <w:highlight w:val="none"/>
        </w:rPr>
        <w:t>1.4</w:t>
      </w:r>
      <w:r>
        <w:rPr>
          <w:rFonts w:hint="eastAsia" w:ascii="微软雅黑" w:hAnsi="微软雅黑"/>
          <w:color w:val="auto"/>
          <w:szCs w:val="21"/>
          <w:highlight w:val="none"/>
        </w:rPr>
        <w:t>对不同文字文本投标文件的解释发生异议的，以中文文本为准。</w:t>
      </w:r>
    </w:p>
    <w:p w14:paraId="6010AFF6">
      <w:pPr>
        <w:pStyle w:val="29"/>
        <w:snapToGrid w:val="0"/>
        <w:spacing w:before="120" w:after="120"/>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按上述修正错误的原则及方法调整或修正投标文件的投标报价，投标供应商同意并签字确认后，调整后的投标报价对投标供应商具有约束作用。如果投标供应商不接受修正后的报价，则其投标将作为无效投标处理。</w:t>
      </w:r>
    </w:p>
    <w:p w14:paraId="165DA2F2">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(2)评标委员会根据合格供应商报价得出得分汇总。</w:t>
      </w:r>
    </w:p>
    <w:p w14:paraId="7C5CC8E3">
      <w:pPr>
        <w:pStyle w:val="6"/>
        <w:ind w:firstLine="420"/>
        <w:rPr>
          <w:rFonts w:hint="eastAsia" w:ascii="微软雅黑" w:hAnsi="微软雅黑" w:cs="宋体"/>
          <w:bCs/>
          <w:color w:val="auto"/>
          <w:kern w:val="2"/>
          <w:szCs w:val="21"/>
          <w:highlight w:val="none"/>
        </w:rPr>
      </w:pPr>
      <w:bookmarkStart w:id="107" w:name="_Toc22943"/>
      <w:bookmarkStart w:id="108" w:name="_Toc169015131"/>
      <w:bookmarkStart w:id="109" w:name="_Toc164943207"/>
      <w:r>
        <w:rPr>
          <w:rFonts w:hint="eastAsia" w:ascii="微软雅黑" w:hAnsi="微软雅黑" w:cs="宋体"/>
          <w:bCs/>
          <w:color w:val="auto"/>
          <w:kern w:val="2"/>
          <w:szCs w:val="21"/>
          <w:highlight w:val="none"/>
        </w:rPr>
        <w:t>4.比较和推荐</w:t>
      </w:r>
      <w:bookmarkEnd w:id="107"/>
      <w:bookmarkEnd w:id="108"/>
      <w:bookmarkEnd w:id="109"/>
    </w:p>
    <w:p w14:paraId="3471A222">
      <w:pPr>
        <w:snapToGrid w:val="0"/>
        <w:ind w:firstLine="420"/>
        <w:rPr>
          <w:rFonts w:hint="eastAsia" w:ascii="微软雅黑" w:hAnsi="微软雅黑" w:cs="Arial"/>
          <w:color w:val="auto"/>
          <w:kern w:val="0"/>
          <w:szCs w:val="21"/>
          <w:highlight w:val="none"/>
        </w:rPr>
      </w:pPr>
      <w:r>
        <w:rPr>
          <w:rFonts w:hint="eastAsia" w:ascii="微软雅黑" w:hAnsi="微软雅黑"/>
          <w:color w:val="auto"/>
          <w:szCs w:val="21"/>
          <w:highlight w:val="none"/>
        </w:rPr>
        <w:t>评标委员会按评标原则推荐中标供应商同时起草评标报告。</w:t>
      </w:r>
    </w:p>
    <w:p w14:paraId="4537FD1B">
      <w:pPr>
        <w:snapToGrid w:val="0"/>
        <w:ind w:firstLine="420"/>
        <w:rPr>
          <w:rFonts w:hint="eastAsia" w:ascii="微软雅黑" w:hAnsi="微软雅黑"/>
          <w:b/>
          <w:color w:val="auto"/>
          <w:szCs w:val="21"/>
          <w:highlight w:val="none"/>
        </w:rPr>
      </w:pPr>
      <w:r>
        <w:rPr>
          <w:rFonts w:hint="eastAsia" w:ascii="微软雅黑" w:hAnsi="微软雅黑"/>
          <w:b/>
          <w:color w:val="auto"/>
          <w:szCs w:val="21"/>
          <w:highlight w:val="none"/>
        </w:rPr>
        <w:t>（四）澄清问题的形式</w:t>
      </w:r>
    </w:p>
    <w:p w14:paraId="5235A303">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对投标文件中含义不明确、同类问题表述不一致或者有明显文字和计算错误的内容，评标委员会可要求供应商作出必要的澄清、说明或者纠正。</w:t>
      </w:r>
    </w:p>
    <w:p w14:paraId="7962B174">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评标委员会可以在“政采云”平台在线询标或其他有效形式要求供应商对同一份投标文件含义不明确或同类问题表述不一致的内容（招标文件其他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14:paraId="19A5A8B2">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2.如果供应商代表拒绝或未按评标委员会要求在“政采云”平台作出在线回复且无其他有效回复方式的，评标委员会可以对其作出无效标处理。</w:t>
      </w:r>
    </w:p>
    <w:p w14:paraId="74453DDE">
      <w:pPr>
        <w:pStyle w:val="29"/>
        <w:tabs>
          <w:tab w:val="left" w:pos="630"/>
        </w:tabs>
        <w:snapToGrid w:val="0"/>
        <w:spacing w:before="120" w:after="120"/>
        <w:ind w:firstLine="412" w:firstLineChars="196"/>
        <w:rPr>
          <w:rFonts w:hint="eastAsia" w:ascii="微软雅黑" w:hAnsi="微软雅黑"/>
          <w:b/>
          <w:color w:val="auto"/>
          <w:szCs w:val="21"/>
          <w:highlight w:val="none"/>
        </w:rPr>
      </w:pPr>
      <w:r>
        <w:rPr>
          <w:rFonts w:hint="eastAsia" w:ascii="微软雅黑" w:hAnsi="微软雅黑"/>
          <w:b/>
          <w:color w:val="auto"/>
          <w:szCs w:val="21"/>
          <w:highlight w:val="none"/>
        </w:rPr>
        <w:t>（五）评标原则和评标办法</w:t>
      </w:r>
    </w:p>
    <w:p w14:paraId="0C157E00">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供应商接触。</w:t>
      </w:r>
    </w:p>
    <w:p w14:paraId="17D18ECA">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2.评标办法。本项目评标办法是 综合评分法，具体评标内容及评分标准等详见《第四章：评标办法及评分标准》。</w:t>
      </w:r>
    </w:p>
    <w:p w14:paraId="275CE549">
      <w:pPr>
        <w:pStyle w:val="29"/>
        <w:snapToGrid w:val="0"/>
        <w:spacing w:before="120" w:after="120"/>
        <w:ind w:firstLine="412" w:firstLineChars="196"/>
        <w:rPr>
          <w:rFonts w:hint="eastAsia" w:ascii="微软雅黑" w:hAnsi="微软雅黑"/>
          <w:b/>
          <w:color w:val="auto"/>
          <w:szCs w:val="21"/>
          <w:highlight w:val="none"/>
        </w:rPr>
      </w:pPr>
      <w:r>
        <w:rPr>
          <w:rFonts w:hint="eastAsia" w:ascii="微软雅黑" w:hAnsi="微软雅黑"/>
          <w:b/>
          <w:color w:val="auto"/>
          <w:szCs w:val="21"/>
          <w:highlight w:val="none"/>
        </w:rPr>
        <w:t>（六）评标过程的监控</w:t>
      </w:r>
    </w:p>
    <w:p w14:paraId="358D4559">
      <w:pPr>
        <w:pStyle w:val="6"/>
        <w:spacing w:line="500" w:lineRule="exact"/>
        <w:ind w:firstLine="420"/>
        <w:rPr>
          <w:rFonts w:hint="eastAsia" w:ascii="微软雅黑" w:hAnsi="微软雅黑"/>
          <w:color w:val="auto"/>
          <w:szCs w:val="21"/>
          <w:highlight w:val="none"/>
        </w:rPr>
      </w:pPr>
      <w:bookmarkStart w:id="110" w:name="_Toc31962"/>
      <w:bookmarkStart w:id="111" w:name="_Toc169015132"/>
      <w:bookmarkStart w:id="112" w:name="_Toc164943208"/>
      <w:r>
        <w:rPr>
          <w:rFonts w:hint="eastAsia" w:ascii="微软雅黑" w:hAnsi="微软雅黑"/>
          <w:color w:val="auto"/>
          <w:szCs w:val="21"/>
          <w:highlight w:val="none"/>
        </w:rPr>
        <w:t>本项目评标过程实行全程录音、录像监控。投标供应商在评标过程中所进行的试图影响评标结果的不公正活动，可能导致其投标被拒绝</w:t>
      </w:r>
      <w:bookmarkEnd w:id="110"/>
      <w:bookmarkEnd w:id="111"/>
      <w:bookmarkEnd w:id="112"/>
    </w:p>
    <w:p w14:paraId="4564DA24">
      <w:pPr>
        <w:pStyle w:val="6"/>
        <w:spacing w:line="500" w:lineRule="exact"/>
        <w:ind w:firstLine="420"/>
        <w:rPr>
          <w:rFonts w:hint="eastAsia" w:ascii="微软雅黑" w:hAnsi="微软雅黑"/>
          <w:color w:val="auto"/>
          <w:szCs w:val="21"/>
          <w:highlight w:val="none"/>
        </w:rPr>
      </w:pPr>
      <w:bookmarkStart w:id="113" w:name="_Toc30708"/>
      <w:r>
        <w:rPr>
          <w:rFonts w:hint="eastAsia" w:ascii="微软雅黑" w:hAnsi="微软雅黑"/>
          <w:color w:val="auto"/>
          <w:szCs w:val="21"/>
          <w:highlight w:val="none"/>
        </w:rPr>
        <w:t>六、定标</w:t>
      </w:r>
      <w:bookmarkEnd w:id="103"/>
      <w:bookmarkEnd w:id="113"/>
    </w:p>
    <w:p w14:paraId="5FA93D65">
      <w:pPr>
        <w:pStyle w:val="29"/>
        <w:snapToGrid w:val="0"/>
        <w:spacing w:before="120" w:after="120"/>
        <w:ind w:firstLine="412" w:firstLineChars="196"/>
        <w:rPr>
          <w:rFonts w:hint="eastAsia" w:hAnsi="宋体"/>
          <w:b/>
          <w:bCs/>
          <w:color w:val="auto"/>
          <w:highlight w:val="none"/>
        </w:rPr>
      </w:pPr>
      <w:bookmarkStart w:id="114" w:name="_Toc33535372"/>
      <w:r>
        <w:rPr>
          <w:rFonts w:hint="eastAsia" w:hAnsi="宋体"/>
          <w:b/>
          <w:bCs/>
          <w:color w:val="auto"/>
          <w:highlight w:val="none"/>
        </w:rPr>
        <w:t>确定中标供应商：本项目由采购人确定中标供应商。</w:t>
      </w:r>
    </w:p>
    <w:p w14:paraId="0B220BD9">
      <w:pPr>
        <w:snapToGrid w:val="0"/>
        <w:ind w:firstLine="420"/>
        <w:rPr>
          <w:rFonts w:hint="eastAsia" w:ascii="宋体" w:hAnsi="宋体"/>
          <w:color w:val="auto"/>
          <w:highlight w:val="none"/>
        </w:rPr>
      </w:pPr>
      <w:r>
        <w:rPr>
          <w:rFonts w:hint="eastAsia" w:ascii="宋体" w:hAnsi="宋体"/>
          <w:color w:val="auto"/>
          <w:highlight w:val="none"/>
        </w:rPr>
        <w:t>1.代理机构在评标结束后2个工作日内将评标报告交采购人确认，同时在发布招标公告的网站上对评标结果进行公告。</w:t>
      </w:r>
    </w:p>
    <w:p w14:paraId="41C6CDA5">
      <w:pPr>
        <w:snapToGrid w:val="0"/>
        <w:ind w:firstLine="420"/>
        <w:rPr>
          <w:rFonts w:hint="eastAsia" w:ascii="宋体" w:hAnsi="宋体"/>
          <w:color w:val="auto"/>
          <w:highlight w:val="none"/>
        </w:rPr>
      </w:pPr>
      <w:r>
        <w:rPr>
          <w:rFonts w:hint="eastAsia" w:ascii="宋体" w:hAnsi="宋体"/>
          <w:color w:val="auto"/>
          <w:highlight w:val="none"/>
        </w:rPr>
        <w:t>2.投标供应商对评标结果无异议的，采购人应在收到评标报告后5个工作日内对评标结果进行确认。如有投标供应商对评标结果提出质疑的，采购人可在质疑处理完毕后确定中标供应商。</w:t>
      </w:r>
    </w:p>
    <w:p w14:paraId="6050C812">
      <w:pPr>
        <w:snapToGrid w:val="0"/>
        <w:ind w:firstLine="420"/>
        <w:rPr>
          <w:rFonts w:hint="eastAsia" w:ascii="宋体" w:hAnsi="宋体"/>
          <w:color w:val="auto"/>
          <w:highlight w:val="none"/>
        </w:rPr>
      </w:pPr>
      <w:r>
        <w:rPr>
          <w:rFonts w:hint="eastAsia" w:ascii="宋体" w:hAnsi="宋体"/>
          <w:color w:val="auto"/>
          <w:highlight w:val="none"/>
        </w:rPr>
        <w:t>3.在公告中标结果的同时，代理机构在政采云系统向中标供应商发出中标通知书。</w:t>
      </w:r>
    </w:p>
    <w:p w14:paraId="0B5E2191">
      <w:pPr>
        <w:pStyle w:val="6"/>
        <w:spacing w:line="500" w:lineRule="exact"/>
        <w:ind w:firstLine="420"/>
        <w:rPr>
          <w:rFonts w:hint="eastAsia" w:ascii="微软雅黑" w:hAnsi="微软雅黑"/>
          <w:color w:val="auto"/>
          <w:szCs w:val="21"/>
          <w:highlight w:val="none"/>
        </w:rPr>
      </w:pPr>
      <w:bookmarkStart w:id="115" w:name="_Toc4086"/>
      <w:r>
        <w:rPr>
          <w:rFonts w:hint="eastAsia" w:ascii="微软雅黑" w:hAnsi="微软雅黑"/>
          <w:color w:val="auto"/>
          <w:szCs w:val="21"/>
          <w:highlight w:val="none"/>
        </w:rPr>
        <w:t>七、合同授予</w:t>
      </w:r>
      <w:bookmarkEnd w:id="114"/>
      <w:bookmarkEnd w:id="115"/>
    </w:p>
    <w:p w14:paraId="42909E8E">
      <w:pPr>
        <w:snapToGrid w:val="0"/>
        <w:ind w:firstLine="420"/>
        <w:rPr>
          <w:rFonts w:hint="eastAsia" w:ascii="微软雅黑" w:hAnsi="微软雅黑"/>
          <w:color w:val="auto"/>
          <w:highlight w:val="none"/>
        </w:rPr>
      </w:pPr>
      <w:r>
        <w:rPr>
          <w:rFonts w:hint="eastAsia" w:ascii="微软雅黑" w:hAnsi="微软雅黑"/>
          <w:color w:val="auto"/>
          <w:highlight w:val="none"/>
        </w:rPr>
        <w:t>1.采购人与中标供应商应当在《中标通知书》发出之日起30日内签订政府采购合同。</w:t>
      </w:r>
    </w:p>
    <w:p w14:paraId="554067C3">
      <w:pPr>
        <w:snapToGrid w:val="0"/>
        <w:ind w:firstLine="420"/>
        <w:rPr>
          <w:rFonts w:hint="eastAsia" w:ascii="微软雅黑" w:hAnsi="微软雅黑"/>
          <w:color w:val="auto"/>
          <w:highlight w:val="none"/>
        </w:rPr>
      </w:pPr>
      <w:r>
        <w:rPr>
          <w:rFonts w:hint="eastAsia" w:ascii="微软雅黑" w:hAnsi="微软雅黑"/>
          <w:color w:val="auto"/>
          <w:highlight w:val="none"/>
        </w:rPr>
        <w:t>２.中标供应商拖延、拒签合同的，将被取消中标资格，并报监督管理部门依法处理。</w:t>
      </w:r>
    </w:p>
    <w:p w14:paraId="51B3367F">
      <w:pPr>
        <w:snapToGrid w:val="0"/>
        <w:ind w:firstLine="420"/>
        <w:rPr>
          <w:rFonts w:hint="eastAsia" w:ascii="微软雅黑" w:hAnsi="微软雅黑"/>
          <w:color w:val="auto"/>
          <w:highlight w:val="none"/>
        </w:rPr>
      </w:pPr>
      <w:r>
        <w:rPr>
          <w:rFonts w:hint="eastAsia" w:ascii="微软雅黑" w:hAnsi="微软雅黑"/>
          <w:color w:val="auto"/>
          <w:highlight w:val="none"/>
        </w:rPr>
        <w:t>3.采购人须在本项目政府采购合同签订之日起2个工作日内将合同发布于浙江政府采购网，但政府采购合同中涉及国家秘密、商业秘密的内容除外。</w:t>
      </w:r>
    </w:p>
    <w:p w14:paraId="1A0D87C0">
      <w:pPr>
        <w:pStyle w:val="6"/>
        <w:spacing w:line="500" w:lineRule="exact"/>
        <w:ind w:firstLine="420"/>
        <w:rPr>
          <w:rFonts w:hint="eastAsia" w:ascii="微软雅黑" w:hAnsi="微软雅黑"/>
          <w:color w:val="auto"/>
          <w:szCs w:val="21"/>
          <w:highlight w:val="none"/>
        </w:rPr>
      </w:pPr>
      <w:bookmarkStart w:id="116" w:name="_Toc17646"/>
      <w:r>
        <w:rPr>
          <w:rFonts w:hint="eastAsia" w:ascii="微软雅黑" w:hAnsi="微软雅黑"/>
          <w:color w:val="auto"/>
          <w:szCs w:val="21"/>
          <w:highlight w:val="none"/>
        </w:rPr>
        <w:t>八、验收</w:t>
      </w:r>
      <w:bookmarkEnd w:id="116"/>
    </w:p>
    <w:p w14:paraId="3BEA7922">
      <w:pPr>
        <w:snapToGrid w:val="0"/>
        <w:ind w:firstLine="420"/>
        <w:rPr>
          <w:rFonts w:hint="eastAsia" w:ascii="微软雅黑" w:hAnsi="微软雅黑" w:cs="宋体"/>
          <w:color w:val="auto"/>
          <w:highlight w:val="none"/>
        </w:rPr>
      </w:pPr>
      <w:r>
        <w:rPr>
          <w:rFonts w:hint="eastAsia" w:ascii="微软雅黑" w:hAnsi="微软雅黑" w:cs="宋体"/>
          <w:color w:val="auto"/>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292225E">
      <w:pPr>
        <w:snapToGrid w:val="0"/>
        <w:ind w:firstLine="420"/>
        <w:rPr>
          <w:rFonts w:hint="eastAsia" w:ascii="微软雅黑" w:hAnsi="微软雅黑" w:cs="宋体"/>
          <w:color w:val="auto"/>
          <w:highlight w:val="none"/>
        </w:rPr>
      </w:pPr>
      <w:r>
        <w:rPr>
          <w:rFonts w:hint="eastAsia" w:ascii="微软雅黑" w:hAnsi="微软雅黑" w:cs="宋体"/>
          <w:color w:val="auto"/>
          <w:highlight w:val="none"/>
        </w:rPr>
        <w:t>2.采购人可以邀请参加本项目的其他投标供应商或者第三方机构参与验收。参与验收的投标供应商或者第三方机构的意见作为验收书的参考资料一并存档。</w:t>
      </w:r>
    </w:p>
    <w:p w14:paraId="2669F432">
      <w:pPr>
        <w:snapToGrid w:val="0"/>
        <w:ind w:firstLine="420"/>
        <w:rPr>
          <w:rFonts w:hint="eastAsia" w:ascii="微软雅黑" w:hAnsi="微软雅黑" w:cs="宋体"/>
          <w:color w:val="auto"/>
          <w:highlight w:val="none"/>
        </w:rPr>
      </w:pPr>
      <w:r>
        <w:rPr>
          <w:rFonts w:hint="eastAsia" w:ascii="微软雅黑" w:hAnsi="微软雅黑" w:cs="宋体"/>
          <w:color w:val="auto"/>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C87BA4F">
      <w:pPr>
        <w:snapToGrid w:val="0"/>
        <w:ind w:firstLine="420"/>
        <w:rPr>
          <w:color w:val="auto"/>
          <w:highlight w:val="none"/>
        </w:rPr>
      </w:pPr>
      <w:r>
        <w:rPr>
          <w:rFonts w:hint="eastAsia" w:ascii="微软雅黑" w:hAnsi="微软雅黑" w:cs="宋体"/>
          <w:color w:val="auto"/>
          <w:highlight w:val="none"/>
        </w:rPr>
        <w:t>4.验收合格的项目，采购人将根据采购合同的约定及时向供应商支付采购资金、退还履约保证金（若有）。验收不合格的项目，采购人将依法及时处理。采购合同的履行、违约责任和解决争议的方式等适用《中华人民共和国民法典》。供应商在履约过程中有政府采购法律法规规定的违法违规情形的，采购人应当及时报告本级财政部</w:t>
      </w:r>
      <w:bookmarkStart w:id="117" w:name="_Hlt74714665"/>
      <w:bookmarkEnd w:id="117"/>
      <w:bookmarkStart w:id="118" w:name="_Hlt74730295"/>
      <w:bookmarkEnd w:id="118"/>
      <w:bookmarkStart w:id="119" w:name="_Hlt68072998"/>
      <w:bookmarkEnd w:id="119"/>
      <w:bookmarkStart w:id="120" w:name="_Hlt74729768"/>
      <w:bookmarkEnd w:id="120"/>
      <w:bookmarkStart w:id="121" w:name="_Hlt68403820"/>
      <w:bookmarkEnd w:id="121"/>
      <w:bookmarkStart w:id="122" w:name="_Hlt75236101"/>
      <w:bookmarkEnd w:id="122"/>
      <w:bookmarkStart w:id="123" w:name="_Hlt75236011"/>
      <w:bookmarkEnd w:id="123"/>
      <w:bookmarkStart w:id="124" w:name="_Hlt68072990"/>
      <w:bookmarkEnd w:id="124"/>
      <w:bookmarkStart w:id="125" w:name="_Hlt75236290"/>
      <w:bookmarkEnd w:id="125"/>
      <w:bookmarkStart w:id="126" w:name="_Hlt68073093"/>
      <w:bookmarkEnd w:id="126"/>
      <w:bookmarkStart w:id="127" w:name="_Hlt74707468"/>
      <w:bookmarkEnd w:id="127"/>
      <w:bookmarkStart w:id="128" w:name="_Hlt68057669"/>
      <w:bookmarkEnd w:id="128"/>
      <w:r>
        <w:rPr>
          <w:rFonts w:hint="eastAsia" w:ascii="微软雅黑" w:hAnsi="微软雅黑" w:cs="宋体"/>
          <w:color w:val="auto"/>
          <w:highlight w:val="none"/>
        </w:rPr>
        <w:t>部门。</w:t>
      </w:r>
    </w:p>
    <w:p w14:paraId="3B0EB7EE">
      <w:pPr>
        <w:pStyle w:val="6"/>
        <w:spacing w:line="500" w:lineRule="exact"/>
        <w:ind w:firstLine="420"/>
        <w:rPr>
          <w:rFonts w:hint="eastAsia" w:ascii="微软雅黑" w:hAnsi="微软雅黑"/>
          <w:color w:val="auto"/>
          <w:szCs w:val="21"/>
          <w:highlight w:val="none"/>
        </w:rPr>
      </w:pPr>
      <w:bookmarkStart w:id="129" w:name="_Toc9282"/>
      <w:r>
        <w:rPr>
          <w:rFonts w:hint="eastAsia" w:ascii="微软雅黑" w:hAnsi="微软雅黑"/>
          <w:color w:val="auto"/>
          <w:szCs w:val="21"/>
          <w:highlight w:val="none"/>
        </w:rPr>
        <w:t>九、招标代理费</w:t>
      </w:r>
      <w:bookmarkEnd w:id="66"/>
      <w:bookmarkEnd w:id="129"/>
    </w:p>
    <w:p w14:paraId="0D40E494">
      <w:pPr>
        <w:spacing w:line="500" w:lineRule="exact"/>
        <w:ind w:firstLine="420"/>
        <w:rPr>
          <w:rFonts w:hint="eastAsia" w:ascii="微软雅黑" w:hAnsi="微软雅黑"/>
          <w:color w:val="auto"/>
          <w:szCs w:val="21"/>
          <w:highlight w:val="none"/>
        </w:rPr>
      </w:pPr>
      <w:bookmarkStart w:id="130" w:name="_Toc493511752"/>
      <w:r>
        <w:rPr>
          <w:rFonts w:hint="eastAsia" w:ascii="微软雅黑" w:hAnsi="微软雅黑"/>
          <w:color w:val="auto"/>
          <w:szCs w:val="21"/>
          <w:highlight w:val="none"/>
        </w:rPr>
        <w:t>1、根据“国家发展和改革委员会办公厅《关于招标代理服务收费有关问题的通知》（发改办价格【2003】857号、财库【2018】2号第十五条）”规定，招标代理机构向中标人收取招标代理服务费。</w:t>
      </w:r>
    </w:p>
    <w:p w14:paraId="4E749DCF">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2、中标人应在收取《中标通知书》时向采购代理机构交纳招标代理服务费，服务费的收费标准按浙价服〔2003〕77号文规定计算</w:t>
      </w:r>
      <w:bookmarkEnd w:id="130"/>
    </w:p>
    <w:tbl>
      <w:tblPr>
        <w:tblStyle w:val="54"/>
        <w:tblW w:w="64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60"/>
        <w:gridCol w:w="2160"/>
        <w:gridCol w:w="2160"/>
      </w:tblGrid>
      <w:tr w14:paraId="2F44BF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2160" w:type="dxa"/>
            <w:tcBorders>
              <w:top w:val="double" w:color="auto" w:sz="4" w:space="0"/>
              <w:left w:val="double" w:color="auto" w:sz="4" w:space="0"/>
              <w:bottom w:val="single" w:color="auto" w:sz="6" w:space="0"/>
              <w:right w:val="single" w:color="auto" w:sz="6" w:space="0"/>
            </w:tcBorders>
            <w:shd w:val="clear" w:color="auto" w:fill="D9D9D9"/>
            <w:vAlign w:val="center"/>
          </w:tcPr>
          <w:p w14:paraId="23360EDE">
            <w:pPr>
              <w:spacing w:line="240" w:lineRule="auto"/>
              <w:ind w:firstLine="0" w:firstLineChars="0"/>
              <w:rPr>
                <w:rFonts w:hint="eastAsia" w:ascii="微软雅黑" w:hAnsi="微软雅黑"/>
                <w:color w:val="auto"/>
                <w:szCs w:val="21"/>
                <w:highlight w:val="none"/>
              </w:rPr>
            </w:pPr>
            <w:bookmarkStart w:id="131" w:name="_Toc493511753"/>
            <w:r>
              <w:rPr>
                <w:rFonts w:hint="eastAsia" w:ascii="微软雅黑" w:hAnsi="微软雅黑"/>
                <w:color w:val="auto"/>
                <w:szCs w:val="21"/>
                <w:highlight w:val="none"/>
              </w:rPr>
              <w:t>中标金额（万元）</w:t>
            </w:r>
            <w:bookmarkEnd w:id="131"/>
          </w:p>
        </w:tc>
        <w:tc>
          <w:tcPr>
            <w:tcW w:w="2160" w:type="dxa"/>
            <w:tcBorders>
              <w:top w:val="double" w:color="auto" w:sz="4" w:space="0"/>
              <w:left w:val="single" w:color="auto" w:sz="6" w:space="0"/>
              <w:bottom w:val="single" w:color="auto" w:sz="6" w:space="0"/>
              <w:right w:val="single" w:color="auto" w:sz="6" w:space="0"/>
            </w:tcBorders>
            <w:shd w:val="clear" w:color="auto" w:fill="D9D9D9"/>
            <w:vAlign w:val="center"/>
          </w:tcPr>
          <w:p w14:paraId="300B4B8E">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货物招标收费费率</w:t>
            </w:r>
          </w:p>
        </w:tc>
        <w:tc>
          <w:tcPr>
            <w:tcW w:w="2160" w:type="dxa"/>
            <w:tcBorders>
              <w:top w:val="double" w:color="auto" w:sz="4" w:space="0"/>
              <w:left w:val="single" w:color="auto" w:sz="6" w:space="0"/>
              <w:bottom w:val="single" w:color="auto" w:sz="6" w:space="0"/>
              <w:right w:val="double" w:color="auto" w:sz="4" w:space="0"/>
            </w:tcBorders>
            <w:shd w:val="clear" w:color="auto" w:fill="D9D9D9"/>
          </w:tcPr>
          <w:p w14:paraId="0C21E3E6">
            <w:pPr>
              <w:spacing w:line="240" w:lineRule="auto"/>
              <w:ind w:firstLine="0" w:firstLineChars="0"/>
              <w:rPr>
                <w:rFonts w:hint="eastAsia" w:ascii="微软雅黑" w:hAnsi="微软雅黑"/>
                <w:color w:val="auto"/>
                <w:szCs w:val="21"/>
                <w:highlight w:val="none"/>
              </w:rPr>
            </w:pPr>
            <w:bookmarkStart w:id="132" w:name="_Toc493511754"/>
            <w:r>
              <w:rPr>
                <w:rFonts w:hint="eastAsia" w:ascii="微软雅黑" w:hAnsi="微软雅黑"/>
                <w:color w:val="auto"/>
                <w:szCs w:val="21"/>
                <w:highlight w:val="none"/>
              </w:rPr>
              <w:t>服务类招标收费费率</w:t>
            </w:r>
            <w:bookmarkEnd w:id="132"/>
          </w:p>
        </w:tc>
      </w:tr>
      <w:tr w14:paraId="05AF14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1F52AC37">
            <w:pPr>
              <w:spacing w:line="240" w:lineRule="auto"/>
              <w:ind w:firstLine="0" w:firstLineChars="0"/>
              <w:rPr>
                <w:rFonts w:hint="eastAsia" w:ascii="微软雅黑" w:hAnsi="微软雅黑"/>
                <w:color w:val="auto"/>
                <w:szCs w:val="21"/>
                <w:highlight w:val="none"/>
              </w:rPr>
            </w:pPr>
            <w:bookmarkStart w:id="133" w:name="_Toc493511755"/>
            <w:r>
              <w:rPr>
                <w:rFonts w:hint="eastAsia" w:ascii="微软雅黑" w:hAnsi="微软雅黑"/>
                <w:color w:val="auto"/>
                <w:szCs w:val="21"/>
                <w:highlight w:val="none"/>
              </w:rPr>
              <w:t>100以下</w:t>
            </w:r>
            <w:bookmarkEnd w:id="133"/>
          </w:p>
        </w:tc>
        <w:tc>
          <w:tcPr>
            <w:tcW w:w="2160" w:type="dxa"/>
            <w:tcBorders>
              <w:top w:val="single" w:color="auto" w:sz="6" w:space="0"/>
              <w:left w:val="single" w:color="auto" w:sz="6" w:space="0"/>
              <w:bottom w:val="single" w:color="auto" w:sz="6" w:space="0"/>
              <w:right w:val="single" w:color="auto" w:sz="6" w:space="0"/>
            </w:tcBorders>
          </w:tcPr>
          <w:p w14:paraId="70482725">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1.5%</w:t>
            </w:r>
          </w:p>
        </w:tc>
        <w:tc>
          <w:tcPr>
            <w:tcW w:w="2160" w:type="dxa"/>
            <w:tcBorders>
              <w:top w:val="single" w:color="auto" w:sz="6" w:space="0"/>
              <w:left w:val="single" w:color="auto" w:sz="6" w:space="0"/>
              <w:bottom w:val="single" w:color="auto" w:sz="6" w:space="0"/>
              <w:right w:val="double" w:color="auto" w:sz="4" w:space="0"/>
            </w:tcBorders>
            <w:vAlign w:val="center"/>
          </w:tcPr>
          <w:p w14:paraId="5F3F186A">
            <w:pPr>
              <w:spacing w:line="240" w:lineRule="auto"/>
              <w:ind w:firstLine="0" w:firstLineChars="0"/>
              <w:rPr>
                <w:rFonts w:hint="eastAsia" w:ascii="微软雅黑" w:hAnsi="微软雅黑"/>
                <w:color w:val="auto"/>
                <w:szCs w:val="21"/>
                <w:highlight w:val="none"/>
              </w:rPr>
            </w:pPr>
            <w:bookmarkStart w:id="134" w:name="_Toc493511756"/>
            <w:r>
              <w:rPr>
                <w:rFonts w:hint="eastAsia" w:ascii="微软雅黑" w:hAnsi="微软雅黑"/>
                <w:color w:val="auto"/>
                <w:szCs w:val="21"/>
                <w:highlight w:val="none"/>
              </w:rPr>
              <w:t>1.5％</w:t>
            </w:r>
            <w:bookmarkEnd w:id="134"/>
          </w:p>
        </w:tc>
      </w:tr>
      <w:tr w14:paraId="5AA21D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7AC4E0C1">
            <w:pPr>
              <w:spacing w:line="240" w:lineRule="auto"/>
              <w:ind w:firstLine="0" w:firstLineChars="0"/>
              <w:rPr>
                <w:rFonts w:hint="eastAsia" w:ascii="微软雅黑" w:hAnsi="微软雅黑"/>
                <w:color w:val="auto"/>
                <w:szCs w:val="21"/>
                <w:highlight w:val="none"/>
              </w:rPr>
            </w:pPr>
            <w:bookmarkStart w:id="135" w:name="_Toc493511757"/>
            <w:r>
              <w:rPr>
                <w:rFonts w:hint="eastAsia" w:ascii="微软雅黑" w:hAnsi="微软雅黑"/>
                <w:color w:val="auto"/>
                <w:szCs w:val="21"/>
                <w:highlight w:val="none"/>
              </w:rPr>
              <w:t>100-500</w:t>
            </w:r>
            <w:bookmarkEnd w:id="135"/>
          </w:p>
        </w:tc>
        <w:tc>
          <w:tcPr>
            <w:tcW w:w="2160" w:type="dxa"/>
            <w:tcBorders>
              <w:top w:val="single" w:color="auto" w:sz="6" w:space="0"/>
              <w:left w:val="single" w:color="auto" w:sz="6" w:space="0"/>
              <w:bottom w:val="single" w:color="auto" w:sz="6" w:space="0"/>
              <w:right w:val="single" w:color="auto" w:sz="6" w:space="0"/>
            </w:tcBorders>
          </w:tcPr>
          <w:p w14:paraId="37D87797">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1.1%</w:t>
            </w:r>
          </w:p>
        </w:tc>
        <w:tc>
          <w:tcPr>
            <w:tcW w:w="2160" w:type="dxa"/>
            <w:tcBorders>
              <w:top w:val="single" w:color="auto" w:sz="6" w:space="0"/>
              <w:left w:val="single" w:color="auto" w:sz="6" w:space="0"/>
              <w:bottom w:val="single" w:color="auto" w:sz="6" w:space="0"/>
              <w:right w:val="double" w:color="auto" w:sz="4" w:space="0"/>
            </w:tcBorders>
            <w:vAlign w:val="center"/>
          </w:tcPr>
          <w:p w14:paraId="323A1567">
            <w:pPr>
              <w:spacing w:line="240" w:lineRule="auto"/>
              <w:ind w:firstLine="0" w:firstLineChars="0"/>
              <w:rPr>
                <w:rFonts w:hint="eastAsia" w:ascii="微软雅黑" w:hAnsi="微软雅黑"/>
                <w:color w:val="auto"/>
                <w:szCs w:val="21"/>
                <w:highlight w:val="none"/>
              </w:rPr>
            </w:pPr>
            <w:bookmarkStart w:id="136" w:name="_Toc493511758"/>
            <w:r>
              <w:rPr>
                <w:rFonts w:hint="eastAsia" w:ascii="微软雅黑" w:hAnsi="微软雅黑"/>
                <w:color w:val="auto"/>
                <w:szCs w:val="21"/>
                <w:highlight w:val="none"/>
              </w:rPr>
              <w:t>0.8％</w:t>
            </w:r>
            <w:bookmarkEnd w:id="136"/>
          </w:p>
        </w:tc>
      </w:tr>
      <w:tr w14:paraId="03BFAF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4CEA70C4">
            <w:pPr>
              <w:spacing w:line="240" w:lineRule="auto"/>
              <w:ind w:firstLine="0" w:firstLineChars="0"/>
              <w:rPr>
                <w:rFonts w:hint="eastAsia" w:ascii="微软雅黑" w:hAnsi="微软雅黑"/>
                <w:color w:val="auto"/>
                <w:szCs w:val="21"/>
                <w:highlight w:val="none"/>
              </w:rPr>
            </w:pPr>
            <w:bookmarkStart w:id="137" w:name="_Toc493511759"/>
            <w:r>
              <w:rPr>
                <w:rFonts w:hint="eastAsia" w:ascii="微软雅黑" w:hAnsi="微软雅黑"/>
                <w:color w:val="auto"/>
                <w:szCs w:val="21"/>
                <w:highlight w:val="none"/>
              </w:rPr>
              <w:t>500-1000</w:t>
            </w:r>
            <w:bookmarkEnd w:id="137"/>
          </w:p>
        </w:tc>
        <w:tc>
          <w:tcPr>
            <w:tcW w:w="2160" w:type="dxa"/>
            <w:tcBorders>
              <w:top w:val="single" w:color="auto" w:sz="6" w:space="0"/>
              <w:left w:val="single" w:color="auto" w:sz="6" w:space="0"/>
              <w:bottom w:val="single" w:color="auto" w:sz="6" w:space="0"/>
              <w:right w:val="single" w:color="auto" w:sz="6" w:space="0"/>
            </w:tcBorders>
          </w:tcPr>
          <w:p w14:paraId="08001859">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0.8%</w:t>
            </w:r>
          </w:p>
        </w:tc>
        <w:tc>
          <w:tcPr>
            <w:tcW w:w="2160" w:type="dxa"/>
            <w:tcBorders>
              <w:top w:val="single" w:color="auto" w:sz="6" w:space="0"/>
              <w:left w:val="single" w:color="auto" w:sz="6" w:space="0"/>
              <w:bottom w:val="single" w:color="auto" w:sz="6" w:space="0"/>
              <w:right w:val="double" w:color="auto" w:sz="4" w:space="0"/>
            </w:tcBorders>
            <w:vAlign w:val="center"/>
          </w:tcPr>
          <w:p w14:paraId="72089AE9">
            <w:pPr>
              <w:spacing w:line="240" w:lineRule="auto"/>
              <w:ind w:firstLine="0" w:firstLineChars="0"/>
              <w:rPr>
                <w:rFonts w:hint="eastAsia" w:ascii="微软雅黑" w:hAnsi="微软雅黑"/>
                <w:color w:val="auto"/>
                <w:szCs w:val="21"/>
                <w:highlight w:val="none"/>
              </w:rPr>
            </w:pPr>
            <w:bookmarkStart w:id="138" w:name="_Toc493511760"/>
            <w:r>
              <w:rPr>
                <w:rFonts w:hint="eastAsia" w:ascii="微软雅黑" w:hAnsi="微软雅黑"/>
                <w:color w:val="auto"/>
                <w:szCs w:val="21"/>
                <w:highlight w:val="none"/>
              </w:rPr>
              <w:t>0.45％</w:t>
            </w:r>
            <w:bookmarkEnd w:id="138"/>
          </w:p>
        </w:tc>
      </w:tr>
    </w:tbl>
    <w:p w14:paraId="51C134B0">
      <w:pPr>
        <w:spacing w:line="500" w:lineRule="exact"/>
        <w:ind w:firstLine="420"/>
        <w:rPr>
          <w:rFonts w:hint="eastAsia" w:ascii="微软雅黑" w:hAnsi="微软雅黑"/>
          <w:color w:val="auto"/>
          <w:szCs w:val="21"/>
          <w:highlight w:val="none"/>
        </w:rPr>
      </w:pPr>
      <w:bookmarkStart w:id="139" w:name="_Toc493511761"/>
      <w:r>
        <w:rPr>
          <w:rFonts w:hint="eastAsia" w:ascii="微软雅黑" w:hAnsi="微软雅黑"/>
          <w:color w:val="auto"/>
          <w:szCs w:val="21"/>
          <w:highlight w:val="none"/>
        </w:rPr>
        <w:t>例如：某项目服务类招标代理业务中标金额为900万元，计算中标服务费收费额如下：</w:t>
      </w:r>
      <w:bookmarkEnd w:id="139"/>
    </w:p>
    <w:p w14:paraId="1E837D2D">
      <w:pPr>
        <w:spacing w:line="500" w:lineRule="exact"/>
        <w:ind w:firstLine="420"/>
        <w:rPr>
          <w:rFonts w:hint="eastAsia" w:ascii="微软雅黑" w:hAnsi="微软雅黑"/>
          <w:color w:val="auto"/>
          <w:szCs w:val="21"/>
          <w:highlight w:val="none"/>
        </w:rPr>
      </w:pPr>
      <w:bookmarkStart w:id="140" w:name="_Toc493511762"/>
      <w:r>
        <w:rPr>
          <w:rFonts w:hint="eastAsia" w:ascii="微软雅黑" w:hAnsi="微软雅黑"/>
          <w:color w:val="auto"/>
          <w:szCs w:val="21"/>
          <w:highlight w:val="none"/>
        </w:rPr>
        <w:t>100万元 × 1.5% = 1.5万元</w:t>
      </w:r>
      <w:bookmarkEnd w:id="140"/>
    </w:p>
    <w:p w14:paraId="4623414A">
      <w:pPr>
        <w:spacing w:line="500" w:lineRule="exact"/>
        <w:ind w:firstLine="420"/>
        <w:rPr>
          <w:rFonts w:hint="eastAsia" w:ascii="微软雅黑" w:hAnsi="微软雅黑"/>
          <w:color w:val="auto"/>
          <w:szCs w:val="21"/>
          <w:highlight w:val="none"/>
        </w:rPr>
      </w:pPr>
      <w:bookmarkStart w:id="141" w:name="_Toc493511763"/>
      <w:r>
        <w:rPr>
          <w:rFonts w:hint="eastAsia" w:ascii="微软雅黑" w:hAnsi="微软雅黑"/>
          <w:color w:val="auto"/>
          <w:szCs w:val="21"/>
          <w:highlight w:val="none"/>
        </w:rPr>
        <w:t>（500-100）万元 × 0.8% = 3.2万元</w:t>
      </w:r>
      <w:bookmarkEnd w:id="141"/>
    </w:p>
    <w:p w14:paraId="1684471E">
      <w:pPr>
        <w:spacing w:line="500" w:lineRule="exact"/>
        <w:ind w:firstLine="420"/>
        <w:rPr>
          <w:rFonts w:hint="eastAsia" w:ascii="微软雅黑" w:hAnsi="微软雅黑"/>
          <w:color w:val="auto"/>
          <w:szCs w:val="21"/>
          <w:highlight w:val="none"/>
        </w:rPr>
      </w:pPr>
      <w:bookmarkStart w:id="142" w:name="_Toc493511764"/>
      <w:r>
        <w:rPr>
          <w:rFonts w:hint="eastAsia" w:ascii="微软雅黑" w:hAnsi="微软雅黑"/>
          <w:color w:val="auto"/>
          <w:szCs w:val="21"/>
          <w:highlight w:val="none"/>
        </w:rPr>
        <w:t>（900-500）万元×0.45% = 1.8万元</w:t>
      </w:r>
      <w:bookmarkEnd w:id="142"/>
    </w:p>
    <w:p w14:paraId="0894D2AF">
      <w:pPr>
        <w:spacing w:line="500" w:lineRule="exact"/>
        <w:ind w:firstLine="420"/>
        <w:rPr>
          <w:rFonts w:hint="eastAsia" w:ascii="微软雅黑" w:hAnsi="微软雅黑"/>
          <w:color w:val="auto"/>
          <w:szCs w:val="21"/>
          <w:highlight w:val="none"/>
        </w:rPr>
      </w:pPr>
      <w:bookmarkStart w:id="143" w:name="_Toc493511765"/>
      <w:r>
        <w:rPr>
          <w:rFonts w:hint="eastAsia" w:ascii="微软雅黑" w:hAnsi="微软雅黑"/>
          <w:color w:val="auto"/>
          <w:szCs w:val="21"/>
          <w:highlight w:val="none"/>
        </w:rPr>
        <w:t>计收费 = 1.5万元 + 3.2万元+1.8万元 = 6.5万元</w:t>
      </w:r>
      <w:bookmarkEnd w:id="143"/>
    </w:p>
    <w:p w14:paraId="5DA06499">
      <w:pPr>
        <w:spacing w:line="500" w:lineRule="exact"/>
        <w:ind w:firstLine="420"/>
        <w:rPr>
          <w:rFonts w:hint="eastAsia" w:ascii="微软雅黑" w:hAnsi="微软雅黑"/>
          <w:color w:val="auto"/>
          <w:szCs w:val="21"/>
          <w:highlight w:val="none"/>
        </w:rPr>
      </w:pPr>
      <w:bookmarkStart w:id="144" w:name="_Toc493511766"/>
      <w:r>
        <w:rPr>
          <w:rFonts w:ascii="微软雅黑" w:hAnsi="微软雅黑"/>
          <w:color w:val="auto"/>
          <w:szCs w:val="21"/>
          <w:highlight w:val="none"/>
        </w:rPr>
        <w:t>3、</w:t>
      </w:r>
      <w:bookmarkEnd w:id="144"/>
      <w:r>
        <w:rPr>
          <w:rFonts w:hint="eastAsia" w:ascii="微软雅黑" w:hAnsi="微软雅黑" w:cs="微软雅黑"/>
          <w:color w:val="auto"/>
          <w:highlight w:val="none"/>
        </w:rPr>
        <w:t>本项目以人民币15500收取中标服务费，由中标单位支付</w:t>
      </w:r>
      <w:r>
        <w:rPr>
          <w:rFonts w:hint="eastAsia" w:ascii="微软雅黑" w:hAnsi="微软雅黑"/>
          <w:color w:val="auto"/>
          <w:szCs w:val="21"/>
          <w:highlight w:val="none"/>
        </w:rPr>
        <w:t>。</w:t>
      </w:r>
    </w:p>
    <w:p w14:paraId="255EB901">
      <w:pPr>
        <w:spacing w:line="500" w:lineRule="exact"/>
        <w:ind w:firstLine="420"/>
        <w:rPr>
          <w:rFonts w:hint="eastAsia" w:ascii="微软雅黑" w:hAnsi="微软雅黑"/>
          <w:color w:val="auto"/>
          <w:szCs w:val="21"/>
          <w:highlight w:val="none"/>
        </w:rPr>
      </w:pPr>
      <w:bookmarkStart w:id="145" w:name="_Toc493511767"/>
      <w:r>
        <w:rPr>
          <w:rFonts w:hint="eastAsia" w:ascii="微软雅黑" w:hAnsi="微软雅黑"/>
          <w:color w:val="auto"/>
          <w:szCs w:val="21"/>
          <w:highlight w:val="none"/>
        </w:rPr>
        <w:t>4、服务费的货币为人民币。</w:t>
      </w:r>
      <w:bookmarkEnd w:id="145"/>
    </w:p>
    <w:p w14:paraId="033DF3C9">
      <w:pPr>
        <w:spacing w:line="500" w:lineRule="exact"/>
        <w:ind w:firstLine="420"/>
        <w:rPr>
          <w:rFonts w:hint="eastAsia" w:ascii="微软雅黑" w:hAnsi="微软雅黑"/>
          <w:color w:val="auto"/>
          <w:szCs w:val="21"/>
          <w:highlight w:val="none"/>
        </w:rPr>
      </w:pPr>
      <w:bookmarkStart w:id="146" w:name="_Toc493511768"/>
      <w:r>
        <w:rPr>
          <w:rFonts w:hint="eastAsia" w:ascii="微软雅黑" w:hAnsi="微软雅黑"/>
          <w:color w:val="auto"/>
          <w:szCs w:val="21"/>
          <w:highlight w:val="none"/>
        </w:rPr>
        <w:t>5、服务费支付方式：一次性以银行划账、电汇、汇票或支票的形式支付。</w:t>
      </w:r>
      <w:bookmarkEnd w:id="146"/>
    </w:p>
    <w:p w14:paraId="2834DA0E">
      <w:pPr>
        <w:spacing w:line="500" w:lineRule="exact"/>
        <w:ind w:firstLine="420"/>
        <w:rPr>
          <w:rFonts w:hint="eastAsia" w:ascii="微软雅黑" w:hAnsi="微软雅黑"/>
          <w:color w:val="auto"/>
          <w:szCs w:val="21"/>
          <w:highlight w:val="none"/>
        </w:rPr>
      </w:pPr>
      <w:bookmarkStart w:id="147" w:name="_Toc493511769"/>
      <w:r>
        <w:rPr>
          <w:rFonts w:hint="eastAsia" w:ascii="微软雅黑" w:hAnsi="微软雅黑"/>
          <w:color w:val="auto"/>
          <w:szCs w:val="21"/>
          <w:highlight w:val="none"/>
        </w:rPr>
        <w:t>6、服务费以银行划账方式按下列要求提交：</w:t>
      </w:r>
      <w:bookmarkEnd w:id="147"/>
    </w:p>
    <w:p w14:paraId="21DDEDC6">
      <w:pPr>
        <w:spacing w:line="500" w:lineRule="exact"/>
        <w:ind w:firstLine="420"/>
        <w:rPr>
          <w:rFonts w:hint="eastAsia" w:ascii="微软雅黑" w:hAnsi="微软雅黑"/>
          <w:color w:val="auto"/>
          <w:szCs w:val="21"/>
          <w:highlight w:val="none"/>
        </w:rPr>
      </w:pPr>
      <w:bookmarkStart w:id="148" w:name="_Toc493511770"/>
      <w:r>
        <w:rPr>
          <w:rFonts w:hint="eastAsia" w:ascii="微软雅黑" w:hAnsi="微软雅黑"/>
          <w:color w:val="auto"/>
          <w:szCs w:val="21"/>
          <w:highlight w:val="none"/>
        </w:rPr>
        <w:t>收款人：嘉兴市千秋工程咨询有限公司</w:t>
      </w:r>
      <w:bookmarkEnd w:id="148"/>
    </w:p>
    <w:p w14:paraId="40286F81">
      <w:pPr>
        <w:spacing w:line="500" w:lineRule="exact"/>
        <w:ind w:firstLine="420"/>
        <w:rPr>
          <w:rFonts w:hint="eastAsia" w:ascii="微软雅黑" w:hAnsi="微软雅黑"/>
          <w:color w:val="auto"/>
          <w:szCs w:val="21"/>
          <w:highlight w:val="none"/>
        </w:rPr>
      </w:pPr>
      <w:bookmarkStart w:id="149" w:name="_Toc493511771"/>
      <w:r>
        <w:rPr>
          <w:rFonts w:hint="eastAsia" w:ascii="微软雅黑" w:hAnsi="微软雅黑"/>
          <w:color w:val="auto"/>
          <w:szCs w:val="21"/>
          <w:highlight w:val="none"/>
        </w:rPr>
        <w:t>户名：嘉兴市千秋工程咨询有限公司</w:t>
      </w:r>
      <w:bookmarkEnd w:id="149"/>
    </w:p>
    <w:p w14:paraId="5ACDD497">
      <w:pPr>
        <w:spacing w:line="500" w:lineRule="exact"/>
        <w:ind w:firstLine="420"/>
        <w:rPr>
          <w:rFonts w:hint="eastAsia" w:ascii="微软雅黑" w:hAnsi="微软雅黑"/>
          <w:color w:val="auto"/>
          <w:szCs w:val="21"/>
          <w:highlight w:val="none"/>
        </w:rPr>
      </w:pPr>
      <w:bookmarkStart w:id="150" w:name="_Toc493511772"/>
      <w:r>
        <w:rPr>
          <w:rFonts w:hint="eastAsia" w:ascii="微软雅黑" w:hAnsi="微软雅黑"/>
          <w:color w:val="auto"/>
          <w:szCs w:val="21"/>
          <w:highlight w:val="none"/>
        </w:rPr>
        <w:t>开户银行：交通银行嘉兴分行</w:t>
      </w:r>
      <w:bookmarkEnd w:id="150"/>
    </w:p>
    <w:p w14:paraId="3E69A709">
      <w:pPr>
        <w:spacing w:line="500" w:lineRule="exact"/>
        <w:ind w:firstLine="420"/>
        <w:rPr>
          <w:rFonts w:hint="eastAsia" w:ascii="微软雅黑" w:hAnsi="微软雅黑"/>
          <w:color w:val="auto"/>
          <w:szCs w:val="21"/>
          <w:highlight w:val="none"/>
        </w:rPr>
      </w:pPr>
      <w:bookmarkStart w:id="151" w:name="_Toc493511773"/>
      <w:r>
        <w:rPr>
          <w:rFonts w:hint="eastAsia" w:ascii="微软雅黑" w:hAnsi="微软雅黑"/>
          <w:color w:val="auto"/>
          <w:szCs w:val="21"/>
          <w:highlight w:val="none"/>
        </w:rPr>
        <w:t>账号：334601000018170160050</w:t>
      </w:r>
      <w:bookmarkEnd w:id="151"/>
    </w:p>
    <w:p w14:paraId="31721AAB">
      <w:pPr>
        <w:pStyle w:val="104"/>
        <w:numPr>
          <w:ilvl w:val="0"/>
          <w:numId w:val="38"/>
        </w:numPr>
        <w:spacing w:line="500" w:lineRule="exact"/>
        <w:ind w:firstLineChars="0"/>
        <w:rPr>
          <w:rFonts w:hint="eastAsia" w:ascii="微软雅黑" w:hAnsi="微软雅黑"/>
          <w:color w:val="auto"/>
          <w:szCs w:val="21"/>
          <w:highlight w:val="none"/>
        </w:rPr>
      </w:pPr>
      <w:bookmarkStart w:id="152" w:name="_Toc493511775"/>
      <w:r>
        <w:rPr>
          <w:rFonts w:hint="eastAsia" w:ascii="微软雅黑" w:hAnsi="微软雅黑"/>
          <w:color w:val="auto"/>
          <w:szCs w:val="21"/>
          <w:highlight w:val="none"/>
        </w:rPr>
        <w:t>服务费不在投标报价中单列。</w:t>
      </w:r>
      <w:bookmarkEnd w:id="152"/>
    </w:p>
    <w:p w14:paraId="681380AF">
      <w:pPr>
        <w:pStyle w:val="50"/>
        <w:spacing w:before="0" w:after="0"/>
        <w:ind w:firstLine="640"/>
        <w:outlineLvl w:val="9"/>
        <w:rPr>
          <w:rFonts w:hint="eastAsia" w:ascii="微软雅黑" w:hAnsi="微软雅黑"/>
          <w:color w:val="auto"/>
          <w:highlight w:val="none"/>
        </w:rPr>
        <w:sectPr>
          <w:footerReference r:id="rId22" w:type="first"/>
          <w:footerReference r:id="rId21" w:type="default"/>
          <w:type w:val="nextColumn"/>
          <w:pgSz w:w="11906" w:h="16838"/>
          <w:pgMar w:top="1474" w:right="1134" w:bottom="1134" w:left="1474" w:header="851" w:footer="851" w:gutter="0"/>
          <w:pgBorders>
            <w:top w:val="none" w:sz="0" w:space="0"/>
            <w:left w:val="none" w:sz="0" w:space="0"/>
            <w:bottom w:val="none" w:sz="0" w:space="0"/>
            <w:right w:val="none" w:sz="0" w:space="0"/>
          </w:pgBorders>
          <w:cols w:space="720" w:num="1"/>
          <w:docGrid w:linePitch="312" w:charSpace="0"/>
        </w:sectPr>
      </w:pPr>
      <w:bookmarkStart w:id="153" w:name="_Toc493511776"/>
      <w:bookmarkStart w:id="154" w:name="_Toc25435"/>
      <w:bookmarkStart w:id="155" w:name="_Toc177870559"/>
      <w:bookmarkStart w:id="156" w:name="_Toc170792807"/>
      <w:bookmarkStart w:id="157" w:name="_Toc416422800"/>
      <w:bookmarkStart w:id="158" w:name="_Toc417992896"/>
      <w:bookmarkStart w:id="159" w:name="_Toc493511826"/>
      <w:bookmarkStart w:id="160" w:name="_Toc170792802"/>
    </w:p>
    <w:p w14:paraId="52F003E8">
      <w:pPr>
        <w:pStyle w:val="5"/>
        <w:numPr>
          <w:ilvl w:val="0"/>
          <w:numId w:val="3"/>
        </w:numPr>
        <w:rPr>
          <w:rStyle w:val="70"/>
          <w:b/>
          <w:bCs/>
          <w:color w:val="auto"/>
          <w:highlight w:val="none"/>
        </w:rPr>
      </w:pPr>
      <w:bookmarkStart w:id="161" w:name="_Toc27645"/>
      <w:r>
        <w:rPr>
          <w:rStyle w:val="70"/>
          <w:rFonts w:hint="eastAsia"/>
          <w:b/>
          <w:bCs/>
          <w:color w:val="auto"/>
          <w:highlight w:val="none"/>
        </w:rPr>
        <w:t>评标办法及评分标准</w:t>
      </w:r>
      <w:bookmarkEnd w:id="153"/>
      <w:bookmarkEnd w:id="154"/>
      <w:bookmarkEnd w:id="161"/>
    </w:p>
    <w:p w14:paraId="759124E1">
      <w:pPr>
        <w:spacing w:before="120" w:beforeLines="50" w:after="120" w:afterLines="50"/>
        <w:ind w:firstLine="420"/>
        <w:rPr>
          <w:rFonts w:hint="eastAsia" w:ascii="宋体" w:hAnsi="宋体"/>
          <w:color w:val="auto"/>
          <w:highlight w:val="none"/>
        </w:rPr>
      </w:pPr>
      <w:r>
        <w:rPr>
          <w:rFonts w:hint="eastAsia" w:ascii="宋体" w:hAnsi="宋体"/>
          <w:color w:val="auto"/>
          <w:highlight w:val="none"/>
        </w:rPr>
        <w:t>为公正、公平、科学地选择中标供应商，根据《中华人民共和国政府采购法》等有关法律法规的规定，并结合本项目的实际，制定本办法。</w:t>
      </w:r>
    </w:p>
    <w:p w14:paraId="1C35EA03">
      <w:pPr>
        <w:spacing w:line="600" w:lineRule="exact"/>
        <w:ind w:firstLine="420"/>
        <w:rPr>
          <w:rFonts w:hint="eastAsia" w:ascii="微软雅黑" w:hAnsi="微软雅黑"/>
          <w:color w:val="auto"/>
          <w:szCs w:val="21"/>
          <w:highlight w:val="none"/>
        </w:rPr>
      </w:pPr>
      <w:r>
        <w:rPr>
          <w:rFonts w:hint="eastAsia" w:ascii="宋体" w:hAnsi="宋体"/>
          <w:color w:val="auto"/>
          <w:highlight w:val="none"/>
        </w:rPr>
        <w:t>本办法适用于本项目的评标</w:t>
      </w:r>
      <w:r>
        <w:rPr>
          <w:rFonts w:hint="eastAsia" w:ascii="微软雅黑" w:hAnsi="微软雅黑"/>
          <w:color w:val="auto"/>
          <w:szCs w:val="21"/>
          <w:highlight w:val="none"/>
        </w:rPr>
        <w:t>。</w:t>
      </w:r>
    </w:p>
    <w:bookmarkEnd w:id="155"/>
    <w:bookmarkEnd w:id="156"/>
    <w:p w14:paraId="4180A7D6">
      <w:pPr>
        <w:pStyle w:val="6"/>
        <w:ind w:firstLine="420"/>
        <w:rPr>
          <w:rFonts w:hint="eastAsia" w:ascii="微软雅黑" w:hAnsi="微软雅黑"/>
          <w:b w:val="0"/>
          <w:color w:val="auto"/>
          <w:szCs w:val="21"/>
          <w:highlight w:val="none"/>
        </w:rPr>
      </w:pPr>
      <w:bookmarkStart w:id="162" w:name="_Toc597"/>
      <w:r>
        <w:rPr>
          <w:rFonts w:hint="eastAsia" w:ascii="微软雅黑" w:hAnsi="微软雅黑"/>
          <w:color w:val="auto"/>
          <w:szCs w:val="21"/>
          <w:highlight w:val="none"/>
        </w:rPr>
        <w:t>一、总则</w:t>
      </w:r>
      <w:bookmarkEnd w:id="162"/>
    </w:p>
    <w:p w14:paraId="7408AD53">
      <w:pPr>
        <w:spacing w:before="120" w:beforeLines="50" w:after="120" w:afterLines="50"/>
        <w:ind w:firstLine="420"/>
        <w:rPr>
          <w:rFonts w:hint="eastAsia" w:ascii="宋体" w:hAnsi="宋体"/>
          <w:color w:val="auto"/>
          <w:highlight w:val="none"/>
        </w:rPr>
      </w:pPr>
      <w:r>
        <w:rPr>
          <w:rFonts w:hint="eastAsia" w:ascii="宋体" w:hAnsi="宋体"/>
          <w:color w:val="auto"/>
          <w:highlight w:val="none"/>
        </w:rPr>
        <w:t>本次评标采用综合评分法，总分为100分。合格供应商的评标得分为各项目汇总得分，中标候选资格按评标得分由高到低顺序排列，得分相同的，按投标报价由低到高顺序排列；得分且投标报价相同的，按商务技术得分由高到低顺序排列，仍不能分出前后的，以投标解密先后顺序确定中标候选供应商。采购人应从评审报告确定的中标候选供应商名单中按顺序确定中标供应商，中标供应商拒绝与采购人签订合同的，确定下一候选供应商为中标供应商，也可以重新开展政府采购活动。评分过程中采用四舍五入法，并保留小数2位。</w:t>
      </w:r>
    </w:p>
    <w:p w14:paraId="4BBF112C">
      <w:pPr>
        <w:spacing w:before="120" w:beforeLines="50" w:after="120" w:afterLines="50"/>
        <w:ind w:firstLine="420"/>
        <w:rPr>
          <w:rFonts w:hint="eastAsia" w:ascii="宋体" w:hAnsi="宋体"/>
          <w:color w:val="auto"/>
          <w:highlight w:val="none"/>
        </w:rPr>
      </w:pPr>
      <w:r>
        <w:rPr>
          <w:rFonts w:hint="eastAsia" w:ascii="宋体" w:hAnsi="宋体"/>
          <w:color w:val="auto"/>
          <w:highlight w:val="none"/>
        </w:rPr>
        <w:t>供应商评标综合得分=价格分+技术分+资信及其他分</w:t>
      </w:r>
    </w:p>
    <w:p w14:paraId="0C7FEDF1">
      <w:pPr>
        <w:pStyle w:val="6"/>
        <w:ind w:firstLine="420"/>
        <w:rPr>
          <w:rFonts w:hint="eastAsia" w:ascii="微软雅黑" w:hAnsi="微软雅黑"/>
          <w:b w:val="0"/>
          <w:color w:val="auto"/>
          <w:szCs w:val="21"/>
          <w:highlight w:val="none"/>
        </w:rPr>
      </w:pPr>
      <w:bookmarkStart w:id="163" w:name="_Toc23206"/>
      <w:r>
        <w:rPr>
          <w:rFonts w:hint="eastAsia" w:ascii="微软雅黑" w:hAnsi="微软雅黑"/>
          <w:color w:val="auto"/>
          <w:szCs w:val="21"/>
          <w:highlight w:val="none"/>
        </w:rPr>
        <w:t>二、评标内容及标准</w:t>
      </w:r>
      <w:bookmarkEnd w:id="163"/>
    </w:p>
    <w:p w14:paraId="794390DE">
      <w:pPr>
        <w:pStyle w:val="9"/>
        <w:spacing w:before="120" w:beforeLines="50" w:after="120" w:afterLines="50" w:line="360" w:lineRule="auto"/>
        <w:ind w:firstLine="404"/>
        <w:outlineLvl w:val="1"/>
        <w:rPr>
          <w:rFonts w:hint="eastAsia" w:ascii="微软雅黑" w:hAnsi="微软雅黑"/>
          <w:b/>
          <w:bCs/>
          <w:color w:val="auto"/>
          <w:sz w:val="21"/>
          <w:szCs w:val="21"/>
          <w:highlight w:val="none"/>
        </w:rPr>
      </w:pPr>
      <w:r>
        <w:rPr>
          <w:rFonts w:hint="eastAsia" w:ascii="微软雅黑" w:hAnsi="微软雅黑"/>
          <w:b/>
          <w:color w:val="auto"/>
          <w:sz w:val="21"/>
          <w:szCs w:val="21"/>
          <w:highlight w:val="none"/>
        </w:rPr>
        <w:t>（一）</w:t>
      </w:r>
      <w:r>
        <w:rPr>
          <w:rFonts w:hint="eastAsia" w:ascii="微软雅黑" w:hAnsi="微软雅黑"/>
          <w:b/>
          <w:bCs/>
          <w:color w:val="auto"/>
          <w:sz w:val="21"/>
          <w:szCs w:val="21"/>
          <w:highlight w:val="none"/>
        </w:rPr>
        <w:t>价格分（15分）</w:t>
      </w:r>
    </w:p>
    <w:p w14:paraId="349B3043">
      <w:pPr>
        <w:pStyle w:val="9"/>
        <w:numPr>
          <w:ilvl w:val="0"/>
          <w:numId w:val="39"/>
        </w:numPr>
        <w:spacing w:before="120" w:beforeLines="50" w:after="120" w:afterLines="50" w:line="360" w:lineRule="auto"/>
        <w:ind w:left="0" w:firstLine="404"/>
        <w:rPr>
          <w:rFonts w:hint="eastAsia" w:ascii="微软雅黑" w:hAnsi="微软雅黑"/>
          <w:bCs/>
          <w:color w:val="auto"/>
          <w:sz w:val="21"/>
          <w:szCs w:val="21"/>
          <w:highlight w:val="none"/>
        </w:rPr>
      </w:pPr>
      <w:r>
        <w:rPr>
          <w:rFonts w:hint="eastAsia" w:ascii="微软雅黑" w:hAnsi="微软雅黑"/>
          <w:bCs/>
          <w:color w:val="auto"/>
          <w:sz w:val="21"/>
          <w:szCs w:val="21"/>
          <w:highlight w:val="none"/>
        </w:rPr>
        <w:t>价格分采用低价优先法计算，即满足招标文件要求且投标价格最低的投标报价为评标基准价，其他供应商的价格分按照下列公式计算：</w:t>
      </w:r>
    </w:p>
    <w:p w14:paraId="4D014314">
      <w:pPr>
        <w:spacing w:before="120" w:beforeLines="50" w:after="120" w:afterLines="50"/>
        <w:ind w:firstLine="420"/>
        <w:rPr>
          <w:rFonts w:hint="eastAsia" w:ascii="微软雅黑" w:hAnsi="微软雅黑"/>
          <w:color w:val="auto"/>
          <w:kern w:val="0"/>
          <w:szCs w:val="21"/>
          <w:highlight w:val="none"/>
        </w:rPr>
      </w:pPr>
      <w:r>
        <w:rPr>
          <w:rFonts w:hint="eastAsia" w:ascii="微软雅黑" w:hAnsi="微软雅黑"/>
          <w:color w:val="auto"/>
          <w:szCs w:val="21"/>
          <w:highlight w:val="none"/>
        </w:rPr>
        <w:t>价格分=（评标基准价/投标报价）×15%×100</w:t>
      </w:r>
      <w:r>
        <w:rPr>
          <w:rFonts w:hint="eastAsia" w:ascii="微软雅黑" w:hAnsi="微软雅黑"/>
          <w:color w:val="auto"/>
          <w:kern w:val="0"/>
          <w:szCs w:val="21"/>
          <w:highlight w:val="none"/>
        </w:rPr>
        <w:t>。</w:t>
      </w:r>
    </w:p>
    <w:p w14:paraId="77C1C6A2">
      <w:pPr>
        <w:pStyle w:val="9"/>
        <w:numPr>
          <w:ilvl w:val="0"/>
          <w:numId w:val="39"/>
        </w:numPr>
        <w:spacing w:before="120" w:beforeLines="50" w:after="120" w:afterLines="50" w:line="360" w:lineRule="auto"/>
        <w:ind w:left="0" w:firstLine="404"/>
        <w:rPr>
          <w:rFonts w:hint="eastAsia" w:ascii="微软雅黑" w:hAnsi="微软雅黑"/>
          <w:bCs/>
          <w:color w:val="auto"/>
          <w:sz w:val="21"/>
          <w:szCs w:val="21"/>
          <w:highlight w:val="none"/>
        </w:rPr>
      </w:pPr>
      <w:r>
        <w:rPr>
          <w:rFonts w:hint="eastAsia" w:ascii="微软雅黑" w:hAnsi="微软雅黑"/>
          <w:bCs/>
          <w:color w:val="auto"/>
          <w:sz w:val="21"/>
          <w:szCs w:val="21"/>
          <w:highlight w:val="none"/>
        </w:rPr>
        <w:t>供应商的投标报价超过采购人设定的最高限价，将作为无效标。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7D6C3388">
      <w:pPr>
        <w:pStyle w:val="36"/>
        <w:ind w:firstLine="0" w:firstLineChars="0"/>
        <w:rPr>
          <w:color w:val="auto"/>
          <w:highlight w:val="none"/>
        </w:rPr>
      </w:pPr>
    </w:p>
    <w:p w14:paraId="0F7B04CA">
      <w:pPr>
        <w:pStyle w:val="36"/>
        <w:ind w:firstLine="0" w:firstLineChars="0"/>
        <w:rPr>
          <w:color w:val="auto"/>
          <w:highlight w:val="none"/>
        </w:rPr>
      </w:pPr>
    </w:p>
    <w:p w14:paraId="4B1BEEFA">
      <w:pPr>
        <w:pStyle w:val="36"/>
        <w:ind w:firstLine="0" w:firstLineChars="0"/>
        <w:rPr>
          <w:color w:val="auto"/>
          <w:highlight w:val="none"/>
        </w:rPr>
      </w:pPr>
    </w:p>
    <w:p w14:paraId="2B946D5F">
      <w:pPr>
        <w:pStyle w:val="36"/>
        <w:ind w:firstLine="0" w:firstLineChars="0"/>
        <w:rPr>
          <w:color w:val="auto"/>
          <w:highlight w:val="none"/>
        </w:rPr>
      </w:pPr>
    </w:p>
    <w:p w14:paraId="2FF87FB2">
      <w:pPr>
        <w:numPr>
          <w:ilvl w:val="0"/>
          <w:numId w:val="40"/>
        </w:numPr>
        <w:tabs>
          <w:tab w:val="left" w:pos="3870"/>
          <w:tab w:val="left" w:pos="4085"/>
        </w:tabs>
        <w:snapToGrid w:val="0"/>
        <w:ind w:firstLine="420"/>
        <w:outlineLvl w:val="1"/>
        <w:rPr>
          <w:color w:val="auto"/>
          <w:highlight w:val="none"/>
        </w:rPr>
      </w:pPr>
      <w:bookmarkStart w:id="164" w:name="_Toc5085"/>
      <w:r>
        <w:rPr>
          <w:rFonts w:hint="eastAsia" w:ascii="微软雅黑" w:hAnsi="微软雅黑" w:cs="微软雅黑"/>
          <w:b/>
          <w:color w:val="auto"/>
          <w:szCs w:val="21"/>
          <w:highlight w:val="none"/>
        </w:rPr>
        <w:t>技术、资信分</w:t>
      </w:r>
      <w:r>
        <w:rPr>
          <w:rFonts w:hint="eastAsia" w:ascii="微软雅黑" w:hAnsi="微软雅黑" w:cs="微软雅黑"/>
          <w:b/>
          <w:bCs/>
          <w:color w:val="auto"/>
          <w:szCs w:val="21"/>
          <w:highlight w:val="none"/>
        </w:rPr>
        <w:t>：</w:t>
      </w:r>
      <w:bookmarkEnd w:id="164"/>
    </w:p>
    <w:tbl>
      <w:tblPr>
        <w:tblStyle w:val="54"/>
        <w:tblW w:w="9826" w:type="dxa"/>
        <w:jc w:val="center"/>
        <w:tblLayout w:type="fixed"/>
        <w:tblCellMar>
          <w:top w:w="0" w:type="dxa"/>
          <w:left w:w="108" w:type="dxa"/>
          <w:bottom w:w="0" w:type="dxa"/>
          <w:right w:w="108" w:type="dxa"/>
        </w:tblCellMar>
      </w:tblPr>
      <w:tblGrid>
        <w:gridCol w:w="713"/>
        <w:gridCol w:w="7483"/>
        <w:gridCol w:w="815"/>
        <w:gridCol w:w="815"/>
      </w:tblGrid>
      <w:tr w14:paraId="1D845FF4">
        <w:tblPrEx>
          <w:tblCellMar>
            <w:top w:w="0" w:type="dxa"/>
            <w:left w:w="108" w:type="dxa"/>
            <w:bottom w:w="0" w:type="dxa"/>
            <w:right w:w="108" w:type="dxa"/>
          </w:tblCellMar>
        </w:tblPrEx>
        <w:trPr>
          <w:trHeight w:val="92" w:hRule="atLeast"/>
          <w:jc w:val="center"/>
        </w:trPr>
        <w:tc>
          <w:tcPr>
            <w:tcW w:w="713" w:type="dxa"/>
            <w:tcBorders>
              <w:top w:val="single" w:color="000000" w:sz="4" w:space="0"/>
              <w:left w:val="single" w:color="000000" w:sz="4" w:space="0"/>
              <w:bottom w:val="single" w:color="000000" w:sz="4" w:space="0"/>
              <w:right w:val="single" w:color="000000" w:sz="4" w:space="0"/>
            </w:tcBorders>
            <w:vAlign w:val="center"/>
          </w:tcPr>
          <w:p w14:paraId="74461C33">
            <w:pPr>
              <w:widowControl/>
              <w:spacing w:line="240" w:lineRule="auto"/>
              <w:ind w:firstLine="0" w:firstLineChars="0"/>
              <w:jc w:val="center"/>
              <w:textAlignment w:val="center"/>
              <w:rPr>
                <w:rFonts w:hint="eastAsia" w:ascii="微软雅黑" w:hAnsi="微软雅黑" w:cs="微软雅黑"/>
                <w:color w:val="auto"/>
                <w:szCs w:val="21"/>
                <w:highlight w:val="none"/>
              </w:rPr>
            </w:pPr>
            <w:r>
              <w:rPr>
                <w:rStyle w:val="277"/>
                <w:rFonts w:ascii="微软雅黑" w:hAnsi="微软雅黑" w:eastAsia="微软雅黑" w:cs="微软雅黑"/>
                <w:color w:val="auto"/>
                <w:sz w:val="21"/>
                <w:szCs w:val="21"/>
                <w:highlight w:val="none"/>
              </w:rPr>
              <w:t>序号</w:t>
            </w:r>
          </w:p>
        </w:tc>
        <w:tc>
          <w:tcPr>
            <w:tcW w:w="7483" w:type="dxa"/>
            <w:tcBorders>
              <w:top w:val="single" w:color="000000" w:sz="4" w:space="0"/>
              <w:left w:val="single" w:color="000000" w:sz="4" w:space="0"/>
              <w:bottom w:val="single" w:color="000000" w:sz="4" w:space="0"/>
              <w:right w:val="single" w:color="000000" w:sz="4" w:space="0"/>
            </w:tcBorders>
            <w:vAlign w:val="center"/>
          </w:tcPr>
          <w:p w14:paraId="12A44543">
            <w:pPr>
              <w:widowControl/>
              <w:spacing w:line="240" w:lineRule="auto"/>
              <w:ind w:firstLine="0" w:firstLineChars="0"/>
              <w:jc w:val="center"/>
              <w:textAlignment w:val="center"/>
              <w:rPr>
                <w:rFonts w:hint="eastAsia" w:ascii="微软雅黑" w:hAnsi="微软雅黑" w:cs="微软雅黑"/>
                <w:color w:val="auto"/>
                <w:szCs w:val="21"/>
                <w:highlight w:val="none"/>
              </w:rPr>
            </w:pPr>
            <w:r>
              <w:rPr>
                <w:rStyle w:val="277"/>
                <w:rFonts w:ascii="微软雅黑" w:hAnsi="微软雅黑" w:eastAsia="微软雅黑" w:cs="微软雅黑"/>
                <w:color w:val="auto"/>
                <w:sz w:val="21"/>
                <w:szCs w:val="21"/>
                <w:highlight w:val="none"/>
              </w:rPr>
              <w:t>评分内容</w:t>
            </w:r>
          </w:p>
        </w:tc>
        <w:tc>
          <w:tcPr>
            <w:tcW w:w="815" w:type="dxa"/>
            <w:tcBorders>
              <w:top w:val="single" w:color="000000" w:sz="4" w:space="0"/>
              <w:left w:val="single" w:color="000000" w:sz="4" w:space="0"/>
              <w:bottom w:val="single" w:color="000000" w:sz="4" w:space="0"/>
              <w:right w:val="single" w:color="000000" w:sz="4" w:space="0"/>
            </w:tcBorders>
            <w:vAlign w:val="center"/>
          </w:tcPr>
          <w:p w14:paraId="5C2432D0">
            <w:pPr>
              <w:widowControl/>
              <w:spacing w:line="240" w:lineRule="auto"/>
              <w:ind w:firstLine="0" w:firstLineChars="0"/>
              <w:jc w:val="center"/>
              <w:textAlignment w:val="center"/>
              <w:rPr>
                <w:rFonts w:hint="eastAsia" w:ascii="微软雅黑" w:hAnsi="微软雅黑" w:cs="微软雅黑"/>
                <w:color w:val="auto"/>
                <w:szCs w:val="21"/>
                <w:highlight w:val="none"/>
              </w:rPr>
            </w:pPr>
            <w:r>
              <w:rPr>
                <w:rStyle w:val="277"/>
                <w:rFonts w:ascii="微软雅黑" w:hAnsi="微软雅黑" w:eastAsia="微软雅黑" w:cs="微软雅黑"/>
                <w:color w:val="auto"/>
                <w:sz w:val="21"/>
                <w:szCs w:val="21"/>
                <w:highlight w:val="none"/>
              </w:rPr>
              <w:t>最高分值</w:t>
            </w:r>
          </w:p>
        </w:tc>
        <w:tc>
          <w:tcPr>
            <w:tcW w:w="815" w:type="dxa"/>
            <w:tcBorders>
              <w:top w:val="single" w:color="000000" w:sz="4" w:space="0"/>
              <w:left w:val="single" w:color="000000" w:sz="4" w:space="0"/>
              <w:bottom w:val="single" w:color="000000" w:sz="4" w:space="0"/>
              <w:right w:val="single" w:color="000000" w:sz="4" w:space="0"/>
            </w:tcBorders>
            <w:vAlign w:val="center"/>
          </w:tcPr>
          <w:p w14:paraId="393BFF28">
            <w:pPr>
              <w:widowControl/>
              <w:spacing w:line="240" w:lineRule="auto"/>
              <w:ind w:firstLine="0" w:firstLineChars="0"/>
              <w:jc w:val="center"/>
              <w:textAlignment w:val="center"/>
              <w:rPr>
                <w:rStyle w:val="277"/>
                <w:rFonts w:hint="default" w:ascii="微软雅黑" w:hAnsi="微软雅黑" w:eastAsia="微软雅黑" w:cs="微软雅黑"/>
                <w:color w:val="auto"/>
                <w:sz w:val="21"/>
                <w:szCs w:val="21"/>
                <w:highlight w:val="none"/>
              </w:rPr>
            </w:pPr>
            <w:r>
              <w:rPr>
                <w:rStyle w:val="277"/>
                <w:rFonts w:ascii="微软雅黑" w:hAnsi="微软雅黑" w:eastAsia="微软雅黑" w:cs="微软雅黑"/>
                <w:color w:val="auto"/>
                <w:sz w:val="21"/>
                <w:szCs w:val="21"/>
                <w:highlight w:val="none"/>
              </w:rPr>
              <w:t>评分设置</w:t>
            </w:r>
          </w:p>
        </w:tc>
      </w:tr>
      <w:tr w14:paraId="7FBB4EB0">
        <w:tblPrEx>
          <w:tblCellMar>
            <w:top w:w="0" w:type="dxa"/>
            <w:left w:w="108" w:type="dxa"/>
            <w:bottom w:w="0" w:type="dxa"/>
            <w:right w:w="108" w:type="dxa"/>
          </w:tblCellMar>
        </w:tblPrEx>
        <w:trPr>
          <w:trHeight w:val="92" w:hRule="atLeast"/>
          <w:jc w:val="center"/>
        </w:trPr>
        <w:tc>
          <w:tcPr>
            <w:tcW w:w="713" w:type="dxa"/>
            <w:tcBorders>
              <w:top w:val="single" w:color="000000" w:sz="4" w:space="0"/>
              <w:left w:val="single" w:color="000000" w:sz="4" w:space="0"/>
              <w:bottom w:val="single" w:color="000000" w:sz="4" w:space="0"/>
              <w:right w:val="single" w:color="000000" w:sz="4" w:space="0"/>
            </w:tcBorders>
            <w:vAlign w:val="center"/>
          </w:tcPr>
          <w:p w14:paraId="7882F832">
            <w:pPr>
              <w:widowControl/>
              <w:spacing w:line="240" w:lineRule="auto"/>
              <w:ind w:firstLine="0" w:firstLineChars="0"/>
              <w:jc w:val="center"/>
              <w:textAlignment w:val="center"/>
              <w:rPr>
                <w:rStyle w:val="277"/>
                <w:rFonts w:hint="default" w:ascii="微软雅黑" w:hAnsi="微软雅黑" w:eastAsia="微软雅黑" w:cs="微软雅黑"/>
                <w:color w:val="auto"/>
                <w:sz w:val="21"/>
                <w:szCs w:val="21"/>
                <w:highlight w:val="none"/>
              </w:rPr>
            </w:pPr>
            <w:r>
              <w:rPr>
                <w:rStyle w:val="277"/>
                <w:rFonts w:ascii="微软雅黑" w:hAnsi="微软雅黑" w:cs="微软雅黑"/>
                <w:color w:val="auto"/>
                <w:sz w:val="21"/>
                <w:szCs w:val="21"/>
                <w:highlight w:val="none"/>
              </w:rPr>
              <w:t>1</w:t>
            </w:r>
          </w:p>
        </w:tc>
        <w:tc>
          <w:tcPr>
            <w:tcW w:w="7483" w:type="dxa"/>
            <w:tcBorders>
              <w:top w:val="single" w:color="000000" w:sz="4" w:space="0"/>
              <w:left w:val="single" w:color="000000" w:sz="4" w:space="0"/>
              <w:bottom w:val="single" w:color="000000" w:sz="4" w:space="0"/>
              <w:right w:val="single" w:color="000000" w:sz="4" w:space="0"/>
            </w:tcBorders>
            <w:vAlign w:val="center"/>
          </w:tcPr>
          <w:p w14:paraId="079BDD4B">
            <w:pPr>
              <w:pStyle w:val="104"/>
              <w:widowControl/>
              <w:spacing w:line="440" w:lineRule="exact"/>
              <w:ind w:firstLine="0" w:firstLineChars="0"/>
              <w:textAlignment w:val="center"/>
              <w:rPr>
                <w:rStyle w:val="277"/>
                <w:rFonts w:hint="default" w:ascii="微软雅黑" w:hAnsi="微软雅黑" w:eastAsia="微软雅黑" w:cs="微软雅黑"/>
                <w:color w:val="auto"/>
                <w:sz w:val="21"/>
                <w:szCs w:val="21"/>
                <w:highlight w:val="none"/>
              </w:rPr>
            </w:pPr>
            <w:r>
              <w:rPr>
                <w:rFonts w:hint="eastAsia" w:ascii="微软雅黑" w:hAnsi="微软雅黑" w:cs="微软雅黑"/>
                <w:color w:val="auto"/>
                <w:szCs w:val="21"/>
                <w:highlight w:val="none"/>
              </w:rPr>
              <w:t>根据投标单位针对本项目招标需求的总体理解，提出服务定位、目标等服务理念，能够切合实际，充分考虑保险对象日常需求，对本次服务内容的目标有较深入的理解。（评分范围：5/4/3/2/1,没有不得分）。</w:t>
            </w:r>
          </w:p>
        </w:tc>
        <w:tc>
          <w:tcPr>
            <w:tcW w:w="815" w:type="dxa"/>
            <w:tcBorders>
              <w:top w:val="single" w:color="000000" w:sz="4" w:space="0"/>
              <w:left w:val="single" w:color="000000" w:sz="4" w:space="0"/>
              <w:bottom w:val="single" w:color="000000" w:sz="4" w:space="0"/>
              <w:right w:val="single" w:color="000000" w:sz="4" w:space="0"/>
            </w:tcBorders>
            <w:vAlign w:val="center"/>
          </w:tcPr>
          <w:p w14:paraId="30AA74F6">
            <w:pPr>
              <w:widowControl/>
              <w:spacing w:line="440" w:lineRule="exact"/>
              <w:ind w:firstLine="0" w:firstLineChars="0"/>
              <w:jc w:val="center"/>
              <w:textAlignment w:val="center"/>
              <w:rPr>
                <w:rStyle w:val="277"/>
                <w:rFonts w:hint="default" w:ascii="微软雅黑" w:hAnsi="微软雅黑" w:eastAsia="微软雅黑" w:cs="微软雅黑"/>
                <w:color w:val="auto"/>
                <w:sz w:val="21"/>
                <w:szCs w:val="21"/>
                <w:highlight w:val="none"/>
              </w:rPr>
            </w:pPr>
            <w:r>
              <w:rPr>
                <w:rFonts w:hint="eastAsia" w:ascii="微软雅黑" w:hAnsi="微软雅黑" w:cs="微软雅黑"/>
                <w:color w:val="auto"/>
                <w:szCs w:val="21"/>
                <w:highlight w:val="none"/>
              </w:rPr>
              <w:t>5</w:t>
            </w:r>
          </w:p>
        </w:tc>
        <w:tc>
          <w:tcPr>
            <w:tcW w:w="815" w:type="dxa"/>
            <w:tcBorders>
              <w:top w:val="single" w:color="000000" w:sz="4" w:space="0"/>
              <w:left w:val="single" w:color="000000" w:sz="4" w:space="0"/>
              <w:bottom w:val="single" w:color="000000" w:sz="4" w:space="0"/>
              <w:right w:val="single" w:color="000000" w:sz="4" w:space="0"/>
            </w:tcBorders>
            <w:vAlign w:val="center"/>
          </w:tcPr>
          <w:p w14:paraId="5AA8F069">
            <w:pPr>
              <w:widowControl/>
              <w:spacing w:line="440" w:lineRule="exact"/>
              <w:ind w:firstLine="0" w:firstLineChars="0"/>
              <w:jc w:val="center"/>
              <w:textAlignment w:val="center"/>
              <w:rPr>
                <w:rStyle w:val="277"/>
                <w:rFonts w:hint="default" w:ascii="微软雅黑" w:hAnsi="微软雅黑" w:eastAsia="微软雅黑" w:cs="微软雅黑"/>
                <w:color w:val="auto"/>
                <w:sz w:val="21"/>
                <w:szCs w:val="21"/>
                <w:highlight w:val="none"/>
              </w:rPr>
            </w:pPr>
            <w:r>
              <w:rPr>
                <w:rFonts w:hint="eastAsia" w:ascii="微软雅黑" w:hAnsi="微软雅黑" w:cs="微软雅黑"/>
                <w:color w:val="auto"/>
                <w:kern w:val="0"/>
                <w:szCs w:val="21"/>
                <w:highlight w:val="none"/>
              </w:rPr>
              <w:t>主观</w:t>
            </w:r>
          </w:p>
        </w:tc>
      </w:tr>
      <w:tr w14:paraId="7F1B12F3">
        <w:tblPrEx>
          <w:tblCellMar>
            <w:top w:w="0" w:type="dxa"/>
            <w:left w:w="108" w:type="dxa"/>
            <w:bottom w:w="0" w:type="dxa"/>
            <w:right w:w="108" w:type="dxa"/>
          </w:tblCellMar>
        </w:tblPrEx>
        <w:trPr>
          <w:trHeight w:val="1001" w:hRule="atLeast"/>
          <w:jc w:val="center"/>
        </w:trPr>
        <w:tc>
          <w:tcPr>
            <w:tcW w:w="713" w:type="dxa"/>
            <w:tcBorders>
              <w:top w:val="single" w:color="000000" w:sz="4" w:space="0"/>
              <w:left w:val="single" w:color="000000" w:sz="4" w:space="0"/>
              <w:bottom w:val="single" w:color="000000" w:sz="4" w:space="0"/>
              <w:right w:val="single" w:color="000000" w:sz="4" w:space="0"/>
            </w:tcBorders>
            <w:vAlign w:val="center"/>
          </w:tcPr>
          <w:p w14:paraId="28CA196A">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t>2</w:t>
            </w:r>
          </w:p>
        </w:tc>
        <w:tc>
          <w:tcPr>
            <w:tcW w:w="7483" w:type="dxa"/>
            <w:tcBorders>
              <w:top w:val="single" w:color="000000" w:sz="4" w:space="0"/>
              <w:left w:val="single" w:color="000000" w:sz="4" w:space="0"/>
              <w:bottom w:val="single" w:color="000000" w:sz="4" w:space="0"/>
              <w:right w:val="single" w:color="000000" w:sz="4" w:space="0"/>
            </w:tcBorders>
            <w:vAlign w:val="center"/>
          </w:tcPr>
          <w:p w14:paraId="0448212A">
            <w:pPr>
              <w:pStyle w:val="104"/>
              <w:widowControl/>
              <w:spacing w:line="240" w:lineRule="auto"/>
              <w:ind w:firstLine="0" w:firstLineChars="0"/>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根据投标单位针对本项目组织实施方案的科学性、合理性、规范性和可操作性评分，包括①保障方案介绍、②管理和协调方法、③关键步骤的思路和要点，是否与采购需求符合性或匹配度进行打分。（每小项评分范围：3/2/1没有不得分）本项最高9分。</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7F837D39">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9</w:t>
            </w:r>
          </w:p>
        </w:tc>
        <w:tc>
          <w:tcPr>
            <w:tcW w:w="815" w:type="dxa"/>
            <w:tcBorders>
              <w:top w:val="single" w:color="000000" w:sz="4" w:space="0"/>
              <w:left w:val="single" w:color="000000" w:sz="4" w:space="0"/>
              <w:bottom w:val="single" w:color="000000" w:sz="4" w:space="0"/>
              <w:right w:val="single" w:color="000000" w:sz="4" w:space="0"/>
            </w:tcBorders>
            <w:vAlign w:val="center"/>
          </w:tcPr>
          <w:p w14:paraId="71654774">
            <w:pPr>
              <w:widowControl/>
              <w:spacing w:line="240" w:lineRule="auto"/>
              <w:ind w:firstLine="0" w:firstLineChars="0"/>
              <w:jc w:val="center"/>
              <w:textAlignment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193DD16C">
        <w:tblPrEx>
          <w:tblCellMar>
            <w:top w:w="0" w:type="dxa"/>
            <w:left w:w="108" w:type="dxa"/>
            <w:bottom w:w="0" w:type="dxa"/>
            <w:right w:w="108" w:type="dxa"/>
          </w:tblCellMar>
        </w:tblPrEx>
        <w:trPr>
          <w:trHeight w:val="320" w:hRule="atLeast"/>
          <w:jc w:val="center"/>
        </w:trPr>
        <w:tc>
          <w:tcPr>
            <w:tcW w:w="713" w:type="dxa"/>
            <w:tcBorders>
              <w:top w:val="single" w:color="000000" w:sz="4" w:space="0"/>
              <w:left w:val="single" w:color="000000" w:sz="4" w:space="0"/>
              <w:bottom w:val="single" w:color="000000" w:sz="4" w:space="0"/>
              <w:right w:val="single" w:color="000000" w:sz="4" w:space="0"/>
            </w:tcBorders>
            <w:vAlign w:val="center"/>
          </w:tcPr>
          <w:p w14:paraId="144CA424">
            <w:pPr>
              <w:widowControl/>
              <w:spacing w:line="240" w:lineRule="auto"/>
              <w:ind w:firstLine="0" w:firstLineChars="0"/>
              <w:jc w:val="center"/>
              <w:textAlignment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w:t>
            </w:r>
          </w:p>
        </w:tc>
        <w:tc>
          <w:tcPr>
            <w:tcW w:w="7483" w:type="dxa"/>
            <w:tcBorders>
              <w:top w:val="single" w:color="000000" w:sz="4" w:space="0"/>
              <w:left w:val="single" w:color="000000" w:sz="4" w:space="0"/>
              <w:bottom w:val="single" w:color="000000" w:sz="4" w:space="0"/>
              <w:right w:val="single" w:color="000000" w:sz="4" w:space="0"/>
            </w:tcBorders>
            <w:vAlign w:val="center"/>
          </w:tcPr>
          <w:p w14:paraId="03CFE20D">
            <w:pPr>
              <w:widowControl/>
              <w:spacing w:line="240" w:lineRule="auto"/>
              <w:ind w:firstLine="0" w:firstLineChars="0"/>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根据拟投入本项目服务团队组织架构、专业设置、分工等团队架构情况，是否与采购需求符合性或匹配度进行打分。（评分范围：5/4/3/2/1,没有不得分）</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50E41117">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5</w:t>
            </w:r>
          </w:p>
        </w:tc>
        <w:tc>
          <w:tcPr>
            <w:tcW w:w="815" w:type="dxa"/>
            <w:tcBorders>
              <w:top w:val="single" w:color="000000" w:sz="4" w:space="0"/>
              <w:left w:val="single" w:color="000000" w:sz="4" w:space="0"/>
              <w:bottom w:val="single" w:color="000000" w:sz="4" w:space="0"/>
              <w:right w:val="single" w:color="000000" w:sz="4" w:space="0"/>
            </w:tcBorders>
            <w:vAlign w:val="center"/>
          </w:tcPr>
          <w:p w14:paraId="283C0350">
            <w:pPr>
              <w:widowControl/>
              <w:spacing w:line="240" w:lineRule="auto"/>
              <w:ind w:firstLine="0" w:firstLineChars="0"/>
              <w:jc w:val="center"/>
              <w:textAlignment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1F75FD9D">
        <w:tblPrEx>
          <w:tblCellMar>
            <w:top w:w="0" w:type="dxa"/>
            <w:left w:w="108" w:type="dxa"/>
            <w:bottom w:w="0" w:type="dxa"/>
            <w:right w:w="108" w:type="dxa"/>
          </w:tblCellMar>
        </w:tblPrEx>
        <w:trPr>
          <w:trHeight w:val="320" w:hRule="atLeast"/>
          <w:jc w:val="center"/>
        </w:trPr>
        <w:tc>
          <w:tcPr>
            <w:tcW w:w="713" w:type="dxa"/>
            <w:tcBorders>
              <w:top w:val="single" w:color="000000" w:sz="4" w:space="0"/>
              <w:left w:val="single" w:color="000000" w:sz="4" w:space="0"/>
              <w:bottom w:val="single" w:color="000000" w:sz="4" w:space="0"/>
              <w:right w:val="single" w:color="000000" w:sz="4" w:space="0"/>
            </w:tcBorders>
            <w:vAlign w:val="center"/>
          </w:tcPr>
          <w:p w14:paraId="2E0574D4">
            <w:pPr>
              <w:widowControl/>
              <w:spacing w:line="240" w:lineRule="auto"/>
              <w:ind w:firstLine="0" w:firstLineChars="0"/>
              <w:jc w:val="center"/>
              <w:textAlignment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w:t>
            </w:r>
          </w:p>
        </w:tc>
        <w:tc>
          <w:tcPr>
            <w:tcW w:w="7483" w:type="dxa"/>
            <w:tcBorders>
              <w:top w:val="single" w:color="000000" w:sz="4" w:space="0"/>
              <w:left w:val="single" w:color="000000" w:sz="4" w:space="0"/>
              <w:bottom w:val="single" w:color="000000" w:sz="4" w:space="0"/>
              <w:right w:val="single" w:color="000000" w:sz="4" w:space="0"/>
            </w:tcBorders>
            <w:vAlign w:val="center"/>
          </w:tcPr>
          <w:p w14:paraId="5F11DE38">
            <w:pPr>
              <w:widowControl/>
              <w:spacing w:line="240" w:lineRule="auto"/>
              <w:ind w:firstLine="0" w:firstLineChars="0"/>
              <w:textAlignment w:val="center"/>
              <w:rPr>
                <w:rFonts w:hint="eastAsia" w:ascii="微软雅黑" w:hAnsi="微软雅黑" w:cs="微软雅黑"/>
                <w:color w:val="auto"/>
                <w:spacing w:val="-3"/>
                <w:szCs w:val="21"/>
                <w:highlight w:val="none"/>
              </w:rPr>
            </w:pPr>
            <w:r>
              <w:rPr>
                <w:rFonts w:hint="eastAsia" w:ascii="微软雅黑" w:hAnsi="微软雅黑" w:cs="微软雅黑"/>
                <w:color w:val="auto"/>
                <w:spacing w:val="-3"/>
                <w:szCs w:val="21"/>
                <w:highlight w:val="none"/>
              </w:rPr>
              <w:t>城镇住房保险附加动态监测工作</w:t>
            </w:r>
          </w:p>
          <w:p w14:paraId="7CA07642">
            <w:pPr>
              <w:pStyle w:val="52"/>
              <w:spacing w:line="240" w:lineRule="auto"/>
              <w:ind w:left="0" w:leftChars="0" w:firstLine="0" w:firstLineChars="0"/>
              <w:rPr>
                <w:rFonts w:hint="eastAsia" w:ascii="微软雅黑" w:hAnsi="微软雅黑" w:cs="微软雅黑"/>
                <w:color w:val="auto"/>
                <w:szCs w:val="21"/>
                <w:highlight w:val="none"/>
              </w:rPr>
            </w:pPr>
            <w:r>
              <w:rPr>
                <w:rFonts w:hint="eastAsia" w:ascii="微软雅黑" w:hAnsi="微软雅黑" w:cs="微软雅黑"/>
                <w:color w:val="auto"/>
                <w:spacing w:val="-3"/>
                <w:szCs w:val="21"/>
                <w:highlight w:val="none"/>
              </w:rPr>
              <w:t>根据投标单位提供的监测方案（例如针对危房增加监测频次等），根据方案是否可行、是否专业、是否专业，</w:t>
            </w:r>
            <w:r>
              <w:rPr>
                <w:rFonts w:hint="eastAsia" w:ascii="微软雅黑" w:hAnsi="微软雅黑" w:cs="微软雅黑"/>
                <w:color w:val="auto"/>
                <w:szCs w:val="21"/>
                <w:highlight w:val="none"/>
              </w:rPr>
              <w:t>是否与采购需求符合性或匹配度进行打分。（评分范围：5/4/3/2/1,没有不得分）</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1FF852C1">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5</w:t>
            </w:r>
          </w:p>
        </w:tc>
        <w:tc>
          <w:tcPr>
            <w:tcW w:w="815" w:type="dxa"/>
            <w:tcBorders>
              <w:top w:val="single" w:color="000000" w:sz="4" w:space="0"/>
              <w:left w:val="single" w:color="000000" w:sz="4" w:space="0"/>
              <w:bottom w:val="single" w:color="000000" w:sz="4" w:space="0"/>
              <w:right w:val="single" w:color="000000" w:sz="4" w:space="0"/>
            </w:tcBorders>
            <w:vAlign w:val="center"/>
          </w:tcPr>
          <w:p w14:paraId="4DA1F6B6">
            <w:pPr>
              <w:widowControl/>
              <w:spacing w:line="240" w:lineRule="auto"/>
              <w:ind w:firstLine="0" w:firstLineChars="0"/>
              <w:jc w:val="center"/>
              <w:textAlignment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70F2AEB0">
        <w:tblPrEx>
          <w:tblCellMar>
            <w:top w:w="0" w:type="dxa"/>
            <w:left w:w="108" w:type="dxa"/>
            <w:bottom w:w="0" w:type="dxa"/>
            <w:right w:w="108" w:type="dxa"/>
          </w:tblCellMar>
        </w:tblPrEx>
        <w:trPr>
          <w:trHeight w:val="320" w:hRule="atLeast"/>
          <w:jc w:val="center"/>
        </w:trPr>
        <w:tc>
          <w:tcPr>
            <w:tcW w:w="713" w:type="dxa"/>
            <w:tcBorders>
              <w:top w:val="single" w:color="000000" w:sz="4" w:space="0"/>
              <w:left w:val="single" w:color="000000" w:sz="4" w:space="0"/>
              <w:bottom w:val="single" w:color="000000" w:sz="4" w:space="0"/>
              <w:right w:val="single" w:color="000000" w:sz="4" w:space="0"/>
            </w:tcBorders>
            <w:vAlign w:val="center"/>
          </w:tcPr>
          <w:p w14:paraId="4B23A66F">
            <w:pPr>
              <w:widowControl/>
              <w:spacing w:line="240" w:lineRule="auto"/>
              <w:ind w:firstLine="0" w:firstLineChars="0"/>
              <w:jc w:val="center"/>
              <w:textAlignment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5</w:t>
            </w:r>
          </w:p>
        </w:tc>
        <w:tc>
          <w:tcPr>
            <w:tcW w:w="7483" w:type="dxa"/>
            <w:tcBorders>
              <w:top w:val="single" w:color="000000" w:sz="4" w:space="0"/>
              <w:left w:val="single" w:color="000000" w:sz="4" w:space="0"/>
              <w:bottom w:val="single" w:color="000000" w:sz="4" w:space="0"/>
              <w:right w:val="single" w:color="000000" w:sz="4" w:space="0"/>
            </w:tcBorders>
            <w:vAlign w:val="center"/>
          </w:tcPr>
          <w:p w14:paraId="185B5956">
            <w:pPr>
              <w:widowControl/>
              <w:spacing w:line="240" w:lineRule="auto"/>
              <w:ind w:firstLine="0" w:firstLineChars="0"/>
              <w:textAlignment w:val="center"/>
              <w:rPr>
                <w:rFonts w:hint="eastAsia" w:ascii="微软雅黑" w:hAnsi="微软雅黑" w:cs="微软雅黑"/>
                <w:color w:val="auto"/>
                <w:spacing w:val="-3"/>
                <w:szCs w:val="21"/>
                <w:highlight w:val="none"/>
              </w:rPr>
            </w:pPr>
            <w:r>
              <w:rPr>
                <w:rFonts w:hint="eastAsia" w:ascii="微软雅黑" w:hAnsi="微软雅黑" w:cs="微软雅黑"/>
                <w:color w:val="auto"/>
                <w:spacing w:val="-3"/>
                <w:szCs w:val="21"/>
                <w:highlight w:val="none"/>
              </w:rPr>
              <w:t>保险附加动态监测服务监管方案</w:t>
            </w:r>
          </w:p>
          <w:p w14:paraId="5EF6CE07">
            <w:pPr>
              <w:pStyle w:val="52"/>
              <w:spacing w:line="240" w:lineRule="auto"/>
              <w:ind w:left="0" w:leftChars="0" w:firstLine="0" w:firstLineChars="0"/>
              <w:rPr>
                <w:rFonts w:hint="eastAsia" w:ascii="微软雅黑" w:hAnsi="微软雅黑" w:cs="微软雅黑"/>
                <w:color w:val="auto"/>
                <w:szCs w:val="21"/>
                <w:highlight w:val="none"/>
              </w:rPr>
            </w:pPr>
            <w:r>
              <w:rPr>
                <w:rFonts w:hint="eastAsia" w:ascii="微软雅黑" w:hAnsi="微软雅黑" w:cs="微软雅黑"/>
                <w:color w:val="auto"/>
                <w:spacing w:val="-3"/>
                <w:szCs w:val="21"/>
                <w:highlight w:val="none"/>
              </w:rPr>
              <w:t>根据投标单位提供的动态监测服务监管方案，根据方案是否可行、是否专业、是否专业，</w:t>
            </w:r>
            <w:r>
              <w:rPr>
                <w:rFonts w:hint="eastAsia" w:ascii="微软雅黑" w:hAnsi="微软雅黑" w:cs="微软雅黑"/>
                <w:color w:val="auto"/>
                <w:szCs w:val="21"/>
                <w:highlight w:val="none"/>
              </w:rPr>
              <w:t>是否与采购需求符合性或匹配度进行打分。（评分范围：5/4/3/2/1,没有不得分）</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1EE21436">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5</w:t>
            </w:r>
          </w:p>
        </w:tc>
        <w:tc>
          <w:tcPr>
            <w:tcW w:w="815" w:type="dxa"/>
            <w:tcBorders>
              <w:top w:val="single" w:color="000000" w:sz="4" w:space="0"/>
              <w:left w:val="single" w:color="000000" w:sz="4" w:space="0"/>
              <w:bottom w:val="single" w:color="000000" w:sz="4" w:space="0"/>
              <w:right w:val="single" w:color="000000" w:sz="4" w:space="0"/>
            </w:tcBorders>
            <w:vAlign w:val="center"/>
          </w:tcPr>
          <w:p w14:paraId="1BBA65F9">
            <w:pPr>
              <w:widowControl/>
              <w:spacing w:line="240" w:lineRule="auto"/>
              <w:ind w:firstLine="0" w:firstLineChars="0"/>
              <w:jc w:val="center"/>
              <w:textAlignment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5F9A54A8">
        <w:tblPrEx>
          <w:tblCellMar>
            <w:top w:w="0" w:type="dxa"/>
            <w:left w:w="108" w:type="dxa"/>
            <w:bottom w:w="0" w:type="dxa"/>
            <w:right w:w="108" w:type="dxa"/>
          </w:tblCellMar>
        </w:tblPrEx>
        <w:trPr>
          <w:trHeight w:val="320" w:hRule="atLeast"/>
          <w:jc w:val="center"/>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18E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6</w:t>
            </w:r>
          </w:p>
        </w:tc>
        <w:tc>
          <w:tcPr>
            <w:tcW w:w="7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5FC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微软雅黑" w:hAnsi="微软雅黑" w:eastAsia="微软雅黑" w:cs="微软雅黑"/>
                <w:color w:val="auto"/>
                <w:spacing w:val="-3"/>
                <w:kern w:val="2"/>
                <w:sz w:val="21"/>
                <w:szCs w:val="21"/>
                <w:highlight w:val="none"/>
                <w:lang w:val="en-US" w:eastAsia="zh-CN" w:bidi="ar-SA"/>
              </w:rPr>
            </w:pPr>
            <w:r>
              <w:rPr>
                <w:rFonts w:hint="eastAsia" w:ascii="微软雅黑" w:hAnsi="微软雅黑" w:eastAsia="微软雅黑" w:cs="微软雅黑"/>
                <w:color w:val="auto"/>
                <w:spacing w:val="-3"/>
                <w:kern w:val="2"/>
                <w:sz w:val="21"/>
                <w:szCs w:val="21"/>
                <w:highlight w:val="none"/>
                <w:lang w:val="en-US" w:eastAsia="zh-CN" w:bidi="ar-SA"/>
              </w:rPr>
              <w:t>根据投标单位针对本项目简化投保手续，描述投保时所需资料，根据该程度，是否与采购需求符合性或匹配度进行打分。（评分范围：5/4/3/2/1,没有不得分）。</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8B0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D14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主观</w:t>
            </w:r>
          </w:p>
        </w:tc>
      </w:tr>
      <w:tr w14:paraId="289BA7D1">
        <w:tblPrEx>
          <w:tblCellMar>
            <w:top w:w="0" w:type="dxa"/>
            <w:left w:w="108" w:type="dxa"/>
            <w:bottom w:w="0" w:type="dxa"/>
            <w:right w:w="108" w:type="dxa"/>
          </w:tblCellMar>
        </w:tblPrEx>
        <w:trPr>
          <w:trHeight w:val="320" w:hRule="atLeast"/>
          <w:jc w:val="center"/>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E6A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7</w:t>
            </w:r>
          </w:p>
        </w:tc>
        <w:tc>
          <w:tcPr>
            <w:tcW w:w="7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EAA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微软雅黑" w:hAnsi="微软雅黑" w:eastAsia="微软雅黑" w:cs="微软雅黑"/>
                <w:color w:val="auto"/>
                <w:spacing w:val="-3"/>
                <w:kern w:val="2"/>
                <w:sz w:val="21"/>
                <w:szCs w:val="21"/>
                <w:highlight w:val="none"/>
                <w:lang w:val="en-US" w:eastAsia="zh-CN" w:bidi="ar-SA"/>
              </w:rPr>
            </w:pPr>
            <w:r>
              <w:rPr>
                <w:rFonts w:hint="eastAsia"/>
              </w:rPr>
              <w:t>根据投标单位针对本项目的理赔流程是否合理、简便、科学，是否与采购需求符合性或匹配度进行打分</w:t>
            </w:r>
            <w:r>
              <w:rPr>
                <w:rFonts w:hint="eastAsia" w:ascii="微软雅黑" w:hAnsi="微软雅黑" w:eastAsia="微软雅黑" w:cs="微软雅黑"/>
                <w:color w:val="auto"/>
                <w:spacing w:val="-3"/>
                <w:kern w:val="2"/>
                <w:sz w:val="21"/>
                <w:szCs w:val="21"/>
                <w:highlight w:val="none"/>
                <w:lang w:val="en-US" w:eastAsia="zh-CN" w:bidi="ar-SA"/>
              </w:rPr>
              <w:t>：</w:t>
            </w:r>
          </w:p>
          <w:p w14:paraId="6623FC6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微软雅黑" w:hAnsi="微软雅黑" w:eastAsia="微软雅黑" w:cs="微软雅黑"/>
                <w:color w:val="auto"/>
                <w:spacing w:val="-3"/>
                <w:kern w:val="2"/>
                <w:sz w:val="21"/>
                <w:szCs w:val="21"/>
                <w:highlight w:val="none"/>
                <w:lang w:val="en-US" w:eastAsia="zh-CN" w:bidi="ar-SA"/>
              </w:rPr>
            </w:pPr>
            <w:r>
              <w:rPr>
                <w:rFonts w:hint="eastAsia" w:ascii="微软雅黑" w:hAnsi="微软雅黑" w:eastAsia="微软雅黑" w:cs="微软雅黑"/>
                <w:color w:val="auto"/>
                <w:spacing w:val="-3"/>
                <w:kern w:val="2"/>
                <w:sz w:val="21"/>
                <w:szCs w:val="21"/>
                <w:highlight w:val="none"/>
                <w:lang w:val="en-US" w:eastAsia="zh-CN" w:bidi="ar-SA"/>
              </w:rPr>
              <w:t>①报案流程（评分范围：5/4/3/2/1,没有不得分）；</w:t>
            </w:r>
          </w:p>
          <w:p w14:paraId="2F3AD35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②查勘流程（评分范围</w:t>
            </w:r>
            <w:r>
              <w:rPr>
                <w:rFonts w:hint="eastAsia" w:ascii="微软雅黑" w:hAnsi="微软雅黑" w:eastAsia="微软雅黑" w:cs="微软雅黑"/>
                <w:color w:val="auto"/>
                <w:spacing w:val="-3"/>
                <w:kern w:val="2"/>
                <w:sz w:val="21"/>
                <w:szCs w:val="21"/>
                <w:highlight w:val="none"/>
                <w:lang w:val="en-US" w:eastAsia="zh-CN" w:bidi="ar-SA"/>
              </w:rPr>
              <w:t>：5/4/3/2/1,没有不得分）；</w:t>
            </w:r>
          </w:p>
          <w:p w14:paraId="1C75FD6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③理赔流程（评分范</w:t>
            </w:r>
            <w:r>
              <w:rPr>
                <w:rFonts w:hint="eastAsia" w:ascii="微软雅黑" w:hAnsi="微软雅黑" w:eastAsia="微软雅黑" w:cs="微软雅黑"/>
                <w:color w:val="auto"/>
                <w:spacing w:val="-3"/>
                <w:kern w:val="2"/>
                <w:sz w:val="21"/>
                <w:szCs w:val="21"/>
                <w:highlight w:val="none"/>
                <w:lang w:val="en-US" w:eastAsia="zh-CN" w:bidi="ar-SA"/>
              </w:rPr>
              <w:t>围：5/4/3/2/1,没有不得分）。</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8C1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15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C55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主观</w:t>
            </w:r>
          </w:p>
        </w:tc>
      </w:tr>
      <w:tr w14:paraId="4F957591">
        <w:tblPrEx>
          <w:tblCellMar>
            <w:top w:w="0" w:type="dxa"/>
            <w:left w:w="108" w:type="dxa"/>
            <w:bottom w:w="0" w:type="dxa"/>
            <w:right w:w="108" w:type="dxa"/>
          </w:tblCellMar>
        </w:tblPrEx>
        <w:trPr>
          <w:trHeight w:val="734" w:hRule="atLeast"/>
          <w:jc w:val="center"/>
        </w:trPr>
        <w:tc>
          <w:tcPr>
            <w:tcW w:w="713" w:type="dxa"/>
            <w:tcBorders>
              <w:top w:val="single" w:color="000000" w:sz="4" w:space="0"/>
              <w:left w:val="single" w:color="000000" w:sz="4" w:space="0"/>
              <w:bottom w:val="single" w:color="000000" w:sz="4" w:space="0"/>
              <w:right w:val="single" w:color="000000" w:sz="4" w:space="0"/>
            </w:tcBorders>
            <w:vAlign w:val="center"/>
          </w:tcPr>
          <w:p w14:paraId="7A36BBB2">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8</w:t>
            </w:r>
          </w:p>
        </w:tc>
        <w:tc>
          <w:tcPr>
            <w:tcW w:w="7483" w:type="dxa"/>
            <w:tcBorders>
              <w:top w:val="single" w:color="000000" w:sz="4" w:space="0"/>
              <w:left w:val="single" w:color="000000" w:sz="4" w:space="0"/>
              <w:bottom w:val="single" w:color="000000" w:sz="4" w:space="0"/>
              <w:right w:val="single" w:color="000000" w:sz="4" w:space="0"/>
            </w:tcBorders>
            <w:vAlign w:val="center"/>
          </w:tcPr>
          <w:p w14:paraId="6C4469D4">
            <w:pPr>
              <w:widowControl/>
              <w:spacing w:line="240" w:lineRule="auto"/>
              <w:ind w:firstLine="0" w:firstLineChars="0"/>
              <w:textAlignment w:val="center"/>
              <w:rPr>
                <w:rFonts w:hint="eastAsia" w:ascii="微软雅黑" w:hAnsi="微软雅黑" w:cs="微软雅黑"/>
                <w:color w:val="auto"/>
                <w:spacing w:val="-3"/>
                <w:szCs w:val="21"/>
                <w:highlight w:val="none"/>
              </w:rPr>
            </w:pPr>
            <w:r>
              <w:rPr>
                <w:rFonts w:hint="eastAsia" w:ascii="微软雅黑" w:hAnsi="微软雅黑" w:cs="微软雅黑"/>
                <w:color w:val="auto"/>
                <w:spacing w:val="-3"/>
                <w:szCs w:val="21"/>
                <w:highlight w:val="none"/>
              </w:rPr>
              <w:t>售后服务及承诺</w:t>
            </w:r>
          </w:p>
          <w:p w14:paraId="68844DD2">
            <w:pPr>
              <w:pStyle w:val="52"/>
              <w:spacing w:line="240" w:lineRule="auto"/>
              <w:ind w:left="0" w:leftChars="0" w:firstLine="0" w:firstLineChars="0"/>
              <w:rPr>
                <w:rFonts w:hint="eastAsia" w:ascii="微软雅黑" w:hAnsi="微软雅黑" w:cs="微软雅黑"/>
                <w:color w:val="auto"/>
                <w:szCs w:val="21"/>
                <w:highlight w:val="none"/>
              </w:rPr>
            </w:pPr>
            <w:r>
              <w:rPr>
                <w:rFonts w:hint="eastAsia" w:ascii="微软雅黑" w:hAnsi="微软雅黑" w:cs="微软雅黑"/>
                <w:color w:val="auto"/>
                <w:spacing w:val="-3"/>
                <w:szCs w:val="21"/>
                <w:highlight w:val="none"/>
              </w:rPr>
              <w:t>根据投标人服务提供的法</w:t>
            </w:r>
            <w:r>
              <w:rPr>
                <w:rFonts w:hint="eastAsia" w:ascii="微软雅黑" w:hAnsi="微软雅黑" w:cs="微软雅黑"/>
                <w:color w:val="auto"/>
                <w:spacing w:val="-5"/>
                <w:szCs w:val="21"/>
                <w:highlight w:val="none"/>
              </w:rPr>
              <w:t>律援助服务、承诺及保障措施，</w:t>
            </w:r>
            <w:r>
              <w:rPr>
                <w:rFonts w:hint="eastAsia" w:ascii="微软雅黑" w:hAnsi="微软雅黑" w:cs="微软雅黑"/>
                <w:color w:val="auto"/>
                <w:szCs w:val="21"/>
                <w:highlight w:val="none"/>
              </w:rPr>
              <w:t>是否与采购需求符合性或匹配度进行打分。（评分范围：5/4/3/2/1,没有不得分）</w:t>
            </w:r>
          </w:p>
          <w:p w14:paraId="34799F85">
            <w:pPr>
              <w:pStyle w:val="52"/>
              <w:spacing w:line="240" w:lineRule="auto"/>
              <w:ind w:left="0" w:leftChars="0" w:firstLine="0" w:firstLineChars="0"/>
              <w:rPr>
                <w:rFonts w:hint="eastAsia" w:ascii="微软雅黑" w:hAnsi="微软雅黑" w:cs="微软雅黑"/>
                <w:color w:val="auto"/>
                <w:szCs w:val="21"/>
                <w:highlight w:val="none"/>
              </w:rPr>
            </w:pPr>
            <w:r>
              <w:rPr>
                <w:rFonts w:hint="eastAsia" w:ascii="微软雅黑" w:hAnsi="微软雅黑" w:cs="微软雅黑"/>
                <w:color w:val="auto"/>
                <w:spacing w:val="-3"/>
                <w:szCs w:val="21"/>
                <w:highlight w:val="none"/>
              </w:rPr>
              <w:t>根据投标人提供的</w:t>
            </w:r>
            <w:r>
              <w:rPr>
                <w:rFonts w:hint="eastAsia" w:ascii="微软雅黑" w:hAnsi="微软雅黑" w:cs="微软雅黑"/>
                <w:color w:val="auto"/>
                <w:spacing w:val="-5"/>
                <w:szCs w:val="21"/>
                <w:highlight w:val="none"/>
              </w:rPr>
              <w:t>医疗跟踪服务、承诺及保障措施，</w:t>
            </w:r>
            <w:r>
              <w:rPr>
                <w:rFonts w:hint="eastAsia" w:ascii="微软雅黑" w:hAnsi="微软雅黑" w:cs="微软雅黑"/>
                <w:color w:val="auto"/>
                <w:szCs w:val="21"/>
                <w:highlight w:val="none"/>
              </w:rPr>
              <w:t>是否与采购需求符合性或匹配度进行打分。（评分范围：5/4/3/2/1,没有不得分）</w:t>
            </w:r>
          </w:p>
        </w:tc>
        <w:tc>
          <w:tcPr>
            <w:tcW w:w="815" w:type="dxa"/>
            <w:tcBorders>
              <w:top w:val="single" w:color="000000" w:sz="4" w:space="0"/>
              <w:left w:val="single" w:color="000000" w:sz="4" w:space="0"/>
              <w:bottom w:val="single" w:color="000000" w:sz="4" w:space="0"/>
              <w:right w:val="single" w:color="000000" w:sz="4" w:space="0"/>
            </w:tcBorders>
            <w:vAlign w:val="center"/>
          </w:tcPr>
          <w:p w14:paraId="1DBB4CBC">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10</w:t>
            </w:r>
          </w:p>
        </w:tc>
        <w:tc>
          <w:tcPr>
            <w:tcW w:w="815" w:type="dxa"/>
            <w:tcBorders>
              <w:top w:val="single" w:color="000000" w:sz="4" w:space="0"/>
              <w:left w:val="single" w:color="000000" w:sz="4" w:space="0"/>
              <w:bottom w:val="single" w:color="000000" w:sz="4" w:space="0"/>
              <w:right w:val="single" w:color="000000" w:sz="4" w:space="0"/>
            </w:tcBorders>
            <w:vAlign w:val="center"/>
          </w:tcPr>
          <w:p w14:paraId="333D02D9">
            <w:pPr>
              <w:widowControl/>
              <w:spacing w:line="240" w:lineRule="auto"/>
              <w:ind w:firstLine="0" w:firstLineChars="0"/>
              <w:jc w:val="center"/>
              <w:textAlignment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11D8FFB4">
        <w:tblPrEx>
          <w:tblCellMar>
            <w:top w:w="0" w:type="dxa"/>
            <w:left w:w="108" w:type="dxa"/>
            <w:bottom w:w="0" w:type="dxa"/>
            <w:right w:w="108" w:type="dxa"/>
          </w:tblCellMar>
        </w:tblPrEx>
        <w:trPr>
          <w:trHeight w:val="320" w:hRule="atLeast"/>
          <w:jc w:val="center"/>
        </w:trPr>
        <w:tc>
          <w:tcPr>
            <w:tcW w:w="713" w:type="dxa"/>
            <w:tcBorders>
              <w:top w:val="single" w:color="000000" w:sz="4" w:space="0"/>
              <w:left w:val="single" w:color="000000" w:sz="4" w:space="0"/>
              <w:bottom w:val="single" w:color="000000" w:sz="4" w:space="0"/>
              <w:right w:val="single" w:color="000000" w:sz="4" w:space="0"/>
            </w:tcBorders>
            <w:vAlign w:val="center"/>
          </w:tcPr>
          <w:p w14:paraId="4D55A801">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9</w:t>
            </w:r>
          </w:p>
        </w:tc>
        <w:tc>
          <w:tcPr>
            <w:tcW w:w="7483" w:type="dxa"/>
            <w:tcBorders>
              <w:top w:val="single" w:color="000000" w:sz="4" w:space="0"/>
              <w:left w:val="single" w:color="000000" w:sz="4" w:space="0"/>
              <w:bottom w:val="single" w:color="000000" w:sz="4" w:space="0"/>
              <w:right w:val="single" w:color="000000" w:sz="4" w:space="0"/>
            </w:tcBorders>
            <w:vAlign w:val="center"/>
          </w:tcPr>
          <w:p w14:paraId="4B081B50">
            <w:pPr>
              <w:widowControl/>
              <w:spacing w:line="240" w:lineRule="auto"/>
              <w:ind w:firstLine="0" w:firstLineChars="0"/>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根据投标单位针对项目推进和实施中可能会出现的问题和存在的困难，进行客观仔细地分析，并结合自身专业、经验，提出合理化建议（解决对策），是否与采购需求符合性或匹配度进行打分。（评分范围：4/3/2/1,没有不得分）</w:t>
            </w:r>
          </w:p>
        </w:tc>
        <w:tc>
          <w:tcPr>
            <w:tcW w:w="815" w:type="dxa"/>
            <w:tcBorders>
              <w:top w:val="single" w:color="000000" w:sz="4" w:space="0"/>
              <w:left w:val="single" w:color="000000" w:sz="4" w:space="0"/>
              <w:bottom w:val="single" w:color="000000" w:sz="4" w:space="0"/>
              <w:right w:val="single" w:color="000000" w:sz="4" w:space="0"/>
            </w:tcBorders>
            <w:vAlign w:val="center"/>
          </w:tcPr>
          <w:p w14:paraId="6654D285">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w:t>
            </w:r>
          </w:p>
        </w:tc>
        <w:tc>
          <w:tcPr>
            <w:tcW w:w="815" w:type="dxa"/>
            <w:tcBorders>
              <w:top w:val="single" w:color="000000" w:sz="4" w:space="0"/>
              <w:left w:val="single" w:color="000000" w:sz="4" w:space="0"/>
              <w:bottom w:val="single" w:color="000000" w:sz="4" w:space="0"/>
              <w:right w:val="single" w:color="000000" w:sz="4" w:space="0"/>
            </w:tcBorders>
            <w:vAlign w:val="center"/>
          </w:tcPr>
          <w:p w14:paraId="610FD488">
            <w:pPr>
              <w:widowControl/>
              <w:spacing w:line="240" w:lineRule="auto"/>
              <w:ind w:firstLine="0" w:firstLineChars="0"/>
              <w:jc w:val="center"/>
              <w:textAlignment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6C2B6011">
        <w:tblPrEx>
          <w:tblCellMar>
            <w:top w:w="0" w:type="dxa"/>
            <w:left w:w="108" w:type="dxa"/>
            <w:bottom w:w="0" w:type="dxa"/>
            <w:right w:w="108" w:type="dxa"/>
          </w:tblCellMar>
        </w:tblPrEx>
        <w:trPr>
          <w:trHeight w:val="320" w:hRule="atLeast"/>
          <w:jc w:val="center"/>
        </w:trPr>
        <w:tc>
          <w:tcPr>
            <w:tcW w:w="713" w:type="dxa"/>
            <w:tcBorders>
              <w:top w:val="single" w:color="000000" w:sz="4" w:space="0"/>
              <w:left w:val="single" w:color="000000" w:sz="4" w:space="0"/>
              <w:bottom w:val="single" w:color="000000" w:sz="4" w:space="0"/>
              <w:right w:val="single" w:color="000000" w:sz="4" w:space="0"/>
            </w:tcBorders>
            <w:vAlign w:val="center"/>
          </w:tcPr>
          <w:p w14:paraId="1E9E46CF">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10</w:t>
            </w:r>
          </w:p>
        </w:tc>
        <w:tc>
          <w:tcPr>
            <w:tcW w:w="7483" w:type="dxa"/>
            <w:tcBorders>
              <w:top w:val="single" w:color="000000" w:sz="4" w:space="0"/>
              <w:left w:val="single" w:color="000000" w:sz="4" w:space="0"/>
              <w:bottom w:val="single" w:color="000000" w:sz="4" w:space="0"/>
              <w:right w:val="single" w:color="000000" w:sz="4" w:space="0"/>
            </w:tcBorders>
            <w:vAlign w:val="center"/>
          </w:tcPr>
          <w:p w14:paraId="27344765">
            <w:pPr>
              <w:widowControl/>
              <w:spacing w:line="240" w:lineRule="auto"/>
              <w:ind w:firstLine="0" w:firstLineChars="0"/>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根据投标单位针对本项目制定为解决在各种特殊情况下的的突发事件应急服务响应方案，是否与采购需求符合性或匹配度进行打分。（评分范围：5,4,3,2,1,没有不得分）</w:t>
            </w:r>
          </w:p>
        </w:tc>
        <w:tc>
          <w:tcPr>
            <w:tcW w:w="815" w:type="dxa"/>
            <w:tcBorders>
              <w:top w:val="single" w:color="000000" w:sz="4" w:space="0"/>
              <w:left w:val="single" w:color="000000" w:sz="4" w:space="0"/>
              <w:bottom w:val="single" w:color="000000" w:sz="4" w:space="0"/>
              <w:right w:val="single" w:color="000000" w:sz="4" w:space="0"/>
            </w:tcBorders>
            <w:vAlign w:val="center"/>
          </w:tcPr>
          <w:p w14:paraId="04B9027D">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5</w:t>
            </w:r>
          </w:p>
        </w:tc>
        <w:tc>
          <w:tcPr>
            <w:tcW w:w="815" w:type="dxa"/>
            <w:tcBorders>
              <w:top w:val="single" w:color="000000" w:sz="4" w:space="0"/>
              <w:left w:val="single" w:color="000000" w:sz="4" w:space="0"/>
              <w:bottom w:val="single" w:color="000000" w:sz="4" w:space="0"/>
              <w:right w:val="single" w:color="000000" w:sz="4" w:space="0"/>
            </w:tcBorders>
            <w:vAlign w:val="center"/>
          </w:tcPr>
          <w:p w14:paraId="49BBEA4E">
            <w:pPr>
              <w:widowControl/>
              <w:spacing w:line="240" w:lineRule="auto"/>
              <w:ind w:firstLine="0" w:firstLineChars="0"/>
              <w:jc w:val="center"/>
              <w:textAlignment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2088AE2A">
        <w:tblPrEx>
          <w:tblCellMar>
            <w:top w:w="0" w:type="dxa"/>
            <w:left w:w="108" w:type="dxa"/>
            <w:bottom w:w="0" w:type="dxa"/>
            <w:right w:w="108" w:type="dxa"/>
          </w:tblCellMar>
        </w:tblPrEx>
        <w:trPr>
          <w:trHeight w:val="320" w:hRule="atLeast"/>
          <w:jc w:val="center"/>
        </w:trPr>
        <w:tc>
          <w:tcPr>
            <w:tcW w:w="713" w:type="dxa"/>
            <w:tcBorders>
              <w:top w:val="single" w:color="000000" w:sz="4" w:space="0"/>
              <w:left w:val="single" w:color="000000" w:sz="4" w:space="0"/>
              <w:bottom w:val="single" w:color="000000" w:sz="4" w:space="0"/>
              <w:right w:val="single" w:color="000000" w:sz="4" w:space="0"/>
            </w:tcBorders>
            <w:vAlign w:val="center"/>
          </w:tcPr>
          <w:p w14:paraId="0272D80C">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11</w:t>
            </w:r>
          </w:p>
        </w:tc>
        <w:tc>
          <w:tcPr>
            <w:tcW w:w="7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CC6C">
            <w:pPr>
              <w:spacing w:line="240" w:lineRule="auto"/>
              <w:ind w:firstLine="0" w:firstLineChars="0"/>
              <w:rPr>
                <w:rFonts w:hint="eastAsia" w:ascii="微软雅黑" w:hAnsi="微软雅黑" w:cs="微软雅黑"/>
                <w:b/>
                <w:bCs/>
                <w:color w:val="auto"/>
                <w:spacing w:val="-3"/>
                <w:szCs w:val="21"/>
                <w:highlight w:val="none"/>
              </w:rPr>
            </w:pPr>
            <w:r>
              <w:rPr>
                <w:rFonts w:hint="eastAsia" w:ascii="微软雅黑" w:hAnsi="微软雅黑" w:cs="微软雅黑"/>
                <w:b/>
                <w:bCs/>
                <w:color w:val="auto"/>
                <w:kern w:val="0"/>
                <w:szCs w:val="21"/>
                <w:highlight w:val="none"/>
              </w:rPr>
              <w:t>系统演示：方式采用系统操作录屏的方式进行展示</w:t>
            </w:r>
            <w:r>
              <w:rPr>
                <w:rFonts w:hint="eastAsia" w:ascii="微软雅黑" w:hAnsi="微软雅黑" w:cs="微软雅黑"/>
                <w:b/>
                <w:bCs/>
                <w:color w:val="auto"/>
                <w:szCs w:val="21"/>
                <w:highlight w:val="none"/>
              </w:rPr>
              <w:t>（mp4格式</w:t>
            </w:r>
            <w:r>
              <w:rPr>
                <w:rFonts w:hint="eastAsia" w:ascii="微软雅黑" w:hAnsi="微软雅黑" w:cs="微软雅黑"/>
                <w:b/>
                <w:bCs/>
                <w:color w:val="auto"/>
                <w:kern w:val="0"/>
                <w:szCs w:val="21"/>
                <w:highlight w:val="none"/>
              </w:rPr>
              <w:t>需带人声讲解</w:t>
            </w:r>
            <w:r>
              <w:rPr>
                <w:rFonts w:hint="eastAsia" w:ascii="微软雅黑" w:hAnsi="微软雅黑" w:cs="微软雅黑"/>
                <w:b/>
                <w:bCs/>
                <w:color w:val="auto"/>
                <w:szCs w:val="21"/>
                <w:highlight w:val="none"/>
              </w:rPr>
              <w:t>，方式详见前附表）</w:t>
            </w:r>
          </w:p>
          <w:p w14:paraId="1428146B">
            <w:pPr>
              <w:pStyle w:val="3"/>
              <w:numPr>
                <w:ilvl w:val="0"/>
                <w:numId w:val="41"/>
              </w:numPr>
              <w:tabs>
                <w:tab w:val="left" w:pos="360"/>
              </w:tabs>
              <w:spacing w:line="240" w:lineRule="auto"/>
              <w:ind w:left="0" w:firstLine="0" w:firstLineChars="0"/>
              <w:rPr>
                <w:rFonts w:hint="eastAsia" w:ascii="微软雅黑" w:hAnsi="微软雅黑" w:eastAsia="微软雅黑" w:cs="微软雅黑"/>
                <w:bCs w:val="0"/>
                <w:color w:val="auto"/>
                <w:sz w:val="21"/>
                <w:szCs w:val="21"/>
                <w:highlight w:val="none"/>
              </w:rPr>
            </w:pPr>
            <w:bookmarkStart w:id="165" w:name="_Hlk174122847"/>
            <w:r>
              <w:rPr>
                <w:rFonts w:hint="eastAsia" w:ascii="微软雅黑" w:hAnsi="微软雅黑" w:eastAsia="微软雅黑" w:cs="微软雅黑"/>
                <w:b/>
                <w:color w:val="auto"/>
                <w:kern w:val="0"/>
                <w:sz w:val="21"/>
                <w:szCs w:val="21"/>
                <w:highlight w:val="none"/>
              </w:rPr>
              <w:t>房屋统计功能</w:t>
            </w:r>
            <w:r>
              <w:rPr>
                <w:rFonts w:hint="eastAsia" w:ascii="微软雅黑" w:hAnsi="微软雅黑" w:eastAsia="微软雅黑" w:cs="微软雅黑"/>
                <w:bCs w:val="0"/>
                <w:color w:val="auto"/>
                <w:sz w:val="21"/>
                <w:szCs w:val="21"/>
                <w:highlight w:val="none"/>
              </w:rPr>
              <w:t>介绍，根据演示内容是否与采购需求符合性或匹配度进行打分（评分范围：1/0.5，没有不得分）。</w:t>
            </w:r>
          </w:p>
          <w:p w14:paraId="11D6A251">
            <w:pPr>
              <w:pStyle w:val="3"/>
              <w:numPr>
                <w:ilvl w:val="0"/>
                <w:numId w:val="41"/>
              </w:numPr>
              <w:tabs>
                <w:tab w:val="left" w:pos="360"/>
              </w:tabs>
              <w:spacing w:line="240" w:lineRule="auto"/>
              <w:ind w:left="0" w:firstLine="0" w:firstLineChars="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pacing w:val="-3"/>
                <w:sz w:val="21"/>
                <w:szCs w:val="21"/>
                <w:highlight w:val="none"/>
              </w:rPr>
              <w:t>实时查看</w:t>
            </w:r>
            <w:r>
              <w:rPr>
                <w:rFonts w:hint="eastAsia" w:ascii="微软雅黑" w:hAnsi="微软雅黑" w:eastAsia="微软雅黑" w:cs="微软雅黑"/>
                <w:b/>
                <w:color w:val="auto"/>
                <w:kern w:val="0"/>
                <w:sz w:val="21"/>
                <w:szCs w:val="21"/>
                <w:highlight w:val="none"/>
              </w:rPr>
              <w:t>功能</w:t>
            </w:r>
            <w:r>
              <w:rPr>
                <w:rFonts w:hint="eastAsia" w:ascii="微软雅黑" w:hAnsi="微软雅黑" w:eastAsia="微软雅黑" w:cs="微软雅黑"/>
                <w:bCs w:val="0"/>
                <w:color w:val="auto"/>
                <w:sz w:val="21"/>
                <w:szCs w:val="21"/>
                <w:highlight w:val="none"/>
              </w:rPr>
              <w:t>介绍，根据演示内容是否与采购需求符合性或匹配度进行打分（评分范围：1/0.5，没有不得分）。</w:t>
            </w:r>
          </w:p>
          <w:p w14:paraId="19103AA4">
            <w:pPr>
              <w:pStyle w:val="3"/>
              <w:numPr>
                <w:ilvl w:val="0"/>
                <w:numId w:val="41"/>
              </w:numPr>
              <w:tabs>
                <w:tab w:val="left" w:pos="360"/>
              </w:tabs>
              <w:spacing w:line="240" w:lineRule="auto"/>
              <w:ind w:left="0" w:firstLine="0" w:firstLineChars="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pacing w:val="-3"/>
                <w:sz w:val="21"/>
                <w:szCs w:val="21"/>
                <w:highlight w:val="none"/>
              </w:rPr>
              <w:t>信息检索</w:t>
            </w:r>
            <w:r>
              <w:rPr>
                <w:rFonts w:hint="eastAsia" w:ascii="微软雅黑" w:hAnsi="微软雅黑" w:eastAsia="微软雅黑" w:cs="微软雅黑"/>
                <w:b/>
                <w:color w:val="auto"/>
                <w:kern w:val="0"/>
                <w:sz w:val="21"/>
                <w:szCs w:val="21"/>
                <w:highlight w:val="none"/>
              </w:rPr>
              <w:t>功能</w:t>
            </w:r>
            <w:r>
              <w:rPr>
                <w:rFonts w:hint="eastAsia" w:ascii="微软雅黑" w:hAnsi="微软雅黑" w:eastAsia="微软雅黑" w:cs="微软雅黑"/>
                <w:bCs w:val="0"/>
                <w:color w:val="auto"/>
                <w:sz w:val="21"/>
                <w:szCs w:val="21"/>
                <w:highlight w:val="none"/>
              </w:rPr>
              <w:t>介绍，根据演示内容是否与采购需求符合性或匹配度进行打分（评分范围：1/0.5，没有不得分）。</w:t>
            </w:r>
          </w:p>
          <w:p w14:paraId="105820B0">
            <w:pPr>
              <w:pStyle w:val="3"/>
              <w:numPr>
                <w:ilvl w:val="0"/>
                <w:numId w:val="41"/>
              </w:numPr>
              <w:tabs>
                <w:tab w:val="left" w:pos="360"/>
              </w:tabs>
              <w:spacing w:line="240" w:lineRule="auto"/>
              <w:ind w:left="0" w:firstLine="0" w:firstLineChars="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pacing w:val="-3"/>
                <w:sz w:val="21"/>
                <w:szCs w:val="21"/>
                <w:highlight w:val="none"/>
              </w:rPr>
              <w:t>检查记录汇总</w:t>
            </w:r>
            <w:r>
              <w:rPr>
                <w:rFonts w:hint="eastAsia" w:ascii="微软雅黑" w:hAnsi="微软雅黑" w:eastAsia="微软雅黑" w:cs="微软雅黑"/>
                <w:b/>
                <w:color w:val="auto"/>
                <w:kern w:val="0"/>
                <w:sz w:val="21"/>
                <w:szCs w:val="21"/>
                <w:highlight w:val="none"/>
              </w:rPr>
              <w:t>功能</w:t>
            </w:r>
            <w:r>
              <w:rPr>
                <w:rFonts w:hint="eastAsia" w:ascii="微软雅黑" w:hAnsi="微软雅黑" w:eastAsia="微软雅黑" w:cs="微软雅黑"/>
                <w:bCs w:val="0"/>
                <w:color w:val="auto"/>
                <w:sz w:val="21"/>
                <w:szCs w:val="21"/>
                <w:highlight w:val="none"/>
              </w:rPr>
              <w:t>介绍，根据演示内容是否与采购需求符合性或匹配度进行打分（评分范围：1/0.5，没有不得分）。</w:t>
            </w:r>
            <w:bookmarkEnd w:id="165"/>
          </w:p>
          <w:p w14:paraId="372C6E80">
            <w:pPr>
              <w:spacing w:line="240" w:lineRule="auto"/>
              <w:ind w:firstLine="0" w:firstLineChars="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方案演示：（mp4格式</w:t>
            </w:r>
            <w:r>
              <w:rPr>
                <w:rFonts w:hint="eastAsia" w:ascii="微软雅黑" w:hAnsi="微软雅黑" w:cs="微软雅黑"/>
                <w:b/>
                <w:bCs/>
                <w:color w:val="auto"/>
                <w:kern w:val="0"/>
                <w:szCs w:val="21"/>
                <w:highlight w:val="none"/>
              </w:rPr>
              <w:t>需带人声讲解</w:t>
            </w:r>
            <w:r>
              <w:rPr>
                <w:rFonts w:hint="eastAsia" w:ascii="微软雅黑" w:hAnsi="微软雅黑" w:cs="微软雅黑"/>
                <w:b/>
                <w:bCs/>
                <w:color w:val="auto"/>
                <w:szCs w:val="21"/>
                <w:highlight w:val="none"/>
              </w:rPr>
              <w:t>，方式详见前附表）</w:t>
            </w:r>
          </w:p>
          <w:p w14:paraId="3A58DE1E">
            <w:pPr>
              <w:pStyle w:val="4"/>
              <w:spacing w:line="240" w:lineRule="auto"/>
              <w:ind w:left="0" w:leftChars="0" w:firstLine="0" w:firstLineChars="0"/>
              <w:rPr>
                <w:color w:val="auto"/>
                <w:highlight w:val="none"/>
              </w:rPr>
            </w:pPr>
            <w:r>
              <w:rPr>
                <w:rFonts w:hint="eastAsia" w:ascii="微软雅黑" w:hAnsi="微软雅黑" w:cs="微软雅黑"/>
                <w:color w:val="auto"/>
                <w:szCs w:val="21"/>
                <w:highlight w:val="none"/>
              </w:rPr>
              <w:t>各投标单位针对突发事件，请自行模拟一个案例，进行全过程讲解。根据过程及方案是否与采购需求符合性或匹配度进行打分。（评分范围：4/3/2/1没有不得分）</w:t>
            </w:r>
          </w:p>
        </w:tc>
        <w:tc>
          <w:tcPr>
            <w:tcW w:w="815" w:type="dxa"/>
            <w:tcBorders>
              <w:top w:val="single" w:color="000000" w:sz="4" w:space="0"/>
              <w:left w:val="single" w:color="000000" w:sz="4" w:space="0"/>
              <w:bottom w:val="single" w:color="000000" w:sz="4" w:space="0"/>
              <w:right w:val="single" w:color="000000" w:sz="4" w:space="0"/>
            </w:tcBorders>
            <w:vAlign w:val="center"/>
          </w:tcPr>
          <w:p w14:paraId="02ABD0C3">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10</w:t>
            </w:r>
          </w:p>
        </w:tc>
        <w:tc>
          <w:tcPr>
            <w:tcW w:w="815" w:type="dxa"/>
            <w:tcBorders>
              <w:top w:val="single" w:color="000000" w:sz="4" w:space="0"/>
              <w:left w:val="single" w:color="000000" w:sz="4" w:space="0"/>
              <w:bottom w:val="single" w:color="000000" w:sz="4" w:space="0"/>
              <w:right w:val="single" w:color="000000" w:sz="4" w:space="0"/>
            </w:tcBorders>
            <w:vAlign w:val="center"/>
          </w:tcPr>
          <w:p w14:paraId="6994034E">
            <w:pPr>
              <w:widowControl/>
              <w:spacing w:line="240" w:lineRule="auto"/>
              <w:ind w:firstLine="0" w:firstLineChars="0"/>
              <w:jc w:val="center"/>
              <w:textAlignment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11DF195A">
        <w:tblPrEx>
          <w:tblCellMar>
            <w:top w:w="0" w:type="dxa"/>
            <w:left w:w="108" w:type="dxa"/>
            <w:bottom w:w="0" w:type="dxa"/>
            <w:right w:w="108" w:type="dxa"/>
          </w:tblCellMar>
        </w:tblPrEx>
        <w:trPr>
          <w:trHeight w:val="320" w:hRule="atLeast"/>
          <w:jc w:val="center"/>
        </w:trPr>
        <w:tc>
          <w:tcPr>
            <w:tcW w:w="713" w:type="dxa"/>
            <w:tcBorders>
              <w:top w:val="single" w:color="000000" w:sz="4" w:space="0"/>
              <w:left w:val="single" w:color="000000" w:sz="4" w:space="0"/>
              <w:bottom w:val="single" w:color="000000" w:sz="4" w:space="0"/>
              <w:right w:val="single" w:color="000000" w:sz="4" w:space="0"/>
            </w:tcBorders>
            <w:vAlign w:val="center"/>
          </w:tcPr>
          <w:p w14:paraId="668E77C3">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12</w:t>
            </w:r>
          </w:p>
        </w:tc>
        <w:tc>
          <w:tcPr>
            <w:tcW w:w="7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09DD">
            <w:pPr>
              <w:spacing w:line="240" w:lineRule="auto"/>
              <w:ind w:firstLine="0" w:firstLineChars="0"/>
              <w:rPr>
                <w:rFonts w:ascii="微软雅黑" w:hAnsi="微软雅黑" w:cs="微软雅黑"/>
                <w:b w:val="0"/>
                <w:bCs w:val="0"/>
                <w:color w:val="auto"/>
                <w:kern w:val="0"/>
                <w:szCs w:val="21"/>
                <w:highlight w:val="none"/>
              </w:rPr>
            </w:pPr>
            <w:r>
              <w:rPr>
                <w:rFonts w:hint="eastAsia" w:ascii="微软雅黑" w:hAnsi="微软雅黑" w:cs="微软雅黑"/>
                <w:b w:val="0"/>
                <w:bCs w:val="0"/>
                <w:color w:val="auto"/>
                <w:szCs w:val="21"/>
                <w:highlight w:val="none"/>
              </w:rPr>
              <w:t>针对本项目，投标单位对各乡镇相工工作人员的业务培训的内容和措施，是否与采购需求符合性或匹配度进行打分。</w:t>
            </w:r>
          </w:p>
          <w:p w14:paraId="3BDBCDDF">
            <w:pPr>
              <w:pStyle w:val="104"/>
              <w:numPr>
                <w:ilvl w:val="1"/>
                <w:numId w:val="27"/>
              </w:numPr>
              <w:tabs>
                <w:tab w:val="left" w:pos="155"/>
              </w:tabs>
              <w:spacing w:line="240" w:lineRule="auto"/>
              <w:ind w:left="13" w:firstLine="0" w:firstLineChars="0"/>
              <w:rPr>
                <w:rFonts w:ascii="微软雅黑" w:hAnsi="微软雅黑" w:cs="微软雅黑"/>
                <w:b w:val="0"/>
                <w:bCs w:val="0"/>
                <w:color w:val="auto"/>
                <w:szCs w:val="21"/>
                <w:highlight w:val="none"/>
              </w:rPr>
            </w:pPr>
            <w:r>
              <w:rPr>
                <w:rFonts w:hint="eastAsia" w:ascii="微软雅黑" w:hAnsi="微软雅黑" w:cs="微软雅黑"/>
                <w:b w:val="0"/>
                <w:bCs w:val="0"/>
                <w:color w:val="auto"/>
                <w:szCs w:val="21"/>
                <w:highlight w:val="none"/>
              </w:rPr>
              <w:t>业务培训内容（评分范围： 2/1,没有不得分）;</w:t>
            </w:r>
          </w:p>
          <w:p w14:paraId="0FC98D10">
            <w:pPr>
              <w:pStyle w:val="104"/>
              <w:numPr>
                <w:ilvl w:val="1"/>
                <w:numId w:val="27"/>
              </w:numPr>
              <w:tabs>
                <w:tab w:val="left" w:pos="155"/>
              </w:tabs>
              <w:spacing w:line="240" w:lineRule="auto"/>
              <w:ind w:left="13" w:firstLine="0" w:firstLineChars="0"/>
              <w:rPr>
                <w:rFonts w:hint="eastAsia" w:ascii="微软雅黑" w:hAnsi="微软雅黑" w:cs="微软雅黑"/>
                <w:b/>
                <w:bCs/>
                <w:color w:val="auto"/>
                <w:kern w:val="0"/>
                <w:szCs w:val="21"/>
                <w:highlight w:val="none"/>
              </w:rPr>
            </w:pPr>
            <w:r>
              <w:rPr>
                <w:rFonts w:hint="eastAsia" w:ascii="微软雅黑" w:hAnsi="微软雅黑" w:cs="微软雅黑"/>
                <w:b w:val="0"/>
                <w:bCs w:val="0"/>
                <w:color w:val="auto"/>
                <w:szCs w:val="21"/>
                <w:highlight w:val="none"/>
              </w:rPr>
              <w:t>业务培训的频率（评分范围：2/1,没有或者只有一次的不得分）。</w:t>
            </w:r>
            <w:r>
              <w:rPr>
                <w:rFonts w:hint="eastAsia" w:ascii="微软雅黑" w:hAnsi="微软雅黑" w:cs="微软雅黑"/>
                <w:b w:val="0"/>
                <w:bCs w:val="0"/>
                <w:color w:val="auto"/>
                <w:kern w:val="0"/>
                <w:szCs w:val="21"/>
                <w:highlight w:val="none"/>
              </w:rPr>
              <w:t xml:space="preserve"> </w:t>
            </w:r>
          </w:p>
        </w:tc>
        <w:tc>
          <w:tcPr>
            <w:tcW w:w="815" w:type="dxa"/>
            <w:tcBorders>
              <w:top w:val="single" w:color="000000" w:sz="4" w:space="0"/>
              <w:left w:val="single" w:color="000000" w:sz="4" w:space="0"/>
              <w:bottom w:val="single" w:color="000000" w:sz="4" w:space="0"/>
              <w:right w:val="single" w:color="000000" w:sz="4" w:space="0"/>
            </w:tcBorders>
            <w:vAlign w:val="center"/>
          </w:tcPr>
          <w:p w14:paraId="7E55FD42">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w:t>
            </w:r>
          </w:p>
        </w:tc>
        <w:tc>
          <w:tcPr>
            <w:tcW w:w="815" w:type="dxa"/>
            <w:tcBorders>
              <w:top w:val="single" w:color="000000" w:sz="4" w:space="0"/>
              <w:left w:val="single" w:color="000000" w:sz="4" w:space="0"/>
              <w:bottom w:val="single" w:color="000000" w:sz="4" w:space="0"/>
              <w:right w:val="single" w:color="000000" w:sz="4" w:space="0"/>
            </w:tcBorders>
            <w:vAlign w:val="center"/>
          </w:tcPr>
          <w:p w14:paraId="2061E183">
            <w:pPr>
              <w:widowControl/>
              <w:spacing w:line="240" w:lineRule="auto"/>
              <w:ind w:firstLine="0" w:firstLineChars="0"/>
              <w:jc w:val="center"/>
              <w:textAlignment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7A193873">
        <w:tblPrEx>
          <w:tblCellMar>
            <w:top w:w="0" w:type="dxa"/>
            <w:left w:w="108" w:type="dxa"/>
            <w:bottom w:w="0" w:type="dxa"/>
            <w:right w:w="108" w:type="dxa"/>
          </w:tblCellMar>
        </w:tblPrEx>
        <w:trPr>
          <w:trHeight w:val="320" w:hRule="atLeast"/>
          <w:jc w:val="center"/>
        </w:trPr>
        <w:tc>
          <w:tcPr>
            <w:tcW w:w="713" w:type="dxa"/>
            <w:tcBorders>
              <w:top w:val="single" w:color="000000" w:sz="4" w:space="0"/>
              <w:left w:val="single" w:color="000000" w:sz="4" w:space="0"/>
              <w:bottom w:val="single" w:color="000000" w:sz="4" w:space="0"/>
              <w:right w:val="single" w:color="000000" w:sz="4" w:space="0"/>
            </w:tcBorders>
            <w:vAlign w:val="center"/>
          </w:tcPr>
          <w:p w14:paraId="0D8FBFE7">
            <w:pPr>
              <w:widowControl/>
              <w:spacing w:line="240" w:lineRule="auto"/>
              <w:ind w:firstLine="0" w:firstLineChars="0"/>
              <w:jc w:val="center"/>
              <w:textAlignment w:val="center"/>
              <w:rPr>
                <w:rFonts w:hint="eastAsia" w:ascii="微软雅黑" w:hAnsi="微软雅黑" w:cs="微软雅黑"/>
                <w:color w:val="auto"/>
                <w:szCs w:val="21"/>
                <w:highlight w:val="none"/>
              </w:rPr>
            </w:pPr>
            <w:r>
              <w:rPr>
                <w:rStyle w:val="140"/>
                <w:rFonts w:ascii="微软雅黑" w:hAnsi="微软雅黑" w:eastAsia="微软雅黑" w:cs="微软雅黑"/>
                <w:color w:val="auto"/>
                <w:highlight w:val="none"/>
              </w:rPr>
              <w:t>小计</w:t>
            </w:r>
          </w:p>
        </w:tc>
        <w:tc>
          <w:tcPr>
            <w:tcW w:w="7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ECCA">
            <w:pPr>
              <w:pStyle w:val="3"/>
              <w:tabs>
                <w:tab w:val="left" w:pos="360"/>
              </w:tabs>
              <w:spacing w:line="240" w:lineRule="auto"/>
              <w:ind w:firstLine="0" w:firstLineChars="0"/>
              <w:rPr>
                <w:rFonts w:hint="eastAsia" w:ascii="微软雅黑" w:hAnsi="微软雅黑" w:eastAsia="微软雅黑" w:cs="微软雅黑"/>
                <w:color w:val="auto"/>
                <w:spacing w:val="-3"/>
                <w:sz w:val="21"/>
                <w:szCs w:val="21"/>
                <w:highlight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13CD200A">
            <w:pPr>
              <w:widowControl/>
              <w:spacing w:line="240" w:lineRule="auto"/>
              <w:ind w:firstLine="0" w:firstLineChars="0"/>
              <w:jc w:val="center"/>
              <w:textAlignment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fldChar w:fldCharType="begin"/>
            </w:r>
            <w:r>
              <w:rPr>
                <w:rFonts w:hint="eastAsia" w:ascii="微软雅黑" w:hAnsi="微软雅黑" w:cs="微软雅黑"/>
                <w:color w:val="auto"/>
                <w:szCs w:val="21"/>
                <w:highlight w:val="none"/>
              </w:rPr>
              <w:instrText xml:space="preserve"> = sum(C2:C13) \* MERGEFORMAT </w:instrText>
            </w:r>
            <w:r>
              <w:rPr>
                <w:rFonts w:hint="eastAsia" w:ascii="微软雅黑" w:hAnsi="微软雅黑" w:cs="微软雅黑"/>
                <w:color w:val="auto"/>
                <w:szCs w:val="21"/>
                <w:highlight w:val="none"/>
              </w:rPr>
              <w:fldChar w:fldCharType="separate"/>
            </w:r>
            <w:r>
              <w:rPr>
                <w:rFonts w:hint="eastAsia" w:ascii="微软雅黑" w:hAnsi="微软雅黑" w:cs="微软雅黑"/>
                <w:color w:val="auto"/>
                <w:szCs w:val="21"/>
                <w:highlight w:val="none"/>
              </w:rPr>
              <w:t>82</w:t>
            </w:r>
            <w:r>
              <w:rPr>
                <w:rFonts w:hint="eastAsia" w:ascii="微软雅黑" w:hAnsi="微软雅黑" w:cs="微软雅黑"/>
                <w:color w:val="auto"/>
                <w:szCs w:val="21"/>
                <w:highlight w:val="none"/>
              </w:rPr>
              <w:fldChar w:fldCharType="end"/>
            </w:r>
          </w:p>
        </w:tc>
        <w:tc>
          <w:tcPr>
            <w:tcW w:w="815" w:type="dxa"/>
            <w:tcBorders>
              <w:top w:val="single" w:color="000000" w:sz="4" w:space="0"/>
              <w:left w:val="single" w:color="000000" w:sz="4" w:space="0"/>
              <w:bottom w:val="single" w:color="000000" w:sz="4" w:space="0"/>
              <w:right w:val="single" w:color="000000" w:sz="4" w:space="0"/>
            </w:tcBorders>
            <w:vAlign w:val="center"/>
          </w:tcPr>
          <w:p w14:paraId="6A84E141">
            <w:pPr>
              <w:widowControl/>
              <w:spacing w:line="240" w:lineRule="auto"/>
              <w:ind w:firstLine="0" w:firstLineChars="0"/>
              <w:jc w:val="center"/>
              <w:textAlignment w:val="center"/>
              <w:rPr>
                <w:rFonts w:hint="eastAsia" w:ascii="微软雅黑" w:hAnsi="微软雅黑" w:cs="微软雅黑"/>
                <w:color w:val="auto"/>
                <w:kern w:val="0"/>
                <w:szCs w:val="21"/>
                <w:highlight w:val="none"/>
              </w:rPr>
            </w:pPr>
          </w:p>
        </w:tc>
      </w:tr>
    </w:tbl>
    <w:p w14:paraId="459BCCFD">
      <w:pPr>
        <w:tabs>
          <w:tab w:val="left" w:pos="3870"/>
          <w:tab w:val="left" w:pos="4085"/>
        </w:tabs>
        <w:snapToGrid w:val="0"/>
        <w:spacing w:line="500" w:lineRule="exact"/>
        <w:ind w:firstLine="420"/>
        <w:outlineLvl w:val="1"/>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（三）资信及其他分</w:t>
      </w:r>
    </w:p>
    <w:tbl>
      <w:tblPr>
        <w:tblStyle w:val="54"/>
        <w:tblW w:w="9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462"/>
        <w:gridCol w:w="816"/>
        <w:gridCol w:w="816"/>
      </w:tblGrid>
      <w:tr w14:paraId="62F1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9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1F9E7D1">
            <w:pPr>
              <w:autoSpaceDE w:val="0"/>
              <w:autoSpaceDN w:val="0"/>
              <w:adjustRightInd w:val="0"/>
              <w:spacing w:line="440" w:lineRule="exact"/>
              <w:ind w:firstLine="0" w:firstLineChars="0"/>
              <w:jc w:val="center"/>
              <w:rPr>
                <w:rFonts w:hint="eastAsia" w:ascii="微软雅黑" w:hAnsi="微软雅黑" w:cs="微软雅黑"/>
                <w:bCs/>
                <w:color w:val="auto"/>
                <w:szCs w:val="21"/>
                <w:highlight w:val="none"/>
              </w:rPr>
            </w:pPr>
            <w:r>
              <w:rPr>
                <w:rFonts w:hint="eastAsia" w:ascii="微软雅黑" w:hAnsi="微软雅黑" w:cs="微软雅黑"/>
                <w:bCs/>
                <w:color w:val="auto"/>
                <w:szCs w:val="21"/>
                <w:highlight w:val="none"/>
              </w:rPr>
              <w:t>序号</w:t>
            </w:r>
          </w:p>
        </w:tc>
        <w:tc>
          <w:tcPr>
            <w:tcW w:w="7462" w:type="dxa"/>
            <w:tcBorders>
              <w:top w:val="single" w:color="auto" w:sz="4" w:space="0"/>
              <w:left w:val="single" w:color="auto" w:sz="4" w:space="0"/>
              <w:bottom w:val="single" w:color="auto" w:sz="4" w:space="0"/>
              <w:right w:val="single" w:color="auto" w:sz="4" w:space="0"/>
            </w:tcBorders>
            <w:vAlign w:val="center"/>
          </w:tcPr>
          <w:p w14:paraId="504639A5">
            <w:pPr>
              <w:autoSpaceDE w:val="0"/>
              <w:autoSpaceDN w:val="0"/>
              <w:adjustRightInd w:val="0"/>
              <w:spacing w:line="440" w:lineRule="exact"/>
              <w:ind w:firstLine="0" w:firstLineChars="0"/>
              <w:jc w:val="center"/>
              <w:rPr>
                <w:rFonts w:hint="eastAsia" w:ascii="微软雅黑" w:hAnsi="微软雅黑" w:cs="微软雅黑"/>
                <w:bCs/>
                <w:color w:val="auto"/>
                <w:szCs w:val="21"/>
                <w:highlight w:val="none"/>
              </w:rPr>
            </w:pPr>
            <w:r>
              <w:rPr>
                <w:rFonts w:hint="eastAsia" w:ascii="微软雅黑" w:hAnsi="微软雅黑" w:cs="微软雅黑"/>
                <w:bCs/>
                <w:color w:val="auto"/>
                <w:szCs w:val="21"/>
                <w:highlight w:val="none"/>
              </w:rPr>
              <w:t>评分细则</w:t>
            </w:r>
          </w:p>
        </w:tc>
        <w:tc>
          <w:tcPr>
            <w:tcW w:w="816" w:type="dxa"/>
            <w:tcBorders>
              <w:top w:val="single" w:color="auto" w:sz="4" w:space="0"/>
              <w:left w:val="single" w:color="auto" w:sz="4" w:space="0"/>
              <w:bottom w:val="single" w:color="auto" w:sz="4" w:space="0"/>
              <w:right w:val="single" w:color="auto" w:sz="4" w:space="0"/>
            </w:tcBorders>
            <w:vAlign w:val="center"/>
          </w:tcPr>
          <w:p w14:paraId="0AA0CFBE">
            <w:pPr>
              <w:autoSpaceDE w:val="0"/>
              <w:autoSpaceDN w:val="0"/>
              <w:adjustRightInd w:val="0"/>
              <w:spacing w:line="240" w:lineRule="auto"/>
              <w:ind w:firstLine="0" w:firstLineChars="0"/>
              <w:jc w:val="center"/>
              <w:rPr>
                <w:rFonts w:hint="eastAsia" w:ascii="微软雅黑" w:hAnsi="微软雅黑" w:cs="微软雅黑"/>
                <w:bCs/>
                <w:color w:val="auto"/>
                <w:szCs w:val="21"/>
                <w:highlight w:val="none"/>
              </w:rPr>
            </w:pPr>
            <w:r>
              <w:rPr>
                <w:rFonts w:hint="eastAsia" w:ascii="微软雅黑" w:hAnsi="微软雅黑" w:cs="微软雅黑"/>
                <w:bCs/>
                <w:color w:val="auto"/>
                <w:szCs w:val="21"/>
                <w:highlight w:val="none"/>
              </w:rPr>
              <w:t>最高分值</w:t>
            </w:r>
          </w:p>
        </w:tc>
        <w:tc>
          <w:tcPr>
            <w:tcW w:w="816" w:type="dxa"/>
            <w:tcBorders>
              <w:top w:val="single" w:color="auto" w:sz="4" w:space="0"/>
              <w:left w:val="single" w:color="auto" w:sz="4" w:space="0"/>
              <w:bottom w:val="single" w:color="auto" w:sz="4" w:space="0"/>
              <w:right w:val="single" w:color="auto" w:sz="4" w:space="0"/>
            </w:tcBorders>
            <w:vAlign w:val="center"/>
          </w:tcPr>
          <w:p w14:paraId="08090007">
            <w:pPr>
              <w:autoSpaceDE w:val="0"/>
              <w:autoSpaceDN w:val="0"/>
              <w:adjustRightInd w:val="0"/>
              <w:spacing w:line="240" w:lineRule="auto"/>
              <w:ind w:firstLine="0" w:firstLineChars="0"/>
              <w:jc w:val="center"/>
              <w:rPr>
                <w:rFonts w:hint="eastAsia" w:ascii="微软雅黑" w:hAnsi="微软雅黑" w:cs="微软雅黑"/>
                <w:bCs/>
                <w:color w:val="auto"/>
                <w:szCs w:val="21"/>
                <w:highlight w:val="none"/>
              </w:rPr>
            </w:pPr>
            <w:r>
              <w:rPr>
                <w:rFonts w:hint="eastAsia" w:ascii="微软雅黑" w:hAnsi="微软雅黑" w:cs="微软雅黑"/>
                <w:bCs/>
                <w:color w:val="auto"/>
                <w:szCs w:val="21"/>
                <w:highlight w:val="none"/>
              </w:rPr>
              <w:t>评分设置</w:t>
            </w:r>
          </w:p>
        </w:tc>
      </w:tr>
      <w:tr w14:paraId="3669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6" w:hRule="atLeast"/>
          <w:jc w:val="center"/>
        </w:trPr>
        <w:tc>
          <w:tcPr>
            <w:tcW w:w="709" w:type="dxa"/>
            <w:vAlign w:val="center"/>
          </w:tcPr>
          <w:p w14:paraId="2F957074">
            <w:pPr>
              <w:autoSpaceDE w:val="0"/>
              <w:autoSpaceDN w:val="0"/>
              <w:adjustRightInd w:val="0"/>
              <w:spacing w:line="440" w:lineRule="exact"/>
              <w:ind w:firstLine="0" w:firstLineChars="0"/>
              <w:jc w:val="center"/>
              <w:rPr>
                <w:rFonts w:hint="eastAsia" w:ascii="微软雅黑" w:hAnsi="微软雅黑" w:cs="微软雅黑"/>
                <w:bCs/>
                <w:color w:val="auto"/>
                <w:szCs w:val="21"/>
                <w:highlight w:val="none"/>
              </w:rPr>
            </w:pPr>
            <w:r>
              <w:rPr>
                <w:rFonts w:hint="eastAsia" w:ascii="微软雅黑" w:hAnsi="微软雅黑" w:cs="微软雅黑"/>
                <w:bCs/>
                <w:color w:val="auto"/>
                <w:szCs w:val="21"/>
                <w:highlight w:val="none"/>
              </w:rPr>
              <w:t>13</w:t>
            </w:r>
          </w:p>
        </w:tc>
        <w:tc>
          <w:tcPr>
            <w:tcW w:w="7462" w:type="dxa"/>
            <w:vAlign w:val="center"/>
          </w:tcPr>
          <w:p w14:paraId="6C20C480">
            <w:pPr>
              <w:pStyle w:val="52"/>
              <w:spacing w:line="440" w:lineRule="exact"/>
              <w:ind w:left="0" w:leftChars="0" w:firstLine="0" w:firstLineChars="0"/>
              <w:rPr>
                <w:rFonts w:hint="eastAsia" w:ascii="微软雅黑" w:hAnsi="微软雅黑"/>
                <w:bCs/>
                <w:color w:val="auto"/>
                <w:szCs w:val="21"/>
                <w:highlight w:val="none"/>
              </w:rPr>
            </w:pPr>
            <w:r>
              <w:rPr>
                <w:rFonts w:hint="eastAsia" w:ascii="微软雅黑" w:hAnsi="微软雅黑"/>
                <w:bCs/>
                <w:color w:val="auto"/>
                <w:szCs w:val="21"/>
                <w:highlight w:val="none"/>
              </w:rPr>
              <w:t>投标人偿付能力（0-2分）.</w:t>
            </w:r>
            <w:r>
              <w:rPr>
                <w:rFonts w:hint="eastAsia" w:ascii="微软雅黑" w:hAnsi="微软雅黑" w:cs="宋体"/>
                <w:bCs/>
                <w:color w:val="auto"/>
                <w:highlight w:val="none"/>
              </w:rPr>
              <w:t xml:space="preserve"> 根据投标人提供</w:t>
            </w:r>
            <w:r>
              <w:rPr>
                <w:rFonts w:hint="eastAsia" w:ascii="微软雅黑" w:hAnsi="微软雅黑" w:cs="宋体"/>
                <w:bCs/>
                <w:color w:val="auto"/>
                <w:highlight w:val="none"/>
                <w:u w:val="single"/>
              </w:rPr>
              <w:t>的2024年第二季度综合偿付能力充足率在200%以上的得2分</w:t>
            </w:r>
            <w:r>
              <w:rPr>
                <w:rFonts w:hint="eastAsia" w:ascii="微软雅黑" w:hAnsi="微软雅黑" w:cs="宋体"/>
                <w:bCs/>
                <w:color w:val="auto"/>
                <w:highlight w:val="none"/>
              </w:rPr>
              <w:t>，</w:t>
            </w:r>
            <w:r>
              <w:rPr>
                <w:rFonts w:hint="eastAsia" w:ascii="微软雅黑" w:hAnsi="微软雅黑" w:cs="宋体"/>
                <w:bCs/>
                <w:color w:val="auto"/>
                <w:highlight w:val="none"/>
                <w:u w:val="single"/>
              </w:rPr>
              <w:t>综合偿付能力充足率在150-200%的得1分</w:t>
            </w:r>
            <w:r>
              <w:rPr>
                <w:rFonts w:hint="eastAsia" w:ascii="微软雅黑" w:hAnsi="微软雅黑" w:cs="宋体"/>
                <w:bCs/>
                <w:color w:val="auto"/>
                <w:highlight w:val="none"/>
              </w:rPr>
              <w:t>，150%及以下的不得分，不提供证明材料不得分。</w:t>
            </w:r>
          </w:p>
        </w:tc>
        <w:tc>
          <w:tcPr>
            <w:tcW w:w="816" w:type="dxa"/>
            <w:vAlign w:val="center"/>
          </w:tcPr>
          <w:p w14:paraId="3E85C8D3">
            <w:pPr>
              <w:autoSpaceDE w:val="0"/>
              <w:autoSpaceDN w:val="0"/>
              <w:adjustRightInd w:val="0"/>
              <w:spacing w:line="440" w:lineRule="exact"/>
              <w:ind w:firstLine="0" w:firstLineChars="0"/>
              <w:jc w:val="center"/>
              <w:rPr>
                <w:rFonts w:hint="eastAsia" w:ascii="微软雅黑" w:hAnsi="微软雅黑" w:cs="微软雅黑"/>
                <w:bCs/>
                <w:color w:val="auto"/>
                <w:szCs w:val="21"/>
                <w:highlight w:val="none"/>
              </w:rPr>
            </w:pPr>
            <w:r>
              <w:rPr>
                <w:rFonts w:hint="eastAsia" w:ascii="微软雅黑" w:hAnsi="微软雅黑"/>
                <w:bCs/>
                <w:color w:val="auto"/>
                <w:szCs w:val="21"/>
                <w:highlight w:val="none"/>
              </w:rPr>
              <w:t>2</w:t>
            </w:r>
          </w:p>
        </w:tc>
        <w:tc>
          <w:tcPr>
            <w:tcW w:w="816" w:type="dxa"/>
            <w:vAlign w:val="center"/>
          </w:tcPr>
          <w:p w14:paraId="38C25A91">
            <w:pPr>
              <w:autoSpaceDE w:val="0"/>
              <w:autoSpaceDN w:val="0"/>
              <w:adjustRightInd w:val="0"/>
              <w:spacing w:line="440" w:lineRule="exact"/>
              <w:ind w:firstLine="0" w:firstLineChars="0"/>
              <w:jc w:val="center"/>
              <w:rPr>
                <w:rFonts w:hint="eastAsia" w:ascii="微软雅黑" w:hAnsi="微软雅黑" w:cs="宋体"/>
                <w:bCs/>
                <w:color w:val="auto"/>
                <w:szCs w:val="21"/>
                <w:highlight w:val="none"/>
              </w:rPr>
            </w:pPr>
            <w:r>
              <w:rPr>
                <w:rFonts w:hint="eastAsia" w:ascii="微软雅黑" w:hAnsi="微软雅黑" w:cs="宋体"/>
                <w:bCs/>
                <w:color w:val="auto"/>
                <w:szCs w:val="21"/>
                <w:highlight w:val="none"/>
              </w:rPr>
              <w:t>客观</w:t>
            </w:r>
          </w:p>
        </w:tc>
      </w:tr>
      <w:tr w14:paraId="51A8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jc w:val="center"/>
        </w:trPr>
        <w:tc>
          <w:tcPr>
            <w:tcW w:w="709" w:type="dxa"/>
            <w:vAlign w:val="center"/>
          </w:tcPr>
          <w:p w14:paraId="5B717324">
            <w:pPr>
              <w:autoSpaceDE w:val="0"/>
              <w:autoSpaceDN w:val="0"/>
              <w:adjustRightInd w:val="0"/>
              <w:spacing w:line="440" w:lineRule="exact"/>
              <w:ind w:firstLine="0" w:firstLineChars="0"/>
              <w:jc w:val="center"/>
              <w:rPr>
                <w:rFonts w:hint="eastAsia" w:ascii="微软雅黑" w:hAnsi="微软雅黑" w:cs="微软雅黑"/>
                <w:bCs/>
                <w:color w:val="auto"/>
                <w:szCs w:val="21"/>
                <w:highlight w:val="none"/>
              </w:rPr>
            </w:pPr>
            <w:bookmarkStart w:id="304" w:name="_GoBack" w:colFirst="1" w:colLast="1"/>
            <w:r>
              <w:rPr>
                <w:rFonts w:hint="eastAsia" w:ascii="微软雅黑" w:hAnsi="微软雅黑" w:cs="微软雅黑"/>
                <w:bCs/>
                <w:color w:val="auto"/>
                <w:szCs w:val="21"/>
                <w:highlight w:val="none"/>
              </w:rPr>
              <w:t>14</w:t>
            </w:r>
          </w:p>
        </w:tc>
        <w:tc>
          <w:tcPr>
            <w:tcW w:w="7462" w:type="dxa"/>
            <w:vAlign w:val="center"/>
          </w:tcPr>
          <w:p w14:paraId="4439C8B6">
            <w:pPr>
              <w:tabs>
                <w:tab w:val="left" w:pos="142"/>
              </w:tabs>
              <w:spacing w:line="240" w:lineRule="auto"/>
              <w:ind w:firstLine="0" w:firstLineChars="0"/>
              <w:rPr>
                <w:rFonts w:hint="eastAsia" w:ascii="微软雅黑" w:hAnsi="微软雅黑"/>
                <w:color w:val="auto"/>
                <w:highlight w:val="none"/>
              </w:rPr>
            </w:pPr>
            <w:r>
              <w:rPr>
                <w:rFonts w:hint="eastAsia" w:ascii="微软雅黑" w:hAnsi="微软雅黑"/>
                <w:color w:val="auto"/>
                <w:highlight w:val="none"/>
              </w:rPr>
              <w:t>同类案例：</w:t>
            </w:r>
          </w:p>
          <w:p w14:paraId="73093B01">
            <w:pPr>
              <w:spacing w:line="440" w:lineRule="exact"/>
              <w:ind w:firstLine="0" w:firstLineChars="0"/>
              <w:rPr>
                <w:rFonts w:hint="eastAsia" w:ascii="微软雅黑" w:hAnsi="微软雅黑" w:cs="微软雅黑"/>
                <w:bCs/>
                <w:color w:val="auto"/>
                <w:szCs w:val="21"/>
                <w:highlight w:val="none"/>
              </w:rPr>
            </w:pPr>
            <w:r>
              <w:rPr>
                <w:rFonts w:hint="eastAsia" w:ascii="微软雅黑" w:hAnsi="微软雅黑"/>
                <w:color w:val="auto"/>
                <w:highlight w:val="none"/>
              </w:rPr>
              <w:t>自2021年1月1日（以起保时间为准)以来投标人取得的同类项目案例业绩，每提供一个得0.5分，最高1分。（提供保险单复印件做在投标文件中）。</w:t>
            </w:r>
          </w:p>
        </w:tc>
        <w:tc>
          <w:tcPr>
            <w:tcW w:w="816" w:type="dxa"/>
            <w:vAlign w:val="center"/>
          </w:tcPr>
          <w:p w14:paraId="32F46E5A">
            <w:pPr>
              <w:autoSpaceDE w:val="0"/>
              <w:autoSpaceDN w:val="0"/>
              <w:adjustRightInd w:val="0"/>
              <w:spacing w:line="440" w:lineRule="exact"/>
              <w:ind w:firstLine="0" w:firstLineChars="0"/>
              <w:jc w:val="center"/>
              <w:rPr>
                <w:rFonts w:hint="eastAsia" w:ascii="微软雅黑" w:hAnsi="微软雅黑" w:cs="微软雅黑"/>
                <w:bCs/>
                <w:color w:val="auto"/>
                <w:szCs w:val="21"/>
                <w:highlight w:val="none"/>
              </w:rPr>
            </w:pPr>
            <w:r>
              <w:rPr>
                <w:rFonts w:ascii="微软雅黑" w:hAnsi="微软雅黑"/>
                <w:color w:val="auto"/>
                <w:highlight w:val="none"/>
              </w:rPr>
              <w:t>1</w:t>
            </w:r>
          </w:p>
        </w:tc>
        <w:tc>
          <w:tcPr>
            <w:tcW w:w="816" w:type="dxa"/>
            <w:vAlign w:val="center"/>
          </w:tcPr>
          <w:p w14:paraId="09F314A9">
            <w:pPr>
              <w:autoSpaceDE w:val="0"/>
              <w:autoSpaceDN w:val="0"/>
              <w:adjustRightInd w:val="0"/>
              <w:spacing w:line="440" w:lineRule="exact"/>
              <w:ind w:firstLine="0" w:firstLineChars="0"/>
              <w:jc w:val="center"/>
              <w:rPr>
                <w:rFonts w:hint="eastAsia" w:ascii="微软雅黑" w:hAnsi="微软雅黑" w:cs="宋体"/>
                <w:bCs/>
                <w:color w:val="auto"/>
                <w:szCs w:val="21"/>
                <w:highlight w:val="none"/>
              </w:rPr>
            </w:pPr>
            <w:r>
              <w:rPr>
                <w:rFonts w:hint="eastAsia" w:ascii="微软雅黑" w:hAnsi="微软雅黑" w:cs="宋体"/>
                <w:bCs/>
                <w:color w:val="auto"/>
                <w:szCs w:val="21"/>
                <w:highlight w:val="none"/>
              </w:rPr>
              <w:t>客观</w:t>
            </w:r>
          </w:p>
        </w:tc>
      </w:tr>
      <w:bookmarkEnd w:id="304"/>
      <w:tr w14:paraId="4DF8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jc w:val="center"/>
        </w:trPr>
        <w:tc>
          <w:tcPr>
            <w:tcW w:w="709" w:type="dxa"/>
            <w:vAlign w:val="center"/>
          </w:tcPr>
          <w:p w14:paraId="2A6FE405">
            <w:pPr>
              <w:autoSpaceDE w:val="0"/>
              <w:autoSpaceDN w:val="0"/>
              <w:adjustRightInd w:val="0"/>
              <w:spacing w:line="440" w:lineRule="exact"/>
              <w:ind w:firstLine="0" w:firstLineChars="0"/>
              <w:jc w:val="center"/>
              <w:rPr>
                <w:rFonts w:hint="eastAsia" w:ascii="微软雅黑" w:hAnsi="微软雅黑" w:cs="微软雅黑"/>
                <w:bCs/>
                <w:color w:val="auto"/>
                <w:szCs w:val="21"/>
                <w:highlight w:val="none"/>
              </w:rPr>
            </w:pPr>
            <w:r>
              <w:rPr>
                <w:rFonts w:hint="eastAsia" w:ascii="微软雅黑" w:hAnsi="微软雅黑" w:cs="微软雅黑"/>
                <w:bCs/>
                <w:color w:val="auto"/>
                <w:szCs w:val="21"/>
                <w:highlight w:val="none"/>
              </w:rPr>
              <w:t>小计</w:t>
            </w:r>
          </w:p>
        </w:tc>
        <w:tc>
          <w:tcPr>
            <w:tcW w:w="7462" w:type="dxa"/>
            <w:vAlign w:val="center"/>
          </w:tcPr>
          <w:p w14:paraId="6950A09C">
            <w:pPr>
              <w:autoSpaceDE w:val="0"/>
              <w:autoSpaceDN w:val="0"/>
              <w:adjustRightInd w:val="0"/>
              <w:spacing w:line="440" w:lineRule="exact"/>
              <w:ind w:firstLine="0" w:firstLineChars="0"/>
              <w:rPr>
                <w:rFonts w:hint="eastAsia" w:ascii="微软雅黑" w:hAnsi="微软雅黑" w:cs="微软雅黑"/>
                <w:bCs/>
                <w:color w:val="auto"/>
                <w:szCs w:val="21"/>
                <w:highlight w:val="none"/>
              </w:rPr>
            </w:pPr>
          </w:p>
        </w:tc>
        <w:tc>
          <w:tcPr>
            <w:tcW w:w="816" w:type="dxa"/>
            <w:vAlign w:val="center"/>
          </w:tcPr>
          <w:p w14:paraId="6EE7AC5C">
            <w:pPr>
              <w:autoSpaceDE w:val="0"/>
              <w:autoSpaceDN w:val="0"/>
              <w:adjustRightInd w:val="0"/>
              <w:spacing w:line="440" w:lineRule="exact"/>
              <w:ind w:firstLine="0" w:firstLineChars="0"/>
              <w:jc w:val="center"/>
              <w:rPr>
                <w:rFonts w:hint="eastAsia" w:ascii="微软雅黑" w:hAnsi="微软雅黑" w:cs="微软雅黑"/>
                <w:bCs/>
                <w:color w:val="auto"/>
                <w:szCs w:val="21"/>
                <w:highlight w:val="none"/>
              </w:rPr>
            </w:pPr>
            <w:r>
              <w:rPr>
                <w:rFonts w:hint="eastAsia" w:ascii="微软雅黑" w:hAnsi="微软雅黑" w:cs="微软雅黑"/>
                <w:bCs/>
                <w:color w:val="auto"/>
                <w:szCs w:val="21"/>
                <w:highlight w:val="none"/>
              </w:rPr>
              <w:fldChar w:fldCharType="begin"/>
            </w:r>
            <w:r>
              <w:rPr>
                <w:rFonts w:hint="eastAsia" w:ascii="微软雅黑" w:hAnsi="微软雅黑" w:cs="微软雅黑"/>
                <w:bCs/>
                <w:color w:val="auto"/>
                <w:szCs w:val="21"/>
                <w:highlight w:val="none"/>
              </w:rPr>
              <w:instrText xml:space="preserve"> = sum(C2:C3) \* MERGEFORMAT </w:instrText>
            </w:r>
            <w:r>
              <w:rPr>
                <w:rFonts w:hint="eastAsia" w:ascii="微软雅黑" w:hAnsi="微软雅黑" w:cs="微软雅黑"/>
                <w:bCs/>
                <w:color w:val="auto"/>
                <w:szCs w:val="21"/>
                <w:highlight w:val="none"/>
              </w:rPr>
              <w:fldChar w:fldCharType="separate"/>
            </w:r>
            <w:r>
              <w:rPr>
                <w:rFonts w:hint="eastAsia" w:ascii="微软雅黑" w:hAnsi="微软雅黑" w:cs="微软雅黑"/>
                <w:bCs/>
                <w:color w:val="auto"/>
                <w:szCs w:val="21"/>
                <w:highlight w:val="none"/>
              </w:rPr>
              <w:t>3</w:t>
            </w:r>
            <w:r>
              <w:rPr>
                <w:rFonts w:hint="eastAsia" w:ascii="微软雅黑" w:hAnsi="微软雅黑" w:cs="微软雅黑"/>
                <w:bCs/>
                <w:color w:val="auto"/>
                <w:szCs w:val="21"/>
                <w:highlight w:val="none"/>
              </w:rPr>
              <w:fldChar w:fldCharType="end"/>
            </w:r>
          </w:p>
        </w:tc>
        <w:tc>
          <w:tcPr>
            <w:tcW w:w="816" w:type="dxa"/>
            <w:vAlign w:val="center"/>
          </w:tcPr>
          <w:p w14:paraId="7901A580">
            <w:pPr>
              <w:autoSpaceDE w:val="0"/>
              <w:autoSpaceDN w:val="0"/>
              <w:adjustRightInd w:val="0"/>
              <w:spacing w:line="440" w:lineRule="exact"/>
              <w:ind w:firstLine="0" w:firstLineChars="0"/>
              <w:jc w:val="center"/>
              <w:rPr>
                <w:rFonts w:hint="eastAsia" w:ascii="微软雅黑" w:hAnsi="微软雅黑" w:cs="微软雅黑"/>
                <w:bCs/>
                <w:color w:val="auto"/>
                <w:szCs w:val="21"/>
                <w:highlight w:val="none"/>
              </w:rPr>
            </w:pPr>
          </w:p>
        </w:tc>
      </w:tr>
    </w:tbl>
    <w:p w14:paraId="378288FC">
      <w:pPr>
        <w:pStyle w:val="3"/>
        <w:ind w:firstLine="480"/>
        <w:rPr>
          <w:rFonts w:hint="eastAsia"/>
          <w:color w:val="auto"/>
          <w:highlight w:val="none"/>
        </w:rPr>
      </w:pPr>
    </w:p>
    <w:p w14:paraId="288A4E4D">
      <w:pPr>
        <w:pStyle w:val="3"/>
        <w:ind w:firstLine="480"/>
        <w:rPr>
          <w:rFonts w:hint="eastAsia"/>
          <w:color w:val="auto"/>
          <w:highlight w:val="none"/>
        </w:rPr>
      </w:pPr>
    </w:p>
    <w:p w14:paraId="791C2081">
      <w:pPr>
        <w:pStyle w:val="3"/>
        <w:ind w:firstLine="480"/>
        <w:rPr>
          <w:rFonts w:hint="eastAsia"/>
          <w:color w:val="auto"/>
          <w:highlight w:val="none"/>
        </w:rPr>
      </w:pPr>
    </w:p>
    <w:bookmarkEnd w:id="157"/>
    <w:bookmarkEnd w:id="158"/>
    <w:bookmarkEnd w:id="159"/>
    <w:bookmarkEnd w:id="160"/>
    <w:p w14:paraId="2D434755">
      <w:pPr>
        <w:pStyle w:val="5"/>
        <w:numPr>
          <w:ilvl w:val="0"/>
          <w:numId w:val="3"/>
        </w:numPr>
        <w:rPr>
          <w:rStyle w:val="70"/>
          <w:b/>
          <w:bCs/>
          <w:color w:val="auto"/>
          <w:highlight w:val="none"/>
        </w:rPr>
        <w:sectPr>
          <w:footerReference r:id="rId23" w:type="default"/>
          <w:pgSz w:w="11906" w:h="16838"/>
          <w:pgMar w:top="1474" w:right="1134" w:bottom="1134" w:left="1474" w:header="851" w:footer="851" w:gutter="0"/>
          <w:pgBorders>
            <w:top w:val="none" w:sz="0" w:space="0"/>
            <w:left w:val="none" w:sz="0" w:space="0"/>
            <w:bottom w:val="none" w:sz="0" w:space="0"/>
            <w:right w:val="none" w:sz="0" w:space="0"/>
          </w:pgBorders>
          <w:cols w:space="720" w:num="1"/>
          <w:docGrid w:linePitch="312" w:charSpace="0"/>
        </w:sectPr>
      </w:pPr>
      <w:bookmarkStart w:id="166" w:name="_Toc28705"/>
      <w:bookmarkStart w:id="167" w:name="_Toc164943217"/>
      <w:bookmarkStart w:id="168" w:name="_Toc25864"/>
      <w:bookmarkStart w:id="169" w:name="_Toc493511828"/>
    </w:p>
    <w:p w14:paraId="4384CCF8">
      <w:pPr>
        <w:pStyle w:val="5"/>
        <w:numPr>
          <w:ilvl w:val="0"/>
          <w:numId w:val="3"/>
        </w:numPr>
        <w:rPr>
          <w:rStyle w:val="70"/>
          <w:b/>
          <w:bCs/>
          <w:color w:val="auto"/>
          <w:highlight w:val="none"/>
        </w:rPr>
      </w:pPr>
      <w:r>
        <w:rPr>
          <w:rStyle w:val="70"/>
          <w:rFonts w:hint="eastAsia"/>
          <w:b/>
          <w:bCs/>
          <w:color w:val="auto"/>
          <w:highlight w:val="none"/>
        </w:rPr>
        <w:t xml:space="preserve"> 采购合同（指引）</w:t>
      </w:r>
      <w:bookmarkEnd w:id="166"/>
      <w:bookmarkEnd w:id="167"/>
    </w:p>
    <w:p w14:paraId="740620B2">
      <w:pPr>
        <w:pStyle w:val="6"/>
        <w:ind w:firstLine="420"/>
        <w:jc w:val="center"/>
        <w:rPr>
          <w:rFonts w:hint="eastAsia"/>
          <w:color w:val="auto"/>
          <w:szCs w:val="21"/>
          <w:highlight w:val="none"/>
        </w:rPr>
      </w:pPr>
      <w:bookmarkStart w:id="170" w:name="_Toc164943218"/>
      <w:bookmarkStart w:id="171" w:name="_Toc12695"/>
      <w:r>
        <w:rPr>
          <w:rFonts w:hint="eastAsia"/>
          <w:color w:val="auto"/>
          <w:szCs w:val="21"/>
          <w:highlight w:val="none"/>
        </w:rPr>
        <w:t>一</w:t>
      </w:r>
      <w:r>
        <w:rPr>
          <w:color w:val="auto"/>
          <w:szCs w:val="21"/>
          <w:highlight w:val="none"/>
        </w:rPr>
        <w:t>、</w:t>
      </w:r>
      <w:r>
        <w:rPr>
          <w:rFonts w:hint="eastAsia"/>
          <w:color w:val="auto"/>
          <w:szCs w:val="21"/>
          <w:highlight w:val="none"/>
        </w:rPr>
        <w:t>通用</w:t>
      </w:r>
      <w:r>
        <w:rPr>
          <w:color w:val="auto"/>
          <w:szCs w:val="21"/>
          <w:highlight w:val="none"/>
        </w:rPr>
        <w:t>条款部分</w:t>
      </w:r>
      <w:bookmarkEnd w:id="170"/>
      <w:bookmarkEnd w:id="171"/>
    </w:p>
    <w:p w14:paraId="19302FDA">
      <w:pPr>
        <w:pStyle w:val="65"/>
        <w:ind w:firstLine="0" w:firstLineChars="0"/>
        <w:rPr>
          <w:rFonts w:hint="eastAsia" w:ascii="微软雅黑" w:hAnsi="微软雅黑" w:eastAsia="微软雅黑"/>
          <w:color w:val="auto"/>
          <w:sz w:val="21"/>
          <w:szCs w:val="21"/>
          <w:highlight w:val="none"/>
        </w:rPr>
      </w:pPr>
    </w:p>
    <w:p w14:paraId="5F4031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color w:val="auto"/>
          <w:szCs w:val="21"/>
          <w:highlight w:val="none"/>
        </w:rPr>
      </w:pPr>
      <w:bookmarkStart w:id="172" w:name="_Hlk111018671"/>
      <w:r>
        <w:rPr>
          <w:rFonts w:hint="eastAsia" w:ascii="微软雅黑" w:hAnsi="微软雅黑" w:cs="Arial"/>
          <w:color w:val="auto"/>
          <w:szCs w:val="21"/>
          <w:highlight w:val="none"/>
        </w:rPr>
        <w:t>合同编号：</w:t>
      </w:r>
      <w:r>
        <w:rPr>
          <w:rFonts w:ascii="微软雅黑" w:hAnsi="微软雅黑" w:cs="Arial"/>
          <w:color w:val="auto"/>
          <w:szCs w:val="21"/>
          <w:highlight w:val="none"/>
        </w:rPr>
        <w:t xml:space="preserve"> </w:t>
      </w:r>
    </w:p>
    <w:p w14:paraId="49028252">
      <w:pPr>
        <w:tabs>
          <w:tab w:val="left" w:pos="8306"/>
        </w:tabs>
        <w:ind w:right="84" w:firstLine="420"/>
        <w:rPr>
          <w:rFonts w:hint="eastAsia" w:ascii="微软雅黑" w:hAnsi="微软雅黑" w:cs="Arial"/>
          <w:color w:val="auto"/>
          <w:szCs w:val="21"/>
          <w:highlight w:val="none"/>
        </w:rPr>
      </w:pPr>
      <w:r>
        <w:rPr>
          <w:rFonts w:hint="eastAsia" w:ascii="微软雅黑" w:hAnsi="微软雅黑" w:cs="Arial"/>
          <w:color w:val="auto"/>
          <w:szCs w:val="21"/>
          <w:highlight w:val="none"/>
        </w:rPr>
        <w:t>项目名称：</w:t>
      </w:r>
    </w:p>
    <w:p w14:paraId="56E710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color w:val="auto"/>
          <w:szCs w:val="21"/>
          <w:highlight w:val="none"/>
        </w:rPr>
      </w:pPr>
      <w:r>
        <w:rPr>
          <w:rFonts w:hint="eastAsia" w:ascii="微软雅黑" w:hAnsi="微软雅黑" w:cs="Arial"/>
          <w:color w:val="auto"/>
          <w:szCs w:val="21"/>
          <w:highlight w:val="none"/>
        </w:rPr>
        <w:t>项目编号：</w:t>
      </w:r>
    </w:p>
    <w:p w14:paraId="2959EDBB">
      <w:pPr>
        <w:ind w:firstLine="420"/>
        <w:rPr>
          <w:rFonts w:hint="eastAsia" w:ascii="微软雅黑" w:hAnsi="微软雅黑" w:cs="Arial"/>
          <w:color w:val="auto"/>
          <w:szCs w:val="21"/>
          <w:highlight w:val="none"/>
        </w:rPr>
      </w:pPr>
      <w:r>
        <w:rPr>
          <w:rFonts w:hint="eastAsia" w:ascii="微软雅黑" w:hAnsi="微软雅黑" w:cs="Arial"/>
          <w:color w:val="auto"/>
          <w:szCs w:val="21"/>
          <w:highlight w:val="none"/>
        </w:rPr>
        <w:t xml:space="preserve">政府采购计划（预算）确认书号： </w:t>
      </w:r>
    </w:p>
    <w:p w14:paraId="395DB1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color w:val="auto"/>
          <w:szCs w:val="21"/>
          <w:highlight w:val="none"/>
        </w:rPr>
      </w:pPr>
      <w:r>
        <w:rPr>
          <w:rFonts w:hint="eastAsia" w:ascii="微软雅黑" w:hAnsi="微软雅黑" w:cs="Arial"/>
          <w:color w:val="auto"/>
          <w:szCs w:val="21"/>
          <w:highlight w:val="none"/>
        </w:rPr>
        <w:t xml:space="preserve">采购人（以下称甲方）： </w:t>
      </w:r>
    </w:p>
    <w:p w14:paraId="71647E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color w:val="auto"/>
          <w:szCs w:val="21"/>
          <w:highlight w:val="none"/>
        </w:rPr>
      </w:pPr>
      <w:r>
        <w:rPr>
          <w:rFonts w:hint="eastAsia" w:ascii="微软雅黑" w:hAnsi="微软雅黑" w:cs="Arial"/>
          <w:color w:val="auto"/>
          <w:szCs w:val="21"/>
          <w:highlight w:val="none"/>
        </w:rPr>
        <w:t>供应商（以下称乙方）：</w:t>
      </w:r>
    </w:p>
    <w:p w14:paraId="412B66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color w:val="auto"/>
          <w:szCs w:val="21"/>
          <w:highlight w:val="none"/>
        </w:rPr>
      </w:pPr>
      <w:r>
        <w:rPr>
          <w:rFonts w:hint="eastAsia" w:ascii="微软雅黑" w:hAnsi="微软雅黑" w:cs="Arial"/>
          <w:color w:val="auto"/>
          <w:szCs w:val="21"/>
          <w:highlight w:val="none"/>
        </w:rPr>
        <w:t>采购代理机构：（如有，须填写）</w:t>
      </w:r>
    </w:p>
    <w:p w14:paraId="5CE751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color w:val="auto"/>
          <w:szCs w:val="21"/>
          <w:highlight w:val="none"/>
        </w:rPr>
      </w:pPr>
      <w:r>
        <w:rPr>
          <w:rFonts w:hint="eastAsia" w:ascii="微软雅黑" w:hAnsi="微软雅黑" w:cs="Arial"/>
          <w:color w:val="auto"/>
          <w:szCs w:val="21"/>
          <w:highlight w:val="none"/>
        </w:rPr>
        <w:t>采购方式：嘉兴市千秋工程咨询有限公司</w:t>
      </w:r>
    </w:p>
    <w:p w14:paraId="025F87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宋体" w:hAnsi="宋体"/>
          <w:color w:val="auto"/>
          <w:kern w:val="0"/>
          <w:highlight w:val="none"/>
        </w:rPr>
      </w:pPr>
      <w:r>
        <w:rPr>
          <w:rFonts w:hint="eastAsia" w:ascii="宋体" w:hAnsi="宋体"/>
          <w:color w:val="auto"/>
          <w:kern w:val="0"/>
          <w:highlight w:val="none"/>
        </w:rPr>
        <w:t>根据《中华人民共和国政府采购法》、《民法典》等法律法规的规定，甲乙双方</w:t>
      </w:r>
      <w:r>
        <w:rPr>
          <w:rFonts w:hint="eastAsia" w:ascii="宋体" w:hAnsi="宋体"/>
          <w:color w:val="auto"/>
          <w:kern w:val="0"/>
          <w:highlight w:val="none"/>
          <w:u w:val="single"/>
        </w:rPr>
        <w:t xml:space="preserve">按照      </w:t>
      </w:r>
      <w:r>
        <w:rPr>
          <w:rFonts w:hint="eastAsia" w:ascii="宋体" w:hAnsi="宋体"/>
          <w:color w:val="auto"/>
          <w:highlight w:val="none"/>
          <w:u w:val="single"/>
        </w:rPr>
        <w:t>项目（项目编号 ：           ）</w:t>
      </w:r>
      <w:r>
        <w:rPr>
          <w:rFonts w:hint="eastAsia" w:ascii="宋体" w:hAnsi="宋体"/>
          <w:color w:val="auto"/>
          <w:kern w:val="0"/>
          <w:highlight w:val="none"/>
        </w:rPr>
        <w:t>采购结果签订本合同。</w:t>
      </w:r>
    </w:p>
    <w:p w14:paraId="1B50FD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cs="Arial"/>
          <w:b/>
          <w:color w:val="auto"/>
          <w:szCs w:val="21"/>
          <w:highlight w:val="none"/>
        </w:rPr>
      </w:pPr>
      <w:bookmarkStart w:id="173" w:name="_Toc26950"/>
      <w:r>
        <w:rPr>
          <w:rFonts w:hint="eastAsia" w:ascii="微软雅黑" w:hAnsi="微软雅黑" w:cs="Arial"/>
          <w:b/>
          <w:color w:val="auto"/>
          <w:szCs w:val="21"/>
          <w:highlight w:val="none"/>
        </w:rPr>
        <w:t>一、 合同组成</w:t>
      </w:r>
      <w:bookmarkEnd w:id="173"/>
    </w:p>
    <w:p w14:paraId="20F7FA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color w:val="auto"/>
          <w:szCs w:val="21"/>
          <w:highlight w:val="none"/>
        </w:rPr>
      </w:pPr>
      <w:r>
        <w:rPr>
          <w:rFonts w:hint="eastAsia" w:ascii="微软雅黑" w:hAnsi="微软雅黑" w:cs="Arial"/>
          <w:color w:val="auto"/>
          <w:szCs w:val="21"/>
          <w:highlight w:val="none"/>
        </w:rPr>
        <w:t>本次采购活动的相关文件为本合同的组成部分，与本合同具有同等法律效力,这些文件包括但不限于：</w:t>
      </w:r>
    </w:p>
    <w:p w14:paraId="16B38181">
      <w:pPr>
        <w:ind w:firstLine="420"/>
        <w:rPr>
          <w:rFonts w:hint="eastAsia" w:ascii="微软雅黑" w:hAnsi="微软雅黑" w:cs="Arial"/>
          <w:color w:val="auto"/>
          <w:szCs w:val="21"/>
          <w:highlight w:val="none"/>
        </w:rPr>
      </w:pPr>
      <w:r>
        <w:rPr>
          <w:rFonts w:ascii="微软雅黑" w:hAnsi="微软雅黑" w:cs="Arial"/>
          <w:color w:val="auto"/>
          <w:szCs w:val="21"/>
          <w:highlight w:val="none"/>
        </w:rPr>
        <w:t>1.</w:t>
      </w:r>
      <w:r>
        <w:rPr>
          <w:rFonts w:hint="eastAsia" w:ascii="微软雅黑" w:hAnsi="微软雅黑" w:cs="Arial"/>
          <w:color w:val="auto"/>
          <w:szCs w:val="21"/>
          <w:highlight w:val="none"/>
        </w:rPr>
        <w:t>甲方的采购文件与采购补充文件。</w:t>
      </w:r>
    </w:p>
    <w:p w14:paraId="18B66EBB">
      <w:pPr>
        <w:ind w:firstLine="420"/>
        <w:rPr>
          <w:rFonts w:hint="eastAsia" w:ascii="微软雅黑" w:hAnsi="微软雅黑" w:cs="Arial"/>
          <w:color w:val="auto"/>
          <w:szCs w:val="21"/>
          <w:highlight w:val="none"/>
        </w:rPr>
      </w:pPr>
      <w:r>
        <w:rPr>
          <w:rFonts w:ascii="微软雅黑" w:hAnsi="微软雅黑" w:cs="Arial"/>
          <w:color w:val="auto"/>
          <w:szCs w:val="21"/>
          <w:highlight w:val="none"/>
        </w:rPr>
        <w:t>2.</w:t>
      </w:r>
      <w:r>
        <w:rPr>
          <w:rFonts w:hint="eastAsia" w:ascii="微软雅黑" w:hAnsi="微软雅黑" w:cs="Arial"/>
          <w:color w:val="auto"/>
          <w:szCs w:val="21"/>
          <w:highlight w:val="none"/>
        </w:rPr>
        <w:t>成交供应商投标文件。</w:t>
      </w:r>
    </w:p>
    <w:p w14:paraId="7A2AD7CF">
      <w:pPr>
        <w:ind w:firstLine="420"/>
        <w:rPr>
          <w:rFonts w:hint="eastAsia" w:ascii="微软雅黑" w:hAnsi="微软雅黑" w:cs="Arial"/>
          <w:color w:val="auto"/>
          <w:szCs w:val="21"/>
          <w:highlight w:val="none"/>
        </w:rPr>
      </w:pPr>
      <w:r>
        <w:rPr>
          <w:rFonts w:ascii="微软雅黑" w:hAnsi="微软雅黑" w:cs="Arial"/>
          <w:color w:val="auto"/>
          <w:szCs w:val="21"/>
          <w:highlight w:val="none"/>
        </w:rPr>
        <w:t>3.</w:t>
      </w:r>
      <w:r>
        <w:rPr>
          <w:rFonts w:hint="eastAsia" w:ascii="微软雅黑" w:hAnsi="微软雅黑" w:cs="Arial"/>
          <w:color w:val="auto"/>
          <w:szCs w:val="21"/>
          <w:highlight w:val="none"/>
        </w:rPr>
        <w:t>答疑纪要和承诺书。</w:t>
      </w:r>
    </w:p>
    <w:p w14:paraId="2EEDE843">
      <w:pPr>
        <w:ind w:firstLine="420"/>
        <w:rPr>
          <w:rFonts w:hint="eastAsia" w:ascii="微软雅黑" w:hAnsi="微软雅黑" w:cs="Arial"/>
          <w:color w:val="auto"/>
          <w:szCs w:val="21"/>
          <w:highlight w:val="none"/>
        </w:rPr>
      </w:pPr>
      <w:r>
        <w:rPr>
          <w:rFonts w:ascii="微软雅黑" w:hAnsi="微软雅黑" w:cs="Arial"/>
          <w:color w:val="auto"/>
          <w:szCs w:val="21"/>
          <w:highlight w:val="none"/>
        </w:rPr>
        <w:t>4.</w:t>
      </w:r>
      <w:r>
        <w:rPr>
          <w:rFonts w:hint="eastAsia" w:ascii="微软雅黑" w:hAnsi="微软雅黑" w:cs="Arial"/>
          <w:color w:val="auto"/>
          <w:szCs w:val="21"/>
          <w:highlight w:val="none"/>
        </w:rPr>
        <w:t>中标通知书。</w:t>
      </w:r>
    </w:p>
    <w:p w14:paraId="6BACECE1">
      <w:pPr>
        <w:spacing w:line="380" w:lineRule="exact"/>
        <w:ind w:firstLine="420"/>
        <w:rPr>
          <w:rFonts w:hint="eastAsia" w:ascii="微软雅黑" w:hAnsi="微软雅黑" w:cs="Arial"/>
          <w:color w:val="auto"/>
          <w:szCs w:val="21"/>
          <w:highlight w:val="none"/>
        </w:rPr>
      </w:pPr>
      <w:r>
        <w:rPr>
          <w:rFonts w:hint="eastAsia" w:ascii="微软雅黑" w:hAnsi="微软雅黑" w:cs="Arial"/>
          <w:color w:val="auto"/>
          <w:szCs w:val="21"/>
          <w:highlight w:val="none"/>
        </w:rPr>
        <w:t>组成本合同的所有文件必须为书面形式。组成本合同的文件的优先顺序为：（1）本合同；（2）答疑纪要和承诺书；（3）甲方的采购文件与采购补充文件；（4）中标通知书；（5）成交供应商投标文件。</w:t>
      </w:r>
    </w:p>
    <w:p w14:paraId="5D727401">
      <w:pPr>
        <w:pStyle w:val="29"/>
        <w:numPr>
          <w:ilvl w:val="0"/>
          <w:numId w:val="42"/>
        </w:numPr>
        <w:ind w:firstLineChars="0"/>
        <w:outlineLvl w:val="1"/>
        <w:rPr>
          <w:color w:val="auto"/>
          <w:highlight w:val="none"/>
        </w:rPr>
      </w:pPr>
      <w:bookmarkStart w:id="174" w:name="_Toc25714"/>
      <w:r>
        <w:rPr>
          <w:rFonts w:hint="eastAsia"/>
          <w:color w:val="auto"/>
          <w:highlight w:val="none"/>
        </w:rPr>
        <w:t>合同标的</w:t>
      </w:r>
      <w:bookmarkEnd w:id="174"/>
    </w:p>
    <w:p w14:paraId="10A8D302">
      <w:pPr>
        <w:ind w:firstLine="424" w:firstLineChars="202"/>
        <w:rPr>
          <w:rFonts w:hint="eastAsia" w:ascii="微软雅黑" w:hAnsi="微软雅黑"/>
          <w:color w:val="auto"/>
          <w:szCs w:val="21"/>
          <w:highlight w:val="none"/>
          <w:u w:val="single"/>
        </w:rPr>
      </w:pPr>
      <w:r>
        <w:rPr>
          <w:rFonts w:hint="eastAsia" w:ascii="微软雅黑" w:hAnsi="微软雅黑" w:cs="宋体"/>
          <w:color w:val="auto"/>
          <w:kern w:val="0"/>
          <w:szCs w:val="21"/>
          <w:highlight w:val="none"/>
        </w:rPr>
        <w:t>本次采购的是</w:t>
      </w:r>
      <w:r>
        <w:rPr>
          <w:rFonts w:hint="eastAsia"/>
          <w:color w:val="auto"/>
          <w:highlight w:val="none"/>
        </w:rPr>
        <w:t>2025年秀洲区老旧房屋保险服务项目</w:t>
      </w:r>
    </w:p>
    <w:p w14:paraId="1737C55A">
      <w:pPr>
        <w:pStyle w:val="29"/>
        <w:ind w:firstLine="420"/>
        <w:rPr>
          <w:color w:val="auto"/>
          <w:highlight w:val="none"/>
        </w:rPr>
      </w:pPr>
    </w:p>
    <w:p w14:paraId="7124A238">
      <w:pPr>
        <w:pStyle w:val="29"/>
        <w:ind w:firstLine="420"/>
        <w:outlineLvl w:val="1"/>
        <w:rPr>
          <w:color w:val="auto"/>
          <w:highlight w:val="none"/>
        </w:rPr>
      </w:pPr>
      <w:bookmarkStart w:id="175" w:name="_Toc2295"/>
      <w:r>
        <w:rPr>
          <w:rFonts w:hint="eastAsia"/>
          <w:color w:val="auto"/>
          <w:highlight w:val="none"/>
        </w:rPr>
        <w:t>三、合同价款及付款方式</w:t>
      </w:r>
      <w:bookmarkEnd w:id="175"/>
    </w:p>
    <w:p w14:paraId="5725D7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1、本合同项下总价款为（大写）人民币，小写：     万元。</w:t>
      </w:r>
    </w:p>
    <w:p w14:paraId="316E8A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2、服务期限：壹年，自</w:t>
      </w:r>
      <w:r>
        <w:rPr>
          <w:rFonts w:hint="eastAsia" w:ascii="微软雅黑" w:hAnsi="微软雅黑" w:cs="宋体"/>
          <w:color w:val="auto"/>
          <w:kern w:val="0"/>
          <w:szCs w:val="21"/>
          <w:highlight w:val="none"/>
          <w:u w:val="single"/>
        </w:rPr>
        <w:t>20  年  月  日至20  年  月  日</w:t>
      </w:r>
      <w:r>
        <w:rPr>
          <w:rFonts w:hint="eastAsia" w:ascii="微软雅黑" w:hAnsi="微软雅黑" w:cs="宋体"/>
          <w:color w:val="auto"/>
          <w:kern w:val="0"/>
          <w:szCs w:val="21"/>
          <w:highlight w:val="none"/>
        </w:rPr>
        <w:t>。</w:t>
      </w:r>
    </w:p>
    <w:p w14:paraId="6512CC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3、本合同总价款包括所有服务、人员、保障、售后服务、税费等全部费用。</w:t>
      </w:r>
    </w:p>
    <w:p w14:paraId="2F3130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4、本合同付款方式为以下第项：</w:t>
      </w:r>
    </w:p>
    <w:p w14:paraId="33790F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（1）本合同项下的采购资金系甲方自行支付，付款程序为；</w:t>
      </w:r>
    </w:p>
    <w:p w14:paraId="12C596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（2）本合同项下的采购资金须财政直接支付，付款程序为；</w:t>
      </w:r>
    </w:p>
    <w:p w14:paraId="50A385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（3）其他方式：</w:t>
      </w:r>
    </w:p>
    <w:p w14:paraId="6DC68D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5、本合同项下的采购资金付款进度按招投标文件规定，未规定时按以下第项支付：</w:t>
      </w:r>
    </w:p>
    <w:p w14:paraId="7900D5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（1）一次性付款：乙方合同履行达到（条件）时，一次性付款；</w:t>
      </w:r>
    </w:p>
    <w:p w14:paraId="302EE8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（2）分期付款：乙方合同履行达到</w:t>
      </w:r>
      <w:r>
        <w:rPr>
          <w:rFonts w:hint="eastAsia" w:ascii="微软雅黑" w:hAnsi="微软雅黑" w:cs="宋体"/>
          <w:color w:val="auto"/>
          <w:kern w:val="0"/>
          <w:szCs w:val="21"/>
          <w:highlight w:val="none"/>
          <w:u w:val="single"/>
        </w:rPr>
        <w:t xml:space="preserve"> 招标文件和甲方要求时，</w:t>
      </w:r>
      <w:r>
        <w:rPr>
          <w:rFonts w:hint="eastAsia" w:ascii="微软雅黑" w:hAnsi="微软雅黑" w:cs="宋体"/>
          <w:color w:val="auto"/>
          <w:kern w:val="0"/>
          <w:szCs w:val="21"/>
          <w:highlight w:val="none"/>
        </w:rPr>
        <w:t>甲方</w:t>
      </w:r>
      <w:r>
        <w:rPr>
          <w:rFonts w:hint="eastAsia" w:ascii="微软雅黑" w:hAnsi="微软雅黑" w:cs="宋体"/>
          <w:color w:val="auto"/>
          <w:kern w:val="0"/>
          <w:szCs w:val="21"/>
          <w:highlight w:val="none"/>
          <w:u w:val="single"/>
        </w:rPr>
        <w:t xml:space="preserve">按   </w:t>
      </w:r>
      <w:r>
        <w:rPr>
          <w:rFonts w:hint="eastAsia" w:ascii="微软雅黑" w:hAnsi="微软雅黑" w:cs="宋体"/>
          <w:color w:val="auto"/>
          <w:kern w:val="0"/>
          <w:szCs w:val="21"/>
          <w:highlight w:val="none"/>
        </w:rPr>
        <w:t>进行支付，乙方凭有效发票、验收单等提交甲方进行支付流程。</w:t>
      </w:r>
    </w:p>
    <w:p w14:paraId="0CAA7F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szCs w:val="21"/>
          <w:highlight w:val="none"/>
        </w:rPr>
      </w:pPr>
      <w:r>
        <w:rPr>
          <w:rFonts w:hint="eastAsia" w:ascii="微软雅黑" w:hAnsi="微软雅黑"/>
          <w:color w:val="auto"/>
          <w:szCs w:val="21"/>
          <w:highlight w:val="none"/>
        </w:rPr>
        <w:t>若收取了履约保证金，则不应重复设置尾款支付条件。</w:t>
      </w:r>
    </w:p>
    <w:p w14:paraId="10F867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color w:val="auto"/>
          <w:kern w:val="0"/>
          <w:szCs w:val="21"/>
          <w:highlight w:val="none"/>
        </w:rPr>
      </w:pPr>
      <w:bookmarkStart w:id="176" w:name="_Toc9018"/>
      <w:r>
        <w:rPr>
          <w:rFonts w:hint="eastAsia" w:ascii="微软雅黑" w:hAnsi="微软雅黑"/>
          <w:b/>
          <w:color w:val="auto"/>
          <w:szCs w:val="21"/>
          <w:highlight w:val="none"/>
        </w:rPr>
        <w:t>四、</w:t>
      </w:r>
      <w:r>
        <w:rPr>
          <w:rFonts w:ascii="微软雅黑" w:hAnsi="微软雅黑"/>
          <w:b/>
          <w:color w:val="auto"/>
          <w:kern w:val="0"/>
          <w:szCs w:val="21"/>
          <w:highlight w:val="none"/>
        </w:rPr>
        <w:t>履约保证金</w:t>
      </w:r>
      <w:bookmarkEnd w:id="176"/>
    </w:p>
    <w:p w14:paraId="0B2E6C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b/>
          <w:color w:val="auto"/>
          <w:kern w:val="0"/>
          <w:szCs w:val="21"/>
          <w:highlight w:val="none"/>
        </w:rPr>
      </w:pPr>
      <w:r>
        <w:rPr>
          <w:rFonts w:ascii="微软雅黑" w:hAnsi="微软雅黑"/>
          <w:color w:val="auto"/>
          <w:kern w:val="0"/>
          <w:szCs w:val="21"/>
          <w:highlight w:val="none"/>
        </w:rPr>
        <w:t>按以下第_________项处理：</w:t>
      </w:r>
    </w:p>
    <w:p w14:paraId="76F087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ascii="微软雅黑" w:hAnsi="微软雅黑"/>
          <w:color w:val="auto"/>
          <w:kern w:val="0"/>
          <w:szCs w:val="21"/>
          <w:highlight w:val="none"/>
        </w:rPr>
        <w:t>1、本项目设置履约保证金，乙方应于_________（时间）向甲方提交履约保证金_________元（不得高于本合同金额的</w:t>
      </w:r>
      <w:r>
        <w:rPr>
          <w:rFonts w:hint="eastAsia" w:ascii="微软雅黑" w:hAnsi="微软雅黑"/>
          <w:color w:val="auto"/>
          <w:kern w:val="0"/>
          <w:szCs w:val="21"/>
          <w:highlight w:val="none"/>
        </w:rPr>
        <w:t>1</w:t>
      </w:r>
      <w:r>
        <w:rPr>
          <w:rFonts w:ascii="微软雅黑" w:hAnsi="微软雅黑"/>
          <w:color w:val="auto"/>
          <w:kern w:val="0"/>
          <w:szCs w:val="21"/>
          <w:highlight w:val="none"/>
        </w:rPr>
        <w:t>%）。履约保证金在_________（时间）退还乙方。</w:t>
      </w:r>
    </w:p>
    <w:p w14:paraId="2455909E">
      <w:pPr>
        <w:pStyle w:val="29"/>
        <w:ind w:firstLine="420"/>
        <w:rPr>
          <w:rFonts w:cs="Arial"/>
          <w:color w:val="auto"/>
          <w:highlight w:val="none"/>
        </w:rPr>
      </w:pPr>
      <w:r>
        <w:rPr>
          <w:color w:val="auto"/>
          <w:highlight w:val="none"/>
        </w:rPr>
        <w:t>2、本项目不设置履约保证金</w:t>
      </w:r>
      <w:r>
        <w:rPr>
          <w:rFonts w:hint="eastAsia" w:cs="Arial"/>
          <w:color w:val="auto"/>
          <w:highlight w:val="none"/>
        </w:rPr>
        <w:t>。</w:t>
      </w:r>
    </w:p>
    <w:p w14:paraId="0B47A2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color w:val="auto"/>
          <w:kern w:val="0"/>
          <w:szCs w:val="21"/>
          <w:highlight w:val="none"/>
        </w:rPr>
      </w:pPr>
      <w:bookmarkStart w:id="177" w:name="_Toc7978"/>
      <w:r>
        <w:rPr>
          <w:rFonts w:hint="eastAsia" w:ascii="微软雅黑" w:hAnsi="微软雅黑"/>
          <w:b/>
          <w:color w:val="auto"/>
          <w:szCs w:val="21"/>
          <w:highlight w:val="none"/>
        </w:rPr>
        <w:t>五、</w:t>
      </w:r>
      <w:r>
        <w:rPr>
          <w:rFonts w:ascii="微软雅黑" w:hAnsi="微软雅黑"/>
          <w:b/>
          <w:color w:val="auto"/>
          <w:kern w:val="0"/>
          <w:szCs w:val="21"/>
          <w:highlight w:val="none"/>
        </w:rPr>
        <w:t>质量保证及售后服务</w:t>
      </w:r>
      <w:bookmarkEnd w:id="177"/>
    </w:p>
    <w:p w14:paraId="0B3854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szCs w:val="21"/>
          <w:highlight w:val="none"/>
        </w:rPr>
      </w:pPr>
      <w:r>
        <w:rPr>
          <w:rFonts w:hint="eastAsia" w:ascii="微软雅黑" w:hAnsi="微软雅黑" w:cs="宋体"/>
          <w:color w:val="auto"/>
          <w:szCs w:val="21"/>
          <w:highlight w:val="none"/>
        </w:rPr>
        <w:t>1、乙方按招标文件规定的时间和要求完成各项服务、考核。</w:t>
      </w:r>
    </w:p>
    <w:p w14:paraId="778DF3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b/>
          <w:color w:val="auto"/>
          <w:kern w:val="0"/>
          <w:szCs w:val="21"/>
          <w:highlight w:val="none"/>
        </w:rPr>
      </w:pPr>
      <w:r>
        <w:rPr>
          <w:rFonts w:hint="eastAsia" w:ascii="微软雅黑" w:hAnsi="微软雅黑" w:cs="宋体"/>
          <w:color w:val="auto"/>
          <w:szCs w:val="21"/>
          <w:highlight w:val="none"/>
        </w:rPr>
        <w:t>2、甲方其他服务需求。</w:t>
      </w:r>
    </w:p>
    <w:p w14:paraId="5BD1B6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color w:val="auto"/>
          <w:kern w:val="0"/>
          <w:szCs w:val="21"/>
          <w:highlight w:val="none"/>
        </w:rPr>
      </w:pPr>
      <w:bookmarkStart w:id="178" w:name="_Toc25764"/>
      <w:r>
        <w:rPr>
          <w:rFonts w:hint="eastAsia" w:ascii="微软雅黑" w:hAnsi="微软雅黑"/>
          <w:b/>
          <w:color w:val="auto"/>
          <w:szCs w:val="21"/>
          <w:highlight w:val="none"/>
        </w:rPr>
        <w:t>六、</w:t>
      </w:r>
      <w:r>
        <w:rPr>
          <w:rFonts w:ascii="微软雅黑" w:hAnsi="微软雅黑"/>
          <w:b/>
          <w:color w:val="auto"/>
          <w:kern w:val="0"/>
          <w:szCs w:val="21"/>
          <w:highlight w:val="none"/>
        </w:rPr>
        <w:t>合同的变更和终止</w:t>
      </w:r>
      <w:bookmarkEnd w:id="178"/>
    </w:p>
    <w:p w14:paraId="56606C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ascii="微软雅黑" w:hAnsi="微软雅黑"/>
          <w:color w:val="auto"/>
          <w:kern w:val="0"/>
          <w:szCs w:val="21"/>
          <w:highlight w:val="none"/>
        </w:rPr>
        <w:t>除《政府采购法》第49条、第50条第二款规定的情形外，本合同一经签订，甲乙双方不得擅自终止合同或对合同实质性条款进行变更。确有特殊情况的，须经同级财政部门批准。</w:t>
      </w:r>
    </w:p>
    <w:p w14:paraId="5DC80E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color w:val="auto"/>
          <w:kern w:val="0"/>
          <w:szCs w:val="21"/>
          <w:highlight w:val="none"/>
        </w:rPr>
      </w:pPr>
      <w:bookmarkStart w:id="179" w:name="_Toc23561"/>
      <w:r>
        <w:rPr>
          <w:rFonts w:hint="eastAsia" w:ascii="微软雅黑" w:hAnsi="微软雅黑"/>
          <w:b/>
          <w:color w:val="auto"/>
          <w:szCs w:val="21"/>
          <w:highlight w:val="none"/>
        </w:rPr>
        <w:t>七、</w:t>
      </w:r>
      <w:r>
        <w:rPr>
          <w:rFonts w:ascii="微软雅黑" w:hAnsi="微软雅黑"/>
          <w:b/>
          <w:color w:val="auto"/>
          <w:kern w:val="0"/>
          <w:szCs w:val="21"/>
          <w:highlight w:val="none"/>
        </w:rPr>
        <w:t>合同的转让与分包</w:t>
      </w:r>
      <w:bookmarkEnd w:id="179"/>
    </w:p>
    <w:p w14:paraId="7A0A5F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ascii="微软雅黑" w:hAnsi="微软雅黑"/>
          <w:color w:val="auto"/>
          <w:kern w:val="0"/>
          <w:szCs w:val="21"/>
          <w:highlight w:val="none"/>
        </w:rPr>
        <w:t>乙方不得擅自部分或全部转让其应履行的合同义务。乙方分包的，应经过甲方书面同意。</w:t>
      </w:r>
    </w:p>
    <w:p w14:paraId="58E10B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color w:val="auto"/>
          <w:kern w:val="0"/>
          <w:szCs w:val="21"/>
          <w:highlight w:val="none"/>
        </w:rPr>
      </w:pPr>
      <w:bookmarkStart w:id="180" w:name="_Toc845"/>
      <w:r>
        <w:rPr>
          <w:rFonts w:hint="eastAsia" w:ascii="微软雅黑" w:hAnsi="微软雅黑"/>
          <w:b/>
          <w:color w:val="auto"/>
          <w:szCs w:val="21"/>
          <w:highlight w:val="none"/>
        </w:rPr>
        <w:t>十、</w:t>
      </w:r>
      <w:r>
        <w:rPr>
          <w:rFonts w:ascii="微软雅黑" w:hAnsi="微软雅黑"/>
          <w:b/>
          <w:color w:val="auto"/>
          <w:kern w:val="0"/>
          <w:szCs w:val="21"/>
          <w:highlight w:val="none"/>
        </w:rPr>
        <w:t>违约责任</w:t>
      </w:r>
      <w:bookmarkEnd w:id="180"/>
    </w:p>
    <w:p w14:paraId="6DAD30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szCs w:val="21"/>
          <w:highlight w:val="none"/>
        </w:rPr>
      </w:pPr>
      <w:r>
        <w:rPr>
          <w:rFonts w:hint="eastAsia" w:ascii="微软雅黑" w:hAnsi="微软雅黑" w:cs="宋体"/>
          <w:color w:val="auto"/>
          <w:szCs w:val="21"/>
          <w:highlight w:val="none"/>
        </w:rPr>
        <w:t>1、  除不可抗力外，如果乙方没有按照本合同约定的期限、地点和方式提供服务，那么甲方可要求乙方支付违约金，违约金按逾期提供服务总额每日 0.05 %计算，最高限额为本合同总价的 20%；逾期提供服务的违约金计算数额达到前述最高限额之日起，甲方有权在要求乙方支付违约金的同时，书面通知乙方解除本合同；</w:t>
      </w:r>
    </w:p>
    <w:p w14:paraId="1B552F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szCs w:val="21"/>
          <w:highlight w:val="none"/>
        </w:rPr>
      </w:pPr>
      <w:r>
        <w:rPr>
          <w:rFonts w:hint="eastAsia" w:ascii="微软雅黑" w:hAnsi="微软雅黑" w:cs="宋体"/>
          <w:color w:val="auto"/>
          <w:szCs w:val="21"/>
          <w:highlight w:val="none"/>
        </w:rPr>
        <w:t>2、除不可抗力外，如果甲方没有按照本合同约定的付款方式付款，那么乙方可要求甲方支付违约金，违约金按每迟延付款一日的应付而未付款的0.05 %计算，最高限额为本合同总价的 20%；迟延付款的违约金计算数额达到前述最高限额之日起，乙方有权在要求甲方支付违约金的同时，书面通知甲方解除本合同；</w:t>
      </w:r>
    </w:p>
    <w:p w14:paraId="5DA60D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szCs w:val="21"/>
          <w:highlight w:val="none"/>
        </w:rPr>
      </w:pPr>
      <w:r>
        <w:rPr>
          <w:rFonts w:hint="eastAsia" w:ascii="微软雅黑" w:hAnsi="微软雅黑" w:cs="宋体"/>
          <w:color w:val="auto"/>
          <w:szCs w:val="21"/>
          <w:highlight w:val="none"/>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B83CA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szCs w:val="21"/>
          <w:highlight w:val="none"/>
        </w:rPr>
      </w:pPr>
      <w:r>
        <w:rPr>
          <w:rFonts w:hint="eastAsia" w:ascii="微软雅黑" w:hAnsi="微软雅黑" w:cs="宋体"/>
          <w:color w:val="auto"/>
          <w:szCs w:val="21"/>
          <w:highlight w:val="none"/>
        </w:rPr>
        <w:t>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2B14B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szCs w:val="21"/>
          <w:highlight w:val="none"/>
        </w:rPr>
      </w:pPr>
      <w:r>
        <w:rPr>
          <w:rFonts w:hint="eastAsia" w:ascii="微软雅黑" w:hAnsi="微软雅黑" w:cs="宋体"/>
          <w:color w:val="auto"/>
          <w:szCs w:val="21"/>
          <w:highlight w:val="none"/>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2F8DC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hint="eastAsia" w:ascii="微软雅黑" w:hAnsi="微软雅黑" w:cs="宋体"/>
          <w:color w:val="auto"/>
          <w:szCs w:val="21"/>
          <w:highlight w:val="none"/>
        </w:rPr>
        <w:t>6、如果出现政府采购监督管理部门在处理投诉事项期间，书面通知甲方暂停采购活动的情形，或者询问或质疑事项可能影响中标结果的，导致甲方中止履行合同的情形，均不视为甲方违约。</w:t>
      </w:r>
    </w:p>
    <w:p w14:paraId="0E4442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color w:val="auto"/>
          <w:kern w:val="0"/>
          <w:szCs w:val="21"/>
          <w:highlight w:val="none"/>
        </w:rPr>
      </w:pPr>
      <w:bookmarkStart w:id="181" w:name="_Toc30297"/>
      <w:r>
        <w:rPr>
          <w:rFonts w:hint="eastAsia" w:ascii="微软雅黑" w:hAnsi="微软雅黑"/>
          <w:b/>
          <w:color w:val="auto"/>
          <w:szCs w:val="21"/>
          <w:highlight w:val="none"/>
        </w:rPr>
        <w:t>十一、</w:t>
      </w:r>
      <w:r>
        <w:rPr>
          <w:rFonts w:ascii="微软雅黑" w:hAnsi="微软雅黑"/>
          <w:b/>
          <w:color w:val="auto"/>
          <w:kern w:val="0"/>
          <w:szCs w:val="21"/>
          <w:highlight w:val="none"/>
        </w:rPr>
        <w:t>不可抗力事件处理</w:t>
      </w:r>
      <w:bookmarkEnd w:id="181"/>
    </w:p>
    <w:p w14:paraId="162F5A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ascii="微软雅黑" w:hAnsi="微软雅黑"/>
          <w:color w:val="auto"/>
          <w:kern w:val="0"/>
          <w:szCs w:val="21"/>
          <w:highlight w:val="none"/>
        </w:rPr>
        <w:t>1、在合同有效期内，任何一方因不可抗力事件导致不能履行合同的，合同履行期可延长，其延长期与不可抗力影响期相同。</w:t>
      </w:r>
    </w:p>
    <w:p w14:paraId="4F330E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ascii="微软雅黑" w:hAnsi="微软雅黑"/>
          <w:color w:val="auto"/>
          <w:kern w:val="0"/>
          <w:szCs w:val="21"/>
          <w:highlight w:val="none"/>
        </w:rPr>
        <w:t>2、不可抗力事件发生后，应立即通知对方，并寄送有关权威机构出具的证明。</w:t>
      </w:r>
    </w:p>
    <w:p w14:paraId="0F7808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ascii="微软雅黑" w:hAnsi="微软雅黑"/>
          <w:color w:val="auto"/>
          <w:kern w:val="0"/>
          <w:szCs w:val="21"/>
          <w:highlight w:val="none"/>
        </w:rPr>
        <w:t>3、不可抗力事件延续120天以上，双方应通过友好协商，确定是否继续履行合同。</w:t>
      </w:r>
    </w:p>
    <w:p w14:paraId="415D95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color w:val="auto"/>
          <w:kern w:val="0"/>
          <w:szCs w:val="21"/>
          <w:highlight w:val="none"/>
        </w:rPr>
      </w:pPr>
      <w:bookmarkStart w:id="182" w:name="_Toc28445"/>
      <w:r>
        <w:rPr>
          <w:rFonts w:hint="eastAsia" w:ascii="微软雅黑" w:hAnsi="微软雅黑"/>
          <w:b/>
          <w:color w:val="auto"/>
          <w:szCs w:val="21"/>
          <w:highlight w:val="none"/>
        </w:rPr>
        <w:t>十二、</w:t>
      </w:r>
      <w:r>
        <w:rPr>
          <w:rFonts w:ascii="微软雅黑" w:hAnsi="微软雅黑"/>
          <w:b/>
          <w:color w:val="auto"/>
          <w:kern w:val="0"/>
          <w:szCs w:val="21"/>
          <w:highlight w:val="none"/>
        </w:rPr>
        <w:t>争议的解决</w:t>
      </w:r>
      <w:bookmarkEnd w:id="182"/>
    </w:p>
    <w:p w14:paraId="5CA5B8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ascii="微软雅黑" w:hAnsi="微软雅黑"/>
          <w:color w:val="auto"/>
          <w:kern w:val="0"/>
          <w:szCs w:val="21"/>
          <w:highlight w:val="none"/>
        </w:rPr>
        <w:t>1、因履行本合同引起的或与本合同有关的争议，甲、乙双方应首先通过友好协商解决，如果协商不能解决争议，则采取以下第种方式解决争议：</w:t>
      </w:r>
    </w:p>
    <w:p w14:paraId="2614C4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ascii="微软雅黑" w:hAnsi="微软雅黑"/>
          <w:color w:val="auto"/>
          <w:kern w:val="0"/>
          <w:szCs w:val="21"/>
          <w:highlight w:val="none"/>
        </w:rPr>
        <w:t>（1）向甲方所在地有管辖权的人民法院提起诉讼；</w:t>
      </w:r>
    </w:p>
    <w:p w14:paraId="332519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olor w:val="auto"/>
          <w:kern w:val="0"/>
          <w:szCs w:val="21"/>
          <w:highlight w:val="none"/>
        </w:rPr>
      </w:pPr>
      <w:r>
        <w:rPr>
          <w:rFonts w:ascii="微软雅黑" w:hAnsi="微软雅黑"/>
          <w:color w:val="auto"/>
          <w:kern w:val="0"/>
          <w:szCs w:val="21"/>
          <w:highlight w:val="none"/>
        </w:rPr>
        <w:t>（2）向仲裁委员申请仲裁。</w:t>
      </w:r>
    </w:p>
    <w:p w14:paraId="50081E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color w:val="auto"/>
          <w:kern w:val="0"/>
          <w:szCs w:val="21"/>
          <w:highlight w:val="none"/>
        </w:rPr>
      </w:pPr>
      <w:bookmarkStart w:id="183" w:name="_Toc10700"/>
      <w:r>
        <w:rPr>
          <w:rFonts w:hint="eastAsia" w:ascii="微软雅黑" w:hAnsi="微软雅黑"/>
          <w:b/>
          <w:color w:val="auto"/>
          <w:szCs w:val="21"/>
          <w:highlight w:val="none"/>
        </w:rPr>
        <w:t>十三、</w:t>
      </w:r>
      <w:r>
        <w:rPr>
          <w:rFonts w:hint="eastAsia" w:ascii="微软雅黑" w:hAnsi="微软雅黑"/>
          <w:b/>
          <w:color w:val="auto"/>
          <w:kern w:val="0"/>
          <w:szCs w:val="21"/>
          <w:highlight w:val="none"/>
        </w:rPr>
        <w:t>合同公告、</w:t>
      </w:r>
      <w:r>
        <w:rPr>
          <w:rFonts w:ascii="微软雅黑" w:hAnsi="微软雅黑"/>
          <w:b/>
          <w:color w:val="auto"/>
          <w:kern w:val="0"/>
          <w:szCs w:val="21"/>
          <w:highlight w:val="none"/>
        </w:rPr>
        <w:t>合同生效及备案</w:t>
      </w:r>
      <w:bookmarkEnd w:id="183"/>
    </w:p>
    <w:p w14:paraId="0907D0E0">
      <w:pPr>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1、合同公告：本项目政府采购合同将于签订之日起2个工作日内发布于浙江政府采购网，但政府采购合同中涉及国家秘密、商业秘密的内容除外。</w:t>
      </w:r>
    </w:p>
    <w:p w14:paraId="2B0FCCCB">
      <w:pPr>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2、合同经双方法定代表人（负责人）或被授权人签字并加盖单位公章后生效。</w:t>
      </w:r>
    </w:p>
    <w:p w14:paraId="10BE63C2">
      <w:pPr>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3、合同执行中涉及采购资金和采购内容修改或补充的，须经财政部门审批，并签书面补充协议报政府部门备案，方可作为主合同不可分割的一部分。</w:t>
      </w:r>
    </w:p>
    <w:p w14:paraId="18F039F7">
      <w:pPr>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4、本合同未尽事宜，遵照《民法典》有关条文执行。</w:t>
      </w:r>
    </w:p>
    <w:p w14:paraId="05958A39">
      <w:pPr>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5、本合同一式份，甲乙双方各执份。若执行政采贷，另加</w:t>
      </w:r>
      <w:r>
        <w:rPr>
          <w:rFonts w:hint="eastAsia" w:ascii="微软雅黑" w:hAnsi="微软雅黑"/>
          <w:color w:val="auto"/>
          <w:kern w:val="0"/>
          <w:szCs w:val="21"/>
          <w:highlight w:val="none"/>
          <w:u w:val="single"/>
        </w:rPr>
        <w:t xml:space="preserve"> 贰 </w:t>
      </w:r>
      <w:r>
        <w:rPr>
          <w:rFonts w:hint="eastAsia" w:ascii="微软雅黑" w:hAnsi="微软雅黑"/>
          <w:color w:val="auto"/>
          <w:kern w:val="0"/>
          <w:szCs w:val="21"/>
          <w:highlight w:val="none"/>
        </w:rPr>
        <w:t>份。</w:t>
      </w:r>
    </w:p>
    <w:p w14:paraId="73828580">
      <w:pPr>
        <w:ind w:firstLine="420"/>
        <w:jc w:val="center"/>
        <w:rPr>
          <w:rFonts w:hint="eastAsia" w:ascii="微软雅黑" w:hAnsi="微软雅黑"/>
          <w:color w:val="auto"/>
          <w:szCs w:val="21"/>
          <w:highlight w:val="none"/>
        </w:rPr>
      </w:pPr>
    </w:p>
    <w:p w14:paraId="41C319A7">
      <w:pPr>
        <w:pStyle w:val="6"/>
        <w:ind w:firstLine="420"/>
        <w:jc w:val="center"/>
        <w:rPr>
          <w:rFonts w:hint="eastAsia" w:ascii="微软雅黑" w:hAnsi="微软雅黑"/>
          <w:color w:val="auto"/>
          <w:szCs w:val="21"/>
          <w:highlight w:val="none"/>
        </w:rPr>
      </w:pPr>
      <w:bookmarkStart w:id="184" w:name="_Toc31422"/>
      <w:bookmarkStart w:id="185" w:name="_Toc164943219"/>
      <w:r>
        <w:rPr>
          <w:rFonts w:ascii="微软雅黑" w:hAnsi="微软雅黑"/>
          <w:color w:val="auto"/>
          <w:szCs w:val="21"/>
          <w:highlight w:val="none"/>
        </w:rPr>
        <w:t>二、特殊专用条款部分</w:t>
      </w:r>
      <w:bookmarkEnd w:id="184"/>
      <w:bookmarkEnd w:id="185"/>
    </w:p>
    <w:p w14:paraId="19A9FA85">
      <w:pPr>
        <w:pStyle w:val="29"/>
        <w:ind w:firstLine="420"/>
        <w:rPr>
          <w:color w:val="auto"/>
          <w:highlight w:val="none"/>
        </w:rPr>
      </w:pPr>
      <w:r>
        <w:rPr>
          <w:color w:val="auto"/>
          <w:highlight w:val="none"/>
        </w:rPr>
        <w:t>……</w:t>
      </w:r>
    </w:p>
    <w:p w14:paraId="357FA502">
      <w:pPr>
        <w:pStyle w:val="29"/>
        <w:ind w:firstLine="420"/>
        <w:rPr>
          <w:color w:val="auto"/>
          <w:highlight w:val="none"/>
        </w:rPr>
      </w:pPr>
      <w:r>
        <w:rPr>
          <w:color w:val="auto"/>
          <w:highlight w:val="none"/>
        </w:rPr>
        <w:t xml:space="preserve">甲方：                             乙方： </w:t>
      </w:r>
    </w:p>
    <w:p w14:paraId="6297275B">
      <w:pPr>
        <w:pStyle w:val="29"/>
        <w:ind w:firstLine="420"/>
        <w:rPr>
          <w:bCs/>
          <w:color w:val="auto"/>
          <w:highlight w:val="none"/>
        </w:rPr>
      </w:pPr>
      <w:r>
        <w:rPr>
          <w:color w:val="auto"/>
          <w:highlight w:val="none"/>
        </w:rPr>
        <w:t xml:space="preserve">地址：                             地址： </w:t>
      </w:r>
    </w:p>
    <w:p w14:paraId="687F0824">
      <w:pPr>
        <w:pStyle w:val="29"/>
        <w:ind w:firstLine="420"/>
        <w:rPr>
          <w:color w:val="auto"/>
          <w:highlight w:val="none"/>
        </w:rPr>
      </w:pPr>
      <w:r>
        <w:rPr>
          <w:rFonts w:hint="eastAsia"/>
          <w:color w:val="auto"/>
          <w:highlight w:val="none"/>
        </w:rPr>
        <w:t>法定代表人（负责人）</w:t>
      </w:r>
      <w:r>
        <w:rPr>
          <w:color w:val="auto"/>
          <w:highlight w:val="none"/>
        </w:rPr>
        <w:t xml:space="preserve">或被授权人：             </w:t>
      </w:r>
      <w:r>
        <w:rPr>
          <w:rFonts w:hint="eastAsia"/>
          <w:color w:val="auto"/>
          <w:highlight w:val="none"/>
        </w:rPr>
        <w:t>法定代表人（负责人）</w:t>
      </w:r>
      <w:r>
        <w:rPr>
          <w:color w:val="auto"/>
          <w:highlight w:val="none"/>
        </w:rPr>
        <w:t>或被授权人：</w:t>
      </w:r>
    </w:p>
    <w:p w14:paraId="69608BC6">
      <w:pPr>
        <w:pStyle w:val="29"/>
        <w:ind w:firstLine="420"/>
        <w:rPr>
          <w:color w:val="auto"/>
          <w:highlight w:val="none"/>
        </w:rPr>
      </w:pPr>
      <w:r>
        <w:rPr>
          <w:color w:val="auto"/>
          <w:highlight w:val="none"/>
        </w:rPr>
        <w:t xml:space="preserve">签订地点：                  </w:t>
      </w:r>
    </w:p>
    <w:p w14:paraId="350EED21">
      <w:pPr>
        <w:pStyle w:val="29"/>
        <w:ind w:firstLine="420"/>
        <w:rPr>
          <w:color w:val="auto"/>
          <w:highlight w:val="none"/>
        </w:rPr>
      </w:pPr>
      <w:r>
        <w:rPr>
          <w:color w:val="auto"/>
          <w:highlight w:val="none"/>
        </w:rPr>
        <w:t>签订日期：      年  月  日</w:t>
      </w:r>
    </w:p>
    <w:p w14:paraId="349F9954">
      <w:pPr>
        <w:pStyle w:val="29"/>
        <w:ind w:firstLine="420"/>
        <w:rPr>
          <w:color w:val="auto"/>
          <w:highlight w:val="none"/>
        </w:rPr>
      </w:pPr>
    </w:p>
    <w:p w14:paraId="4D4EED0F">
      <w:pPr>
        <w:ind w:firstLine="420"/>
        <w:rPr>
          <w:color w:val="auto"/>
          <w:highlight w:val="none"/>
        </w:rPr>
      </w:pPr>
    </w:p>
    <w:p w14:paraId="3B954D11">
      <w:pPr>
        <w:pStyle w:val="29"/>
        <w:spacing w:line="400" w:lineRule="exact"/>
        <w:ind w:firstLine="420"/>
        <w:jc w:val="center"/>
        <w:rPr>
          <w:rFonts w:ascii="Times New Roman" w:hAnsi="Times New Roman"/>
          <w:color w:val="auto"/>
          <w:highlight w:val="none"/>
        </w:rPr>
      </w:pPr>
    </w:p>
    <w:p w14:paraId="7EE93242">
      <w:pPr>
        <w:pStyle w:val="29"/>
        <w:ind w:firstLine="420"/>
        <w:rPr>
          <w:color w:val="auto"/>
          <w:highlight w:val="none"/>
        </w:rPr>
        <w:sectPr>
          <w:pgSz w:w="11906" w:h="16838"/>
          <w:pgMar w:top="1474" w:right="1134" w:bottom="1134" w:left="1474" w:header="851" w:footer="851" w:gutter="0"/>
          <w:pgBorders>
            <w:top w:val="none" w:sz="0" w:space="0"/>
            <w:left w:val="none" w:sz="0" w:space="0"/>
            <w:bottom w:val="none" w:sz="0" w:space="0"/>
            <w:right w:val="none" w:sz="0" w:space="0"/>
          </w:pgBorders>
          <w:cols w:space="720" w:num="1"/>
          <w:docGrid w:linePitch="312" w:charSpace="0"/>
        </w:sectPr>
      </w:pPr>
    </w:p>
    <w:tbl>
      <w:tblPr>
        <w:tblStyle w:val="54"/>
        <w:tblW w:w="9237" w:type="dxa"/>
        <w:tblInd w:w="93" w:type="dxa"/>
        <w:tblLayout w:type="fixed"/>
        <w:tblCellMar>
          <w:top w:w="0" w:type="dxa"/>
          <w:left w:w="108" w:type="dxa"/>
          <w:bottom w:w="0" w:type="dxa"/>
          <w:right w:w="108" w:type="dxa"/>
        </w:tblCellMar>
      </w:tblPr>
      <w:tblGrid>
        <w:gridCol w:w="3030"/>
        <w:gridCol w:w="3174"/>
        <w:gridCol w:w="838"/>
        <w:gridCol w:w="1050"/>
        <w:gridCol w:w="1145"/>
      </w:tblGrid>
      <w:tr w14:paraId="6B8B177F">
        <w:tblPrEx>
          <w:tblCellMar>
            <w:top w:w="0" w:type="dxa"/>
            <w:left w:w="108" w:type="dxa"/>
            <w:bottom w:w="0" w:type="dxa"/>
            <w:right w:w="108" w:type="dxa"/>
          </w:tblCellMar>
        </w:tblPrEx>
        <w:trPr>
          <w:trHeight w:val="570" w:hRule="atLeast"/>
        </w:trPr>
        <w:tc>
          <w:tcPr>
            <w:tcW w:w="9237" w:type="dxa"/>
            <w:gridSpan w:val="5"/>
            <w:tcBorders>
              <w:top w:val="nil"/>
              <w:left w:val="nil"/>
              <w:bottom w:val="nil"/>
              <w:right w:val="nil"/>
            </w:tcBorders>
            <w:vAlign w:val="center"/>
          </w:tcPr>
          <w:p w14:paraId="1595F56C">
            <w:pPr>
              <w:pStyle w:val="6"/>
              <w:spacing w:line="240" w:lineRule="auto"/>
              <w:ind w:firstLine="0" w:firstLineChars="0"/>
              <w:rPr>
                <w:rFonts w:hint="eastAsia"/>
                <w:bCs/>
                <w:color w:val="auto"/>
                <w:szCs w:val="21"/>
                <w:highlight w:val="none"/>
              </w:rPr>
            </w:pPr>
            <w:bookmarkStart w:id="186" w:name="_Toc29980"/>
            <w:bookmarkStart w:id="187" w:name="_Toc164943220"/>
            <w:r>
              <w:rPr>
                <w:rFonts w:hint="eastAsia"/>
                <w:bCs/>
                <w:color w:val="auto"/>
                <w:szCs w:val="21"/>
                <w:highlight w:val="none"/>
              </w:rPr>
              <w:t>合同附件</w:t>
            </w:r>
            <w:bookmarkEnd w:id="186"/>
          </w:p>
          <w:p w14:paraId="5498DB5E">
            <w:pPr>
              <w:pStyle w:val="6"/>
              <w:spacing w:line="240" w:lineRule="auto"/>
              <w:ind w:firstLine="0" w:firstLineChars="0"/>
              <w:jc w:val="center"/>
              <w:rPr>
                <w:rFonts w:hint="eastAsia"/>
                <w:bCs/>
                <w:color w:val="auto"/>
                <w:szCs w:val="21"/>
                <w:highlight w:val="none"/>
              </w:rPr>
            </w:pPr>
            <w:bookmarkStart w:id="188" w:name="_Toc11729"/>
            <w:r>
              <w:rPr>
                <w:bCs/>
                <w:color w:val="auto"/>
                <w:szCs w:val="21"/>
                <w:highlight w:val="none"/>
              </w:rPr>
              <w:t>政 府 采 购 项 目 验 收 单</w:t>
            </w:r>
            <w:bookmarkEnd w:id="187"/>
            <w:bookmarkEnd w:id="188"/>
          </w:p>
        </w:tc>
      </w:tr>
      <w:tr w14:paraId="1234450D">
        <w:tblPrEx>
          <w:tblCellMar>
            <w:top w:w="0" w:type="dxa"/>
            <w:left w:w="108" w:type="dxa"/>
            <w:bottom w:w="0" w:type="dxa"/>
            <w:right w:w="108" w:type="dxa"/>
          </w:tblCellMar>
        </w:tblPrEx>
        <w:trPr>
          <w:trHeight w:val="443" w:hRule="atLeast"/>
        </w:trPr>
        <w:tc>
          <w:tcPr>
            <w:tcW w:w="9237" w:type="dxa"/>
            <w:gridSpan w:val="5"/>
            <w:tcBorders>
              <w:top w:val="nil"/>
              <w:left w:val="nil"/>
              <w:bottom w:val="nil"/>
              <w:right w:val="nil"/>
            </w:tcBorders>
            <w:vAlign w:val="center"/>
          </w:tcPr>
          <w:p w14:paraId="3D7C5CCC">
            <w:pPr>
              <w:widowControl/>
              <w:spacing w:line="240" w:lineRule="auto"/>
              <w:ind w:firstLine="0" w:firstLineChars="0"/>
              <w:rPr>
                <w:color w:val="auto"/>
                <w:kern w:val="0"/>
                <w:szCs w:val="21"/>
                <w:highlight w:val="none"/>
              </w:rPr>
            </w:pPr>
            <w:r>
              <w:rPr>
                <w:color w:val="auto"/>
                <w:kern w:val="0"/>
                <w:szCs w:val="21"/>
                <w:highlight w:val="none"/>
              </w:rPr>
              <w:t>按照</w:t>
            </w:r>
            <w:r>
              <w:rPr>
                <w:rFonts w:hint="eastAsia"/>
                <w:color w:val="auto"/>
                <w:kern w:val="0"/>
                <w:szCs w:val="21"/>
                <w:highlight w:val="none"/>
              </w:rPr>
              <w:t>采购计划文号：</w:t>
            </w:r>
            <w:r>
              <w:rPr>
                <w:color w:val="auto"/>
                <w:kern w:val="0"/>
                <w:szCs w:val="21"/>
                <w:highlight w:val="none"/>
              </w:rPr>
              <w:t>，</w:t>
            </w:r>
            <w:r>
              <w:rPr>
                <w:rFonts w:hint="eastAsia"/>
                <w:color w:val="auto"/>
                <w:kern w:val="0"/>
                <w:szCs w:val="21"/>
                <w:highlight w:val="none"/>
              </w:rPr>
              <w:t>项目编号</w:t>
            </w:r>
            <w:r>
              <w:rPr>
                <w:color w:val="auto"/>
                <w:kern w:val="0"/>
                <w:szCs w:val="21"/>
                <w:highlight w:val="none"/>
              </w:rPr>
              <w:t>：</w:t>
            </w:r>
            <w:r>
              <w:rPr>
                <w:rFonts w:hint="eastAsia" w:ascii="宋体" w:hAnsi="宋体" w:eastAsia="宋体"/>
                <w:color w:val="auto"/>
                <w:kern w:val="0"/>
                <w:szCs w:val="21"/>
                <w:highlight w:val="none"/>
              </w:rPr>
              <w:t xml:space="preserve">,合同号：  </w:t>
            </w:r>
          </w:p>
        </w:tc>
      </w:tr>
      <w:tr w14:paraId="6F991D24">
        <w:tblPrEx>
          <w:tblCellMar>
            <w:top w:w="0" w:type="dxa"/>
            <w:left w:w="108" w:type="dxa"/>
            <w:bottom w:w="0" w:type="dxa"/>
            <w:right w:w="108" w:type="dxa"/>
          </w:tblCellMar>
        </w:tblPrEx>
        <w:trPr>
          <w:trHeight w:val="443" w:hRule="atLeast"/>
        </w:trPr>
        <w:tc>
          <w:tcPr>
            <w:tcW w:w="9237" w:type="dxa"/>
            <w:gridSpan w:val="5"/>
            <w:tcBorders>
              <w:top w:val="nil"/>
              <w:left w:val="nil"/>
              <w:bottom w:val="nil"/>
              <w:right w:val="nil"/>
            </w:tcBorders>
            <w:vAlign w:val="center"/>
          </w:tcPr>
          <w:p w14:paraId="747214BE">
            <w:pPr>
              <w:widowControl/>
              <w:spacing w:line="240" w:lineRule="auto"/>
              <w:ind w:firstLine="0" w:firstLineChars="0"/>
              <w:rPr>
                <w:color w:val="auto"/>
                <w:kern w:val="0"/>
                <w:szCs w:val="21"/>
                <w:highlight w:val="none"/>
              </w:rPr>
            </w:pPr>
            <w:r>
              <w:rPr>
                <w:color w:val="auto"/>
                <w:kern w:val="0"/>
                <w:szCs w:val="21"/>
                <w:highlight w:val="none"/>
              </w:rPr>
              <w:t>以下项目已采购到位并验收合格。</w:t>
            </w:r>
          </w:p>
        </w:tc>
      </w:tr>
      <w:tr w14:paraId="2E52D544">
        <w:tblPrEx>
          <w:tblCellMar>
            <w:top w:w="0" w:type="dxa"/>
            <w:left w:w="108" w:type="dxa"/>
            <w:bottom w:w="0" w:type="dxa"/>
            <w:right w:w="108" w:type="dxa"/>
          </w:tblCellMar>
        </w:tblPrEx>
        <w:trPr>
          <w:trHeight w:val="676" w:hRule="atLeast"/>
        </w:trPr>
        <w:tc>
          <w:tcPr>
            <w:tcW w:w="3030" w:type="dxa"/>
            <w:tcBorders>
              <w:top w:val="single" w:color="auto" w:sz="4" w:space="0"/>
              <w:left w:val="single" w:color="auto" w:sz="4" w:space="0"/>
              <w:bottom w:val="nil"/>
              <w:right w:val="single" w:color="auto" w:sz="4" w:space="0"/>
            </w:tcBorders>
            <w:vAlign w:val="center"/>
          </w:tcPr>
          <w:p w14:paraId="06EC011D">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服务名称</w:t>
            </w:r>
          </w:p>
        </w:tc>
        <w:tc>
          <w:tcPr>
            <w:tcW w:w="3174" w:type="dxa"/>
            <w:tcBorders>
              <w:top w:val="single" w:color="auto" w:sz="4" w:space="0"/>
              <w:left w:val="nil"/>
              <w:bottom w:val="nil"/>
              <w:right w:val="single" w:color="auto" w:sz="4" w:space="0"/>
            </w:tcBorders>
            <w:vAlign w:val="center"/>
          </w:tcPr>
          <w:p w14:paraId="19E55D10">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服务内容</w:t>
            </w:r>
          </w:p>
        </w:tc>
        <w:tc>
          <w:tcPr>
            <w:tcW w:w="838" w:type="dxa"/>
            <w:tcBorders>
              <w:top w:val="single" w:color="auto" w:sz="4" w:space="0"/>
              <w:left w:val="nil"/>
              <w:bottom w:val="nil"/>
              <w:right w:val="single" w:color="auto" w:sz="4" w:space="0"/>
            </w:tcBorders>
            <w:vAlign w:val="center"/>
          </w:tcPr>
          <w:p w14:paraId="31968DCC">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数量</w:t>
            </w:r>
          </w:p>
        </w:tc>
        <w:tc>
          <w:tcPr>
            <w:tcW w:w="1050" w:type="dxa"/>
            <w:tcBorders>
              <w:top w:val="single" w:color="auto" w:sz="4" w:space="0"/>
              <w:left w:val="nil"/>
              <w:bottom w:val="nil"/>
              <w:right w:val="single" w:color="auto" w:sz="4" w:space="0"/>
            </w:tcBorders>
            <w:vAlign w:val="center"/>
          </w:tcPr>
          <w:p w14:paraId="15AA78F7">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核定总价</w:t>
            </w:r>
          </w:p>
        </w:tc>
        <w:tc>
          <w:tcPr>
            <w:tcW w:w="1145" w:type="dxa"/>
            <w:tcBorders>
              <w:top w:val="single" w:color="auto" w:sz="4" w:space="0"/>
              <w:left w:val="nil"/>
              <w:bottom w:val="single" w:color="auto" w:sz="4" w:space="0"/>
              <w:right w:val="single" w:color="auto" w:sz="4" w:space="0"/>
            </w:tcBorders>
            <w:vAlign w:val="center"/>
          </w:tcPr>
          <w:p w14:paraId="4196E5E5">
            <w:pPr>
              <w:widowControl/>
              <w:spacing w:line="240" w:lineRule="auto"/>
              <w:ind w:firstLine="0" w:firstLineChars="0"/>
              <w:jc w:val="center"/>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采购人</w:t>
            </w:r>
          </w:p>
          <w:p w14:paraId="5D7B8160">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验收意见</w:t>
            </w:r>
          </w:p>
        </w:tc>
      </w:tr>
      <w:tr w14:paraId="113F1E08">
        <w:tblPrEx>
          <w:tblCellMar>
            <w:top w:w="0" w:type="dxa"/>
            <w:left w:w="108" w:type="dxa"/>
            <w:bottom w:w="0" w:type="dxa"/>
            <w:right w:w="108" w:type="dxa"/>
          </w:tblCellMar>
        </w:tblPrEx>
        <w:trPr>
          <w:trHeight w:val="550" w:hRule="atLeast"/>
        </w:trPr>
        <w:tc>
          <w:tcPr>
            <w:tcW w:w="3030" w:type="dxa"/>
            <w:tcBorders>
              <w:top w:val="single" w:color="auto" w:sz="4" w:space="0"/>
              <w:left w:val="single" w:color="auto" w:sz="4" w:space="0"/>
              <w:bottom w:val="single" w:color="auto" w:sz="4" w:space="0"/>
              <w:right w:val="single" w:color="auto" w:sz="4" w:space="0"/>
            </w:tcBorders>
            <w:vAlign w:val="center"/>
          </w:tcPr>
          <w:p w14:paraId="2F3DDE8A">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3174" w:type="dxa"/>
            <w:tcBorders>
              <w:top w:val="single" w:color="auto" w:sz="4" w:space="0"/>
              <w:left w:val="nil"/>
              <w:bottom w:val="single" w:color="auto" w:sz="4" w:space="0"/>
              <w:right w:val="single" w:color="auto" w:sz="4" w:space="0"/>
            </w:tcBorders>
            <w:vAlign w:val="center"/>
          </w:tcPr>
          <w:p w14:paraId="573BE97F">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838" w:type="dxa"/>
            <w:tcBorders>
              <w:top w:val="single" w:color="auto" w:sz="4" w:space="0"/>
              <w:left w:val="nil"/>
              <w:bottom w:val="single" w:color="auto" w:sz="4" w:space="0"/>
              <w:right w:val="single" w:color="auto" w:sz="4" w:space="0"/>
            </w:tcBorders>
            <w:vAlign w:val="center"/>
          </w:tcPr>
          <w:p w14:paraId="64A98F89">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1050" w:type="dxa"/>
            <w:tcBorders>
              <w:top w:val="single" w:color="auto" w:sz="4" w:space="0"/>
              <w:left w:val="nil"/>
              <w:bottom w:val="single" w:color="auto" w:sz="4" w:space="0"/>
              <w:right w:val="single" w:color="auto" w:sz="4" w:space="0"/>
            </w:tcBorders>
            <w:vAlign w:val="center"/>
          </w:tcPr>
          <w:p w14:paraId="62B6A68F">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1145" w:type="dxa"/>
            <w:tcBorders>
              <w:top w:val="nil"/>
              <w:left w:val="nil"/>
              <w:bottom w:val="single" w:color="auto" w:sz="4" w:space="0"/>
              <w:right w:val="single" w:color="auto" w:sz="4" w:space="0"/>
            </w:tcBorders>
            <w:vAlign w:val="bottom"/>
          </w:tcPr>
          <w:p w14:paraId="1615EDDB">
            <w:pPr>
              <w:widowControl/>
              <w:spacing w:line="240" w:lineRule="auto"/>
              <w:ind w:firstLine="0" w:firstLineChars="0"/>
              <w:rPr>
                <w:color w:val="auto"/>
                <w:kern w:val="0"/>
                <w:szCs w:val="21"/>
                <w:highlight w:val="none"/>
              </w:rPr>
            </w:pPr>
            <w:r>
              <w:rPr>
                <w:color w:val="auto"/>
                <w:kern w:val="0"/>
                <w:szCs w:val="21"/>
                <w:highlight w:val="none"/>
              </w:rPr>
              <w:t>　</w:t>
            </w:r>
          </w:p>
        </w:tc>
      </w:tr>
      <w:tr w14:paraId="6F2809E3">
        <w:tblPrEx>
          <w:tblCellMar>
            <w:top w:w="0" w:type="dxa"/>
            <w:left w:w="108" w:type="dxa"/>
            <w:bottom w:w="0" w:type="dxa"/>
            <w:right w:w="108" w:type="dxa"/>
          </w:tblCellMar>
        </w:tblPrEx>
        <w:trPr>
          <w:trHeight w:val="583" w:hRule="atLeast"/>
        </w:trPr>
        <w:tc>
          <w:tcPr>
            <w:tcW w:w="3030" w:type="dxa"/>
            <w:tcBorders>
              <w:top w:val="nil"/>
              <w:left w:val="single" w:color="auto" w:sz="4" w:space="0"/>
              <w:bottom w:val="single" w:color="auto" w:sz="4" w:space="0"/>
              <w:right w:val="single" w:color="auto" w:sz="4" w:space="0"/>
            </w:tcBorders>
            <w:vAlign w:val="center"/>
          </w:tcPr>
          <w:p w14:paraId="7A5CFA4B">
            <w:pPr>
              <w:widowControl/>
              <w:spacing w:line="240" w:lineRule="auto"/>
              <w:ind w:firstLine="0" w:firstLineChars="0"/>
              <w:jc w:val="center"/>
              <w:rPr>
                <w:color w:val="auto"/>
                <w:kern w:val="0"/>
                <w:szCs w:val="21"/>
                <w:highlight w:val="none"/>
              </w:rPr>
            </w:pPr>
            <w:r>
              <w:rPr>
                <w:color w:val="auto"/>
                <w:kern w:val="0"/>
                <w:szCs w:val="21"/>
                <w:highlight w:val="none"/>
              </w:rPr>
              <w:t>合计总价款（人民币）</w:t>
            </w:r>
          </w:p>
        </w:tc>
        <w:tc>
          <w:tcPr>
            <w:tcW w:w="6207" w:type="dxa"/>
            <w:gridSpan w:val="4"/>
            <w:tcBorders>
              <w:top w:val="nil"/>
              <w:left w:val="nil"/>
              <w:bottom w:val="single" w:color="auto" w:sz="4" w:space="0"/>
              <w:right w:val="single" w:color="000000" w:sz="4" w:space="0"/>
            </w:tcBorders>
            <w:vAlign w:val="center"/>
          </w:tcPr>
          <w:p w14:paraId="1CF9C99B">
            <w:pPr>
              <w:widowControl/>
              <w:spacing w:line="240" w:lineRule="auto"/>
              <w:ind w:firstLine="0" w:firstLineChars="0"/>
              <w:rPr>
                <w:color w:val="auto"/>
                <w:kern w:val="0"/>
                <w:szCs w:val="21"/>
                <w:highlight w:val="none"/>
              </w:rPr>
            </w:pPr>
            <w:r>
              <w:rPr>
                <w:color w:val="auto"/>
                <w:kern w:val="0"/>
                <w:szCs w:val="21"/>
                <w:highlight w:val="none"/>
              </w:rPr>
              <w:t xml:space="preserve">人民币元整。       ￥: </w:t>
            </w:r>
          </w:p>
        </w:tc>
      </w:tr>
      <w:tr w14:paraId="63B168D2">
        <w:tblPrEx>
          <w:tblCellMar>
            <w:top w:w="0" w:type="dxa"/>
            <w:left w:w="108" w:type="dxa"/>
            <w:bottom w:w="0" w:type="dxa"/>
            <w:right w:w="108" w:type="dxa"/>
          </w:tblCellMar>
        </w:tblPrEx>
        <w:trPr>
          <w:trHeight w:val="536" w:hRule="atLeast"/>
        </w:trPr>
        <w:tc>
          <w:tcPr>
            <w:tcW w:w="3030" w:type="dxa"/>
            <w:tcBorders>
              <w:top w:val="nil"/>
              <w:left w:val="single" w:color="auto" w:sz="4" w:space="0"/>
              <w:bottom w:val="nil"/>
              <w:right w:val="nil"/>
            </w:tcBorders>
            <w:vAlign w:val="bottom"/>
          </w:tcPr>
          <w:p w14:paraId="65A805B7">
            <w:pPr>
              <w:widowControl/>
              <w:spacing w:line="240" w:lineRule="auto"/>
              <w:ind w:firstLine="0" w:firstLineChars="0"/>
              <w:rPr>
                <w:color w:val="auto"/>
                <w:kern w:val="0"/>
                <w:szCs w:val="21"/>
                <w:highlight w:val="none"/>
              </w:rPr>
            </w:pPr>
            <w:r>
              <w:rPr>
                <w:color w:val="auto"/>
                <w:kern w:val="0"/>
                <w:szCs w:val="21"/>
                <w:highlight w:val="none"/>
              </w:rPr>
              <w:t xml:space="preserve">供货单位（盖章）：                     </w:t>
            </w:r>
          </w:p>
        </w:tc>
        <w:tc>
          <w:tcPr>
            <w:tcW w:w="3174" w:type="dxa"/>
            <w:tcBorders>
              <w:top w:val="nil"/>
              <w:left w:val="nil"/>
              <w:bottom w:val="nil"/>
              <w:right w:val="nil"/>
            </w:tcBorders>
            <w:vAlign w:val="center"/>
          </w:tcPr>
          <w:p w14:paraId="2813B57C">
            <w:pPr>
              <w:widowControl/>
              <w:spacing w:line="240" w:lineRule="auto"/>
              <w:ind w:firstLine="0" w:firstLineChars="0"/>
              <w:jc w:val="right"/>
              <w:rPr>
                <w:color w:val="auto"/>
                <w:kern w:val="0"/>
                <w:szCs w:val="21"/>
                <w:highlight w:val="none"/>
              </w:rPr>
            </w:pPr>
            <w:r>
              <w:rPr>
                <w:color w:val="auto"/>
                <w:kern w:val="0"/>
                <w:szCs w:val="21"/>
                <w:highlight w:val="none"/>
              </w:rPr>
              <w:t>采购人（盖章）:</w:t>
            </w:r>
          </w:p>
        </w:tc>
        <w:tc>
          <w:tcPr>
            <w:tcW w:w="1888" w:type="dxa"/>
            <w:gridSpan w:val="2"/>
            <w:tcBorders>
              <w:top w:val="nil"/>
              <w:left w:val="nil"/>
              <w:bottom w:val="nil"/>
              <w:right w:val="nil"/>
            </w:tcBorders>
            <w:vAlign w:val="bottom"/>
          </w:tcPr>
          <w:p w14:paraId="688C992D">
            <w:pPr>
              <w:widowControl/>
              <w:spacing w:line="240" w:lineRule="auto"/>
              <w:ind w:firstLine="0" w:firstLineChars="0"/>
              <w:rPr>
                <w:color w:val="auto"/>
                <w:kern w:val="0"/>
                <w:szCs w:val="21"/>
                <w:highlight w:val="none"/>
              </w:rPr>
            </w:pPr>
          </w:p>
        </w:tc>
        <w:tc>
          <w:tcPr>
            <w:tcW w:w="1145" w:type="dxa"/>
            <w:tcBorders>
              <w:top w:val="nil"/>
              <w:left w:val="nil"/>
              <w:bottom w:val="nil"/>
              <w:right w:val="single" w:color="auto" w:sz="4" w:space="0"/>
            </w:tcBorders>
            <w:vAlign w:val="bottom"/>
          </w:tcPr>
          <w:p w14:paraId="6C40C0F6">
            <w:pPr>
              <w:widowControl/>
              <w:spacing w:line="240" w:lineRule="auto"/>
              <w:ind w:firstLine="0" w:firstLineChars="0"/>
              <w:rPr>
                <w:color w:val="auto"/>
                <w:kern w:val="0"/>
                <w:szCs w:val="21"/>
                <w:highlight w:val="none"/>
              </w:rPr>
            </w:pPr>
            <w:r>
              <w:rPr>
                <w:color w:val="auto"/>
                <w:kern w:val="0"/>
                <w:szCs w:val="21"/>
                <w:highlight w:val="none"/>
              </w:rPr>
              <w:t>　</w:t>
            </w:r>
          </w:p>
        </w:tc>
      </w:tr>
      <w:tr w14:paraId="7BD5F421">
        <w:tblPrEx>
          <w:tblCellMar>
            <w:top w:w="0" w:type="dxa"/>
            <w:left w:w="108" w:type="dxa"/>
            <w:bottom w:w="0" w:type="dxa"/>
            <w:right w:w="108" w:type="dxa"/>
          </w:tblCellMar>
        </w:tblPrEx>
        <w:trPr>
          <w:trHeight w:val="407" w:hRule="atLeast"/>
        </w:trPr>
        <w:tc>
          <w:tcPr>
            <w:tcW w:w="3030" w:type="dxa"/>
            <w:tcBorders>
              <w:top w:val="nil"/>
              <w:left w:val="single" w:color="auto" w:sz="4" w:space="0"/>
              <w:bottom w:val="nil"/>
              <w:right w:val="nil"/>
            </w:tcBorders>
            <w:vAlign w:val="bottom"/>
          </w:tcPr>
          <w:p w14:paraId="0C506DA5">
            <w:pPr>
              <w:widowControl/>
              <w:spacing w:line="240" w:lineRule="auto"/>
              <w:ind w:firstLine="0" w:firstLineChars="0"/>
              <w:rPr>
                <w:color w:val="auto"/>
                <w:kern w:val="0"/>
                <w:szCs w:val="21"/>
                <w:highlight w:val="none"/>
              </w:rPr>
            </w:pPr>
            <w:r>
              <w:rPr>
                <w:color w:val="auto"/>
                <w:kern w:val="0"/>
                <w:szCs w:val="21"/>
                <w:highlight w:val="none"/>
              </w:rPr>
              <w:t>经办项目负责人：</w:t>
            </w:r>
          </w:p>
        </w:tc>
        <w:tc>
          <w:tcPr>
            <w:tcW w:w="3174" w:type="dxa"/>
            <w:tcBorders>
              <w:top w:val="nil"/>
              <w:left w:val="nil"/>
              <w:bottom w:val="nil"/>
              <w:right w:val="nil"/>
            </w:tcBorders>
            <w:vAlign w:val="center"/>
          </w:tcPr>
          <w:p w14:paraId="4434EEE3">
            <w:pPr>
              <w:widowControl/>
              <w:spacing w:line="240" w:lineRule="auto"/>
              <w:ind w:firstLine="0" w:firstLineChars="0"/>
              <w:jc w:val="right"/>
              <w:rPr>
                <w:color w:val="auto"/>
                <w:kern w:val="0"/>
                <w:szCs w:val="21"/>
                <w:highlight w:val="none"/>
              </w:rPr>
            </w:pPr>
            <w:r>
              <w:rPr>
                <w:color w:val="auto"/>
                <w:kern w:val="0"/>
                <w:szCs w:val="21"/>
                <w:highlight w:val="none"/>
              </w:rPr>
              <w:t>项目验收组组长：</w:t>
            </w:r>
          </w:p>
        </w:tc>
        <w:tc>
          <w:tcPr>
            <w:tcW w:w="1888" w:type="dxa"/>
            <w:gridSpan w:val="2"/>
            <w:tcBorders>
              <w:top w:val="nil"/>
              <w:left w:val="nil"/>
              <w:bottom w:val="nil"/>
              <w:right w:val="nil"/>
            </w:tcBorders>
            <w:vAlign w:val="bottom"/>
          </w:tcPr>
          <w:p w14:paraId="23994610">
            <w:pPr>
              <w:widowControl/>
              <w:spacing w:line="240" w:lineRule="auto"/>
              <w:ind w:firstLine="0" w:firstLineChars="0"/>
              <w:rPr>
                <w:color w:val="auto"/>
                <w:kern w:val="0"/>
                <w:szCs w:val="21"/>
                <w:highlight w:val="none"/>
              </w:rPr>
            </w:pPr>
          </w:p>
        </w:tc>
        <w:tc>
          <w:tcPr>
            <w:tcW w:w="1145" w:type="dxa"/>
            <w:tcBorders>
              <w:top w:val="nil"/>
              <w:left w:val="nil"/>
              <w:bottom w:val="nil"/>
              <w:right w:val="single" w:color="auto" w:sz="4" w:space="0"/>
            </w:tcBorders>
            <w:vAlign w:val="bottom"/>
          </w:tcPr>
          <w:p w14:paraId="36F571F2">
            <w:pPr>
              <w:widowControl/>
              <w:spacing w:line="240" w:lineRule="auto"/>
              <w:ind w:firstLine="0" w:firstLineChars="0"/>
              <w:rPr>
                <w:color w:val="auto"/>
                <w:kern w:val="0"/>
                <w:szCs w:val="21"/>
                <w:highlight w:val="none"/>
              </w:rPr>
            </w:pPr>
            <w:r>
              <w:rPr>
                <w:color w:val="auto"/>
                <w:kern w:val="0"/>
                <w:szCs w:val="21"/>
                <w:highlight w:val="none"/>
              </w:rPr>
              <w:t>　</w:t>
            </w:r>
          </w:p>
        </w:tc>
      </w:tr>
      <w:tr w14:paraId="19451CCB">
        <w:tblPrEx>
          <w:tblCellMar>
            <w:top w:w="0" w:type="dxa"/>
            <w:left w:w="108" w:type="dxa"/>
            <w:bottom w:w="0" w:type="dxa"/>
            <w:right w:w="108" w:type="dxa"/>
          </w:tblCellMar>
        </w:tblPrEx>
        <w:trPr>
          <w:trHeight w:val="407" w:hRule="atLeast"/>
        </w:trPr>
        <w:tc>
          <w:tcPr>
            <w:tcW w:w="3030" w:type="dxa"/>
            <w:tcBorders>
              <w:top w:val="nil"/>
              <w:left w:val="single" w:color="auto" w:sz="4" w:space="0"/>
              <w:bottom w:val="nil"/>
              <w:right w:val="nil"/>
            </w:tcBorders>
            <w:vAlign w:val="bottom"/>
          </w:tcPr>
          <w:p w14:paraId="080C98A6">
            <w:pPr>
              <w:widowControl/>
              <w:spacing w:line="240" w:lineRule="auto"/>
              <w:ind w:firstLine="0" w:firstLineChars="0"/>
              <w:rPr>
                <w:color w:val="auto"/>
                <w:kern w:val="0"/>
                <w:szCs w:val="21"/>
                <w:highlight w:val="none"/>
              </w:rPr>
            </w:pPr>
            <w:r>
              <w:rPr>
                <w:color w:val="auto"/>
                <w:kern w:val="0"/>
                <w:szCs w:val="21"/>
                <w:highlight w:val="none"/>
              </w:rPr>
              <w:t>联系电话：</w:t>
            </w:r>
          </w:p>
        </w:tc>
        <w:tc>
          <w:tcPr>
            <w:tcW w:w="3174" w:type="dxa"/>
            <w:tcBorders>
              <w:top w:val="nil"/>
              <w:left w:val="nil"/>
              <w:bottom w:val="nil"/>
              <w:right w:val="nil"/>
            </w:tcBorders>
            <w:vAlign w:val="center"/>
          </w:tcPr>
          <w:p w14:paraId="403FFDCB">
            <w:pPr>
              <w:widowControl/>
              <w:spacing w:line="240" w:lineRule="auto"/>
              <w:ind w:firstLine="0" w:firstLineChars="0"/>
              <w:jc w:val="right"/>
              <w:rPr>
                <w:color w:val="auto"/>
                <w:kern w:val="0"/>
                <w:szCs w:val="21"/>
                <w:highlight w:val="none"/>
              </w:rPr>
            </w:pPr>
            <w:r>
              <w:rPr>
                <w:color w:val="auto"/>
                <w:kern w:val="0"/>
                <w:szCs w:val="21"/>
                <w:highlight w:val="none"/>
              </w:rPr>
              <w:t>联系电话：</w:t>
            </w:r>
          </w:p>
        </w:tc>
        <w:tc>
          <w:tcPr>
            <w:tcW w:w="838" w:type="dxa"/>
            <w:tcBorders>
              <w:top w:val="nil"/>
              <w:left w:val="nil"/>
              <w:bottom w:val="nil"/>
              <w:right w:val="nil"/>
            </w:tcBorders>
            <w:vAlign w:val="bottom"/>
          </w:tcPr>
          <w:p w14:paraId="5A272013">
            <w:pPr>
              <w:widowControl/>
              <w:spacing w:line="240" w:lineRule="auto"/>
              <w:ind w:firstLine="0" w:firstLineChars="0"/>
              <w:rPr>
                <w:color w:val="auto"/>
                <w:kern w:val="0"/>
                <w:szCs w:val="21"/>
                <w:highlight w:val="none"/>
              </w:rPr>
            </w:pPr>
          </w:p>
        </w:tc>
        <w:tc>
          <w:tcPr>
            <w:tcW w:w="1050" w:type="dxa"/>
            <w:tcBorders>
              <w:top w:val="nil"/>
              <w:left w:val="nil"/>
              <w:bottom w:val="nil"/>
              <w:right w:val="nil"/>
            </w:tcBorders>
            <w:vAlign w:val="bottom"/>
          </w:tcPr>
          <w:p w14:paraId="7053B022">
            <w:pPr>
              <w:widowControl/>
              <w:spacing w:line="240" w:lineRule="auto"/>
              <w:ind w:firstLine="0" w:firstLineChars="0"/>
              <w:rPr>
                <w:color w:val="auto"/>
                <w:kern w:val="0"/>
                <w:szCs w:val="21"/>
                <w:highlight w:val="none"/>
              </w:rPr>
            </w:pPr>
          </w:p>
        </w:tc>
        <w:tc>
          <w:tcPr>
            <w:tcW w:w="1145" w:type="dxa"/>
            <w:tcBorders>
              <w:top w:val="nil"/>
              <w:left w:val="nil"/>
              <w:bottom w:val="nil"/>
              <w:right w:val="single" w:color="auto" w:sz="4" w:space="0"/>
            </w:tcBorders>
            <w:vAlign w:val="bottom"/>
          </w:tcPr>
          <w:p w14:paraId="73A33EBB">
            <w:pPr>
              <w:widowControl/>
              <w:spacing w:line="240" w:lineRule="auto"/>
              <w:ind w:firstLine="0" w:firstLineChars="0"/>
              <w:rPr>
                <w:color w:val="auto"/>
                <w:kern w:val="0"/>
                <w:szCs w:val="21"/>
                <w:highlight w:val="none"/>
              </w:rPr>
            </w:pPr>
            <w:r>
              <w:rPr>
                <w:color w:val="auto"/>
                <w:kern w:val="0"/>
                <w:szCs w:val="21"/>
                <w:highlight w:val="none"/>
              </w:rPr>
              <w:t>　</w:t>
            </w:r>
          </w:p>
        </w:tc>
      </w:tr>
      <w:tr w14:paraId="5952BB66">
        <w:tblPrEx>
          <w:tblCellMar>
            <w:top w:w="0" w:type="dxa"/>
            <w:left w:w="108" w:type="dxa"/>
            <w:bottom w:w="0" w:type="dxa"/>
            <w:right w:w="108" w:type="dxa"/>
          </w:tblCellMar>
        </w:tblPrEx>
        <w:trPr>
          <w:trHeight w:val="419" w:hRule="atLeast"/>
        </w:trPr>
        <w:tc>
          <w:tcPr>
            <w:tcW w:w="3030" w:type="dxa"/>
            <w:tcBorders>
              <w:top w:val="nil"/>
              <w:left w:val="single" w:color="auto" w:sz="4" w:space="0"/>
              <w:bottom w:val="nil"/>
              <w:right w:val="nil"/>
            </w:tcBorders>
            <w:vAlign w:val="bottom"/>
          </w:tcPr>
          <w:p w14:paraId="18401A9E">
            <w:pPr>
              <w:widowControl/>
              <w:spacing w:line="240" w:lineRule="auto"/>
              <w:ind w:firstLine="0" w:firstLineChars="0"/>
              <w:rPr>
                <w:color w:val="auto"/>
                <w:kern w:val="0"/>
                <w:szCs w:val="21"/>
                <w:highlight w:val="none"/>
              </w:rPr>
            </w:pPr>
            <w:r>
              <w:rPr>
                <w:color w:val="auto"/>
                <w:kern w:val="0"/>
                <w:szCs w:val="21"/>
                <w:highlight w:val="none"/>
              </w:rPr>
              <w:t>开户银行：</w:t>
            </w:r>
          </w:p>
        </w:tc>
        <w:tc>
          <w:tcPr>
            <w:tcW w:w="3174" w:type="dxa"/>
            <w:tcBorders>
              <w:top w:val="nil"/>
              <w:left w:val="nil"/>
              <w:bottom w:val="nil"/>
              <w:right w:val="nil"/>
            </w:tcBorders>
            <w:vAlign w:val="center"/>
          </w:tcPr>
          <w:p w14:paraId="3E883E00">
            <w:pPr>
              <w:widowControl/>
              <w:spacing w:line="240" w:lineRule="auto"/>
              <w:ind w:firstLine="0" w:firstLineChars="0"/>
              <w:jc w:val="right"/>
              <w:rPr>
                <w:color w:val="auto"/>
                <w:kern w:val="0"/>
                <w:szCs w:val="21"/>
                <w:highlight w:val="none"/>
              </w:rPr>
            </w:pPr>
            <w:r>
              <w:rPr>
                <w:color w:val="auto"/>
                <w:kern w:val="0"/>
                <w:szCs w:val="21"/>
                <w:highlight w:val="none"/>
              </w:rPr>
              <w:t>项目验收组成员（签名）：</w:t>
            </w:r>
          </w:p>
        </w:tc>
        <w:tc>
          <w:tcPr>
            <w:tcW w:w="838" w:type="dxa"/>
            <w:tcBorders>
              <w:top w:val="nil"/>
              <w:left w:val="nil"/>
              <w:bottom w:val="nil"/>
              <w:right w:val="nil"/>
            </w:tcBorders>
            <w:vAlign w:val="bottom"/>
          </w:tcPr>
          <w:p w14:paraId="10F3A9FF">
            <w:pPr>
              <w:widowControl/>
              <w:spacing w:line="240" w:lineRule="auto"/>
              <w:ind w:firstLine="0" w:firstLineChars="0"/>
              <w:rPr>
                <w:color w:val="auto"/>
                <w:kern w:val="0"/>
                <w:szCs w:val="21"/>
                <w:highlight w:val="none"/>
              </w:rPr>
            </w:pPr>
          </w:p>
        </w:tc>
        <w:tc>
          <w:tcPr>
            <w:tcW w:w="1050" w:type="dxa"/>
            <w:tcBorders>
              <w:top w:val="nil"/>
              <w:left w:val="nil"/>
              <w:bottom w:val="nil"/>
              <w:right w:val="nil"/>
            </w:tcBorders>
            <w:vAlign w:val="bottom"/>
          </w:tcPr>
          <w:p w14:paraId="5569AD7A">
            <w:pPr>
              <w:widowControl/>
              <w:spacing w:line="240" w:lineRule="auto"/>
              <w:ind w:firstLine="0" w:firstLineChars="0"/>
              <w:rPr>
                <w:color w:val="auto"/>
                <w:kern w:val="0"/>
                <w:szCs w:val="21"/>
                <w:highlight w:val="none"/>
              </w:rPr>
            </w:pPr>
          </w:p>
        </w:tc>
        <w:tc>
          <w:tcPr>
            <w:tcW w:w="1145" w:type="dxa"/>
            <w:tcBorders>
              <w:top w:val="nil"/>
              <w:left w:val="nil"/>
              <w:bottom w:val="nil"/>
              <w:right w:val="single" w:color="auto" w:sz="4" w:space="0"/>
            </w:tcBorders>
            <w:vAlign w:val="bottom"/>
          </w:tcPr>
          <w:p w14:paraId="51D9C1FF">
            <w:pPr>
              <w:widowControl/>
              <w:spacing w:line="240" w:lineRule="auto"/>
              <w:ind w:firstLine="0" w:firstLineChars="0"/>
              <w:rPr>
                <w:color w:val="auto"/>
                <w:kern w:val="0"/>
                <w:szCs w:val="21"/>
                <w:highlight w:val="none"/>
              </w:rPr>
            </w:pPr>
            <w:r>
              <w:rPr>
                <w:color w:val="auto"/>
                <w:kern w:val="0"/>
                <w:szCs w:val="21"/>
                <w:highlight w:val="none"/>
              </w:rPr>
              <w:t>　</w:t>
            </w:r>
          </w:p>
        </w:tc>
      </w:tr>
      <w:tr w14:paraId="5FA928E9">
        <w:tblPrEx>
          <w:tblCellMar>
            <w:top w:w="0" w:type="dxa"/>
            <w:left w:w="108" w:type="dxa"/>
            <w:bottom w:w="0" w:type="dxa"/>
            <w:right w:w="108" w:type="dxa"/>
          </w:tblCellMar>
        </w:tblPrEx>
        <w:trPr>
          <w:trHeight w:val="525" w:hRule="atLeast"/>
        </w:trPr>
        <w:tc>
          <w:tcPr>
            <w:tcW w:w="3030" w:type="dxa"/>
            <w:tcBorders>
              <w:top w:val="nil"/>
              <w:left w:val="single" w:color="auto" w:sz="4" w:space="0"/>
              <w:bottom w:val="single" w:color="auto" w:sz="4" w:space="0"/>
              <w:right w:val="nil"/>
            </w:tcBorders>
            <w:vAlign w:val="center"/>
          </w:tcPr>
          <w:p w14:paraId="0B9B04A2">
            <w:pPr>
              <w:widowControl/>
              <w:spacing w:line="240" w:lineRule="auto"/>
              <w:ind w:firstLine="0" w:firstLineChars="0"/>
              <w:rPr>
                <w:color w:val="auto"/>
                <w:kern w:val="0"/>
                <w:szCs w:val="21"/>
                <w:highlight w:val="none"/>
              </w:rPr>
            </w:pPr>
            <w:r>
              <w:rPr>
                <w:color w:val="auto"/>
                <w:kern w:val="0"/>
                <w:szCs w:val="21"/>
                <w:highlight w:val="none"/>
              </w:rPr>
              <w:t>银行帐号：</w:t>
            </w:r>
          </w:p>
        </w:tc>
        <w:tc>
          <w:tcPr>
            <w:tcW w:w="3174" w:type="dxa"/>
            <w:tcBorders>
              <w:top w:val="nil"/>
              <w:left w:val="nil"/>
              <w:bottom w:val="single" w:color="auto" w:sz="4" w:space="0"/>
              <w:right w:val="nil"/>
            </w:tcBorders>
            <w:vAlign w:val="bottom"/>
          </w:tcPr>
          <w:p w14:paraId="396070BC">
            <w:pPr>
              <w:widowControl/>
              <w:spacing w:line="240" w:lineRule="auto"/>
              <w:ind w:firstLine="0" w:firstLineChars="0"/>
              <w:rPr>
                <w:color w:val="auto"/>
                <w:kern w:val="0"/>
                <w:szCs w:val="21"/>
                <w:highlight w:val="none"/>
              </w:rPr>
            </w:pPr>
            <w:r>
              <w:rPr>
                <w:color w:val="auto"/>
                <w:kern w:val="0"/>
                <w:szCs w:val="21"/>
                <w:highlight w:val="none"/>
              </w:rPr>
              <w:t>　</w:t>
            </w:r>
          </w:p>
        </w:tc>
        <w:tc>
          <w:tcPr>
            <w:tcW w:w="3033" w:type="dxa"/>
            <w:gridSpan w:val="3"/>
            <w:tcBorders>
              <w:top w:val="nil"/>
              <w:left w:val="nil"/>
              <w:bottom w:val="single" w:color="auto" w:sz="4" w:space="0"/>
              <w:right w:val="single" w:color="000000" w:sz="4" w:space="0"/>
            </w:tcBorders>
            <w:vAlign w:val="center"/>
          </w:tcPr>
          <w:p w14:paraId="07995964">
            <w:pPr>
              <w:widowControl/>
              <w:spacing w:line="240" w:lineRule="auto"/>
              <w:ind w:firstLine="0" w:firstLineChars="0"/>
              <w:rPr>
                <w:color w:val="auto"/>
                <w:kern w:val="0"/>
                <w:szCs w:val="21"/>
                <w:highlight w:val="none"/>
              </w:rPr>
            </w:pPr>
            <w:r>
              <w:rPr>
                <w:color w:val="auto"/>
                <w:kern w:val="0"/>
                <w:szCs w:val="21"/>
                <w:highlight w:val="none"/>
              </w:rPr>
              <w:t>验收时间：       年     月     日</w:t>
            </w:r>
          </w:p>
        </w:tc>
      </w:tr>
      <w:tr w14:paraId="16AA7966">
        <w:tblPrEx>
          <w:tblCellMar>
            <w:top w:w="0" w:type="dxa"/>
            <w:left w:w="108" w:type="dxa"/>
            <w:bottom w:w="0" w:type="dxa"/>
            <w:right w:w="108" w:type="dxa"/>
          </w:tblCellMar>
        </w:tblPrEx>
        <w:trPr>
          <w:trHeight w:val="268" w:hRule="atLeast"/>
        </w:trPr>
        <w:tc>
          <w:tcPr>
            <w:tcW w:w="9237" w:type="dxa"/>
            <w:gridSpan w:val="5"/>
            <w:tcBorders>
              <w:top w:val="single" w:color="auto" w:sz="4" w:space="0"/>
              <w:left w:val="nil"/>
              <w:bottom w:val="nil"/>
              <w:right w:val="nil"/>
            </w:tcBorders>
            <w:vAlign w:val="center"/>
          </w:tcPr>
          <w:p w14:paraId="0A8731D4">
            <w:pPr>
              <w:widowControl/>
              <w:spacing w:line="240" w:lineRule="auto"/>
              <w:ind w:firstLine="0" w:firstLineChars="0"/>
              <w:rPr>
                <w:color w:val="auto"/>
                <w:kern w:val="0"/>
                <w:szCs w:val="21"/>
                <w:highlight w:val="none"/>
              </w:rPr>
            </w:pPr>
            <w:r>
              <w:rPr>
                <w:color w:val="auto"/>
                <w:kern w:val="0"/>
                <w:szCs w:val="21"/>
                <w:highlight w:val="none"/>
              </w:rPr>
              <w:t>本单一式四联：第一联采购人留存，第二联作为财政支付凭证，第三联供货单位留存。</w:t>
            </w:r>
          </w:p>
        </w:tc>
      </w:tr>
      <w:bookmarkEnd w:id="172"/>
    </w:tbl>
    <w:p w14:paraId="6F21ED3E">
      <w:pPr>
        <w:pStyle w:val="29"/>
        <w:ind w:firstLine="420"/>
        <w:rPr>
          <w:rFonts w:ascii="Times New Roman" w:hAnsi="Times New Roman"/>
          <w:color w:val="auto"/>
          <w:kern w:val="0"/>
          <w:szCs w:val="21"/>
          <w:highlight w:val="none"/>
        </w:rPr>
      </w:pPr>
    </w:p>
    <w:p w14:paraId="6AA1F5E5">
      <w:pPr>
        <w:ind w:firstLine="420"/>
        <w:rPr>
          <w:color w:val="auto"/>
          <w:highlight w:val="none"/>
        </w:rPr>
      </w:pPr>
    </w:p>
    <w:p w14:paraId="211F8795">
      <w:pPr>
        <w:ind w:firstLine="420"/>
        <w:rPr>
          <w:color w:val="auto"/>
          <w:highlight w:val="none"/>
        </w:rPr>
      </w:pPr>
    </w:p>
    <w:p w14:paraId="6A93CEFA">
      <w:pPr>
        <w:ind w:firstLine="420"/>
        <w:rPr>
          <w:color w:val="auto"/>
          <w:highlight w:val="none"/>
        </w:rPr>
      </w:pPr>
    </w:p>
    <w:p w14:paraId="5D81EC39">
      <w:pPr>
        <w:ind w:firstLine="420"/>
        <w:rPr>
          <w:color w:val="auto"/>
          <w:highlight w:val="none"/>
        </w:rPr>
      </w:pPr>
    </w:p>
    <w:p w14:paraId="5262E7A6">
      <w:pPr>
        <w:ind w:firstLine="420"/>
        <w:rPr>
          <w:color w:val="auto"/>
          <w:highlight w:val="none"/>
        </w:rPr>
      </w:pPr>
    </w:p>
    <w:p w14:paraId="303C4B46">
      <w:pPr>
        <w:ind w:firstLine="420"/>
        <w:rPr>
          <w:color w:val="auto"/>
          <w:highlight w:val="none"/>
        </w:rPr>
      </w:pPr>
    </w:p>
    <w:p w14:paraId="3E97BFCF">
      <w:pPr>
        <w:ind w:firstLine="420"/>
        <w:rPr>
          <w:color w:val="auto"/>
          <w:highlight w:val="none"/>
        </w:rPr>
      </w:pPr>
    </w:p>
    <w:p w14:paraId="51D1EE6D">
      <w:pPr>
        <w:ind w:firstLine="420"/>
        <w:rPr>
          <w:color w:val="auto"/>
          <w:kern w:val="0"/>
          <w:szCs w:val="21"/>
          <w:highlight w:val="none"/>
        </w:rPr>
      </w:pPr>
    </w:p>
    <w:p w14:paraId="50101FF1">
      <w:pPr>
        <w:tabs>
          <w:tab w:val="left" w:pos="1380"/>
        </w:tabs>
        <w:ind w:firstLine="420"/>
        <w:rPr>
          <w:color w:val="auto"/>
          <w:highlight w:val="none"/>
        </w:rPr>
      </w:pPr>
      <w:r>
        <w:rPr>
          <w:color w:val="auto"/>
          <w:kern w:val="0"/>
          <w:szCs w:val="21"/>
          <w:highlight w:val="none"/>
        </w:rPr>
        <w:tab/>
      </w:r>
      <w:r>
        <w:rPr>
          <w:color w:val="auto"/>
          <w:highlight w:val="none"/>
        </w:rPr>
        <w:br w:type="page"/>
      </w:r>
    </w:p>
    <w:p w14:paraId="00ABE516">
      <w:pPr>
        <w:pStyle w:val="5"/>
        <w:numPr>
          <w:ilvl w:val="0"/>
          <w:numId w:val="36"/>
        </w:numPr>
        <w:rPr>
          <w:rStyle w:val="70"/>
          <w:b/>
          <w:bCs/>
          <w:color w:val="auto"/>
          <w:highlight w:val="none"/>
        </w:rPr>
        <w:sectPr>
          <w:pgSz w:w="11906" w:h="16838"/>
          <w:pgMar w:top="1474" w:right="1474" w:bottom="1134" w:left="1134" w:header="851" w:footer="851" w:gutter="0"/>
          <w:pgBorders>
            <w:top w:val="none" w:sz="0" w:space="0"/>
            <w:left w:val="none" w:sz="0" w:space="0"/>
            <w:bottom w:val="none" w:sz="0" w:space="0"/>
            <w:right w:val="none" w:sz="0" w:space="0"/>
          </w:pgBorders>
          <w:cols w:space="720" w:num="1"/>
          <w:docGrid w:linePitch="312" w:charSpace="0"/>
        </w:sectPr>
      </w:pPr>
    </w:p>
    <w:p w14:paraId="32788E93">
      <w:pPr>
        <w:pStyle w:val="5"/>
        <w:numPr>
          <w:ilvl w:val="0"/>
          <w:numId w:val="3"/>
        </w:numPr>
        <w:rPr>
          <w:rStyle w:val="70"/>
          <w:b/>
          <w:bCs/>
          <w:color w:val="auto"/>
          <w:highlight w:val="none"/>
        </w:rPr>
      </w:pPr>
      <w:bookmarkStart w:id="189" w:name="_Toc2506"/>
      <w:r>
        <w:rPr>
          <w:rStyle w:val="70"/>
          <w:rFonts w:hint="eastAsia"/>
          <w:b/>
          <w:bCs/>
          <w:color w:val="auto"/>
          <w:highlight w:val="none"/>
        </w:rPr>
        <w:t>投标文件相关格式</w:t>
      </w:r>
      <w:bookmarkEnd w:id="168"/>
      <w:bookmarkEnd w:id="169"/>
      <w:bookmarkEnd w:id="189"/>
      <w:bookmarkStart w:id="190" w:name="_Toc430786287"/>
    </w:p>
    <w:bookmarkEnd w:id="190"/>
    <w:p w14:paraId="28F6273D">
      <w:pPr>
        <w:pStyle w:val="6"/>
        <w:ind w:firstLine="420"/>
        <w:jc w:val="center"/>
        <w:rPr>
          <w:rFonts w:hint="eastAsia" w:ascii="微软雅黑" w:hAnsi="微软雅黑" w:cs="仿宋_GB2312"/>
          <w:color w:val="auto"/>
          <w:szCs w:val="21"/>
          <w:highlight w:val="none"/>
        </w:rPr>
      </w:pPr>
      <w:bookmarkStart w:id="191" w:name="_Toc169015146"/>
      <w:bookmarkStart w:id="192" w:name="_Toc28874"/>
      <w:r>
        <w:rPr>
          <w:rFonts w:hint="eastAsia" w:ascii="微软雅黑" w:hAnsi="微软雅黑" w:cs="仿宋_GB2312"/>
          <w:color w:val="auto"/>
          <w:szCs w:val="21"/>
          <w:highlight w:val="none"/>
        </w:rPr>
        <w:t>资格文件部分</w:t>
      </w:r>
      <w:bookmarkEnd w:id="191"/>
      <w:bookmarkEnd w:id="192"/>
    </w:p>
    <w:p w14:paraId="1A0F313D">
      <w:pPr>
        <w:ind w:firstLine="420"/>
        <w:jc w:val="center"/>
        <w:outlineLvl w:val="0"/>
        <w:rPr>
          <w:rFonts w:hint="eastAsia" w:ascii="微软雅黑" w:hAnsi="微软雅黑" w:cs="仿宋_GB2312"/>
          <w:b/>
          <w:color w:val="auto"/>
          <w:kern w:val="0"/>
          <w:szCs w:val="21"/>
          <w:highlight w:val="none"/>
        </w:rPr>
      </w:pPr>
      <w:bookmarkStart w:id="193" w:name="_Toc169015147"/>
      <w:bookmarkStart w:id="194" w:name="_Toc2384"/>
      <w:bookmarkStart w:id="195" w:name="_Toc164943223"/>
      <w:bookmarkStart w:id="196" w:name="_Toc24210"/>
      <w:r>
        <w:rPr>
          <w:rFonts w:hint="eastAsia" w:ascii="微软雅黑" w:hAnsi="微软雅黑" w:cs="仿宋_GB2312"/>
          <w:b/>
          <w:color w:val="auto"/>
          <w:kern w:val="0"/>
          <w:szCs w:val="21"/>
          <w:highlight w:val="none"/>
        </w:rPr>
        <w:t>目录</w:t>
      </w:r>
      <w:bookmarkEnd w:id="193"/>
      <w:bookmarkEnd w:id="194"/>
      <w:bookmarkEnd w:id="195"/>
      <w:bookmarkEnd w:id="196"/>
    </w:p>
    <w:p w14:paraId="52D7AC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（1）符合参加政府采购活动应当具备的一般条件的承诺函……………（页码）</w:t>
      </w:r>
    </w:p>
    <w:p w14:paraId="460756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（2）企业法人营业执照副本复印件………………………………（页码）</w:t>
      </w:r>
    </w:p>
    <w:p w14:paraId="3276D5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（3）特定资格要求证明材料………………………………（页码）</w:t>
      </w:r>
    </w:p>
    <w:p w14:paraId="26873A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（4）联合体协议（如是）………………………………（页码）</w:t>
      </w:r>
    </w:p>
    <w:p w14:paraId="3E32A82C">
      <w:pPr>
        <w:pStyle w:val="9"/>
        <w:ind w:firstLine="404"/>
        <w:rPr>
          <w:rFonts w:hint="eastAsia" w:ascii="微软雅黑" w:hAnsi="微软雅黑" w:cs="仿宋_GB2312"/>
          <w:color w:val="auto"/>
          <w:sz w:val="21"/>
          <w:szCs w:val="21"/>
          <w:highlight w:val="none"/>
        </w:rPr>
      </w:pPr>
    </w:p>
    <w:p w14:paraId="4C404543">
      <w:pPr>
        <w:snapToGrid w:val="0"/>
        <w:ind w:right="480" w:firstLine="420"/>
        <w:jc w:val="both"/>
        <w:outlineLvl w:val="1"/>
        <w:rPr>
          <w:rFonts w:hint="eastAsia" w:ascii="微软雅黑" w:hAnsi="微软雅黑" w:cs="仿宋_GB2312"/>
          <w:b/>
          <w:color w:val="auto"/>
          <w:kern w:val="0"/>
          <w:szCs w:val="21"/>
          <w:highlight w:val="none"/>
        </w:rPr>
        <w:sectPr>
          <w:footerReference r:id="rId24" w:type="default"/>
          <w:type w:val="nextColumn"/>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bookmarkStart w:id="197" w:name="_Toc9621"/>
    </w:p>
    <w:p w14:paraId="1CE34BF9">
      <w:pPr>
        <w:snapToGrid w:val="0"/>
        <w:ind w:right="480" w:firstLine="420"/>
        <w:jc w:val="both"/>
        <w:outlineLvl w:val="1"/>
        <w:rPr>
          <w:rFonts w:hint="eastAsia" w:ascii="微软雅黑" w:hAnsi="微软雅黑" w:cs="仿宋_GB2312"/>
          <w:b/>
          <w:color w:val="auto"/>
          <w:kern w:val="0"/>
          <w:szCs w:val="21"/>
          <w:highlight w:val="none"/>
        </w:rPr>
      </w:pPr>
      <w:r>
        <w:rPr>
          <w:rFonts w:ascii="微软雅黑" w:hAnsi="微软雅黑" w:cs="仿宋_GB2312"/>
          <w:b/>
          <w:color w:val="auto"/>
          <w:kern w:val="0"/>
          <w:szCs w:val="21"/>
          <w:highlight w:val="none"/>
        </w:rPr>
        <w:t>一、 符合参加政府采购活动应当具备的一般条件的承诺函</w:t>
      </w:r>
      <w:bookmarkEnd w:id="197"/>
    </w:p>
    <w:p w14:paraId="58470F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（采购人）、（采购代理机构）：</w:t>
      </w:r>
    </w:p>
    <w:p w14:paraId="4B4983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我方参与（项目名称）【项目编号】政府采购活动，郑重承诺：</w:t>
      </w:r>
    </w:p>
    <w:p w14:paraId="5C0DB6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（一）具备《中华人民共和国政府采购法》第二十二条第一款规定的条件：</w:t>
      </w:r>
    </w:p>
    <w:p w14:paraId="593278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1、具有独立承担民事责任的能力；</w:t>
      </w:r>
    </w:p>
    <w:p w14:paraId="4CDAC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 xml:space="preserve">2、具有良好的商业信誉和健全的财务会计制度； </w:t>
      </w:r>
    </w:p>
    <w:p w14:paraId="00D2F3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3、具有履行合同所必需的设备和专业技术能力；</w:t>
      </w:r>
    </w:p>
    <w:p w14:paraId="0591E9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4、有依法缴纳税收和社会保障资金的良好记录；</w:t>
      </w:r>
    </w:p>
    <w:p w14:paraId="46A33C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5、参加政府采购活动前三年内，在经营活动中没有重大违法记录；</w:t>
      </w:r>
    </w:p>
    <w:p w14:paraId="36DC8E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6、具有法律、行政法规规定的其他条件。</w:t>
      </w:r>
    </w:p>
    <w:p w14:paraId="298F41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（二）未被信用中国（www.creditchina.gov.cn)、中国政府采购网（www.ccgp.gov.cn）列入失信被执行人、重大税收违法案件当事人名单、政府采购严重违法失信行为记录名单。</w:t>
      </w:r>
    </w:p>
    <w:p w14:paraId="2E296E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（三）不存在以下情况：</w:t>
      </w:r>
    </w:p>
    <w:p w14:paraId="622EF2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1、单位负责人为同一人或者存在直接控股、管理关系的不同供应商参加同一合同项下的政府采购活动的；</w:t>
      </w:r>
    </w:p>
    <w:p w14:paraId="3A9059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2、为采购项目提供整体设计、规范编制或者项目管理、监理、检测等服务后再参加该采购项目的其他采购活动的。</w:t>
      </w:r>
    </w:p>
    <w:p w14:paraId="36E1D6F1">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法定代表人（负责人）或</w:t>
      </w:r>
      <w:r>
        <w:rPr>
          <w:rFonts w:hint="eastAsia" w:ascii="微软雅黑" w:hAnsi="微软雅黑"/>
          <w:color w:val="auto"/>
          <w:szCs w:val="21"/>
          <w:highlight w:val="none"/>
        </w:rPr>
        <w:t>被授权人签字（或盖章）：</w:t>
      </w:r>
    </w:p>
    <w:p w14:paraId="78897034">
      <w:pPr>
        <w:pStyle w:val="122"/>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515FDB46">
      <w:pPr>
        <w:pStyle w:val="122"/>
        <w:ind w:firstLine="420"/>
        <w:jc w:val="center"/>
        <w:rPr>
          <w:rFonts w:hint="eastAsia" w:ascii="微软雅黑" w:hAnsi="微软雅黑" w:eastAsia="微软雅黑"/>
          <w:color w:val="auto"/>
          <w:sz w:val="21"/>
          <w:szCs w:val="21"/>
          <w:highlight w:val="none"/>
        </w:rPr>
        <w:sectPr>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微软雅黑" w:hAnsi="微软雅黑" w:eastAsia="微软雅黑"/>
          <w:color w:val="auto"/>
          <w:sz w:val="21"/>
          <w:szCs w:val="21"/>
          <w:highlight w:val="none"/>
        </w:rPr>
        <w:t xml:space="preserve">          日期： 年 月 日</w:t>
      </w:r>
    </w:p>
    <w:p w14:paraId="0521C3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b/>
          <w:bCs/>
          <w:color w:val="auto"/>
          <w:kern w:val="0"/>
          <w:szCs w:val="21"/>
          <w:highlight w:val="none"/>
        </w:rPr>
      </w:pPr>
      <w:r>
        <w:rPr>
          <w:rFonts w:hint="eastAsia" w:ascii="微软雅黑" w:hAnsi="微软雅黑" w:cs="宋体"/>
          <w:b/>
          <w:bCs/>
          <w:color w:val="auto"/>
          <w:kern w:val="0"/>
          <w:szCs w:val="21"/>
          <w:highlight w:val="none"/>
        </w:rPr>
        <w:t>二、企业法人营业执照副本复印件</w:t>
      </w:r>
    </w:p>
    <w:p w14:paraId="295BA6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b/>
          <w:bCs/>
          <w:color w:val="auto"/>
          <w:kern w:val="0"/>
          <w:szCs w:val="21"/>
          <w:highlight w:val="none"/>
        </w:rPr>
      </w:pPr>
      <w:r>
        <w:rPr>
          <w:rFonts w:hint="eastAsia" w:ascii="微软雅黑" w:hAnsi="微软雅黑" w:cs="宋体"/>
          <w:b/>
          <w:bCs/>
          <w:color w:val="auto"/>
          <w:kern w:val="0"/>
          <w:szCs w:val="21"/>
          <w:highlight w:val="none"/>
        </w:rPr>
        <w:t>三 、特定资格要求证明材料</w:t>
      </w:r>
    </w:p>
    <w:p w14:paraId="6026C4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b/>
          <w:bCs/>
          <w:color w:val="auto"/>
          <w:kern w:val="0"/>
          <w:szCs w:val="21"/>
          <w:highlight w:val="none"/>
        </w:rPr>
        <w:sectPr>
          <w:footerReference r:id="rId25"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68FC78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b/>
          <w:bCs/>
          <w:color w:val="auto"/>
          <w:kern w:val="0"/>
          <w:szCs w:val="21"/>
          <w:highlight w:val="none"/>
        </w:rPr>
      </w:pPr>
      <w:r>
        <w:rPr>
          <w:rFonts w:hint="eastAsia" w:ascii="微软雅黑" w:hAnsi="微软雅黑" w:cs="宋体"/>
          <w:b/>
          <w:bCs/>
          <w:color w:val="auto"/>
          <w:kern w:val="0"/>
          <w:szCs w:val="21"/>
          <w:highlight w:val="none"/>
        </w:rPr>
        <w:t>四、联合体协议（如是）</w:t>
      </w:r>
    </w:p>
    <w:p w14:paraId="52922032">
      <w:pPr>
        <w:snapToGrid w:val="0"/>
        <w:spacing w:before="50" w:after="50"/>
        <w:ind w:firstLine="420"/>
        <w:jc w:val="center"/>
        <w:rPr>
          <w:rFonts w:eastAsia="仿宋_GB2312"/>
          <w:b/>
          <w:color w:val="auto"/>
          <w:kern w:val="0"/>
          <w:szCs w:val="21"/>
          <w:highlight w:val="none"/>
          <w:lang w:val="zh-CN"/>
        </w:rPr>
      </w:pPr>
      <w:r>
        <w:rPr>
          <w:rFonts w:hint="eastAsia" w:ascii="微软雅黑" w:hAnsi="微软雅黑" w:cs="微软雅黑"/>
          <w:b/>
          <w:color w:val="auto"/>
          <w:kern w:val="0"/>
          <w:szCs w:val="21"/>
          <w:highlight w:val="none"/>
          <w:lang w:val="zh-CN"/>
        </w:rPr>
        <w:t>联合体协议</w:t>
      </w:r>
    </w:p>
    <w:p w14:paraId="4D723FF5">
      <w:pPr>
        <w:snapToGrid w:val="0"/>
        <w:ind w:firstLine="420"/>
        <w:rPr>
          <w:color w:val="auto"/>
          <w:kern w:val="0"/>
          <w:highlight w:val="none"/>
          <w:lang w:val="zh-CN"/>
        </w:rPr>
      </w:pPr>
      <w:r>
        <w:rPr>
          <w:color w:val="auto"/>
          <w:kern w:val="0"/>
          <w:highlight w:val="none"/>
          <w:u w:val="single"/>
        </w:rPr>
        <w:t>（联合体所有成员名称）</w:t>
      </w:r>
      <w:r>
        <w:rPr>
          <w:color w:val="auto"/>
          <w:kern w:val="0"/>
          <w:highlight w:val="none"/>
        </w:rPr>
        <w:t>自愿</w:t>
      </w:r>
      <w:r>
        <w:rPr>
          <w:color w:val="auto"/>
          <w:kern w:val="0"/>
          <w:highlight w:val="none"/>
          <w:lang w:val="zh-CN"/>
        </w:rPr>
        <w:t>组成一个联合体，以一个投标供应商的身份</w:t>
      </w:r>
      <w:r>
        <w:rPr>
          <w:color w:val="auto"/>
          <w:kern w:val="0"/>
          <w:highlight w:val="none"/>
        </w:rPr>
        <w:t>参加</w:t>
      </w:r>
      <w:r>
        <w:rPr>
          <w:color w:val="auto"/>
          <w:highlight w:val="none"/>
        </w:rPr>
        <w:t>（项目名称）【项目编号】</w:t>
      </w:r>
      <w:r>
        <w:rPr>
          <w:color w:val="auto"/>
          <w:kern w:val="0"/>
          <w:highlight w:val="none"/>
          <w:lang w:val="zh-CN"/>
        </w:rPr>
        <w:t xml:space="preserve">投标报价一经涂改，应在涂改处加盖单位公章或者由法定代表人或被授权人签字（或盖章），否则其投标作无效标处理；。 </w:t>
      </w:r>
    </w:p>
    <w:p w14:paraId="76FDAE6C">
      <w:pPr>
        <w:snapToGrid w:val="0"/>
        <w:ind w:firstLine="420"/>
        <w:rPr>
          <w:color w:val="auto"/>
          <w:kern w:val="0"/>
          <w:highlight w:val="none"/>
          <w:lang w:val="zh-CN"/>
        </w:rPr>
      </w:pPr>
      <w:r>
        <w:rPr>
          <w:color w:val="auto"/>
          <w:kern w:val="0"/>
          <w:highlight w:val="none"/>
          <w:lang w:val="zh-CN"/>
        </w:rPr>
        <w:t>一、各方一致决定，</w:t>
      </w:r>
      <w:r>
        <w:rPr>
          <w:color w:val="auto"/>
          <w:kern w:val="0"/>
          <w:highlight w:val="none"/>
          <w:u w:val="single"/>
        </w:rPr>
        <w:t>（某联合体成员名称）</w:t>
      </w:r>
      <w:r>
        <w:rPr>
          <w:color w:val="auto"/>
          <w:kern w:val="0"/>
          <w:highlight w:val="none"/>
        </w:rPr>
        <w:t>为联合体</w:t>
      </w:r>
      <w:r>
        <w:rPr>
          <w:color w:val="auto"/>
          <w:kern w:val="0"/>
          <w:highlight w:val="none"/>
          <w:lang w:val="zh-CN"/>
        </w:rPr>
        <w:t>牵头人</w:t>
      </w:r>
      <w:r>
        <w:rPr>
          <w:color w:val="auto"/>
          <w:highlight w:val="none"/>
        </w:rPr>
        <w:t>，代表所有联合体成员负责投标和合同实施阶段的主办、协调工作</w:t>
      </w:r>
      <w:r>
        <w:rPr>
          <w:color w:val="auto"/>
          <w:kern w:val="0"/>
          <w:highlight w:val="none"/>
          <w:lang w:val="zh-CN"/>
        </w:rPr>
        <w:t>。</w:t>
      </w:r>
    </w:p>
    <w:p w14:paraId="2053FC39">
      <w:pPr>
        <w:snapToGrid w:val="0"/>
        <w:ind w:firstLine="420"/>
        <w:rPr>
          <w:color w:val="auto"/>
          <w:kern w:val="0"/>
          <w:highlight w:val="none"/>
          <w:lang w:val="zh-CN"/>
        </w:rPr>
      </w:pPr>
      <w:r>
        <w:rPr>
          <w:color w:val="auto"/>
          <w:kern w:val="0"/>
          <w:highlight w:val="none"/>
          <w:lang w:val="zh-CN"/>
        </w:rPr>
        <w:t>二、</w:t>
      </w:r>
      <w:r>
        <w:rPr>
          <w:color w:val="auto"/>
          <w:highlight w:val="none"/>
        </w:rPr>
        <w:t>所有联合体成员各方签署授权书，授权书载明的</w:t>
      </w:r>
      <w:r>
        <w:rPr>
          <w:color w:val="auto"/>
          <w:kern w:val="0"/>
          <w:highlight w:val="none"/>
          <w:lang w:val="zh-CN"/>
        </w:rPr>
        <w:t>授权代表根据招标文件规定及投标内容而对采购人、采购机构所作的任何合法承诺，包括书面澄清及相应等均对联合投标各方产生约束力。</w:t>
      </w:r>
    </w:p>
    <w:p w14:paraId="6B029627">
      <w:pPr>
        <w:snapToGrid w:val="0"/>
        <w:ind w:firstLine="420"/>
        <w:rPr>
          <w:color w:val="auto"/>
          <w:kern w:val="0"/>
          <w:highlight w:val="none"/>
          <w:lang w:val="zh-CN"/>
        </w:rPr>
      </w:pPr>
      <w:r>
        <w:rPr>
          <w:color w:val="auto"/>
          <w:kern w:val="0"/>
          <w:highlight w:val="none"/>
          <w:lang w:val="zh-CN"/>
        </w:rPr>
        <w:t>三、本次联合投标中，分工如下：</w:t>
      </w:r>
    </w:p>
    <w:p w14:paraId="778E217E">
      <w:pPr>
        <w:snapToGrid w:val="0"/>
        <w:ind w:firstLine="420"/>
        <w:rPr>
          <w:rFonts w:hint="eastAsia" w:ascii="微软雅黑" w:hAnsi="微软雅黑" w:cs="微软雅黑"/>
          <w:color w:val="auto"/>
          <w:kern w:val="0"/>
          <w:szCs w:val="21"/>
          <w:highlight w:val="none"/>
          <w:lang w:val="zh-CN"/>
        </w:rPr>
      </w:pPr>
      <w:r>
        <w:rPr>
          <w:rFonts w:hint="eastAsia" w:ascii="微软雅黑" w:hAnsi="微软雅黑" w:cs="微软雅黑"/>
          <w:color w:val="auto"/>
          <w:kern w:val="0"/>
          <w:szCs w:val="21"/>
          <w:highlight w:val="none"/>
          <w:u w:val="single"/>
        </w:rPr>
        <w:t>（联合体成员1）</w:t>
      </w:r>
      <w:r>
        <w:rPr>
          <w:rFonts w:hint="eastAsia" w:ascii="微软雅黑" w:hAnsi="微软雅黑" w:cs="微软雅黑"/>
          <w:color w:val="auto"/>
          <w:kern w:val="0"/>
          <w:szCs w:val="21"/>
          <w:highlight w:val="none"/>
          <w:lang w:val="zh-CN"/>
        </w:rPr>
        <w:t>承担的工作和义务为：</w:t>
      </w:r>
      <w:r>
        <w:rPr>
          <w:rFonts w:hint="eastAsia" w:ascii="微软雅黑" w:hAnsi="微软雅黑" w:cs="微软雅黑"/>
          <w:color w:val="auto"/>
          <w:szCs w:val="21"/>
          <w:highlight w:val="none"/>
          <w:u w:val="single"/>
        </w:rPr>
        <w:t xml:space="preserve">             ，占比项目金额的     %</w:t>
      </w:r>
      <w:r>
        <w:rPr>
          <w:rFonts w:hint="eastAsia" w:ascii="微软雅黑" w:hAnsi="微软雅黑" w:cs="微软雅黑"/>
          <w:color w:val="auto"/>
          <w:kern w:val="0"/>
          <w:szCs w:val="21"/>
          <w:highlight w:val="none"/>
          <w:lang w:val="zh-CN"/>
        </w:rPr>
        <w:t>；</w:t>
      </w:r>
    </w:p>
    <w:p w14:paraId="10163293">
      <w:pPr>
        <w:snapToGrid w:val="0"/>
        <w:ind w:firstLine="420"/>
        <w:rPr>
          <w:rFonts w:hint="eastAsia" w:ascii="微软雅黑" w:hAnsi="微软雅黑" w:cs="微软雅黑"/>
          <w:color w:val="auto"/>
          <w:kern w:val="0"/>
          <w:szCs w:val="21"/>
          <w:highlight w:val="none"/>
          <w:lang w:val="zh-CN"/>
        </w:rPr>
      </w:pPr>
      <w:r>
        <w:rPr>
          <w:rFonts w:hint="eastAsia" w:ascii="微软雅黑" w:hAnsi="微软雅黑" w:cs="微软雅黑"/>
          <w:color w:val="auto"/>
          <w:kern w:val="0"/>
          <w:szCs w:val="21"/>
          <w:highlight w:val="none"/>
          <w:u w:val="single"/>
        </w:rPr>
        <w:t>（联合体成员2）</w:t>
      </w:r>
      <w:r>
        <w:rPr>
          <w:rFonts w:hint="eastAsia" w:ascii="微软雅黑" w:hAnsi="微软雅黑" w:cs="微软雅黑"/>
          <w:color w:val="auto"/>
          <w:kern w:val="0"/>
          <w:szCs w:val="21"/>
          <w:highlight w:val="none"/>
          <w:lang w:val="zh-CN"/>
        </w:rPr>
        <w:t>承担的工作和义务为：</w:t>
      </w:r>
      <w:r>
        <w:rPr>
          <w:rFonts w:hint="eastAsia" w:ascii="微软雅黑" w:hAnsi="微软雅黑" w:cs="微软雅黑"/>
          <w:color w:val="auto"/>
          <w:szCs w:val="21"/>
          <w:highlight w:val="none"/>
          <w:u w:val="single"/>
        </w:rPr>
        <w:t xml:space="preserve">             ，占比项目金额的     %</w:t>
      </w:r>
      <w:r>
        <w:rPr>
          <w:rFonts w:hint="eastAsia" w:ascii="微软雅黑" w:hAnsi="微软雅黑" w:cs="微软雅黑"/>
          <w:color w:val="auto"/>
          <w:kern w:val="0"/>
          <w:szCs w:val="21"/>
          <w:highlight w:val="none"/>
          <w:lang w:val="zh-CN"/>
        </w:rPr>
        <w:t>；</w:t>
      </w:r>
    </w:p>
    <w:p w14:paraId="7FEB78DD">
      <w:pPr>
        <w:snapToGrid w:val="0"/>
        <w:ind w:firstLine="420"/>
        <w:rPr>
          <w:color w:val="auto"/>
          <w:kern w:val="0"/>
          <w:highlight w:val="none"/>
          <w:lang w:val="zh-CN"/>
        </w:rPr>
      </w:pPr>
      <w:r>
        <w:rPr>
          <w:color w:val="auto"/>
          <w:kern w:val="0"/>
          <w:highlight w:val="none"/>
          <w:lang w:val="zh-CN"/>
        </w:rPr>
        <w:t>四、</w:t>
      </w:r>
      <w:r>
        <w:rPr>
          <w:color w:val="auto"/>
          <w:highlight w:val="none"/>
        </w:rPr>
        <w:t>中小企业合同金额达到</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%，小微企业合同金额达到</w:t>
      </w:r>
      <w:r>
        <w:rPr>
          <w:color w:val="auto"/>
          <w:highlight w:val="none"/>
          <w:u w:val="single"/>
        </w:rPr>
        <w:t xml:space="preserve"> </w:t>
      </w:r>
      <w:r>
        <w:rPr>
          <w:rFonts w:hint="eastAsia"/>
          <w:color w:val="auto"/>
          <w:highlight w:val="none"/>
          <w:u w:val="single"/>
        </w:rPr>
        <w:t xml:space="preserve">     </w:t>
      </w:r>
      <w:r>
        <w:rPr>
          <w:color w:val="auto"/>
          <w:highlight w:val="none"/>
        </w:rPr>
        <w:t>%</w:t>
      </w:r>
      <w:r>
        <w:rPr>
          <w:color w:val="auto"/>
          <w:kern w:val="0"/>
          <w:highlight w:val="none"/>
          <w:lang w:val="zh-CN"/>
        </w:rPr>
        <w:t>。</w:t>
      </w:r>
    </w:p>
    <w:p w14:paraId="7FAD0210">
      <w:pPr>
        <w:snapToGrid w:val="0"/>
        <w:ind w:firstLine="420"/>
        <w:rPr>
          <w:color w:val="auto"/>
          <w:kern w:val="0"/>
          <w:highlight w:val="none"/>
          <w:lang w:val="zh-CN"/>
        </w:rPr>
      </w:pPr>
      <w:r>
        <w:rPr>
          <w:color w:val="auto"/>
          <w:kern w:val="0"/>
          <w:highlight w:val="none"/>
          <w:lang w:val="zh-CN"/>
        </w:rPr>
        <w:t>五、如果中标，</w:t>
      </w:r>
      <w:r>
        <w:rPr>
          <w:color w:val="auto"/>
          <w:highlight w:val="none"/>
        </w:rPr>
        <w:t>联合体各成员方共同与采购人签订合同，并就采购合同约定的事项对采购人承担连带责任。</w:t>
      </w:r>
    </w:p>
    <w:p w14:paraId="601DCC1E">
      <w:pPr>
        <w:snapToGrid w:val="0"/>
        <w:ind w:firstLine="420"/>
        <w:rPr>
          <w:color w:val="auto"/>
          <w:kern w:val="0"/>
          <w:highlight w:val="none"/>
          <w:lang w:val="zh-CN"/>
        </w:rPr>
      </w:pPr>
      <w:r>
        <w:rPr>
          <w:color w:val="auto"/>
          <w:kern w:val="0"/>
          <w:highlight w:val="none"/>
          <w:lang w:val="zh-CN"/>
        </w:rPr>
        <w:t>六、有关本次联合投标的其他事宜：</w:t>
      </w:r>
    </w:p>
    <w:p w14:paraId="6ABE6E92">
      <w:pPr>
        <w:snapToGrid w:val="0"/>
        <w:spacing w:line="240" w:lineRule="auto"/>
        <w:ind w:firstLine="420"/>
        <w:rPr>
          <w:color w:val="auto"/>
          <w:kern w:val="0"/>
          <w:highlight w:val="none"/>
          <w:lang w:val="zh-CN"/>
        </w:rPr>
      </w:pPr>
      <w:r>
        <w:rPr>
          <w:color w:val="auto"/>
          <w:kern w:val="0"/>
          <w:highlight w:val="none"/>
          <w:lang w:val="zh-CN"/>
        </w:rPr>
        <w:t>1、联合体各方不再单独参加或者与其他供应商另外组成联合体参加同一合同项下的政府采购活动。</w:t>
      </w:r>
    </w:p>
    <w:p w14:paraId="5C0E26B2">
      <w:pPr>
        <w:snapToGrid w:val="0"/>
        <w:spacing w:line="240" w:lineRule="auto"/>
        <w:ind w:firstLine="420"/>
        <w:rPr>
          <w:color w:val="auto"/>
          <w:kern w:val="0"/>
          <w:highlight w:val="none"/>
          <w:lang w:val="zh-CN"/>
        </w:rPr>
      </w:pPr>
      <w:r>
        <w:rPr>
          <w:color w:val="auto"/>
          <w:kern w:val="0"/>
          <w:highlight w:val="none"/>
          <w:lang w:val="zh-CN"/>
        </w:rPr>
        <w:t>2、联合体中有同类资质的各方按照联合体分工承担相同工作的，按照资质等级较低的供应商确定资质等级。</w:t>
      </w:r>
    </w:p>
    <w:p w14:paraId="164E8249">
      <w:pPr>
        <w:snapToGrid w:val="0"/>
        <w:spacing w:line="240" w:lineRule="auto"/>
        <w:ind w:firstLine="420"/>
        <w:rPr>
          <w:color w:val="auto"/>
          <w:kern w:val="0"/>
          <w:highlight w:val="none"/>
          <w:lang w:val="zh-CN"/>
        </w:rPr>
      </w:pPr>
      <w:r>
        <w:rPr>
          <w:color w:val="auto"/>
          <w:kern w:val="0"/>
          <w:highlight w:val="none"/>
          <w:lang w:val="zh-CN"/>
        </w:rPr>
        <w:t>3、本协议提交采购人、采购机构后，联合体各方不得以任何形式对上述内容进行修改或撤销。报价一经涂改，应在涂改处加盖单位公章或者由法定代表人或被授权人签字（或盖章），否则其投标作无效标处理；</w:t>
      </w:r>
    </w:p>
    <w:p w14:paraId="5A924482">
      <w:pPr>
        <w:snapToGrid w:val="0"/>
        <w:ind w:firstLine="4410" w:firstLineChars="2100"/>
        <w:rPr>
          <w:color w:val="auto"/>
          <w:kern w:val="0"/>
          <w:highlight w:val="none"/>
          <w:lang w:val="zh-CN"/>
        </w:rPr>
      </w:pPr>
      <w:r>
        <w:rPr>
          <w:color w:val="auto"/>
          <w:kern w:val="0"/>
          <w:highlight w:val="none"/>
          <w:lang w:val="zh-CN"/>
        </w:rPr>
        <w:t>联合体成员名称(公章)：</w:t>
      </w:r>
    </w:p>
    <w:p w14:paraId="40C85AB3">
      <w:pPr>
        <w:snapToGrid w:val="0"/>
        <w:ind w:firstLine="4410" w:firstLineChars="2100"/>
        <w:rPr>
          <w:color w:val="auto"/>
          <w:kern w:val="0"/>
          <w:highlight w:val="none"/>
          <w:lang w:val="zh-CN"/>
        </w:rPr>
      </w:pPr>
      <w:r>
        <w:rPr>
          <w:color w:val="auto"/>
          <w:kern w:val="0"/>
          <w:highlight w:val="none"/>
          <w:lang w:val="zh-CN"/>
        </w:rPr>
        <w:t>联合体成员名称(公章)：</w:t>
      </w:r>
    </w:p>
    <w:p w14:paraId="0039DFF9">
      <w:pPr>
        <w:snapToGrid w:val="0"/>
        <w:ind w:firstLine="5040" w:firstLineChars="2400"/>
        <w:rPr>
          <w:color w:val="auto"/>
          <w:highlight w:val="none"/>
        </w:rPr>
      </w:pPr>
      <w:r>
        <w:rPr>
          <w:color w:val="auto"/>
          <w:kern w:val="0"/>
          <w:highlight w:val="none"/>
          <w:lang w:val="zh-CN"/>
        </w:rPr>
        <w:t>……</w:t>
      </w:r>
    </w:p>
    <w:p w14:paraId="01166885">
      <w:pPr>
        <w:snapToGrid w:val="0"/>
        <w:ind w:firstLine="420"/>
        <w:rPr>
          <w:rFonts w:hint="eastAsia" w:ascii="微软雅黑" w:hAnsi="微软雅黑" w:cs="仿宋_GB2312"/>
          <w:color w:val="auto"/>
          <w:szCs w:val="21"/>
          <w:highlight w:val="none"/>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color w:val="auto"/>
          <w:kern w:val="0"/>
          <w:highlight w:val="none"/>
          <w:lang w:val="zh-CN"/>
        </w:rPr>
        <w:t xml:space="preserve">                                               日期：  年  月   日</w:t>
      </w:r>
    </w:p>
    <w:p w14:paraId="734CDD6D">
      <w:pPr>
        <w:pStyle w:val="122"/>
        <w:ind w:firstLine="420"/>
        <w:jc w:val="center"/>
        <w:rPr>
          <w:rFonts w:hint="eastAsia" w:ascii="微软雅黑" w:hAnsi="微软雅黑" w:eastAsia="微软雅黑"/>
          <w:color w:val="auto"/>
          <w:sz w:val="21"/>
          <w:szCs w:val="21"/>
          <w:highlight w:val="none"/>
        </w:rPr>
      </w:pPr>
    </w:p>
    <w:p w14:paraId="04653818">
      <w:pPr>
        <w:ind w:firstLine="420"/>
        <w:rPr>
          <w:rFonts w:hint="eastAsia" w:ascii="微软雅黑" w:hAnsi="微软雅黑" w:cs="仿宋_GB2312"/>
          <w:b/>
          <w:bCs/>
          <w:color w:val="auto"/>
          <w:szCs w:val="21"/>
          <w:highlight w:val="none"/>
        </w:rPr>
      </w:pPr>
      <w:r>
        <w:rPr>
          <w:rFonts w:hint="eastAsia" w:ascii="微软雅黑" w:hAnsi="微软雅黑" w:cs="仿宋_GB2312"/>
          <w:b/>
          <w:bCs/>
          <w:color w:val="auto"/>
          <w:szCs w:val="21"/>
          <w:highlight w:val="none"/>
        </w:rPr>
        <w:t>商务技术文件部分</w:t>
      </w:r>
    </w:p>
    <w:p w14:paraId="392CE8BD">
      <w:pPr>
        <w:ind w:firstLine="420"/>
        <w:jc w:val="center"/>
        <w:outlineLvl w:val="0"/>
        <w:rPr>
          <w:rFonts w:hint="eastAsia" w:ascii="微软雅黑" w:hAnsi="微软雅黑" w:cs="宋体"/>
          <w:b/>
          <w:color w:val="auto"/>
          <w:kern w:val="0"/>
          <w:szCs w:val="21"/>
          <w:highlight w:val="none"/>
        </w:rPr>
      </w:pPr>
      <w:bookmarkStart w:id="198" w:name="_Toc169015148"/>
      <w:bookmarkStart w:id="199" w:name="_Toc16145"/>
      <w:bookmarkStart w:id="200" w:name="_Toc21948"/>
      <w:bookmarkStart w:id="201" w:name="_Toc164943225"/>
      <w:r>
        <w:rPr>
          <w:rFonts w:hint="eastAsia" w:ascii="微软雅黑" w:hAnsi="微软雅黑" w:cs="宋体"/>
          <w:b/>
          <w:color w:val="auto"/>
          <w:kern w:val="0"/>
          <w:szCs w:val="21"/>
          <w:highlight w:val="none"/>
        </w:rPr>
        <w:t>目录</w:t>
      </w:r>
      <w:bookmarkEnd w:id="198"/>
      <w:bookmarkEnd w:id="199"/>
      <w:bookmarkEnd w:id="200"/>
      <w:bookmarkEnd w:id="201"/>
    </w:p>
    <w:p w14:paraId="72EB1190">
      <w:pPr>
        <w:numPr>
          <w:ilvl w:val="0"/>
          <w:numId w:val="43"/>
        </w:numPr>
        <w:ind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投标函……………………………………………………………………（页码）</w:t>
      </w:r>
    </w:p>
    <w:p w14:paraId="7014F7E6">
      <w:pPr>
        <w:numPr>
          <w:ilvl w:val="0"/>
          <w:numId w:val="43"/>
        </w:numPr>
        <w:ind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法定代表人（负责人）授权委托书………………………………（页码）</w:t>
      </w:r>
    </w:p>
    <w:p w14:paraId="7BAB2D1C">
      <w:pPr>
        <w:ind w:firstLine="420"/>
        <w:jc w:val="both"/>
        <w:rPr>
          <w:rFonts w:hint="eastAsia" w:ascii="微软雅黑" w:hAnsi="微软雅黑"/>
          <w:color w:val="auto"/>
          <w:szCs w:val="21"/>
          <w:highlight w:val="none"/>
        </w:rPr>
      </w:pPr>
      <w:r>
        <w:rPr>
          <w:rFonts w:hint="eastAsia" w:ascii="微软雅黑" w:hAnsi="微软雅黑" w:cs="宋体"/>
          <w:color w:val="auto"/>
          <w:szCs w:val="21"/>
          <w:highlight w:val="none"/>
        </w:rPr>
        <w:t>（3）政府采购活动现场确认声明书………………………………………（页码）</w:t>
      </w:r>
    </w:p>
    <w:p w14:paraId="6A6E1624">
      <w:pPr>
        <w:ind w:firstLine="42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（4）符合性审查资料…………………………………………………………（页码）</w:t>
      </w:r>
    </w:p>
    <w:p w14:paraId="1DC22554">
      <w:pPr>
        <w:ind w:firstLine="42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（5）评分对应表………………………………………………………………（页码）</w:t>
      </w:r>
    </w:p>
    <w:p w14:paraId="2D016A82">
      <w:pPr>
        <w:ind w:firstLine="42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（6）商务响应表………………………………………………………………（页码）</w:t>
      </w:r>
    </w:p>
    <w:p w14:paraId="7AB81438">
      <w:pPr>
        <w:ind w:firstLine="420"/>
        <w:jc w:val="both"/>
        <w:rPr>
          <w:rFonts w:hint="eastAsia" w:ascii="微软雅黑" w:hAnsi="微软雅黑" w:cs="仿宋_GB2312"/>
          <w:b/>
          <w:color w:val="auto"/>
          <w:kern w:val="0"/>
          <w:szCs w:val="21"/>
          <w:highlight w:val="none"/>
        </w:rPr>
      </w:pP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7</w:t>
      </w:r>
      <w:r>
        <w:rPr>
          <w:rFonts w:hint="eastAsia" w:ascii="微软雅黑" w:hAnsi="微软雅黑" w:cs="宋体"/>
          <w:color w:val="auto"/>
          <w:szCs w:val="21"/>
          <w:highlight w:val="none"/>
          <w:lang w:val="zh-CN"/>
        </w:rPr>
        <w:t>）评标标准相应的商务技术资料</w:t>
      </w:r>
      <w:r>
        <w:rPr>
          <w:rFonts w:hint="eastAsia" w:ascii="微软雅黑" w:hAnsi="微软雅黑" w:cs="宋体"/>
          <w:color w:val="auto"/>
          <w:szCs w:val="21"/>
          <w:highlight w:val="none"/>
        </w:rPr>
        <w:t>………………………………………（页码）</w:t>
      </w:r>
    </w:p>
    <w:p w14:paraId="58478E52">
      <w:pPr>
        <w:snapToGrid w:val="0"/>
        <w:spacing w:before="120" w:beforeLines="50" w:after="50"/>
        <w:ind w:firstLine="420"/>
        <w:jc w:val="center"/>
        <w:rPr>
          <w:rFonts w:hint="eastAsia" w:ascii="宋体" w:hAnsi="宋体"/>
          <w:b/>
          <w:color w:val="auto"/>
          <w:szCs w:val="21"/>
          <w:highlight w:val="none"/>
        </w:rPr>
        <w:sectPr>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p>
    <w:p w14:paraId="36E80320">
      <w:pPr>
        <w:snapToGrid w:val="0"/>
        <w:spacing w:before="120" w:beforeLines="50" w:after="50"/>
        <w:ind w:firstLine="420"/>
        <w:jc w:val="center"/>
        <w:outlineLvl w:val="1"/>
        <w:rPr>
          <w:rFonts w:hint="eastAsia" w:ascii="宋体" w:hAnsi="宋体"/>
          <w:b/>
          <w:color w:val="auto"/>
          <w:szCs w:val="21"/>
          <w:highlight w:val="none"/>
        </w:rPr>
      </w:pPr>
      <w:bookmarkStart w:id="202" w:name="_Toc9182"/>
      <w:r>
        <w:rPr>
          <w:rFonts w:hint="eastAsia" w:ascii="宋体" w:hAnsi="宋体"/>
          <w:b/>
          <w:color w:val="auto"/>
          <w:szCs w:val="21"/>
          <w:highlight w:val="none"/>
        </w:rPr>
        <w:t>一、投标函</w:t>
      </w:r>
      <w:bookmarkEnd w:id="202"/>
    </w:p>
    <w:p w14:paraId="6053BC9F">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u w:val="single"/>
        </w:rPr>
        <w:t>（采购人）、（采购代理机构）</w:t>
      </w:r>
      <w:r>
        <w:rPr>
          <w:rFonts w:hint="eastAsia" w:ascii="微软雅黑" w:hAnsi="微软雅黑" w:cs="宋体"/>
          <w:color w:val="auto"/>
          <w:szCs w:val="21"/>
          <w:highlight w:val="none"/>
        </w:rPr>
        <w:t>：</w:t>
      </w:r>
    </w:p>
    <w:p w14:paraId="289B47E9">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我方参加你方组织的（项目名称）【项目编号】招标的有关活动，并对此项目进行投标。为此：</w:t>
      </w:r>
    </w:p>
    <w:p w14:paraId="5593963B">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1、我方承诺投标有效期从提交投标文件的截止之日起天（不少于90天），本投标文件在投标有效期满之前均具有约束力。</w:t>
      </w:r>
    </w:p>
    <w:p w14:paraId="015FD04E">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2、我方的投标文件包括以下内容：</w:t>
      </w:r>
    </w:p>
    <w:p w14:paraId="1E41798B">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2.1资格文件：</w:t>
      </w:r>
    </w:p>
    <w:p w14:paraId="58A92E70">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2.1.1符合参加政府采购活动应当具备的一般条件的承诺函；</w:t>
      </w:r>
    </w:p>
    <w:p w14:paraId="0E5018B3">
      <w:pPr>
        <w:snapToGrid w:val="0"/>
        <w:ind w:left="420" w:leftChars="200" w:firstLine="420"/>
        <w:rPr>
          <w:rFonts w:hint="eastAsia" w:ascii="微软雅黑" w:hAnsi="微软雅黑" w:cs="宋体"/>
          <w:color w:val="auto"/>
          <w:kern w:val="0"/>
          <w:szCs w:val="21"/>
          <w:highlight w:val="none"/>
        </w:rPr>
      </w:pPr>
      <w:r>
        <w:rPr>
          <w:rFonts w:hint="eastAsia" w:ascii="微软雅黑" w:hAnsi="微软雅黑" w:cs="宋体"/>
          <w:color w:val="auto"/>
          <w:szCs w:val="21"/>
          <w:highlight w:val="none"/>
        </w:rPr>
        <w:t>2.1.2</w:t>
      </w:r>
      <w:r>
        <w:rPr>
          <w:rFonts w:hint="eastAsia" w:ascii="微软雅黑" w:hAnsi="微软雅黑" w:cs="宋体"/>
          <w:color w:val="auto"/>
          <w:kern w:val="0"/>
          <w:szCs w:val="21"/>
          <w:highlight w:val="none"/>
        </w:rPr>
        <w:t>企业法人营业执照副本复印件；</w:t>
      </w:r>
    </w:p>
    <w:p w14:paraId="183A589E">
      <w:pPr>
        <w:snapToGrid w:val="0"/>
        <w:ind w:left="420" w:leftChars="200" w:firstLine="420"/>
        <w:rPr>
          <w:rFonts w:hint="eastAsia" w:ascii="微软雅黑" w:hAnsi="微软雅黑" w:cs="宋体"/>
          <w:color w:val="auto"/>
          <w:kern w:val="0"/>
          <w:szCs w:val="21"/>
          <w:highlight w:val="none"/>
        </w:rPr>
      </w:pPr>
      <w:r>
        <w:rPr>
          <w:rFonts w:hint="eastAsia" w:ascii="微软雅黑" w:hAnsi="微软雅黑" w:cs="宋体"/>
          <w:color w:val="auto"/>
          <w:szCs w:val="21"/>
          <w:highlight w:val="none"/>
        </w:rPr>
        <w:t>2.1.3</w:t>
      </w:r>
      <w:r>
        <w:rPr>
          <w:rFonts w:hint="eastAsia" w:ascii="微软雅黑" w:hAnsi="微软雅黑" w:cs="宋体"/>
          <w:color w:val="auto"/>
          <w:kern w:val="0"/>
          <w:szCs w:val="21"/>
          <w:highlight w:val="none"/>
        </w:rPr>
        <w:t>特定资格要求证明材料；</w:t>
      </w:r>
    </w:p>
    <w:p w14:paraId="39BEE4ED">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2.1.4联合体协议（如是）。</w:t>
      </w:r>
    </w:p>
    <w:p w14:paraId="3B228D52">
      <w:pPr>
        <w:snapToGrid w:val="0"/>
        <w:ind w:left="210" w:leftChars="100" w:firstLine="420"/>
        <w:rPr>
          <w:rFonts w:hint="eastAsia" w:ascii="微软雅黑" w:hAnsi="微软雅黑" w:cs="宋体"/>
          <w:color w:val="auto"/>
          <w:szCs w:val="21"/>
          <w:highlight w:val="none"/>
          <w:lang w:val="zh-CN"/>
        </w:rPr>
      </w:pP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2商务技术</w:t>
      </w:r>
      <w:r>
        <w:rPr>
          <w:rFonts w:hint="eastAsia" w:ascii="微软雅黑" w:hAnsi="微软雅黑" w:cs="宋体"/>
          <w:color w:val="auto"/>
          <w:szCs w:val="21"/>
          <w:highlight w:val="none"/>
          <w:lang w:val="zh-CN"/>
        </w:rPr>
        <w:t>文件：</w:t>
      </w:r>
    </w:p>
    <w:p w14:paraId="5C3A58E0">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2.2.1投标函；</w:t>
      </w:r>
    </w:p>
    <w:p w14:paraId="027CA111">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2.2.2授权委托书或法定代表人（负责人）（单位负责人）身份证明；</w:t>
      </w:r>
    </w:p>
    <w:p w14:paraId="6CBD08C0">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2.2.3政府采购活动现场确认声明书；</w:t>
      </w:r>
    </w:p>
    <w:p w14:paraId="7A853D18">
      <w:pPr>
        <w:snapToGrid w:val="0"/>
        <w:ind w:firstLine="840" w:firstLineChars="400"/>
        <w:rPr>
          <w:rFonts w:hint="eastAsia" w:ascii="微软雅黑" w:hAnsi="微软雅黑" w:cs="宋体"/>
          <w:color w:val="auto"/>
          <w:szCs w:val="21"/>
          <w:highlight w:val="none"/>
        </w:rPr>
      </w:pPr>
      <w:r>
        <w:rPr>
          <w:rFonts w:hint="eastAsia" w:ascii="微软雅黑" w:hAnsi="微软雅黑" w:cs="宋体"/>
          <w:color w:val="auto"/>
          <w:szCs w:val="21"/>
          <w:highlight w:val="none"/>
        </w:rPr>
        <w:t>2.2.4符合性审查资料；</w:t>
      </w:r>
    </w:p>
    <w:p w14:paraId="17C07ACF">
      <w:pPr>
        <w:snapToGrid w:val="0"/>
        <w:ind w:firstLine="840" w:firstLineChars="400"/>
        <w:rPr>
          <w:rFonts w:hint="eastAsia" w:ascii="微软雅黑" w:hAnsi="微软雅黑" w:cs="仿宋_GB2312"/>
          <w:color w:val="auto"/>
          <w:szCs w:val="21"/>
          <w:highlight w:val="none"/>
        </w:rPr>
      </w:pPr>
      <w:r>
        <w:rPr>
          <w:rFonts w:hint="eastAsia" w:ascii="微软雅黑" w:hAnsi="微软雅黑" w:cs="宋体"/>
          <w:color w:val="auto"/>
          <w:szCs w:val="21"/>
          <w:highlight w:val="none"/>
        </w:rPr>
        <w:t>2.2.5商</w:t>
      </w:r>
      <w:r>
        <w:rPr>
          <w:rFonts w:hint="eastAsia" w:ascii="微软雅黑" w:hAnsi="微软雅黑"/>
          <w:color w:val="auto"/>
          <w:szCs w:val="21"/>
          <w:highlight w:val="none"/>
        </w:rPr>
        <w:t>务响应表</w:t>
      </w:r>
      <w:r>
        <w:rPr>
          <w:rFonts w:ascii="微软雅黑" w:hAnsi="微软雅黑" w:cs="仿宋_GB2312"/>
          <w:color w:val="auto"/>
          <w:szCs w:val="21"/>
          <w:highlight w:val="none"/>
        </w:rPr>
        <w:t>；</w:t>
      </w:r>
    </w:p>
    <w:p w14:paraId="3F897FCB">
      <w:pPr>
        <w:snapToGrid w:val="0"/>
        <w:ind w:firstLine="840" w:firstLineChars="400"/>
        <w:rPr>
          <w:rFonts w:hint="eastAsia" w:ascii="微软雅黑" w:hAnsi="微软雅黑" w:cs="宋体"/>
          <w:color w:val="auto"/>
          <w:szCs w:val="21"/>
          <w:highlight w:val="none"/>
        </w:rPr>
      </w:pPr>
      <w:r>
        <w:rPr>
          <w:rFonts w:hint="eastAsia" w:ascii="微软雅黑" w:hAnsi="微软雅黑" w:cs="宋体"/>
          <w:color w:val="auto"/>
          <w:szCs w:val="21"/>
          <w:highlight w:val="none"/>
        </w:rPr>
        <w:t>2.2.6技术响应表；</w:t>
      </w:r>
    </w:p>
    <w:p w14:paraId="1B553E7A">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2.2.7评标标准相应的商务技术资料；</w:t>
      </w:r>
    </w:p>
    <w:p w14:paraId="7531DC88">
      <w:pPr>
        <w:snapToGrid w:val="0"/>
        <w:ind w:firstLine="840" w:firstLineChars="400"/>
        <w:rPr>
          <w:rFonts w:hint="eastAsia" w:ascii="微软雅黑" w:hAnsi="微软雅黑" w:cs="宋体"/>
          <w:color w:val="auto"/>
          <w:szCs w:val="21"/>
          <w:highlight w:val="none"/>
        </w:rPr>
      </w:pPr>
      <w:r>
        <w:rPr>
          <w:rFonts w:hint="eastAsia" w:ascii="微软雅黑" w:hAnsi="微软雅黑" w:cs="宋体"/>
          <w:color w:val="auto"/>
          <w:szCs w:val="21"/>
          <w:highlight w:val="none"/>
        </w:rPr>
        <w:t>2.2.8评分对应表；</w:t>
      </w:r>
    </w:p>
    <w:p w14:paraId="44CBBB49">
      <w:pPr>
        <w:snapToGrid w:val="0"/>
        <w:ind w:firstLine="840" w:firstLineChars="400"/>
        <w:rPr>
          <w:rFonts w:hint="eastAsia" w:ascii="微软雅黑" w:hAnsi="微软雅黑" w:cs="宋体"/>
          <w:color w:val="auto"/>
          <w:szCs w:val="21"/>
          <w:highlight w:val="none"/>
        </w:rPr>
      </w:pPr>
      <w:r>
        <w:rPr>
          <w:rFonts w:ascii="微软雅黑" w:hAnsi="微软雅黑" w:cs="宋体"/>
          <w:color w:val="auto"/>
          <w:szCs w:val="21"/>
          <w:highlight w:val="none"/>
        </w:rPr>
        <w:t>2.2.</w:t>
      </w:r>
      <w:r>
        <w:rPr>
          <w:rFonts w:hint="eastAsia" w:ascii="微软雅黑" w:hAnsi="微软雅黑" w:cs="宋体"/>
          <w:color w:val="auto"/>
          <w:szCs w:val="21"/>
          <w:highlight w:val="none"/>
        </w:rPr>
        <w:t>9供应商认为需要提供的其他文件及资料（格式自拟）。</w:t>
      </w:r>
    </w:p>
    <w:p w14:paraId="4A348757">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3报价文件</w:t>
      </w:r>
    </w:p>
    <w:p w14:paraId="76BB6C23">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2.3.1开标一览表（报价表）；</w:t>
      </w:r>
    </w:p>
    <w:p w14:paraId="1153CE1F">
      <w:pPr>
        <w:snapToGrid w:val="0"/>
        <w:ind w:left="420" w:leftChars="200" w:firstLine="420"/>
        <w:rPr>
          <w:rFonts w:hint="eastAsia" w:ascii="微软雅黑" w:hAnsi="微软雅黑" w:cs="宋体"/>
          <w:color w:val="auto"/>
          <w:kern w:val="0"/>
          <w:szCs w:val="21"/>
          <w:highlight w:val="none"/>
        </w:rPr>
      </w:pPr>
      <w:r>
        <w:rPr>
          <w:rFonts w:hint="eastAsia" w:ascii="微软雅黑" w:hAnsi="微软雅黑" w:cs="宋体"/>
          <w:color w:val="auto"/>
          <w:szCs w:val="21"/>
          <w:highlight w:val="none"/>
        </w:rPr>
        <w:t>2.3.2</w:t>
      </w:r>
      <w:r>
        <w:rPr>
          <w:rFonts w:hint="eastAsia" w:ascii="微软雅黑" w:hAnsi="微软雅黑" w:cs="宋体"/>
          <w:color w:val="auto"/>
          <w:kern w:val="0"/>
          <w:szCs w:val="21"/>
          <w:highlight w:val="none"/>
        </w:rPr>
        <w:t>落实政府采购政策需满足的资格要求（中小企业声明函等证明材料）；</w:t>
      </w:r>
    </w:p>
    <w:p w14:paraId="62BCFA84">
      <w:pPr>
        <w:ind w:firstLine="840" w:firstLineChars="400"/>
        <w:rPr>
          <w:rFonts w:hint="eastAsia" w:ascii="微软雅黑" w:hAnsi="微软雅黑"/>
          <w:color w:val="auto"/>
          <w:szCs w:val="21"/>
          <w:highlight w:val="none"/>
        </w:rPr>
      </w:pPr>
      <w:r>
        <w:rPr>
          <w:rFonts w:hint="eastAsia" w:ascii="微软雅黑" w:hAnsi="微软雅黑" w:cs="宋体"/>
          <w:color w:val="auto"/>
          <w:szCs w:val="21"/>
          <w:highlight w:val="none"/>
        </w:rPr>
        <w:t>2.3.3</w:t>
      </w:r>
      <w:r>
        <w:rPr>
          <w:rFonts w:hint="eastAsia" w:ascii="微软雅黑" w:hAnsi="微软雅黑"/>
          <w:color w:val="auto"/>
          <w:szCs w:val="21"/>
          <w:highlight w:val="none"/>
        </w:rPr>
        <w:t>投标供应商针对报价需要说明的其他文件和说明。</w:t>
      </w:r>
    </w:p>
    <w:p w14:paraId="77B47762">
      <w:pPr>
        <w:snapToGrid w:val="0"/>
        <w:ind w:left="420" w:leftChars="200" w:firstLine="420"/>
        <w:rPr>
          <w:rFonts w:hint="eastAsia" w:ascii="微软雅黑" w:hAnsi="微软雅黑" w:cs="宋体"/>
          <w:color w:val="auto"/>
          <w:szCs w:val="21"/>
          <w:highlight w:val="none"/>
        </w:rPr>
      </w:pPr>
      <w:r>
        <w:rPr>
          <w:rFonts w:hint="eastAsia" w:ascii="微软雅黑" w:hAnsi="微软雅黑"/>
          <w:b/>
          <w:bCs/>
          <w:color w:val="auto"/>
          <w:szCs w:val="21"/>
          <w:highlight w:val="none"/>
        </w:rPr>
        <w:t>法定代表人（负责人）授权委托书、投标函、开标一览表必须有法定代表人（负责人）或被</w:t>
      </w:r>
      <w:r>
        <w:rPr>
          <w:rFonts w:hint="eastAsia" w:ascii="微软雅黑" w:hAnsi="微软雅黑"/>
          <w:b/>
          <w:color w:val="auto"/>
          <w:szCs w:val="21"/>
          <w:highlight w:val="none"/>
        </w:rPr>
        <w:t>授权</w:t>
      </w:r>
      <w:r>
        <w:rPr>
          <w:rFonts w:hint="eastAsia" w:ascii="微软雅黑" w:hAnsi="微软雅黑"/>
          <w:b/>
          <w:bCs/>
          <w:color w:val="auto"/>
          <w:szCs w:val="21"/>
          <w:highlight w:val="none"/>
        </w:rPr>
        <w:t>人签字（或签章）并加盖单位公章。</w:t>
      </w:r>
    </w:p>
    <w:p w14:paraId="426C44F0">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3、我方承诺除商务技术响应表列出的偏离外，我方响应招标文件的全部要求。</w:t>
      </w:r>
    </w:p>
    <w:p w14:paraId="53CC0574">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4、如我方中标，我方承诺：</w:t>
      </w:r>
    </w:p>
    <w:p w14:paraId="37D32FF2">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4.1在收到中标通知书后，在中标通知书规定的期限内与你方签订合同； </w:t>
      </w:r>
    </w:p>
    <w:p w14:paraId="6BD7168A">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4.2在签订合同时不向你方提出附加条件； </w:t>
      </w:r>
    </w:p>
    <w:p w14:paraId="629EF0D5">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4.3按照招标文件要求提交履约保证金； </w:t>
      </w:r>
    </w:p>
    <w:p w14:paraId="6AFC5912">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4.4在合同约定的期限内完成合同规定的全部义务。 </w:t>
      </w:r>
    </w:p>
    <w:p w14:paraId="74E21814">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5、其他补充说明:。</w:t>
      </w:r>
    </w:p>
    <w:p w14:paraId="438A7BEA">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法定代表人（负责人）或</w:t>
      </w:r>
      <w:r>
        <w:rPr>
          <w:rFonts w:hint="eastAsia" w:ascii="微软雅黑" w:hAnsi="微软雅黑"/>
          <w:color w:val="auto"/>
          <w:szCs w:val="21"/>
          <w:highlight w:val="none"/>
        </w:rPr>
        <w:t>被授权人签字（或盖章）：</w:t>
      </w:r>
    </w:p>
    <w:p w14:paraId="2AA54FF8">
      <w:pPr>
        <w:pStyle w:val="122"/>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48C3FBB4">
      <w:pPr>
        <w:pStyle w:val="122"/>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74044A7E">
      <w:pPr>
        <w:snapToGrid w:val="0"/>
        <w:spacing w:before="120" w:beforeLines="50" w:after="50"/>
        <w:ind w:firstLine="640"/>
        <w:jc w:val="center"/>
        <w:rPr>
          <w:rFonts w:hint="eastAsia" w:ascii="宋体" w:hAnsi="宋体"/>
          <w:b/>
          <w:color w:val="auto"/>
          <w:sz w:val="32"/>
          <w:szCs w:val="32"/>
          <w:highlight w:val="none"/>
        </w:rPr>
      </w:pPr>
    </w:p>
    <w:p w14:paraId="780FA8A9">
      <w:pPr>
        <w:snapToGrid w:val="0"/>
        <w:spacing w:before="120" w:beforeLines="50" w:after="50"/>
        <w:ind w:firstLine="640"/>
        <w:jc w:val="center"/>
        <w:rPr>
          <w:rFonts w:hint="eastAsia" w:ascii="宋体" w:hAnsi="宋体"/>
          <w:b/>
          <w:color w:val="auto"/>
          <w:sz w:val="32"/>
          <w:szCs w:val="32"/>
          <w:highlight w:val="none"/>
        </w:rPr>
        <w:sectPr>
          <w:type w:val="nextColumn"/>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p>
    <w:p w14:paraId="14896479">
      <w:pPr>
        <w:snapToGrid w:val="0"/>
        <w:spacing w:before="120" w:beforeLines="50" w:after="50"/>
        <w:ind w:firstLine="420"/>
        <w:jc w:val="center"/>
        <w:outlineLvl w:val="1"/>
        <w:rPr>
          <w:rFonts w:hint="eastAsia" w:ascii="微软雅黑" w:hAnsi="微软雅黑"/>
          <w:b/>
          <w:color w:val="auto"/>
          <w:szCs w:val="21"/>
          <w:highlight w:val="none"/>
        </w:rPr>
      </w:pPr>
      <w:bookmarkStart w:id="203" w:name="_Toc8363"/>
      <w:r>
        <w:rPr>
          <w:rFonts w:hint="eastAsia" w:ascii="微软雅黑" w:hAnsi="微软雅黑"/>
          <w:b/>
          <w:color w:val="auto"/>
          <w:szCs w:val="21"/>
          <w:highlight w:val="none"/>
        </w:rPr>
        <w:t>二、法定代表人（负责人）授权委托书</w:t>
      </w:r>
      <w:bookmarkEnd w:id="203"/>
    </w:p>
    <w:p w14:paraId="09E4C143">
      <w:pPr>
        <w:snapToGrid w:val="0"/>
        <w:ind w:firstLine="420"/>
        <w:rPr>
          <w:rFonts w:hint="eastAsia" w:ascii="微软雅黑" w:hAnsi="微软雅黑" w:cs="宋体"/>
          <w:color w:val="auto"/>
          <w:szCs w:val="21"/>
          <w:highlight w:val="none"/>
          <w:u w:val="single"/>
        </w:rPr>
      </w:pPr>
      <w:r>
        <w:rPr>
          <w:rFonts w:hint="eastAsia" w:ascii="微软雅黑" w:hAnsi="微软雅黑" w:cs="宋体"/>
          <w:color w:val="auto"/>
          <w:szCs w:val="21"/>
          <w:highlight w:val="none"/>
          <w:u w:val="single"/>
        </w:rPr>
        <w:t>（采购人）、（采购代理机构）：</w:t>
      </w:r>
    </w:p>
    <w:p w14:paraId="1B279E14">
      <w:pPr>
        <w:snapToGrid w:val="0"/>
        <w:spacing w:before="120" w:beforeLines="50" w:after="50"/>
        <w:ind w:firstLine="630" w:firstLineChars="300"/>
        <w:rPr>
          <w:rFonts w:hint="eastAsia" w:ascii="宋体" w:hAnsi="宋体"/>
          <w:color w:val="auto"/>
          <w:szCs w:val="20"/>
          <w:highlight w:val="none"/>
        </w:rPr>
      </w:pPr>
      <w:r>
        <w:rPr>
          <w:rFonts w:hint="eastAsia" w:ascii="宋体" w:hAnsi="宋体"/>
          <w:color w:val="auto"/>
          <w:highlight w:val="none"/>
        </w:rPr>
        <w:t>我（姓名）系（投标供应商名称）的法定代表人（负责人），现授权委托（姓名）以我方的名义参加</w:t>
      </w:r>
      <w:r>
        <w:rPr>
          <w:rFonts w:hint="eastAsia" w:ascii="宋体" w:hAnsi="宋体"/>
          <w:color w:val="auto"/>
          <w:highlight w:val="none"/>
          <w:u w:val="single"/>
        </w:rPr>
        <w:t xml:space="preserve">                项目</w:t>
      </w:r>
      <w:r>
        <w:rPr>
          <w:rFonts w:hint="eastAsia" w:ascii="宋体" w:hAnsi="宋体"/>
          <w:color w:val="auto"/>
          <w:highlight w:val="none"/>
        </w:rPr>
        <w:t>的投标活动，并代表我方全权办理针对上述项目的投标、开标、评标、签约等具体事务和签署相关文件。</w:t>
      </w:r>
    </w:p>
    <w:p w14:paraId="13B6137A">
      <w:pPr>
        <w:snapToGrid w:val="0"/>
        <w:spacing w:before="120" w:beforeLines="50" w:after="50"/>
        <w:ind w:firstLine="420"/>
        <w:rPr>
          <w:rFonts w:hint="eastAsia" w:ascii="宋体" w:hAnsi="宋体"/>
          <w:color w:val="auto"/>
          <w:szCs w:val="20"/>
          <w:highlight w:val="none"/>
        </w:rPr>
      </w:pPr>
      <w:r>
        <w:rPr>
          <w:rFonts w:hint="eastAsia" w:ascii="宋体" w:hAnsi="宋体"/>
          <w:color w:val="auto"/>
          <w:highlight w:val="none"/>
        </w:rPr>
        <w:t>我方对被授权人的签字事项负全部责任。</w:t>
      </w:r>
    </w:p>
    <w:p w14:paraId="10E43FFD">
      <w:pPr>
        <w:snapToGrid w:val="0"/>
        <w:spacing w:before="120" w:beforeLines="50" w:after="50"/>
        <w:ind w:firstLine="420"/>
        <w:rPr>
          <w:rFonts w:hint="eastAsia" w:ascii="宋体" w:hAnsi="宋体"/>
          <w:color w:val="auto"/>
          <w:szCs w:val="20"/>
          <w:highlight w:val="none"/>
        </w:rPr>
      </w:pPr>
      <w:r>
        <w:rPr>
          <w:rFonts w:hint="eastAsia" w:ascii="宋体" w:hAnsi="宋体"/>
          <w:color w:val="auto"/>
          <w:highlight w:val="none"/>
          <w:u w:val="single"/>
        </w:rPr>
        <w:t>在撤销授权的书面通知以前，本授权书一直有效。</w:t>
      </w:r>
      <w:r>
        <w:rPr>
          <w:rFonts w:hint="eastAsia" w:ascii="宋体" w:hAnsi="宋体"/>
          <w:color w:val="auto"/>
          <w:highlight w:val="none"/>
        </w:rPr>
        <w:t>被授权人在授权书有效期内签署的所有文件不因授权的撤销而失效。</w:t>
      </w:r>
    </w:p>
    <w:p w14:paraId="35B1FC2D">
      <w:pPr>
        <w:snapToGrid w:val="0"/>
        <w:spacing w:before="120" w:beforeLines="50" w:after="50"/>
        <w:ind w:firstLine="420"/>
        <w:rPr>
          <w:rFonts w:hint="eastAsia" w:ascii="宋体" w:hAnsi="宋体"/>
          <w:color w:val="auto"/>
          <w:highlight w:val="none"/>
        </w:rPr>
      </w:pPr>
      <w:r>
        <w:rPr>
          <w:rFonts w:hint="eastAsia" w:ascii="宋体" w:hAnsi="宋体"/>
          <w:color w:val="auto"/>
          <w:highlight w:val="none"/>
        </w:rPr>
        <w:t>被授权人无转委托权，特此委托。</w:t>
      </w:r>
    </w:p>
    <w:p w14:paraId="5367C5C2">
      <w:pPr>
        <w:snapToGrid w:val="0"/>
        <w:spacing w:before="120" w:beforeLines="50" w:after="50"/>
        <w:ind w:firstLine="420"/>
        <w:rPr>
          <w:rFonts w:hint="eastAsia" w:ascii="宋体" w:hAnsi="宋体"/>
          <w:color w:val="auto"/>
          <w:highlight w:val="none"/>
        </w:rPr>
      </w:pPr>
      <w:r>
        <w:rPr>
          <w:rFonts w:hint="eastAsia" w:ascii="宋体" w:hAnsi="宋体"/>
          <w:color w:val="auto"/>
          <w:highlight w:val="none"/>
        </w:rPr>
        <w:t>　身份证粘贴处：                   身份证粘贴处：</w:t>
      </w:r>
    </w:p>
    <w:p w14:paraId="1FD4D785">
      <w:pPr>
        <w:snapToGrid w:val="0"/>
        <w:spacing w:before="120" w:beforeLines="50" w:after="50"/>
        <w:ind w:firstLine="420"/>
        <w:rPr>
          <w:rFonts w:hint="eastAsia" w:ascii="宋体" w:hAnsi="宋体"/>
          <w:color w:val="auto"/>
          <w:highlight w:val="none"/>
        </w:rPr>
      </w:pPr>
    </w:p>
    <w:p w14:paraId="6565E5A3">
      <w:pPr>
        <w:snapToGrid w:val="0"/>
        <w:spacing w:before="120" w:beforeLines="50" w:after="50"/>
        <w:ind w:firstLine="420"/>
        <w:rPr>
          <w:rFonts w:hint="eastAsia" w:ascii="宋体" w:hAnsi="宋体"/>
          <w:color w:val="auto"/>
          <w:szCs w:val="21"/>
          <w:highlight w:val="none"/>
          <w:u w:val="single"/>
        </w:rPr>
      </w:pPr>
      <w:r>
        <w:rPr>
          <w:rFonts w:hint="eastAsia" w:ascii="宋体" w:hAnsi="宋体"/>
          <w:color w:val="auto"/>
          <w:szCs w:val="21"/>
          <w:highlight w:val="none"/>
        </w:rPr>
        <w:t>法定代表人（负责人）签字（或盖章）：          被授权人签字（或盖章）：</w:t>
      </w:r>
    </w:p>
    <w:p w14:paraId="6799C3C2">
      <w:pPr>
        <w:snapToGrid w:val="0"/>
        <w:spacing w:before="120" w:beforeLines="50" w:after="50"/>
        <w:ind w:firstLine="420"/>
        <w:rPr>
          <w:rFonts w:hint="eastAsia" w:ascii="宋体" w:hAnsi="宋体"/>
          <w:color w:val="auto"/>
          <w:szCs w:val="21"/>
          <w:highlight w:val="none"/>
          <w:u w:val="single"/>
        </w:rPr>
      </w:pPr>
      <w:r>
        <w:rPr>
          <w:rFonts w:hint="eastAsia" w:ascii="宋体" w:hAnsi="宋体"/>
          <w:color w:val="auto"/>
          <w:szCs w:val="21"/>
          <w:highlight w:val="none"/>
        </w:rPr>
        <w:t>职务：                              职务：</w:t>
      </w:r>
    </w:p>
    <w:p w14:paraId="7965AF19">
      <w:pPr>
        <w:snapToGrid w:val="0"/>
        <w:spacing w:before="120" w:beforeLines="50" w:after="50"/>
        <w:ind w:firstLine="420"/>
        <w:rPr>
          <w:rFonts w:hint="eastAsia" w:ascii="微软雅黑" w:hAnsi="微软雅黑" w:cs="微软雅黑"/>
          <w:color w:val="auto"/>
          <w:szCs w:val="21"/>
          <w:highlight w:val="none"/>
        </w:rPr>
        <w:sectPr>
          <w:type w:val="nextColumn"/>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微软雅黑" w:hAnsi="微软雅黑" w:cs="微软雅黑"/>
          <w:color w:val="auto"/>
          <w:szCs w:val="21"/>
          <w:highlight w:val="none"/>
        </w:rPr>
        <w:t>供应商名称（公章）：               年  月  日</w:t>
      </w:r>
    </w:p>
    <w:p w14:paraId="6DAAC3DF">
      <w:pPr>
        <w:snapToGrid w:val="0"/>
        <w:ind w:firstLine="42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法定代表人</w:t>
      </w:r>
      <w:r>
        <w:rPr>
          <w:rFonts w:hint="eastAsia" w:ascii="微软雅黑" w:hAnsi="微软雅黑" w:cs="微软雅黑"/>
          <w:color w:val="auto"/>
          <w:szCs w:val="21"/>
          <w:highlight w:val="none"/>
        </w:rPr>
        <w:t>（负责人）</w:t>
      </w:r>
      <w:r>
        <w:rPr>
          <w:rFonts w:hint="eastAsia" w:ascii="微软雅黑" w:hAnsi="微软雅黑" w:cs="微软雅黑"/>
          <w:b/>
          <w:color w:val="auto"/>
          <w:szCs w:val="21"/>
          <w:highlight w:val="none"/>
        </w:rPr>
        <w:t>授权委托书格式（联合体投标填写）</w:t>
      </w:r>
    </w:p>
    <w:p w14:paraId="7689F51B">
      <w:pPr>
        <w:snapToGrid w:val="0"/>
        <w:ind w:firstLine="420"/>
        <w:rPr>
          <w:rFonts w:hint="eastAsia" w:ascii="微软雅黑" w:hAnsi="微软雅黑" w:cs="微软雅黑"/>
          <w:b/>
          <w:bCs/>
          <w:color w:val="auto"/>
          <w:szCs w:val="21"/>
          <w:highlight w:val="none"/>
        </w:rPr>
      </w:pPr>
      <w:r>
        <w:rPr>
          <w:rFonts w:hint="eastAsia" w:ascii="微软雅黑" w:hAnsi="微软雅黑" w:cs="微软雅黑"/>
          <w:bCs/>
          <w:color w:val="auto"/>
          <w:szCs w:val="21"/>
          <w:highlight w:val="none"/>
        </w:rPr>
        <w:t>致：</w:t>
      </w:r>
      <w:r>
        <w:rPr>
          <w:rFonts w:hint="eastAsia" w:ascii="微软雅黑" w:hAnsi="微软雅黑" w:cs="微软雅黑"/>
          <w:color w:val="auto"/>
          <w:szCs w:val="21"/>
          <w:highlight w:val="none"/>
        </w:rPr>
        <w:t>（招标采购单位名称）：</w:t>
      </w:r>
    </w:p>
    <w:p w14:paraId="67D83F89">
      <w:pPr>
        <w:snapToGrid w:val="0"/>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我（姓名）系（投标人名称）的法定代表人（负责人）、</w:t>
      </w:r>
    </w:p>
    <w:p w14:paraId="04A15F13">
      <w:pPr>
        <w:snapToGrid w:val="0"/>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我（姓名）系（投标人名称）的法定代表人、</w:t>
      </w:r>
    </w:p>
    <w:p w14:paraId="3C4101C1">
      <w:pPr>
        <w:pStyle w:val="48"/>
        <w:spacing w:before="75" w:beforeAutospacing="0" w:after="0" w:afterAutospacing="0" w:line="300" w:lineRule="atLeast"/>
        <w:ind w:firstLine="420" w:firstLineChars="0"/>
        <w:rPr>
          <w:rFonts w:hint="eastAsia" w:ascii="微软雅黑" w:hAnsi="微软雅黑" w:cs="微软雅黑"/>
          <w:color w:val="auto"/>
          <w:sz w:val="21"/>
          <w:szCs w:val="21"/>
          <w:highlight w:val="none"/>
        </w:rPr>
      </w:pPr>
      <w:r>
        <w:rPr>
          <w:rFonts w:ascii="微软雅黑" w:hAnsi="微软雅黑" w:cs="微软雅黑"/>
          <w:color w:val="auto"/>
          <w:sz w:val="21"/>
          <w:szCs w:val="21"/>
          <w:highlight w:val="none"/>
          <w:lang w:bidi="ar"/>
        </w:rPr>
        <w:t>现授权委托</w:t>
      </w:r>
      <w:r>
        <w:rPr>
          <w:rFonts w:ascii="微软雅黑" w:hAnsi="微软雅黑" w:cs="微软雅黑"/>
          <w:color w:val="auto"/>
          <w:sz w:val="21"/>
          <w:szCs w:val="21"/>
          <w:highlight w:val="none"/>
          <w:u w:val="single"/>
          <w:lang w:bidi="ar"/>
        </w:rPr>
        <w:t>（主办人）</w:t>
      </w:r>
      <w:r>
        <w:rPr>
          <w:rFonts w:ascii="微软雅黑" w:hAnsi="微软雅黑" w:cs="微软雅黑"/>
          <w:color w:val="auto"/>
          <w:sz w:val="21"/>
          <w:szCs w:val="21"/>
          <w:highlight w:val="none"/>
          <w:lang w:bidi="ar"/>
        </w:rPr>
        <w:t>的在职职工</w:t>
      </w:r>
      <w:r>
        <w:rPr>
          <w:rFonts w:ascii="微软雅黑" w:hAnsi="微软雅黑" w:cs="微软雅黑"/>
          <w:color w:val="auto"/>
          <w:sz w:val="21"/>
          <w:szCs w:val="21"/>
          <w:highlight w:val="none"/>
          <w:u w:val="single"/>
          <w:lang w:bidi="ar"/>
        </w:rPr>
        <w:t>（姓名）</w:t>
      </w:r>
      <w:r>
        <w:rPr>
          <w:rFonts w:ascii="微软雅黑" w:hAnsi="微软雅黑" w:cs="微软雅黑"/>
          <w:color w:val="auto"/>
          <w:sz w:val="21"/>
          <w:szCs w:val="21"/>
          <w:highlight w:val="none"/>
          <w:lang w:bidi="ar"/>
        </w:rPr>
        <w:t xml:space="preserve">为联合体代表，以联合体的名义参加               </w:t>
      </w:r>
    </w:p>
    <w:p w14:paraId="47060D86">
      <w:pPr>
        <w:pStyle w:val="48"/>
        <w:spacing w:before="75" w:beforeAutospacing="0" w:after="0" w:afterAutospacing="0" w:line="300" w:lineRule="atLeast"/>
        <w:ind w:firstLine="0" w:firstLineChars="0"/>
        <w:rPr>
          <w:rFonts w:hint="eastAsia" w:ascii="微软雅黑" w:hAnsi="微软雅黑" w:cs="微软雅黑"/>
          <w:color w:val="auto"/>
          <w:sz w:val="21"/>
          <w:szCs w:val="21"/>
          <w:highlight w:val="none"/>
        </w:rPr>
      </w:pPr>
      <w:r>
        <w:rPr>
          <w:rFonts w:ascii="微软雅黑" w:hAnsi="微软雅黑" w:cs="微软雅黑"/>
          <w:color w:val="auto"/>
          <w:spacing w:val="6"/>
          <w:sz w:val="21"/>
          <w:szCs w:val="21"/>
          <w:highlight w:val="none"/>
          <w:lang w:bidi="ar"/>
        </w:rPr>
        <w:t>（编号：</w:t>
      </w:r>
      <w:r>
        <w:rPr>
          <w:rFonts w:ascii="微软雅黑" w:hAnsi="微软雅黑" w:cs="微软雅黑"/>
          <w:color w:val="auto"/>
          <w:spacing w:val="6"/>
          <w:sz w:val="21"/>
          <w:szCs w:val="21"/>
          <w:highlight w:val="none"/>
          <w:u w:val="single"/>
          <w:lang w:bidi="ar"/>
        </w:rPr>
        <w:t xml:space="preserve">                       </w:t>
      </w:r>
      <w:r>
        <w:rPr>
          <w:rFonts w:ascii="微软雅黑" w:hAnsi="微软雅黑" w:cs="微软雅黑"/>
          <w:color w:val="auto"/>
          <w:sz w:val="21"/>
          <w:szCs w:val="21"/>
          <w:highlight w:val="none"/>
          <w:lang w:bidi="ar"/>
        </w:rPr>
        <w:t>的投标活动，并代表联合体各方全权办理针对上述项目的投标、开标、评标、签约等具体事务和签署相关文件。</w:t>
      </w:r>
    </w:p>
    <w:p w14:paraId="6D0F56A9">
      <w:pPr>
        <w:snapToGrid w:val="0"/>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我方对被授权人的签名事项负全部责任。</w:t>
      </w:r>
    </w:p>
    <w:p w14:paraId="0A91A3B7">
      <w:pPr>
        <w:snapToGrid w:val="0"/>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u w:val="single"/>
        </w:rPr>
        <w:t>在撤销授权的书面通知以前，本授权书一直有效。</w:t>
      </w:r>
      <w:r>
        <w:rPr>
          <w:rFonts w:hint="eastAsia" w:ascii="微软雅黑" w:hAnsi="微软雅黑" w:cs="微软雅黑"/>
          <w:color w:val="auto"/>
          <w:szCs w:val="21"/>
          <w:highlight w:val="none"/>
        </w:rPr>
        <w:t>被授权人在授权书有效期内签署的所有文件不因授权的撤销而失效。</w:t>
      </w:r>
    </w:p>
    <w:p w14:paraId="179958A1">
      <w:pPr>
        <w:snapToGrid w:val="0"/>
        <w:spacing w:line="240" w:lineRule="auto"/>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被授权人无转委托权，特此委托。</w:t>
      </w:r>
    </w:p>
    <w:p w14:paraId="20F28837">
      <w:pPr>
        <w:snapToGrid w:val="0"/>
        <w:spacing w:line="240" w:lineRule="auto"/>
        <w:ind w:firstLine="420"/>
        <w:rPr>
          <w:rFonts w:hint="eastAsia" w:ascii="微软雅黑" w:hAnsi="微软雅黑" w:cs="微软雅黑"/>
          <w:color w:val="auto"/>
          <w:szCs w:val="21"/>
          <w:highlight w:val="none"/>
          <w:u w:val="single"/>
        </w:rPr>
      </w:pPr>
      <w:r>
        <w:rPr>
          <w:rFonts w:hint="eastAsia" w:ascii="微软雅黑" w:hAnsi="微软雅黑" w:cs="微软雅黑"/>
          <w:color w:val="auto"/>
          <w:szCs w:val="21"/>
          <w:highlight w:val="none"/>
        </w:rPr>
        <w:t>被授权人签名：</w:t>
      </w:r>
    </w:p>
    <w:p w14:paraId="1D6E75AA">
      <w:pPr>
        <w:snapToGrid w:val="0"/>
        <w:spacing w:line="240" w:lineRule="auto"/>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职务：</w:t>
      </w:r>
    </w:p>
    <w:p w14:paraId="020D73D5">
      <w:pPr>
        <w:snapToGrid w:val="0"/>
        <w:spacing w:line="240" w:lineRule="auto"/>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被授权人身份证号码：</w:t>
      </w:r>
    </w:p>
    <w:p w14:paraId="44A11766">
      <w:pPr>
        <w:snapToGrid w:val="0"/>
        <w:spacing w:line="240" w:lineRule="auto"/>
        <w:ind w:firstLine="420"/>
        <w:rPr>
          <w:rFonts w:hint="eastAsia" w:ascii="微软雅黑" w:hAnsi="微软雅黑" w:cs="微软雅黑"/>
          <w:color w:val="auto"/>
          <w:szCs w:val="21"/>
          <w:highlight w:val="none"/>
          <w:u w:val="single"/>
        </w:rPr>
      </w:pPr>
      <w:r>
        <w:rPr>
          <w:rFonts w:hint="eastAsia" w:ascii="微软雅黑" w:hAnsi="微软雅黑" w:cs="微软雅黑"/>
          <w:color w:val="auto"/>
          <w:szCs w:val="21"/>
          <w:highlight w:val="none"/>
        </w:rPr>
        <w:t>联合体主办人：（盖章）</w:t>
      </w:r>
    </w:p>
    <w:p w14:paraId="1D91843A">
      <w:pPr>
        <w:snapToGrid w:val="0"/>
        <w:spacing w:line="240" w:lineRule="auto"/>
        <w:ind w:firstLine="420"/>
        <w:rPr>
          <w:rFonts w:hint="eastAsia" w:ascii="微软雅黑" w:hAnsi="微软雅黑" w:cs="微软雅黑"/>
          <w:color w:val="auto"/>
          <w:szCs w:val="21"/>
          <w:highlight w:val="none"/>
          <w:u w:val="single"/>
        </w:rPr>
      </w:pPr>
      <w:r>
        <w:rPr>
          <w:rFonts w:hint="eastAsia" w:ascii="微软雅黑" w:hAnsi="微软雅黑" w:cs="微软雅黑"/>
          <w:color w:val="auto"/>
          <w:szCs w:val="21"/>
          <w:highlight w:val="none"/>
          <w:u w:val="single"/>
        </w:rPr>
        <w:t xml:space="preserve">法定代表人（负责人）：（签字）                              </w:t>
      </w:r>
    </w:p>
    <w:p w14:paraId="7B5B188F">
      <w:pPr>
        <w:snapToGrid w:val="0"/>
        <w:spacing w:line="240" w:lineRule="auto"/>
        <w:ind w:firstLine="420"/>
        <w:rPr>
          <w:rFonts w:hint="eastAsia" w:ascii="微软雅黑" w:hAnsi="微软雅黑" w:cs="微软雅黑"/>
          <w:color w:val="auto"/>
          <w:szCs w:val="21"/>
          <w:highlight w:val="none"/>
          <w:u w:val="single"/>
        </w:rPr>
      </w:pPr>
      <w:r>
        <w:rPr>
          <w:rFonts w:hint="eastAsia" w:ascii="微软雅黑" w:hAnsi="微软雅黑" w:cs="微软雅黑"/>
          <w:color w:val="auto"/>
          <w:szCs w:val="21"/>
          <w:highlight w:val="none"/>
          <w:u w:val="single"/>
        </w:rPr>
        <w:t xml:space="preserve">联合体成员：（盖章）                              </w:t>
      </w:r>
    </w:p>
    <w:p w14:paraId="06EBD4A3">
      <w:pPr>
        <w:snapToGrid w:val="0"/>
        <w:spacing w:line="240" w:lineRule="auto"/>
        <w:ind w:firstLine="420"/>
        <w:rPr>
          <w:rFonts w:hint="eastAsia" w:ascii="微软雅黑" w:hAnsi="微软雅黑" w:cs="微软雅黑"/>
          <w:color w:val="auto"/>
          <w:szCs w:val="21"/>
          <w:highlight w:val="none"/>
          <w:u w:val="single"/>
        </w:rPr>
      </w:pPr>
      <w:r>
        <w:rPr>
          <w:rFonts w:hint="eastAsia" w:ascii="微软雅黑" w:hAnsi="微软雅黑" w:cs="微软雅黑"/>
          <w:color w:val="auto"/>
          <w:szCs w:val="21"/>
          <w:highlight w:val="none"/>
          <w:u w:val="single"/>
        </w:rPr>
        <w:t xml:space="preserve">法定代表人：（签字）                              </w:t>
      </w:r>
    </w:p>
    <w:p w14:paraId="07832328">
      <w:pPr>
        <w:snapToGrid w:val="0"/>
        <w:spacing w:line="240" w:lineRule="auto"/>
        <w:ind w:firstLine="840" w:firstLineChars="40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年  月  日</w:t>
      </w:r>
    </w:p>
    <w:p w14:paraId="18352B49">
      <w:pPr>
        <w:snapToGrid w:val="0"/>
        <w:spacing w:line="240" w:lineRule="auto"/>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被授权人身份证复印件</w:t>
      </w:r>
    </w:p>
    <w:p w14:paraId="72D21494">
      <w:pPr>
        <w:snapToGrid w:val="0"/>
        <w:spacing w:before="120" w:beforeLines="50" w:after="50"/>
        <w:ind w:firstLine="420"/>
        <w:rPr>
          <w:rFonts w:hint="eastAsia" w:ascii="宋体" w:hAnsi="宋体"/>
          <w:color w:val="auto"/>
          <w:szCs w:val="21"/>
          <w:highlight w:val="none"/>
        </w:rPr>
      </w:pPr>
    </w:p>
    <w:p w14:paraId="5563F4D9">
      <w:pPr>
        <w:pStyle w:val="3"/>
        <w:ind w:firstLine="480"/>
        <w:rPr>
          <w:rFonts w:hint="eastAsia"/>
          <w:color w:val="auto"/>
          <w:highlight w:val="none"/>
        </w:rPr>
      </w:pPr>
    </w:p>
    <w:p w14:paraId="61B89D64">
      <w:pPr>
        <w:ind w:firstLine="643"/>
        <w:jc w:val="center"/>
        <w:rPr>
          <w:rFonts w:hint="eastAsia" w:ascii="仿宋_GB2312" w:hAnsi="仿宋" w:eastAsia="仿宋_GB2312" w:cs="仿宋_GB2312"/>
          <w:b/>
          <w:color w:val="auto"/>
          <w:kern w:val="0"/>
          <w:sz w:val="32"/>
          <w:szCs w:val="32"/>
          <w:highlight w:val="none"/>
        </w:rPr>
      </w:pPr>
    </w:p>
    <w:p w14:paraId="57714559">
      <w:pPr>
        <w:snapToGrid w:val="0"/>
        <w:spacing w:before="120" w:beforeLines="50" w:after="50"/>
        <w:ind w:firstLine="643"/>
        <w:jc w:val="center"/>
        <w:rPr>
          <w:rFonts w:hint="eastAsia" w:ascii="宋体" w:hAnsi="宋体" w:eastAsia="宋体"/>
          <w:b/>
          <w:color w:val="auto"/>
          <w:sz w:val="32"/>
          <w:szCs w:val="32"/>
          <w:highlight w:val="none"/>
        </w:rPr>
        <w:sectPr>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p>
    <w:p w14:paraId="61803BFD">
      <w:pPr>
        <w:snapToGrid w:val="0"/>
        <w:spacing w:before="120" w:beforeLines="50" w:after="50"/>
        <w:ind w:firstLine="420"/>
        <w:jc w:val="center"/>
        <w:outlineLvl w:val="1"/>
        <w:rPr>
          <w:rFonts w:hint="eastAsia" w:ascii="微软雅黑" w:hAnsi="微软雅黑"/>
          <w:b/>
          <w:color w:val="auto"/>
          <w:szCs w:val="21"/>
          <w:highlight w:val="none"/>
        </w:rPr>
      </w:pPr>
      <w:bookmarkStart w:id="204" w:name="_Toc11546"/>
      <w:r>
        <w:rPr>
          <w:rFonts w:hint="eastAsia" w:ascii="微软雅黑" w:hAnsi="微软雅黑"/>
          <w:b/>
          <w:color w:val="auto"/>
          <w:szCs w:val="21"/>
          <w:highlight w:val="none"/>
        </w:rPr>
        <w:t>三、政府采购活动现场确认声明书</w:t>
      </w:r>
      <w:bookmarkEnd w:id="204"/>
    </w:p>
    <w:p w14:paraId="1C93FB65">
      <w:pPr>
        <w:snapToGrid w:val="0"/>
        <w:spacing w:before="120" w:beforeLines="50" w:after="50"/>
        <w:ind w:firstLine="420"/>
        <w:rPr>
          <w:rFonts w:hint="eastAsia" w:ascii="微软雅黑" w:hAnsi="微软雅黑"/>
          <w:color w:val="auto"/>
          <w:szCs w:val="21"/>
          <w:highlight w:val="none"/>
        </w:rPr>
      </w:pPr>
      <w:r>
        <w:rPr>
          <w:rFonts w:hint="eastAsia" w:ascii="微软雅黑" w:hAnsi="微软雅黑" w:cs="宋体"/>
          <w:color w:val="auto"/>
          <w:szCs w:val="21"/>
          <w:highlight w:val="none"/>
          <w:u w:val="single"/>
        </w:rPr>
        <w:t>（采购人）、（采购代理机构）：</w:t>
      </w:r>
      <w:r>
        <w:rPr>
          <w:rFonts w:hint="eastAsia" w:ascii="微软雅黑" w:hAnsi="微软雅黑"/>
          <w:color w:val="auto"/>
          <w:szCs w:val="21"/>
          <w:highlight w:val="none"/>
        </w:rPr>
        <w:t>:</w:t>
      </w:r>
    </w:p>
    <w:p w14:paraId="1A95E89A">
      <w:pPr>
        <w:snapToGrid w:val="0"/>
        <w:spacing w:before="120" w:beforeLines="50" w:after="50"/>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本人 ____________（授权代表姓名），经由______________________________（单位） ____________ （法定代表人（负责人）姓名）合法授权参加 </w:t>
      </w:r>
      <w:r>
        <w:rPr>
          <w:rFonts w:hint="eastAsia"/>
          <w:color w:val="auto"/>
          <w:highlight w:val="none"/>
        </w:rPr>
        <w:t xml:space="preserve"> 2025年秀洲区老旧房屋保险服务项目</w:t>
      </w:r>
      <w:r>
        <w:rPr>
          <w:rFonts w:hint="eastAsia" w:ascii="微软雅黑" w:hAnsi="微软雅黑"/>
          <w:color w:val="auto"/>
          <w:szCs w:val="21"/>
          <w:highlight w:val="none"/>
          <w:u w:val="single"/>
        </w:rPr>
        <w:t>（编号：       ）</w:t>
      </w:r>
      <w:r>
        <w:rPr>
          <w:rFonts w:hint="eastAsia" w:ascii="微软雅黑" w:hAnsi="微软雅黑"/>
          <w:color w:val="auto"/>
          <w:szCs w:val="21"/>
          <w:highlight w:val="none"/>
        </w:rPr>
        <w:t>政府采购活动．经与本单位法人代表（负责人）联系确认，现就有关公平竞争事项郑重声明如下:</w:t>
      </w:r>
    </w:p>
    <w:p w14:paraId="465428CD">
      <w:pPr>
        <w:snapToGrid w:val="0"/>
        <w:spacing w:before="120" w:beforeLines="50" w:after="50"/>
        <w:ind w:firstLine="420"/>
        <w:outlineLvl w:val="1"/>
        <w:rPr>
          <w:rFonts w:hint="eastAsia" w:ascii="微软雅黑" w:hAnsi="微软雅黑"/>
          <w:color w:val="auto"/>
          <w:szCs w:val="21"/>
          <w:highlight w:val="none"/>
        </w:rPr>
      </w:pPr>
      <w:bookmarkStart w:id="205" w:name="_Toc5627"/>
      <w:r>
        <w:rPr>
          <w:rFonts w:hint="eastAsia" w:ascii="微软雅黑" w:hAnsi="微软雅黑"/>
          <w:color w:val="auto"/>
          <w:szCs w:val="21"/>
          <w:highlight w:val="none"/>
        </w:rPr>
        <w:t>一、本单位与采购人之间口不存在利害关系口存在下列利害关系：</w:t>
      </w:r>
      <w:bookmarkEnd w:id="205"/>
    </w:p>
    <w:p w14:paraId="055C4621">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A．投资关系 B．行政隶属关系 C．业务指导关系D．其他可能影响采购公正的利害关系（如有，请如实说明）。</w:t>
      </w:r>
    </w:p>
    <w:p w14:paraId="092C5761">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二、现己清楚知道参加本项目采购活动的其他所有供应商名称，本单位 口与其他所有供应商之间均不存在利害关系 口与______________（供应商名称）之间存在下列利害关系:</w:t>
      </w:r>
    </w:p>
    <w:p w14:paraId="289A2A1D">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A．法定代表人（负责人）或负责人或实际控制人是同一人</w:t>
      </w:r>
    </w:p>
    <w:p w14:paraId="49E0692E">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B．法定代表人（负责人）或负责人或实际控制人是夫妻关系</w:t>
      </w:r>
    </w:p>
    <w:p w14:paraId="22EA14CC">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C．法定代表人（负责人）或负责人或实际控制人是直系血亲关系</w:t>
      </w:r>
    </w:p>
    <w:p w14:paraId="50D1E957">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D．法定代表人（负责人）或负责人或实际控制人存在三代以内旁系血亲关系</w:t>
      </w:r>
    </w:p>
    <w:p w14:paraId="271257FF">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E．法定代表人（负责人）或负责人或实际控制人存在近姻亲关系</w:t>
      </w:r>
    </w:p>
    <w:p w14:paraId="613FB0FD">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F．法定代表人（负责人）或负责人或实际控制人存在股份控制或实际控制关系</w:t>
      </w:r>
    </w:p>
    <w:p w14:paraId="27888118">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G．存在共同直接或间接投资设立子公司、联营企业和合营企业情况</w:t>
      </w:r>
    </w:p>
    <w:p w14:paraId="29ECD37C">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H．存在分级代理或代销关系、同一生产制造商关系、管理关系、重要业务（占主营业务收入 50 ％以上）或重要财务往来关系（如融资）等其他实质性控制关系</w:t>
      </w:r>
    </w:p>
    <w:p w14:paraId="3E700295">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I．其他利害关系情况 ________________________________________。</w:t>
      </w:r>
    </w:p>
    <w:p w14:paraId="32BFB9CB">
      <w:pPr>
        <w:snapToGrid w:val="0"/>
        <w:spacing w:before="120" w:beforeLines="50" w:after="50"/>
        <w:ind w:firstLine="420"/>
        <w:outlineLvl w:val="1"/>
        <w:rPr>
          <w:rFonts w:hint="eastAsia" w:ascii="微软雅黑" w:hAnsi="微软雅黑"/>
          <w:color w:val="auto"/>
          <w:szCs w:val="21"/>
          <w:highlight w:val="none"/>
        </w:rPr>
      </w:pPr>
      <w:bookmarkStart w:id="206" w:name="_Toc11452"/>
      <w:r>
        <w:rPr>
          <w:rFonts w:hint="eastAsia" w:ascii="微软雅黑" w:hAnsi="微软雅黑"/>
          <w:color w:val="auto"/>
          <w:szCs w:val="21"/>
          <w:highlight w:val="none"/>
        </w:rPr>
        <w:t>三、现己清楚知道并严格遵守政府采购法律法规和现场纪律。</w:t>
      </w:r>
      <w:bookmarkEnd w:id="206"/>
    </w:p>
    <w:p w14:paraId="443E4511">
      <w:pPr>
        <w:snapToGrid w:val="0"/>
        <w:spacing w:before="120" w:beforeLines="50" w:after="50"/>
        <w:ind w:firstLine="420"/>
        <w:rPr>
          <w:rFonts w:hint="eastAsia" w:ascii="微软雅黑" w:hAnsi="微软雅黑"/>
          <w:color w:val="auto"/>
          <w:szCs w:val="21"/>
          <w:highlight w:val="none"/>
        </w:rPr>
      </w:pPr>
      <w:r>
        <w:rPr>
          <w:rFonts w:hint="eastAsia" w:ascii="微软雅黑" w:hAnsi="微软雅黑"/>
          <w:color w:val="auto"/>
          <w:szCs w:val="21"/>
          <w:highlight w:val="none"/>
        </w:rPr>
        <w:t>四、我发现 ____________________供应商之间存在或可能存在上述第二条第 ____________项利害关系。</w:t>
      </w:r>
    </w:p>
    <w:p w14:paraId="33174B1A">
      <w:pPr>
        <w:snapToGrid w:val="0"/>
        <w:spacing w:before="120" w:beforeLines="50" w:after="50"/>
        <w:ind w:firstLine="420"/>
        <w:jc w:val="right"/>
        <w:rPr>
          <w:rFonts w:hint="eastAsia" w:ascii="微软雅黑" w:hAnsi="微软雅黑"/>
          <w:color w:val="auto"/>
          <w:szCs w:val="21"/>
          <w:highlight w:val="none"/>
        </w:rPr>
      </w:pPr>
      <w:r>
        <w:rPr>
          <w:rFonts w:hint="eastAsia" w:ascii="微软雅黑" w:hAnsi="微软雅黑"/>
          <w:color w:val="auto"/>
          <w:szCs w:val="21"/>
          <w:highlight w:val="none"/>
        </w:rPr>
        <w:t>（供应商代表签名）:</w:t>
      </w:r>
    </w:p>
    <w:p w14:paraId="2F1871FF">
      <w:pPr>
        <w:snapToGrid w:val="0"/>
        <w:spacing w:before="120" w:beforeLines="50" w:after="50"/>
        <w:ind w:firstLine="420"/>
        <w:jc w:val="right"/>
        <w:rPr>
          <w:rFonts w:hint="eastAsia" w:ascii="微软雅黑" w:hAnsi="微软雅黑" w:cs="仿宋_GB2312"/>
          <w:b/>
          <w:color w:val="auto"/>
          <w:kern w:val="0"/>
          <w:szCs w:val="21"/>
          <w:highlight w:val="none"/>
        </w:rPr>
      </w:pPr>
      <w:r>
        <w:rPr>
          <w:rFonts w:hint="eastAsia" w:ascii="微软雅黑" w:hAnsi="微软雅黑"/>
          <w:color w:val="auto"/>
          <w:szCs w:val="21"/>
          <w:highlight w:val="none"/>
        </w:rPr>
        <w:t xml:space="preserve">    年  月  日</w:t>
      </w:r>
    </w:p>
    <w:p w14:paraId="73E61ED0">
      <w:pPr>
        <w:pStyle w:val="6"/>
        <w:ind w:firstLine="420"/>
        <w:rPr>
          <w:rFonts w:hint="eastAsia" w:ascii="微软雅黑" w:hAnsi="微软雅黑"/>
          <w:color w:val="auto"/>
          <w:szCs w:val="21"/>
          <w:highlight w:val="none"/>
          <w:lang w:val="zh-CN"/>
        </w:rPr>
      </w:pPr>
    </w:p>
    <w:p w14:paraId="0D58B4A6">
      <w:pPr>
        <w:ind w:firstLine="420"/>
        <w:jc w:val="center"/>
        <w:outlineLvl w:val="1"/>
        <w:rPr>
          <w:rFonts w:hint="eastAsia" w:ascii="微软雅黑" w:hAnsi="微软雅黑" w:cs="仿宋_GB2312"/>
          <w:b/>
          <w:color w:val="auto"/>
          <w:kern w:val="0"/>
          <w:szCs w:val="21"/>
          <w:highlight w:val="none"/>
        </w:rPr>
      </w:pPr>
      <w:bookmarkStart w:id="207" w:name="_Toc16507"/>
      <w:r>
        <w:rPr>
          <w:rFonts w:hint="eastAsia" w:ascii="微软雅黑" w:hAnsi="微软雅黑" w:cs="仿宋_GB2312"/>
          <w:b/>
          <w:color w:val="auto"/>
          <w:kern w:val="0"/>
          <w:szCs w:val="21"/>
          <w:highlight w:val="none"/>
        </w:rPr>
        <w:t>四、符合性审查资料</w:t>
      </w:r>
      <w:bookmarkEnd w:id="207"/>
    </w:p>
    <w:tbl>
      <w:tblPr>
        <w:tblStyle w:val="5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715"/>
        <w:gridCol w:w="2939"/>
        <w:gridCol w:w="1880"/>
      </w:tblGrid>
      <w:tr w14:paraId="5A61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77028F89">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序号</w:t>
            </w:r>
          </w:p>
        </w:tc>
        <w:tc>
          <w:tcPr>
            <w:tcW w:w="3715" w:type="dxa"/>
            <w:vAlign w:val="center"/>
          </w:tcPr>
          <w:p w14:paraId="5ABC67AC">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实质性要求</w:t>
            </w:r>
          </w:p>
        </w:tc>
        <w:tc>
          <w:tcPr>
            <w:tcW w:w="2939" w:type="dxa"/>
            <w:vAlign w:val="center"/>
          </w:tcPr>
          <w:p w14:paraId="28416C3A">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需要提供的符合性审查资料</w:t>
            </w:r>
          </w:p>
        </w:tc>
        <w:tc>
          <w:tcPr>
            <w:tcW w:w="1880" w:type="dxa"/>
            <w:vAlign w:val="center"/>
          </w:tcPr>
          <w:p w14:paraId="1B4843F0">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投标文件中的</w:t>
            </w:r>
          </w:p>
          <w:p w14:paraId="12D611CD">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页码位置</w:t>
            </w:r>
          </w:p>
        </w:tc>
      </w:tr>
      <w:tr w14:paraId="6EFC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08C5420">
            <w:pPr>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1</w:t>
            </w:r>
          </w:p>
        </w:tc>
        <w:tc>
          <w:tcPr>
            <w:tcW w:w="3715" w:type="dxa"/>
          </w:tcPr>
          <w:p w14:paraId="559E1671">
            <w:pPr>
              <w:spacing w:line="240" w:lineRule="auto"/>
              <w:ind w:firstLine="0" w:firstLineChars="0"/>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投标文件按照招标文件要求签署、盖章。</w:t>
            </w:r>
          </w:p>
        </w:tc>
        <w:tc>
          <w:tcPr>
            <w:tcW w:w="2939" w:type="dxa"/>
            <w:vAlign w:val="center"/>
          </w:tcPr>
          <w:p w14:paraId="58DB2C08">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需要使用电子签名或者签字盖章的投标文件的组成部分</w:t>
            </w:r>
          </w:p>
        </w:tc>
        <w:tc>
          <w:tcPr>
            <w:tcW w:w="1880" w:type="dxa"/>
          </w:tcPr>
          <w:p w14:paraId="44D0534A">
            <w:pPr>
              <w:spacing w:line="240" w:lineRule="auto"/>
              <w:ind w:firstLine="0" w:firstLineChars="0"/>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见投标文件</w:t>
            </w:r>
          </w:p>
          <w:p w14:paraId="036A7DC4">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szCs w:val="21"/>
                <w:highlight w:val="none"/>
              </w:rPr>
              <w:t>第</w:t>
            </w:r>
            <w:r>
              <w:rPr>
                <w:rFonts w:hint="eastAsia" w:ascii="微软雅黑" w:hAnsi="微软雅黑"/>
                <w:color w:val="auto"/>
                <w:szCs w:val="21"/>
                <w:highlight w:val="none"/>
              </w:rPr>
              <w:t>____</w:t>
            </w:r>
            <w:r>
              <w:rPr>
                <w:rFonts w:hint="eastAsia" w:ascii="微软雅黑" w:hAnsi="微软雅黑" w:cs="仿宋_GB2312"/>
                <w:color w:val="auto"/>
                <w:szCs w:val="21"/>
                <w:highlight w:val="none"/>
              </w:rPr>
              <w:t>页</w:t>
            </w:r>
          </w:p>
        </w:tc>
      </w:tr>
      <w:tr w14:paraId="2E73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B110D74">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2</w:t>
            </w:r>
          </w:p>
        </w:tc>
        <w:tc>
          <w:tcPr>
            <w:tcW w:w="3715" w:type="dxa"/>
          </w:tcPr>
          <w:p w14:paraId="567FE88C">
            <w:pPr>
              <w:spacing w:line="240" w:lineRule="auto"/>
              <w:ind w:firstLine="0" w:firstLineChars="0"/>
              <w:rPr>
                <w:rFonts w:hint="eastAsia" w:ascii="微软雅黑" w:hAnsi="微软雅黑" w:cs="仿宋_GB2312"/>
                <w:color w:val="auto"/>
                <w:szCs w:val="21"/>
                <w:highlight w:val="none"/>
              </w:rPr>
            </w:pPr>
            <w:r>
              <w:rPr>
                <w:rFonts w:hint="eastAsia" w:ascii="微软雅黑" w:hAnsi="微软雅黑"/>
                <w:color w:val="auto"/>
                <w:szCs w:val="21"/>
                <w:highlight w:val="none"/>
              </w:rPr>
              <w:t>投标文件中承诺的投标有效期不少于招标文件中载明的投标有效期。</w:t>
            </w:r>
          </w:p>
        </w:tc>
        <w:tc>
          <w:tcPr>
            <w:tcW w:w="2939" w:type="dxa"/>
            <w:vAlign w:val="center"/>
          </w:tcPr>
          <w:p w14:paraId="40782048">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投标函</w:t>
            </w:r>
          </w:p>
        </w:tc>
        <w:tc>
          <w:tcPr>
            <w:tcW w:w="1880" w:type="dxa"/>
          </w:tcPr>
          <w:p w14:paraId="5D67246C">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szCs w:val="21"/>
                <w:highlight w:val="none"/>
              </w:rPr>
              <w:t>见投标文件第</w:t>
            </w:r>
            <w:r>
              <w:rPr>
                <w:rFonts w:hint="eastAsia" w:ascii="微软雅黑" w:hAnsi="微软雅黑"/>
                <w:color w:val="auto"/>
                <w:szCs w:val="21"/>
                <w:highlight w:val="none"/>
              </w:rPr>
              <w:t>____</w:t>
            </w:r>
            <w:r>
              <w:rPr>
                <w:rFonts w:hint="eastAsia" w:ascii="微软雅黑" w:hAnsi="微软雅黑" w:cs="仿宋_GB2312"/>
                <w:color w:val="auto"/>
                <w:szCs w:val="21"/>
                <w:highlight w:val="none"/>
              </w:rPr>
              <w:t>页</w:t>
            </w:r>
          </w:p>
        </w:tc>
      </w:tr>
      <w:tr w14:paraId="6FD4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FC1DABB">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3</w:t>
            </w:r>
          </w:p>
        </w:tc>
        <w:tc>
          <w:tcPr>
            <w:tcW w:w="3715" w:type="dxa"/>
          </w:tcPr>
          <w:p w14:paraId="7349999C">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投标文件满足招标文件的其它实质性要求。</w:t>
            </w:r>
          </w:p>
        </w:tc>
        <w:tc>
          <w:tcPr>
            <w:tcW w:w="2939" w:type="dxa"/>
            <w:vAlign w:val="center"/>
          </w:tcPr>
          <w:p w14:paraId="63499AE5">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kern w:val="0"/>
                <w:szCs w:val="21"/>
                <w:highlight w:val="none"/>
              </w:rPr>
              <w:t>招标文件其它实质性要求相应的材料（“▲”系指实质性要求条款，招标文件无其它实质性要求的，无需提供）</w:t>
            </w:r>
          </w:p>
        </w:tc>
        <w:tc>
          <w:tcPr>
            <w:tcW w:w="1880" w:type="dxa"/>
          </w:tcPr>
          <w:p w14:paraId="6C7C0C9E">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szCs w:val="21"/>
                <w:highlight w:val="none"/>
              </w:rPr>
              <w:t>见投标文件第</w:t>
            </w:r>
            <w:r>
              <w:rPr>
                <w:rFonts w:hint="eastAsia" w:ascii="微软雅黑" w:hAnsi="微软雅黑"/>
                <w:color w:val="auto"/>
                <w:szCs w:val="21"/>
                <w:highlight w:val="none"/>
              </w:rPr>
              <w:t>____</w:t>
            </w:r>
            <w:r>
              <w:rPr>
                <w:rFonts w:hint="eastAsia" w:ascii="微软雅黑" w:hAnsi="微软雅黑" w:cs="仿宋_GB2312"/>
                <w:color w:val="auto"/>
                <w:szCs w:val="21"/>
                <w:highlight w:val="none"/>
              </w:rPr>
              <w:t>页</w:t>
            </w:r>
          </w:p>
        </w:tc>
      </w:tr>
    </w:tbl>
    <w:p w14:paraId="1527AA3A">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法定代表人（负责人）或</w:t>
      </w:r>
      <w:r>
        <w:rPr>
          <w:rFonts w:hint="eastAsia" w:ascii="微软雅黑" w:hAnsi="微软雅黑"/>
          <w:color w:val="auto"/>
          <w:szCs w:val="21"/>
          <w:highlight w:val="none"/>
        </w:rPr>
        <w:t>被授权人签字（或盖章）：</w:t>
      </w:r>
    </w:p>
    <w:p w14:paraId="27660910">
      <w:pPr>
        <w:pStyle w:val="122"/>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787D1B33">
      <w:pPr>
        <w:pStyle w:val="122"/>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59DA04B0">
      <w:pPr>
        <w:ind w:firstLine="643"/>
        <w:jc w:val="both"/>
        <w:rPr>
          <w:rFonts w:hint="eastAsia" w:ascii="仿宋_GB2312" w:hAnsi="仿宋" w:eastAsia="仿宋_GB2312" w:cs="仿宋_GB2312"/>
          <w:b/>
          <w:color w:val="auto"/>
          <w:kern w:val="0"/>
          <w:sz w:val="32"/>
          <w:szCs w:val="32"/>
          <w:highlight w:val="none"/>
        </w:rPr>
      </w:pPr>
    </w:p>
    <w:p w14:paraId="5B9219FB">
      <w:pPr>
        <w:ind w:firstLine="643"/>
        <w:jc w:val="center"/>
        <w:rPr>
          <w:rFonts w:hint="eastAsia" w:ascii="仿宋_GB2312" w:hAnsi="仿宋" w:eastAsia="仿宋_GB2312" w:cs="仿宋_GB2312"/>
          <w:b/>
          <w:color w:val="auto"/>
          <w:kern w:val="0"/>
          <w:sz w:val="32"/>
          <w:szCs w:val="32"/>
          <w:highlight w:val="none"/>
        </w:rPr>
        <w:sectPr>
          <w:type w:val="nextColumn"/>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p>
    <w:p w14:paraId="5A0A7BBC">
      <w:pPr>
        <w:ind w:firstLine="420"/>
        <w:jc w:val="center"/>
        <w:outlineLvl w:val="1"/>
        <w:rPr>
          <w:rFonts w:hint="eastAsia" w:ascii="微软雅黑" w:hAnsi="微软雅黑" w:cs="仿宋_GB2312"/>
          <w:b/>
          <w:color w:val="auto"/>
          <w:kern w:val="0"/>
          <w:szCs w:val="21"/>
          <w:highlight w:val="none"/>
        </w:rPr>
      </w:pPr>
      <w:bookmarkStart w:id="208" w:name="_Toc17270"/>
      <w:r>
        <w:rPr>
          <w:rFonts w:hint="eastAsia" w:ascii="微软雅黑" w:hAnsi="微软雅黑" w:cs="仿宋_GB2312"/>
          <w:b/>
          <w:color w:val="auto"/>
          <w:kern w:val="0"/>
          <w:szCs w:val="21"/>
          <w:highlight w:val="none"/>
        </w:rPr>
        <w:t>五、评分对应表</w:t>
      </w:r>
      <w:bookmarkEnd w:id="208"/>
    </w:p>
    <w:tbl>
      <w:tblPr>
        <w:tblStyle w:val="54"/>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14:paraId="61736C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14:paraId="3E78D263">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14:paraId="0617870B">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14:paraId="7805E967">
            <w:pPr>
              <w:snapToGrid w:val="0"/>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投标文件中的页码位置</w:t>
            </w:r>
          </w:p>
        </w:tc>
      </w:tr>
      <w:tr w14:paraId="107CB0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C3382A5">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对应第四章评分办法及评分标准（报价除外）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14:paraId="2BF45DB7">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0C2E5310">
            <w:pPr>
              <w:snapToGrid w:val="0"/>
              <w:spacing w:line="240" w:lineRule="auto"/>
              <w:ind w:firstLine="0" w:firstLineChars="0"/>
              <w:rPr>
                <w:rFonts w:hint="eastAsia" w:ascii="微软雅黑" w:hAnsi="微软雅黑"/>
                <w:color w:val="auto"/>
                <w:szCs w:val="21"/>
                <w:highlight w:val="none"/>
              </w:rPr>
            </w:pPr>
          </w:p>
        </w:tc>
      </w:tr>
      <w:tr w14:paraId="01E55D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1A08260">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w:t>
            </w:r>
          </w:p>
        </w:tc>
        <w:tc>
          <w:tcPr>
            <w:tcW w:w="3060" w:type="dxa"/>
            <w:tcBorders>
              <w:top w:val="single" w:color="auto" w:sz="4" w:space="0"/>
              <w:left w:val="single" w:color="auto" w:sz="4" w:space="0"/>
              <w:bottom w:val="single" w:color="auto" w:sz="4" w:space="0"/>
              <w:right w:val="single" w:color="auto" w:sz="4" w:space="0"/>
            </w:tcBorders>
          </w:tcPr>
          <w:p w14:paraId="66512356">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10D15B08">
            <w:pPr>
              <w:snapToGrid w:val="0"/>
              <w:spacing w:line="240" w:lineRule="auto"/>
              <w:ind w:firstLine="0" w:firstLineChars="0"/>
              <w:rPr>
                <w:rFonts w:hint="eastAsia" w:ascii="微软雅黑" w:hAnsi="微软雅黑"/>
                <w:color w:val="auto"/>
                <w:szCs w:val="21"/>
                <w:highlight w:val="none"/>
              </w:rPr>
            </w:pPr>
          </w:p>
        </w:tc>
      </w:tr>
      <w:tr w14:paraId="04BEF3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1282294">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76B2F972">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2652383C">
            <w:pPr>
              <w:snapToGrid w:val="0"/>
              <w:spacing w:line="240" w:lineRule="auto"/>
              <w:ind w:firstLine="0" w:firstLineChars="0"/>
              <w:rPr>
                <w:rFonts w:hint="eastAsia" w:ascii="微软雅黑" w:hAnsi="微软雅黑"/>
                <w:color w:val="auto"/>
                <w:szCs w:val="21"/>
                <w:highlight w:val="none"/>
              </w:rPr>
            </w:pPr>
          </w:p>
        </w:tc>
      </w:tr>
      <w:tr w14:paraId="7E2498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0B49C80F">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5136D285">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2BCA644">
            <w:pPr>
              <w:snapToGrid w:val="0"/>
              <w:spacing w:line="240" w:lineRule="auto"/>
              <w:ind w:firstLine="0" w:firstLineChars="0"/>
              <w:rPr>
                <w:rFonts w:hint="eastAsia" w:ascii="微软雅黑" w:hAnsi="微软雅黑"/>
                <w:color w:val="auto"/>
                <w:szCs w:val="21"/>
                <w:highlight w:val="none"/>
              </w:rPr>
            </w:pPr>
          </w:p>
        </w:tc>
      </w:tr>
      <w:tr w14:paraId="314F50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1307A4C">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4EEBF528">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38F41E75">
            <w:pPr>
              <w:snapToGrid w:val="0"/>
              <w:spacing w:line="240" w:lineRule="auto"/>
              <w:ind w:firstLine="0" w:firstLineChars="0"/>
              <w:rPr>
                <w:rFonts w:hint="eastAsia" w:ascii="微软雅黑" w:hAnsi="微软雅黑"/>
                <w:color w:val="auto"/>
                <w:szCs w:val="21"/>
                <w:highlight w:val="none"/>
              </w:rPr>
            </w:pPr>
          </w:p>
        </w:tc>
      </w:tr>
      <w:tr w14:paraId="0EF389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1F7171A3">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4D1290D4">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7286F149">
            <w:pPr>
              <w:snapToGrid w:val="0"/>
              <w:spacing w:line="240" w:lineRule="auto"/>
              <w:ind w:firstLine="0" w:firstLineChars="0"/>
              <w:rPr>
                <w:rFonts w:hint="eastAsia" w:ascii="微软雅黑" w:hAnsi="微软雅黑"/>
                <w:color w:val="auto"/>
                <w:szCs w:val="21"/>
                <w:highlight w:val="none"/>
              </w:rPr>
            </w:pPr>
          </w:p>
        </w:tc>
      </w:tr>
      <w:tr w14:paraId="20235D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C68C751">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55A36762">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7C9ED869">
            <w:pPr>
              <w:snapToGrid w:val="0"/>
              <w:spacing w:line="240" w:lineRule="auto"/>
              <w:ind w:firstLine="0" w:firstLineChars="0"/>
              <w:rPr>
                <w:rFonts w:hint="eastAsia" w:ascii="微软雅黑" w:hAnsi="微软雅黑"/>
                <w:color w:val="auto"/>
                <w:szCs w:val="21"/>
                <w:highlight w:val="none"/>
              </w:rPr>
            </w:pPr>
          </w:p>
        </w:tc>
      </w:tr>
      <w:tr w14:paraId="0E0E7E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6B1BBF9">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32C25093">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7E169F1">
            <w:pPr>
              <w:snapToGrid w:val="0"/>
              <w:spacing w:line="240" w:lineRule="auto"/>
              <w:ind w:firstLine="0" w:firstLineChars="0"/>
              <w:rPr>
                <w:rFonts w:hint="eastAsia" w:ascii="微软雅黑" w:hAnsi="微软雅黑"/>
                <w:color w:val="auto"/>
                <w:szCs w:val="21"/>
                <w:highlight w:val="none"/>
              </w:rPr>
            </w:pPr>
          </w:p>
        </w:tc>
      </w:tr>
      <w:tr w14:paraId="6C1F34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D293341">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6D4BF2FD">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313E9BE7">
            <w:pPr>
              <w:snapToGrid w:val="0"/>
              <w:spacing w:line="240" w:lineRule="auto"/>
              <w:ind w:firstLine="0" w:firstLineChars="0"/>
              <w:rPr>
                <w:rFonts w:hint="eastAsia" w:ascii="微软雅黑" w:hAnsi="微软雅黑"/>
                <w:color w:val="auto"/>
                <w:szCs w:val="21"/>
                <w:highlight w:val="none"/>
              </w:rPr>
            </w:pPr>
          </w:p>
        </w:tc>
      </w:tr>
    </w:tbl>
    <w:p w14:paraId="2177233D">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法定代表人（负责人）或</w:t>
      </w:r>
      <w:r>
        <w:rPr>
          <w:rFonts w:hint="eastAsia" w:ascii="微软雅黑" w:hAnsi="微软雅黑"/>
          <w:color w:val="auto"/>
          <w:szCs w:val="21"/>
          <w:highlight w:val="none"/>
        </w:rPr>
        <w:t>被授权人签字（或盖章）：</w:t>
      </w:r>
    </w:p>
    <w:p w14:paraId="13629127">
      <w:pPr>
        <w:pStyle w:val="122"/>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1C5D2324">
      <w:pPr>
        <w:pStyle w:val="122"/>
        <w:ind w:firstLine="420"/>
        <w:jc w:val="center"/>
        <w:rPr>
          <w:rFonts w:hint="eastAsia" w:ascii="微软雅黑" w:hAnsi="微软雅黑" w:eastAsia="微软雅黑" w:cs="仿宋_GB2312"/>
          <w:b/>
          <w:color w:val="auto"/>
          <w:kern w:val="0"/>
          <w:sz w:val="21"/>
          <w:szCs w:val="21"/>
          <w:highlight w:val="none"/>
        </w:rPr>
      </w:pPr>
      <w:r>
        <w:rPr>
          <w:rFonts w:hint="eastAsia" w:ascii="微软雅黑" w:hAnsi="微软雅黑" w:eastAsia="微软雅黑"/>
          <w:color w:val="auto"/>
          <w:sz w:val="21"/>
          <w:szCs w:val="21"/>
          <w:highlight w:val="none"/>
        </w:rPr>
        <w:t xml:space="preserve">          日期： 年 月 日</w:t>
      </w:r>
    </w:p>
    <w:p w14:paraId="656FD9E6">
      <w:pPr>
        <w:ind w:firstLine="420"/>
        <w:jc w:val="center"/>
        <w:rPr>
          <w:rFonts w:hint="eastAsia" w:ascii="微软雅黑" w:hAnsi="微软雅黑" w:cs="仿宋_GB2312"/>
          <w:b/>
          <w:color w:val="auto"/>
          <w:kern w:val="0"/>
          <w:szCs w:val="21"/>
          <w:highlight w:val="none"/>
        </w:rPr>
      </w:pPr>
    </w:p>
    <w:p w14:paraId="6E36F5F2">
      <w:pPr>
        <w:ind w:firstLine="420"/>
        <w:jc w:val="center"/>
        <w:rPr>
          <w:rFonts w:hint="eastAsia" w:ascii="微软雅黑" w:hAnsi="微软雅黑" w:cs="仿宋_GB2312"/>
          <w:b/>
          <w:color w:val="auto"/>
          <w:kern w:val="0"/>
          <w:szCs w:val="21"/>
          <w:highlight w:val="none"/>
        </w:rPr>
        <w:sectPr>
          <w:type w:val="nextColumn"/>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p>
    <w:p w14:paraId="27B0930D">
      <w:pPr>
        <w:ind w:firstLine="420"/>
        <w:jc w:val="center"/>
        <w:outlineLvl w:val="1"/>
        <w:rPr>
          <w:rFonts w:hint="eastAsia" w:ascii="微软雅黑" w:hAnsi="微软雅黑"/>
          <w:color w:val="auto"/>
          <w:szCs w:val="21"/>
          <w:highlight w:val="none"/>
        </w:rPr>
      </w:pPr>
      <w:bookmarkStart w:id="209" w:name="_Toc8171"/>
      <w:r>
        <w:rPr>
          <w:rFonts w:hint="eastAsia" w:ascii="微软雅黑" w:hAnsi="微软雅黑" w:cs="仿宋_GB2312"/>
          <w:b/>
          <w:color w:val="auto"/>
          <w:kern w:val="0"/>
          <w:szCs w:val="21"/>
          <w:highlight w:val="none"/>
        </w:rPr>
        <w:t>六、评标标准相应的商务技术资料</w:t>
      </w:r>
      <w:bookmarkEnd w:id="209"/>
    </w:p>
    <w:p w14:paraId="65086C5C">
      <w:pPr>
        <w:widowControl/>
        <w:ind w:firstLine="425" w:firstLineChars="152"/>
        <w:rPr>
          <w:rFonts w:hint="eastAsia" w:ascii="微软雅黑" w:hAnsi="微软雅黑"/>
          <w:color w:val="auto"/>
          <w:sz w:val="28"/>
          <w:szCs w:val="28"/>
          <w:highlight w:val="none"/>
          <w:shd w:val="pct10" w:color="auto" w:fill="FFFFFF"/>
        </w:rPr>
      </w:pPr>
      <w:r>
        <w:rPr>
          <w:rFonts w:ascii="微软雅黑" w:hAnsi="微软雅黑" w:cs="sans-serif"/>
          <w:color w:val="auto"/>
          <w:kern w:val="0"/>
          <w:sz w:val="28"/>
          <w:szCs w:val="28"/>
          <w:highlight w:val="none"/>
          <w:shd w:val="pct10" w:color="auto" w:fill="FFFFFF"/>
        </w:rPr>
        <w:t>（</w:t>
      </w:r>
      <w:r>
        <w:rPr>
          <w:rFonts w:hint="eastAsia" w:ascii="微软雅黑" w:hAnsi="微软雅黑" w:cs="sans-serif"/>
          <w:color w:val="auto"/>
          <w:kern w:val="0"/>
          <w:sz w:val="28"/>
          <w:szCs w:val="28"/>
          <w:highlight w:val="none"/>
          <w:shd w:val="pct10" w:color="auto" w:fill="FFFFFF"/>
        </w:rPr>
        <w:t>各投标单价</w:t>
      </w:r>
      <w:r>
        <w:rPr>
          <w:rFonts w:ascii="微软雅黑" w:hAnsi="微软雅黑" w:cs="sans-serif"/>
          <w:color w:val="auto"/>
          <w:kern w:val="0"/>
          <w:sz w:val="28"/>
          <w:szCs w:val="28"/>
          <w:highlight w:val="none"/>
          <w:shd w:val="pct10" w:color="auto" w:fill="FFFFFF"/>
        </w:rPr>
        <w:t>根据采购需求、评标办法及标准要求</w:t>
      </w:r>
      <w:r>
        <w:rPr>
          <w:rFonts w:hint="eastAsia" w:ascii="微软雅黑" w:hAnsi="微软雅黑" w:cs="sans-serif"/>
          <w:color w:val="auto"/>
          <w:kern w:val="0"/>
          <w:sz w:val="28"/>
          <w:szCs w:val="28"/>
          <w:highlight w:val="none"/>
          <w:shd w:val="pct10" w:color="auto" w:fill="FFFFFF"/>
        </w:rPr>
        <w:t>自行选取</w:t>
      </w:r>
      <w:r>
        <w:rPr>
          <w:rFonts w:ascii="微软雅黑" w:hAnsi="微软雅黑" w:cs="sans-serif"/>
          <w:color w:val="auto"/>
          <w:kern w:val="0"/>
          <w:sz w:val="28"/>
          <w:szCs w:val="28"/>
          <w:highlight w:val="none"/>
          <w:shd w:val="pct10" w:color="auto" w:fill="FFFFFF"/>
        </w:rPr>
        <w:t>提供，除以下投标文件格式外相关资料由供应商自拟。）</w:t>
      </w:r>
    </w:p>
    <w:p w14:paraId="16F26BB9">
      <w:pPr>
        <w:pStyle w:val="122"/>
        <w:ind w:firstLine="482"/>
        <w:jc w:val="both"/>
        <w:rPr>
          <w:rFonts w:ascii="Times New Roman" w:hAnsi="Times New Roman" w:eastAsia="宋体"/>
          <w:b/>
          <w:color w:val="auto"/>
          <w:sz w:val="24"/>
          <w:szCs w:val="24"/>
          <w:highlight w:val="none"/>
        </w:rPr>
      </w:pPr>
    </w:p>
    <w:p w14:paraId="6C4FB209">
      <w:pPr>
        <w:pStyle w:val="122"/>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b/>
          <w:color w:val="auto"/>
          <w:sz w:val="21"/>
          <w:szCs w:val="21"/>
          <w:highlight w:val="none"/>
        </w:rPr>
        <w:t>1.同类项目业绩一览表</w:t>
      </w:r>
    </w:p>
    <w:p w14:paraId="4C3C8E3E">
      <w:pPr>
        <w:pStyle w:val="122"/>
        <w:ind w:firstLine="420"/>
        <w:jc w:val="center"/>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同类项目业绩一览表</w:t>
      </w:r>
    </w:p>
    <w:tbl>
      <w:tblPr>
        <w:tblStyle w:val="54"/>
        <w:tblW w:w="9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578"/>
        <w:gridCol w:w="2003"/>
        <w:gridCol w:w="1798"/>
        <w:gridCol w:w="1291"/>
        <w:gridCol w:w="2193"/>
      </w:tblGrid>
      <w:tr w14:paraId="3C9B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33" w:type="dxa"/>
            <w:vAlign w:val="center"/>
          </w:tcPr>
          <w:p w14:paraId="0FA45C1C">
            <w:pPr>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序号</w:t>
            </w:r>
          </w:p>
        </w:tc>
        <w:tc>
          <w:tcPr>
            <w:tcW w:w="1578" w:type="dxa"/>
            <w:vAlign w:val="center"/>
          </w:tcPr>
          <w:p w14:paraId="3BA549DE">
            <w:pPr>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采购人</w:t>
            </w:r>
          </w:p>
          <w:p w14:paraId="7902947C">
            <w:pPr>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名  称</w:t>
            </w:r>
          </w:p>
        </w:tc>
        <w:tc>
          <w:tcPr>
            <w:tcW w:w="2003" w:type="dxa"/>
            <w:vAlign w:val="center"/>
          </w:tcPr>
          <w:p w14:paraId="2194B2AB">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项目名称</w:t>
            </w:r>
          </w:p>
        </w:tc>
        <w:tc>
          <w:tcPr>
            <w:tcW w:w="1798" w:type="dxa"/>
            <w:vAlign w:val="center"/>
          </w:tcPr>
          <w:p w14:paraId="47E5AD0E">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项目起止时间</w:t>
            </w:r>
          </w:p>
        </w:tc>
        <w:tc>
          <w:tcPr>
            <w:tcW w:w="1291" w:type="dxa"/>
            <w:vAlign w:val="center"/>
          </w:tcPr>
          <w:p w14:paraId="0776FE63">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合同金额</w:t>
            </w:r>
          </w:p>
          <w:p w14:paraId="575F9F9B">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（万元）</w:t>
            </w:r>
          </w:p>
        </w:tc>
        <w:tc>
          <w:tcPr>
            <w:tcW w:w="2193" w:type="dxa"/>
            <w:vAlign w:val="center"/>
          </w:tcPr>
          <w:p w14:paraId="76C4D76D">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采购人联系人及联系电话</w:t>
            </w:r>
          </w:p>
        </w:tc>
      </w:tr>
      <w:tr w14:paraId="2866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33" w:type="dxa"/>
            <w:vAlign w:val="center"/>
          </w:tcPr>
          <w:p w14:paraId="666478C0">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1</w:t>
            </w:r>
          </w:p>
        </w:tc>
        <w:tc>
          <w:tcPr>
            <w:tcW w:w="1578" w:type="dxa"/>
            <w:vAlign w:val="center"/>
          </w:tcPr>
          <w:p w14:paraId="1337DAD5">
            <w:pPr>
              <w:spacing w:line="240" w:lineRule="auto"/>
              <w:ind w:firstLine="0" w:firstLineChars="0"/>
              <w:jc w:val="center"/>
              <w:rPr>
                <w:rFonts w:hint="eastAsia" w:ascii="微软雅黑" w:hAnsi="微软雅黑"/>
                <w:color w:val="auto"/>
                <w:szCs w:val="21"/>
                <w:highlight w:val="none"/>
              </w:rPr>
            </w:pPr>
          </w:p>
        </w:tc>
        <w:tc>
          <w:tcPr>
            <w:tcW w:w="2003" w:type="dxa"/>
          </w:tcPr>
          <w:p w14:paraId="61E1A7E9">
            <w:pPr>
              <w:spacing w:line="240" w:lineRule="auto"/>
              <w:ind w:firstLine="0" w:firstLineChars="0"/>
              <w:jc w:val="center"/>
              <w:rPr>
                <w:rFonts w:hint="eastAsia" w:ascii="微软雅黑" w:hAnsi="微软雅黑"/>
                <w:color w:val="auto"/>
                <w:szCs w:val="21"/>
                <w:highlight w:val="none"/>
              </w:rPr>
            </w:pPr>
          </w:p>
        </w:tc>
        <w:tc>
          <w:tcPr>
            <w:tcW w:w="1798" w:type="dxa"/>
          </w:tcPr>
          <w:p w14:paraId="02CCBF35">
            <w:pPr>
              <w:spacing w:line="240" w:lineRule="auto"/>
              <w:ind w:firstLine="0" w:firstLineChars="0"/>
              <w:jc w:val="center"/>
              <w:rPr>
                <w:rFonts w:hint="eastAsia" w:ascii="微软雅黑" w:hAnsi="微软雅黑"/>
                <w:color w:val="auto"/>
                <w:szCs w:val="21"/>
                <w:highlight w:val="none"/>
              </w:rPr>
            </w:pPr>
          </w:p>
        </w:tc>
        <w:tc>
          <w:tcPr>
            <w:tcW w:w="1291" w:type="dxa"/>
            <w:vAlign w:val="center"/>
          </w:tcPr>
          <w:p w14:paraId="41581D4B">
            <w:pPr>
              <w:spacing w:line="240" w:lineRule="auto"/>
              <w:ind w:firstLine="0" w:firstLineChars="0"/>
              <w:jc w:val="center"/>
              <w:rPr>
                <w:rFonts w:hint="eastAsia" w:ascii="微软雅黑" w:hAnsi="微软雅黑"/>
                <w:color w:val="auto"/>
                <w:szCs w:val="21"/>
                <w:highlight w:val="none"/>
              </w:rPr>
            </w:pPr>
          </w:p>
        </w:tc>
        <w:tc>
          <w:tcPr>
            <w:tcW w:w="2193" w:type="dxa"/>
            <w:vAlign w:val="center"/>
          </w:tcPr>
          <w:p w14:paraId="5A4A8499">
            <w:pPr>
              <w:spacing w:line="240" w:lineRule="auto"/>
              <w:ind w:firstLine="0" w:firstLineChars="0"/>
              <w:jc w:val="center"/>
              <w:rPr>
                <w:rFonts w:hint="eastAsia" w:ascii="微软雅黑" w:hAnsi="微软雅黑"/>
                <w:color w:val="auto"/>
                <w:szCs w:val="21"/>
                <w:highlight w:val="none"/>
              </w:rPr>
            </w:pPr>
          </w:p>
        </w:tc>
      </w:tr>
      <w:tr w14:paraId="0561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3" w:type="dxa"/>
            <w:vAlign w:val="center"/>
          </w:tcPr>
          <w:p w14:paraId="38F146A1">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2</w:t>
            </w:r>
          </w:p>
        </w:tc>
        <w:tc>
          <w:tcPr>
            <w:tcW w:w="1578" w:type="dxa"/>
            <w:vAlign w:val="center"/>
          </w:tcPr>
          <w:p w14:paraId="02824089">
            <w:pPr>
              <w:spacing w:line="240" w:lineRule="auto"/>
              <w:ind w:firstLine="0" w:firstLineChars="0"/>
              <w:jc w:val="center"/>
              <w:rPr>
                <w:rFonts w:hint="eastAsia" w:ascii="微软雅黑" w:hAnsi="微软雅黑"/>
                <w:color w:val="auto"/>
                <w:szCs w:val="21"/>
                <w:highlight w:val="none"/>
              </w:rPr>
            </w:pPr>
          </w:p>
        </w:tc>
        <w:tc>
          <w:tcPr>
            <w:tcW w:w="2003" w:type="dxa"/>
          </w:tcPr>
          <w:p w14:paraId="359EB3E3">
            <w:pPr>
              <w:spacing w:line="240" w:lineRule="auto"/>
              <w:ind w:firstLine="0" w:firstLineChars="0"/>
              <w:jc w:val="center"/>
              <w:rPr>
                <w:rFonts w:hint="eastAsia" w:ascii="微软雅黑" w:hAnsi="微软雅黑"/>
                <w:color w:val="auto"/>
                <w:szCs w:val="21"/>
                <w:highlight w:val="none"/>
              </w:rPr>
            </w:pPr>
          </w:p>
        </w:tc>
        <w:tc>
          <w:tcPr>
            <w:tcW w:w="1798" w:type="dxa"/>
          </w:tcPr>
          <w:p w14:paraId="2133939C">
            <w:pPr>
              <w:spacing w:line="240" w:lineRule="auto"/>
              <w:ind w:firstLine="0" w:firstLineChars="0"/>
              <w:jc w:val="center"/>
              <w:rPr>
                <w:rFonts w:hint="eastAsia" w:ascii="微软雅黑" w:hAnsi="微软雅黑"/>
                <w:color w:val="auto"/>
                <w:szCs w:val="21"/>
                <w:highlight w:val="none"/>
              </w:rPr>
            </w:pPr>
          </w:p>
        </w:tc>
        <w:tc>
          <w:tcPr>
            <w:tcW w:w="1291" w:type="dxa"/>
            <w:vAlign w:val="center"/>
          </w:tcPr>
          <w:p w14:paraId="1B985CE6">
            <w:pPr>
              <w:spacing w:line="240" w:lineRule="auto"/>
              <w:ind w:firstLine="0" w:firstLineChars="0"/>
              <w:jc w:val="center"/>
              <w:rPr>
                <w:rFonts w:hint="eastAsia" w:ascii="微软雅黑" w:hAnsi="微软雅黑"/>
                <w:color w:val="auto"/>
                <w:szCs w:val="21"/>
                <w:highlight w:val="none"/>
              </w:rPr>
            </w:pPr>
          </w:p>
        </w:tc>
        <w:tc>
          <w:tcPr>
            <w:tcW w:w="2193" w:type="dxa"/>
            <w:vAlign w:val="center"/>
          </w:tcPr>
          <w:p w14:paraId="620B4877">
            <w:pPr>
              <w:spacing w:line="240" w:lineRule="auto"/>
              <w:ind w:firstLine="0" w:firstLineChars="0"/>
              <w:jc w:val="center"/>
              <w:rPr>
                <w:rFonts w:hint="eastAsia" w:ascii="微软雅黑" w:hAnsi="微软雅黑"/>
                <w:color w:val="auto"/>
                <w:szCs w:val="21"/>
                <w:highlight w:val="none"/>
              </w:rPr>
            </w:pPr>
          </w:p>
        </w:tc>
      </w:tr>
      <w:tr w14:paraId="5309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33" w:type="dxa"/>
            <w:vAlign w:val="center"/>
          </w:tcPr>
          <w:p w14:paraId="1F5565A7">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w:t>
            </w:r>
          </w:p>
        </w:tc>
        <w:tc>
          <w:tcPr>
            <w:tcW w:w="1578" w:type="dxa"/>
            <w:vAlign w:val="center"/>
          </w:tcPr>
          <w:p w14:paraId="47AFDCAC">
            <w:pPr>
              <w:spacing w:line="240" w:lineRule="auto"/>
              <w:ind w:firstLine="0" w:firstLineChars="0"/>
              <w:jc w:val="center"/>
              <w:rPr>
                <w:rFonts w:hint="eastAsia" w:ascii="微软雅黑" w:hAnsi="微软雅黑"/>
                <w:color w:val="auto"/>
                <w:szCs w:val="21"/>
                <w:highlight w:val="none"/>
              </w:rPr>
            </w:pPr>
          </w:p>
        </w:tc>
        <w:tc>
          <w:tcPr>
            <w:tcW w:w="2003" w:type="dxa"/>
          </w:tcPr>
          <w:p w14:paraId="2BA22B8D">
            <w:pPr>
              <w:spacing w:line="240" w:lineRule="auto"/>
              <w:ind w:firstLine="0" w:firstLineChars="0"/>
              <w:jc w:val="center"/>
              <w:rPr>
                <w:rFonts w:hint="eastAsia" w:ascii="微软雅黑" w:hAnsi="微软雅黑"/>
                <w:color w:val="auto"/>
                <w:szCs w:val="21"/>
                <w:highlight w:val="none"/>
              </w:rPr>
            </w:pPr>
          </w:p>
        </w:tc>
        <w:tc>
          <w:tcPr>
            <w:tcW w:w="1798" w:type="dxa"/>
          </w:tcPr>
          <w:p w14:paraId="0E631F3C">
            <w:pPr>
              <w:spacing w:line="240" w:lineRule="auto"/>
              <w:ind w:firstLine="0" w:firstLineChars="0"/>
              <w:jc w:val="center"/>
              <w:rPr>
                <w:rFonts w:hint="eastAsia" w:ascii="微软雅黑" w:hAnsi="微软雅黑"/>
                <w:color w:val="auto"/>
                <w:szCs w:val="21"/>
                <w:highlight w:val="none"/>
              </w:rPr>
            </w:pPr>
          </w:p>
        </w:tc>
        <w:tc>
          <w:tcPr>
            <w:tcW w:w="1291" w:type="dxa"/>
            <w:vAlign w:val="center"/>
          </w:tcPr>
          <w:p w14:paraId="7BE1C938">
            <w:pPr>
              <w:spacing w:line="240" w:lineRule="auto"/>
              <w:ind w:firstLine="0" w:firstLineChars="0"/>
              <w:jc w:val="center"/>
              <w:rPr>
                <w:rFonts w:hint="eastAsia" w:ascii="微软雅黑" w:hAnsi="微软雅黑"/>
                <w:color w:val="auto"/>
                <w:szCs w:val="21"/>
                <w:highlight w:val="none"/>
              </w:rPr>
            </w:pPr>
          </w:p>
        </w:tc>
        <w:tc>
          <w:tcPr>
            <w:tcW w:w="2193" w:type="dxa"/>
            <w:vAlign w:val="center"/>
          </w:tcPr>
          <w:p w14:paraId="14167B4D">
            <w:pPr>
              <w:spacing w:line="240" w:lineRule="auto"/>
              <w:ind w:firstLine="0" w:firstLineChars="0"/>
              <w:jc w:val="center"/>
              <w:rPr>
                <w:rFonts w:hint="eastAsia" w:ascii="微软雅黑" w:hAnsi="微软雅黑"/>
                <w:color w:val="auto"/>
                <w:szCs w:val="21"/>
                <w:highlight w:val="none"/>
              </w:rPr>
            </w:pPr>
          </w:p>
        </w:tc>
      </w:tr>
    </w:tbl>
    <w:p w14:paraId="7EE8227A">
      <w:pPr>
        <w:pStyle w:val="122"/>
        <w:ind w:firstLine="420"/>
        <w:jc w:val="center"/>
        <w:rPr>
          <w:rFonts w:hint="eastAsia" w:ascii="微软雅黑" w:hAnsi="微软雅黑" w:eastAsia="微软雅黑"/>
          <w:b/>
          <w:color w:val="auto"/>
          <w:sz w:val="21"/>
          <w:szCs w:val="21"/>
          <w:highlight w:val="none"/>
        </w:rPr>
      </w:pPr>
    </w:p>
    <w:p w14:paraId="4598105C">
      <w:pPr>
        <w:snapToGrid w:val="0"/>
        <w:spacing w:before="120" w:beforeLines="50" w:line="400" w:lineRule="exact"/>
        <w:ind w:firstLine="420"/>
        <w:rPr>
          <w:rFonts w:hint="eastAsia" w:ascii="微软雅黑" w:hAnsi="微软雅黑"/>
          <w:b/>
          <w:color w:val="auto"/>
          <w:szCs w:val="21"/>
          <w:highlight w:val="none"/>
        </w:rPr>
      </w:pPr>
      <w:r>
        <w:rPr>
          <w:rFonts w:hint="eastAsia" w:ascii="微软雅黑" w:hAnsi="微软雅黑"/>
          <w:b/>
          <w:color w:val="auto"/>
          <w:szCs w:val="21"/>
          <w:highlight w:val="none"/>
        </w:rPr>
        <w:t>注：</w:t>
      </w:r>
      <w:r>
        <w:rPr>
          <w:rFonts w:hint="eastAsia" w:ascii="微软雅黑" w:hAnsi="微软雅黑"/>
          <w:color w:val="auto"/>
          <w:szCs w:val="21"/>
          <w:highlight w:val="none"/>
        </w:rPr>
        <w:t>须同时合同复印件证明材料加盖公章</w:t>
      </w:r>
    </w:p>
    <w:p w14:paraId="13F97F8E">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法定代表人（负责人）或</w:t>
      </w:r>
      <w:r>
        <w:rPr>
          <w:rFonts w:hint="eastAsia" w:ascii="微软雅黑" w:hAnsi="微软雅黑"/>
          <w:color w:val="auto"/>
          <w:szCs w:val="21"/>
          <w:highlight w:val="none"/>
        </w:rPr>
        <w:t>被授权人签字（或盖章）：</w:t>
      </w:r>
    </w:p>
    <w:p w14:paraId="3A524F2E">
      <w:pPr>
        <w:pStyle w:val="122"/>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7F7CE0A7">
      <w:pPr>
        <w:pStyle w:val="122"/>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2E0855FC">
      <w:pPr>
        <w:snapToGrid w:val="0"/>
        <w:spacing w:before="120" w:beforeLines="50" w:after="50" w:line="400" w:lineRule="exact"/>
        <w:ind w:firstLine="240" w:firstLineChars="100"/>
        <w:rPr>
          <w:color w:val="auto"/>
          <w:sz w:val="24"/>
          <w:highlight w:val="none"/>
        </w:rPr>
      </w:pPr>
    </w:p>
    <w:p w14:paraId="6F9D59C2">
      <w:pPr>
        <w:rPr>
          <w:b/>
          <w:color w:val="auto"/>
          <w:sz w:val="24"/>
          <w:highlight w:val="none"/>
        </w:rPr>
        <w:sectPr>
          <w:type w:val="nextColumn"/>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p>
    <w:p w14:paraId="68B0373F">
      <w:pPr>
        <w:ind w:firstLine="482"/>
        <w:rPr>
          <w:rFonts w:hint="eastAsia" w:ascii="微软雅黑" w:hAnsi="微软雅黑" w:cs="仿宋_GB2312"/>
          <w:b/>
          <w:color w:val="auto"/>
          <w:kern w:val="0"/>
          <w:szCs w:val="21"/>
          <w:highlight w:val="none"/>
        </w:rPr>
      </w:pPr>
      <w:r>
        <w:rPr>
          <w:rFonts w:hint="eastAsia" w:eastAsia="宋体"/>
          <w:b/>
          <w:color w:val="auto"/>
          <w:sz w:val="24"/>
          <w:highlight w:val="none"/>
        </w:rPr>
        <w:t>2.</w:t>
      </w:r>
      <w:r>
        <w:rPr>
          <w:rFonts w:hint="eastAsia" w:ascii="微软雅黑" w:hAnsi="微软雅黑"/>
          <w:b/>
          <w:color w:val="auto"/>
          <w:szCs w:val="21"/>
          <w:highlight w:val="none"/>
        </w:rPr>
        <w:t>商务响应表格式：</w:t>
      </w:r>
    </w:p>
    <w:p w14:paraId="13A724F9">
      <w:pPr>
        <w:ind w:firstLine="420"/>
        <w:jc w:val="center"/>
        <w:rPr>
          <w:rFonts w:hint="eastAsia" w:ascii="微软雅黑" w:hAnsi="微软雅黑" w:cs="仿宋_GB2312"/>
          <w:b/>
          <w:color w:val="auto"/>
          <w:kern w:val="0"/>
          <w:szCs w:val="21"/>
          <w:highlight w:val="none"/>
        </w:rPr>
      </w:pPr>
      <w:r>
        <w:rPr>
          <w:rFonts w:hint="eastAsia" w:ascii="微软雅黑" w:hAnsi="微软雅黑" w:cs="仿宋_GB2312"/>
          <w:b/>
          <w:color w:val="auto"/>
          <w:kern w:val="0"/>
          <w:szCs w:val="21"/>
          <w:highlight w:val="none"/>
        </w:rPr>
        <w:t>商务响应表</w:t>
      </w:r>
    </w:p>
    <w:tbl>
      <w:tblPr>
        <w:tblStyle w:val="54"/>
        <w:tblW w:w="9026" w:type="dxa"/>
        <w:tblInd w:w="27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086"/>
        <w:gridCol w:w="3710"/>
        <w:gridCol w:w="1320"/>
      </w:tblGrid>
      <w:tr w14:paraId="291DE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0DF5A9CF">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序号</w:t>
            </w:r>
          </w:p>
        </w:tc>
        <w:tc>
          <w:tcPr>
            <w:tcW w:w="3086" w:type="dxa"/>
          </w:tcPr>
          <w:p w14:paraId="097389B4">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招标文件的规定</w:t>
            </w:r>
          </w:p>
        </w:tc>
        <w:tc>
          <w:tcPr>
            <w:tcW w:w="3710" w:type="dxa"/>
          </w:tcPr>
          <w:p w14:paraId="065503DE">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投标文件的响应</w:t>
            </w:r>
          </w:p>
        </w:tc>
        <w:tc>
          <w:tcPr>
            <w:tcW w:w="1320" w:type="dxa"/>
          </w:tcPr>
          <w:p w14:paraId="373828BC">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偏离说明</w:t>
            </w:r>
          </w:p>
        </w:tc>
      </w:tr>
      <w:tr w14:paraId="0C5B7B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49929424">
            <w:pPr>
              <w:spacing w:line="240" w:lineRule="auto"/>
              <w:ind w:firstLine="0" w:firstLineChars="0"/>
              <w:rPr>
                <w:rFonts w:hint="eastAsia" w:ascii="微软雅黑" w:hAnsi="微软雅黑"/>
                <w:color w:val="auto"/>
                <w:szCs w:val="21"/>
                <w:highlight w:val="none"/>
              </w:rPr>
            </w:pPr>
          </w:p>
        </w:tc>
        <w:tc>
          <w:tcPr>
            <w:tcW w:w="3086" w:type="dxa"/>
          </w:tcPr>
          <w:p w14:paraId="76386F04">
            <w:pPr>
              <w:spacing w:line="240" w:lineRule="auto"/>
              <w:ind w:firstLine="0" w:firstLineChars="0"/>
              <w:rPr>
                <w:rFonts w:hint="eastAsia" w:ascii="微软雅黑" w:hAnsi="微软雅黑"/>
                <w:color w:val="auto"/>
                <w:szCs w:val="21"/>
                <w:highlight w:val="none"/>
              </w:rPr>
            </w:pPr>
          </w:p>
        </w:tc>
        <w:tc>
          <w:tcPr>
            <w:tcW w:w="3710" w:type="dxa"/>
          </w:tcPr>
          <w:p w14:paraId="3B661AF7">
            <w:pPr>
              <w:spacing w:line="240" w:lineRule="auto"/>
              <w:ind w:firstLine="0" w:firstLineChars="0"/>
              <w:rPr>
                <w:rFonts w:hint="eastAsia" w:ascii="微软雅黑" w:hAnsi="微软雅黑"/>
                <w:color w:val="auto"/>
                <w:szCs w:val="21"/>
                <w:highlight w:val="none"/>
              </w:rPr>
            </w:pPr>
          </w:p>
        </w:tc>
        <w:tc>
          <w:tcPr>
            <w:tcW w:w="1320" w:type="dxa"/>
          </w:tcPr>
          <w:p w14:paraId="6EC796F3">
            <w:pPr>
              <w:spacing w:line="240" w:lineRule="auto"/>
              <w:ind w:firstLine="0" w:firstLineChars="0"/>
              <w:rPr>
                <w:rFonts w:hint="eastAsia" w:ascii="微软雅黑" w:hAnsi="微软雅黑"/>
                <w:color w:val="auto"/>
                <w:szCs w:val="21"/>
                <w:highlight w:val="none"/>
              </w:rPr>
            </w:pPr>
          </w:p>
        </w:tc>
      </w:tr>
      <w:tr w14:paraId="6A3E9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10" w:type="dxa"/>
          </w:tcPr>
          <w:p w14:paraId="72715451">
            <w:pPr>
              <w:spacing w:line="240" w:lineRule="auto"/>
              <w:ind w:firstLine="0" w:firstLineChars="0"/>
              <w:rPr>
                <w:rFonts w:hint="eastAsia" w:ascii="微软雅黑" w:hAnsi="微软雅黑"/>
                <w:color w:val="auto"/>
                <w:szCs w:val="21"/>
                <w:highlight w:val="none"/>
              </w:rPr>
            </w:pPr>
          </w:p>
        </w:tc>
        <w:tc>
          <w:tcPr>
            <w:tcW w:w="3086" w:type="dxa"/>
          </w:tcPr>
          <w:p w14:paraId="0EC6DD31">
            <w:pPr>
              <w:spacing w:line="240" w:lineRule="auto"/>
              <w:ind w:firstLine="0" w:firstLineChars="0"/>
              <w:rPr>
                <w:rFonts w:hint="eastAsia" w:ascii="微软雅黑" w:hAnsi="微软雅黑"/>
                <w:color w:val="auto"/>
                <w:szCs w:val="21"/>
                <w:highlight w:val="none"/>
              </w:rPr>
            </w:pPr>
          </w:p>
        </w:tc>
        <w:tc>
          <w:tcPr>
            <w:tcW w:w="3710" w:type="dxa"/>
          </w:tcPr>
          <w:p w14:paraId="0D75A094">
            <w:pPr>
              <w:spacing w:line="240" w:lineRule="auto"/>
              <w:ind w:firstLine="0" w:firstLineChars="0"/>
              <w:rPr>
                <w:rFonts w:hint="eastAsia" w:ascii="微软雅黑" w:hAnsi="微软雅黑"/>
                <w:color w:val="auto"/>
                <w:szCs w:val="21"/>
                <w:highlight w:val="none"/>
              </w:rPr>
            </w:pPr>
          </w:p>
        </w:tc>
        <w:tc>
          <w:tcPr>
            <w:tcW w:w="1320" w:type="dxa"/>
          </w:tcPr>
          <w:p w14:paraId="34810661">
            <w:pPr>
              <w:spacing w:line="240" w:lineRule="auto"/>
              <w:ind w:firstLine="0" w:firstLineChars="0"/>
              <w:rPr>
                <w:rFonts w:hint="eastAsia" w:ascii="微软雅黑" w:hAnsi="微软雅黑"/>
                <w:color w:val="auto"/>
                <w:szCs w:val="21"/>
                <w:highlight w:val="none"/>
              </w:rPr>
            </w:pPr>
          </w:p>
        </w:tc>
      </w:tr>
      <w:tr w14:paraId="62C8E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13158410">
            <w:pPr>
              <w:spacing w:line="240" w:lineRule="auto"/>
              <w:ind w:firstLine="0" w:firstLineChars="0"/>
              <w:rPr>
                <w:rFonts w:hint="eastAsia" w:ascii="微软雅黑" w:hAnsi="微软雅黑"/>
                <w:color w:val="auto"/>
                <w:szCs w:val="21"/>
                <w:highlight w:val="none"/>
              </w:rPr>
            </w:pPr>
          </w:p>
        </w:tc>
        <w:tc>
          <w:tcPr>
            <w:tcW w:w="3086" w:type="dxa"/>
          </w:tcPr>
          <w:p w14:paraId="25BF5AE0">
            <w:pPr>
              <w:spacing w:line="240" w:lineRule="auto"/>
              <w:ind w:firstLine="0" w:firstLineChars="0"/>
              <w:rPr>
                <w:rFonts w:hint="eastAsia" w:ascii="微软雅黑" w:hAnsi="微软雅黑"/>
                <w:color w:val="auto"/>
                <w:szCs w:val="21"/>
                <w:highlight w:val="none"/>
              </w:rPr>
            </w:pPr>
          </w:p>
        </w:tc>
        <w:tc>
          <w:tcPr>
            <w:tcW w:w="3710" w:type="dxa"/>
          </w:tcPr>
          <w:p w14:paraId="7BD82B79">
            <w:pPr>
              <w:spacing w:line="240" w:lineRule="auto"/>
              <w:ind w:firstLine="0" w:firstLineChars="0"/>
              <w:rPr>
                <w:rFonts w:hint="eastAsia" w:ascii="微软雅黑" w:hAnsi="微软雅黑"/>
                <w:color w:val="auto"/>
                <w:szCs w:val="21"/>
                <w:highlight w:val="none"/>
              </w:rPr>
            </w:pPr>
          </w:p>
        </w:tc>
        <w:tc>
          <w:tcPr>
            <w:tcW w:w="1320" w:type="dxa"/>
          </w:tcPr>
          <w:p w14:paraId="04E26AE0">
            <w:pPr>
              <w:spacing w:line="240" w:lineRule="auto"/>
              <w:ind w:firstLine="0" w:firstLineChars="0"/>
              <w:rPr>
                <w:rFonts w:hint="eastAsia" w:ascii="微软雅黑" w:hAnsi="微软雅黑"/>
                <w:color w:val="auto"/>
                <w:szCs w:val="21"/>
                <w:highlight w:val="none"/>
              </w:rPr>
            </w:pPr>
          </w:p>
        </w:tc>
      </w:tr>
    </w:tbl>
    <w:p w14:paraId="61F1CF52">
      <w:pPr>
        <w:ind w:firstLine="420"/>
        <w:rPr>
          <w:rFonts w:hint="eastAsia" w:ascii="微软雅黑" w:hAnsi="微软雅黑"/>
          <w:b/>
          <w:color w:val="auto"/>
          <w:szCs w:val="21"/>
          <w:highlight w:val="none"/>
        </w:rPr>
      </w:pPr>
      <w:r>
        <w:rPr>
          <w:rFonts w:hint="eastAsia" w:ascii="微软雅黑" w:hAnsi="微软雅黑"/>
          <w:b/>
          <w:color w:val="auto"/>
          <w:szCs w:val="21"/>
          <w:highlight w:val="none"/>
        </w:rPr>
        <w:t>注：投标供应商的投标文件（除技术规格部分）与招标文件之规定存在偏离的，应在此表中如实说明。未在上表中说明的，将被认为完全响应招标文件的规定。</w:t>
      </w:r>
    </w:p>
    <w:p w14:paraId="4F42C74B">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法定代表人（负责人）或</w:t>
      </w:r>
      <w:r>
        <w:rPr>
          <w:rFonts w:hint="eastAsia" w:ascii="微软雅黑" w:hAnsi="微软雅黑"/>
          <w:color w:val="auto"/>
          <w:szCs w:val="21"/>
          <w:highlight w:val="none"/>
        </w:rPr>
        <w:t>被授权人签字（或盖章）：</w:t>
      </w:r>
    </w:p>
    <w:p w14:paraId="5657723B">
      <w:pPr>
        <w:pStyle w:val="122"/>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5D654391">
      <w:pPr>
        <w:pStyle w:val="122"/>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1F4B43E2">
      <w:pPr>
        <w:ind w:firstLine="643"/>
        <w:jc w:val="center"/>
        <w:rPr>
          <w:rFonts w:hint="eastAsia" w:ascii="仿宋_GB2312" w:hAnsi="仿宋" w:eastAsia="仿宋_GB2312" w:cs="仿宋_GB2312"/>
          <w:b/>
          <w:color w:val="auto"/>
          <w:kern w:val="0"/>
          <w:sz w:val="32"/>
          <w:szCs w:val="32"/>
          <w:highlight w:val="none"/>
        </w:rPr>
      </w:pPr>
    </w:p>
    <w:p w14:paraId="7EB7583A">
      <w:pPr>
        <w:ind w:firstLine="643"/>
        <w:jc w:val="center"/>
        <w:rPr>
          <w:rFonts w:hint="eastAsia" w:ascii="仿宋_GB2312" w:hAnsi="仿宋" w:eastAsia="仿宋_GB2312" w:cs="仿宋_GB2312"/>
          <w:b/>
          <w:color w:val="auto"/>
          <w:kern w:val="0"/>
          <w:sz w:val="32"/>
          <w:szCs w:val="32"/>
          <w:highlight w:val="none"/>
        </w:rPr>
      </w:pPr>
    </w:p>
    <w:p w14:paraId="032B661B">
      <w:pPr>
        <w:snapToGrid w:val="0"/>
        <w:spacing w:before="50" w:after="120" w:afterLines="50"/>
        <w:rPr>
          <w:b/>
          <w:color w:val="auto"/>
          <w:sz w:val="24"/>
          <w:highlight w:val="none"/>
        </w:rPr>
        <w:sectPr>
          <w:type w:val="nextColumn"/>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p>
    <w:p w14:paraId="0DDC2208">
      <w:pPr>
        <w:snapToGrid w:val="0"/>
        <w:spacing w:before="50" w:after="120" w:afterLines="50"/>
        <w:ind w:firstLine="420"/>
        <w:rPr>
          <w:rFonts w:hint="eastAsia" w:ascii="微软雅黑" w:hAnsi="微软雅黑"/>
          <w:b/>
          <w:color w:val="auto"/>
          <w:szCs w:val="21"/>
          <w:highlight w:val="none"/>
        </w:rPr>
      </w:pPr>
      <w:r>
        <w:rPr>
          <w:rFonts w:hint="eastAsia" w:ascii="微软雅黑" w:hAnsi="微软雅黑"/>
          <w:b/>
          <w:color w:val="auto"/>
          <w:szCs w:val="21"/>
          <w:highlight w:val="none"/>
        </w:rPr>
        <w:t>3</w:t>
      </w:r>
      <w:r>
        <w:rPr>
          <w:rFonts w:ascii="微软雅黑" w:hAnsi="微软雅黑"/>
          <w:b/>
          <w:color w:val="auto"/>
          <w:szCs w:val="21"/>
          <w:highlight w:val="none"/>
        </w:rPr>
        <w:t>.技术响应表格式：</w:t>
      </w:r>
    </w:p>
    <w:p w14:paraId="1D899438">
      <w:pPr>
        <w:snapToGrid w:val="0"/>
        <w:spacing w:before="50" w:after="120" w:afterLines="50"/>
        <w:ind w:firstLine="420"/>
        <w:jc w:val="center"/>
        <w:rPr>
          <w:rFonts w:hint="eastAsia" w:ascii="微软雅黑" w:hAnsi="微软雅黑"/>
          <w:color w:val="auto"/>
          <w:szCs w:val="21"/>
          <w:highlight w:val="none"/>
          <w:u w:val="single"/>
        </w:rPr>
      </w:pPr>
      <w:r>
        <w:rPr>
          <w:rFonts w:ascii="微软雅黑" w:hAnsi="微软雅黑"/>
          <w:b/>
          <w:color w:val="auto"/>
          <w:szCs w:val="21"/>
          <w:highlight w:val="none"/>
        </w:rPr>
        <w:t>技术响应表</w:t>
      </w:r>
    </w:p>
    <w:tbl>
      <w:tblPr>
        <w:tblStyle w:val="54"/>
        <w:tblW w:w="89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1"/>
        <w:gridCol w:w="2358"/>
        <w:gridCol w:w="2358"/>
        <w:gridCol w:w="2620"/>
        <w:gridCol w:w="791"/>
      </w:tblGrid>
      <w:tr w14:paraId="2BB260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4" w:hRule="atLeast"/>
        </w:trPr>
        <w:tc>
          <w:tcPr>
            <w:tcW w:w="791" w:type="dxa"/>
            <w:tcBorders>
              <w:top w:val="single" w:color="auto" w:sz="4" w:space="0"/>
              <w:left w:val="single" w:color="auto" w:sz="4" w:space="0"/>
              <w:bottom w:val="single" w:color="auto" w:sz="4" w:space="0"/>
              <w:right w:val="single" w:color="auto" w:sz="4" w:space="0"/>
            </w:tcBorders>
          </w:tcPr>
          <w:p w14:paraId="30CA0EBB">
            <w:pPr>
              <w:pStyle w:val="29"/>
              <w:snapToGrid w:val="0"/>
              <w:spacing w:line="240" w:lineRule="auto"/>
              <w:ind w:firstLine="0" w:firstLineChars="0"/>
              <w:jc w:val="center"/>
              <w:outlineLvl w:val="0"/>
              <w:rPr>
                <w:rFonts w:hint="eastAsia" w:ascii="微软雅黑" w:hAnsi="微软雅黑"/>
                <w:color w:val="auto"/>
                <w:szCs w:val="21"/>
                <w:highlight w:val="none"/>
              </w:rPr>
            </w:pPr>
            <w:bookmarkStart w:id="210" w:name="_Toc164943227"/>
            <w:bookmarkStart w:id="211" w:name="_Toc465368115"/>
            <w:bookmarkStart w:id="212" w:name="_Toc20307"/>
            <w:bookmarkStart w:id="213" w:name="_Toc169015150"/>
            <w:bookmarkStart w:id="214" w:name="_Toc17952"/>
            <w:r>
              <w:rPr>
                <w:rFonts w:ascii="微软雅黑" w:hAnsi="微软雅黑"/>
                <w:color w:val="auto"/>
                <w:szCs w:val="21"/>
                <w:highlight w:val="none"/>
              </w:rPr>
              <w:t>序号</w:t>
            </w:r>
            <w:bookmarkEnd w:id="210"/>
            <w:bookmarkEnd w:id="211"/>
            <w:bookmarkEnd w:id="212"/>
            <w:bookmarkEnd w:id="213"/>
            <w:bookmarkEnd w:id="214"/>
          </w:p>
        </w:tc>
        <w:tc>
          <w:tcPr>
            <w:tcW w:w="2358" w:type="dxa"/>
            <w:tcBorders>
              <w:top w:val="single" w:color="auto" w:sz="4" w:space="0"/>
              <w:left w:val="single" w:color="auto" w:sz="4" w:space="0"/>
              <w:bottom w:val="single" w:color="auto" w:sz="4" w:space="0"/>
              <w:right w:val="single" w:color="auto" w:sz="4" w:space="0"/>
            </w:tcBorders>
          </w:tcPr>
          <w:p w14:paraId="662037C4">
            <w:pPr>
              <w:pStyle w:val="29"/>
              <w:snapToGrid w:val="0"/>
              <w:spacing w:line="240" w:lineRule="auto"/>
              <w:ind w:firstLine="0" w:firstLineChars="0"/>
              <w:jc w:val="center"/>
              <w:outlineLvl w:val="0"/>
              <w:rPr>
                <w:rFonts w:hint="eastAsia" w:ascii="微软雅黑" w:hAnsi="微软雅黑"/>
                <w:color w:val="auto"/>
                <w:szCs w:val="21"/>
                <w:highlight w:val="none"/>
              </w:rPr>
            </w:pPr>
            <w:bookmarkStart w:id="215" w:name="_Toc406403001"/>
            <w:bookmarkStart w:id="216" w:name="_Toc381081903"/>
            <w:bookmarkStart w:id="217" w:name="_Toc406402957"/>
            <w:bookmarkStart w:id="218" w:name="_Toc377028123"/>
            <w:bookmarkStart w:id="219" w:name="_Toc377653980"/>
            <w:bookmarkStart w:id="220" w:name="_Toc402963095"/>
            <w:bookmarkStart w:id="221" w:name="_Toc26033"/>
            <w:bookmarkStart w:id="222" w:name="_Toc382928122"/>
            <w:bookmarkStart w:id="223" w:name="_Toc402963132"/>
            <w:bookmarkStart w:id="224" w:name="_Toc402963099"/>
            <w:bookmarkStart w:id="225" w:name="_Toc169015152"/>
            <w:bookmarkStart w:id="226" w:name="_Toc401570314"/>
            <w:bookmarkStart w:id="227" w:name="_Toc377653976"/>
            <w:bookmarkStart w:id="228" w:name="_Toc377028119"/>
            <w:bookmarkStart w:id="229" w:name="_Toc406402961"/>
            <w:bookmarkStart w:id="230" w:name="_Toc382928240"/>
            <w:bookmarkStart w:id="231" w:name="_Toc377028061"/>
            <w:bookmarkStart w:id="232" w:name="_Toc385854160"/>
            <w:bookmarkStart w:id="233" w:name="_Toc401570290"/>
            <w:bookmarkStart w:id="234" w:name="_Toc381081907"/>
            <w:bookmarkStart w:id="235" w:name="_Toc402963128"/>
            <w:bookmarkStart w:id="236" w:name="_Toc734611807"/>
            <w:bookmarkStart w:id="237" w:name="_Toc16394"/>
            <w:bookmarkStart w:id="238" w:name="_Toc164943229"/>
            <w:bookmarkStart w:id="239" w:name="_Toc401570294"/>
            <w:bookmarkStart w:id="240" w:name="_Toc401570318"/>
            <w:bookmarkStart w:id="241" w:name="_Toc385854114"/>
            <w:bookmarkStart w:id="242" w:name="_Toc382928118"/>
            <w:bookmarkStart w:id="243" w:name="_Toc377028057"/>
            <w:bookmarkStart w:id="244" w:name="_Toc385854156"/>
            <w:bookmarkStart w:id="245" w:name="_Toc382928236"/>
            <w:bookmarkStart w:id="246" w:name="_Toc406403005"/>
            <w:bookmarkStart w:id="247" w:name="_Toc385854110"/>
            <w:r>
              <w:rPr>
                <w:rFonts w:ascii="微软雅黑" w:hAnsi="微软雅黑"/>
                <w:color w:val="auto"/>
                <w:szCs w:val="21"/>
                <w:highlight w:val="none"/>
              </w:rPr>
              <w:t>招标文件要求</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tc>
        <w:tc>
          <w:tcPr>
            <w:tcW w:w="2358" w:type="dxa"/>
            <w:tcBorders>
              <w:top w:val="single" w:color="auto" w:sz="4" w:space="0"/>
              <w:left w:val="single" w:color="auto" w:sz="4" w:space="0"/>
              <w:bottom w:val="single" w:color="auto" w:sz="4" w:space="0"/>
              <w:right w:val="single" w:color="auto" w:sz="4" w:space="0"/>
            </w:tcBorders>
          </w:tcPr>
          <w:p w14:paraId="1939D8D3">
            <w:pPr>
              <w:pStyle w:val="29"/>
              <w:snapToGrid w:val="0"/>
              <w:spacing w:line="240" w:lineRule="auto"/>
              <w:ind w:firstLine="0" w:firstLineChars="0"/>
              <w:jc w:val="center"/>
              <w:outlineLvl w:val="0"/>
              <w:rPr>
                <w:rFonts w:hint="eastAsia" w:ascii="微软雅黑" w:hAnsi="微软雅黑"/>
                <w:color w:val="auto"/>
                <w:szCs w:val="21"/>
                <w:highlight w:val="none"/>
              </w:rPr>
            </w:pPr>
            <w:bookmarkStart w:id="248" w:name="_Toc377028120"/>
            <w:bookmarkStart w:id="249" w:name="_Toc402963096"/>
            <w:bookmarkStart w:id="250" w:name="_Toc385854111"/>
            <w:bookmarkStart w:id="251" w:name="_Toc377028058"/>
            <w:bookmarkStart w:id="252" w:name="_Toc381081904"/>
            <w:bookmarkStart w:id="253" w:name="_Toc406402958"/>
            <w:bookmarkStart w:id="254" w:name="_Toc385854157"/>
            <w:bookmarkStart w:id="255" w:name="_Toc406403002"/>
            <w:bookmarkStart w:id="256" w:name="_Toc401570291"/>
            <w:bookmarkStart w:id="257" w:name="_Toc401570315"/>
            <w:bookmarkStart w:id="258" w:name="_Toc402963129"/>
            <w:bookmarkStart w:id="259" w:name="_Toc377653977"/>
            <w:bookmarkStart w:id="260" w:name="_Toc382928119"/>
            <w:bookmarkStart w:id="261" w:name="_Toc382928237"/>
            <w:bookmarkStart w:id="262" w:name="_Toc929162729"/>
            <w:bookmarkStart w:id="263" w:name="_Toc18460"/>
            <w:bookmarkStart w:id="264" w:name="_Toc20550"/>
            <w:bookmarkStart w:id="265" w:name="_Toc164943230"/>
            <w:bookmarkStart w:id="266" w:name="_Toc169015153"/>
            <w:r>
              <w:rPr>
                <w:rFonts w:ascii="微软雅黑" w:hAnsi="微软雅黑"/>
                <w:color w:val="auto"/>
                <w:szCs w:val="21"/>
                <w:highlight w:val="none"/>
              </w:rPr>
              <w:t>投标文件</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Pr>
                <w:rFonts w:ascii="微软雅黑" w:hAnsi="微软雅黑"/>
                <w:color w:val="auto"/>
                <w:szCs w:val="21"/>
                <w:highlight w:val="none"/>
              </w:rPr>
              <w:t>指标</w:t>
            </w:r>
            <w:bookmarkEnd w:id="262"/>
            <w:bookmarkEnd w:id="263"/>
            <w:bookmarkEnd w:id="264"/>
            <w:bookmarkEnd w:id="265"/>
            <w:bookmarkEnd w:id="266"/>
          </w:p>
        </w:tc>
        <w:tc>
          <w:tcPr>
            <w:tcW w:w="2620" w:type="dxa"/>
            <w:tcBorders>
              <w:top w:val="single" w:color="auto" w:sz="4" w:space="0"/>
              <w:left w:val="single" w:color="auto" w:sz="4" w:space="0"/>
              <w:bottom w:val="single" w:color="auto" w:sz="4" w:space="0"/>
              <w:right w:val="single" w:color="auto" w:sz="4" w:space="0"/>
            </w:tcBorders>
          </w:tcPr>
          <w:p w14:paraId="09026E11">
            <w:pPr>
              <w:pStyle w:val="29"/>
              <w:snapToGrid w:val="0"/>
              <w:spacing w:line="240" w:lineRule="auto"/>
              <w:ind w:firstLine="0" w:firstLineChars="0"/>
              <w:jc w:val="center"/>
              <w:outlineLvl w:val="0"/>
              <w:rPr>
                <w:rFonts w:hint="eastAsia" w:ascii="微软雅黑" w:hAnsi="微软雅黑"/>
                <w:color w:val="auto"/>
                <w:szCs w:val="21"/>
                <w:highlight w:val="none"/>
              </w:rPr>
            </w:pPr>
            <w:bookmarkStart w:id="267" w:name="_Toc381081905"/>
            <w:bookmarkStart w:id="268" w:name="_Toc382928238"/>
            <w:bookmarkStart w:id="269" w:name="_Toc402963130"/>
            <w:bookmarkStart w:id="270" w:name="_Toc377028059"/>
            <w:bookmarkStart w:id="271" w:name="_Toc382928120"/>
            <w:bookmarkStart w:id="272" w:name="_Toc385854112"/>
            <w:bookmarkStart w:id="273" w:name="_Toc385854158"/>
            <w:bookmarkStart w:id="274" w:name="_Toc377028121"/>
            <w:bookmarkStart w:id="275" w:name="_Toc402963097"/>
            <w:bookmarkStart w:id="276" w:name="_Toc377653978"/>
            <w:bookmarkStart w:id="277" w:name="_Toc401570316"/>
            <w:bookmarkStart w:id="278" w:name="_Toc401570292"/>
            <w:bookmarkStart w:id="279" w:name="_Toc406402959"/>
            <w:bookmarkStart w:id="280" w:name="_Toc406403003"/>
            <w:bookmarkStart w:id="281" w:name="_Toc961276098"/>
            <w:bookmarkStart w:id="282" w:name="_Toc169015154"/>
            <w:bookmarkStart w:id="283" w:name="_Toc23603"/>
            <w:bookmarkStart w:id="284" w:name="_Toc31934"/>
            <w:bookmarkStart w:id="285" w:name="_Toc164943231"/>
            <w:r>
              <w:rPr>
                <w:rFonts w:ascii="微软雅黑" w:hAnsi="微软雅黑"/>
                <w:color w:val="auto"/>
                <w:szCs w:val="21"/>
                <w:highlight w:val="none"/>
              </w:rPr>
              <w:t>偏离情况</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Pr>
                <w:rFonts w:ascii="微软雅黑" w:hAnsi="微软雅黑"/>
                <w:color w:val="auto"/>
                <w:szCs w:val="21"/>
                <w:highlight w:val="none"/>
              </w:rPr>
              <w:t>及证明材料</w:t>
            </w:r>
            <w:bookmarkEnd w:id="281"/>
            <w:bookmarkEnd w:id="282"/>
            <w:bookmarkEnd w:id="283"/>
            <w:bookmarkEnd w:id="284"/>
            <w:bookmarkEnd w:id="285"/>
          </w:p>
        </w:tc>
        <w:tc>
          <w:tcPr>
            <w:tcW w:w="791" w:type="dxa"/>
            <w:tcBorders>
              <w:top w:val="single" w:color="auto" w:sz="4" w:space="0"/>
              <w:left w:val="single" w:color="auto" w:sz="4" w:space="0"/>
              <w:bottom w:val="single" w:color="auto" w:sz="4" w:space="0"/>
              <w:right w:val="single" w:color="auto" w:sz="4" w:space="0"/>
            </w:tcBorders>
            <w:vAlign w:val="center"/>
          </w:tcPr>
          <w:p w14:paraId="42F1A2B2">
            <w:pPr>
              <w:widowControl/>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备注</w:t>
            </w:r>
          </w:p>
        </w:tc>
      </w:tr>
      <w:tr w14:paraId="343D75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8" w:hRule="atLeast"/>
        </w:trPr>
        <w:tc>
          <w:tcPr>
            <w:tcW w:w="791" w:type="dxa"/>
            <w:tcBorders>
              <w:top w:val="single" w:color="auto" w:sz="4" w:space="0"/>
              <w:left w:val="single" w:color="auto" w:sz="4" w:space="0"/>
              <w:bottom w:val="single" w:color="auto" w:sz="4" w:space="0"/>
              <w:right w:val="single" w:color="auto" w:sz="4" w:space="0"/>
            </w:tcBorders>
            <w:vAlign w:val="center"/>
          </w:tcPr>
          <w:p w14:paraId="196612B0">
            <w:pPr>
              <w:pStyle w:val="29"/>
              <w:snapToGrid w:val="0"/>
              <w:spacing w:line="240" w:lineRule="auto"/>
              <w:ind w:firstLine="0" w:firstLineChars="0"/>
              <w:rPr>
                <w:rFonts w:hint="eastAsia" w:ascii="微软雅黑" w:hAnsi="微软雅黑"/>
                <w:color w:val="auto"/>
                <w:szCs w:val="21"/>
                <w:highlight w:val="none"/>
              </w:rPr>
            </w:pPr>
          </w:p>
        </w:tc>
        <w:tc>
          <w:tcPr>
            <w:tcW w:w="2358" w:type="dxa"/>
            <w:tcBorders>
              <w:top w:val="single" w:color="auto" w:sz="4" w:space="0"/>
              <w:left w:val="single" w:color="auto" w:sz="4" w:space="0"/>
              <w:bottom w:val="single" w:color="auto" w:sz="4" w:space="0"/>
              <w:right w:val="single" w:color="auto" w:sz="4" w:space="0"/>
            </w:tcBorders>
            <w:vAlign w:val="center"/>
          </w:tcPr>
          <w:p w14:paraId="2565A94F">
            <w:pPr>
              <w:pStyle w:val="29"/>
              <w:snapToGrid w:val="0"/>
              <w:spacing w:line="240" w:lineRule="auto"/>
              <w:ind w:firstLine="0" w:firstLineChars="0"/>
              <w:rPr>
                <w:rFonts w:hint="eastAsia" w:ascii="微软雅黑" w:hAnsi="微软雅黑"/>
                <w:color w:val="auto"/>
                <w:szCs w:val="21"/>
                <w:highlight w:val="none"/>
              </w:rPr>
            </w:pPr>
          </w:p>
        </w:tc>
        <w:tc>
          <w:tcPr>
            <w:tcW w:w="2358" w:type="dxa"/>
            <w:tcBorders>
              <w:top w:val="single" w:color="auto" w:sz="4" w:space="0"/>
              <w:left w:val="single" w:color="auto" w:sz="4" w:space="0"/>
              <w:bottom w:val="single" w:color="auto" w:sz="4" w:space="0"/>
              <w:right w:val="single" w:color="auto" w:sz="4" w:space="0"/>
            </w:tcBorders>
          </w:tcPr>
          <w:p w14:paraId="258BBB5D">
            <w:pPr>
              <w:pStyle w:val="29"/>
              <w:snapToGrid w:val="0"/>
              <w:spacing w:line="240" w:lineRule="auto"/>
              <w:ind w:firstLine="0" w:firstLineChars="0"/>
              <w:rPr>
                <w:rFonts w:hint="eastAsia" w:ascii="微软雅黑" w:hAnsi="微软雅黑"/>
                <w:color w:val="auto"/>
                <w:szCs w:val="21"/>
                <w:highlight w:val="none"/>
              </w:rPr>
            </w:pPr>
          </w:p>
        </w:tc>
        <w:tc>
          <w:tcPr>
            <w:tcW w:w="2620" w:type="dxa"/>
            <w:tcBorders>
              <w:top w:val="single" w:color="auto" w:sz="4" w:space="0"/>
              <w:left w:val="single" w:color="auto" w:sz="4" w:space="0"/>
              <w:bottom w:val="single" w:color="auto" w:sz="4" w:space="0"/>
              <w:right w:val="single" w:color="auto" w:sz="4" w:space="0"/>
            </w:tcBorders>
          </w:tcPr>
          <w:p w14:paraId="429CD71F">
            <w:pPr>
              <w:pStyle w:val="29"/>
              <w:snapToGrid w:val="0"/>
              <w:spacing w:line="240" w:lineRule="auto"/>
              <w:ind w:firstLine="0" w:firstLineChars="0"/>
              <w:rPr>
                <w:rFonts w:hint="eastAsia" w:ascii="微软雅黑" w:hAnsi="微软雅黑"/>
                <w:color w:val="auto"/>
                <w:szCs w:val="21"/>
                <w:highlight w:val="none"/>
              </w:rPr>
            </w:pPr>
          </w:p>
        </w:tc>
        <w:tc>
          <w:tcPr>
            <w:tcW w:w="791" w:type="dxa"/>
            <w:tcBorders>
              <w:top w:val="single" w:color="auto" w:sz="4" w:space="0"/>
              <w:left w:val="single" w:color="auto" w:sz="4" w:space="0"/>
              <w:bottom w:val="single" w:color="auto" w:sz="4" w:space="0"/>
              <w:right w:val="single" w:color="auto" w:sz="4" w:space="0"/>
            </w:tcBorders>
          </w:tcPr>
          <w:p w14:paraId="536FE661">
            <w:pPr>
              <w:pStyle w:val="29"/>
              <w:snapToGrid w:val="0"/>
              <w:spacing w:line="240" w:lineRule="auto"/>
              <w:ind w:firstLine="0" w:firstLineChars="0"/>
              <w:rPr>
                <w:rFonts w:hint="eastAsia" w:ascii="微软雅黑" w:hAnsi="微软雅黑"/>
                <w:color w:val="auto"/>
                <w:szCs w:val="21"/>
                <w:highlight w:val="none"/>
              </w:rPr>
            </w:pPr>
          </w:p>
        </w:tc>
      </w:tr>
      <w:tr w14:paraId="0E2C9D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8" w:hRule="atLeast"/>
        </w:trPr>
        <w:tc>
          <w:tcPr>
            <w:tcW w:w="791" w:type="dxa"/>
            <w:tcBorders>
              <w:top w:val="single" w:color="auto" w:sz="4" w:space="0"/>
              <w:left w:val="single" w:color="auto" w:sz="4" w:space="0"/>
              <w:bottom w:val="single" w:color="auto" w:sz="4" w:space="0"/>
              <w:right w:val="single" w:color="auto" w:sz="4" w:space="0"/>
            </w:tcBorders>
            <w:vAlign w:val="center"/>
          </w:tcPr>
          <w:p w14:paraId="5E9FAFAD">
            <w:pPr>
              <w:widowControl/>
              <w:spacing w:line="240" w:lineRule="auto"/>
              <w:ind w:firstLine="0" w:firstLineChars="0"/>
              <w:rPr>
                <w:rFonts w:hint="eastAsia" w:ascii="微软雅黑" w:hAnsi="微软雅黑"/>
                <w:color w:val="auto"/>
                <w:szCs w:val="21"/>
                <w:highlight w:val="none"/>
              </w:rPr>
            </w:pPr>
          </w:p>
        </w:tc>
        <w:tc>
          <w:tcPr>
            <w:tcW w:w="2358" w:type="dxa"/>
            <w:tcBorders>
              <w:top w:val="single" w:color="auto" w:sz="4" w:space="0"/>
              <w:left w:val="single" w:color="auto" w:sz="4" w:space="0"/>
              <w:bottom w:val="single" w:color="auto" w:sz="4" w:space="0"/>
              <w:right w:val="single" w:color="auto" w:sz="4" w:space="0"/>
            </w:tcBorders>
            <w:vAlign w:val="center"/>
          </w:tcPr>
          <w:p w14:paraId="0A5CD769">
            <w:pPr>
              <w:pStyle w:val="29"/>
              <w:snapToGrid w:val="0"/>
              <w:spacing w:line="240" w:lineRule="auto"/>
              <w:ind w:firstLine="0" w:firstLineChars="0"/>
              <w:rPr>
                <w:rFonts w:hint="eastAsia" w:ascii="微软雅黑" w:hAnsi="微软雅黑"/>
                <w:color w:val="auto"/>
                <w:szCs w:val="21"/>
                <w:highlight w:val="none"/>
              </w:rPr>
            </w:pPr>
          </w:p>
        </w:tc>
        <w:tc>
          <w:tcPr>
            <w:tcW w:w="2358" w:type="dxa"/>
            <w:tcBorders>
              <w:top w:val="single" w:color="auto" w:sz="4" w:space="0"/>
              <w:left w:val="single" w:color="auto" w:sz="4" w:space="0"/>
              <w:bottom w:val="single" w:color="auto" w:sz="4" w:space="0"/>
              <w:right w:val="single" w:color="auto" w:sz="4" w:space="0"/>
            </w:tcBorders>
          </w:tcPr>
          <w:p w14:paraId="5A594991">
            <w:pPr>
              <w:pStyle w:val="29"/>
              <w:snapToGrid w:val="0"/>
              <w:spacing w:line="240" w:lineRule="auto"/>
              <w:ind w:firstLine="0" w:firstLineChars="0"/>
              <w:rPr>
                <w:rFonts w:hint="eastAsia" w:ascii="微软雅黑" w:hAnsi="微软雅黑"/>
                <w:color w:val="auto"/>
                <w:szCs w:val="21"/>
                <w:highlight w:val="none"/>
              </w:rPr>
            </w:pPr>
          </w:p>
        </w:tc>
        <w:tc>
          <w:tcPr>
            <w:tcW w:w="2620" w:type="dxa"/>
            <w:tcBorders>
              <w:top w:val="single" w:color="auto" w:sz="4" w:space="0"/>
              <w:left w:val="single" w:color="auto" w:sz="4" w:space="0"/>
              <w:bottom w:val="single" w:color="auto" w:sz="4" w:space="0"/>
              <w:right w:val="single" w:color="auto" w:sz="4" w:space="0"/>
            </w:tcBorders>
          </w:tcPr>
          <w:p w14:paraId="50116534">
            <w:pPr>
              <w:pStyle w:val="29"/>
              <w:snapToGrid w:val="0"/>
              <w:spacing w:line="240" w:lineRule="auto"/>
              <w:ind w:firstLine="0" w:firstLineChars="0"/>
              <w:rPr>
                <w:rFonts w:hint="eastAsia" w:ascii="微软雅黑" w:hAnsi="微软雅黑"/>
                <w:color w:val="auto"/>
                <w:szCs w:val="21"/>
                <w:highlight w:val="none"/>
              </w:rPr>
            </w:pPr>
          </w:p>
        </w:tc>
        <w:tc>
          <w:tcPr>
            <w:tcW w:w="791" w:type="dxa"/>
            <w:tcBorders>
              <w:top w:val="single" w:color="auto" w:sz="4" w:space="0"/>
              <w:left w:val="single" w:color="auto" w:sz="4" w:space="0"/>
              <w:bottom w:val="single" w:color="auto" w:sz="4" w:space="0"/>
              <w:right w:val="single" w:color="auto" w:sz="4" w:space="0"/>
            </w:tcBorders>
          </w:tcPr>
          <w:p w14:paraId="34EC5FB8">
            <w:pPr>
              <w:pStyle w:val="29"/>
              <w:snapToGrid w:val="0"/>
              <w:spacing w:line="240" w:lineRule="auto"/>
              <w:ind w:firstLine="0" w:firstLineChars="0"/>
              <w:rPr>
                <w:rFonts w:hint="eastAsia" w:ascii="微软雅黑" w:hAnsi="微软雅黑"/>
                <w:color w:val="auto"/>
                <w:szCs w:val="21"/>
                <w:highlight w:val="none"/>
              </w:rPr>
            </w:pPr>
          </w:p>
        </w:tc>
      </w:tr>
      <w:tr w14:paraId="4ECE26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8" w:hRule="atLeast"/>
        </w:trPr>
        <w:tc>
          <w:tcPr>
            <w:tcW w:w="791" w:type="dxa"/>
            <w:tcBorders>
              <w:top w:val="single" w:color="auto" w:sz="4" w:space="0"/>
              <w:left w:val="single" w:color="auto" w:sz="4" w:space="0"/>
              <w:bottom w:val="single" w:color="auto" w:sz="4" w:space="0"/>
              <w:right w:val="single" w:color="auto" w:sz="4" w:space="0"/>
            </w:tcBorders>
            <w:vAlign w:val="center"/>
          </w:tcPr>
          <w:p w14:paraId="11FD6CA7">
            <w:pPr>
              <w:pStyle w:val="29"/>
              <w:snapToGrid w:val="0"/>
              <w:spacing w:line="240" w:lineRule="auto"/>
              <w:ind w:firstLine="0" w:firstLineChars="0"/>
              <w:rPr>
                <w:rFonts w:hint="eastAsia" w:ascii="微软雅黑" w:hAnsi="微软雅黑"/>
                <w:color w:val="auto"/>
                <w:szCs w:val="21"/>
                <w:highlight w:val="none"/>
              </w:rPr>
            </w:pPr>
          </w:p>
        </w:tc>
        <w:tc>
          <w:tcPr>
            <w:tcW w:w="2358" w:type="dxa"/>
            <w:tcBorders>
              <w:top w:val="single" w:color="auto" w:sz="4" w:space="0"/>
              <w:left w:val="single" w:color="auto" w:sz="4" w:space="0"/>
              <w:bottom w:val="single" w:color="auto" w:sz="4" w:space="0"/>
              <w:right w:val="single" w:color="auto" w:sz="4" w:space="0"/>
            </w:tcBorders>
            <w:vAlign w:val="center"/>
          </w:tcPr>
          <w:p w14:paraId="1FF7FD16">
            <w:pPr>
              <w:pStyle w:val="29"/>
              <w:snapToGrid w:val="0"/>
              <w:spacing w:line="240" w:lineRule="auto"/>
              <w:ind w:firstLine="0" w:firstLineChars="0"/>
              <w:rPr>
                <w:rFonts w:hint="eastAsia" w:ascii="微软雅黑" w:hAnsi="微软雅黑"/>
                <w:color w:val="auto"/>
                <w:szCs w:val="21"/>
                <w:highlight w:val="none"/>
              </w:rPr>
            </w:pPr>
          </w:p>
        </w:tc>
        <w:tc>
          <w:tcPr>
            <w:tcW w:w="2358" w:type="dxa"/>
            <w:tcBorders>
              <w:top w:val="single" w:color="auto" w:sz="4" w:space="0"/>
              <w:left w:val="single" w:color="auto" w:sz="4" w:space="0"/>
              <w:bottom w:val="single" w:color="auto" w:sz="4" w:space="0"/>
              <w:right w:val="single" w:color="auto" w:sz="4" w:space="0"/>
            </w:tcBorders>
          </w:tcPr>
          <w:p w14:paraId="4600E40D">
            <w:pPr>
              <w:pStyle w:val="29"/>
              <w:snapToGrid w:val="0"/>
              <w:spacing w:line="240" w:lineRule="auto"/>
              <w:ind w:firstLine="0" w:firstLineChars="0"/>
              <w:rPr>
                <w:rFonts w:hint="eastAsia" w:ascii="微软雅黑" w:hAnsi="微软雅黑"/>
                <w:color w:val="auto"/>
                <w:szCs w:val="21"/>
                <w:highlight w:val="none"/>
              </w:rPr>
            </w:pPr>
          </w:p>
        </w:tc>
        <w:tc>
          <w:tcPr>
            <w:tcW w:w="2620" w:type="dxa"/>
            <w:tcBorders>
              <w:top w:val="single" w:color="auto" w:sz="4" w:space="0"/>
              <w:left w:val="single" w:color="auto" w:sz="4" w:space="0"/>
              <w:bottom w:val="single" w:color="auto" w:sz="4" w:space="0"/>
              <w:right w:val="single" w:color="auto" w:sz="4" w:space="0"/>
            </w:tcBorders>
          </w:tcPr>
          <w:p w14:paraId="2D4942B8">
            <w:pPr>
              <w:pStyle w:val="29"/>
              <w:snapToGrid w:val="0"/>
              <w:spacing w:line="240" w:lineRule="auto"/>
              <w:ind w:firstLine="0" w:firstLineChars="0"/>
              <w:rPr>
                <w:rFonts w:hint="eastAsia" w:ascii="微软雅黑" w:hAnsi="微软雅黑"/>
                <w:color w:val="auto"/>
                <w:szCs w:val="21"/>
                <w:highlight w:val="none"/>
              </w:rPr>
            </w:pPr>
          </w:p>
        </w:tc>
        <w:tc>
          <w:tcPr>
            <w:tcW w:w="791" w:type="dxa"/>
            <w:tcBorders>
              <w:top w:val="single" w:color="auto" w:sz="4" w:space="0"/>
              <w:left w:val="single" w:color="auto" w:sz="4" w:space="0"/>
              <w:bottom w:val="single" w:color="auto" w:sz="4" w:space="0"/>
              <w:right w:val="single" w:color="auto" w:sz="4" w:space="0"/>
            </w:tcBorders>
          </w:tcPr>
          <w:p w14:paraId="7E42E900">
            <w:pPr>
              <w:pStyle w:val="29"/>
              <w:snapToGrid w:val="0"/>
              <w:spacing w:line="240" w:lineRule="auto"/>
              <w:ind w:firstLine="0" w:firstLineChars="0"/>
              <w:rPr>
                <w:rFonts w:hint="eastAsia" w:ascii="微软雅黑" w:hAnsi="微软雅黑"/>
                <w:color w:val="auto"/>
                <w:szCs w:val="21"/>
                <w:highlight w:val="none"/>
              </w:rPr>
            </w:pPr>
          </w:p>
        </w:tc>
      </w:tr>
      <w:tr w14:paraId="044361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68" w:hRule="atLeast"/>
        </w:trPr>
        <w:tc>
          <w:tcPr>
            <w:tcW w:w="791" w:type="dxa"/>
            <w:tcBorders>
              <w:top w:val="single" w:color="auto" w:sz="4" w:space="0"/>
              <w:left w:val="single" w:color="auto" w:sz="4" w:space="0"/>
              <w:bottom w:val="single" w:color="auto" w:sz="4" w:space="0"/>
              <w:right w:val="single" w:color="auto" w:sz="4" w:space="0"/>
            </w:tcBorders>
            <w:vAlign w:val="center"/>
          </w:tcPr>
          <w:p w14:paraId="69A4122F">
            <w:pPr>
              <w:pStyle w:val="29"/>
              <w:snapToGrid w:val="0"/>
              <w:spacing w:line="240" w:lineRule="auto"/>
              <w:ind w:firstLine="0" w:firstLineChars="0"/>
              <w:rPr>
                <w:rFonts w:hint="eastAsia" w:ascii="微软雅黑" w:hAnsi="微软雅黑"/>
                <w:color w:val="auto"/>
                <w:szCs w:val="21"/>
                <w:highlight w:val="none"/>
              </w:rPr>
            </w:pPr>
          </w:p>
        </w:tc>
        <w:tc>
          <w:tcPr>
            <w:tcW w:w="2358" w:type="dxa"/>
            <w:tcBorders>
              <w:top w:val="single" w:color="auto" w:sz="4" w:space="0"/>
              <w:left w:val="single" w:color="auto" w:sz="4" w:space="0"/>
              <w:bottom w:val="single" w:color="auto" w:sz="4" w:space="0"/>
              <w:right w:val="single" w:color="auto" w:sz="4" w:space="0"/>
            </w:tcBorders>
            <w:vAlign w:val="center"/>
          </w:tcPr>
          <w:p w14:paraId="651AB028">
            <w:pPr>
              <w:pStyle w:val="29"/>
              <w:snapToGrid w:val="0"/>
              <w:spacing w:line="240" w:lineRule="auto"/>
              <w:ind w:firstLine="0" w:firstLineChars="0"/>
              <w:rPr>
                <w:rFonts w:hint="eastAsia" w:ascii="微软雅黑" w:hAnsi="微软雅黑"/>
                <w:color w:val="auto"/>
                <w:szCs w:val="21"/>
                <w:highlight w:val="none"/>
              </w:rPr>
            </w:pPr>
          </w:p>
        </w:tc>
        <w:tc>
          <w:tcPr>
            <w:tcW w:w="2358" w:type="dxa"/>
            <w:tcBorders>
              <w:top w:val="single" w:color="auto" w:sz="4" w:space="0"/>
              <w:left w:val="single" w:color="auto" w:sz="4" w:space="0"/>
              <w:bottom w:val="single" w:color="auto" w:sz="4" w:space="0"/>
              <w:right w:val="single" w:color="auto" w:sz="4" w:space="0"/>
            </w:tcBorders>
          </w:tcPr>
          <w:p w14:paraId="1FD94CA4">
            <w:pPr>
              <w:pStyle w:val="29"/>
              <w:snapToGrid w:val="0"/>
              <w:spacing w:line="240" w:lineRule="auto"/>
              <w:ind w:firstLine="0" w:firstLineChars="0"/>
              <w:rPr>
                <w:rFonts w:hint="eastAsia" w:ascii="微软雅黑" w:hAnsi="微软雅黑"/>
                <w:color w:val="auto"/>
                <w:szCs w:val="21"/>
                <w:highlight w:val="none"/>
              </w:rPr>
            </w:pPr>
          </w:p>
        </w:tc>
        <w:tc>
          <w:tcPr>
            <w:tcW w:w="2620" w:type="dxa"/>
            <w:tcBorders>
              <w:top w:val="single" w:color="auto" w:sz="4" w:space="0"/>
              <w:left w:val="single" w:color="auto" w:sz="4" w:space="0"/>
              <w:bottom w:val="single" w:color="auto" w:sz="4" w:space="0"/>
              <w:right w:val="single" w:color="auto" w:sz="4" w:space="0"/>
            </w:tcBorders>
          </w:tcPr>
          <w:p w14:paraId="7A97973D">
            <w:pPr>
              <w:pStyle w:val="29"/>
              <w:snapToGrid w:val="0"/>
              <w:spacing w:line="240" w:lineRule="auto"/>
              <w:ind w:firstLine="0" w:firstLineChars="0"/>
              <w:rPr>
                <w:rFonts w:hint="eastAsia" w:ascii="微软雅黑" w:hAnsi="微软雅黑"/>
                <w:color w:val="auto"/>
                <w:szCs w:val="21"/>
                <w:highlight w:val="none"/>
              </w:rPr>
            </w:pPr>
          </w:p>
        </w:tc>
        <w:tc>
          <w:tcPr>
            <w:tcW w:w="791" w:type="dxa"/>
            <w:tcBorders>
              <w:top w:val="single" w:color="auto" w:sz="4" w:space="0"/>
              <w:left w:val="single" w:color="auto" w:sz="4" w:space="0"/>
              <w:bottom w:val="single" w:color="auto" w:sz="4" w:space="0"/>
              <w:right w:val="single" w:color="auto" w:sz="4" w:space="0"/>
            </w:tcBorders>
          </w:tcPr>
          <w:p w14:paraId="00C6EF32">
            <w:pPr>
              <w:pStyle w:val="29"/>
              <w:snapToGrid w:val="0"/>
              <w:spacing w:line="240" w:lineRule="auto"/>
              <w:ind w:firstLine="0" w:firstLineChars="0"/>
              <w:rPr>
                <w:rFonts w:hint="eastAsia" w:ascii="微软雅黑" w:hAnsi="微软雅黑"/>
                <w:color w:val="auto"/>
                <w:szCs w:val="21"/>
                <w:highlight w:val="none"/>
              </w:rPr>
            </w:pPr>
          </w:p>
        </w:tc>
      </w:tr>
    </w:tbl>
    <w:p w14:paraId="7CFE3A6F">
      <w:pPr>
        <w:pStyle w:val="21"/>
        <w:ind w:firstLine="420"/>
        <w:rPr>
          <w:rFonts w:hint="eastAsia" w:ascii="微软雅黑" w:hAnsi="微软雅黑"/>
          <w:color w:val="auto"/>
          <w:sz w:val="21"/>
          <w:szCs w:val="21"/>
          <w:highlight w:val="none"/>
        </w:rPr>
      </w:pPr>
      <w:r>
        <w:rPr>
          <w:rFonts w:ascii="微软雅黑" w:hAnsi="微软雅黑"/>
          <w:color w:val="auto"/>
          <w:sz w:val="21"/>
          <w:szCs w:val="21"/>
          <w:highlight w:val="none"/>
        </w:rPr>
        <w:t>注：供应商应根据投标产品的性能指标、对照招标文件要求注明“正偏离”、“负偏离”或“无偏离”。</w:t>
      </w:r>
    </w:p>
    <w:p w14:paraId="0D5F7329">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法定代表人（负责人）或</w:t>
      </w:r>
      <w:r>
        <w:rPr>
          <w:rFonts w:hint="eastAsia" w:ascii="微软雅黑" w:hAnsi="微软雅黑"/>
          <w:color w:val="auto"/>
          <w:szCs w:val="21"/>
          <w:highlight w:val="none"/>
        </w:rPr>
        <w:t>被授权人签字（或盖章）：</w:t>
      </w:r>
    </w:p>
    <w:p w14:paraId="47850344">
      <w:pPr>
        <w:pStyle w:val="122"/>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供应商名称（公章）：</w:t>
      </w:r>
    </w:p>
    <w:p w14:paraId="07920BF7">
      <w:pPr>
        <w:pStyle w:val="122"/>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1EED7A72">
      <w:pPr>
        <w:pStyle w:val="294"/>
        <w:spacing w:line="360" w:lineRule="auto"/>
        <w:ind w:firstLine="482"/>
        <w:rPr>
          <w:rFonts w:ascii="Times New Roman" w:hAnsi="Times New Roman" w:eastAsia="宋体"/>
          <w:b/>
          <w:color w:val="auto"/>
          <w:sz w:val="24"/>
          <w:szCs w:val="24"/>
          <w:highlight w:val="none"/>
        </w:rPr>
      </w:pPr>
    </w:p>
    <w:p w14:paraId="02DA9751">
      <w:pPr>
        <w:pStyle w:val="294"/>
        <w:spacing w:line="360" w:lineRule="auto"/>
        <w:ind w:firstLine="482"/>
        <w:rPr>
          <w:rFonts w:ascii="Times New Roman" w:hAnsi="Times New Roman" w:eastAsia="宋体"/>
          <w:b/>
          <w:color w:val="auto"/>
          <w:sz w:val="24"/>
          <w:szCs w:val="24"/>
          <w:highlight w:val="none"/>
        </w:rPr>
        <w:sectPr>
          <w:type w:val="nextColumn"/>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p>
    <w:p w14:paraId="438794A4">
      <w:pPr>
        <w:pStyle w:val="294"/>
        <w:spacing w:line="360" w:lineRule="auto"/>
        <w:ind w:firstLine="482"/>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4</w:t>
      </w:r>
      <w:r>
        <w:rPr>
          <w:rFonts w:ascii="微软雅黑" w:hAnsi="微软雅黑" w:eastAsia="微软雅黑"/>
          <w:b/>
          <w:color w:val="auto"/>
          <w:sz w:val="21"/>
          <w:szCs w:val="21"/>
          <w:highlight w:val="none"/>
        </w:rPr>
        <w:t>. 项目实施人员一览表</w:t>
      </w:r>
    </w:p>
    <w:p w14:paraId="39593F30">
      <w:pPr>
        <w:pStyle w:val="29"/>
        <w:adjustRightInd w:val="0"/>
        <w:spacing w:before="120" w:after="120"/>
        <w:ind w:firstLine="420"/>
        <w:jc w:val="center"/>
        <w:textAlignment w:val="baseline"/>
        <w:rPr>
          <w:rFonts w:hint="eastAsia" w:ascii="微软雅黑" w:hAnsi="微软雅黑"/>
          <w:color w:val="auto"/>
          <w:szCs w:val="21"/>
          <w:highlight w:val="none"/>
        </w:rPr>
      </w:pPr>
      <w:r>
        <w:rPr>
          <w:rFonts w:ascii="微软雅黑" w:hAnsi="微软雅黑"/>
          <w:b/>
          <w:color w:val="auto"/>
          <w:szCs w:val="21"/>
          <w:highlight w:val="none"/>
        </w:rPr>
        <w:t>项目实施人员一览表</w:t>
      </w:r>
    </w:p>
    <w:tbl>
      <w:tblPr>
        <w:tblStyle w:val="54"/>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5"/>
        <w:gridCol w:w="1074"/>
        <w:gridCol w:w="970"/>
        <w:gridCol w:w="709"/>
        <w:gridCol w:w="1254"/>
        <w:gridCol w:w="1454"/>
        <w:gridCol w:w="1134"/>
        <w:gridCol w:w="1348"/>
      </w:tblGrid>
      <w:tr w14:paraId="46B8A7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85" w:type="dxa"/>
            <w:tcBorders>
              <w:top w:val="single" w:color="auto" w:sz="4" w:space="0"/>
              <w:left w:val="single" w:color="auto" w:sz="4" w:space="0"/>
              <w:bottom w:val="single" w:color="auto" w:sz="4" w:space="0"/>
              <w:right w:val="single" w:color="auto" w:sz="4" w:space="0"/>
            </w:tcBorders>
            <w:vAlign w:val="center"/>
          </w:tcPr>
          <w:p w14:paraId="3FADC81C">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序号</w:t>
            </w:r>
          </w:p>
        </w:tc>
        <w:tc>
          <w:tcPr>
            <w:tcW w:w="1074" w:type="dxa"/>
            <w:tcBorders>
              <w:top w:val="single" w:color="auto" w:sz="4" w:space="0"/>
              <w:left w:val="single" w:color="auto" w:sz="4" w:space="0"/>
              <w:bottom w:val="single" w:color="auto" w:sz="4" w:space="0"/>
              <w:right w:val="single" w:color="auto" w:sz="4" w:space="0"/>
            </w:tcBorders>
            <w:vAlign w:val="center"/>
          </w:tcPr>
          <w:p w14:paraId="0FC3AEDE">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项目组所任职务</w:t>
            </w:r>
          </w:p>
        </w:tc>
        <w:tc>
          <w:tcPr>
            <w:tcW w:w="970" w:type="dxa"/>
            <w:tcBorders>
              <w:top w:val="single" w:color="auto" w:sz="4" w:space="0"/>
              <w:left w:val="single" w:color="auto" w:sz="4" w:space="0"/>
              <w:bottom w:val="single" w:color="auto" w:sz="4" w:space="0"/>
              <w:right w:val="single" w:color="auto" w:sz="4" w:space="0"/>
            </w:tcBorders>
            <w:vAlign w:val="center"/>
          </w:tcPr>
          <w:p w14:paraId="25172D67">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姓名</w:t>
            </w:r>
          </w:p>
        </w:tc>
        <w:tc>
          <w:tcPr>
            <w:tcW w:w="709" w:type="dxa"/>
            <w:tcBorders>
              <w:top w:val="single" w:color="auto" w:sz="4" w:space="0"/>
              <w:left w:val="single" w:color="auto" w:sz="4" w:space="0"/>
              <w:bottom w:val="single" w:color="auto" w:sz="4" w:space="0"/>
              <w:right w:val="single" w:color="auto" w:sz="4" w:space="0"/>
            </w:tcBorders>
            <w:vAlign w:val="center"/>
          </w:tcPr>
          <w:p w14:paraId="1CD76F33">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职称</w:t>
            </w:r>
          </w:p>
        </w:tc>
        <w:tc>
          <w:tcPr>
            <w:tcW w:w="1254" w:type="dxa"/>
            <w:tcBorders>
              <w:top w:val="single" w:color="auto" w:sz="4" w:space="0"/>
              <w:left w:val="single" w:color="auto" w:sz="4" w:space="0"/>
              <w:bottom w:val="single" w:color="auto" w:sz="4" w:space="0"/>
              <w:right w:val="single" w:color="auto" w:sz="4" w:space="0"/>
            </w:tcBorders>
            <w:vAlign w:val="center"/>
          </w:tcPr>
          <w:p w14:paraId="67876961">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专业技术资格</w:t>
            </w:r>
          </w:p>
        </w:tc>
        <w:tc>
          <w:tcPr>
            <w:tcW w:w="1454" w:type="dxa"/>
            <w:tcBorders>
              <w:top w:val="single" w:color="auto" w:sz="4" w:space="0"/>
              <w:left w:val="single" w:color="auto" w:sz="4" w:space="0"/>
              <w:bottom w:val="single" w:color="auto" w:sz="4" w:space="0"/>
              <w:right w:val="single" w:color="auto" w:sz="4" w:space="0"/>
            </w:tcBorders>
            <w:vAlign w:val="center"/>
          </w:tcPr>
          <w:p w14:paraId="7F1454A3">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专业技术资格证书编号</w:t>
            </w:r>
          </w:p>
        </w:tc>
        <w:tc>
          <w:tcPr>
            <w:tcW w:w="1134" w:type="dxa"/>
            <w:tcBorders>
              <w:top w:val="single" w:color="auto" w:sz="4" w:space="0"/>
              <w:left w:val="single" w:color="auto" w:sz="4" w:space="0"/>
              <w:bottom w:val="single" w:color="auto" w:sz="4" w:space="0"/>
              <w:right w:val="single" w:color="auto" w:sz="4" w:space="0"/>
            </w:tcBorders>
            <w:vAlign w:val="center"/>
          </w:tcPr>
          <w:p w14:paraId="1E52EF36">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从事本工作时间</w:t>
            </w:r>
          </w:p>
        </w:tc>
        <w:tc>
          <w:tcPr>
            <w:tcW w:w="1348" w:type="dxa"/>
            <w:tcBorders>
              <w:top w:val="single" w:color="auto" w:sz="4" w:space="0"/>
              <w:left w:val="single" w:color="auto" w:sz="4" w:space="0"/>
              <w:bottom w:val="single" w:color="auto" w:sz="4" w:space="0"/>
              <w:right w:val="single" w:color="auto" w:sz="4" w:space="0"/>
            </w:tcBorders>
            <w:vAlign w:val="center"/>
          </w:tcPr>
          <w:p w14:paraId="54FF804E">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典型业务</w:t>
            </w:r>
          </w:p>
          <w:p w14:paraId="385B5DE3">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与技术专长</w:t>
            </w:r>
          </w:p>
        </w:tc>
      </w:tr>
      <w:tr w14:paraId="45C1A8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2BFCC938">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1</w:t>
            </w:r>
          </w:p>
        </w:tc>
        <w:tc>
          <w:tcPr>
            <w:tcW w:w="1074" w:type="dxa"/>
            <w:tcBorders>
              <w:top w:val="single" w:color="auto" w:sz="4" w:space="0"/>
              <w:left w:val="single" w:color="auto" w:sz="4" w:space="0"/>
              <w:bottom w:val="single" w:color="auto" w:sz="4" w:space="0"/>
              <w:right w:val="single" w:color="auto" w:sz="4" w:space="0"/>
            </w:tcBorders>
            <w:vAlign w:val="center"/>
          </w:tcPr>
          <w:p w14:paraId="4F1AA8BC">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18DC44EC">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E5FFE38">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41E89284">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1C3A3968">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EF0E9C0">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37418310">
            <w:pPr>
              <w:pStyle w:val="34"/>
              <w:spacing w:line="240" w:lineRule="auto"/>
              <w:ind w:firstLine="0" w:firstLineChars="0"/>
              <w:jc w:val="center"/>
              <w:rPr>
                <w:rFonts w:hint="eastAsia" w:ascii="微软雅黑" w:hAnsi="微软雅黑"/>
                <w:color w:val="auto"/>
                <w:sz w:val="21"/>
                <w:szCs w:val="21"/>
                <w:highlight w:val="none"/>
              </w:rPr>
            </w:pPr>
          </w:p>
        </w:tc>
      </w:tr>
      <w:tr w14:paraId="0EABA8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323B81B2">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2</w:t>
            </w:r>
          </w:p>
        </w:tc>
        <w:tc>
          <w:tcPr>
            <w:tcW w:w="1074" w:type="dxa"/>
            <w:tcBorders>
              <w:top w:val="single" w:color="auto" w:sz="4" w:space="0"/>
              <w:left w:val="single" w:color="auto" w:sz="4" w:space="0"/>
              <w:bottom w:val="single" w:color="auto" w:sz="4" w:space="0"/>
              <w:right w:val="single" w:color="auto" w:sz="4" w:space="0"/>
            </w:tcBorders>
            <w:vAlign w:val="center"/>
          </w:tcPr>
          <w:p w14:paraId="6A82F75C">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7D1C153E">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36C0C21">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3FE322DA">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545AEAE7">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573B9C5">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261BD8CA">
            <w:pPr>
              <w:pStyle w:val="34"/>
              <w:spacing w:line="240" w:lineRule="auto"/>
              <w:ind w:firstLine="0" w:firstLineChars="0"/>
              <w:jc w:val="center"/>
              <w:rPr>
                <w:rFonts w:hint="eastAsia" w:ascii="微软雅黑" w:hAnsi="微软雅黑"/>
                <w:color w:val="auto"/>
                <w:sz w:val="21"/>
                <w:szCs w:val="21"/>
                <w:highlight w:val="none"/>
              </w:rPr>
            </w:pPr>
          </w:p>
        </w:tc>
      </w:tr>
      <w:tr w14:paraId="3B6022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4A64730D">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3</w:t>
            </w:r>
          </w:p>
        </w:tc>
        <w:tc>
          <w:tcPr>
            <w:tcW w:w="1074" w:type="dxa"/>
            <w:tcBorders>
              <w:top w:val="single" w:color="auto" w:sz="4" w:space="0"/>
              <w:left w:val="single" w:color="auto" w:sz="4" w:space="0"/>
              <w:bottom w:val="single" w:color="auto" w:sz="4" w:space="0"/>
              <w:right w:val="single" w:color="auto" w:sz="4" w:space="0"/>
            </w:tcBorders>
            <w:vAlign w:val="center"/>
          </w:tcPr>
          <w:p w14:paraId="7CF0DDBB">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21D1D78F">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323AE8E">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60C49EA9">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79D6ED30">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122442D">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341FD7C8">
            <w:pPr>
              <w:pStyle w:val="34"/>
              <w:spacing w:line="240" w:lineRule="auto"/>
              <w:ind w:firstLine="0" w:firstLineChars="0"/>
              <w:jc w:val="center"/>
              <w:rPr>
                <w:rFonts w:hint="eastAsia" w:ascii="微软雅黑" w:hAnsi="微软雅黑"/>
                <w:color w:val="auto"/>
                <w:sz w:val="21"/>
                <w:szCs w:val="21"/>
                <w:highlight w:val="none"/>
              </w:rPr>
            </w:pPr>
          </w:p>
        </w:tc>
      </w:tr>
      <w:tr w14:paraId="0B8A13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15505BAF">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4</w:t>
            </w:r>
          </w:p>
        </w:tc>
        <w:tc>
          <w:tcPr>
            <w:tcW w:w="1074" w:type="dxa"/>
            <w:tcBorders>
              <w:top w:val="single" w:color="auto" w:sz="4" w:space="0"/>
              <w:left w:val="single" w:color="auto" w:sz="4" w:space="0"/>
              <w:bottom w:val="single" w:color="auto" w:sz="4" w:space="0"/>
              <w:right w:val="single" w:color="auto" w:sz="4" w:space="0"/>
            </w:tcBorders>
            <w:vAlign w:val="center"/>
          </w:tcPr>
          <w:p w14:paraId="4E12CA73">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1CC25AD4">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814345F">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688B6948">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374BC520">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8FEE240">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56981493">
            <w:pPr>
              <w:pStyle w:val="34"/>
              <w:spacing w:line="240" w:lineRule="auto"/>
              <w:ind w:firstLine="0" w:firstLineChars="0"/>
              <w:jc w:val="center"/>
              <w:rPr>
                <w:rFonts w:hint="eastAsia" w:ascii="微软雅黑" w:hAnsi="微软雅黑"/>
                <w:color w:val="auto"/>
                <w:sz w:val="21"/>
                <w:szCs w:val="21"/>
                <w:highlight w:val="none"/>
              </w:rPr>
            </w:pPr>
          </w:p>
        </w:tc>
      </w:tr>
      <w:tr w14:paraId="149145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47AA2B14">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5</w:t>
            </w:r>
          </w:p>
        </w:tc>
        <w:tc>
          <w:tcPr>
            <w:tcW w:w="1074" w:type="dxa"/>
            <w:tcBorders>
              <w:top w:val="single" w:color="auto" w:sz="4" w:space="0"/>
              <w:left w:val="single" w:color="auto" w:sz="4" w:space="0"/>
              <w:bottom w:val="single" w:color="auto" w:sz="4" w:space="0"/>
              <w:right w:val="single" w:color="auto" w:sz="4" w:space="0"/>
            </w:tcBorders>
            <w:vAlign w:val="center"/>
          </w:tcPr>
          <w:p w14:paraId="77203E78">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5CD39ECF">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765F8F8">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6D025B72">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53917F56">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5C3C6FA">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37B79C4F">
            <w:pPr>
              <w:pStyle w:val="34"/>
              <w:spacing w:line="240" w:lineRule="auto"/>
              <w:ind w:firstLine="0" w:firstLineChars="0"/>
              <w:jc w:val="center"/>
              <w:rPr>
                <w:rFonts w:hint="eastAsia" w:ascii="微软雅黑" w:hAnsi="微软雅黑"/>
                <w:color w:val="auto"/>
                <w:sz w:val="21"/>
                <w:szCs w:val="21"/>
                <w:highlight w:val="none"/>
              </w:rPr>
            </w:pPr>
          </w:p>
        </w:tc>
      </w:tr>
      <w:tr w14:paraId="16749A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43DD9598">
            <w:pPr>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w:t>
            </w:r>
          </w:p>
        </w:tc>
        <w:tc>
          <w:tcPr>
            <w:tcW w:w="1074" w:type="dxa"/>
            <w:tcBorders>
              <w:top w:val="single" w:color="auto" w:sz="4" w:space="0"/>
              <w:left w:val="single" w:color="auto" w:sz="4" w:space="0"/>
              <w:bottom w:val="single" w:color="auto" w:sz="4" w:space="0"/>
              <w:right w:val="single" w:color="auto" w:sz="4" w:space="0"/>
            </w:tcBorders>
            <w:vAlign w:val="center"/>
          </w:tcPr>
          <w:p w14:paraId="7AAF0170">
            <w:pPr>
              <w:spacing w:line="240" w:lineRule="auto"/>
              <w:ind w:firstLine="0" w:firstLineChars="0"/>
              <w:rPr>
                <w:rFonts w:hint="eastAsia" w:ascii="微软雅黑" w:hAnsi="微软雅黑"/>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59025399">
            <w:pPr>
              <w:spacing w:line="240" w:lineRule="auto"/>
              <w:ind w:firstLine="0" w:firstLineChars="0"/>
              <w:rPr>
                <w:rFonts w:hint="eastAsia" w:ascii="微软雅黑" w:hAnsi="微软雅黑"/>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BE24C2C">
            <w:pPr>
              <w:spacing w:line="240" w:lineRule="auto"/>
              <w:ind w:firstLine="0" w:firstLineChars="0"/>
              <w:rPr>
                <w:rFonts w:hint="eastAsia" w:ascii="微软雅黑" w:hAnsi="微软雅黑"/>
                <w:color w:val="auto"/>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30C3762F">
            <w:pPr>
              <w:spacing w:line="240" w:lineRule="auto"/>
              <w:ind w:firstLine="0" w:firstLineChars="0"/>
              <w:rPr>
                <w:rFonts w:hint="eastAsia" w:ascii="微软雅黑" w:hAnsi="微软雅黑"/>
                <w:color w:val="auto"/>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66D3D273">
            <w:pPr>
              <w:spacing w:line="240" w:lineRule="auto"/>
              <w:ind w:firstLine="0" w:firstLineChars="0"/>
              <w:rPr>
                <w:rFonts w:hint="eastAsia" w:ascii="微软雅黑" w:hAnsi="微软雅黑"/>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5993321">
            <w:pPr>
              <w:spacing w:line="240" w:lineRule="auto"/>
              <w:ind w:firstLine="0" w:firstLineChars="0"/>
              <w:rPr>
                <w:rFonts w:hint="eastAsia" w:ascii="微软雅黑" w:hAnsi="微软雅黑"/>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3C3CFC36">
            <w:pPr>
              <w:spacing w:line="240" w:lineRule="auto"/>
              <w:ind w:firstLine="0" w:firstLineChars="0"/>
              <w:rPr>
                <w:rFonts w:hint="eastAsia" w:ascii="微软雅黑" w:hAnsi="微软雅黑"/>
                <w:color w:val="auto"/>
                <w:szCs w:val="21"/>
                <w:highlight w:val="none"/>
              </w:rPr>
            </w:pPr>
          </w:p>
        </w:tc>
      </w:tr>
    </w:tbl>
    <w:p w14:paraId="33A7859B">
      <w:pPr>
        <w:ind w:firstLine="420"/>
        <w:rPr>
          <w:rFonts w:hint="eastAsia" w:ascii="微软雅黑" w:hAnsi="微软雅黑"/>
          <w:b/>
          <w:color w:val="auto"/>
          <w:szCs w:val="21"/>
          <w:highlight w:val="none"/>
        </w:rPr>
      </w:pPr>
      <w:r>
        <w:rPr>
          <w:rFonts w:ascii="微软雅黑" w:hAnsi="微软雅黑"/>
          <w:b/>
          <w:color w:val="auto"/>
          <w:szCs w:val="21"/>
          <w:highlight w:val="none"/>
        </w:rPr>
        <w:t>注：1、“项目实施人员”指投标单位针对该项目的销售、培训、售后服务等完成本项目所配备的人员。</w:t>
      </w:r>
    </w:p>
    <w:p w14:paraId="245BAF54">
      <w:pPr>
        <w:ind w:firstLine="840" w:firstLineChars="400"/>
        <w:rPr>
          <w:rFonts w:hint="eastAsia" w:ascii="微软雅黑" w:hAnsi="微软雅黑"/>
          <w:b/>
          <w:color w:val="auto"/>
          <w:szCs w:val="21"/>
          <w:highlight w:val="none"/>
        </w:rPr>
      </w:pPr>
      <w:r>
        <w:rPr>
          <w:rFonts w:ascii="微软雅黑" w:hAnsi="微软雅黑"/>
          <w:b/>
          <w:color w:val="auto"/>
          <w:szCs w:val="21"/>
          <w:highlight w:val="none"/>
        </w:rPr>
        <w:t>2、附各专业人员简历及相关证明材料复印件；</w:t>
      </w:r>
    </w:p>
    <w:p w14:paraId="5EE8DF14">
      <w:pPr>
        <w:ind w:firstLine="840" w:firstLineChars="400"/>
        <w:rPr>
          <w:rFonts w:hint="eastAsia" w:ascii="微软雅黑" w:hAnsi="微软雅黑"/>
          <w:b/>
          <w:color w:val="auto"/>
          <w:szCs w:val="21"/>
          <w:highlight w:val="none"/>
        </w:rPr>
      </w:pPr>
      <w:r>
        <w:rPr>
          <w:rFonts w:ascii="微软雅黑" w:hAnsi="微软雅黑"/>
          <w:b/>
          <w:color w:val="auto"/>
          <w:szCs w:val="21"/>
          <w:highlight w:val="none"/>
        </w:rPr>
        <w:t>3、表格不够填写可添加。</w:t>
      </w:r>
    </w:p>
    <w:p w14:paraId="47EE455B">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法定代表人（负责人）或</w:t>
      </w:r>
      <w:r>
        <w:rPr>
          <w:rFonts w:hint="eastAsia" w:ascii="微软雅黑" w:hAnsi="微软雅黑"/>
          <w:color w:val="auto"/>
          <w:szCs w:val="21"/>
          <w:highlight w:val="none"/>
        </w:rPr>
        <w:t>被授权人签字（或盖章）：</w:t>
      </w:r>
    </w:p>
    <w:p w14:paraId="36AE7D3D">
      <w:pPr>
        <w:pStyle w:val="122"/>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4F15E94B">
      <w:pPr>
        <w:pStyle w:val="122"/>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5F996423">
      <w:pPr>
        <w:pStyle w:val="294"/>
        <w:spacing w:line="360" w:lineRule="auto"/>
        <w:ind w:firstLine="482"/>
        <w:rPr>
          <w:rFonts w:ascii="Times New Roman" w:hAnsi="Times New Roman" w:eastAsia="宋体"/>
          <w:b/>
          <w:color w:val="auto"/>
          <w:sz w:val="24"/>
          <w:szCs w:val="24"/>
          <w:highlight w:val="none"/>
        </w:rPr>
        <w:sectPr>
          <w:type w:val="nextColumn"/>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p>
    <w:p w14:paraId="7EB83849">
      <w:pPr>
        <w:pStyle w:val="294"/>
        <w:spacing w:line="360" w:lineRule="auto"/>
        <w:ind w:firstLine="482"/>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5.诚信承诺函</w:t>
      </w:r>
    </w:p>
    <w:p w14:paraId="0B4AAF6F">
      <w:pPr>
        <w:pStyle w:val="8"/>
        <w:overflowPunct w:val="0"/>
        <w:jc w:val="center"/>
        <w:rPr>
          <w:rFonts w:hint="eastAsia" w:ascii="微软雅黑" w:hAnsi="微软雅黑"/>
          <w:b/>
          <w:color w:val="auto"/>
          <w:szCs w:val="21"/>
          <w:highlight w:val="none"/>
        </w:rPr>
      </w:pPr>
      <w:r>
        <w:rPr>
          <w:rFonts w:hint="eastAsia" w:ascii="微软雅黑" w:hAnsi="微软雅黑"/>
          <w:b/>
          <w:color w:val="auto"/>
          <w:szCs w:val="21"/>
          <w:highlight w:val="none"/>
        </w:rPr>
        <w:t>诚信承诺函</w:t>
      </w:r>
    </w:p>
    <w:p w14:paraId="0AEB264F">
      <w:pPr>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致 </w:t>
      </w:r>
      <w:r>
        <w:rPr>
          <w:rFonts w:hint="eastAsia" w:ascii="微软雅黑" w:hAnsi="微软雅黑"/>
          <w:b/>
          <w:color w:val="auto"/>
          <w:szCs w:val="21"/>
          <w:highlight w:val="none"/>
          <w:u w:val="single"/>
        </w:rPr>
        <w:t xml:space="preserve">（采购人）       </w:t>
      </w:r>
      <w:r>
        <w:rPr>
          <w:rFonts w:hint="eastAsia" w:ascii="微软雅黑" w:hAnsi="微软雅黑"/>
          <w:color w:val="auto"/>
          <w:szCs w:val="21"/>
          <w:highlight w:val="none"/>
        </w:rPr>
        <w:t>：</w:t>
      </w:r>
    </w:p>
    <w:p w14:paraId="31BC8735">
      <w:pPr>
        <w:ind w:firstLine="420"/>
        <w:rPr>
          <w:rFonts w:hint="eastAsia" w:ascii="微软雅黑" w:hAnsi="微软雅黑"/>
          <w:color w:val="auto"/>
          <w:szCs w:val="21"/>
          <w:highlight w:val="none"/>
        </w:rPr>
      </w:pPr>
      <w:r>
        <w:rPr>
          <w:rFonts w:hint="eastAsia" w:ascii="微软雅黑" w:hAnsi="微软雅黑"/>
          <w:color w:val="auto"/>
          <w:szCs w:val="21"/>
          <w:highlight w:val="none"/>
        </w:rPr>
        <w:t>我方在参加贵单位的</w:t>
      </w:r>
      <w:r>
        <w:rPr>
          <w:rFonts w:hint="eastAsia" w:ascii="微软雅黑" w:hAnsi="微软雅黑"/>
          <w:color w:val="auto"/>
          <w:szCs w:val="21"/>
          <w:highlight w:val="none"/>
          <w:u w:val="single"/>
        </w:rPr>
        <w:t xml:space="preserve">           政府采购项目</w:t>
      </w:r>
      <w:r>
        <w:rPr>
          <w:rFonts w:hint="eastAsia" w:ascii="微软雅黑" w:hAnsi="微软雅黑"/>
          <w:color w:val="auto"/>
          <w:szCs w:val="21"/>
          <w:highlight w:val="none"/>
        </w:rPr>
        <w:t>的招投标活动中，郑重承诺如下：</w:t>
      </w:r>
    </w:p>
    <w:p w14:paraId="1A078129">
      <w:pPr>
        <w:ind w:firstLine="420"/>
        <w:rPr>
          <w:rFonts w:hint="eastAsia" w:ascii="微软雅黑" w:hAnsi="微软雅黑"/>
          <w:color w:val="auto"/>
          <w:szCs w:val="21"/>
          <w:highlight w:val="none"/>
        </w:rPr>
      </w:pPr>
      <w:r>
        <w:rPr>
          <w:rFonts w:hint="eastAsia" w:ascii="微软雅黑" w:hAnsi="微软雅黑"/>
          <w:color w:val="auto"/>
          <w:szCs w:val="21"/>
          <w:highlight w:val="none"/>
        </w:rPr>
        <w:t>1.我方申报的所有资料都是真实、准确、完整的；</w:t>
      </w:r>
    </w:p>
    <w:p w14:paraId="5C0F49C4">
      <w:pPr>
        <w:ind w:firstLine="420"/>
        <w:rPr>
          <w:rFonts w:hint="eastAsia" w:ascii="微软雅黑" w:hAnsi="微软雅黑"/>
          <w:color w:val="auto"/>
          <w:szCs w:val="21"/>
          <w:highlight w:val="none"/>
        </w:rPr>
      </w:pPr>
      <w:r>
        <w:rPr>
          <w:rFonts w:hint="eastAsia" w:ascii="微软雅黑" w:hAnsi="微软雅黑"/>
          <w:color w:val="auto"/>
          <w:szCs w:val="21"/>
          <w:highlight w:val="none"/>
        </w:rPr>
        <w:t>2.我方无资质挂靠情形，保证不参与串标、围标及抬标；</w:t>
      </w:r>
    </w:p>
    <w:p w14:paraId="41717362">
      <w:pPr>
        <w:ind w:firstLine="420"/>
        <w:rPr>
          <w:rFonts w:hint="eastAsia" w:ascii="微软雅黑" w:hAnsi="微软雅黑"/>
          <w:color w:val="auto"/>
          <w:szCs w:val="21"/>
          <w:highlight w:val="none"/>
        </w:rPr>
      </w:pPr>
      <w:r>
        <w:rPr>
          <w:rFonts w:hint="eastAsia" w:ascii="微软雅黑" w:hAnsi="微软雅黑"/>
          <w:color w:val="auto"/>
          <w:szCs w:val="21"/>
          <w:highlight w:val="none"/>
        </w:rPr>
        <w:t>3.我方未处于被各级行政主管部门做出停止市场行为处罚的期限内；</w:t>
      </w:r>
    </w:p>
    <w:p w14:paraId="15BE32F8">
      <w:pPr>
        <w:ind w:firstLine="420"/>
        <w:rPr>
          <w:rFonts w:hint="eastAsia" w:ascii="微软雅黑" w:hAnsi="微软雅黑"/>
          <w:color w:val="auto"/>
          <w:szCs w:val="21"/>
          <w:highlight w:val="none"/>
        </w:rPr>
      </w:pPr>
      <w:r>
        <w:rPr>
          <w:rFonts w:hint="eastAsia" w:ascii="微软雅黑" w:hAnsi="微软雅黑"/>
          <w:color w:val="auto"/>
          <w:szCs w:val="21"/>
          <w:highlight w:val="none"/>
        </w:rPr>
        <w:t>4.我方参加本项目政府采购活动前3年内在经营活动中没有重大违法记录；</w:t>
      </w:r>
    </w:p>
    <w:p w14:paraId="6015ACB7">
      <w:pPr>
        <w:ind w:firstLine="420"/>
        <w:rPr>
          <w:rFonts w:hint="eastAsia" w:ascii="微软雅黑" w:hAnsi="微软雅黑"/>
          <w:color w:val="auto"/>
          <w:szCs w:val="21"/>
          <w:highlight w:val="none"/>
        </w:rPr>
      </w:pPr>
      <w:r>
        <w:rPr>
          <w:rFonts w:hint="eastAsia" w:ascii="微软雅黑" w:hAnsi="微软雅黑"/>
          <w:color w:val="auto"/>
          <w:szCs w:val="21"/>
          <w:highlight w:val="none"/>
        </w:rPr>
        <w:t>5.若我方中标，将严格按照规定及时与采购人签订合同；</w:t>
      </w:r>
    </w:p>
    <w:p w14:paraId="654E1D09">
      <w:pPr>
        <w:ind w:firstLine="420"/>
        <w:rPr>
          <w:rFonts w:hint="eastAsia" w:ascii="微软雅黑" w:hAnsi="微软雅黑"/>
          <w:color w:val="auto"/>
          <w:szCs w:val="21"/>
          <w:highlight w:val="none"/>
        </w:rPr>
      </w:pPr>
      <w:r>
        <w:rPr>
          <w:rFonts w:hint="eastAsia" w:ascii="微软雅黑" w:hAnsi="微软雅黑"/>
          <w:color w:val="auto"/>
          <w:szCs w:val="21"/>
          <w:highlight w:val="none"/>
        </w:rPr>
        <w:t>6.若我方中标，将严格按照招标文件要求及投标文件承诺的报价、质量、工期、投标方案、项目负责人等内容组织实施；</w:t>
      </w:r>
    </w:p>
    <w:p w14:paraId="66C09E3F">
      <w:pPr>
        <w:ind w:firstLine="420"/>
        <w:rPr>
          <w:rFonts w:hint="eastAsia" w:ascii="微软雅黑" w:hAnsi="微软雅黑"/>
          <w:color w:val="auto"/>
          <w:szCs w:val="21"/>
          <w:highlight w:val="none"/>
        </w:rPr>
      </w:pPr>
      <w:r>
        <w:rPr>
          <w:rFonts w:hint="eastAsia" w:ascii="微软雅黑" w:hAnsi="微软雅黑"/>
          <w:color w:val="auto"/>
          <w:szCs w:val="21"/>
          <w:highlight w:val="none"/>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6C8BFE83">
      <w:pPr>
        <w:ind w:firstLine="420"/>
        <w:rPr>
          <w:rFonts w:hint="eastAsia" w:ascii="微软雅黑" w:hAnsi="微软雅黑"/>
          <w:color w:val="auto"/>
          <w:szCs w:val="21"/>
          <w:highlight w:val="none"/>
        </w:rPr>
      </w:pPr>
      <w:r>
        <w:rPr>
          <w:rFonts w:hint="eastAsia" w:ascii="微软雅黑" w:hAnsi="微软雅黑"/>
          <w:color w:val="auto"/>
          <w:szCs w:val="21"/>
          <w:highlight w:val="none"/>
        </w:rPr>
        <w:t>特此承诺。</w:t>
      </w:r>
    </w:p>
    <w:p w14:paraId="08CCC781">
      <w:pPr>
        <w:wordWrap w:val="0"/>
        <w:snapToGrid w:val="0"/>
        <w:spacing w:before="50" w:after="50"/>
        <w:ind w:firstLine="420"/>
        <w:jc w:val="right"/>
        <w:rPr>
          <w:rFonts w:hint="eastAsia" w:ascii="微软雅黑" w:hAnsi="微软雅黑"/>
          <w:color w:val="auto"/>
          <w:szCs w:val="21"/>
          <w:highlight w:val="none"/>
        </w:rPr>
      </w:pPr>
      <w:r>
        <w:rPr>
          <w:rFonts w:hint="eastAsia" w:ascii="微软雅黑" w:hAnsi="微软雅黑"/>
          <w:color w:val="auto"/>
          <w:szCs w:val="21"/>
          <w:highlight w:val="none"/>
        </w:rPr>
        <w:t xml:space="preserve">法定代表人（负责人）或被授权人签字（或盖章）：    </w:t>
      </w:r>
    </w:p>
    <w:p w14:paraId="713CF0AE">
      <w:pPr>
        <w:snapToGrid w:val="0"/>
        <w:spacing w:before="50" w:after="50"/>
        <w:ind w:firstLine="420"/>
        <w:jc w:val="center"/>
        <w:rPr>
          <w:rFonts w:hint="eastAsia" w:ascii="微软雅黑" w:hAnsi="微软雅黑"/>
          <w:color w:val="auto"/>
          <w:szCs w:val="21"/>
          <w:highlight w:val="none"/>
        </w:rPr>
      </w:pPr>
      <w:r>
        <w:rPr>
          <w:rFonts w:hint="eastAsia" w:ascii="微软雅黑" w:hAnsi="微软雅黑"/>
          <w:color w:val="auto"/>
          <w:szCs w:val="21"/>
          <w:highlight w:val="none"/>
        </w:rPr>
        <w:t xml:space="preserve">                                     投标供应商（公章）：      　　　　　　　　　　　　　</w:t>
      </w:r>
    </w:p>
    <w:p w14:paraId="7754E3E9">
      <w:pPr>
        <w:spacing w:before="108" w:after="120" w:line="304" w:lineRule="auto"/>
        <w:ind w:right="417" w:firstLine="420"/>
        <w:jc w:val="center"/>
        <w:rPr>
          <w:rFonts w:hint="eastAsia" w:ascii="微软雅黑" w:hAnsi="微软雅黑"/>
          <w:color w:val="auto"/>
          <w:szCs w:val="21"/>
          <w:highlight w:val="none"/>
        </w:rPr>
      </w:pPr>
      <w:r>
        <w:rPr>
          <w:rFonts w:hint="eastAsia" w:ascii="微软雅黑" w:hAnsi="微软雅黑"/>
          <w:color w:val="auto"/>
          <w:szCs w:val="21"/>
          <w:highlight w:val="none"/>
        </w:rPr>
        <w:t xml:space="preserve">                                          日期：   年  月  日</w:t>
      </w:r>
    </w:p>
    <w:p w14:paraId="41C2504C">
      <w:pPr>
        <w:pStyle w:val="6"/>
        <w:ind w:firstLine="420"/>
        <w:rPr>
          <w:rFonts w:hint="eastAsia" w:ascii="宋体" w:hAnsi="宋体"/>
          <w:color w:val="auto"/>
          <w:highlight w:val="none"/>
        </w:rPr>
      </w:pPr>
    </w:p>
    <w:p w14:paraId="7F6719C4">
      <w:pPr>
        <w:ind w:firstLine="420"/>
        <w:rPr>
          <w:rFonts w:hint="eastAsia" w:ascii="宋体" w:hAnsi="宋体"/>
          <w:color w:val="auto"/>
          <w:highlight w:val="none"/>
        </w:rPr>
      </w:pPr>
    </w:p>
    <w:p w14:paraId="7042707C">
      <w:pPr>
        <w:pStyle w:val="6"/>
        <w:ind w:firstLine="420"/>
        <w:rPr>
          <w:rFonts w:hint="eastAsia"/>
          <w:color w:val="auto"/>
          <w:highlight w:val="none"/>
        </w:rPr>
      </w:pPr>
    </w:p>
    <w:p w14:paraId="44A9D231">
      <w:pPr>
        <w:snapToGrid w:val="0"/>
        <w:ind w:firstLine="640"/>
        <w:jc w:val="center"/>
        <w:rPr>
          <w:rFonts w:hint="eastAsia" w:ascii="宋体" w:hAnsi="宋体"/>
          <w:b/>
          <w:color w:val="auto"/>
          <w:sz w:val="32"/>
          <w:szCs w:val="32"/>
          <w:highlight w:val="none"/>
        </w:rPr>
        <w:sectPr>
          <w:type w:val="nextColumn"/>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p>
    <w:p w14:paraId="731AF66C">
      <w:pPr>
        <w:snapToGrid w:val="0"/>
        <w:ind w:firstLine="420"/>
        <w:jc w:val="center"/>
        <w:rPr>
          <w:rFonts w:hint="eastAsia" w:ascii="宋体" w:hAnsi="宋体"/>
          <w:b/>
          <w:color w:val="auto"/>
          <w:szCs w:val="21"/>
          <w:highlight w:val="none"/>
        </w:rPr>
      </w:pPr>
      <w:r>
        <w:rPr>
          <w:rFonts w:hint="eastAsia" w:ascii="宋体" w:hAnsi="宋体"/>
          <w:b/>
          <w:color w:val="auto"/>
          <w:szCs w:val="21"/>
          <w:highlight w:val="none"/>
        </w:rPr>
        <w:t>劳动用工书面承诺</w:t>
      </w:r>
    </w:p>
    <w:p w14:paraId="3F2E561A">
      <w:pPr>
        <w:snapToGrid w:val="0"/>
        <w:ind w:firstLine="420"/>
        <w:rPr>
          <w:rFonts w:hint="eastAsia" w:ascii="宋体" w:hAnsi="宋体"/>
          <w:color w:val="auto"/>
          <w:highlight w:val="none"/>
        </w:rPr>
      </w:pPr>
      <w:r>
        <w:rPr>
          <w:rFonts w:hint="eastAsia" w:ascii="宋体" w:hAnsi="宋体"/>
          <w:color w:val="auto"/>
          <w:highlight w:val="none"/>
        </w:rPr>
        <w:t>如我公司在本次招投标中标后成为中标供应商，我公司将严格遵守《民法典》及《劳动合同法》的相关规定，按招标文件的要求及我公司投标文件配置服务人员，按国家规定为员工缴纳社会保险，员工的工资标准不低于嘉兴市最低工资标准，并将所有条款写入劳动用工合同。</w:t>
      </w:r>
    </w:p>
    <w:p w14:paraId="628C500C">
      <w:pPr>
        <w:snapToGrid w:val="0"/>
        <w:ind w:firstLine="420"/>
        <w:rPr>
          <w:rFonts w:hint="eastAsia" w:ascii="宋体" w:hAnsi="宋体"/>
          <w:color w:val="auto"/>
          <w:highlight w:val="none"/>
        </w:rPr>
      </w:pPr>
      <w:r>
        <w:rPr>
          <w:rFonts w:hint="eastAsia" w:ascii="宋体" w:hAnsi="宋体"/>
          <w:color w:val="auto"/>
          <w:highlight w:val="none"/>
        </w:rPr>
        <w:t>特此承诺。</w:t>
      </w:r>
    </w:p>
    <w:p w14:paraId="53653CB9">
      <w:pPr>
        <w:snapToGrid w:val="0"/>
        <w:ind w:left="630" w:leftChars="100" w:hanging="420" w:hangingChars="200"/>
        <w:jc w:val="center"/>
        <w:rPr>
          <w:rFonts w:hint="eastAsia" w:ascii="宋体" w:hAnsi="宋体"/>
          <w:color w:val="auto"/>
          <w:highlight w:val="none"/>
        </w:rPr>
      </w:pPr>
      <w:r>
        <w:rPr>
          <w:rFonts w:hint="eastAsia" w:ascii="宋体" w:hAnsi="宋体"/>
          <w:color w:val="auto"/>
          <w:highlight w:val="none"/>
        </w:rPr>
        <w:t xml:space="preserve">                         法定代表人（负责人）或其授权代表（签名）：</w:t>
      </w:r>
    </w:p>
    <w:p w14:paraId="5C64835A">
      <w:pPr>
        <w:snapToGrid w:val="0"/>
        <w:ind w:left="630" w:leftChars="100" w:hanging="420" w:hangingChars="200"/>
        <w:jc w:val="center"/>
        <w:rPr>
          <w:rFonts w:hint="eastAsia" w:ascii="宋体" w:hAnsi="宋体"/>
          <w:color w:val="auto"/>
          <w:highlight w:val="none"/>
        </w:rPr>
      </w:pPr>
      <w:r>
        <w:rPr>
          <w:rFonts w:hint="eastAsia" w:ascii="宋体" w:hAnsi="宋体"/>
          <w:color w:val="auto"/>
          <w:highlight w:val="none"/>
        </w:rPr>
        <w:t xml:space="preserve">                         投标供应商（盖章）：</w:t>
      </w:r>
    </w:p>
    <w:p w14:paraId="056C8D68">
      <w:pPr>
        <w:snapToGrid w:val="0"/>
        <w:ind w:left="630" w:leftChars="100" w:hanging="420" w:hangingChars="200"/>
        <w:jc w:val="center"/>
        <w:rPr>
          <w:rFonts w:hint="eastAsia" w:ascii="宋体" w:hAnsi="宋体"/>
          <w:color w:val="auto"/>
          <w:highlight w:val="none"/>
        </w:rPr>
      </w:pPr>
      <w:r>
        <w:rPr>
          <w:rFonts w:hint="eastAsia" w:ascii="宋体" w:hAnsi="宋体"/>
          <w:color w:val="auto"/>
          <w:highlight w:val="none"/>
        </w:rPr>
        <w:t xml:space="preserve">                   日期：</w:t>
      </w:r>
    </w:p>
    <w:p w14:paraId="4006A5BD">
      <w:pPr>
        <w:pStyle w:val="24"/>
        <w:ind w:left="0" w:firstLine="420"/>
        <w:rPr>
          <w:rFonts w:hint="eastAsia" w:hAnsi="宋体"/>
          <w:b/>
          <w:color w:val="auto"/>
          <w:kern w:val="0"/>
          <w:highlight w:val="none"/>
        </w:rPr>
      </w:pPr>
    </w:p>
    <w:p w14:paraId="6EA07404">
      <w:pPr>
        <w:ind w:firstLine="420"/>
        <w:rPr>
          <w:color w:val="auto"/>
          <w:highlight w:val="none"/>
        </w:rPr>
      </w:pPr>
    </w:p>
    <w:p w14:paraId="7A41140C">
      <w:pPr>
        <w:ind w:firstLine="643"/>
        <w:jc w:val="center"/>
        <w:rPr>
          <w:rFonts w:hint="eastAsia" w:ascii="仿宋_GB2312" w:hAnsi="仿宋" w:eastAsia="仿宋_GB2312" w:cs="仿宋_GB2312"/>
          <w:b/>
          <w:color w:val="auto"/>
          <w:kern w:val="0"/>
          <w:sz w:val="32"/>
          <w:szCs w:val="32"/>
          <w:highlight w:val="none"/>
        </w:rPr>
      </w:pPr>
    </w:p>
    <w:p w14:paraId="741FEFBE">
      <w:pPr>
        <w:ind w:firstLine="643"/>
        <w:jc w:val="center"/>
        <w:rPr>
          <w:rFonts w:hint="eastAsia" w:ascii="仿宋_GB2312" w:hAnsi="仿宋" w:eastAsia="仿宋_GB2312" w:cs="仿宋_GB2312"/>
          <w:b/>
          <w:color w:val="auto"/>
          <w:kern w:val="0"/>
          <w:sz w:val="32"/>
          <w:szCs w:val="32"/>
          <w:highlight w:val="none"/>
        </w:rPr>
      </w:pPr>
    </w:p>
    <w:p w14:paraId="668001BD">
      <w:pPr>
        <w:ind w:firstLine="643"/>
        <w:jc w:val="center"/>
        <w:rPr>
          <w:rFonts w:hint="eastAsia" w:ascii="仿宋_GB2312" w:hAnsi="仿宋" w:eastAsia="仿宋_GB2312" w:cs="仿宋_GB2312"/>
          <w:b/>
          <w:color w:val="auto"/>
          <w:kern w:val="0"/>
          <w:sz w:val="32"/>
          <w:szCs w:val="32"/>
          <w:highlight w:val="none"/>
        </w:rPr>
      </w:pPr>
    </w:p>
    <w:p w14:paraId="7396AB32">
      <w:pPr>
        <w:ind w:firstLine="643"/>
        <w:jc w:val="both"/>
        <w:rPr>
          <w:rFonts w:hint="eastAsia" w:ascii="仿宋_GB2312" w:hAnsi="仿宋" w:eastAsia="仿宋_GB2312" w:cs="仿宋_GB2312"/>
          <w:b/>
          <w:color w:val="auto"/>
          <w:kern w:val="0"/>
          <w:sz w:val="32"/>
          <w:szCs w:val="32"/>
          <w:highlight w:val="none"/>
        </w:rPr>
      </w:pPr>
    </w:p>
    <w:p w14:paraId="6004E305">
      <w:pPr>
        <w:ind w:firstLine="643"/>
        <w:jc w:val="center"/>
        <w:rPr>
          <w:rFonts w:hint="eastAsia" w:ascii="仿宋_GB2312" w:hAnsi="仿宋" w:eastAsia="仿宋_GB2312" w:cs="仿宋_GB2312"/>
          <w:b/>
          <w:color w:val="auto"/>
          <w:kern w:val="0"/>
          <w:sz w:val="32"/>
          <w:szCs w:val="32"/>
          <w:highlight w:val="none"/>
        </w:rPr>
      </w:pPr>
    </w:p>
    <w:p w14:paraId="3C308D81">
      <w:pPr>
        <w:ind w:firstLine="482"/>
        <w:jc w:val="both"/>
        <w:rPr>
          <w:rFonts w:hint="eastAsia" w:ascii="仿宋_GB2312" w:hAnsi="仿宋" w:eastAsia="仿宋_GB2312" w:cs="仿宋_GB2312"/>
          <w:b/>
          <w:bCs/>
          <w:color w:val="auto"/>
          <w:sz w:val="24"/>
          <w:highlight w:val="none"/>
        </w:rPr>
        <w:sectPr>
          <w:type w:val="nextColumn"/>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p>
    <w:p w14:paraId="0A069A9E">
      <w:pPr>
        <w:pStyle w:val="6"/>
        <w:ind w:firstLine="420"/>
        <w:jc w:val="center"/>
        <w:rPr>
          <w:rFonts w:hint="eastAsia" w:ascii="微软雅黑" w:hAnsi="微软雅黑" w:cs="仿宋_GB2312"/>
          <w:color w:val="auto"/>
          <w:szCs w:val="21"/>
          <w:highlight w:val="none"/>
        </w:rPr>
      </w:pPr>
      <w:bookmarkStart w:id="286" w:name="_Toc169015155"/>
      <w:bookmarkStart w:id="287" w:name="_Toc3189"/>
      <w:r>
        <w:rPr>
          <w:rFonts w:hint="eastAsia" w:ascii="微软雅黑" w:hAnsi="微软雅黑" w:cs="仿宋_GB2312"/>
          <w:color w:val="auto"/>
          <w:szCs w:val="21"/>
          <w:highlight w:val="none"/>
        </w:rPr>
        <w:t>报价文件部分</w:t>
      </w:r>
      <w:bookmarkEnd w:id="286"/>
      <w:bookmarkEnd w:id="287"/>
    </w:p>
    <w:p w14:paraId="6E18BADC">
      <w:pPr>
        <w:ind w:firstLine="420"/>
        <w:jc w:val="center"/>
        <w:outlineLvl w:val="0"/>
        <w:rPr>
          <w:rFonts w:hint="eastAsia" w:ascii="微软雅黑" w:hAnsi="微软雅黑" w:cs="仿宋_GB2312"/>
          <w:b/>
          <w:color w:val="auto"/>
          <w:kern w:val="0"/>
          <w:szCs w:val="21"/>
          <w:highlight w:val="none"/>
        </w:rPr>
      </w:pPr>
      <w:bookmarkStart w:id="288" w:name="_Toc164943233"/>
      <w:bookmarkStart w:id="289" w:name="_Toc8651"/>
      <w:bookmarkStart w:id="290" w:name="_Toc169015156"/>
      <w:bookmarkStart w:id="291" w:name="_Toc4766"/>
      <w:r>
        <w:rPr>
          <w:rFonts w:hint="eastAsia" w:ascii="微软雅黑" w:hAnsi="微软雅黑" w:cs="仿宋_GB2312"/>
          <w:b/>
          <w:color w:val="auto"/>
          <w:kern w:val="0"/>
          <w:szCs w:val="21"/>
          <w:highlight w:val="none"/>
        </w:rPr>
        <w:t>目录</w:t>
      </w:r>
      <w:bookmarkEnd w:id="288"/>
      <w:bookmarkEnd w:id="289"/>
      <w:bookmarkEnd w:id="290"/>
      <w:bookmarkEnd w:id="291"/>
    </w:p>
    <w:p w14:paraId="50D2B773">
      <w:pPr>
        <w:numPr>
          <w:ilvl w:val="0"/>
          <w:numId w:val="44"/>
        </w:num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开标一览表（报价表）………………………………………………………（页码）</w:t>
      </w:r>
    </w:p>
    <w:p w14:paraId="14D2B9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（2）落实政府采购政策需满足的资格要求………………………………（页码）</w:t>
      </w:r>
    </w:p>
    <w:p w14:paraId="58D0CB61">
      <w:pPr>
        <w:snapToGrid w:val="0"/>
        <w:ind w:right="480" w:firstLine="643"/>
        <w:jc w:val="center"/>
        <w:rPr>
          <w:rFonts w:hint="eastAsia" w:ascii="仿宋_GB2312" w:hAnsi="仿宋" w:eastAsia="仿宋_GB2312" w:cs="仿宋_GB2312"/>
          <w:b/>
          <w:color w:val="auto"/>
          <w:kern w:val="0"/>
          <w:sz w:val="32"/>
          <w:szCs w:val="32"/>
          <w:highlight w:val="none"/>
        </w:rPr>
      </w:pPr>
    </w:p>
    <w:p w14:paraId="5E812B8A">
      <w:pPr>
        <w:snapToGrid w:val="0"/>
        <w:ind w:right="480" w:firstLine="643"/>
        <w:jc w:val="center"/>
        <w:rPr>
          <w:rFonts w:hint="eastAsia" w:ascii="仿宋_GB2312" w:hAnsi="仿宋" w:eastAsia="仿宋_GB2312" w:cs="仿宋_GB2312"/>
          <w:b/>
          <w:color w:val="auto"/>
          <w:kern w:val="0"/>
          <w:sz w:val="32"/>
          <w:szCs w:val="32"/>
          <w:highlight w:val="none"/>
        </w:rPr>
      </w:pPr>
    </w:p>
    <w:p w14:paraId="646FD8FF">
      <w:pPr>
        <w:snapToGrid w:val="0"/>
        <w:ind w:right="480" w:firstLine="643"/>
        <w:jc w:val="center"/>
        <w:rPr>
          <w:rFonts w:hint="eastAsia" w:ascii="仿宋_GB2312" w:hAnsi="仿宋" w:eastAsia="仿宋_GB2312" w:cs="仿宋_GB2312"/>
          <w:b/>
          <w:color w:val="auto"/>
          <w:kern w:val="0"/>
          <w:sz w:val="32"/>
          <w:szCs w:val="32"/>
          <w:highlight w:val="none"/>
        </w:rPr>
      </w:pPr>
    </w:p>
    <w:p w14:paraId="52429B72">
      <w:pPr>
        <w:snapToGrid w:val="0"/>
        <w:ind w:right="480" w:firstLine="643"/>
        <w:jc w:val="center"/>
        <w:rPr>
          <w:rFonts w:hint="eastAsia" w:ascii="仿宋_GB2312" w:hAnsi="仿宋" w:eastAsia="仿宋_GB2312" w:cs="仿宋_GB2312"/>
          <w:b/>
          <w:color w:val="auto"/>
          <w:kern w:val="0"/>
          <w:sz w:val="32"/>
          <w:szCs w:val="32"/>
          <w:highlight w:val="none"/>
        </w:rPr>
      </w:pPr>
    </w:p>
    <w:p w14:paraId="0660EC3C">
      <w:pPr>
        <w:snapToGrid w:val="0"/>
        <w:ind w:right="480" w:firstLine="643"/>
        <w:jc w:val="center"/>
        <w:rPr>
          <w:rFonts w:hint="eastAsia" w:ascii="仿宋_GB2312" w:hAnsi="仿宋" w:eastAsia="仿宋_GB2312" w:cs="仿宋_GB2312"/>
          <w:b/>
          <w:color w:val="auto"/>
          <w:kern w:val="0"/>
          <w:sz w:val="32"/>
          <w:szCs w:val="32"/>
          <w:highlight w:val="none"/>
        </w:rPr>
      </w:pPr>
    </w:p>
    <w:p w14:paraId="413E5B41">
      <w:pPr>
        <w:snapToGrid w:val="0"/>
        <w:ind w:right="480" w:firstLine="643"/>
        <w:jc w:val="center"/>
        <w:rPr>
          <w:rFonts w:hint="eastAsia" w:ascii="仿宋_GB2312" w:hAnsi="仿宋" w:eastAsia="仿宋_GB2312" w:cs="仿宋_GB2312"/>
          <w:b/>
          <w:color w:val="auto"/>
          <w:kern w:val="0"/>
          <w:sz w:val="32"/>
          <w:szCs w:val="32"/>
          <w:highlight w:val="none"/>
        </w:rPr>
      </w:pPr>
    </w:p>
    <w:p w14:paraId="42AC1D2B">
      <w:pPr>
        <w:snapToGrid w:val="0"/>
        <w:ind w:right="480" w:firstLine="643"/>
        <w:jc w:val="center"/>
        <w:rPr>
          <w:rFonts w:hint="eastAsia" w:ascii="仿宋_GB2312" w:hAnsi="仿宋" w:eastAsia="仿宋_GB2312" w:cs="仿宋_GB2312"/>
          <w:b/>
          <w:color w:val="auto"/>
          <w:kern w:val="0"/>
          <w:sz w:val="32"/>
          <w:szCs w:val="32"/>
          <w:highlight w:val="none"/>
        </w:rPr>
      </w:pPr>
    </w:p>
    <w:p w14:paraId="3EF42CD9">
      <w:pPr>
        <w:snapToGrid w:val="0"/>
        <w:ind w:right="480" w:firstLine="643"/>
        <w:jc w:val="center"/>
        <w:rPr>
          <w:rFonts w:hint="eastAsia" w:ascii="仿宋_GB2312" w:hAnsi="仿宋" w:eastAsia="仿宋_GB2312" w:cs="仿宋_GB2312"/>
          <w:b/>
          <w:color w:val="auto"/>
          <w:kern w:val="0"/>
          <w:sz w:val="32"/>
          <w:szCs w:val="32"/>
          <w:highlight w:val="none"/>
        </w:rPr>
      </w:pPr>
    </w:p>
    <w:p w14:paraId="404666E9">
      <w:pPr>
        <w:snapToGrid w:val="0"/>
        <w:ind w:right="480" w:firstLine="643"/>
        <w:jc w:val="center"/>
        <w:rPr>
          <w:rFonts w:hint="eastAsia" w:ascii="仿宋_GB2312" w:hAnsi="仿宋" w:eastAsia="仿宋_GB2312" w:cs="仿宋_GB2312"/>
          <w:b/>
          <w:color w:val="auto"/>
          <w:kern w:val="0"/>
          <w:sz w:val="32"/>
          <w:szCs w:val="32"/>
          <w:highlight w:val="none"/>
        </w:rPr>
      </w:pPr>
    </w:p>
    <w:p w14:paraId="353F60C4">
      <w:pPr>
        <w:snapToGrid w:val="0"/>
        <w:ind w:right="480" w:firstLine="643"/>
        <w:jc w:val="center"/>
        <w:rPr>
          <w:rFonts w:hint="eastAsia" w:ascii="仿宋_GB2312" w:hAnsi="仿宋" w:eastAsia="仿宋_GB2312" w:cs="仿宋_GB2312"/>
          <w:b/>
          <w:color w:val="auto"/>
          <w:kern w:val="0"/>
          <w:sz w:val="32"/>
          <w:szCs w:val="32"/>
          <w:highlight w:val="none"/>
        </w:rPr>
      </w:pPr>
    </w:p>
    <w:p w14:paraId="37EFDA86">
      <w:pPr>
        <w:snapToGrid w:val="0"/>
        <w:ind w:right="480" w:firstLine="643"/>
        <w:jc w:val="center"/>
        <w:rPr>
          <w:rFonts w:hint="eastAsia" w:ascii="仿宋_GB2312" w:hAnsi="仿宋" w:eastAsia="仿宋_GB2312" w:cs="仿宋_GB2312"/>
          <w:b/>
          <w:color w:val="auto"/>
          <w:kern w:val="0"/>
          <w:sz w:val="32"/>
          <w:szCs w:val="32"/>
          <w:highlight w:val="none"/>
        </w:rPr>
      </w:pPr>
    </w:p>
    <w:p w14:paraId="5D9E5CF9">
      <w:pPr>
        <w:ind w:firstLine="420"/>
        <w:rPr>
          <w:color w:val="auto"/>
          <w:highlight w:val="none"/>
        </w:rPr>
        <w:sectPr>
          <w:headerReference r:id="rId26" w:type="default"/>
          <w:footerReference r:id="rId27" w:type="default"/>
          <w:type w:val="nextColumn"/>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p>
    <w:p w14:paraId="7687F384">
      <w:pPr>
        <w:pStyle w:val="295"/>
        <w:keepNext w:val="0"/>
        <w:pageBreakBefore w:val="0"/>
        <w:tabs>
          <w:tab w:val="clear" w:pos="720"/>
        </w:tabs>
        <w:snapToGrid w:val="0"/>
        <w:spacing w:before="120" w:after="120"/>
        <w:ind w:firstLine="640"/>
        <w:outlineLvl w:val="1"/>
        <w:rPr>
          <w:rFonts w:hint="eastAsia" w:ascii="微软雅黑" w:hAnsi="微软雅黑" w:eastAsia="微软雅黑" w:cs="仿宋_GB2312"/>
          <w:color w:val="auto"/>
          <w:kern w:val="2"/>
          <w:sz w:val="21"/>
          <w:szCs w:val="21"/>
          <w:highlight w:val="none"/>
        </w:rPr>
      </w:pPr>
      <w:bookmarkStart w:id="292" w:name="_Toc27753"/>
      <w:r>
        <w:rPr>
          <w:rFonts w:hint="eastAsia" w:ascii="微软雅黑" w:hAnsi="微软雅黑" w:eastAsia="微软雅黑" w:cs="仿宋_GB2312"/>
          <w:color w:val="auto"/>
          <w:kern w:val="2"/>
          <w:sz w:val="21"/>
          <w:szCs w:val="21"/>
          <w:highlight w:val="none"/>
        </w:rPr>
        <w:t>一、开标一览表</w:t>
      </w:r>
      <w:bookmarkEnd w:id="292"/>
    </w:p>
    <w:p w14:paraId="16855D0B">
      <w:pPr>
        <w:snapToGrid w:val="0"/>
        <w:ind w:firstLine="420"/>
        <w:jc w:val="center"/>
        <w:rPr>
          <w:rFonts w:hint="eastAsia" w:ascii="微软雅黑" w:hAnsi="微软雅黑"/>
          <w:color w:val="auto"/>
          <w:szCs w:val="21"/>
          <w:highlight w:val="none"/>
        </w:rPr>
      </w:pPr>
    </w:p>
    <w:p w14:paraId="2688BA00">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招标编号： </w:t>
      </w:r>
    </w:p>
    <w:p w14:paraId="7653678B">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投标人名称：</w:t>
      </w:r>
    </w:p>
    <w:p w14:paraId="11D9E948">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单位：元/</w:t>
      </w:r>
      <w:r>
        <w:rPr>
          <w:rFonts w:hint="eastAsia" w:ascii="Arial Unicode MS" w:hAnsi="Arial Unicode MS" w:eastAsia="Arial Unicode MS" w:cs="Arial Unicode MS"/>
          <w:color w:val="auto"/>
          <w:szCs w:val="21"/>
          <w:highlight w:val="none"/>
          <w:shd w:val="clear" w:color="auto" w:fill="FFFFFF"/>
        </w:rPr>
        <w:t>㎡</w:t>
      </w:r>
    </w:p>
    <w:p w14:paraId="3ED1D587">
      <w:pPr>
        <w:pStyle w:val="65"/>
        <w:ind w:firstLine="400"/>
        <w:rPr>
          <w:color w:val="auto"/>
          <w:highlight w:val="none"/>
        </w:rPr>
      </w:pPr>
    </w:p>
    <w:tbl>
      <w:tblPr>
        <w:tblStyle w:val="54"/>
        <w:tblW w:w="849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4"/>
        <w:gridCol w:w="2137"/>
        <w:gridCol w:w="1191"/>
        <w:gridCol w:w="785"/>
        <w:gridCol w:w="996"/>
        <w:gridCol w:w="2660"/>
      </w:tblGrid>
      <w:tr w14:paraId="0EC0C7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4"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14:paraId="65C7670D">
            <w:pPr>
              <w:snapToGrid w:val="0"/>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序号</w:t>
            </w:r>
          </w:p>
        </w:tc>
        <w:tc>
          <w:tcPr>
            <w:tcW w:w="2137" w:type="dxa"/>
            <w:tcBorders>
              <w:top w:val="single" w:color="auto" w:sz="4" w:space="0"/>
              <w:left w:val="single" w:color="auto" w:sz="4" w:space="0"/>
              <w:bottom w:val="single" w:color="auto" w:sz="4" w:space="0"/>
              <w:right w:val="single" w:color="auto" w:sz="4" w:space="0"/>
            </w:tcBorders>
            <w:vAlign w:val="center"/>
          </w:tcPr>
          <w:p w14:paraId="2F355027">
            <w:pPr>
              <w:snapToGrid w:val="0"/>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名          称</w:t>
            </w:r>
          </w:p>
        </w:tc>
        <w:tc>
          <w:tcPr>
            <w:tcW w:w="1191" w:type="dxa"/>
            <w:tcBorders>
              <w:top w:val="single" w:color="auto" w:sz="4" w:space="0"/>
              <w:left w:val="single" w:color="auto" w:sz="4" w:space="0"/>
              <w:bottom w:val="single" w:color="auto" w:sz="4" w:space="0"/>
              <w:right w:val="single" w:color="auto" w:sz="4" w:space="0"/>
            </w:tcBorders>
            <w:vAlign w:val="center"/>
          </w:tcPr>
          <w:p w14:paraId="063B8F52">
            <w:pPr>
              <w:snapToGrid w:val="0"/>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内容</w:t>
            </w:r>
          </w:p>
        </w:tc>
        <w:tc>
          <w:tcPr>
            <w:tcW w:w="785" w:type="dxa"/>
            <w:tcBorders>
              <w:top w:val="single" w:color="auto" w:sz="4" w:space="0"/>
              <w:left w:val="single" w:color="auto" w:sz="4" w:space="0"/>
              <w:bottom w:val="single" w:color="auto" w:sz="4" w:space="0"/>
              <w:right w:val="single" w:color="auto" w:sz="4" w:space="0"/>
            </w:tcBorders>
            <w:vAlign w:val="center"/>
          </w:tcPr>
          <w:p w14:paraId="721E1387">
            <w:pPr>
              <w:snapToGrid w:val="0"/>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数量</w:t>
            </w:r>
          </w:p>
        </w:tc>
        <w:tc>
          <w:tcPr>
            <w:tcW w:w="996" w:type="dxa"/>
            <w:tcBorders>
              <w:top w:val="single" w:color="auto" w:sz="4" w:space="0"/>
              <w:left w:val="single" w:color="auto" w:sz="4" w:space="0"/>
              <w:bottom w:val="single" w:color="auto" w:sz="4" w:space="0"/>
              <w:right w:val="single" w:color="auto" w:sz="4" w:space="0"/>
            </w:tcBorders>
            <w:vAlign w:val="center"/>
          </w:tcPr>
          <w:p w14:paraId="2DFEB73F">
            <w:pPr>
              <w:snapToGrid w:val="0"/>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单位</w:t>
            </w:r>
          </w:p>
        </w:tc>
        <w:tc>
          <w:tcPr>
            <w:tcW w:w="2660" w:type="dxa"/>
            <w:tcBorders>
              <w:top w:val="single" w:color="auto" w:sz="4" w:space="0"/>
              <w:left w:val="single" w:color="auto" w:sz="4" w:space="0"/>
              <w:bottom w:val="single" w:color="auto" w:sz="4" w:space="0"/>
              <w:right w:val="single" w:color="auto" w:sz="4" w:space="0"/>
            </w:tcBorders>
            <w:vAlign w:val="center"/>
          </w:tcPr>
          <w:p w14:paraId="35017297">
            <w:pPr>
              <w:snapToGrid w:val="0"/>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投标</w:t>
            </w:r>
            <w:r>
              <w:rPr>
                <w:rFonts w:hint="eastAsia" w:ascii="微软雅黑" w:hAnsi="微软雅黑"/>
                <w:color w:val="auto"/>
                <w:szCs w:val="21"/>
                <w:highlight w:val="none"/>
              </w:rPr>
              <w:t>单</w:t>
            </w:r>
            <w:r>
              <w:rPr>
                <w:rFonts w:ascii="微软雅黑" w:hAnsi="微软雅黑"/>
                <w:color w:val="auto"/>
                <w:szCs w:val="21"/>
                <w:highlight w:val="none"/>
              </w:rPr>
              <w:t>价</w:t>
            </w:r>
            <w:r>
              <w:rPr>
                <w:rFonts w:hint="eastAsia" w:ascii="微软雅黑" w:hAnsi="微软雅黑"/>
                <w:color w:val="auto"/>
                <w:szCs w:val="21"/>
                <w:highlight w:val="none"/>
              </w:rPr>
              <w:t>（元/</w:t>
            </w:r>
            <w:r>
              <w:rPr>
                <w:rFonts w:hint="eastAsia" w:ascii="微软雅黑" w:hAnsi="微软雅黑" w:cs="Arial Unicode MS"/>
                <w:color w:val="auto"/>
                <w:szCs w:val="21"/>
                <w:highlight w:val="none"/>
                <w:shd w:val="clear" w:color="auto" w:fill="FFFFFF"/>
              </w:rPr>
              <w:t>㎡）</w:t>
            </w:r>
          </w:p>
        </w:tc>
      </w:tr>
      <w:tr w14:paraId="4B793B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24" w:type="dxa"/>
            <w:vMerge w:val="restart"/>
            <w:tcBorders>
              <w:top w:val="single" w:color="auto" w:sz="4" w:space="0"/>
              <w:left w:val="single" w:color="auto" w:sz="4" w:space="0"/>
              <w:right w:val="single" w:color="auto" w:sz="4" w:space="0"/>
            </w:tcBorders>
            <w:vAlign w:val="center"/>
          </w:tcPr>
          <w:p w14:paraId="420332C6">
            <w:pPr>
              <w:snapToGrid w:val="0"/>
              <w:spacing w:line="240" w:lineRule="auto"/>
              <w:ind w:firstLine="420"/>
              <w:jc w:val="both"/>
              <w:rPr>
                <w:rFonts w:hint="eastAsia" w:ascii="微软雅黑" w:hAnsi="微软雅黑"/>
                <w:color w:val="auto"/>
                <w:szCs w:val="21"/>
                <w:highlight w:val="none"/>
              </w:rPr>
            </w:pPr>
            <w:r>
              <w:rPr>
                <w:rFonts w:hint="eastAsia" w:ascii="微软雅黑" w:hAnsi="微软雅黑"/>
                <w:color w:val="auto"/>
                <w:szCs w:val="21"/>
                <w:highlight w:val="none"/>
              </w:rPr>
              <w:t>1</w:t>
            </w:r>
          </w:p>
        </w:tc>
        <w:tc>
          <w:tcPr>
            <w:tcW w:w="2137" w:type="dxa"/>
            <w:vMerge w:val="restart"/>
            <w:tcBorders>
              <w:top w:val="single" w:color="auto" w:sz="4" w:space="0"/>
              <w:left w:val="single" w:color="auto" w:sz="4" w:space="0"/>
              <w:right w:val="single" w:color="auto" w:sz="4" w:space="0"/>
            </w:tcBorders>
            <w:vAlign w:val="center"/>
          </w:tcPr>
          <w:p w14:paraId="3FB7A6F5">
            <w:pPr>
              <w:snapToGrid w:val="0"/>
              <w:spacing w:line="240" w:lineRule="auto"/>
              <w:ind w:firstLine="0" w:firstLineChars="0"/>
              <w:rPr>
                <w:rFonts w:hint="eastAsia" w:ascii="微软雅黑" w:hAnsi="微软雅黑"/>
                <w:color w:val="auto"/>
                <w:szCs w:val="21"/>
                <w:highlight w:val="none"/>
              </w:rPr>
            </w:pPr>
            <w:r>
              <w:rPr>
                <w:rFonts w:hint="eastAsia"/>
                <w:color w:val="auto"/>
                <w:highlight w:val="none"/>
              </w:rPr>
              <w:t>2025年秀洲区老旧房屋保险服务项目</w:t>
            </w:r>
          </w:p>
        </w:tc>
        <w:tc>
          <w:tcPr>
            <w:tcW w:w="1191" w:type="dxa"/>
            <w:tcBorders>
              <w:top w:val="single" w:color="auto" w:sz="4" w:space="0"/>
              <w:left w:val="single" w:color="auto" w:sz="4" w:space="0"/>
              <w:bottom w:val="single" w:color="auto" w:sz="4" w:space="0"/>
              <w:right w:val="single" w:color="auto" w:sz="4" w:space="0"/>
            </w:tcBorders>
            <w:vAlign w:val="center"/>
          </w:tcPr>
          <w:p w14:paraId="3F29BAF2">
            <w:pPr>
              <w:snapToGrid w:val="0"/>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保险费用</w:t>
            </w:r>
          </w:p>
        </w:tc>
        <w:tc>
          <w:tcPr>
            <w:tcW w:w="785" w:type="dxa"/>
            <w:tcBorders>
              <w:top w:val="single" w:color="auto" w:sz="4" w:space="0"/>
              <w:left w:val="single" w:color="auto" w:sz="4" w:space="0"/>
              <w:bottom w:val="single" w:color="auto" w:sz="4" w:space="0"/>
              <w:right w:val="single" w:color="auto" w:sz="4" w:space="0"/>
            </w:tcBorders>
            <w:vAlign w:val="center"/>
          </w:tcPr>
          <w:p w14:paraId="218CECE1">
            <w:pPr>
              <w:snapToGrid w:val="0"/>
              <w:spacing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1</w:t>
            </w:r>
          </w:p>
        </w:tc>
        <w:tc>
          <w:tcPr>
            <w:tcW w:w="996" w:type="dxa"/>
            <w:tcBorders>
              <w:top w:val="single" w:color="auto" w:sz="4" w:space="0"/>
              <w:left w:val="single" w:color="auto" w:sz="4" w:space="0"/>
              <w:bottom w:val="single" w:color="auto" w:sz="4" w:space="0"/>
              <w:right w:val="single" w:color="auto" w:sz="4" w:space="0"/>
            </w:tcBorders>
            <w:vAlign w:val="center"/>
          </w:tcPr>
          <w:p w14:paraId="0D567DD6">
            <w:pPr>
              <w:snapToGrid w:val="0"/>
              <w:spacing w:line="240" w:lineRule="auto"/>
              <w:ind w:firstLine="420"/>
              <w:rPr>
                <w:rFonts w:hint="eastAsia" w:ascii="微软雅黑" w:hAnsi="微软雅黑"/>
                <w:color w:val="auto"/>
                <w:szCs w:val="21"/>
                <w:highlight w:val="none"/>
              </w:rPr>
            </w:pPr>
            <w:r>
              <w:rPr>
                <w:rFonts w:hint="eastAsia" w:ascii="微软雅黑" w:hAnsi="微软雅黑" w:cs="Arial Unicode MS"/>
                <w:color w:val="auto"/>
                <w:szCs w:val="21"/>
                <w:highlight w:val="none"/>
                <w:shd w:val="clear" w:color="auto" w:fill="FFFFFF"/>
              </w:rPr>
              <w:t>㎡</w:t>
            </w:r>
          </w:p>
        </w:tc>
        <w:tc>
          <w:tcPr>
            <w:tcW w:w="2660" w:type="dxa"/>
            <w:tcBorders>
              <w:top w:val="single" w:color="auto" w:sz="4" w:space="0"/>
              <w:left w:val="single" w:color="auto" w:sz="4" w:space="0"/>
              <w:bottom w:val="single" w:color="auto" w:sz="4" w:space="0"/>
              <w:right w:val="single" w:color="auto" w:sz="4" w:space="0"/>
            </w:tcBorders>
            <w:vAlign w:val="center"/>
          </w:tcPr>
          <w:p w14:paraId="1B8A921D">
            <w:pPr>
              <w:snapToGrid w:val="0"/>
              <w:spacing w:line="240" w:lineRule="auto"/>
              <w:ind w:firstLine="420"/>
              <w:rPr>
                <w:rFonts w:hint="eastAsia" w:ascii="微软雅黑" w:hAnsi="微软雅黑"/>
                <w:color w:val="auto"/>
                <w:szCs w:val="21"/>
                <w:highlight w:val="none"/>
              </w:rPr>
            </w:pPr>
          </w:p>
        </w:tc>
      </w:tr>
      <w:tr w14:paraId="434CA7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724" w:type="dxa"/>
            <w:vMerge w:val="continue"/>
            <w:tcBorders>
              <w:left w:val="single" w:color="auto" w:sz="4" w:space="0"/>
              <w:bottom w:val="single" w:color="auto" w:sz="4" w:space="0"/>
              <w:right w:val="single" w:color="auto" w:sz="4" w:space="0"/>
            </w:tcBorders>
            <w:vAlign w:val="center"/>
          </w:tcPr>
          <w:p w14:paraId="7B1399FE">
            <w:pPr>
              <w:snapToGrid w:val="0"/>
              <w:spacing w:line="240" w:lineRule="auto"/>
              <w:ind w:firstLine="420"/>
              <w:rPr>
                <w:rFonts w:hint="eastAsia" w:ascii="微软雅黑" w:hAnsi="微软雅黑"/>
                <w:color w:val="auto"/>
                <w:szCs w:val="21"/>
                <w:highlight w:val="none"/>
              </w:rPr>
            </w:pPr>
          </w:p>
        </w:tc>
        <w:tc>
          <w:tcPr>
            <w:tcW w:w="2137" w:type="dxa"/>
            <w:vMerge w:val="continue"/>
            <w:tcBorders>
              <w:left w:val="single" w:color="auto" w:sz="4" w:space="0"/>
              <w:bottom w:val="single" w:color="auto" w:sz="4" w:space="0"/>
              <w:right w:val="single" w:color="auto" w:sz="4" w:space="0"/>
            </w:tcBorders>
            <w:vAlign w:val="center"/>
          </w:tcPr>
          <w:p w14:paraId="15CFFB4C">
            <w:pPr>
              <w:snapToGrid w:val="0"/>
              <w:spacing w:line="240" w:lineRule="auto"/>
              <w:ind w:firstLine="0" w:firstLineChars="0"/>
              <w:rPr>
                <w:rFonts w:hint="eastAsia" w:ascii="微软雅黑" w:hAnsi="微软雅黑"/>
                <w:color w:val="auto"/>
                <w:szCs w:val="21"/>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4B0B7ABB">
            <w:pPr>
              <w:snapToGrid w:val="0"/>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监测费用</w:t>
            </w:r>
          </w:p>
        </w:tc>
        <w:tc>
          <w:tcPr>
            <w:tcW w:w="785" w:type="dxa"/>
            <w:tcBorders>
              <w:top w:val="single" w:color="auto" w:sz="4" w:space="0"/>
              <w:left w:val="single" w:color="auto" w:sz="4" w:space="0"/>
              <w:bottom w:val="single" w:color="auto" w:sz="4" w:space="0"/>
              <w:right w:val="single" w:color="auto" w:sz="4" w:space="0"/>
            </w:tcBorders>
            <w:vAlign w:val="center"/>
          </w:tcPr>
          <w:p w14:paraId="3E0E1A9D">
            <w:pPr>
              <w:snapToGrid w:val="0"/>
              <w:spacing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1</w:t>
            </w:r>
          </w:p>
        </w:tc>
        <w:tc>
          <w:tcPr>
            <w:tcW w:w="996" w:type="dxa"/>
            <w:tcBorders>
              <w:top w:val="single" w:color="auto" w:sz="4" w:space="0"/>
              <w:left w:val="single" w:color="auto" w:sz="4" w:space="0"/>
              <w:bottom w:val="single" w:color="auto" w:sz="4" w:space="0"/>
              <w:right w:val="single" w:color="auto" w:sz="4" w:space="0"/>
            </w:tcBorders>
            <w:vAlign w:val="center"/>
          </w:tcPr>
          <w:p w14:paraId="52AB385A">
            <w:pPr>
              <w:snapToGrid w:val="0"/>
              <w:spacing w:line="240" w:lineRule="auto"/>
              <w:ind w:firstLine="420"/>
              <w:rPr>
                <w:rFonts w:hint="eastAsia" w:ascii="微软雅黑" w:hAnsi="微软雅黑"/>
                <w:color w:val="auto"/>
                <w:szCs w:val="21"/>
                <w:highlight w:val="none"/>
              </w:rPr>
            </w:pPr>
            <w:r>
              <w:rPr>
                <w:rFonts w:hint="eastAsia" w:ascii="微软雅黑" w:hAnsi="微软雅黑" w:cs="Arial Unicode MS"/>
                <w:color w:val="auto"/>
                <w:szCs w:val="21"/>
                <w:highlight w:val="none"/>
                <w:shd w:val="clear" w:color="auto" w:fill="FFFFFF"/>
              </w:rPr>
              <w:t>㎡</w:t>
            </w:r>
          </w:p>
        </w:tc>
        <w:tc>
          <w:tcPr>
            <w:tcW w:w="2660" w:type="dxa"/>
            <w:tcBorders>
              <w:top w:val="single" w:color="auto" w:sz="4" w:space="0"/>
              <w:left w:val="single" w:color="auto" w:sz="4" w:space="0"/>
              <w:bottom w:val="single" w:color="auto" w:sz="4" w:space="0"/>
              <w:right w:val="single" w:color="auto" w:sz="4" w:space="0"/>
            </w:tcBorders>
            <w:vAlign w:val="center"/>
          </w:tcPr>
          <w:p w14:paraId="34FF6748">
            <w:pPr>
              <w:snapToGrid w:val="0"/>
              <w:spacing w:line="240" w:lineRule="auto"/>
              <w:ind w:firstLine="420"/>
              <w:rPr>
                <w:rFonts w:hint="eastAsia" w:ascii="微软雅黑" w:hAnsi="微软雅黑"/>
                <w:color w:val="auto"/>
                <w:szCs w:val="21"/>
                <w:highlight w:val="none"/>
              </w:rPr>
            </w:pPr>
          </w:p>
        </w:tc>
      </w:tr>
      <w:tr w14:paraId="3E7BE4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14:paraId="3D7467F9">
            <w:pPr>
              <w:snapToGrid w:val="0"/>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合计</w:t>
            </w:r>
          </w:p>
        </w:tc>
        <w:tc>
          <w:tcPr>
            <w:tcW w:w="2137" w:type="dxa"/>
            <w:tcBorders>
              <w:top w:val="single" w:color="auto" w:sz="4" w:space="0"/>
              <w:left w:val="single" w:color="auto" w:sz="4" w:space="0"/>
              <w:bottom w:val="single" w:color="auto" w:sz="4" w:space="0"/>
              <w:right w:val="single" w:color="auto" w:sz="4" w:space="0"/>
            </w:tcBorders>
            <w:vAlign w:val="center"/>
          </w:tcPr>
          <w:p w14:paraId="6F0A84B6">
            <w:pPr>
              <w:snapToGrid w:val="0"/>
              <w:spacing w:line="240" w:lineRule="auto"/>
              <w:ind w:firstLine="420"/>
              <w:rPr>
                <w:rFonts w:hint="eastAsia" w:ascii="微软雅黑" w:hAnsi="微软雅黑"/>
                <w:color w:val="auto"/>
                <w:szCs w:val="21"/>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6B9BF171">
            <w:pPr>
              <w:snapToGrid w:val="0"/>
              <w:spacing w:line="240" w:lineRule="auto"/>
              <w:ind w:firstLine="420"/>
              <w:rPr>
                <w:rFonts w:hint="eastAsia" w:ascii="微软雅黑" w:hAnsi="微软雅黑"/>
                <w:color w:val="auto"/>
                <w:szCs w:val="21"/>
                <w:highlight w:val="none"/>
              </w:rPr>
            </w:pPr>
          </w:p>
        </w:tc>
        <w:tc>
          <w:tcPr>
            <w:tcW w:w="785" w:type="dxa"/>
            <w:tcBorders>
              <w:top w:val="single" w:color="auto" w:sz="4" w:space="0"/>
              <w:left w:val="single" w:color="auto" w:sz="4" w:space="0"/>
              <w:bottom w:val="single" w:color="auto" w:sz="4" w:space="0"/>
              <w:right w:val="single" w:color="auto" w:sz="4" w:space="0"/>
            </w:tcBorders>
            <w:vAlign w:val="center"/>
          </w:tcPr>
          <w:p w14:paraId="1282A7EC">
            <w:pPr>
              <w:snapToGrid w:val="0"/>
              <w:spacing w:line="240" w:lineRule="auto"/>
              <w:ind w:firstLine="420"/>
              <w:rPr>
                <w:rFonts w:hint="eastAsia" w:ascii="微软雅黑" w:hAnsi="微软雅黑"/>
                <w:color w:val="auto"/>
                <w:szCs w:val="21"/>
                <w:highlight w:val="none"/>
              </w:rPr>
            </w:pPr>
          </w:p>
        </w:tc>
        <w:tc>
          <w:tcPr>
            <w:tcW w:w="996" w:type="dxa"/>
            <w:tcBorders>
              <w:top w:val="single" w:color="auto" w:sz="4" w:space="0"/>
              <w:left w:val="single" w:color="auto" w:sz="4" w:space="0"/>
              <w:bottom w:val="single" w:color="auto" w:sz="4" w:space="0"/>
              <w:right w:val="single" w:color="auto" w:sz="4" w:space="0"/>
            </w:tcBorders>
            <w:vAlign w:val="center"/>
          </w:tcPr>
          <w:p w14:paraId="3E6CC127">
            <w:pPr>
              <w:snapToGrid w:val="0"/>
              <w:spacing w:line="240" w:lineRule="auto"/>
              <w:ind w:firstLine="420"/>
              <w:rPr>
                <w:rFonts w:hint="eastAsia" w:ascii="微软雅黑" w:hAnsi="微软雅黑" w:cs="Arial Unicode MS"/>
                <w:color w:val="auto"/>
                <w:szCs w:val="21"/>
                <w:highlight w:val="none"/>
                <w:shd w:val="clear" w:color="auto" w:fill="FFFFFF"/>
              </w:rPr>
            </w:pPr>
          </w:p>
        </w:tc>
        <w:tc>
          <w:tcPr>
            <w:tcW w:w="2660" w:type="dxa"/>
            <w:tcBorders>
              <w:top w:val="single" w:color="auto" w:sz="4" w:space="0"/>
              <w:left w:val="single" w:color="auto" w:sz="4" w:space="0"/>
              <w:bottom w:val="single" w:color="auto" w:sz="4" w:space="0"/>
              <w:right w:val="single" w:color="auto" w:sz="4" w:space="0"/>
            </w:tcBorders>
            <w:vAlign w:val="center"/>
          </w:tcPr>
          <w:p w14:paraId="75732FFE">
            <w:pPr>
              <w:snapToGrid w:val="0"/>
              <w:spacing w:line="240" w:lineRule="auto"/>
              <w:ind w:firstLine="420"/>
              <w:rPr>
                <w:rFonts w:hint="eastAsia" w:ascii="微软雅黑" w:hAnsi="微软雅黑"/>
                <w:color w:val="auto"/>
                <w:szCs w:val="21"/>
                <w:highlight w:val="none"/>
              </w:rPr>
            </w:pPr>
          </w:p>
        </w:tc>
      </w:tr>
    </w:tbl>
    <w:p w14:paraId="767B2F7F">
      <w:pPr>
        <w:pStyle w:val="3"/>
        <w:ind w:firstLine="480"/>
        <w:rPr>
          <w:rFonts w:hint="eastAsia" w:ascii="微软雅黑" w:hAnsi="微软雅黑"/>
          <w:color w:val="auto"/>
          <w:szCs w:val="21"/>
          <w:highlight w:val="none"/>
        </w:rPr>
      </w:pPr>
    </w:p>
    <w:p w14:paraId="05283408">
      <w:pPr>
        <w:snapToGrid w:val="0"/>
        <w:ind w:firstLine="420"/>
        <w:rPr>
          <w:rFonts w:hint="eastAsia" w:ascii="微软雅黑" w:hAnsi="微软雅黑"/>
          <w:color w:val="auto"/>
          <w:szCs w:val="21"/>
          <w:highlight w:val="none"/>
        </w:rPr>
      </w:pPr>
      <w:r>
        <w:rPr>
          <w:rFonts w:ascii="微软雅黑" w:hAnsi="微软雅黑"/>
          <w:color w:val="auto"/>
          <w:szCs w:val="21"/>
          <w:highlight w:val="none"/>
        </w:rPr>
        <w:t>1</w:t>
      </w:r>
      <w:r>
        <w:rPr>
          <w:rFonts w:hint="eastAsia" w:ascii="微软雅黑" w:hAnsi="微软雅黑"/>
          <w:color w:val="auto"/>
          <w:szCs w:val="21"/>
          <w:highlight w:val="none"/>
        </w:rPr>
        <w:t>、报价一经涂改，应在涂改处加盖单位公章或者由法定代表人（负责人）或授权委托人签字或盖章，否则其投标作无效标处理。</w:t>
      </w:r>
    </w:p>
    <w:p w14:paraId="6351F907">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w:t>
      </w:r>
      <w:r>
        <w:rPr>
          <w:rFonts w:hint="eastAsia" w:ascii="微软雅黑" w:hAnsi="微软雅黑"/>
          <w:color w:val="auto"/>
          <w:szCs w:val="21"/>
          <w:highlight w:val="none"/>
        </w:rPr>
        <w:t>以上报价不得超过上限价，任何超过上限价的报价均导致投标被否决。</w:t>
      </w:r>
    </w:p>
    <w:p w14:paraId="5F0BD7B9">
      <w:pPr>
        <w:pStyle w:val="29"/>
        <w:snapToGrid w:val="0"/>
        <w:ind w:firstLine="420"/>
        <w:rPr>
          <w:rFonts w:hint="eastAsia" w:ascii="微软雅黑" w:hAnsi="微软雅黑"/>
          <w:color w:val="auto"/>
          <w:szCs w:val="21"/>
          <w:highlight w:val="none"/>
        </w:rPr>
      </w:pPr>
    </w:p>
    <w:p w14:paraId="2CAB7607">
      <w:pPr>
        <w:snapToGrid w:val="0"/>
        <w:ind w:firstLine="420"/>
        <w:rPr>
          <w:rFonts w:hint="eastAsia" w:ascii="微软雅黑" w:hAnsi="微软雅黑"/>
          <w:color w:val="auto"/>
          <w:szCs w:val="21"/>
          <w:highlight w:val="none"/>
        </w:rPr>
      </w:pPr>
    </w:p>
    <w:p w14:paraId="338ED975">
      <w:pPr>
        <w:snapToGrid w:val="0"/>
        <w:ind w:left="-46" w:leftChars="-22" w:right="-817" w:rightChars="-389" w:firstLine="525" w:firstLineChars="250"/>
        <w:rPr>
          <w:rFonts w:hint="eastAsia" w:ascii="微软雅黑" w:hAnsi="微软雅黑"/>
          <w:color w:val="auto"/>
          <w:szCs w:val="21"/>
          <w:highlight w:val="none"/>
        </w:rPr>
      </w:pPr>
      <w:r>
        <w:rPr>
          <w:rFonts w:hint="eastAsia" w:ascii="微软雅黑" w:hAnsi="微软雅黑"/>
          <w:color w:val="auto"/>
          <w:szCs w:val="21"/>
          <w:highlight w:val="none"/>
        </w:rPr>
        <w:t>法定代表人（负责人）或授权代表（签字或盖章）：</w:t>
      </w:r>
    </w:p>
    <w:p w14:paraId="2EB0E6A4">
      <w:pPr>
        <w:ind w:firstLine="420"/>
        <w:rPr>
          <w:rFonts w:hint="eastAsia" w:ascii="微软雅黑" w:hAnsi="微软雅黑"/>
          <w:color w:val="auto"/>
          <w:szCs w:val="21"/>
          <w:highlight w:val="none"/>
        </w:rPr>
      </w:pPr>
      <w:r>
        <w:rPr>
          <w:rFonts w:hint="eastAsia" w:ascii="微软雅黑" w:hAnsi="微软雅黑"/>
          <w:color w:val="auto"/>
          <w:szCs w:val="21"/>
          <w:highlight w:val="none"/>
        </w:rPr>
        <w:t>投标人名称（盖章）：</w:t>
      </w:r>
    </w:p>
    <w:p w14:paraId="258574D0">
      <w:pPr>
        <w:ind w:firstLine="420"/>
        <w:rPr>
          <w:rFonts w:hint="eastAsia" w:ascii="微软雅黑" w:hAnsi="微软雅黑"/>
          <w:color w:val="auto"/>
          <w:szCs w:val="21"/>
          <w:highlight w:val="none"/>
        </w:rPr>
      </w:pPr>
      <w:r>
        <w:rPr>
          <w:rFonts w:hint="eastAsia" w:ascii="微软雅黑" w:hAnsi="微软雅黑"/>
          <w:color w:val="auto"/>
          <w:szCs w:val="21"/>
          <w:highlight w:val="none"/>
        </w:rPr>
        <w:t>日期： 年 月 日</w:t>
      </w:r>
    </w:p>
    <w:p w14:paraId="1F41CFDD">
      <w:pPr>
        <w:pStyle w:val="29"/>
        <w:snapToGrid w:val="0"/>
        <w:ind w:firstLine="420"/>
        <w:rPr>
          <w:rFonts w:hint="eastAsia" w:ascii="微软雅黑" w:hAnsi="微软雅黑"/>
          <w:b/>
          <w:color w:val="auto"/>
          <w:szCs w:val="21"/>
          <w:highlight w:val="none"/>
        </w:rPr>
      </w:pPr>
    </w:p>
    <w:p w14:paraId="01CC82B5">
      <w:pPr>
        <w:shd w:val="clear" w:color="auto" w:fill="FFFFFF"/>
        <w:spacing w:line="400" w:lineRule="atLeast"/>
        <w:ind w:firstLine="420"/>
        <w:rPr>
          <w:rFonts w:hint="eastAsia" w:ascii="微软雅黑" w:hAnsi="微软雅黑" w:cs="宋体"/>
          <w:b/>
          <w:color w:val="auto"/>
          <w:szCs w:val="21"/>
          <w:highlight w:val="none"/>
        </w:rPr>
        <w:sectPr>
          <w:footerReference r:id="rId28" w:type="default"/>
          <w:type w:val="nextColumn"/>
          <w:pgSz w:w="11906" w:h="16838"/>
          <w:pgMar w:top="1474" w:right="1134" w:bottom="1134" w:left="1474" w:header="851" w:footer="992" w:gutter="0"/>
          <w:pgBorders>
            <w:top w:val="none" w:sz="0" w:space="0"/>
            <w:left w:val="none" w:sz="0" w:space="0"/>
            <w:bottom w:val="none" w:sz="0" w:space="0"/>
            <w:right w:val="none" w:sz="0" w:space="0"/>
          </w:pgBorders>
          <w:cols w:space="720" w:num="1"/>
          <w:docGrid w:linePitch="312" w:charSpace="0"/>
        </w:sectPr>
      </w:pPr>
    </w:p>
    <w:p w14:paraId="266ACCEE">
      <w:pPr>
        <w:snapToGrid w:val="0"/>
        <w:spacing w:line="440" w:lineRule="exact"/>
        <w:ind w:right="480" w:firstLine="420"/>
        <w:jc w:val="center"/>
        <w:outlineLvl w:val="1"/>
        <w:rPr>
          <w:rFonts w:hint="eastAsia" w:ascii="微软雅黑" w:hAnsi="微软雅黑" w:cs="仿宋_GB2312"/>
          <w:b/>
          <w:color w:val="auto"/>
          <w:kern w:val="0"/>
          <w:szCs w:val="21"/>
          <w:highlight w:val="none"/>
        </w:rPr>
      </w:pPr>
      <w:bookmarkStart w:id="293" w:name="_Toc30054"/>
      <w:r>
        <w:rPr>
          <w:rFonts w:hint="eastAsia" w:ascii="微软雅黑" w:hAnsi="微软雅黑"/>
          <w:color w:val="auto"/>
          <w:szCs w:val="21"/>
          <w:highlight w:val="none"/>
        </w:rPr>
        <w:t>二、</w:t>
      </w:r>
      <w:r>
        <w:rPr>
          <w:rFonts w:hint="eastAsia" w:ascii="微软雅黑" w:hAnsi="微软雅黑" w:cs="仿宋_GB2312"/>
          <w:b/>
          <w:color w:val="auto"/>
          <w:kern w:val="0"/>
          <w:szCs w:val="21"/>
          <w:highlight w:val="none"/>
        </w:rPr>
        <w:t>落实政府采购政策需满足的资格要求</w:t>
      </w:r>
      <w:bookmarkEnd w:id="293"/>
    </w:p>
    <w:p w14:paraId="22608202">
      <w:pPr>
        <w:widowControl/>
        <w:ind w:firstLine="105" w:firstLineChars="50"/>
        <w:rPr>
          <w:b/>
          <w:color w:val="auto"/>
          <w:highlight w:val="none"/>
        </w:rPr>
      </w:pPr>
    </w:p>
    <w:p w14:paraId="5528BEC8">
      <w:pPr>
        <w:widowControl/>
        <w:ind w:firstLine="525" w:firstLineChars="250"/>
        <w:rPr>
          <w:rFonts w:hint="eastAsia" w:ascii="宋体" w:hAnsi="宋体"/>
          <w:color w:val="auto"/>
          <w:kern w:val="0"/>
          <w:highlight w:val="none"/>
        </w:rPr>
      </w:pPr>
      <w:r>
        <w:rPr>
          <w:b/>
          <w:color w:val="auto"/>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w:t>
      </w:r>
      <w:r>
        <w:rPr>
          <w:rFonts w:hint="eastAsia"/>
          <w:b/>
          <w:color w:val="auto"/>
          <w:highlight w:val="none"/>
        </w:rPr>
        <w:t>如非中小企业，可不提供</w:t>
      </w:r>
      <w:r>
        <w:rPr>
          <w:b/>
          <w:color w:val="auto"/>
          <w:highlight w:val="none"/>
        </w:rPr>
        <w:t>]</w:t>
      </w:r>
      <w:r>
        <w:rPr>
          <w:rFonts w:hint="eastAsia"/>
          <w:b/>
          <w:color w:val="auto"/>
          <w:highlight w:val="none"/>
        </w:rPr>
        <w:t>。</w:t>
      </w:r>
    </w:p>
    <w:p w14:paraId="719A9C81">
      <w:pPr>
        <w:pStyle w:val="295"/>
        <w:keepNext w:val="0"/>
        <w:pageBreakBefore w:val="0"/>
        <w:tabs>
          <w:tab w:val="clear" w:pos="720"/>
        </w:tabs>
        <w:snapToGrid w:val="0"/>
        <w:spacing w:before="120" w:after="120"/>
        <w:ind w:firstLine="640"/>
        <w:outlineLvl w:val="9"/>
        <w:rPr>
          <w:rFonts w:hint="eastAsia" w:ascii="微软雅黑" w:hAnsi="微软雅黑"/>
          <w:b w:val="0"/>
          <w:color w:val="auto"/>
          <w:szCs w:val="21"/>
          <w:highlight w:val="none"/>
        </w:rPr>
      </w:pPr>
    </w:p>
    <w:p w14:paraId="1255D31C">
      <w:pPr>
        <w:snapToGrid w:val="0"/>
        <w:ind w:firstLine="420"/>
        <w:jc w:val="center"/>
        <w:rPr>
          <w:rFonts w:hint="eastAsia" w:ascii="微软雅黑" w:hAnsi="微软雅黑" w:cs="宋体"/>
          <w:b/>
          <w:bCs/>
          <w:color w:val="auto"/>
          <w:szCs w:val="21"/>
          <w:highlight w:val="none"/>
        </w:rPr>
      </w:pPr>
      <w:r>
        <w:rPr>
          <w:rFonts w:hint="eastAsia" w:ascii="微软雅黑" w:hAnsi="微软雅黑" w:cs="宋体"/>
          <w:b/>
          <w:bCs/>
          <w:color w:val="auto"/>
          <w:szCs w:val="21"/>
          <w:highlight w:val="none"/>
        </w:rPr>
        <w:t>中小企业声明函</w:t>
      </w:r>
    </w:p>
    <w:p w14:paraId="2A27D32A">
      <w:pPr>
        <w:pStyle w:val="134"/>
        <w:spacing w:after="120" w:line="360" w:lineRule="auto"/>
        <w:ind w:right="157" w:firstLine="424" w:firstLineChars="202"/>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本公司（联合体）郑重声明，根据《政府采购促进中小企业发展管理办法》（财库﹝2020﹞46 号）的规定，本公司（联合体）参加</w:t>
      </w:r>
      <w:r>
        <w:rPr>
          <w:rFonts w:ascii="微软雅黑" w:hAnsi="微软雅黑" w:eastAsia="微软雅黑"/>
          <w:color w:val="auto"/>
          <w:sz w:val="21"/>
          <w:szCs w:val="21"/>
          <w:highlight w:val="none"/>
          <w:u w:val="single"/>
        </w:rPr>
        <w:t>（单位名称）</w:t>
      </w:r>
      <w:r>
        <w:rPr>
          <w:rFonts w:ascii="微软雅黑" w:hAnsi="微软雅黑" w:eastAsia="微软雅黑"/>
          <w:color w:val="auto"/>
          <w:sz w:val="21"/>
          <w:szCs w:val="21"/>
          <w:highlight w:val="none"/>
        </w:rPr>
        <w:t>的</w:t>
      </w:r>
      <w:r>
        <w:rPr>
          <w:rFonts w:ascii="微软雅黑" w:hAnsi="微软雅黑" w:eastAsia="微软雅黑"/>
          <w:color w:val="auto"/>
          <w:sz w:val="21"/>
          <w:szCs w:val="21"/>
          <w:highlight w:val="none"/>
          <w:u w:val="single"/>
        </w:rPr>
        <w:t>（项目名称）</w:t>
      </w:r>
      <w:r>
        <w:rPr>
          <w:rFonts w:ascii="微软雅黑" w:hAnsi="微软雅黑" w:eastAsia="微软雅黑"/>
          <w:color w:val="auto"/>
          <w:sz w:val="21"/>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356B9683">
      <w:pPr>
        <w:pStyle w:val="134"/>
        <w:spacing w:after="120" w:line="360" w:lineRule="auto"/>
        <w:ind w:right="157" w:firstLine="424" w:firstLineChars="202"/>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 xml:space="preserve">1. </w:t>
      </w:r>
      <w:r>
        <w:rPr>
          <w:rFonts w:ascii="微软雅黑" w:hAnsi="微软雅黑" w:eastAsia="微软雅黑"/>
          <w:color w:val="auto"/>
          <w:sz w:val="21"/>
          <w:szCs w:val="21"/>
          <w:highlight w:val="none"/>
          <w:u w:val="single"/>
        </w:rPr>
        <w:t>（标的名称）</w:t>
      </w:r>
      <w:r>
        <w:rPr>
          <w:rFonts w:ascii="微软雅黑" w:hAnsi="微软雅黑" w:eastAsia="微软雅黑"/>
          <w:color w:val="auto"/>
          <w:sz w:val="21"/>
          <w:szCs w:val="21"/>
          <w:highlight w:val="none"/>
        </w:rPr>
        <w:t>，属于</w:t>
      </w:r>
      <w:r>
        <w:rPr>
          <w:rFonts w:ascii="微软雅黑" w:hAnsi="微软雅黑" w:eastAsia="微软雅黑"/>
          <w:color w:val="auto"/>
          <w:sz w:val="21"/>
          <w:szCs w:val="21"/>
          <w:highlight w:val="none"/>
          <w:u w:val="single"/>
        </w:rPr>
        <w:t>（采购文件中明确的所属行业）</w:t>
      </w:r>
      <w:r>
        <w:rPr>
          <w:rFonts w:ascii="微软雅黑" w:hAnsi="微软雅黑" w:eastAsia="微软雅黑"/>
          <w:color w:val="auto"/>
          <w:sz w:val="21"/>
          <w:szCs w:val="21"/>
          <w:highlight w:val="none"/>
        </w:rPr>
        <w:t>；承建（承接）企业为</w:t>
      </w:r>
      <w:r>
        <w:rPr>
          <w:rFonts w:ascii="微软雅黑" w:hAnsi="微软雅黑" w:eastAsia="微软雅黑"/>
          <w:color w:val="auto"/>
          <w:sz w:val="21"/>
          <w:szCs w:val="21"/>
          <w:highlight w:val="none"/>
          <w:u w:val="single"/>
        </w:rPr>
        <w:t>（企业名称）</w:t>
      </w:r>
      <w:r>
        <w:rPr>
          <w:rFonts w:ascii="微软雅黑" w:hAnsi="微软雅黑" w:eastAsia="微软雅黑"/>
          <w:color w:val="auto"/>
          <w:sz w:val="21"/>
          <w:szCs w:val="21"/>
          <w:highlight w:val="none"/>
        </w:rPr>
        <w:t>，从业人员人，营业收入为万元，资产总额为万元，属于（中型企业、小型企业、微型企业）；</w:t>
      </w:r>
    </w:p>
    <w:p w14:paraId="3B57C343">
      <w:pPr>
        <w:pStyle w:val="134"/>
        <w:spacing w:after="120" w:line="360" w:lineRule="auto"/>
        <w:ind w:right="157" w:firstLine="424" w:firstLineChars="202"/>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 xml:space="preserve">2. </w:t>
      </w:r>
      <w:r>
        <w:rPr>
          <w:rFonts w:ascii="微软雅黑" w:hAnsi="微软雅黑" w:eastAsia="微软雅黑"/>
          <w:color w:val="auto"/>
          <w:sz w:val="21"/>
          <w:szCs w:val="21"/>
          <w:highlight w:val="none"/>
          <w:u w:val="single"/>
        </w:rPr>
        <w:t>（标的名称）</w:t>
      </w:r>
      <w:r>
        <w:rPr>
          <w:rFonts w:ascii="微软雅黑" w:hAnsi="微软雅黑" w:eastAsia="微软雅黑"/>
          <w:color w:val="auto"/>
          <w:sz w:val="21"/>
          <w:szCs w:val="21"/>
          <w:highlight w:val="none"/>
        </w:rPr>
        <w:t>，属于</w:t>
      </w:r>
      <w:r>
        <w:rPr>
          <w:rFonts w:ascii="微软雅黑" w:hAnsi="微软雅黑" w:eastAsia="微软雅黑"/>
          <w:color w:val="auto"/>
          <w:sz w:val="21"/>
          <w:szCs w:val="21"/>
          <w:highlight w:val="none"/>
          <w:u w:val="single"/>
        </w:rPr>
        <w:t>（采购文件中明确的所属行业）</w:t>
      </w:r>
      <w:r>
        <w:rPr>
          <w:rFonts w:ascii="微软雅黑" w:hAnsi="微软雅黑" w:eastAsia="微软雅黑"/>
          <w:color w:val="auto"/>
          <w:sz w:val="21"/>
          <w:szCs w:val="21"/>
          <w:highlight w:val="none"/>
        </w:rPr>
        <w:t>；承建（承接）企业为</w:t>
      </w:r>
      <w:r>
        <w:rPr>
          <w:rFonts w:ascii="微软雅黑" w:hAnsi="微软雅黑" w:eastAsia="微软雅黑"/>
          <w:color w:val="auto"/>
          <w:sz w:val="21"/>
          <w:szCs w:val="21"/>
          <w:highlight w:val="none"/>
          <w:u w:val="single"/>
        </w:rPr>
        <w:t>（企业名称）</w:t>
      </w:r>
      <w:r>
        <w:rPr>
          <w:rFonts w:ascii="微软雅黑" w:hAnsi="微软雅黑" w:eastAsia="微软雅黑"/>
          <w:color w:val="auto"/>
          <w:sz w:val="21"/>
          <w:szCs w:val="21"/>
          <w:highlight w:val="none"/>
        </w:rPr>
        <w:t>，从业人员人，营业收入为万元，资产总额为万元，属于</w:t>
      </w:r>
      <w:r>
        <w:rPr>
          <w:rFonts w:ascii="微软雅黑" w:hAnsi="微软雅黑" w:eastAsia="微软雅黑"/>
          <w:color w:val="auto"/>
          <w:sz w:val="21"/>
          <w:szCs w:val="21"/>
          <w:highlight w:val="none"/>
          <w:u w:val="single"/>
        </w:rPr>
        <w:t>（中型企业、小型企业、微型企业）</w:t>
      </w:r>
      <w:r>
        <w:rPr>
          <w:rFonts w:ascii="微软雅黑" w:hAnsi="微软雅黑" w:eastAsia="微软雅黑"/>
          <w:color w:val="auto"/>
          <w:sz w:val="21"/>
          <w:szCs w:val="21"/>
          <w:highlight w:val="none"/>
        </w:rPr>
        <w:t>；</w:t>
      </w:r>
    </w:p>
    <w:p w14:paraId="3FCB5ED9">
      <w:pPr>
        <w:pStyle w:val="134"/>
        <w:spacing w:after="120" w:line="360" w:lineRule="auto"/>
        <w:ind w:right="157" w:firstLine="875" w:firstLineChars="417"/>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w:t>
      </w:r>
    </w:p>
    <w:p w14:paraId="5C4C6F31">
      <w:pPr>
        <w:pStyle w:val="134"/>
        <w:spacing w:after="120" w:line="360" w:lineRule="auto"/>
        <w:ind w:right="157" w:firstLine="420"/>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以上企业，不属于大企业的分支机构，不存在控股股东为大企业的情形，也不存在与大企业的负责人为同一人的情形。</w:t>
      </w:r>
    </w:p>
    <w:p w14:paraId="6E8D5CA3">
      <w:pPr>
        <w:pStyle w:val="134"/>
        <w:spacing w:after="120" w:line="360" w:lineRule="auto"/>
        <w:ind w:right="157" w:firstLine="420"/>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本企业对上述声明内容的真实性负责。如有虚假，将依法承担相应责任。</w:t>
      </w:r>
    </w:p>
    <w:p w14:paraId="10E98544">
      <w:pPr>
        <w:pStyle w:val="120"/>
        <w:rPr>
          <w:rFonts w:ascii="微软雅黑" w:hAnsi="微软雅黑" w:eastAsia="微软雅黑"/>
          <w:color w:val="auto"/>
          <w:sz w:val="21"/>
          <w:szCs w:val="21"/>
          <w:highlight w:val="none"/>
        </w:rPr>
      </w:pPr>
    </w:p>
    <w:p w14:paraId="5E2EFF32">
      <w:pPr>
        <w:pStyle w:val="120"/>
        <w:rPr>
          <w:rFonts w:ascii="微软雅黑" w:hAnsi="微软雅黑" w:eastAsia="微软雅黑"/>
          <w:color w:val="auto"/>
          <w:sz w:val="21"/>
          <w:szCs w:val="21"/>
          <w:highlight w:val="none"/>
        </w:rPr>
      </w:pPr>
    </w:p>
    <w:p w14:paraId="1BAB013C">
      <w:pPr>
        <w:pStyle w:val="134"/>
        <w:spacing w:after="120" w:line="360" w:lineRule="auto"/>
        <w:ind w:right="157" w:firstLine="500"/>
        <w:rPr>
          <w:rFonts w:ascii="微软雅黑" w:hAnsi="微软雅黑" w:eastAsia="微软雅黑"/>
          <w:color w:val="auto"/>
          <w:spacing w:val="20"/>
          <w:sz w:val="21"/>
          <w:szCs w:val="21"/>
          <w:highlight w:val="none"/>
          <w:u w:val="single"/>
        </w:rPr>
      </w:pPr>
      <w:r>
        <w:rPr>
          <w:rFonts w:ascii="微软雅黑" w:hAnsi="微软雅黑" w:eastAsia="微软雅黑"/>
          <w:color w:val="auto"/>
          <w:spacing w:val="20"/>
          <w:sz w:val="21"/>
          <w:szCs w:val="21"/>
          <w:highlight w:val="none"/>
        </w:rPr>
        <w:t>供应商名称：</w:t>
      </w:r>
      <w:r>
        <w:rPr>
          <w:rFonts w:ascii="微软雅黑" w:hAnsi="微软雅黑" w:eastAsia="微软雅黑"/>
          <w:color w:val="auto"/>
          <w:spacing w:val="20"/>
          <w:sz w:val="21"/>
          <w:szCs w:val="21"/>
          <w:highlight w:val="none"/>
          <w:u w:val="single"/>
        </w:rPr>
        <w:t>（盖章）</w:t>
      </w:r>
      <w:r>
        <w:rPr>
          <w:rFonts w:ascii="微软雅黑" w:hAnsi="微软雅黑" w:eastAsia="微软雅黑"/>
          <w:color w:val="auto"/>
          <w:spacing w:val="20"/>
          <w:sz w:val="21"/>
          <w:szCs w:val="21"/>
          <w:highlight w:val="none"/>
        </w:rPr>
        <w:t>日期：</w:t>
      </w:r>
    </w:p>
    <w:p w14:paraId="18EB38E6">
      <w:pPr>
        <w:pStyle w:val="120"/>
        <w:ind w:firstLine="420"/>
        <w:rPr>
          <w:rFonts w:ascii="微软雅黑" w:hAnsi="微软雅黑" w:eastAsia="微软雅黑"/>
          <w:color w:val="auto"/>
          <w:sz w:val="21"/>
          <w:szCs w:val="21"/>
          <w:highlight w:val="none"/>
        </w:rPr>
      </w:pPr>
    </w:p>
    <w:p w14:paraId="5A924030">
      <w:pPr>
        <w:pStyle w:val="42"/>
        <w:ind w:firstLine="420"/>
        <w:rPr>
          <w:rFonts w:hint="eastAsia" w:ascii="微软雅黑" w:hAnsi="微软雅黑"/>
          <w:color w:val="auto"/>
          <w:sz w:val="21"/>
          <w:szCs w:val="21"/>
          <w:highlight w:val="none"/>
        </w:rPr>
      </w:pPr>
      <w:r>
        <w:rPr>
          <w:rFonts w:ascii="微软雅黑" w:hAnsi="微软雅黑"/>
          <w:color w:val="auto"/>
          <w:sz w:val="21"/>
          <w:szCs w:val="21"/>
          <w:highlight w:val="none"/>
        </w:rPr>
        <w:t>从业人员、营业收入、资产总额填报上一年度数据，无上一年度数据的新成立企业可不填报。</w:t>
      </w:r>
    </w:p>
    <w:p w14:paraId="3D697E16">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注：</w:t>
      </w:r>
    </w:p>
    <w:p w14:paraId="5DAEBF1A">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声明内容不实的，属于提供虚假材料谋取中标、成交的，依法承担法律责任。</w:t>
      </w:r>
    </w:p>
    <w:p w14:paraId="0B15EAA2">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8D4CB1D">
      <w:pPr>
        <w:snapToGrid w:val="0"/>
        <w:ind w:firstLine="420" w:firstLineChars="0"/>
        <w:rPr>
          <w:rFonts w:hint="eastAsia" w:ascii="微软雅黑" w:hAnsi="微软雅黑" w:cs="仿宋_GB2312"/>
          <w:color w:val="auto"/>
          <w:szCs w:val="21"/>
          <w:highlight w:val="none"/>
        </w:rPr>
        <w:sectPr>
          <w:type w:val="nextColumn"/>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微软雅黑" w:hAnsi="微软雅黑" w:cs="宋体"/>
          <w:b/>
          <w:bCs/>
          <w:color w:val="auto"/>
          <w:szCs w:val="21"/>
          <w:highlight w:val="none"/>
        </w:rPr>
        <w:t>3.根据实际情况，在（</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中型企业、</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小型企业、</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微型企业）处进行勾选。</w:t>
      </w:r>
    </w:p>
    <w:p w14:paraId="26450A76">
      <w:pPr>
        <w:pStyle w:val="295"/>
        <w:keepNext w:val="0"/>
        <w:pageBreakBefore w:val="0"/>
        <w:tabs>
          <w:tab w:val="clear" w:pos="720"/>
        </w:tabs>
        <w:snapToGrid w:val="0"/>
        <w:spacing w:before="120" w:after="120"/>
        <w:ind w:firstLine="640"/>
        <w:outlineLvl w:val="1"/>
        <w:rPr>
          <w:rFonts w:hint="eastAsia" w:ascii="微软雅黑" w:hAnsi="微软雅黑" w:eastAsia="微软雅黑" w:cs="仿宋_GB2312"/>
          <w:color w:val="auto"/>
          <w:kern w:val="2"/>
          <w:sz w:val="21"/>
          <w:szCs w:val="21"/>
          <w:highlight w:val="none"/>
        </w:rPr>
      </w:pPr>
      <w:bookmarkStart w:id="294" w:name="_Toc21910"/>
      <w:r>
        <w:rPr>
          <w:rFonts w:hint="eastAsia" w:ascii="微软雅黑" w:hAnsi="微软雅黑" w:eastAsia="微软雅黑" w:cs="仿宋_GB2312"/>
          <w:color w:val="auto"/>
          <w:kern w:val="2"/>
          <w:sz w:val="21"/>
          <w:szCs w:val="21"/>
          <w:highlight w:val="none"/>
        </w:rPr>
        <w:t>三、残疾人福利性单位声明函</w:t>
      </w:r>
      <w:bookmarkEnd w:id="294"/>
    </w:p>
    <w:p w14:paraId="44E4988F">
      <w:pPr>
        <w:widowControl/>
        <w:ind w:firstLine="420"/>
        <w:textAlignment w:val="top"/>
        <w:rPr>
          <w:rFonts w:hint="eastAsia" w:ascii="微软雅黑" w:hAnsi="微软雅黑"/>
          <w:color w:val="auto"/>
          <w:kern w:val="0"/>
          <w:szCs w:val="21"/>
          <w:highlight w:val="none"/>
        </w:rPr>
      </w:pPr>
      <w:r>
        <w:rPr>
          <w:rFonts w:hint="eastAsia" w:ascii="微软雅黑" w:hAnsi="微软雅黑"/>
          <w:color w:val="auto"/>
          <w:kern w:val="0"/>
          <w:szCs w:val="21"/>
          <w:highlight w:val="none"/>
        </w:rPr>
        <w:t>   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1446C31">
      <w:pPr>
        <w:widowControl/>
        <w:ind w:firstLine="420"/>
        <w:textAlignment w:val="top"/>
        <w:rPr>
          <w:rFonts w:hint="eastAsia" w:ascii="微软雅黑" w:hAnsi="微软雅黑"/>
          <w:color w:val="auto"/>
          <w:kern w:val="0"/>
          <w:szCs w:val="21"/>
          <w:highlight w:val="none"/>
        </w:rPr>
      </w:pPr>
      <w:r>
        <w:rPr>
          <w:rFonts w:hint="eastAsia" w:ascii="微软雅黑" w:hAnsi="微软雅黑"/>
          <w:color w:val="auto"/>
          <w:kern w:val="0"/>
          <w:szCs w:val="21"/>
          <w:highlight w:val="none"/>
        </w:rPr>
        <w:t>      本单位对上述声明的真实性负责。如有虚假，将依法承担相应责任。</w:t>
      </w:r>
    </w:p>
    <w:p w14:paraId="2CBE9653">
      <w:pPr>
        <w:snapToGrid w:val="0"/>
        <w:spacing w:before="120" w:beforeLines="50"/>
        <w:ind w:firstLine="420"/>
        <w:jc w:val="center"/>
        <w:rPr>
          <w:rFonts w:hint="eastAsia" w:ascii="微软雅黑" w:hAnsi="微软雅黑" w:cs="Arial"/>
          <w:color w:val="auto"/>
          <w:kern w:val="0"/>
          <w:szCs w:val="21"/>
          <w:highlight w:val="none"/>
        </w:rPr>
      </w:pPr>
    </w:p>
    <w:p w14:paraId="0722186F">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法定代表人（负责人）或</w:t>
      </w:r>
      <w:r>
        <w:rPr>
          <w:rFonts w:hint="eastAsia" w:ascii="微软雅黑" w:hAnsi="微软雅黑"/>
          <w:color w:val="auto"/>
          <w:szCs w:val="21"/>
          <w:highlight w:val="none"/>
        </w:rPr>
        <w:t>被授权人签字（或盖章）：</w:t>
      </w:r>
    </w:p>
    <w:p w14:paraId="343F0722">
      <w:pPr>
        <w:pStyle w:val="122"/>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283B163C">
      <w:pPr>
        <w:pStyle w:val="122"/>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4A825F97">
      <w:pPr>
        <w:widowControl/>
        <w:ind w:right="480" w:firstLine="6825" w:firstLineChars="3250"/>
        <w:textAlignment w:val="top"/>
        <w:rPr>
          <w:rFonts w:hint="eastAsia" w:ascii="宋体" w:hAnsi="宋体"/>
          <w:color w:val="auto"/>
          <w:kern w:val="0"/>
          <w:szCs w:val="21"/>
          <w:highlight w:val="none"/>
        </w:rPr>
      </w:pPr>
    </w:p>
    <w:p w14:paraId="741E6761">
      <w:pPr>
        <w:pStyle w:val="2"/>
        <w:ind w:firstLine="420"/>
        <w:rPr>
          <w:color w:val="auto"/>
          <w:highlight w:val="none"/>
        </w:rPr>
      </w:pPr>
    </w:p>
    <w:p w14:paraId="0FF58DBC">
      <w:pPr>
        <w:pStyle w:val="2"/>
        <w:ind w:firstLine="420"/>
        <w:rPr>
          <w:color w:val="auto"/>
          <w:highlight w:val="none"/>
        </w:rPr>
      </w:pPr>
    </w:p>
    <w:p w14:paraId="75F2D13B">
      <w:pPr>
        <w:pStyle w:val="3"/>
        <w:ind w:firstLine="480"/>
        <w:rPr>
          <w:rFonts w:hint="eastAsia"/>
          <w:color w:val="auto"/>
          <w:highlight w:val="none"/>
        </w:rPr>
      </w:pPr>
    </w:p>
    <w:p w14:paraId="52A49407">
      <w:pPr>
        <w:pStyle w:val="3"/>
        <w:ind w:firstLine="480"/>
        <w:rPr>
          <w:rFonts w:hint="eastAsia"/>
          <w:color w:val="auto"/>
          <w:highlight w:val="none"/>
        </w:rPr>
      </w:pPr>
    </w:p>
    <w:p w14:paraId="56EBB7A2">
      <w:pPr>
        <w:pStyle w:val="3"/>
        <w:ind w:firstLine="480"/>
        <w:rPr>
          <w:rFonts w:hint="eastAsia"/>
          <w:color w:val="auto"/>
          <w:highlight w:val="none"/>
        </w:rPr>
      </w:pPr>
    </w:p>
    <w:p w14:paraId="00BC1DE8">
      <w:pPr>
        <w:pStyle w:val="3"/>
        <w:ind w:firstLine="480"/>
        <w:rPr>
          <w:rFonts w:hint="eastAsia"/>
          <w:color w:val="auto"/>
          <w:highlight w:val="none"/>
        </w:rPr>
      </w:pPr>
    </w:p>
    <w:p w14:paraId="2B69052F">
      <w:pPr>
        <w:pStyle w:val="2"/>
        <w:ind w:firstLine="420"/>
        <w:rPr>
          <w:color w:val="auto"/>
          <w:highlight w:val="none"/>
        </w:rPr>
      </w:pPr>
    </w:p>
    <w:p w14:paraId="12EE5083">
      <w:pPr>
        <w:pStyle w:val="3"/>
        <w:ind w:firstLine="480"/>
        <w:rPr>
          <w:rFonts w:hint="eastAsia"/>
          <w:color w:val="auto"/>
          <w:highlight w:val="none"/>
        </w:rPr>
      </w:pPr>
    </w:p>
    <w:p w14:paraId="4864638F">
      <w:pPr>
        <w:widowControl/>
        <w:spacing w:line="240" w:lineRule="auto"/>
        <w:ind w:firstLine="0" w:firstLineChars="0"/>
        <w:rPr>
          <w:color w:val="auto"/>
          <w:highlight w:val="none"/>
        </w:rPr>
      </w:pPr>
      <w:r>
        <w:rPr>
          <w:color w:val="auto"/>
          <w:highlight w:val="none"/>
        </w:rPr>
        <w:br w:type="page"/>
      </w:r>
    </w:p>
    <w:p w14:paraId="4B48F48B">
      <w:pPr>
        <w:ind w:firstLine="420"/>
        <w:outlineLvl w:val="1"/>
        <w:rPr>
          <w:b/>
          <w:bCs/>
          <w:color w:val="auto"/>
          <w:highlight w:val="none"/>
        </w:rPr>
      </w:pPr>
      <w:bookmarkStart w:id="295" w:name="_Toc19343"/>
      <w:r>
        <w:rPr>
          <w:rFonts w:hint="eastAsia"/>
          <w:b/>
          <w:bCs/>
          <w:color w:val="auto"/>
          <w:highlight w:val="none"/>
        </w:rPr>
        <w:t>四、监狱企业证明文件</w:t>
      </w:r>
      <w:bookmarkEnd w:id="295"/>
    </w:p>
    <w:p w14:paraId="4006380E">
      <w:pPr>
        <w:ind w:firstLine="420"/>
        <w:jc w:val="center"/>
        <w:rPr>
          <w:rFonts w:hint="eastAsia" w:ascii="微软雅黑" w:hAnsi="微软雅黑"/>
          <w:b/>
          <w:color w:val="auto"/>
          <w:szCs w:val="21"/>
          <w:highlight w:val="none"/>
        </w:rPr>
      </w:pPr>
      <w:bookmarkStart w:id="296" w:name="_Toc164943234"/>
      <w:bookmarkStart w:id="297" w:name="_Toc12078"/>
      <w:r>
        <w:rPr>
          <w:rFonts w:hint="eastAsia" w:ascii="微软雅黑" w:hAnsi="微软雅黑"/>
          <w:b/>
          <w:color w:val="auto"/>
          <w:szCs w:val="21"/>
          <w:highlight w:val="none"/>
        </w:rPr>
        <w:t>监狱企业证明文件</w:t>
      </w:r>
      <w:bookmarkEnd w:id="296"/>
      <w:bookmarkEnd w:id="297"/>
    </w:p>
    <w:tbl>
      <w:tblPr>
        <w:tblStyle w:val="54"/>
        <w:tblW w:w="8820"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8820"/>
      </w:tblGrid>
      <w:tr w14:paraId="25EC6FBB">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6516" w:hRule="atLeast"/>
        </w:trPr>
        <w:tc>
          <w:tcPr>
            <w:tcW w:w="8820" w:type="dxa"/>
            <w:vAlign w:val="center"/>
          </w:tcPr>
          <w:p w14:paraId="4F9661FC">
            <w:pPr>
              <w:ind w:firstLine="420"/>
              <w:jc w:val="center"/>
              <w:rPr>
                <w:rFonts w:hint="eastAsia" w:ascii="微软雅黑" w:hAnsi="微软雅黑"/>
                <w:b/>
                <w:color w:val="auto"/>
                <w:szCs w:val="21"/>
                <w:highlight w:val="none"/>
              </w:rPr>
            </w:pPr>
            <w:r>
              <w:rPr>
                <w:rFonts w:hint="eastAsia" w:ascii="微软雅黑" w:hAnsi="微软雅黑"/>
                <w:b/>
                <w:color w:val="auto"/>
                <w:szCs w:val="21"/>
                <w:highlight w:val="none"/>
              </w:rPr>
              <w:t>相关部门出具的监狱企业证明文件</w:t>
            </w:r>
          </w:p>
          <w:p w14:paraId="78FF8F9F">
            <w:pPr>
              <w:ind w:firstLine="420"/>
              <w:jc w:val="center"/>
              <w:rPr>
                <w:rFonts w:hint="eastAsia" w:ascii="微软雅黑" w:hAnsi="微软雅黑" w:cs="Arial"/>
                <w:b/>
                <w:i/>
                <w:color w:val="auto"/>
                <w:kern w:val="0"/>
                <w:szCs w:val="21"/>
                <w:highlight w:val="none"/>
              </w:rPr>
            </w:pPr>
            <w:r>
              <w:rPr>
                <w:rFonts w:hint="eastAsia" w:ascii="微软雅黑" w:hAnsi="微软雅黑"/>
                <w:color w:val="auto"/>
                <w:szCs w:val="21"/>
                <w:highlight w:val="none"/>
              </w:rPr>
              <w:t>（如是，提供</w:t>
            </w:r>
            <w:r>
              <w:rPr>
                <w:rFonts w:hint="eastAsia" w:ascii="微软雅黑" w:hAnsi="微软雅黑" w:cs="Arial"/>
                <w:color w:val="auto"/>
                <w:kern w:val="0"/>
                <w:szCs w:val="21"/>
                <w:highlight w:val="none"/>
              </w:rPr>
              <w:t>复印件加盖投标供应商公章）</w:t>
            </w:r>
          </w:p>
        </w:tc>
      </w:tr>
    </w:tbl>
    <w:p w14:paraId="5EEE1313">
      <w:pPr>
        <w:ind w:firstLine="420"/>
        <w:rPr>
          <w:rFonts w:hint="eastAsia" w:ascii="微软雅黑" w:hAnsi="微软雅黑" w:cs="Arial"/>
          <w:i/>
          <w:color w:val="auto"/>
          <w:szCs w:val="21"/>
          <w:highlight w:val="none"/>
        </w:rPr>
      </w:pPr>
    </w:p>
    <w:p w14:paraId="157B74F3">
      <w:pPr>
        <w:snapToGrid w:val="0"/>
        <w:ind w:firstLine="0" w:firstLineChars="0"/>
        <w:rPr>
          <w:rFonts w:hint="eastAsia"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投标人名称：（盖章）</w:t>
      </w:r>
    </w:p>
    <w:p w14:paraId="2336A53E">
      <w:pPr>
        <w:snapToGrid w:val="0"/>
        <w:ind w:firstLine="0" w:firstLineChars="0"/>
        <w:rPr>
          <w:rFonts w:hint="eastAsia"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法定代表人（负责人）或授权代表（签字）：</w:t>
      </w:r>
    </w:p>
    <w:p w14:paraId="4C712E23">
      <w:pPr>
        <w:snapToGrid w:val="0"/>
        <w:ind w:firstLine="0" w:firstLineChars="0"/>
        <w:rPr>
          <w:rFonts w:hint="eastAsia" w:ascii="微软雅黑" w:hAnsi="微软雅黑"/>
          <w:color w:val="auto"/>
          <w:szCs w:val="21"/>
          <w:highlight w:val="none"/>
          <w:u w:val="single"/>
        </w:rPr>
      </w:pPr>
      <w:r>
        <w:rPr>
          <w:rFonts w:hint="eastAsia" w:ascii="微软雅黑" w:hAnsi="微软雅黑"/>
          <w:color w:val="auto"/>
          <w:szCs w:val="21"/>
          <w:highlight w:val="none"/>
          <w:shd w:val="clear" w:color="auto" w:fill="FFFFFF"/>
        </w:rPr>
        <w:t>投标日期： 年 月 日</w:t>
      </w:r>
    </w:p>
    <w:p w14:paraId="388094A6">
      <w:pPr>
        <w:ind w:firstLine="420"/>
        <w:rPr>
          <w:color w:val="auto"/>
          <w:highlight w:val="none"/>
        </w:rPr>
      </w:pPr>
    </w:p>
    <w:p w14:paraId="4790F37C">
      <w:pPr>
        <w:ind w:firstLine="420"/>
        <w:rPr>
          <w:rFonts w:hint="eastAsia" w:ascii="微软雅黑" w:hAnsi="微软雅黑" w:cs="仿宋_GB2312"/>
          <w:color w:val="auto"/>
          <w:szCs w:val="21"/>
          <w:highlight w:val="none"/>
        </w:rPr>
        <w:sectPr>
          <w:footerReference r:id="rId29" w:type="default"/>
          <w:type w:val="nextColumn"/>
          <w:pgSz w:w="11906" w:h="16838"/>
          <w:pgMar w:top="1474" w:right="1134" w:bottom="1134" w:left="1474" w:header="851" w:footer="992" w:gutter="0"/>
          <w:pgBorders>
            <w:top w:val="none" w:sz="0" w:space="0"/>
            <w:left w:val="none" w:sz="0" w:space="0"/>
            <w:bottom w:val="none" w:sz="0" w:space="0"/>
            <w:right w:val="none" w:sz="0" w:space="0"/>
          </w:pgBorders>
          <w:cols w:space="720" w:num="1"/>
          <w:titlePg/>
          <w:docGrid w:linePitch="312" w:charSpace="0"/>
        </w:sectPr>
      </w:pPr>
    </w:p>
    <w:p w14:paraId="51587A5D">
      <w:pPr>
        <w:shd w:val="clear" w:color="auto" w:fill="FFFFFF"/>
        <w:spacing w:line="400" w:lineRule="atLeas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附</w:t>
      </w:r>
      <w:r>
        <w:rPr>
          <w:rFonts w:ascii="微软雅黑" w:hAnsi="微软雅黑" w:cs="宋体"/>
          <w:b/>
          <w:color w:val="auto"/>
          <w:szCs w:val="21"/>
          <w:highlight w:val="none"/>
        </w:rPr>
        <w:t>件：</w:t>
      </w:r>
    </w:p>
    <w:p w14:paraId="02EC4C3E">
      <w:pPr>
        <w:shd w:val="clear" w:color="auto" w:fill="FFFFFF"/>
        <w:spacing w:line="400" w:lineRule="atLeast"/>
        <w:ind w:firstLine="420"/>
        <w:jc w:val="center"/>
        <w:rPr>
          <w:rFonts w:hint="eastAsia" w:ascii="微软雅黑" w:hAnsi="微软雅黑" w:cs="宋体"/>
          <w:b/>
          <w:color w:val="auto"/>
          <w:szCs w:val="21"/>
          <w:highlight w:val="none"/>
        </w:rPr>
      </w:pPr>
    </w:p>
    <w:p w14:paraId="01891C41">
      <w:pPr>
        <w:shd w:val="clear" w:color="auto" w:fill="FFFFFF"/>
        <w:spacing w:line="400" w:lineRule="atLeast"/>
        <w:ind w:firstLine="420"/>
        <w:jc w:val="center"/>
        <w:outlineLvl w:val="0"/>
        <w:rPr>
          <w:rFonts w:hint="eastAsia" w:ascii="微软雅黑" w:hAnsi="微软雅黑" w:cs="宋体"/>
          <w:bCs/>
          <w:color w:val="auto"/>
          <w:szCs w:val="21"/>
          <w:highlight w:val="none"/>
        </w:rPr>
      </w:pPr>
      <w:bookmarkStart w:id="298" w:name="_Toc164943235"/>
      <w:bookmarkStart w:id="299" w:name="_Toc13790"/>
      <w:bookmarkStart w:id="300" w:name="_Toc23088"/>
      <w:r>
        <w:rPr>
          <w:rFonts w:hint="eastAsia" w:ascii="微软雅黑" w:hAnsi="微软雅黑" w:cs="宋体"/>
          <w:b/>
          <w:color w:val="auto"/>
          <w:szCs w:val="21"/>
          <w:highlight w:val="none"/>
        </w:rPr>
        <w:t>国家统计局关于印发统计上大中小微型企业划分办法的通知</w:t>
      </w:r>
      <w:bookmarkEnd w:id="298"/>
      <w:bookmarkEnd w:id="299"/>
      <w:bookmarkEnd w:id="300"/>
    </w:p>
    <w:p w14:paraId="6098C767">
      <w:pPr>
        <w:shd w:val="clear" w:color="auto" w:fill="FFFFFF"/>
        <w:spacing w:line="400" w:lineRule="atLeast"/>
        <w:ind w:firstLine="420"/>
        <w:jc w:val="center"/>
        <w:rPr>
          <w:rFonts w:hint="eastAsia" w:ascii="微软雅黑" w:hAnsi="微软雅黑" w:cs="宋体"/>
          <w:bCs/>
          <w:color w:val="auto"/>
          <w:szCs w:val="21"/>
          <w:highlight w:val="none"/>
        </w:rPr>
      </w:pPr>
      <w:r>
        <w:rPr>
          <w:rFonts w:hint="eastAsia" w:ascii="微软雅黑" w:hAnsi="微软雅黑" w:cs="宋体"/>
          <w:color w:val="auto"/>
          <w:szCs w:val="21"/>
          <w:highlight w:val="none"/>
        </w:rPr>
        <w:t>国统字〔</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75</w:t>
      </w:r>
      <w:r>
        <w:rPr>
          <w:rFonts w:hint="eastAsia" w:ascii="微软雅黑" w:hAnsi="微软雅黑" w:cs="宋体"/>
          <w:color w:val="auto"/>
          <w:szCs w:val="21"/>
          <w:highlight w:val="none"/>
        </w:rPr>
        <w:t>号</w:t>
      </w:r>
    </w:p>
    <w:p w14:paraId="5EF7D566">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2E678DD2">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各省、自治区、直辖市统计局，新疆生产建设兵团统计局，国家统计局各调查总队，国务院有关部门：</w:t>
      </w:r>
    </w:p>
    <w:p w14:paraId="641FA371">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75FB6588">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　　为贯彻落实工业和信息化部、国家统计局、国家发展改革委、财政部《关于印发中小企业划型标准规定的通知》（工信部联企业〔</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300</w:t>
      </w:r>
      <w:r>
        <w:rPr>
          <w:rFonts w:hint="eastAsia" w:ascii="微软雅黑" w:hAnsi="微软雅黑" w:cs="宋体"/>
          <w:color w:val="auto"/>
          <w:szCs w:val="21"/>
          <w:highlight w:val="none"/>
        </w:rPr>
        <w:t>号），结合统计工作的实际情况，我们制定了《统计上大中小微型企业划分办法》。现印发给你们，请遵照执行。</w:t>
      </w:r>
    </w:p>
    <w:p w14:paraId="3D3BE234">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3C65E99A">
      <w:pPr>
        <w:shd w:val="clear" w:color="auto" w:fill="FFFFFF"/>
        <w:spacing w:line="400" w:lineRule="atLeast"/>
        <w:ind w:firstLine="420"/>
        <w:jc w:val="right"/>
        <w:rPr>
          <w:rFonts w:hint="eastAsia" w:ascii="微软雅黑" w:hAnsi="微软雅黑" w:cs="宋体"/>
          <w:bCs/>
          <w:color w:val="auto"/>
          <w:szCs w:val="21"/>
          <w:highlight w:val="none"/>
        </w:rPr>
      </w:pPr>
      <w:r>
        <w:rPr>
          <w:rFonts w:hint="eastAsia" w:ascii="微软雅黑" w:hAnsi="微软雅黑" w:cs="宋体"/>
          <w:color w:val="auto"/>
          <w:szCs w:val="21"/>
          <w:highlight w:val="none"/>
        </w:rPr>
        <w:t>　　国家统计局</w:t>
      </w:r>
      <w:r>
        <w:rPr>
          <w:rFonts w:ascii="微软雅黑" w:hAnsi="微软雅黑"/>
          <w:color w:val="auto"/>
          <w:szCs w:val="21"/>
          <w:highlight w:val="none"/>
        </w:rPr>
        <w:t> </w:t>
      </w:r>
    </w:p>
    <w:p w14:paraId="20728F15">
      <w:pPr>
        <w:shd w:val="clear" w:color="auto" w:fill="FFFFFF"/>
        <w:spacing w:line="400" w:lineRule="atLeast"/>
        <w:ind w:firstLine="420"/>
        <w:jc w:val="right"/>
        <w:rPr>
          <w:rFonts w:hint="eastAsia" w:ascii="微软雅黑" w:hAnsi="微软雅黑" w:cs="宋体"/>
          <w:bCs/>
          <w:color w:val="auto"/>
          <w:szCs w:val="21"/>
          <w:highlight w:val="none"/>
        </w:rPr>
      </w:pPr>
      <w:r>
        <w:rPr>
          <w:rFonts w:hint="eastAsia" w:ascii="微软雅黑" w:hAnsi="微软雅黑" w:cs="宋体"/>
          <w:color w:val="auto"/>
          <w:szCs w:val="21"/>
          <w:highlight w:val="none"/>
        </w:rPr>
        <w:t>　　二〇一一年九月二日</w:t>
      </w:r>
    </w:p>
    <w:p w14:paraId="6F1C34F6">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02842FD3">
      <w:pPr>
        <w:shd w:val="clear" w:color="auto" w:fill="FFFFFF"/>
        <w:spacing w:line="400" w:lineRule="atLeast"/>
        <w:ind w:firstLine="420"/>
        <w:jc w:val="center"/>
        <w:outlineLvl w:val="0"/>
        <w:rPr>
          <w:rFonts w:hint="eastAsia" w:ascii="微软雅黑" w:hAnsi="微软雅黑" w:cs="宋体"/>
          <w:bCs/>
          <w:color w:val="auto"/>
          <w:szCs w:val="21"/>
          <w:highlight w:val="none"/>
        </w:rPr>
      </w:pPr>
      <w:bookmarkStart w:id="301" w:name="_Toc16901"/>
      <w:bookmarkStart w:id="302" w:name="_Toc164943236"/>
      <w:bookmarkStart w:id="303" w:name="_Toc23951"/>
      <w:r>
        <w:rPr>
          <w:rFonts w:hint="eastAsia" w:ascii="微软雅黑" w:hAnsi="微软雅黑" w:cs="宋体"/>
          <w:b/>
          <w:color w:val="auto"/>
          <w:szCs w:val="21"/>
          <w:highlight w:val="none"/>
        </w:rPr>
        <w:t>统计上大中小微型企业划分办法</w:t>
      </w:r>
      <w:bookmarkEnd w:id="301"/>
      <w:bookmarkEnd w:id="302"/>
      <w:bookmarkEnd w:id="303"/>
    </w:p>
    <w:p w14:paraId="4C1FCEEF">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 </w:t>
      </w:r>
    </w:p>
    <w:p w14:paraId="0AE15894">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一、根据工业和信息化部、国家统计局、国家发展改革委、财政部《关于印发中小企业划型标准规定的通知》（工信部联企业〔</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300</w:t>
      </w:r>
      <w:r>
        <w:rPr>
          <w:rFonts w:hint="eastAsia" w:ascii="微软雅黑" w:hAnsi="微软雅黑" w:cs="宋体"/>
          <w:color w:val="auto"/>
          <w:szCs w:val="21"/>
          <w:highlight w:val="none"/>
        </w:rPr>
        <w:t>号），结合统计工作的实际情况，特制定本办法。</w:t>
      </w:r>
    </w:p>
    <w:p w14:paraId="3C8AF19C">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5FD3048D">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二、本办法适用对象为在中华人民共和国境内依法设立的各种组织形式的法人企业或单位。个体工商户参照本办法进行划分。</w:t>
      </w:r>
    </w:p>
    <w:p w14:paraId="71CED937">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color w:val="auto"/>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微软雅黑" w:hAnsi="微软雅黑"/>
          <w:color w:val="auto"/>
          <w:szCs w:val="21"/>
          <w:highlight w:val="none"/>
        </w:rPr>
        <w:t>15</w:t>
      </w:r>
      <w:r>
        <w:rPr>
          <w:rFonts w:hint="eastAsia" w:ascii="微软雅黑" w:hAnsi="微软雅黑" w:cs="宋体"/>
          <w:color w:val="auto"/>
          <w:szCs w:val="21"/>
          <w:highlight w:val="none"/>
        </w:rPr>
        <w:t>个行业门类以及社会工作行业大类。</w:t>
      </w:r>
    </w:p>
    <w:p w14:paraId="63E2F23E">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四、本办法按照行业门类、大类、中类和组合类别，依据从业人员、营业收入、资产总额等指标或替代指标，将我国的企业划分为大型、中型、小型、微型等四种类型。具体划分标准见附表。</w:t>
      </w:r>
    </w:p>
    <w:p w14:paraId="5D0A0342">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color w:val="auto"/>
          <w:szCs w:val="21"/>
          <w:highlight w:val="none"/>
        </w:rPr>
        <w:t>五、企业划分由政府综合统计部门根据统计年报每年确定一次，定报统计原则上不进行调整。</w:t>
      </w:r>
    </w:p>
    <w:p w14:paraId="61A35C01">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六、本办法自印发之日起执行，国家统计局</w:t>
      </w:r>
      <w:r>
        <w:rPr>
          <w:rFonts w:ascii="微软雅黑" w:hAnsi="微软雅黑"/>
          <w:color w:val="auto"/>
          <w:szCs w:val="21"/>
          <w:highlight w:val="none"/>
        </w:rPr>
        <w:t>2003</w:t>
      </w:r>
      <w:r>
        <w:rPr>
          <w:rFonts w:hint="eastAsia" w:ascii="微软雅黑" w:hAnsi="微软雅黑" w:cs="宋体"/>
          <w:color w:val="auto"/>
          <w:szCs w:val="21"/>
          <w:highlight w:val="none"/>
        </w:rPr>
        <w:t>年印发的《统计上大中小型企业划分办法（暂行）》（国统字〔</w:t>
      </w:r>
      <w:r>
        <w:rPr>
          <w:rFonts w:ascii="微软雅黑" w:hAnsi="微软雅黑"/>
          <w:color w:val="auto"/>
          <w:szCs w:val="21"/>
          <w:highlight w:val="none"/>
        </w:rPr>
        <w:t>2003</w:t>
      </w:r>
      <w:r>
        <w:rPr>
          <w:rFonts w:hint="eastAsia" w:ascii="微软雅黑" w:hAnsi="微软雅黑" w:cs="宋体"/>
          <w:color w:val="auto"/>
          <w:szCs w:val="21"/>
          <w:highlight w:val="none"/>
        </w:rPr>
        <w:t>〕</w:t>
      </w:r>
      <w:r>
        <w:rPr>
          <w:rFonts w:ascii="微软雅黑" w:hAnsi="微软雅黑"/>
          <w:color w:val="auto"/>
          <w:szCs w:val="21"/>
          <w:highlight w:val="none"/>
        </w:rPr>
        <w:t>17</w:t>
      </w:r>
      <w:r>
        <w:rPr>
          <w:rFonts w:hint="eastAsia" w:ascii="微软雅黑" w:hAnsi="微软雅黑" w:cs="宋体"/>
          <w:color w:val="auto"/>
          <w:szCs w:val="21"/>
          <w:highlight w:val="none"/>
        </w:rPr>
        <w:t>号）同时废止。</w:t>
      </w:r>
    </w:p>
    <w:p w14:paraId="081D7784">
      <w:pPr>
        <w:shd w:val="clear" w:color="auto" w:fill="FFFFFF"/>
        <w:spacing w:line="400" w:lineRule="atLeast"/>
        <w:ind w:firstLine="482"/>
        <w:rPr>
          <w:rFonts w:hint="eastAsia" w:ascii="微软雅黑" w:hAnsi="微软雅黑" w:cs="宋体"/>
          <w:bCs/>
          <w:color w:val="auto"/>
          <w:szCs w:val="21"/>
          <w:highlight w:val="none"/>
        </w:rPr>
      </w:pPr>
      <w:r>
        <w:rPr>
          <w:rFonts w:eastAsia="宋体"/>
          <w:b/>
          <w:color w:val="auto"/>
          <w:sz w:val="24"/>
          <w:highlight w:val="none"/>
        </w:rPr>
        <w:t> </w:t>
      </w:r>
      <w:r>
        <w:rPr>
          <w:rFonts w:hint="eastAsia" w:ascii="微软雅黑" w:hAnsi="微软雅黑" w:cs="宋体"/>
          <w:color w:val="auto"/>
          <w:szCs w:val="21"/>
          <w:highlight w:val="none"/>
        </w:rPr>
        <w:t>　　附表：</w:t>
      </w:r>
    </w:p>
    <w:p w14:paraId="4C74489D">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b/>
          <w:color w:val="auto"/>
          <w:szCs w:val="21"/>
          <w:highlight w:val="none"/>
        </w:rPr>
        <w:t>统计上大中小微型企业划分标准</w:t>
      </w:r>
    </w:p>
    <w:tbl>
      <w:tblPr>
        <w:tblStyle w:val="54"/>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1281"/>
        <w:gridCol w:w="758"/>
        <w:gridCol w:w="993"/>
        <w:gridCol w:w="1491"/>
        <w:gridCol w:w="1315"/>
        <w:gridCol w:w="908"/>
      </w:tblGrid>
      <w:tr w14:paraId="5327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0" w:type="dxa"/>
            <w:shd w:val="clear" w:color="auto" w:fill="auto"/>
            <w:tcMar>
              <w:top w:w="0" w:type="dxa"/>
              <w:left w:w="108" w:type="dxa"/>
              <w:bottom w:w="0" w:type="dxa"/>
              <w:right w:w="108" w:type="dxa"/>
            </w:tcMar>
            <w:vAlign w:val="center"/>
          </w:tcPr>
          <w:p w14:paraId="349679AE">
            <w:pPr>
              <w:spacing w:line="240" w:lineRule="auto"/>
              <w:ind w:firstLine="0" w:firstLineChars="0"/>
              <w:jc w:val="center"/>
              <w:rPr>
                <w:rFonts w:hint="eastAsia" w:ascii="宋体" w:hAnsi="宋体" w:eastAsia="宋体" w:cs="宋体"/>
                <w:bCs/>
                <w:color w:val="auto"/>
                <w:sz w:val="24"/>
                <w:highlight w:val="none"/>
              </w:rPr>
            </w:pPr>
            <w:r>
              <w:rPr>
                <w:rFonts w:eastAsia="宋体"/>
                <w:color w:val="auto"/>
                <w:sz w:val="24"/>
                <w:highlight w:val="none"/>
              </w:rPr>
              <w:t> </w:t>
            </w:r>
            <w:r>
              <w:rPr>
                <w:rFonts w:hint="eastAsia" w:ascii="宋体" w:hAnsi="宋体" w:eastAsia="宋体" w:cs="宋体"/>
                <w:b/>
                <w:color w:val="auto"/>
                <w:sz w:val="18"/>
                <w:szCs w:val="18"/>
                <w:highlight w:val="none"/>
              </w:rPr>
              <w:t>行业名称</w:t>
            </w:r>
          </w:p>
        </w:tc>
        <w:tc>
          <w:tcPr>
            <w:tcW w:w="1281" w:type="dxa"/>
            <w:shd w:val="clear" w:color="auto" w:fill="auto"/>
            <w:tcMar>
              <w:top w:w="0" w:type="dxa"/>
              <w:left w:w="108" w:type="dxa"/>
              <w:bottom w:w="0" w:type="dxa"/>
              <w:right w:w="108" w:type="dxa"/>
            </w:tcMar>
            <w:vAlign w:val="center"/>
          </w:tcPr>
          <w:p w14:paraId="2DE4D4EC">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指标名称</w:t>
            </w:r>
          </w:p>
        </w:tc>
        <w:tc>
          <w:tcPr>
            <w:tcW w:w="758" w:type="dxa"/>
            <w:shd w:val="clear" w:color="auto" w:fill="auto"/>
            <w:tcMar>
              <w:top w:w="0" w:type="dxa"/>
              <w:left w:w="108" w:type="dxa"/>
              <w:bottom w:w="0" w:type="dxa"/>
              <w:right w:w="108" w:type="dxa"/>
            </w:tcMar>
            <w:vAlign w:val="center"/>
          </w:tcPr>
          <w:p w14:paraId="00F7AA5F">
            <w:pPr>
              <w:spacing w:line="240" w:lineRule="auto"/>
              <w:ind w:firstLine="0" w:firstLineChars="0"/>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计量</w:t>
            </w:r>
          </w:p>
          <w:p w14:paraId="64F812CF">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单位</w:t>
            </w:r>
          </w:p>
        </w:tc>
        <w:tc>
          <w:tcPr>
            <w:tcW w:w="993" w:type="dxa"/>
            <w:shd w:val="clear" w:color="auto" w:fill="auto"/>
            <w:tcMar>
              <w:top w:w="0" w:type="dxa"/>
              <w:left w:w="108" w:type="dxa"/>
              <w:bottom w:w="0" w:type="dxa"/>
              <w:right w:w="108" w:type="dxa"/>
            </w:tcMar>
            <w:vAlign w:val="center"/>
          </w:tcPr>
          <w:p w14:paraId="623D1D14">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大型</w:t>
            </w:r>
          </w:p>
        </w:tc>
        <w:tc>
          <w:tcPr>
            <w:tcW w:w="1491" w:type="dxa"/>
            <w:shd w:val="clear" w:color="auto" w:fill="auto"/>
            <w:tcMar>
              <w:top w:w="0" w:type="dxa"/>
              <w:left w:w="108" w:type="dxa"/>
              <w:bottom w:w="0" w:type="dxa"/>
              <w:right w:w="108" w:type="dxa"/>
            </w:tcMar>
            <w:vAlign w:val="center"/>
          </w:tcPr>
          <w:p w14:paraId="7475D357">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中型</w:t>
            </w:r>
          </w:p>
        </w:tc>
        <w:tc>
          <w:tcPr>
            <w:tcW w:w="1315" w:type="dxa"/>
            <w:shd w:val="clear" w:color="auto" w:fill="auto"/>
            <w:tcMar>
              <w:top w:w="0" w:type="dxa"/>
              <w:left w:w="108" w:type="dxa"/>
              <w:bottom w:w="0" w:type="dxa"/>
              <w:right w:w="108" w:type="dxa"/>
            </w:tcMar>
            <w:vAlign w:val="center"/>
          </w:tcPr>
          <w:p w14:paraId="3D035F27">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小型</w:t>
            </w:r>
          </w:p>
        </w:tc>
        <w:tc>
          <w:tcPr>
            <w:tcW w:w="908" w:type="dxa"/>
            <w:shd w:val="clear" w:color="auto" w:fill="auto"/>
            <w:tcMar>
              <w:top w:w="0" w:type="dxa"/>
              <w:left w:w="108" w:type="dxa"/>
              <w:bottom w:w="0" w:type="dxa"/>
              <w:right w:w="108" w:type="dxa"/>
            </w:tcMar>
            <w:vAlign w:val="center"/>
          </w:tcPr>
          <w:p w14:paraId="68C41EED">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微型</w:t>
            </w:r>
          </w:p>
        </w:tc>
      </w:tr>
      <w:tr w14:paraId="7C65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4AACD41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农、林、牧、渔业</w:t>
            </w:r>
          </w:p>
        </w:tc>
        <w:tc>
          <w:tcPr>
            <w:tcW w:w="1281" w:type="dxa"/>
            <w:shd w:val="clear" w:color="auto" w:fill="auto"/>
            <w:tcMar>
              <w:top w:w="0" w:type="dxa"/>
              <w:left w:w="108" w:type="dxa"/>
              <w:bottom w:w="0" w:type="dxa"/>
              <w:right w:w="108" w:type="dxa"/>
            </w:tcMar>
            <w:vAlign w:val="center"/>
          </w:tcPr>
          <w:p w14:paraId="03F5160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27F7EC3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7700439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Y≥20000</w:t>
            </w:r>
          </w:p>
        </w:tc>
        <w:tc>
          <w:tcPr>
            <w:tcW w:w="1491" w:type="dxa"/>
            <w:shd w:val="clear" w:color="auto" w:fill="auto"/>
            <w:tcMar>
              <w:top w:w="0" w:type="dxa"/>
              <w:left w:w="108" w:type="dxa"/>
              <w:bottom w:w="0" w:type="dxa"/>
              <w:right w:w="108" w:type="dxa"/>
            </w:tcMar>
            <w:vAlign w:val="center"/>
          </w:tcPr>
          <w:p w14:paraId="150B4F4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500≤Y＜20000</w:t>
            </w:r>
          </w:p>
        </w:tc>
        <w:tc>
          <w:tcPr>
            <w:tcW w:w="1315" w:type="dxa"/>
            <w:shd w:val="clear" w:color="auto" w:fill="auto"/>
            <w:tcMar>
              <w:top w:w="0" w:type="dxa"/>
              <w:left w:w="108" w:type="dxa"/>
              <w:bottom w:w="0" w:type="dxa"/>
              <w:right w:w="108" w:type="dxa"/>
            </w:tcMar>
            <w:vAlign w:val="center"/>
          </w:tcPr>
          <w:p w14:paraId="3F4012D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50≤Y＜500</w:t>
            </w:r>
          </w:p>
        </w:tc>
        <w:tc>
          <w:tcPr>
            <w:tcW w:w="908" w:type="dxa"/>
            <w:shd w:val="clear" w:color="auto" w:fill="auto"/>
            <w:tcMar>
              <w:top w:w="0" w:type="dxa"/>
              <w:left w:w="108" w:type="dxa"/>
              <w:bottom w:w="0" w:type="dxa"/>
              <w:right w:w="108" w:type="dxa"/>
            </w:tcMar>
            <w:vAlign w:val="center"/>
          </w:tcPr>
          <w:p w14:paraId="47680AC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w:t>
            </w:r>
          </w:p>
        </w:tc>
      </w:tr>
      <w:tr w14:paraId="64B2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6B3BC1B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工业 *</w:t>
            </w:r>
          </w:p>
        </w:tc>
        <w:tc>
          <w:tcPr>
            <w:tcW w:w="1281" w:type="dxa"/>
            <w:shd w:val="clear" w:color="auto" w:fill="auto"/>
            <w:tcMar>
              <w:top w:w="0" w:type="dxa"/>
              <w:left w:w="108" w:type="dxa"/>
              <w:bottom w:w="0" w:type="dxa"/>
              <w:right w:w="108" w:type="dxa"/>
            </w:tcMar>
            <w:vAlign w:val="center"/>
          </w:tcPr>
          <w:p w14:paraId="79DDF7F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59A2AA5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527146A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38B5F5A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2D97ACA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5F30453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063D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CA29902">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53C1591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2CB75B6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CFCE05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Y≥40000</w:t>
            </w:r>
          </w:p>
        </w:tc>
        <w:tc>
          <w:tcPr>
            <w:tcW w:w="1491" w:type="dxa"/>
            <w:shd w:val="clear" w:color="auto" w:fill="auto"/>
            <w:tcMar>
              <w:top w:w="0" w:type="dxa"/>
              <w:left w:w="108" w:type="dxa"/>
              <w:bottom w:w="0" w:type="dxa"/>
              <w:right w:w="108" w:type="dxa"/>
            </w:tcMar>
            <w:vAlign w:val="center"/>
          </w:tcPr>
          <w:p w14:paraId="43757BE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2000≤Y＜40000</w:t>
            </w:r>
          </w:p>
        </w:tc>
        <w:tc>
          <w:tcPr>
            <w:tcW w:w="1315" w:type="dxa"/>
            <w:shd w:val="clear" w:color="auto" w:fill="auto"/>
            <w:tcMar>
              <w:top w:w="0" w:type="dxa"/>
              <w:left w:w="108" w:type="dxa"/>
              <w:bottom w:w="0" w:type="dxa"/>
              <w:right w:w="108" w:type="dxa"/>
            </w:tcMar>
            <w:vAlign w:val="center"/>
          </w:tcPr>
          <w:p w14:paraId="50E80D3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300≤Y＜2000</w:t>
            </w:r>
          </w:p>
        </w:tc>
        <w:tc>
          <w:tcPr>
            <w:tcW w:w="908" w:type="dxa"/>
            <w:shd w:val="clear" w:color="auto" w:fill="auto"/>
            <w:tcMar>
              <w:top w:w="0" w:type="dxa"/>
              <w:left w:w="108" w:type="dxa"/>
              <w:bottom w:w="0" w:type="dxa"/>
              <w:right w:w="108" w:type="dxa"/>
            </w:tcMar>
            <w:vAlign w:val="center"/>
          </w:tcPr>
          <w:p w14:paraId="0577BB6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w:t>
            </w:r>
          </w:p>
        </w:tc>
      </w:tr>
      <w:tr w14:paraId="5C2B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401B99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建筑业</w:t>
            </w:r>
          </w:p>
        </w:tc>
        <w:tc>
          <w:tcPr>
            <w:tcW w:w="1281" w:type="dxa"/>
            <w:shd w:val="clear" w:color="auto" w:fill="auto"/>
            <w:tcMar>
              <w:top w:w="0" w:type="dxa"/>
              <w:left w:w="108" w:type="dxa"/>
              <w:bottom w:w="0" w:type="dxa"/>
              <w:right w:w="108" w:type="dxa"/>
            </w:tcMar>
            <w:vAlign w:val="center"/>
          </w:tcPr>
          <w:p w14:paraId="3B9497F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09F2DF7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6A8C50C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Y≥80000</w:t>
            </w:r>
          </w:p>
        </w:tc>
        <w:tc>
          <w:tcPr>
            <w:tcW w:w="1491" w:type="dxa"/>
            <w:shd w:val="clear" w:color="auto" w:fill="auto"/>
            <w:tcMar>
              <w:top w:w="0" w:type="dxa"/>
              <w:left w:w="108" w:type="dxa"/>
              <w:bottom w:w="0" w:type="dxa"/>
              <w:right w:w="108" w:type="dxa"/>
            </w:tcMar>
            <w:vAlign w:val="center"/>
          </w:tcPr>
          <w:p w14:paraId="654F87C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6000≤Y＜80000</w:t>
            </w:r>
          </w:p>
        </w:tc>
        <w:tc>
          <w:tcPr>
            <w:tcW w:w="1315" w:type="dxa"/>
            <w:shd w:val="clear" w:color="auto" w:fill="auto"/>
            <w:tcMar>
              <w:top w:w="0" w:type="dxa"/>
              <w:left w:w="108" w:type="dxa"/>
              <w:bottom w:w="0" w:type="dxa"/>
              <w:right w:w="108" w:type="dxa"/>
            </w:tcMar>
            <w:vAlign w:val="center"/>
          </w:tcPr>
          <w:p w14:paraId="2D05B11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300≤Y＜6000</w:t>
            </w:r>
          </w:p>
        </w:tc>
        <w:tc>
          <w:tcPr>
            <w:tcW w:w="908" w:type="dxa"/>
            <w:shd w:val="clear" w:color="auto" w:fill="auto"/>
            <w:tcMar>
              <w:top w:w="0" w:type="dxa"/>
              <w:left w:w="108" w:type="dxa"/>
              <w:bottom w:w="0" w:type="dxa"/>
              <w:right w:w="108" w:type="dxa"/>
            </w:tcMar>
            <w:vAlign w:val="center"/>
          </w:tcPr>
          <w:p w14:paraId="3737A7D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w:t>
            </w:r>
          </w:p>
        </w:tc>
      </w:tr>
      <w:tr w14:paraId="01E8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B4A39DB">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0A511D5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502E874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71448DE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Z≥80000</w:t>
            </w:r>
          </w:p>
        </w:tc>
        <w:tc>
          <w:tcPr>
            <w:tcW w:w="1491" w:type="dxa"/>
            <w:shd w:val="clear" w:color="auto" w:fill="auto"/>
            <w:tcMar>
              <w:top w:w="0" w:type="dxa"/>
              <w:left w:w="108" w:type="dxa"/>
              <w:bottom w:w="0" w:type="dxa"/>
              <w:right w:w="108" w:type="dxa"/>
            </w:tcMar>
            <w:vAlign w:val="center"/>
          </w:tcPr>
          <w:p w14:paraId="1331C23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5000≤Z＜80000</w:t>
            </w:r>
          </w:p>
        </w:tc>
        <w:tc>
          <w:tcPr>
            <w:tcW w:w="1315" w:type="dxa"/>
            <w:shd w:val="clear" w:color="auto" w:fill="auto"/>
            <w:tcMar>
              <w:top w:w="0" w:type="dxa"/>
              <w:left w:w="108" w:type="dxa"/>
              <w:bottom w:w="0" w:type="dxa"/>
              <w:right w:w="108" w:type="dxa"/>
            </w:tcMar>
            <w:vAlign w:val="center"/>
          </w:tcPr>
          <w:p w14:paraId="2E2F00B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300≤Z＜5000</w:t>
            </w:r>
          </w:p>
        </w:tc>
        <w:tc>
          <w:tcPr>
            <w:tcW w:w="908" w:type="dxa"/>
            <w:shd w:val="clear" w:color="auto" w:fill="auto"/>
            <w:tcMar>
              <w:top w:w="0" w:type="dxa"/>
              <w:left w:w="108" w:type="dxa"/>
              <w:bottom w:w="0" w:type="dxa"/>
              <w:right w:w="108" w:type="dxa"/>
            </w:tcMar>
            <w:vAlign w:val="center"/>
          </w:tcPr>
          <w:p w14:paraId="6A2B2F1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Z＜300</w:t>
            </w:r>
          </w:p>
        </w:tc>
      </w:tr>
      <w:tr w14:paraId="6894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EFDA19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批发业</w:t>
            </w:r>
          </w:p>
        </w:tc>
        <w:tc>
          <w:tcPr>
            <w:tcW w:w="1281" w:type="dxa"/>
            <w:shd w:val="clear" w:color="auto" w:fill="auto"/>
            <w:tcMar>
              <w:top w:w="0" w:type="dxa"/>
              <w:left w:w="108" w:type="dxa"/>
              <w:bottom w:w="0" w:type="dxa"/>
              <w:right w:w="108" w:type="dxa"/>
            </w:tcMar>
            <w:vAlign w:val="center"/>
          </w:tcPr>
          <w:p w14:paraId="15A22BB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5103FB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75B27EB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X≥200</w:t>
            </w:r>
          </w:p>
        </w:tc>
        <w:tc>
          <w:tcPr>
            <w:tcW w:w="1491" w:type="dxa"/>
            <w:shd w:val="clear" w:color="auto" w:fill="auto"/>
            <w:tcMar>
              <w:top w:w="0" w:type="dxa"/>
              <w:left w:w="108" w:type="dxa"/>
              <w:bottom w:w="0" w:type="dxa"/>
              <w:right w:w="108" w:type="dxa"/>
            </w:tcMar>
            <w:vAlign w:val="center"/>
          </w:tcPr>
          <w:p w14:paraId="27981AA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20≤X＜200</w:t>
            </w:r>
          </w:p>
        </w:tc>
        <w:tc>
          <w:tcPr>
            <w:tcW w:w="1315" w:type="dxa"/>
            <w:shd w:val="clear" w:color="auto" w:fill="auto"/>
            <w:tcMar>
              <w:top w:w="0" w:type="dxa"/>
              <w:left w:w="108" w:type="dxa"/>
              <w:bottom w:w="0" w:type="dxa"/>
              <w:right w:w="108" w:type="dxa"/>
            </w:tcMar>
            <w:vAlign w:val="center"/>
          </w:tcPr>
          <w:p w14:paraId="6090C6F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5≤X＜20</w:t>
            </w:r>
          </w:p>
        </w:tc>
        <w:tc>
          <w:tcPr>
            <w:tcW w:w="908" w:type="dxa"/>
            <w:shd w:val="clear" w:color="auto" w:fill="auto"/>
            <w:tcMar>
              <w:top w:w="0" w:type="dxa"/>
              <w:left w:w="108" w:type="dxa"/>
              <w:bottom w:w="0" w:type="dxa"/>
              <w:right w:w="108" w:type="dxa"/>
            </w:tcMar>
            <w:vAlign w:val="center"/>
          </w:tcPr>
          <w:p w14:paraId="3E0EA49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X＜5</w:t>
            </w:r>
          </w:p>
        </w:tc>
      </w:tr>
      <w:tr w14:paraId="37F8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8FD2286">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B1617B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219634C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CDA180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Y≥40000</w:t>
            </w:r>
          </w:p>
        </w:tc>
        <w:tc>
          <w:tcPr>
            <w:tcW w:w="1491" w:type="dxa"/>
            <w:shd w:val="clear" w:color="auto" w:fill="auto"/>
            <w:tcMar>
              <w:top w:w="0" w:type="dxa"/>
              <w:left w:w="108" w:type="dxa"/>
              <w:bottom w:w="0" w:type="dxa"/>
              <w:right w:w="108" w:type="dxa"/>
            </w:tcMar>
            <w:vAlign w:val="center"/>
          </w:tcPr>
          <w:p w14:paraId="1EC2110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5000≤Y＜40000</w:t>
            </w:r>
          </w:p>
        </w:tc>
        <w:tc>
          <w:tcPr>
            <w:tcW w:w="1315" w:type="dxa"/>
            <w:shd w:val="clear" w:color="auto" w:fill="auto"/>
            <w:tcMar>
              <w:top w:w="0" w:type="dxa"/>
              <w:left w:w="108" w:type="dxa"/>
              <w:bottom w:w="0" w:type="dxa"/>
              <w:right w:w="108" w:type="dxa"/>
            </w:tcMar>
            <w:vAlign w:val="center"/>
          </w:tcPr>
          <w:p w14:paraId="4113BA2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1000≤Y＜5000</w:t>
            </w:r>
          </w:p>
        </w:tc>
        <w:tc>
          <w:tcPr>
            <w:tcW w:w="908" w:type="dxa"/>
            <w:shd w:val="clear" w:color="auto" w:fill="auto"/>
            <w:tcMar>
              <w:top w:w="0" w:type="dxa"/>
              <w:left w:w="108" w:type="dxa"/>
              <w:bottom w:w="0" w:type="dxa"/>
              <w:right w:w="108" w:type="dxa"/>
            </w:tcMar>
            <w:vAlign w:val="center"/>
          </w:tcPr>
          <w:p w14:paraId="62AF346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w:t>
            </w:r>
          </w:p>
        </w:tc>
      </w:tr>
      <w:tr w14:paraId="1EF0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77691BD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零售业</w:t>
            </w:r>
          </w:p>
        </w:tc>
        <w:tc>
          <w:tcPr>
            <w:tcW w:w="1281" w:type="dxa"/>
            <w:shd w:val="clear" w:color="auto" w:fill="auto"/>
            <w:tcMar>
              <w:top w:w="0" w:type="dxa"/>
              <w:left w:w="108" w:type="dxa"/>
              <w:bottom w:w="0" w:type="dxa"/>
              <w:right w:w="108" w:type="dxa"/>
            </w:tcMar>
            <w:vAlign w:val="center"/>
          </w:tcPr>
          <w:p w14:paraId="7C7FAA8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447A212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2ED1034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3F443A4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50≤X＜300</w:t>
            </w:r>
          </w:p>
        </w:tc>
        <w:tc>
          <w:tcPr>
            <w:tcW w:w="1315" w:type="dxa"/>
            <w:shd w:val="clear" w:color="auto" w:fill="auto"/>
            <w:tcMar>
              <w:top w:w="0" w:type="dxa"/>
              <w:left w:w="108" w:type="dxa"/>
              <w:bottom w:w="0" w:type="dxa"/>
              <w:right w:w="108" w:type="dxa"/>
            </w:tcMar>
            <w:vAlign w:val="center"/>
          </w:tcPr>
          <w:p w14:paraId="3632CA0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10≤X＜50</w:t>
            </w:r>
          </w:p>
        </w:tc>
        <w:tc>
          <w:tcPr>
            <w:tcW w:w="908" w:type="dxa"/>
            <w:shd w:val="clear" w:color="auto" w:fill="auto"/>
            <w:tcMar>
              <w:top w:w="0" w:type="dxa"/>
              <w:left w:w="108" w:type="dxa"/>
              <w:bottom w:w="0" w:type="dxa"/>
              <w:right w:w="108" w:type="dxa"/>
            </w:tcMar>
            <w:vAlign w:val="center"/>
          </w:tcPr>
          <w:p w14:paraId="320DE5C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69141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5101545D">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42A1581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62D8B33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6D9EB9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Y≥20000</w:t>
            </w:r>
          </w:p>
        </w:tc>
        <w:tc>
          <w:tcPr>
            <w:tcW w:w="1491" w:type="dxa"/>
            <w:shd w:val="clear" w:color="auto" w:fill="auto"/>
            <w:tcMar>
              <w:top w:w="0" w:type="dxa"/>
              <w:left w:w="108" w:type="dxa"/>
              <w:bottom w:w="0" w:type="dxa"/>
              <w:right w:w="108" w:type="dxa"/>
            </w:tcMar>
            <w:vAlign w:val="center"/>
          </w:tcPr>
          <w:p w14:paraId="4359159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500≤Y＜20000</w:t>
            </w:r>
          </w:p>
        </w:tc>
        <w:tc>
          <w:tcPr>
            <w:tcW w:w="1315" w:type="dxa"/>
            <w:shd w:val="clear" w:color="auto" w:fill="auto"/>
            <w:tcMar>
              <w:top w:w="0" w:type="dxa"/>
              <w:left w:w="108" w:type="dxa"/>
              <w:bottom w:w="0" w:type="dxa"/>
              <w:right w:w="108" w:type="dxa"/>
            </w:tcMar>
            <w:vAlign w:val="center"/>
          </w:tcPr>
          <w:p w14:paraId="77FC7CA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100≤Y＜500</w:t>
            </w:r>
          </w:p>
        </w:tc>
        <w:tc>
          <w:tcPr>
            <w:tcW w:w="908" w:type="dxa"/>
            <w:shd w:val="clear" w:color="auto" w:fill="auto"/>
            <w:tcMar>
              <w:top w:w="0" w:type="dxa"/>
              <w:left w:w="108" w:type="dxa"/>
              <w:bottom w:w="0" w:type="dxa"/>
              <w:right w:w="108" w:type="dxa"/>
            </w:tcMar>
            <w:vAlign w:val="center"/>
          </w:tcPr>
          <w:p w14:paraId="55DF297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6D62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72CA0EF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交通运输业 *</w:t>
            </w:r>
          </w:p>
        </w:tc>
        <w:tc>
          <w:tcPr>
            <w:tcW w:w="1281" w:type="dxa"/>
            <w:shd w:val="clear" w:color="auto" w:fill="auto"/>
            <w:tcMar>
              <w:top w:w="0" w:type="dxa"/>
              <w:left w:w="108" w:type="dxa"/>
              <w:bottom w:w="0" w:type="dxa"/>
              <w:right w:w="108" w:type="dxa"/>
            </w:tcMar>
            <w:vAlign w:val="center"/>
          </w:tcPr>
          <w:p w14:paraId="57DA829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4B735A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0C28A25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1DACC7A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6471A5E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30D1BDB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65A0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15D97662">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3EE0AAB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59BBA92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F47E9A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09B13A2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3000≤Y＜30000</w:t>
            </w:r>
          </w:p>
        </w:tc>
        <w:tc>
          <w:tcPr>
            <w:tcW w:w="1315" w:type="dxa"/>
            <w:shd w:val="clear" w:color="auto" w:fill="auto"/>
            <w:tcMar>
              <w:top w:w="0" w:type="dxa"/>
              <w:left w:w="108" w:type="dxa"/>
              <w:bottom w:w="0" w:type="dxa"/>
              <w:right w:w="108" w:type="dxa"/>
            </w:tcMar>
            <w:vAlign w:val="center"/>
          </w:tcPr>
          <w:p w14:paraId="1633635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200≤Y＜3000</w:t>
            </w:r>
          </w:p>
        </w:tc>
        <w:tc>
          <w:tcPr>
            <w:tcW w:w="908" w:type="dxa"/>
            <w:shd w:val="clear" w:color="auto" w:fill="auto"/>
            <w:tcMar>
              <w:top w:w="0" w:type="dxa"/>
              <w:left w:w="108" w:type="dxa"/>
              <w:bottom w:w="0" w:type="dxa"/>
              <w:right w:w="108" w:type="dxa"/>
            </w:tcMar>
            <w:vAlign w:val="center"/>
          </w:tcPr>
          <w:p w14:paraId="46A4444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w:t>
            </w:r>
          </w:p>
        </w:tc>
      </w:tr>
      <w:tr w14:paraId="5022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243AE1A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仓储业</w:t>
            </w:r>
          </w:p>
        </w:tc>
        <w:tc>
          <w:tcPr>
            <w:tcW w:w="1281" w:type="dxa"/>
            <w:shd w:val="clear" w:color="auto" w:fill="auto"/>
            <w:tcMar>
              <w:top w:w="0" w:type="dxa"/>
              <w:left w:w="108" w:type="dxa"/>
              <w:bottom w:w="0" w:type="dxa"/>
              <w:right w:w="108" w:type="dxa"/>
            </w:tcMar>
            <w:vAlign w:val="center"/>
          </w:tcPr>
          <w:p w14:paraId="406C327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136AF3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2683462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X≥200</w:t>
            </w:r>
          </w:p>
        </w:tc>
        <w:tc>
          <w:tcPr>
            <w:tcW w:w="1491" w:type="dxa"/>
            <w:shd w:val="clear" w:color="auto" w:fill="auto"/>
            <w:tcMar>
              <w:top w:w="0" w:type="dxa"/>
              <w:left w:w="108" w:type="dxa"/>
              <w:bottom w:w="0" w:type="dxa"/>
              <w:right w:w="108" w:type="dxa"/>
            </w:tcMar>
            <w:vAlign w:val="center"/>
          </w:tcPr>
          <w:p w14:paraId="28CC75D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100≤X＜200</w:t>
            </w:r>
          </w:p>
        </w:tc>
        <w:tc>
          <w:tcPr>
            <w:tcW w:w="1315" w:type="dxa"/>
            <w:shd w:val="clear" w:color="auto" w:fill="auto"/>
            <w:tcMar>
              <w:top w:w="0" w:type="dxa"/>
              <w:left w:w="108" w:type="dxa"/>
              <w:bottom w:w="0" w:type="dxa"/>
              <w:right w:w="108" w:type="dxa"/>
            </w:tcMar>
            <w:vAlign w:val="center"/>
          </w:tcPr>
          <w:p w14:paraId="1BFE67C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20≤X＜100</w:t>
            </w:r>
          </w:p>
        </w:tc>
        <w:tc>
          <w:tcPr>
            <w:tcW w:w="908" w:type="dxa"/>
            <w:shd w:val="clear" w:color="auto" w:fill="auto"/>
            <w:tcMar>
              <w:top w:w="0" w:type="dxa"/>
              <w:left w:w="108" w:type="dxa"/>
              <w:bottom w:w="0" w:type="dxa"/>
              <w:right w:w="108" w:type="dxa"/>
            </w:tcMar>
            <w:vAlign w:val="center"/>
          </w:tcPr>
          <w:p w14:paraId="58B5949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5888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32BF841">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3544F60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407933A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4C96726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5B7415C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1000≤Y＜30000</w:t>
            </w:r>
          </w:p>
        </w:tc>
        <w:tc>
          <w:tcPr>
            <w:tcW w:w="1315" w:type="dxa"/>
            <w:shd w:val="clear" w:color="auto" w:fill="auto"/>
            <w:tcMar>
              <w:top w:w="0" w:type="dxa"/>
              <w:left w:w="108" w:type="dxa"/>
              <w:bottom w:w="0" w:type="dxa"/>
              <w:right w:w="108" w:type="dxa"/>
            </w:tcMar>
            <w:vAlign w:val="center"/>
          </w:tcPr>
          <w:p w14:paraId="0E5EAFE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4960FD7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3DDB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14F197D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邮政业</w:t>
            </w:r>
          </w:p>
        </w:tc>
        <w:tc>
          <w:tcPr>
            <w:tcW w:w="1281" w:type="dxa"/>
            <w:shd w:val="clear" w:color="auto" w:fill="auto"/>
            <w:tcMar>
              <w:top w:w="0" w:type="dxa"/>
              <w:left w:w="108" w:type="dxa"/>
              <w:bottom w:w="0" w:type="dxa"/>
              <w:right w:w="108" w:type="dxa"/>
            </w:tcMar>
            <w:vAlign w:val="center"/>
          </w:tcPr>
          <w:p w14:paraId="436F177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8E6837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22A88AE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1A05C5B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22B2672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0C93A14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375E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F35F6B3">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703F174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2CB05ED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EEAA4F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42C78B7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2000≤Y＜30000</w:t>
            </w:r>
          </w:p>
        </w:tc>
        <w:tc>
          <w:tcPr>
            <w:tcW w:w="1315" w:type="dxa"/>
            <w:shd w:val="clear" w:color="auto" w:fill="auto"/>
            <w:tcMar>
              <w:top w:w="0" w:type="dxa"/>
              <w:left w:w="108" w:type="dxa"/>
              <w:bottom w:w="0" w:type="dxa"/>
              <w:right w:w="108" w:type="dxa"/>
            </w:tcMar>
            <w:vAlign w:val="center"/>
          </w:tcPr>
          <w:p w14:paraId="138178F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100≤Y＜2000</w:t>
            </w:r>
          </w:p>
        </w:tc>
        <w:tc>
          <w:tcPr>
            <w:tcW w:w="908" w:type="dxa"/>
            <w:shd w:val="clear" w:color="auto" w:fill="auto"/>
            <w:tcMar>
              <w:top w:w="0" w:type="dxa"/>
              <w:left w:w="108" w:type="dxa"/>
              <w:bottom w:w="0" w:type="dxa"/>
              <w:right w:w="108" w:type="dxa"/>
            </w:tcMar>
            <w:vAlign w:val="center"/>
          </w:tcPr>
          <w:p w14:paraId="48179D0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1DF5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F46D45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住宿业</w:t>
            </w:r>
          </w:p>
        </w:tc>
        <w:tc>
          <w:tcPr>
            <w:tcW w:w="1281" w:type="dxa"/>
            <w:shd w:val="clear" w:color="auto" w:fill="auto"/>
            <w:tcMar>
              <w:top w:w="0" w:type="dxa"/>
              <w:left w:w="108" w:type="dxa"/>
              <w:bottom w:w="0" w:type="dxa"/>
              <w:right w:w="108" w:type="dxa"/>
            </w:tcMar>
            <w:vAlign w:val="center"/>
          </w:tcPr>
          <w:p w14:paraId="3694E64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3C1DB9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12960F3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0F76553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4EED71A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74B49F2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4481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501A440">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6CE6EF0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1B2D0E7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4397219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49A3190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2000≤Y＜10000</w:t>
            </w:r>
          </w:p>
        </w:tc>
        <w:tc>
          <w:tcPr>
            <w:tcW w:w="1315" w:type="dxa"/>
            <w:shd w:val="clear" w:color="auto" w:fill="auto"/>
            <w:tcMar>
              <w:top w:w="0" w:type="dxa"/>
              <w:left w:w="108" w:type="dxa"/>
              <w:bottom w:w="0" w:type="dxa"/>
              <w:right w:w="108" w:type="dxa"/>
            </w:tcMar>
            <w:vAlign w:val="center"/>
          </w:tcPr>
          <w:p w14:paraId="13E67A6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100≤Y＜2000</w:t>
            </w:r>
          </w:p>
        </w:tc>
        <w:tc>
          <w:tcPr>
            <w:tcW w:w="908" w:type="dxa"/>
            <w:shd w:val="clear" w:color="auto" w:fill="auto"/>
            <w:tcMar>
              <w:top w:w="0" w:type="dxa"/>
              <w:left w:w="108" w:type="dxa"/>
              <w:bottom w:w="0" w:type="dxa"/>
              <w:right w:w="108" w:type="dxa"/>
            </w:tcMar>
            <w:vAlign w:val="center"/>
          </w:tcPr>
          <w:p w14:paraId="3281F31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4035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4484C83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餐饮业</w:t>
            </w:r>
          </w:p>
        </w:tc>
        <w:tc>
          <w:tcPr>
            <w:tcW w:w="1281" w:type="dxa"/>
            <w:shd w:val="clear" w:color="auto" w:fill="auto"/>
            <w:tcMar>
              <w:top w:w="0" w:type="dxa"/>
              <w:left w:w="108" w:type="dxa"/>
              <w:bottom w:w="0" w:type="dxa"/>
              <w:right w:w="108" w:type="dxa"/>
            </w:tcMar>
            <w:vAlign w:val="center"/>
          </w:tcPr>
          <w:p w14:paraId="709AC2C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43EA2B5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229F623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4B182C7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24D18AC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5CBA027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3EAD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59CA2F27">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C9E761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5CBB7CE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1A03591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6E86D3F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2000≤Y＜10000</w:t>
            </w:r>
          </w:p>
        </w:tc>
        <w:tc>
          <w:tcPr>
            <w:tcW w:w="1315" w:type="dxa"/>
            <w:shd w:val="clear" w:color="auto" w:fill="auto"/>
            <w:tcMar>
              <w:top w:w="0" w:type="dxa"/>
              <w:left w:w="108" w:type="dxa"/>
              <w:bottom w:w="0" w:type="dxa"/>
              <w:right w:w="108" w:type="dxa"/>
            </w:tcMar>
            <w:vAlign w:val="center"/>
          </w:tcPr>
          <w:p w14:paraId="0AD1693B">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 100≤Y＜2000</w:t>
            </w:r>
          </w:p>
        </w:tc>
        <w:tc>
          <w:tcPr>
            <w:tcW w:w="908" w:type="dxa"/>
            <w:shd w:val="clear" w:color="auto" w:fill="auto"/>
            <w:tcMar>
              <w:top w:w="0" w:type="dxa"/>
              <w:left w:w="108" w:type="dxa"/>
              <w:bottom w:w="0" w:type="dxa"/>
              <w:right w:w="108" w:type="dxa"/>
            </w:tcMar>
            <w:vAlign w:val="center"/>
          </w:tcPr>
          <w:p w14:paraId="3D53CF8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5387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3FEE2C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信息传输业 *</w:t>
            </w:r>
          </w:p>
        </w:tc>
        <w:tc>
          <w:tcPr>
            <w:tcW w:w="1281" w:type="dxa"/>
            <w:shd w:val="clear" w:color="auto" w:fill="auto"/>
            <w:tcMar>
              <w:top w:w="0" w:type="dxa"/>
              <w:left w:w="108" w:type="dxa"/>
              <w:bottom w:w="0" w:type="dxa"/>
              <w:right w:w="108" w:type="dxa"/>
            </w:tcMar>
            <w:vAlign w:val="center"/>
          </w:tcPr>
          <w:p w14:paraId="6297C8B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1AAB032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08ED9D4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X≥2000</w:t>
            </w:r>
          </w:p>
        </w:tc>
        <w:tc>
          <w:tcPr>
            <w:tcW w:w="1491" w:type="dxa"/>
            <w:shd w:val="clear" w:color="auto" w:fill="auto"/>
            <w:tcMar>
              <w:top w:w="0" w:type="dxa"/>
              <w:left w:w="108" w:type="dxa"/>
              <w:bottom w:w="0" w:type="dxa"/>
              <w:right w:w="108" w:type="dxa"/>
            </w:tcMar>
            <w:vAlign w:val="center"/>
          </w:tcPr>
          <w:p w14:paraId="6F9F7B7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100≤X＜2000</w:t>
            </w:r>
          </w:p>
        </w:tc>
        <w:tc>
          <w:tcPr>
            <w:tcW w:w="1315" w:type="dxa"/>
            <w:shd w:val="clear" w:color="auto" w:fill="auto"/>
            <w:tcMar>
              <w:top w:w="0" w:type="dxa"/>
              <w:left w:w="108" w:type="dxa"/>
              <w:bottom w:w="0" w:type="dxa"/>
              <w:right w:w="108" w:type="dxa"/>
            </w:tcMar>
            <w:vAlign w:val="center"/>
          </w:tcPr>
          <w:p w14:paraId="0CC8305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3E5DE64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7897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0E5D0B6B">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4E3B02E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3DECBA6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02B84B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Y≥100000</w:t>
            </w:r>
          </w:p>
        </w:tc>
        <w:tc>
          <w:tcPr>
            <w:tcW w:w="1491" w:type="dxa"/>
            <w:shd w:val="clear" w:color="auto" w:fill="auto"/>
            <w:tcMar>
              <w:top w:w="0" w:type="dxa"/>
              <w:left w:w="108" w:type="dxa"/>
              <w:bottom w:w="0" w:type="dxa"/>
              <w:right w:w="108" w:type="dxa"/>
            </w:tcMar>
            <w:vAlign w:val="center"/>
          </w:tcPr>
          <w:p w14:paraId="7FF9755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1000≤Y＜100000</w:t>
            </w:r>
          </w:p>
        </w:tc>
        <w:tc>
          <w:tcPr>
            <w:tcW w:w="1315" w:type="dxa"/>
            <w:shd w:val="clear" w:color="auto" w:fill="auto"/>
            <w:tcMar>
              <w:top w:w="0" w:type="dxa"/>
              <w:left w:w="108" w:type="dxa"/>
              <w:bottom w:w="0" w:type="dxa"/>
              <w:right w:w="108" w:type="dxa"/>
            </w:tcMar>
            <w:vAlign w:val="center"/>
          </w:tcPr>
          <w:p w14:paraId="5802D4C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72F2FFB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7131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337F2BB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pacing w:val="-12"/>
                <w:sz w:val="18"/>
                <w:szCs w:val="18"/>
                <w:highlight w:val="none"/>
              </w:rPr>
              <w:t>软件和信息技术服</w:t>
            </w:r>
            <w:r>
              <w:rPr>
                <w:rFonts w:hint="eastAsia" w:ascii="宋体" w:hAnsi="宋体" w:eastAsia="宋体" w:cs="宋体"/>
                <w:color w:val="auto"/>
                <w:sz w:val="18"/>
                <w:szCs w:val="18"/>
                <w:highlight w:val="none"/>
              </w:rPr>
              <w:t>务业</w:t>
            </w:r>
          </w:p>
        </w:tc>
        <w:tc>
          <w:tcPr>
            <w:tcW w:w="1281" w:type="dxa"/>
            <w:shd w:val="clear" w:color="auto" w:fill="auto"/>
            <w:tcMar>
              <w:top w:w="0" w:type="dxa"/>
              <w:left w:w="108" w:type="dxa"/>
              <w:bottom w:w="0" w:type="dxa"/>
              <w:right w:w="108" w:type="dxa"/>
            </w:tcMar>
            <w:vAlign w:val="center"/>
          </w:tcPr>
          <w:p w14:paraId="35446D2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4BCF0CB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DA8EFFE">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362B8B78">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04C891B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04222E9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37CB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201A1E0E">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7936740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42F4755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8209B79">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53F9128B">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1000≤Y＜10000</w:t>
            </w:r>
          </w:p>
        </w:tc>
        <w:tc>
          <w:tcPr>
            <w:tcW w:w="1315" w:type="dxa"/>
            <w:shd w:val="clear" w:color="auto" w:fill="auto"/>
            <w:tcMar>
              <w:top w:w="0" w:type="dxa"/>
              <w:left w:w="108" w:type="dxa"/>
              <w:bottom w:w="0" w:type="dxa"/>
              <w:right w:w="108" w:type="dxa"/>
            </w:tcMar>
            <w:vAlign w:val="center"/>
          </w:tcPr>
          <w:p w14:paraId="0E375E2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50≤Y＜1000</w:t>
            </w:r>
          </w:p>
        </w:tc>
        <w:tc>
          <w:tcPr>
            <w:tcW w:w="908" w:type="dxa"/>
            <w:shd w:val="clear" w:color="auto" w:fill="auto"/>
            <w:tcMar>
              <w:top w:w="0" w:type="dxa"/>
              <w:left w:w="108" w:type="dxa"/>
              <w:bottom w:w="0" w:type="dxa"/>
              <w:right w:w="108" w:type="dxa"/>
            </w:tcMar>
            <w:vAlign w:val="center"/>
          </w:tcPr>
          <w:p w14:paraId="04815DB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w:t>
            </w:r>
          </w:p>
        </w:tc>
      </w:tr>
      <w:tr w14:paraId="4195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3CBBA0B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房地产开发经营</w:t>
            </w:r>
          </w:p>
        </w:tc>
        <w:tc>
          <w:tcPr>
            <w:tcW w:w="1281" w:type="dxa"/>
            <w:shd w:val="clear" w:color="auto" w:fill="auto"/>
            <w:tcMar>
              <w:top w:w="0" w:type="dxa"/>
              <w:left w:w="108" w:type="dxa"/>
              <w:bottom w:w="0" w:type="dxa"/>
              <w:right w:w="108" w:type="dxa"/>
            </w:tcMar>
            <w:vAlign w:val="center"/>
          </w:tcPr>
          <w:p w14:paraId="47AF76E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4AD624A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74E83CB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Y≥200000</w:t>
            </w:r>
          </w:p>
        </w:tc>
        <w:tc>
          <w:tcPr>
            <w:tcW w:w="1491" w:type="dxa"/>
            <w:shd w:val="clear" w:color="auto" w:fill="auto"/>
            <w:tcMar>
              <w:top w:w="0" w:type="dxa"/>
              <w:left w:w="108" w:type="dxa"/>
              <w:bottom w:w="0" w:type="dxa"/>
              <w:right w:w="108" w:type="dxa"/>
            </w:tcMar>
            <w:vAlign w:val="center"/>
          </w:tcPr>
          <w:p w14:paraId="169D7E37">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 1000≤Y＜200000</w:t>
            </w:r>
          </w:p>
        </w:tc>
        <w:tc>
          <w:tcPr>
            <w:tcW w:w="1315" w:type="dxa"/>
            <w:shd w:val="clear" w:color="auto" w:fill="auto"/>
            <w:tcMar>
              <w:top w:w="0" w:type="dxa"/>
              <w:left w:w="108" w:type="dxa"/>
              <w:bottom w:w="0" w:type="dxa"/>
              <w:right w:w="108" w:type="dxa"/>
            </w:tcMar>
            <w:vAlign w:val="center"/>
          </w:tcPr>
          <w:p w14:paraId="1BDBB56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4DCCD1B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077B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37DA282D">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6E31E27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05B0A09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7A0D0B2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Z≥10000</w:t>
            </w:r>
          </w:p>
        </w:tc>
        <w:tc>
          <w:tcPr>
            <w:tcW w:w="1491" w:type="dxa"/>
            <w:shd w:val="clear" w:color="auto" w:fill="auto"/>
            <w:tcMar>
              <w:top w:w="0" w:type="dxa"/>
              <w:left w:w="108" w:type="dxa"/>
              <w:bottom w:w="0" w:type="dxa"/>
              <w:right w:w="108" w:type="dxa"/>
            </w:tcMar>
            <w:vAlign w:val="center"/>
          </w:tcPr>
          <w:p w14:paraId="36A51386">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5000≤Z＜10000</w:t>
            </w:r>
          </w:p>
        </w:tc>
        <w:tc>
          <w:tcPr>
            <w:tcW w:w="1315" w:type="dxa"/>
            <w:shd w:val="clear" w:color="auto" w:fill="auto"/>
            <w:tcMar>
              <w:top w:w="0" w:type="dxa"/>
              <w:left w:w="108" w:type="dxa"/>
              <w:bottom w:w="0" w:type="dxa"/>
              <w:right w:w="108" w:type="dxa"/>
            </w:tcMar>
            <w:vAlign w:val="center"/>
          </w:tcPr>
          <w:p w14:paraId="601D38E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2000≤Z＜5000  </w:t>
            </w:r>
          </w:p>
        </w:tc>
        <w:tc>
          <w:tcPr>
            <w:tcW w:w="908" w:type="dxa"/>
            <w:shd w:val="clear" w:color="auto" w:fill="auto"/>
            <w:tcMar>
              <w:top w:w="0" w:type="dxa"/>
              <w:left w:w="108" w:type="dxa"/>
              <w:bottom w:w="0" w:type="dxa"/>
              <w:right w:w="108" w:type="dxa"/>
            </w:tcMar>
            <w:vAlign w:val="center"/>
          </w:tcPr>
          <w:p w14:paraId="40EE655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Z＜2000</w:t>
            </w:r>
          </w:p>
        </w:tc>
      </w:tr>
      <w:tr w14:paraId="1ECC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587E7AE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物业管理</w:t>
            </w:r>
          </w:p>
        </w:tc>
        <w:tc>
          <w:tcPr>
            <w:tcW w:w="1281" w:type="dxa"/>
            <w:shd w:val="clear" w:color="auto" w:fill="auto"/>
            <w:tcMar>
              <w:top w:w="0" w:type="dxa"/>
              <w:left w:w="108" w:type="dxa"/>
              <w:bottom w:w="0" w:type="dxa"/>
              <w:right w:w="108" w:type="dxa"/>
            </w:tcMar>
            <w:vAlign w:val="center"/>
          </w:tcPr>
          <w:p w14:paraId="23AE159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774EF7B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C8D9BA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31FC70D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3BF9A02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908" w:type="dxa"/>
            <w:shd w:val="clear" w:color="auto" w:fill="auto"/>
            <w:tcMar>
              <w:top w:w="0" w:type="dxa"/>
              <w:left w:w="108" w:type="dxa"/>
              <w:bottom w:w="0" w:type="dxa"/>
              <w:right w:w="108" w:type="dxa"/>
            </w:tcMar>
            <w:vAlign w:val="center"/>
          </w:tcPr>
          <w:p w14:paraId="61F0B4C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w:t>
            </w:r>
          </w:p>
        </w:tc>
      </w:tr>
      <w:tr w14:paraId="25EF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52966900">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662E73C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181E990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494A4E1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Y≥5000</w:t>
            </w:r>
          </w:p>
        </w:tc>
        <w:tc>
          <w:tcPr>
            <w:tcW w:w="1491" w:type="dxa"/>
            <w:shd w:val="clear" w:color="auto" w:fill="auto"/>
            <w:tcMar>
              <w:top w:w="0" w:type="dxa"/>
              <w:left w:w="108" w:type="dxa"/>
              <w:bottom w:w="0" w:type="dxa"/>
              <w:right w:w="108" w:type="dxa"/>
            </w:tcMar>
            <w:vAlign w:val="center"/>
          </w:tcPr>
          <w:p w14:paraId="2EFC24B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1000≤Y＜5000</w:t>
            </w:r>
          </w:p>
        </w:tc>
        <w:tc>
          <w:tcPr>
            <w:tcW w:w="1315" w:type="dxa"/>
            <w:shd w:val="clear" w:color="auto" w:fill="auto"/>
            <w:tcMar>
              <w:top w:w="0" w:type="dxa"/>
              <w:left w:w="108" w:type="dxa"/>
              <w:bottom w:w="0" w:type="dxa"/>
              <w:right w:w="108" w:type="dxa"/>
            </w:tcMar>
            <w:vAlign w:val="center"/>
          </w:tcPr>
          <w:p w14:paraId="40A7E6D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500≤Y＜1000</w:t>
            </w:r>
          </w:p>
        </w:tc>
        <w:tc>
          <w:tcPr>
            <w:tcW w:w="908" w:type="dxa"/>
            <w:shd w:val="clear" w:color="auto" w:fill="auto"/>
            <w:tcMar>
              <w:top w:w="0" w:type="dxa"/>
              <w:left w:w="108" w:type="dxa"/>
              <w:bottom w:w="0" w:type="dxa"/>
              <w:right w:w="108" w:type="dxa"/>
            </w:tcMar>
            <w:vAlign w:val="center"/>
          </w:tcPr>
          <w:p w14:paraId="220E3A1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Y＜500</w:t>
            </w:r>
          </w:p>
        </w:tc>
      </w:tr>
      <w:tr w14:paraId="49B2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7793E5F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租赁和商务服务业</w:t>
            </w:r>
          </w:p>
        </w:tc>
        <w:tc>
          <w:tcPr>
            <w:tcW w:w="1281" w:type="dxa"/>
            <w:shd w:val="clear" w:color="auto" w:fill="auto"/>
            <w:tcMar>
              <w:top w:w="0" w:type="dxa"/>
              <w:left w:w="108" w:type="dxa"/>
              <w:bottom w:w="0" w:type="dxa"/>
              <w:right w:w="108" w:type="dxa"/>
            </w:tcMar>
            <w:vAlign w:val="center"/>
          </w:tcPr>
          <w:p w14:paraId="3045E7F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7574B21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68FDFB8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2D58846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6F9F8FF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052B444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6B56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71FEE33D">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0D569C1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3D63AD8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2615E6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Z≥120000</w:t>
            </w:r>
          </w:p>
        </w:tc>
        <w:tc>
          <w:tcPr>
            <w:tcW w:w="1491" w:type="dxa"/>
            <w:shd w:val="clear" w:color="auto" w:fill="auto"/>
            <w:tcMar>
              <w:top w:w="0" w:type="dxa"/>
              <w:left w:w="108" w:type="dxa"/>
              <w:bottom w:w="0" w:type="dxa"/>
              <w:right w:w="108" w:type="dxa"/>
            </w:tcMar>
            <w:vAlign w:val="center"/>
          </w:tcPr>
          <w:p w14:paraId="2F70E3C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8000≤Z＜120000</w:t>
            </w:r>
          </w:p>
        </w:tc>
        <w:tc>
          <w:tcPr>
            <w:tcW w:w="1315" w:type="dxa"/>
            <w:shd w:val="clear" w:color="auto" w:fill="auto"/>
            <w:tcMar>
              <w:top w:w="0" w:type="dxa"/>
              <w:left w:w="108" w:type="dxa"/>
              <w:bottom w:w="0" w:type="dxa"/>
              <w:right w:w="108" w:type="dxa"/>
            </w:tcMar>
            <w:vAlign w:val="center"/>
          </w:tcPr>
          <w:p w14:paraId="15F7F48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100≤Z＜8000</w:t>
            </w:r>
          </w:p>
        </w:tc>
        <w:tc>
          <w:tcPr>
            <w:tcW w:w="908" w:type="dxa"/>
            <w:shd w:val="clear" w:color="auto" w:fill="auto"/>
            <w:tcMar>
              <w:top w:w="0" w:type="dxa"/>
              <w:left w:w="108" w:type="dxa"/>
              <w:bottom w:w="0" w:type="dxa"/>
              <w:right w:w="108" w:type="dxa"/>
            </w:tcMar>
            <w:vAlign w:val="center"/>
          </w:tcPr>
          <w:p w14:paraId="26D8DBA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Z＜100</w:t>
            </w:r>
          </w:p>
        </w:tc>
      </w:tr>
      <w:tr w14:paraId="21AE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72DE5C0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其他未列明行业 *</w:t>
            </w:r>
          </w:p>
        </w:tc>
        <w:tc>
          <w:tcPr>
            <w:tcW w:w="1281" w:type="dxa"/>
            <w:shd w:val="clear" w:color="auto" w:fill="auto"/>
            <w:tcMar>
              <w:top w:w="0" w:type="dxa"/>
              <w:left w:w="108" w:type="dxa"/>
              <w:bottom w:w="0" w:type="dxa"/>
              <w:right w:w="108" w:type="dxa"/>
            </w:tcMar>
            <w:vAlign w:val="center"/>
          </w:tcPr>
          <w:p w14:paraId="394990E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76BA8F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F5467B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6A34D2D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11D3528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684B66C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bl>
    <w:p w14:paraId="5C29978E">
      <w:pPr>
        <w:shd w:val="clear" w:color="auto" w:fill="FFFFFF"/>
        <w:spacing w:line="400" w:lineRule="exact"/>
        <w:ind w:firstLine="0" w:firstLineChars="0"/>
        <w:rPr>
          <w:rFonts w:hint="eastAsia" w:ascii="微软雅黑" w:hAnsi="微软雅黑" w:cs="宋体"/>
          <w:bCs/>
          <w:color w:val="auto"/>
          <w:szCs w:val="21"/>
          <w:highlight w:val="none"/>
        </w:rPr>
      </w:pPr>
      <w:r>
        <w:rPr>
          <w:rFonts w:hint="eastAsia" w:ascii="宋体" w:hAnsi="宋体" w:eastAsia="宋体" w:cs="宋体"/>
          <w:color w:val="auto"/>
          <w:sz w:val="18"/>
          <w:szCs w:val="18"/>
          <w:highlight w:val="none"/>
        </w:rPr>
        <w:t> </w:t>
      </w:r>
      <w:r>
        <w:rPr>
          <w:rFonts w:hint="eastAsia" w:ascii="宋体" w:hAnsi="宋体" w:eastAsia="宋体" w:cs="宋体"/>
          <w:color w:val="auto"/>
          <w:spacing w:val="8"/>
          <w:sz w:val="24"/>
          <w:highlight w:val="none"/>
        </w:rPr>
        <w:t>　</w:t>
      </w:r>
      <w:r>
        <w:rPr>
          <w:rFonts w:hint="eastAsia" w:ascii="微软雅黑" w:hAnsi="微软雅黑" w:cs="宋体"/>
          <w:color w:val="auto"/>
          <w:spacing w:val="8"/>
          <w:szCs w:val="21"/>
          <w:highlight w:val="none"/>
        </w:rPr>
        <w:t>　说明：</w:t>
      </w:r>
    </w:p>
    <w:p w14:paraId="3C6E4AC2">
      <w:pPr>
        <w:shd w:val="clear" w:color="auto" w:fill="FFFFFF"/>
        <w:spacing w:line="400" w:lineRule="exact"/>
        <w:ind w:firstLine="0" w:firstLineChars="0"/>
        <w:rPr>
          <w:rFonts w:hint="eastAsia" w:ascii="微软雅黑" w:hAnsi="微软雅黑" w:cs="宋体"/>
          <w:bCs/>
          <w:color w:val="auto"/>
          <w:szCs w:val="21"/>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1.</w:t>
      </w:r>
      <w:r>
        <w:rPr>
          <w:rFonts w:hint="eastAsia" w:ascii="微软雅黑" w:hAnsi="微软雅黑" w:cs="宋体"/>
          <w:color w:val="auto"/>
          <w:spacing w:val="8"/>
          <w:szCs w:val="21"/>
          <w:highlight w:val="none"/>
        </w:rPr>
        <w:t>大型、中型和小型企业须同时满足所列指标的下限，否则下划一档；微型企业只须满足所列指标中的一项即可。</w:t>
      </w:r>
    </w:p>
    <w:p w14:paraId="5007CFFD">
      <w:pPr>
        <w:shd w:val="clear" w:color="auto" w:fill="FFFFFF"/>
        <w:spacing w:line="400" w:lineRule="exact"/>
        <w:ind w:firstLine="0" w:firstLineChars="0"/>
        <w:rPr>
          <w:rFonts w:hint="eastAsia" w:ascii="微软雅黑" w:hAnsi="微软雅黑" w:cs="宋体"/>
          <w:bCs/>
          <w:color w:val="auto"/>
          <w:szCs w:val="21"/>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2.</w:t>
      </w:r>
      <w:r>
        <w:rPr>
          <w:rFonts w:hint="eastAsia" w:ascii="微软雅黑" w:hAnsi="微软雅黑" w:cs="宋体"/>
          <w:color w:val="auto"/>
          <w:spacing w:val="8"/>
          <w:szCs w:val="21"/>
          <w:highlight w:val="none"/>
        </w:rPr>
        <w:t>附表中各行业的范围以《国民经济行业分类》（</w:t>
      </w:r>
      <w:r>
        <w:rPr>
          <w:rFonts w:ascii="微软雅黑" w:hAnsi="微软雅黑"/>
          <w:color w:val="auto"/>
          <w:spacing w:val="8"/>
          <w:szCs w:val="21"/>
          <w:highlight w:val="none"/>
        </w:rPr>
        <w:t>GB/T4754-2011</w:t>
      </w:r>
      <w:r>
        <w:rPr>
          <w:rFonts w:hint="eastAsia" w:ascii="微软雅黑" w:hAnsi="微软雅黑" w:cs="宋体"/>
          <w:color w:val="auto"/>
          <w:spacing w:val="8"/>
          <w:szCs w:val="21"/>
          <w:highlight w:val="none"/>
        </w:rPr>
        <w:t>）为准。带</w:t>
      </w:r>
      <w:r>
        <w:rPr>
          <w:rFonts w:ascii="微软雅黑" w:hAnsi="微软雅黑"/>
          <w:color w:val="auto"/>
          <w:spacing w:val="8"/>
          <w:szCs w:val="21"/>
          <w:highlight w:val="none"/>
        </w:rPr>
        <w:t>*</w:t>
      </w:r>
      <w:r>
        <w:rPr>
          <w:rFonts w:hint="eastAsia" w:ascii="微软雅黑" w:hAnsi="微软雅黑" w:cs="宋体"/>
          <w:color w:val="auto"/>
          <w:spacing w:val="8"/>
          <w:szCs w:val="21"/>
          <w:highlight w:val="none"/>
        </w:rPr>
        <w:t>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F3DC258">
      <w:pPr>
        <w:shd w:val="clear" w:color="auto" w:fill="FFFFFF"/>
        <w:spacing w:line="400" w:lineRule="exact"/>
        <w:ind w:firstLine="0" w:firstLineChars="0"/>
        <w:rPr>
          <w:b/>
          <w:bCs/>
          <w:color w:val="auto"/>
          <w:sz w:val="28"/>
          <w:szCs w:val="28"/>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3.</w:t>
      </w:r>
      <w:r>
        <w:rPr>
          <w:rFonts w:hint="eastAsia" w:ascii="微软雅黑" w:hAnsi="微软雅黑" w:cs="宋体"/>
          <w:color w:val="auto"/>
          <w:spacing w:val="8"/>
          <w:szCs w:val="21"/>
          <w:highlight w:val="none"/>
        </w:rPr>
        <w:t>企业划分指标以现行统计制度为准。（</w:t>
      </w:r>
      <w:r>
        <w:rPr>
          <w:rFonts w:ascii="微软雅黑" w:hAnsi="微软雅黑"/>
          <w:color w:val="auto"/>
          <w:spacing w:val="8"/>
          <w:szCs w:val="21"/>
          <w:highlight w:val="none"/>
        </w:rPr>
        <w:t>1</w:t>
      </w:r>
      <w:r>
        <w:rPr>
          <w:rFonts w:hint="eastAsia" w:ascii="微软雅黑" w:hAnsi="微软雅黑" w:cs="宋体"/>
          <w:color w:val="auto"/>
          <w:spacing w:val="8"/>
          <w:szCs w:val="21"/>
          <w:highlight w:val="none"/>
        </w:rPr>
        <w:t>）从业人员，是指期末从业人员数，没有期末从业人员数的，采用全年平均人员数代替。（</w:t>
      </w:r>
      <w:r>
        <w:rPr>
          <w:rFonts w:ascii="微软雅黑" w:hAnsi="微软雅黑"/>
          <w:color w:val="auto"/>
          <w:spacing w:val="8"/>
          <w:szCs w:val="21"/>
          <w:highlight w:val="none"/>
        </w:rPr>
        <w:t>2</w:t>
      </w:r>
      <w:r>
        <w:rPr>
          <w:rFonts w:hint="eastAsia" w:ascii="微软雅黑" w:hAnsi="微软雅黑" w:cs="宋体"/>
          <w:color w:val="auto"/>
          <w:spacing w:val="8"/>
          <w:szCs w:val="21"/>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微软雅黑" w:hAnsi="微软雅黑"/>
          <w:color w:val="auto"/>
          <w:spacing w:val="8"/>
          <w:szCs w:val="21"/>
          <w:highlight w:val="none"/>
        </w:rPr>
        <w:t>3</w:t>
      </w:r>
      <w:r>
        <w:rPr>
          <w:rFonts w:hint="eastAsia" w:ascii="微软雅黑" w:hAnsi="微软雅黑" w:cs="宋体"/>
          <w:color w:val="auto"/>
          <w:spacing w:val="8"/>
          <w:szCs w:val="21"/>
          <w:highlight w:val="none"/>
        </w:rPr>
        <w:t>）资产总额，采用资产总计代替。</w:t>
      </w:r>
    </w:p>
    <w:sectPr>
      <w:footerReference r:id="rId30" w:type="default"/>
      <w:pgSz w:w="11906" w:h="16838"/>
      <w:pgMar w:top="1474" w:right="1134" w:bottom="1134" w:left="1474" w:header="851" w:footer="992"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4F8E28F-0036-4216-B815-4D794D364976}"/>
  </w:font>
  <w:font w:name="Arial">
    <w:panose1 w:val="020B0604020202020204"/>
    <w:charset w:val="01"/>
    <w:family w:val="swiss"/>
    <w:pitch w:val="default"/>
    <w:sig w:usb0="E0002EFF" w:usb1="C000785B" w:usb2="00000009" w:usb3="00000000" w:csb0="400001FF" w:csb1="FFFF0000"/>
    <w:embedRegular r:id="rId2" w:fontKey="{4EFE14DC-B215-4BDF-8136-9791183F6C2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903FB80-2372-45F3-A0AE-EF048B226E15}"/>
  </w:font>
  <w:font w:name="微软雅黑">
    <w:panose1 w:val="020B0503020204020204"/>
    <w:charset w:val="86"/>
    <w:family w:val="swiss"/>
    <w:pitch w:val="default"/>
    <w:sig w:usb0="80000287" w:usb1="2ACF3C50" w:usb2="00000016" w:usb3="00000000" w:csb0="0004001F" w:csb1="00000000"/>
    <w:embedRegular r:id="rId4" w:fontKey="{4F69F8F6-8C10-4BF8-9C5C-27D28211707D}"/>
  </w:font>
  <w:font w:name="仿宋_GB2312">
    <w:panose1 w:val="02010609030101010101"/>
    <w:charset w:val="86"/>
    <w:family w:val="modern"/>
    <w:pitch w:val="default"/>
    <w:sig w:usb0="00000001" w:usb1="080E0000" w:usb2="00000000" w:usb3="00000000" w:csb0="00040000" w:csb1="00000000"/>
    <w:embedRegular r:id="rId5" w:fontKey="{2CDAD666-33CF-488C-AC5B-90841177FF3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6" w:fontKey="{32473B72-B00A-4A1B-8D2C-CC78684C5268}"/>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新宋体">
    <w:panose1 w:val="02010609030101010101"/>
    <w:charset w:val="86"/>
    <w:family w:val="modern"/>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embedRegular r:id="rId7" w:fontKey="{C975F1A9-7955-46F6-969F-9517A701982D}"/>
  </w:font>
  <w:font w:name="方正粗黑宋简体">
    <w:panose1 w:val="02000000000000000000"/>
    <w:charset w:val="86"/>
    <w:family w:val="auto"/>
    <w:pitch w:val="default"/>
    <w:sig w:usb0="A00002BF" w:usb1="184F6CFA" w:usb2="00000012" w:usb3="00000000" w:csb0="00040001" w:csb1="00000000"/>
    <w:embedRegular r:id="rId8" w:fontKey="{34C812B3-BAD5-4899-BAE4-9E257F310DEC}"/>
  </w:font>
  <w:font w:name="汉仪大黑简">
    <w:altName w:val="黑体"/>
    <w:panose1 w:val="00000000000000000000"/>
    <w:charset w:val="86"/>
    <w:family w:val="auto"/>
    <w:pitch w:val="default"/>
    <w:sig w:usb0="00000000" w:usb1="00000000" w:usb2="00000002" w:usb3="00000000" w:csb0="00040000" w:csb1="00000000"/>
    <w:embedRegular r:id="rId9" w:fontKey="{D5F7BC23-7A4A-4470-B4E6-F0B0A23994B7}"/>
  </w:font>
  <w:font w:name="Segoe UI Symbol">
    <w:panose1 w:val="020B0502040204020203"/>
    <w:charset w:val="00"/>
    <w:family w:val="swiss"/>
    <w:pitch w:val="default"/>
    <w:sig w:usb0="800001E3" w:usb1="1200FFEF" w:usb2="00040000" w:usb3="04000000" w:csb0="00000001" w:csb1="40000000"/>
    <w:embedRegular r:id="rId10" w:fontKey="{9DF2E9A3-E33F-42D6-ACFB-D38A75945B93}"/>
  </w:font>
  <w:font w:name="sans-serif">
    <w:altName w:val="标准粗黑"/>
    <w:panose1 w:val="00000000000000000000"/>
    <w:charset w:val="00"/>
    <w:family w:val="auto"/>
    <w:pitch w:val="default"/>
    <w:sig w:usb0="00000000" w:usb1="00000000" w:usb2="00000000" w:usb3="00000000" w:csb0="00040001" w:csb1="00000000"/>
    <w:embedRegular r:id="rId11" w:fontKey="{89818013-F78A-4A51-94DE-7E4940610708}"/>
  </w:font>
  <w:font w:name="标准粗黑">
    <w:panose1 w:val="02000503000000000000"/>
    <w:charset w:val="86"/>
    <w:family w:val="auto"/>
    <w:pitch w:val="default"/>
    <w:sig w:usb0="8000002F" w:usb1="084164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E424B">
    <w:pPr>
      <w:pStyle w:val="3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6387220"/>
    </w:sdtPr>
    <w:sdtContent>
      <w:p w14:paraId="1FE5C383">
        <w:pPr>
          <w:pStyle w:val="35"/>
          <w:ind w:firstLine="360"/>
          <w:jc w:val="right"/>
        </w:pPr>
        <w:r>
          <w:fldChar w:fldCharType="begin"/>
        </w:r>
        <w:r>
          <w:instrText xml:space="preserve">PAGE   \* MERGEFORMAT</w:instrText>
        </w:r>
        <w:r>
          <w:fldChar w:fldCharType="separate"/>
        </w:r>
        <w:r>
          <w:rPr>
            <w:lang w:val="zh-CN"/>
          </w:rPr>
          <w:t>54</w:t>
        </w:r>
        <w:r>
          <w:fldChar w:fldCharType="end"/>
        </w:r>
      </w:p>
    </w:sdtContent>
  </w:sdt>
  <w:p w14:paraId="10C30F4D">
    <w:pPr>
      <w:ind w:firstLine="420"/>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3254"/>
    </w:sdtPr>
    <w:sdtContent>
      <w:p w14:paraId="2AC81F3C">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4CF8D3A6">
    <w:pPr>
      <w:ind w:firstLine="420"/>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00FDB">
    <w:pPr>
      <w:pStyle w:val="35"/>
      <w:ind w:left="360" w:firstLine="36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972185" cy="147955"/>
              <wp:effectExtent l="0" t="0" r="0" b="0"/>
              <wp:wrapNone/>
              <wp:docPr id="16967667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a:effectLst/>
                    </wps:spPr>
                    <wps:txbx>
                      <w:txbxContent>
                        <w:p w14:paraId="253D5975">
                          <w:pPr>
                            <w:pStyle w:val="35"/>
                            <w:ind w:firstLine="360"/>
                            <w:jc w:val="center"/>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76.55pt;mso-position-horizontal:center;mso-position-horizontal-relative:margin;mso-wrap-style:none;z-index:251664384;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J2k0NIAAAAEAQAADwAAAAAAAAAB&#10;ACAAAAAiAAAAZHJzL2Rvd25yZXYueG1sUEsBAhQAFAAAAAgAh07iQJcTjRUWAgAAGQQAAA4AAAAA&#10;AAAAAQAgAAAAIQEAAGRycy9lMm9Eb2MueG1sUEsFBgAAAAAGAAYAWQEAAKkFAAAAAA==&#10;">
              <v:fill on="f" focussize="0,0"/>
              <v:stroke on="f"/>
              <v:imagedata o:title=""/>
              <o:lock v:ext="edit" aspectratio="f"/>
              <v:textbox inset="0mm,0mm,0mm,0mm" style="mso-fit-shape-to-text:t;">
                <w:txbxContent>
                  <w:p w14:paraId="253D5975">
                    <w:pPr>
                      <w:pStyle w:val="35"/>
                      <w:ind w:firstLine="360"/>
                      <w:jc w:val="center"/>
                    </w:pPr>
                  </w:p>
                </w:txbxContent>
              </v:textbox>
            </v:shape>
          </w:pict>
        </mc:Fallback>
      </mc:AlternateContent>
    </w:r>
  </w:p>
  <w:p w14:paraId="3A9AD203">
    <w:pPr>
      <w:ind w:firstLine="420"/>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864471"/>
    </w:sdtPr>
    <w:sdtContent>
      <w:p w14:paraId="6FA623B8">
        <w:pPr>
          <w:pStyle w:val="35"/>
          <w:ind w:firstLine="360"/>
          <w:jc w:val="right"/>
        </w:pPr>
        <w:r>
          <w:fldChar w:fldCharType="begin"/>
        </w:r>
        <w:r>
          <w:instrText xml:space="preserve">PAGE   \* MERGEFORMAT</w:instrText>
        </w:r>
        <w:r>
          <w:fldChar w:fldCharType="separate"/>
        </w:r>
        <w:r>
          <w:rPr>
            <w:lang w:val="zh-CN"/>
          </w:rPr>
          <w:t>69</w:t>
        </w:r>
        <w:r>
          <w:fldChar w:fldCharType="end"/>
        </w:r>
      </w:p>
    </w:sdtContent>
  </w:sdt>
  <w:p w14:paraId="057A734D">
    <w:pPr>
      <w:ind w:firstLine="420"/>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8335"/>
    </w:sdtPr>
    <w:sdtContent>
      <w:p w14:paraId="013B12E3">
        <w:pPr>
          <w:pStyle w:val="35"/>
          <w:ind w:firstLine="360"/>
          <w:jc w:val="right"/>
        </w:pPr>
        <w:r>
          <w:fldChar w:fldCharType="begin"/>
        </w:r>
        <w:r>
          <w:instrText xml:space="preserve">PAGE   \* MERGEFORMAT</w:instrText>
        </w:r>
        <w:r>
          <w:fldChar w:fldCharType="separate"/>
        </w:r>
        <w:r>
          <w:rPr>
            <w:lang w:val="zh-CN"/>
          </w:rPr>
          <w:t>54</w:t>
        </w:r>
        <w:r>
          <w:fldChar w:fldCharType="end"/>
        </w:r>
      </w:p>
    </w:sdtContent>
  </w:sdt>
  <w:p w14:paraId="7A7CD77C">
    <w:pPr>
      <w:ind w:firstLine="420"/>
      <w:rPr>
        <w:rFonts w:ascii="仿宋_GB2312" w:eastAsia="仿宋_GB231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6E941">
    <w:pPr>
      <w:tabs>
        <w:tab w:val="left" w:pos="7828"/>
      </w:tabs>
      <w:ind w:firstLine="420"/>
      <w:rPr>
        <w:rFonts w:hint="eastAsia" w:ascii="微软雅黑" w:hAnsi="微软雅黑"/>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C0C38DF">
                          <w:pPr>
                            <w:pStyle w:val="35"/>
                            <w:pBdr>
                              <w:top w:val="none" w:color="auto" w:sz="0" w:space="1"/>
                            </w:pBdr>
                            <w:ind w:firstLine="36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epDMnLAQAAl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kpPLgP+4jtpA7S6gj1FQM55W5TbuVFuK5n7Oe/qf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C3qQzJywEAAJcDAAAOAAAAAAAAAAEAIAAAACIBAABkcnMv&#10;ZTJvRG9jLnhtbFBLBQYAAAAABgAGAFkBAABfBQAAAAA=&#10;">
              <v:fill on="f" focussize="0,0"/>
              <v:stroke on="f" weight="1.25pt"/>
              <v:imagedata o:title=""/>
              <o:lock v:ext="edit" aspectratio="f"/>
              <v:textbox inset="0mm,0mm,0mm,0mm" style="mso-fit-shape-to-text:t;">
                <w:txbxContent>
                  <w:p w14:paraId="1C0C38DF">
                    <w:pPr>
                      <w:pStyle w:val="35"/>
                      <w:pBdr>
                        <w:top w:val="none" w:color="auto" w:sz="0" w:space="1"/>
                      </w:pBdr>
                      <w:ind w:firstLine="36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0628E">
    <w:pPr>
      <w:pStyle w:val="3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AFBA7">
    <w:pPr>
      <w:pStyle w:val="3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A3A65">
    <w:pPr>
      <w:pStyle w:val="35"/>
      <w:ind w:firstLine="360"/>
      <w:jc w:val="right"/>
    </w:pPr>
    <w:r>
      <w:fldChar w:fldCharType="begin"/>
    </w:r>
    <w:r>
      <w:instrText xml:space="preserve"> PAGE   \* MERGEFORMAT </w:instrText>
    </w:r>
    <w:r>
      <w:fldChar w:fldCharType="separate"/>
    </w:r>
    <w:r>
      <w:rPr>
        <w:lang w:val="zh-CN"/>
      </w:rPr>
      <w:t>3</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7A711">
    <w:pPr>
      <w:pStyle w:val="35"/>
      <w:ind w:firstLine="360"/>
      <w:jc w:val="center"/>
    </w:pPr>
    <w:r>
      <mc:AlternateContent>
        <mc:Choice Requires="wps">
          <w:drawing>
            <wp:anchor distT="0" distB="0" distL="114300" distR="114300" simplePos="0" relativeHeight="251667456" behindDoc="0" locked="0" layoutInCell="1" allowOverlap="1">
              <wp:simplePos x="0" y="0"/>
              <wp:positionH relativeFrom="margin">
                <wp:posOffset>2468880</wp:posOffset>
              </wp:positionH>
              <wp:positionV relativeFrom="paragraph">
                <wp:posOffset>-1905</wp:posOffset>
              </wp:positionV>
              <wp:extent cx="514350" cy="209550"/>
              <wp:effectExtent l="0" t="0" r="0" b="0"/>
              <wp:wrapNone/>
              <wp:docPr id="2" name="文本框 1032"/>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a:noFill/>
                      </a:ln>
                      <a:effectLst/>
                    </wps:spPr>
                    <wps:txbx>
                      <w:txbxContent>
                        <w:p w14:paraId="52EE9901">
                          <w:pPr>
                            <w:pStyle w:val="35"/>
                            <w:ind w:firstLine="360"/>
                            <w:jc w:val="center"/>
                          </w:pPr>
                          <w:r>
                            <w:fldChar w:fldCharType="begin"/>
                          </w:r>
                          <w:r>
                            <w:instrText xml:space="preserve">PAGE   \* MERGEFORMAT</w:instrText>
                          </w:r>
                          <w:r>
                            <w:fldChar w:fldCharType="separate"/>
                          </w:r>
                          <w:r>
                            <w:rPr>
                              <w:lang w:val="zh-CN"/>
                            </w:rPr>
                            <w:t>22</w:t>
                          </w:r>
                          <w:r>
                            <w:rPr>
                              <w:lang w:val="zh-CN"/>
                            </w:rPr>
                            <w:fldChar w:fldCharType="end"/>
                          </w:r>
                        </w:p>
                      </w:txbxContent>
                    </wps:txbx>
                    <wps:bodyPr wrap="square" lIns="0" tIns="0" rIns="0" bIns="0" upright="1">
                      <a:noAutofit/>
                    </wps:bodyPr>
                  </wps:wsp>
                </a:graphicData>
              </a:graphic>
            </wp:anchor>
          </w:drawing>
        </mc:Choice>
        <mc:Fallback>
          <w:pict>
            <v:shape id="文本框 1032" o:spid="_x0000_s1026" o:spt="202" type="#_x0000_t202" style="position:absolute;left:0pt;margin-left:194.4pt;margin-top:-0.15pt;height:16.5pt;width:40.5pt;mso-position-horizontal-relative:margin;z-index:251667456;mso-width-relative:page;mso-height-relative:page;" filled="f" stroked="f" coordsize="21600,21600" o:gfxdata="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ROv3DXAAAACAEAAA8AAAAAAAAAAQAg&#10;AAAAIgAAAGRycy9kb3ducmV2LnhtbFBLAQIUABQAAAAIAIdO4kAWCAhX1gEAAKoDAAAOAAAAAAAA&#10;AAEAIAAAACYBAABkcnMvZTJvRG9jLnhtbFBLBQYAAAAABgAGAFkBAABuBQAAAAA=&#10;">
              <v:fill on="f" focussize="0,0"/>
              <v:stroke on="f"/>
              <v:imagedata o:title=""/>
              <o:lock v:ext="edit" aspectratio="f"/>
              <v:textbox inset="0mm,0mm,0mm,0mm">
                <w:txbxContent>
                  <w:p w14:paraId="52EE9901">
                    <w:pPr>
                      <w:pStyle w:val="35"/>
                      <w:ind w:firstLine="360"/>
                      <w:jc w:val="center"/>
                    </w:pPr>
                    <w:r>
                      <w:fldChar w:fldCharType="begin"/>
                    </w:r>
                    <w:r>
                      <w:instrText xml:space="preserve">PAGE   \* MERGEFORMAT</w:instrText>
                    </w:r>
                    <w:r>
                      <w:fldChar w:fldCharType="separate"/>
                    </w:r>
                    <w:r>
                      <w:rPr>
                        <w:lang w:val="zh-CN"/>
                      </w:rPr>
                      <w:t>22</w:t>
                    </w:r>
                    <w:r>
                      <w:rPr>
                        <w:lang w:val="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54D93">
    <w:pPr>
      <w:pStyle w:val="35"/>
      <w:ind w:firstLine="360"/>
      <w:jc w:val="center"/>
    </w:pPr>
    <w:r>
      <w:fldChar w:fldCharType="begin"/>
    </w:r>
    <w:r>
      <w:instrText xml:space="preserve">PAGE   \* MERGEFORMAT</w:instrText>
    </w:r>
    <w:r>
      <w:fldChar w:fldCharType="separate"/>
    </w:r>
    <w:r>
      <w:rPr>
        <w:lang w:val="zh-CN"/>
      </w:rPr>
      <w:t>15</w:t>
    </w:r>
    <w:r>
      <w:rPr>
        <w:lang w:val="zh-C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1855884"/>
    </w:sdtPr>
    <w:sdtContent>
      <w:p w14:paraId="1B5B6ED5">
        <w:pPr>
          <w:pStyle w:val="35"/>
          <w:ind w:firstLine="360"/>
          <w:jc w:val="right"/>
        </w:pPr>
        <w:r>
          <w:fldChar w:fldCharType="begin"/>
        </w:r>
        <w:r>
          <w:instrText xml:space="preserve">PAGE   \* MERGEFORMAT</w:instrText>
        </w:r>
        <w:r>
          <w:fldChar w:fldCharType="separate"/>
        </w:r>
        <w:r>
          <w:rPr>
            <w:lang w:val="zh-CN"/>
          </w:rPr>
          <w:t>33</w:t>
        </w:r>
        <w:r>
          <w:fldChar w:fldCharType="end"/>
        </w:r>
      </w:p>
    </w:sdtContent>
  </w:sdt>
  <w:p w14:paraId="5B50D278">
    <w:pPr>
      <w:pStyle w:val="35"/>
      <w:ind w:right="720" w:firstLine="210" w:firstLineChars="100"/>
      <w:jc w:val="center"/>
      <w:rPr>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17675"/>
    </w:sdtPr>
    <w:sdtContent>
      <w:p w14:paraId="3E549D8D">
        <w:pPr>
          <w:pStyle w:val="35"/>
          <w:ind w:firstLine="360"/>
          <w:jc w:val="right"/>
        </w:pPr>
        <w:r>
          <w:fldChar w:fldCharType="begin"/>
        </w:r>
        <w:r>
          <w:instrText xml:space="preserve">PAGE   \* MERGEFORMAT</w:instrText>
        </w:r>
        <w:r>
          <w:fldChar w:fldCharType="separate"/>
        </w:r>
        <w:r>
          <w:rPr>
            <w:lang w:val="zh-CN"/>
          </w:rPr>
          <w:t>65</w:t>
        </w:r>
        <w:r>
          <w:fldChar w:fldCharType="end"/>
        </w:r>
      </w:p>
    </w:sdtContent>
  </w:sdt>
  <w:p w14:paraId="4E1211AB">
    <w:pPr>
      <w:pStyle w:val="35"/>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21F6C">
    <w:pPr>
      <w:pStyle w:val="35"/>
      <w:ind w:right="360" w:firstLine="420"/>
      <w:rPr>
        <w:sz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69F5FC81">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V+SdAAAAADAQAADwAAAAAAAAABACAAAAAiAAAAZHJzL2Rvd25yZXYueG1s&#10;UEsBAhQAFAAAAAgAh07iQB7GMezHAQAAiwMAAA4AAAAAAAAAAQAgAAAAHwEAAGRycy9lMm9Eb2Mu&#10;eG1sUEsFBgAAAAAGAAYAWQEAAFgFAAAAAA==&#10;">
              <v:fill on="f" focussize="0,0"/>
              <v:stroke on="f"/>
              <v:imagedata o:title=""/>
              <o:lock v:ext="edit" aspectratio="f"/>
              <v:textbox inset="0mm,0mm,0mm,0mm" style="mso-fit-shape-to-text:t;">
                <w:txbxContent>
                  <w:p w14:paraId="69F5FC81">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v:textbox>
            </v:shape>
          </w:pict>
        </mc:Fallback>
      </mc:AlternateContent>
    </w:r>
    <w:r>
      <w:rPr>
        <w:rFonts w:hint="eastAsia"/>
        <w:sz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4C418">
    <w:pPr>
      <w:pStyle w:val="37"/>
      <w:tabs>
        <w:tab w:val="left" w:pos="5925"/>
        <w:tab w:val="right" w:pos="8312"/>
        <w:tab w:val="clear" w:pos="8306"/>
      </w:tabs>
      <w:jc w:val="left"/>
      <w:rPr>
        <w:rFonts w:hint="eastAsia" w:ascii="微软雅黑" w:hAnsi="微软雅黑"/>
      </w:rPr>
    </w:pPr>
    <w:r>
      <w:rPr>
        <w:rFonts w:hint="eastAsia"/>
      </w:rPr>
      <w:pict>
        <v:shape id="PowerPlusWaterMarkObject108598" o:spid="_x0000_s3083" o:spt="136" type="#_x0000_t136" style="position:absolute;left:0pt;height:47.3pt;width:539.95pt;mso-position-horizontal:center;mso-position-horizontal-relative:margin;mso-position-vertical:center;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嘉兴市千秋工程咨询有限公司" style="font-family:宋体;font-size:36pt;v-text-align:center;"/>
        </v:shape>
      </w:pict>
    </w:r>
    <w:r>
      <w:rPr>
        <w:rFonts w:ascii="微软雅黑" w:hAnsi="微软雅黑"/>
      </w:rPr>
      <w:tab/>
    </w:r>
    <w:r>
      <w:rPr>
        <w:rFonts w:ascii="微软雅黑" w:hAnsi="微软雅黑"/>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5AD05">
    <w:pPr>
      <w:pStyle w:val="37"/>
      <w:rPr>
        <w:rFonts w:hint="eastAsia" w:ascii="微软雅黑" w:hAnsi="微软雅黑"/>
      </w:rPr>
    </w:pPr>
    <w:r>
      <w:drawing>
        <wp:anchor distT="0" distB="0" distL="114300" distR="114300" simplePos="0" relativeHeight="251670528" behindDoc="0" locked="0" layoutInCell="1" allowOverlap="1">
          <wp:simplePos x="0" y="0"/>
          <wp:positionH relativeFrom="column">
            <wp:posOffset>1905</wp:posOffset>
          </wp:positionH>
          <wp:positionV relativeFrom="paragraph">
            <wp:posOffset>-130810</wp:posOffset>
          </wp:positionV>
          <wp:extent cx="390525" cy="371475"/>
          <wp:effectExtent l="0" t="0" r="9525" b="9525"/>
          <wp:wrapNone/>
          <wp:docPr id="1" name="图片 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 xml:space="preserve"> 2025年秀洲区老旧房屋保险服务项目</w:t>
    </w:r>
    <w:r>
      <w:rPr>
        <w:rFonts w:hint="eastAsia" w:ascii="微软雅黑" w:hAnsi="微软雅黑" w:cs="微软雅黑"/>
      </w:rPr>
      <w:t>·</w:t>
    </w:r>
    <w:r>
      <w:rPr>
        <w:rFonts w:hint="eastAsia" w:ascii="微软雅黑" w:hAnsi="微软雅黑"/>
      </w:rPr>
      <w:t>招标文件</w:t>
    </w:r>
  </w:p>
  <w:p w14:paraId="2A966C7C">
    <w:pPr>
      <w:pStyle w:val="37"/>
    </w:pPr>
    <w:r>
      <w:pict>
        <v:shape id="_x0000_s3086" o:spid="_x0000_s3086" o:spt="136" type="#_x0000_t136" style="position:absolute;left:0pt;height:47.3pt;width:539.95pt;mso-position-horizontal:center;mso-position-horizontal-relative:margin;mso-position-vertical:center;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嘉兴市千秋工程咨询有限公司" style="font-family:宋体;font-size:36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5AB30">
    <w:pPr>
      <w:pStyle w:val="37"/>
    </w:pPr>
    <w: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1073838202" name="图片 107383820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8202" name="图片 107383820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 xml:space="preserve"> 2025年秀洲区老旧房屋保险服务项目</w:t>
    </w:r>
    <w:r>
      <w:rPr>
        <w:rFonts w:hint="eastAsia" w:ascii="微软雅黑" w:hAnsi="微软雅黑"/>
      </w:rPr>
      <w:t>招标文件</w:t>
    </w:r>
  </w:p>
  <w:p w14:paraId="346FD5C1">
    <w:pPr>
      <w:ind w:firstLine="360"/>
      <w:rPr>
        <w:rFonts w:ascii="仿宋_GB2312" w:eastAsia="仿宋_GB2312"/>
        <w:b/>
        <w:i/>
        <w:sz w:val="18"/>
        <w:u w:val="single"/>
      </w:rPr>
    </w:pPr>
    <w:r>
      <w:rPr>
        <w:sz w:val="18"/>
      </w:rPr>
      <w:pict>
        <v:shape id="_x0000_s3085" o:spid="_x0000_s3085" o:spt="136" type="#_x0000_t136" style="position:absolute;left:0pt;height:47.3pt;width:539.95pt;mso-position-horizontal:center;mso-position-horizontal-relative:margin;mso-position-vertical:center;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嘉兴市千秋工程咨询有限公司" style="font-family:宋体;font-size:36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FE2B1">
    <w:pPr>
      <w:pStyle w:val="37"/>
    </w:pPr>
    <w:r>
      <w:pict>
        <v:shape id="PowerPlusWaterMarkObject13360719" o:spid="_x0000_s3075" o:spt="136" type="#_x0000_t136" style="position:absolute;left:0pt;height:41.85pt;width:544.0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52C8A">
    <w:pPr>
      <w:pStyle w:val="37"/>
    </w:pPr>
    <w:r>
      <w:pict>
        <v:shape id="PowerPlusWaterMarkObject13360718" o:spid="_x0000_s3073" o:spt="136" type="#_x0000_t136" style="position:absolute;left:0pt;height:41.85pt;width:544.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BD42B">
    <w:pPr>
      <w:pStyle w:val="37"/>
      <w:rPr>
        <w:rFonts w:hint="eastAsia" w:ascii="微软雅黑" w:hAnsi="微软雅黑"/>
      </w:rPr>
    </w:pPr>
    <w:r>
      <w:drawing>
        <wp:anchor distT="0" distB="0" distL="114300" distR="114300" simplePos="0" relativeHeight="251660288" behindDoc="0" locked="0" layoutInCell="1" allowOverlap="1">
          <wp:simplePos x="0" y="0"/>
          <wp:positionH relativeFrom="column">
            <wp:posOffset>1905</wp:posOffset>
          </wp:positionH>
          <wp:positionV relativeFrom="paragraph">
            <wp:posOffset>-130810</wp:posOffset>
          </wp:positionV>
          <wp:extent cx="390525" cy="371475"/>
          <wp:effectExtent l="19050" t="0" r="9525" b="0"/>
          <wp:wrapNone/>
          <wp:docPr id="1033682942" name="图片 103368294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2942" name="图片 103368294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pict>
        <v:shape id="_x0000_s3084" o:spid="_x0000_s3084" o:spt="136" type="#_x0000_t136" style="position:absolute;left:0pt;height:47.3pt;width:539.95pt;mso-position-horizontal:center;mso-position-horizontal-relative:margin;mso-position-vertical:center;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嘉兴市千秋工程咨询有限公司" style="font-family:宋体;font-size:36pt;v-text-align:center;"/>
        </v:shape>
      </w:pict>
    </w:r>
    <w:r>
      <w:rPr>
        <w:rFonts w:hint="eastAsia"/>
      </w:rPr>
      <w:t xml:space="preserve"> 2025年秀洲区老旧房屋保险服务项目</w:t>
    </w:r>
    <w:r>
      <w:rPr>
        <w:rFonts w:hint="eastAsia" w:ascii="微软雅黑" w:hAnsi="微软雅黑" w:cs="微软雅黑"/>
      </w:rPr>
      <w:t>·</w:t>
    </w:r>
    <w:r>
      <w:rPr>
        <w:rFonts w:hint="eastAsia" w:ascii="微软雅黑" w:hAnsi="微软雅黑"/>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68F43">
    <w:pPr>
      <w:pStyle w:val="37"/>
    </w:pPr>
    <w:r>
      <w:pict>
        <v:shape id="PowerPlusWaterMarkObject13360722" o:spid="_x0000_s3078" o:spt="136" type="#_x0000_t136" style="position:absolute;left:0pt;height:41.85pt;width:544.0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7E64C">
    <w:pPr>
      <w:pStyle w:val="37"/>
    </w:pPr>
    <w:r>
      <w:pict>
        <v:shape id="PowerPlusWaterMarkObject13360721" o:spid="_x0000_s3076" o:spt="136" type="#_x0000_t136" style="position:absolute;left:0pt;height:41.85pt;width:544.0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EB3FF">
    <w:pPr>
      <w:pStyle w:val="3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E194F">
    <w:pPr>
      <w:pStyle w:val="3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BEA45">
    <w:pPr>
      <w:pStyle w:val="37"/>
    </w:pPr>
    <w:r>
      <w:pict>
        <v:shape id="PowerPlusWaterMarkObject13360725" o:spid="_x0000_s3080" o:spt="136" type="#_x0000_t136" style="position:absolute;left:0pt;height:41.85pt;width:544.0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E082AB"/>
    <w:multiLevelType w:val="singleLevel"/>
    <w:tmpl w:val="C7E082AB"/>
    <w:lvl w:ilvl="0" w:tentative="0">
      <w:start w:val="1"/>
      <w:numFmt w:val="decimal"/>
      <w:suff w:val="nothing"/>
      <w:lvlText w:val="（%1）"/>
      <w:lvlJc w:val="left"/>
    </w:lvl>
  </w:abstractNum>
  <w:abstractNum w:abstractNumId="1">
    <w:nsid w:val="D1A0C125"/>
    <w:multiLevelType w:val="singleLevel"/>
    <w:tmpl w:val="D1A0C125"/>
    <w:lvl w:ilvl="0" w:tentative="0">
      <w:start w:val="1"/>
      <w:numFmt w:val="chineseCounting"/>
      <w:suff w:val="nothing"/>
      <w:lvlText w:val="%1、"/>
      <w:lvlJc w:val="left"/>
      <w:pPr>
        <w:ind w:left="-210"/>
      </w:pPr>
      <w:rPr>
        <w:rFonts w:hint="eastAsia"/>
      </w:rPr>
    </w:lvl>
  </w:abstractNum>
  <w:abstractNum w:abstractNumId="2">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3">
    <w:nsid w:val="0000000E"/>
    <w:multiLevelType w:val="multilevel"/>
    <w:tmpl w:val="0000000E"/>
    <w:lvl w:ilvl="0" w:tentative="0">
      <w:start w:val="1"/>
      <w:numFmt w:val="decimal"/>
      <w:lvlText w:val="%1."/>
      <w:lvlJc w:val="left"/>
      <w:pPr>
        <w:ind w:left="529" w:hanging="213"/>
      </w:pPr>
      <w:rPr>
        <w:rFonts w:hint="default" w:ascii="宋体" w:hAnsi="宋体" w:eastAsia="宋体" w:cs="宋体"/>
        <w:w w:val="100"/>
        <w:sz w:val="19"/>
        <w:szCs w:val="19"/>
        <w:lang w:val="en-US" w:eastAsia="zh-CN" w:bidi="ar-SA"/>
      </w:rPr>
    </w:lvl>
    <w:lvl w:ilvl="1" w:tentative="0">
      <w:start w:val="0"/>
      <w:numFmt w:val="bullet"/>
      <w:lvlText w:val="•"/>
      <w:lvlJc w:val="left"/>
      <w:pPr>
        <w:ind w:left="1321" w:hanging="213"/>
      </w:pPr>
      <w:rPr>
        <w:rFonts w:hint="default"/>
        <w:lang w:val="en-US" w:eastAsia="zh-CN" w:bidi="ar-SA"/>
      </w:rPr>
    </w:lvl>
    <w:lvl w:ilvl="2" w:tentative="0">
      <w:start w:val="0"/>
      <w:numFmt w:val="bullet"/>
      <w:lvlText w:val="•"/>
      <w:lvlJc w:val="left"/>
      <w:pPr>
        <w:ind w:left="2112" w:hanging="213"/>
      </w:pPr>
      <w:rPr>
        <w:rFonts w:hint="default"/>
        <w:lang w:val="en-US" w:eastAsia="zh-CN" w:bidi="ar-SA"/>
      </w:rPr>
    </w:lvl>
    <w:lvl w:ilvl="3" w:tentative="0">
      <w:start w:val="0"/>
      <w:numFmt w:val="bullet"/>
      <w:lvlText w:val="•"/>
      <w:lvlJc w:val="left"/>
      <w:pPr>
        <w:ind w:left="2903" w:hanging="213"/>
      </w:pPr>
      <w:rPr>
        <w:rFonts w:hint="default"/>
        <w:lang w:val="en-US" w:eastAsia="zh-CN" w:bidi="ar-SA"/>
      </w:rPr>
    </w:lvl>
    <w:lvl w:ilvl="4" w:tentative="0">
      <w:start w:val="0"/>
      <w:numFmt w:val="bullet"/>
      <w:lvlText w:val="•"/>
      <w:lvlJc w:val="left"/>
      <w:pPr>
        <w:ind w:left="3694" w:hanging="213"/>
      </w:pPr>
      <w:rPr>
        <w:rFonts w:hint="default"/>
        <w:lang w:val="en-US" w:eastAsia="zh-CN" w:bidi="ar-SA"/>
      </w:rPr>
    </w:lvl>
    <w:lvl w:ilvl="5" w:tentative="0">
      <w:start w:val="0"/>
      <w:numFmt w:val="bullet"/>
      <w:lvlText w:val="•"/>
      <w:lvlJc w:val="left"/>
      <w:pPr>
        <w:ind w:left="4486" w:hanging="213"/>
      </w:pPr>
      <w:rPr>
        <w:rFonts w:hint="default"/>
        <w:lang w:val="en-US" w:eastAsia="zh-CN" w:bidi="ar-SA"/>
      </w:rPr>
    </w:lvl>
    <w:lvl w:ilvl="6" w:tentative="0">
      <w:start w:val="0"/>
      <w:numFmt w:val="bullet"/>
      <w:lvlText w:val="•"/>
      <w:lvlJc w:val="left"/>
      <w:pPr>
        <w:ind w:left="5277" w:hanging="213"/>
      </w:pPr>
      <w:rPr>
        <w:rFonts w:hint="default"/>
        <w:lang w:val="en-US" w:eastAsia="zh-CN" w:bidi="ar-SA"/>
      </w:rPr>
    </w:lvl>
    <w:lvl w:ilvl="7" w:tentative="0">
      <w:start w:val="0"/>
      <w:numFmt w:val="bullet"/>
      <w:lvlText w:val="•"/>
      <w:lvlJc w:val="left"/>
      <w:pPr>
        <w:ind w:left="6068" w:hanging="213"/>
      </w:pPr>
      <w:rPr>
        <w:rFonts w:hint="default"/>
        <w:lang w:val="en-US" w:eastAsia="zh-CN" w:bidi="ar-SA"/>
      </w:rPr>
    </w:lvl>
    <w:lvl w:ilvl="8" w:tentative="0">
      <w:start w:val="0"/>
      <w:numFmt w:val="bullet"/>
      <w:lvlText w:val="•"/>
      <w:lvlJc w:val="left"/>
      <w:pPr>
        <w:ind w:left="6859" w:hanging="213"/>
      </w:pPr>
      <w:rPr>
        <w:rFonts w:hint="default"/>
        <w:lang w:val="en-US" w:eastAsia="zh-CN" w:bidi="ar-SA"/>
      </w:rPr>
    </w:lvl>
  </w:abstractNum>
  <w:abstractNum w:abstractNumId="4">
    <w:nsid w:val="079B6FA5"/>
    <w:multiLevelType w:val="multilevel"/>
    <w:tmpl w:val="079B6FA5"/>
    <w:lvl w:ilvl="0" w:tentative="0">
      <w:start w:val="1"/>
      <w:numFmt w:val="decimal"/>
      <w:lvlText w:val="%1."/>
      <w:lvlJc w:val="left"/>
      <w:pPr>
        <w:ind w:left="425" w:hanging="425"/>
      </w:pPr>
      <w:rPr>
        <w:rFonts w:hint="default"/>
      </w:rPr>
    </w:lvl>
    <w:lvl w:ilvl="1" w:tentative="0">
      <w:start w:val="1"/>
      <w:numFmt w:val="decimal"/>
      <w:lvlText w:val="%1.%2."/>
      <w:lvlJc w:val="left"/>
      <w:pPr>
        <w:ind w:left="1135" w:hanging="567"/>
      </w:pPr>
      <w:rPr>
        <w:rFonts w:hint="default"/>
      </w:rPr>
    </w:lvl>
    <w:lvl w:ilvl="2" w:tentative="0">
      <w:start w:val="1"/>
      <w:numFmt w:val="decimal"/>
      <w:lvlText w:val="%1.%2.%3."/>
      <w:lvlJc w:val="left"/>
      <w:pPr>
        <w:ind w:left="1702"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0B1269A8"/>
    <w:multiLevelType w:val="multilevel"/>
    <w:tmpl w:val="0B1269A8"/>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0C8C1890"/>
    <w:multiLevelType w:val="multilevel"/>
    <w:tmpl w:val="0C8C1890"/>
    <w:lvl w:ilvl="0" w:tentative="0">
      <w:start w:val="1"/>
      <w:numFmt w:val="none"/>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3.2"/>
      <w:lvlJc w:val="left"/>
      <w:pPr>
        <w:ind w:left="1271" w:hanging="42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0E0D3E34"/>
    <w:multiLevelType w:val="multilevel"/>
    <w:tmpl w:val="0E0D3E34"/>
    <w:lvl w:ilvl="0" w:tentative="0">
      <w:start w:val="1"/>
      <w:numFmt w:val="decimal"/>
      <w:lvlText w:val="%1)"/>
      <w:lvlJc w:val="left"/>
      <w:pPr>
        <w:ind w:left="1260" w:hanging="420"/>
      </w:pPr>
    </w:lvl>
    <w:lvl w:ilvl="1" w:tentative="0">
      <w:start w:val="1"/>
      <w:numFmt w:val="decimal"/>
      <w:lvlText w:val="%2)"/>
      <w:lvlJc w:val="left"/>
      <w:pPr>
        <w:ind w:left="84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0F7940F1"/>
    <w:multiLevelType w:val="multilevel"/>
    <w:tmpl w:val="0F7940F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F8F9CC7"/>
    <w:multiLevelType w:val="singleLevel"/>
    <w:tmpl w:val="0F8F9CC7"/>
    <w:lvl w:ilvl="0" w:tentative="0">
      <w:start w:val="2"/>
      <w:numFmt w:val="chineseCounting"/>
      <w:suff w:val="nothing"/>
      <w:lvlText w:val="（%1）"/>
      <w:lvlJc w:val="left"/>
      <w:rPr>
        <w:rFonts w:hint="eastAsia"/>
      </w:rPr>
    </w:lvl>
  </w:abstractNum>
  <w:abstractNum w:abstractNumId="10">
    <w:nsid w:val="12434AA4"/>
    <w:multiLevelType w:val="multilevel"/>
    <w:tmpl w:val="12434AA4"/>
    <w:lvl w:ilvl="0" w:tentative="0">
      <w:start w:val="1"/>
      <w:numFmt w:val="decimal"/>
      <w:lvlText w:val="（%1）"/>
      <w:lvlJc w:val="left"/>
      <w:pPr>
        <w:ind w:left="1264" w:hanging="420"/>
      </w:pPr>
      <w:rPr>
        <w:rFonts w:hint="eastAsia"/>
      </w:rPr>
    </w:lvl>
    <w:lvl w:ilvl="1" w:tentative="0">
      <w:start w:val="1"/>
      <w:numFmt w:val="lowerLetter"/>
      <w:lvlText w:val="%2)"/>
      <w:lvlJc w:val="left"/>
      <w:pPr>
        <w:ind w:left="1684" w:hanging="420"/>
      </w:pPr>
    </w:lvl>
    <w:lvl w:ilvl="2" w:tentative="0">
      <w:start w:val="1"/>
      <w:numFmt w:val="lowerRoman"/>
      <w:lvlText w:val="%3."/>
      <w:lvlJc w:val="right"/>
      <w:pPr>
        <w:ind w:left="2104" w:hanging="420"/>
      </w:pPr>
    </w:lvl>
    <w:lvl w:ilvl="3" w:tentative="0">
      <w:start w:val="1"/>
      <w:numFmt w:val="decimal"/>
      <w:lvlText w:val="%4."/>
      <w:lvlJc w:val="left"/>
      <w:pPr>
        <w:ind w:left="2524" w:hanging="420"/>
      </w:pPr>
    </w:lvl>
    <w:lvl w:ilvl="4" w:tentative="0">
      <w:start w:val="1"/>
      <w:numFmt w:val="lowerLetter"/>
      <w:lvlText w:val="%5)"/>
      <w:lvlJc w:val="left"/>
      <w:pPr>
        <w:ind w:left="2944" w:hanging="420"/>
      </w:pPr>
    </w:lvl>
    <w:lvl w:ilvl="5" w:tentative="0">
      <w:start w:val="1"/>
      <w:numFmt w:val="decimal"/>
      <w:lvlText w:val="（%6）"/>
      <w:lvlJc w:val="left"/>
      <w:pPr>
        <w:ind w:left="840" w:hanging="420"/>
      </w:pPr>
      <w:rPr>
        <w:rFonts w:hint="eastAsia"/>
      </w:rPr>
    </w:lvl>
    <w:lvl w:ilvl="6" w:tentative="0">
      <w:start w:val="1"/>
      <w:numFmt w:val="decimal"/>
      <w:lvlText w:val="%7."/>
      <w:lvlJc w:val="left"/>
      <w:pPr>
        <w:ind w:left="3784" w:hanging="420"/>
      </w:pPr>
    </w:lvl>
    <w:lvl w:ilvl="7" w:tentative="0">
      <w:start w:val="1"/>
      <w:numFmt w:val="lowerLetter"/>
      <w:lvlText w:val="%8)"/>
      <w:lvlJc w:val="left"/>
      <w:pPr>
        <w:ind w:left="4204" w:hanging="420"/>
      </w:pPr>
    </w:lvl>
    <w:lvl w:ilvl="8" w:tentative="0">
      <w:start w:val="1"/>
      <w:numFmt w:val="lowerRoman"/>
      <w:lvlText w:val="%9."/>
      <w:lvlJc w:val="right"/>
      <w:pPr>
        <w:ind w:left="4624" w:hanging="420"/>
      </w:pPr>
    </w:lvl>
  </w:abstractNum>
  <w:abstractNum w:abstractNumId="11">
    <w:nsid w:val="13ACD3A2"/>
    <w:multiLevelType w:val="singleLevel"/>
    <w:tmpl w:val="13ACD3A2"/>
    <w:lvl w:ilvl="0" w:tentative="0">
      <w:start w:val="1"/>
      <w:numFmt w:val="chineseCounting"/>
      <w:suff w:val="nothing"/>
      <w:lvlText w:val="%1、"/>
      <w:lvlJc w:val="left"/>
      <w:pPr>
        <w:ind w:left="0" w:firstLine="420"/>
      </w:pPr>
      <w:rPr>
        <w:rFonts w:hint="eastAsia"/>
      </w:rPr>
    </w:lvl>
  </w:abstractNum>
  <w:abstractNum w:abstractNumId="12">
    <w:nsid w:val="159645B8"/>
    <w:multiLevelType w:val="multilevel"/>
    <w:tmpl w:val="159645B8"/>
    <w:lvl w:ilvl="0" w:tentative="0">
      <w:start w:val="1"/>
      <w:numFmt w:val="decimal"/>
      <w:lvlText w:val="%1."/>
      <w:lvlJc w:val="left"/>
      <w:pPr>
        <w:ind w:left="844" w:hanging="420"/>
      </w:pPr>
    </w:lvl>
    <w:lvl w:ilvl="1" w:tentative="0">
      <w:start w:val="1"/>
      <w:numFmt w:val="decimal"/>
      <w:lvlText w:val="%2)"/>
      <w:lvlJc w:val="left"/>
      <w:pPr>
        <w:ind w:left="1204" w:hanging="360"/>
      </w:pPr>
      <w:rPr>
        <w:rFonts w:hint="default"/>
      </w:r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3">
    <w:nsid w:val="1D1435DD"/>
    <w:multiLevelType w:val="multilevel"/>
    <w:tmpl w:val="1D1435DD"/>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21C2413D"/>
    <w:multiLevelType w:val="multilevel"/>
    <w:tmpl w:val="21C2413D"/>
    <w:lvl w:ilvl="0" w:tentative="0">
      <w:start w:val="1"/>
      <w:numFmt w:val="decimal"/>
      <w:lvlText w:val="%1."/>
      <w:lvlJc w:val="left"/>
      <w:pPr>
        <w:ind w:left="317" w:hanging="213"/>
      </w:pPr>
      <w:rPr>
        <w:rFonts w:hint="default"/>
        <w:spacing w:val="-43"/>
        <w:w w:val="100"/>
        <w:sz w:val="19"/>
        <w:szCs w:val="19"/>
        <w:lang w:val="en-US" w:eastAsia="zh-CN" w:bidi="ar-SA"/>
      </w:rPr>
    </w:lvl>
    <w:lvl w:ilvl="1" w:tentative="0">
      <w:start w:val="0"/>
      <w:numFmt w:val="bullet"/>
      <w:lvlText w:val="•"/>
      <w:lvlJc w:val="left"/>
      <w:pPr>
        <w:ind w:left="1123" w:hanging="213"/>
      </w:pPr>
      <w:rPr>
        <w:rFonts w:hint="default"/>
        <w:lang w:val="en-US" w:eastAsia="zh-CN" w:bidi="ar-SA"/>
      </w:rPr>
    </w:lvl>
    <w:lvl w:ilvl="2" w:tentative="0">
      <w:start w:val="0"/>
      <w:numFmt w:val="bullet"/>
      <w:lvlText w:val="•"/>
      <w:lvlJc w:val="left"/>
      <w:pPr>
        <w:ind w:left="1936" w:hanging="213"/>
      </w:pPr>
      <w:rPr>
        <w:rFonts w:hint="default"/>
        <w:lang w:val="en-US" w:eastAsia="zh-CN" w:bidi="ar-SA"/>
      </w:rPr>
    </w:lvl>
    <w:lvl w:ilvl="3" w:tentative="0">
      <w:start w:val="0"/>
      <w:numFmt w:val="bullet"/>
      <w:lvlText w:val="•"/>
      <w:lvlJc w:val="left"/>
      <w:pPr>
        <w:ind w:left="2749" w:hanging="213"/>
      </w:pPr>
      <w:rPr>
        <w:rFonts w:hint="default"/>
        <w:lang w:val="en-US" w:eastAsia="zh-CN" w:bidi="ar-SA"/>
      </w:rPr>
    </w:lvl>
    <w:lvl w:ilvl="4" w:tentative="0">
      <w:start w:val="0"/>
      <w:numFmt w:val="bullet"/>
      <w:lvlText w:val="•"/>
      <w:lvlJc w:val="left"/>
      <w:pPr>
        <w:ind w:left="3562" w:hanging="213"/>
      </w:pPr>
      <w:rPr>
        <w:rFonts w:hint="default"/>
        <w:lang w:val="en-US" w:eastAsia="zh-CN" w:bidi="ar-SA"/>
      </w:rPr>
    </w:lvl>
    <w:lvl w:ilvl="5" w:tentative="0">
      <w:start w:val="0"/>
      <w:numFmt w:val="bullet"/>
      <w:lvlText w:val="•"/>
      <w:lvlJc w:val="left"/>
      <w:pPr>
        <w:ind w:left="4376" w:hanging="213"/>
      </w:pPr>
      <w:rPr>
        <w:rFonts w:hint="default"/>
        <w:lang w:val="en-US" w:eastAsia="zh-CN" w:bidi="ar-SA"/>
      </w:rPr>
    </w:lvl>
    <w:lvl w:ilvl="6" w:tentative="0">
      <w:start w:val="0"/>
      <w:numFmt w:val="bullet"/>
      <w:lvlText w:val="•"/>
      <w:lvlJc w:val="left"/>
      <w:pPr>
        <w:ind w:left="5189" w:hanging="213"/>
      </w:pPr>
      <w:rPr>
        <w:rFonts w:hint="default"/>
        <w:lang w:val="en-US" w:eastAsia="zh-CN" w:bidi="ar-SA"/>
      </w:rPr>
    </w:lvl>
    <w:lvl w:ilvl="7" w:tentative="0">
      <w:start w:val="0"/>
      <w:numFmt w:val="bullet"/>
      <w:lvlText w:val="•"/>
      <w:lvlJc w:val="left"/>
      <w:pPr>
        <w:ind w:left="6002" w:hanging="213"/>
      </w:pPr>
      <w:rPr>
        <w:rFonts w:hint="default"/>
        <w:lang w:val="en-US" w:eastAsia="zh-CN" w:bidi="ar-SA"/>
      </w:rPr>
    </w:lvl>
    <w:lvl w:ilvl="8" w:tentative="0">
      <w:start w:val="0"/>
      <w:numFmt w:val="bullet"/>
      <w:lvlText w:val="•"/>
      <w:lvlJc w:val="left"/>
      <w:pPr>
        <w:ind w:left="6815" w:hanging="213"/>
      </w:pPr>
      <w:rPr>
        <w:rFonts w:hint="default"/>
        <w:lang w:val="en-US" w:eastAsia="zh-CN" w:bidi="ar-SA"/>
      </w:rPr>
    </w:lvl>
  </w:abstractNum>
  <w:abstractNum w:abstractNumId="15">
    <w:nsid w:val="26F24197"/>
    <w:multiLevelType w:val="multilevel"/>
    <w:tmpl w:val="26F24197"/>
    <w:lvl w:ilvl="0" w:tentative="0">
      <w:start w:val="1"/>
      <w:numFmt w:val="decimal"/>
      <w:lvlText w:val="%1)"/>
      <w:lvlJc w:val="left"/>
      <w:pPr>
        <w:ind w:left="1260" w:hanging="420"/>
      </w:pPr>
    </w:lvl>
    <w:lvl w:ilvl="1" w:tentative="0">
      <w:start w:val="1"/>
      <w:numFmt w:val="decimal"/>
      <w:lvlText w:val="%2)"/>
      <w:lvlJc w:val="left"/>
      <w:pPr>
        <w:ind w:left="84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288A5E9D"/>
    <w:multiLevelType w:val="multilevel"/>
    <w:tmpl w:val="288A5E9D"/>
    <w:lvl w:ilvl="0" w:tentative="0">
      <w:start w:val="1"/>
      <w:numFmt w:val="decimal"/>
      <w:lvlText w:val="%1."/>
      <w:lvlJc w:val="left"/>
      <w:pPr>
        <w:ind w:left="440" w:hanging="440"/>
      </w:pPr>
    </w:lvl>
    <w:lvl w:ilvl="1" w:tentative="0">
      <w:start w:val="1"/>
      <w:numFmt w:val="decimal"/>
      <w:lvlText w:val="%2."/>
      <w:lvlJc w:val="left"/>
      <w:pPr>
        <w:ind w:left="44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352048B9"/>
    <w:multiLevelType w:val="multilevel"/>
    <w:tmpl w:val="352048B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2.1"/>
      <w:lvlJc w:val="left"/>
      <w:pPr>
        <w:ind w:left="1271" w:hanging="42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36B90DB6"/>
    <w:multiLevelType w:val="multilevel"/>
    <w:tmpl w:val="36B90DB6"/>
    <w:lvl w:ilvl="0" w:tentative="0">
      <w:start w:val="7"/>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9">
    <w:nsid w:val="3854259B"/>
    <w:multiLevelType w:val="multilevel"/>
    <w:tmpl w:val="3854259B"/>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3B4178CF"/>
    <w:multiLevelType w:val="singleLevel"/>
    <w:tmpl w:val="3B4178CF"/>
    <w:lvl w:ilvl="0" w:tentative="0">
      <w:start w:val="1"/>
      <w:numFmt w:val="decimal"/>
      <w:lvlText w:val="%1."/>
      <w:lvlJc w:val="left"/>
      <w:pPr>
        <w:ind w:left="425" w:hanging="425"/>
      </w:pPr>
      <w:rPr>
        <w:rFonts w:hint="default"/>
      </w:rPr>
    </w:lvl>
  </w:abstractNum>
  <w:abstractNum w:abstractNumId="21">
    <w:nsid w:val="3BCD68C1"/>
    <w:multiLevelType w:val="multilevel"/>
    <w:tmpl w:val="3BCD68C1"/>
    <w:lvl w:ilvl="0" w:tentative="0">
      <w:start w:val="1"/>
      <w:numFmt w:val="none"/>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3.4"/>
      <w:lvlJc w:val="left"/>
      <w:pPr>
        <w:ind w:left="1271" w:hanging="42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4034AC53"/>
    <w:multiLevelType w:val="singleLevel"/>
    <w:tmpl w:val="4034AC53"/>
    <w:lvl w:ilvl="0" w:tentative="0">
      <w:start w:val="1"/>
      <w:numFmt w:val="chineseCountingThousand"/>
      <w:suff w:val="space"/>
      <w:lvlText w:val="第%1章"/>
      <w:lvlJc w:val="left"/>
      <w:pPr>
        <w:ind w:left="0" w:firstLine="0"/>
      </w:pPr>
      <w:rPr>
        <w:rFonts w:hint="eastAsia"/>
      </w:rPr>
    </w:lvl>
  </w:abstractNum>
  <w:abstractNum w:abstractNumId="23">
    <w:nsid w:val="41441F0A"/>
    <w:multiLevelType w:val="multilevel"/>
    <w:tmpl w:val="41441F0A"/>
    <w:lvl w:ilvl="0" w:tentative="0">
      <w:start w:val="1"/>
      <w:numFmt w:val="decimal"/>
      <w:lvlText w:val="%1)"/>
      <w:lvlJc w:val="left"/>
      <w:pPr>
        <w:ind w:left="840" w:hanging="420"/>
      </w:pPr>
    </w:lvl>
    <w:lvl w:ilvl="1" w:tentative="0">
      <w:start w:val="1"/>
      <w:numFmt w:val="decimal"/>
      <w:lvlText w:val="%2)"/>
      <w:lvlJc w:val="left"/>
      <w:pPr>
        <w:ind w:left="84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471D71F7"/>
    <w:multiLevelType w:val="multilevel"/>
    <w:tmpl w:val="471D71F7"/>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2.6"/>
      <w:lvlJc w:val="left"/>
      <w:pPr>
        <w:ind w:left="1271" w:hanging="42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5">
    <w:nsid w:val="4D074129"/>
    <w:multiLevelType w:val="multilevel"/>
    <w:tmpl w:val="4D07412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2.2"/>
      <w:lvlJc w:val="left"/>
      <w:pPr>
        <w:ind w:left="1271" w:hanging="42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6">
    <w:nsid w:val="51FA1A31"/>
    <w:multiLevelType w:val="multilevel"/>
    <w:tmpl w:val="51FA1A31"/>
    <w:lvl w:ilvl="0" w:tentative="0">
      <w:start w:val="1"/>
      <w:numFmt w:val="japaneseCounting"/>
      <w:pStyle w:val="16"/>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528201DB"/>
    <w:multiLevelType w:val="multilevel"/>
    <w:tmpl w:val="528201DB"/>
    <w:lvl w:ilvl="0" w:tentative="0">
      <w:start w:val="1"/>
      <w:numFmt w:val="chineseCountingThousand"/>
      <w:lvlText w:val="第%1章"/>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53C031F2"/>
    <w:multiLevelType w:val="multilevel"/>
    <w:tmpl w:val="53C031F2"/>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47C6552"/>
    <w:multiLevelType w:val="multilevel"/>
    <w:tmpl w:val="547C655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
    <w:nsid w:val="55DD48E8"/>
    <w:multiLevelType w:val="multilevel"/>
    <w:tmpl w:val="55DD48E8"/>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5BAE13E7"/>
    <w:multiLevelType w:val="singleLevel"/>
    <w:tmpl w:val="5BAE13E7"/>
    <w:lvl w:ilvl="0" w:tentative="0">
      <w:start w:val="1"/>
      <w:numFmt w:val="chineseCounting"/>
      <w:suff w:val="nothing"/>
      <w:lvlText w:val="（%1）"/>
      <w:lvlJc w:val="left"/>
      <w:pPr>
        <w:ind w:left="0" w:firstLine="420"/>
      </w:pPr>
      <w:rPr>
        <w:rFonts w:hint="eastAsia"/>
      </w:rPr>
    </w:lvl>
  </w:abstractNum>
  <w:abstractNum w:abstractNumId="32">
    <w:nsid w:val="5C532D95"/>
    <w:multiLevelType w:val="multilevel"/>
    <w:tmpl w:val="5C532D95"/>
    <w:lvl w:ilvl="0" w:tentative="0">
      <w:start w:val="1"/>
      <w:numFmt w:val="decimal"/>
      <w:lvlText w:val="%1."/>
      <w:lvlJc w:val="left"/>
      <w:pPr>
        <w:ind w:left="425" w:hanging="425"/>
      </w:pPr>
      <w:rPr>
        <w:rFonts w:hint="default"/>
      </w:rPr>
    </w:lvl>
    <w:lvl w:ilvl="1" w:tentative="0">
      <w:start w:val="1"/>
      <w:numFmt w:val="decimal"/>
      <w:lvlText w:val="%1.%2."/>
      <w:lvlJc w:val="left"/>
      <w:pPr>
        <w:ind w:left="1135" w:hanging="567"/>
      </w:pPr>
      <w:rPr>
        <w:rFonts w:hint="default"/>
      </w:rPr>
    </w:lvl>
    <w:lvl w:ilvl="2" w:tentative="0">
      <w:start w:val="1"/>
      <w:numFmt w:val="decimal"/>
      <w:lvlText w:val="%3.3.4"/>
      <w:lvlJc w:val="left"/>
      <w:pPr>
        <w:ind w:left="420" w:hanging="420"/>
      </w:pPr>
      <w:rPr>
        <w:rFonts w:hint="eastAsia"/>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3">
    <w:nsid w:val="5F7181FD"/>
    <w:multiLevelType w:val="singleLevel"/>
    <w:tmpl w:val="5F7181FD"/>
    <w:lvl w:ilvl="0" w:tentative="0">
      <w:start w:val="2"/>
      <w:numFmt w:val="chineseCounting"/>
      <w:suff w:val="nothing"/>
      <w:lvlText w:val="%1、"/>
      <w:lvlJc w:val="left"/>
      <w:rPr>
        <w:rFonts w:hint="eastAsia"/>
      </w:rPr>
    </w:lvl>
  </w:abstractNum>
  <w:abstractNum w:abstractNumId="34">
    <w:nsid w:val="60585E8D"/>
    <w:multiLevelType w:val="multilevel"/>
    <w:tmpl w:val="60585E8D"/>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2.5"/>
      <w:lvlJc w:val="left"/>
      <w:pPr>
        <w:ind w:left="1271" w:hanging="42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5">
    <w:nsid w:val="66255350"/>
    <w:multiLevelType w:val="multilevel"/>
    <w:tmpl w:val="66255350"/>
    <w:lvl w:ilvl="0" w:tentative="0">
      <w:start w:val="1"/>
      <w:numFmt w:val="none"/>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3.3"/>
      <w:lvlJc w:val="left"/>
      <w:pPr>
        <w:ind w:left="1271" w:hanging="42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6">
    <w:nsid w:val="66E76D1F"/>
    <w:multiLevelType w:val="multilevel"/>
    <w:tmpl w:val="66E76D1F"/>
    <w:lvl w:ilvl="0" w:tentative="0">
      <w:start w:val="1"/>
      <w:numFmt w:val="decimal"/>
      <w:lvlText w:val="（%1）"/>
      <w:lvlJc w:val="left"/>
      <w:pPr>
        <w:ind w:left="840" w:hanging="420"/>
      </w:pPr>
      <w:rPr>
        <w:rFonts w:hint="eastAsia"/>
      </w:rPr>
    </w:lvl>
    <w:lvl w:ilvl="1" w:tentative="0">
      <w:start w:val="1"/>
      <w:numFmt w:val="decimal"/>
      <w:lvlText w:val="%2、"/>
      <w:lvlJc w:val="left"/>
      <w:pPr>
        <w:ind w:left="1200" w:hanging="360"/>
      </w:pPr>
      <w:rPr>
        <w:rFonts w:hint="default" w:cstheme="minorBidi"/>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6AB019D5"/>
    <w:multiLevelType w:val="singleLevel"/>
    <w:tmpl w:val="6AB019D5"/>
    <w:lvl w:ilvl="0" w:tentative="0">
      <w:start w:val="4"/>
      <w:numFmt w:val="decimal"/>
      <w:lvlText w:val="%1."/>
      <w:lvlJc w:val="left"/>
      <w:pPr>
        <w:tabs>
          <w:tab w:val="left" w:pos="312"/>
        </w:tabs>
      </w:pPr>
    </w:lvl>
  </w:abstractNum>
  <w:abstractNum w:abstractNumId="38">
    <w:nsid w:val="6ABF5F45"/>
    <w:multiLevelType w:val="multilevel"/>
    <w:tmpl w:val="6ABF5F45"/>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2.3"/>
      <w:lvlJc w:val="left"/>
      <w:pPr>
        <w:ind w:left="1271" w:hanging="42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9">
    <w:nsid w:val="6D3B4931"/>
    <w:multiLevelType w:val="multilevel"/>
    <w:tmpl w:val="6D3B4931"/>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2.4"/>
      <w:lvlJc w:val="left"/>
      <w:pPr>
        <w:ind w:left="1271" w:hanging="42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0">
    <w:nsid w:val="75910E80"/>
    <w:multiLevelType w:val="multilevel"/>
    <w:tmpl w:val="75910E80"/>
    <w:lvl w:ilvl="0" w:tentative="0">
      <w:start w:val="1"/>
      <w:numFmt w:val="decimal"/>
      <w:lvlText w:val="%1."/>
      <w:lvlJc w:val="left"/>
      <w:pPr>
        <w:ind w:left="1264" w:hanging="420"/>
      </w:pPr>
    </w:lvl>
    <w:lvl w:ilvl="1" w:tentative="0">
      <w:start w:val="1"/>
      <w:numFmt w:val="decimal"/>
      <w:lvlText w:val="%2."/>
      <w:lvlJc w:val="left"/>
      <w:pPr>
        <w:ind w:left="844" w:hanging="420"/>
      </w:pPr>
    </w:lvl>
    <w:lvl w:ilvl="2" w:tentative="0">
      <w:start w:val="1"/>
      <w:numFmt w:val="lowerRoman"/>
      <w:lvlText w:val="%3."/>
      <w:lvlJc w:val="right"/>
      <w:pPr>
        <w:ind w:left="2104" w:hanging="420"/>
      </w:pPr>
    </w:lvl>
    <w:lvl w:ilvl="3" w:tentative="0">
      <w:start w:val="1"/>
      <w:numFmt w:val="decimal"/>
      <w:lvlText w:val="%4."/>
      <w:lvlJc w:val="left"/>
      <w:pPr>
        <w:ind w:left="2524" w:hanging="420"/>
      </w:pPr>
    </w:lvl>
    <w:lvl w:ilvl="4" w:tentative="0">
      <w:start w:val="1"/>
      <w:numFmt w:val="lowerLetter"/>
      <w:lvlText w:val="%5)"/>
      <w:lvlJc w:val="left"/>
      <w:pPr>
        <w:ind w:left="2944" w:hanging="420"/>
      </w:pPr>
    </w:lvl>
    <w:lvl w:ilvl="5" w:tentative="0">
      <w:start w:val="1"/>
      <w:numFmt w:val="lowerRoman"/>
      <w:lvlText w:val="%6."/>
      <w:lvlJc w:val="right"/>
      <w:pPr>
        <w:ind w:left="3364" w:hanging="420"/>
      </w:pPr>
    </w:lvl>
    <w:lvl w:ilvl="6" w:tentative="0">
      <w:start w:val="1"/>
      <w:numFmt w:val="decimal"/>
      <w:lvlText w:val="%7."/>
      <w:lvlJc w:val="left"/>
      <w:pPr>
        <w:ind w:left="3784" w:hanging="420"/>
      </w:pPr>
    </w:lvl>
    <w:lvl w:ilvl="7" w:tentative="0">
      <w:start w:val="1"/>
      <w:numFmt w:val="lowerLetter"/>
      <w:lvlText w:val="%8)"/>
      <w:lvlJc w:val="left"/>
      <w:pPr>
        <w:ind w:left="4204" w:hanging="420"/>
      </w:pPr>
    </w:lvl>
    <w:lvl w:ilvl="8" w:tentative="0">
      <w:start w:val="1"/>
      <w:numFmt w:val="lowerRoman"/>
      <w:lvlText w:val="%9."/>
      <w:lvlJc w:val="right"/>
      <w:pPr>
        <w:ind w:left="4624" w:hanging="420"/>
      </w:pPr>
    </w:lvl>
  </w:abstractNum>
  <w:abstractNum w:abstractNumId="41">
    <w:nsid w:val="78C333A7"/>
    <w:multiLevelType w:val="multilevel"/>
    <w:tmpl w:val="78C333A7"/>
    <w:lvl w:ilvl="0" w:tentative="0">
      <w:start w:val="1"/>
      <w:numFmt w:val="decimal"/>
      <w:lvlText w:val="%1)"/>
      <w:lvlJc w:val="left"/>
      <w:pPr>
        <w:ind w:left="840" w:hanging="420"/>
      </w:pPr>
    </w:lvl>
    <w:lvl w:ilvl="1" w:tentative="0">
      <w:start w:val="1"/>
      <w:numFmt w:val="decimal"/>
      <w:lvlText w:val="%2)"/>
      <w:lvlJc w:val="left"/>
      <w:pPr>
        <w:ind w:left="84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2">
    <w:nsid w:val="7CF62C84"/>
    <w:multiLevelType w:val="multilevel"/>
    <w:tmpl w:val="7CF62C84"/>
    <w:lvl w:ilvl="0" w:tentative="0">
      <w:start w:val="1"/>
      <w:numFmt w:val="none"/>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3.1"/>
      <w:lvlJc w:val="left"/>
      <w:pPr>
        <w:ind w:left="1271" w:hanging="42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3">
    <w:nsid w:val="7EEEC8A2"/>
    <w:multiLevelType w:val="singleLevel"/>
    <w:tmpl w:val="7EEEC8A2"/>
    <w:lvl w:ilvl="0" w:tentative="0">
      <w:start w:val="1"/>
      <w:numFmt w:val="decimal"/>
      <w:suff w:val="nothing"/>
      <w:lvlText w:val="（%1）"/>
      <w:lvlJc w:val="left"/>
    </w:lvl>
  </w:abstractNum>
  <w:num w:numId="1">
    <w:abstractNumId w:val="26"/>
  </w:num>
  <w:num w:numId="2">
    <w:abstractNumId w:val="2"/>
  </w:num>
  <w:num w:numId="3">
    <w:abstractNumId w:val="27"/>
  </w:num>
  <w:num w:numId="4">
    <w:abstractNumId w:val="11"/>
  </w:num>
  <w:num w:numId="5">
    <w:abstractNumId w:val="12"/>
  </w:num>
  <w:num w:numId="6">
    <w:abstractNumId w:val="30"/>
  </w:num>
  <w:num w:numId="7">
    <w:abstractNumId w:val="13"/>
  </w:num>
  <w:num w:numId="8">
    <w:abstractNumId w:val="19"/>
  </w:num>
  <w:num w:numId="9">
    <w:abstractNumId w:val="17"/>
  </w:num>
  <w:num w:numId="10">
    <w:abstractNumId w:val="25"/>
  </w:num>
  <w:num w:numId="11">
    <w:abstractNumId w:val="38"/>
  </w:num>
  <w:num w:numId="12">
    <w:abstractNumId w:val="39"/>
  </w:num>
  <w:num w:numId="13">
    <w:abstractNumId w:val="34"/>
  </w:num>
  <w:num w:numId="14">
    <w:abstractNumId w:val="24"/>
  </w:num>
  <w:num w:numId="15">
    <w:abstractNumId w:val="42"/>
  </w:num>
  <w:num w:numId="16">
    <w:abstractNumId w:val="6"/>
  </w:num>
  <w:num w:numId="17">
    <w:abstractNumId w:val="35"/>
  </w:num>
  <w:num w:numId="18">
    <w:abstractNumId w:val="21"/>
  </w:num>
  <w:num w:numId="19">
    <w:abstractNumId w:val="4"/>
  </w:num>
  <w:num w:numId="20">
    <w:abstractNumId w:val="32"/>
  </w:num>
  <w:num w:numId="21">
    <w:abstractNumId w:val="28"/>
  </w:num>
  <w:num w:numId="22">
    <w:abstractNumId w:val="23"/>
  </w:num>
  <w:num w:numId="23">
    <w:abstractNumId w:val="41"/>
  </w:num>
  <w:num w:numId="24">
    <w:abstractNumId w:val="15"/>
  </w:num>
  <w:num w:numId="25">
    <w:abstractNumId w:val="7"/>
  </w:num>
  <w:num w:numId="26">
    <w:abstractNumId w:val="1"/>
  </w:num>
  <w:num w:numId="27">
    <w:abstractNumId w:val="36"/>
  </w:num>
  <w:num w:numId="28">
    <w:abstractNumId w:val="40"/>
  </w:num>
  <w:num w:numId="29">
    <w:abstractNumId w:val="10"/>
  </w:num>
  <w:num w:numId="30">
    <w:abstractNumId w:val="5"/>
  </w:num>
  <w:num w:numId="31">
    <w:abstractNumId w:val="16"/>
  </w:num>
  <w:num w:numId="32">
    <w:abstractNumId w:val="14"/>
  </w:num>
  <w:num w:numId="33">
    <w:abstractNumId w:val="3"/>
  </w:num>
  <w:num w:numId="34">
    <w:abstractNumId w:val="31"/>
  </w:num>
  <w:num w:numId="35">
    <w:abstractNumId w:val="8"/>
  </w:num>
  <w:num w:numId="36">
    <w:abstractNumId w:val="22"/>
  </w:num>
  <w:num w:numId="37">
    <w:abstractNumId w:val="37"/>
  </w:num>
  <w:num w:numId="38">
    <w:abstractNumId w:val="18"/>
  </w:num>
  <w:num w:numId="39">
    <w:abstractNumId w:val="20"/>
  </w:num>
  <w:num w:numId="40">
    <w:abstractNumId w:val="9"/>
  </w:num>
  <w:num w:numId="41">
    <w:abstractNumId w:val="29"/>
  </w:num>
  <w:num w:numId="42">
    <w:abstractNumId w:val="33"/>
  </w:num>
  <w:num w:numId="43">
    <w:abstractNumId w:val="43"/>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NotTrackMoves/>
  <w:documentProtection w:enforcement="0"/>
  <w:defaultTabStop w:val="232"/>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lMTYyNTAxYWM3MWI0NzliODIyODNmMjdmN2NhNGEifQ=="/>
  </w:docVars>
  <w:rsids>
    <w:rsidRoot w:val="00172A27"/>
    <w:rsid w:val="00000868"/>
    <w:rsid w:val="0000271F"/>
    <w:rsid w:val="00002FF3"/>
    <w:rsid w:val="00003C3C"/>
    <w:rsid w:val="000044F4"/>
    <w:rsid w:val="00005826"/>
    <w:rsid w:val="000058A3"/>
    <w:rsid w:val="00005B6A"/>
    <w:rsid w:val="0000613F"/>
    <w:rsid w:val="00006676"/>
    <w:rsid w:val="00010B34"/>
    <w:rsid w:val="00010C33"/>
    <w:rsid w:val="00010C43"/>
    <w:rsid w:val="00011214"/>
    <w:rsid w:val="000112E4"/>
    <w:rsid w:val="00011499"/>
    <w:rsid w:val="000119C5"/>
    <w:rsid w:val="00011B6C"/>
    <w:rsid w:val="00011EDD"/>
    <w:rsid w:val="00012135"/>
    <w:rsid w:val="00012EA4"/>
    <w:rsid w:val="00014435"/>
    <w:rsid w:val="00015C8C"/>
    <w:rsid w:val="00016F84"/>
    <w:rsid w:val="000170F5"/>
    <w:rsid w:val="00017123"/>
    <w:rsid w:val="0001712E"/>
    <w:rsid w:val="0001791B"/>
    <w:rsid w:val="00020A3B"/>
    <w:rsid w:val="00023664"/>
    <w:rsid w:val="00023F05"/>
    <w:rsid w:val="0002437A"/>
    <w:rsid w:val="000248E6"/>
    <w:rsid w:val="00024B81"/>
    <w:rsid w:val="00025EE2"/>
    <w:rsid w:val="0003103E"/>
    <w:rsid w:val="00031953"/>
    <w:rsid w:val="00033451"/>
    <w:rsid w:val="00034D4D"/>
    <w:rsid w:val="00037CD8"/>
    <w:rsid w:val="0004008C"/>
    <w:rsid w:val="000401D5"/>
    <w:rsid w:val="000417EE"/>
    <w:rsid w:val="00042977"/>
    <w:rsid w:val="00042AFD"/>
    <w:rsid w:val="00042CE5"/>
    <w:rsid w:val="00043120"/>
    <w:rsid w:val="00043142"/>
    <w:rsid w:val="000445D4"/>
    <w:rsid w:val="00044AF0"/>
    <w:rsid w:val="000462B4"/>
    <w:rsid w:val="0004692F"/>
    <w:rsid w:val="0005070C"/>
    <w:rsid w:val="00050ADC"/>
    <w:rsid w:val="000518B8"/>
    <w:rsid w:val="00051FC1"/>
    <w:rsid w:val="00052F01"/>
    <w:rsid w:val="00054E1D"/>
    <w:rsid w:val="00055D20"/>
    <w:rsid w:val="0005643C"/>
    <w:rsid w:val="00060047"/>
    <w:rsid w:val="00061917"/>
    <w:rsid w:val="000623FD"/>
    <w:rsid w:val="00062852"/>
    <w:rsid w:val="0006298F"/>
    <w:rsid w:val="000631C3"/>
    <w:rsid w:val="00063364"/>
    <w:rsid w:val="000636F8"/>
    <w:rsid w:val="000637C7"/>
    <w:rsid w:val="00063F1A"/>
    <w:rsid w:val="00064222"/>
    <w:rsid w:val="00065016"/>
    <w:rsid w:val="0006534E"/>
    <w:rsid w:val="00065769"/>
    <w:rsid w:val="000658A9"/>
    <w:rsid w:val="00066093"/>
    <w:rsid w:val="000662AD"/>
    <w:rsid w:val="00066842"/>
    <w:rsid w:val="0007024A"/>
    <w:rsid w:val="00070975"/>
    <w:rsid w:val="000709B0"/>
    <w:rsid w:val="000718A7"/>
    <w:rsid w:val="00072638"/>
    <w:rsid w:val="0007340F"/>
    <w:rsid w:val="000736C9"/>
    <w:rsid w:val="00073C4C"/>
    <w:rsid w:val="00074B98"/>
    <w:rsid w:val="00074E55"/>
    <w:rsid w:val="00074FC4"/>
    <w:rsid w:val="00076500"/>
    <w:rsid w:val="00077100"/>
    <w:rsid w:val="0007718F"/>
    <w:rsid w:val="0007759B"/>
    <w:rsid w:val="0008057D"/>
    <w:rsid w:val="0008113B"/>
    <w:rsid w:val="00082488"/>
    <w:rsid w:val="000856F4"/>
    <w:rsid w:val="00085D08"/>
    <w:rsid w:val="0008643D"/>
    <w:rsid w:val="00086AAA"/>
    <w:rsid w:val="000871CB"/>
    <w:rsid w:val="00087869"/>
    <w:rsid w:val="00087F2C"/>
    <w:rsid w:val="00090411"/>
    <w:rsid w:val="00090857"/>
    <w:rsid w:val="000910FD"/>
    <w:rsid w:val="00091BB2"/>
    <w:rsid w:val="000928F0"/>
    <w:rsid w:val="00092DE6"/>
    <w:rsid w:val="00093731"/>
    <w:rsid w:val="00093B7D"/>
    <w:rsid w:val="00093EB5"/>
    <w:rsid w:val="000941A5"/>
    <w:rsid w:val="000943B9"/>
    <w:rsid w:val="000945E3"/>
    <w:rsid w:val="00097558"/>
    <w:rsid w:val="00097DEE"/>
    <w:rsid w:val="000A0027"/>
    <w:rsid w:val="000A00E3"/>
    <w:rsid w:val="000A137F"/>
    <w:rsid w:val="000A24D3"/>
    <w:rsid w:val="000A4B2A"/>
    <w:rsid w:val="000A4FF5"/>
    <w:rsid w:val="000A50C0"/>
    <w:rsid w:val="000A5FDE"/>
    <w:rsid w:val="000A6697"/>
    <w:rsid w:val="000A69C1"/>
    <w:rsid w:val="000A7F08"/>
    <w:rsid w:val="000B0797"/>
    <w:rsid w:val="000B0A2D"/>
    <w:rsid w:val="000B1E5C"/>
    <w:rsid w:val="000B26F5"/>
    <w:rsid w:val="000B2E80"/>
    <w:rsid w:val="000B3A48"/>
    <w:rsid w:val="000B4EDA"/>
    <w:rsid w:val="000B55B1"/>
    <w:rsid w:val="000B60F2"/>
    <w:rsid w:val="000C0619"/>
    <w:rsid w:val="000C1788"/>
    <w:rsid w:val="000C1952"/>
    <w:rsid w:val="000C2B7E"/>
    <w:rsid w:val="000C3154"/>
    <w:rsid w:val="000C3CB6"/>
    <w:rsid w:val="000C400E"/>
    <w:rsid w:val="000C4E12"/>
    <w:rsid w:val="000C4F94"/>
    <w:rsid w:val="000C519E"/>
    <w:rsid w:val="000C51E1"/>
    <w:rsid w:val="000C52F4"/>
    <w:rsid w:val="000C6A2F"/>
    <w:rsid w:val="000C6A53"/>
    <w:rsid w:val="000C743A"/>
    <w:rsid w:val="000D0A89"/>
    <w:rsid w:val="000D0CCE"/>
    <w:rsid w:val="000D1BEF"/>
    <w:rsid w:val="000D20F0"/>
    <w:rsid w:val="000D270C"/>
    <w:rsid w:val="000D27DF"/>
    <w:rsid w:val="000D3375"/>
    <w:rsid w:val="000D3BD8"/>
    <w:rsid w:val="000D3DBC"/>
    <w:rsid w:val="000D3E83"/>
    <w:rsid w:val="000D4E06"/>
    <w:rsid w:val="000D5879"/>
    <w:rsid w:val="000D5BF2"/>
    <w:rsid w:val="000E0758"/>
    <w:rsid w:val="000E1631"/>
    <w:rsid w:val="000E1EB6"/>
    <w:rsid w:val="000E2A99"/>
    <w:rsid w:val="000E43D9"/>
    <w:rsid w:val="000E4833"/>
    <w:rsid w:val="000E5BED"/>
    <w:rsid w:val="000E66F1"/>
    <w:rsid w:val="000E6EF0"/>
    <w:rsid w:val="000E7F54"/>
    <w:rsid w:val="000F00C6"/>
    <w:rsid w:val="000F200A"/>
    <w:rsid w:val="000F2A44"/>
    <w:rsid w:val="000F2E02"/>
    <w:rsid w:val="000F41DC"/>
    <w:rsid w:val="000F6D7F"/>
    <w:rsid w:val="000F79F2"/>
    <w:rsid w:val="000F7AE1"/>
    <w:rsid w:val="000F7E5B"/>
    <w:rsid w:val="001013E6"/>
    <w:rsid w:val="00101540"/>
    <w:rsid w:val="001029B5"/>
    <w:rsid w:val="00102E4D"/>
    <w:rsid w:val="001033A9"/>
    <w:rsid w:val="00103BD1"/>
    <w:rsid w:val="00103E11"/>
    <w:rsid w:val="00104A23"/>
    <w:rsid w:val="00104CF2"/>
    <w:rsid w:val="00104E7B"/>
    <w:rsid w:val="0010514D"/>
    <w:rsid w:val="001056B0"/>
    <w:rsid w:val="00106C43"/>
    <w:rsid w:val="00106CA0"/>
    <w:rsid w:val="00110D71"/>
    <w:rsid w:val="00111AC6"/>
    <w:rsid w:val="00111C03"/>
    <w:rsid w:val="00111E50"/>
    <w:rsid w:val="00112556"/>
    <w:rsid w:val="00112C9C"/>
    <w:rsid w:val="001132F9"/>
    <w:rsid w:val="001136F2"/>
    <w:rsid w:val="0011455A"/>
    <w:rsid w:val="00114F25"/>
    <w:rsid w:val="001156CC"/>
    <w:rsid w:val="00116E66"/>
    <w:rsid w:val="00117042"/>
    <w:rsid w:val="00124174"/>
    <w:rsid w:val="00124E28"/>
    <w:rsid w:val="00124F3C"/>
    <w:rsid w:val="0012571C"/>
    <w:rsid w:val="00130A08"/>
    <w:rsid w:val="00131164"/>
    <w:rsid w:val="0013190C"/>
    <w:rsid w:val="00131EB3"/>
    <w:rsid w:val="0013283F"/>
    <w:rsid w:val="00132F13"/>
    <w:rsid w:val="0013300D"/>
    <w:rsid w:val="001346DB"/>
    <w:rsid w:val="00134816"/>
    <w:rsid w:val="001351F1"/>
    <w:rsid w:val="0013572E"/>
    <w:rsid w:val="00136E52"/>
    <w:rsid w:val="0014019B"/>
    <w:rsid w:val="001411A8"/>
    <w:rsid w:val="001450B3"/>
    <w:rsid w:val="00145999"/>
    <w:rsid w:val="00146142"/>
    <w:rsid w:val="00146849"/>
    <w:rsid w:val="001476FF"/>
    <w:rsid w:val="00147E8D"/>
    <w:rsid w:val="00150C59"/>
    <w:rsid w:val="001512EB"/>
    <w:rsid w:val="00152CF7"/>
    <w:rsid w:val="00153259"/>
    <w:rsid w:val="00155885"/>
    <w:rsid w:val="00155A67"/>
    <w:rsid w:val="0015610D"/>
    <w:rsid w:val="0015639E"/>
    <w:rsid w:val="00156BB0"/>
    <w:rsid w:val="00157136"/>
    <w:rsid w:val="00160124"/>
    <w:rsid w:val="001608DD"/>
    <w:rsid w:val="00160CB6"/>
    <w:rsid w:val="001632A7"/>
    <w:rsid w:val="0016384D"/>
    <w:rsid w:val="00165C8C"/>
    <w:rsid w:val="001663C1"/>
    <w:rsid w:val="00167884"/>
    <w:rsid w:val="00171130"/>
    <w:rsid w:val="001714F0"/>
    <w:rsid w:val="00171705"/>
    <w:rsid w:val="00171B2C"/>
    <w:rsid w:val="00172A27"/>
    <w:rsid w:val="001733E6"/>
    <w:rsid w:val="0017424B"/>
    <w:rsid w:val="001749EA"/>
    <w:rsid w:val="00174FD2"/>
    <w:rsid w:val="00175441"/>
    <w:rsid w:val="00175B12"/>
    <w:rsid w:val="00175FF0"/>
    <w:rsid w:val="00176AF1"/>
    <w:rsid w:val="001773D9"/>
    <w:rsid w:val="00177BA4"/>
    <w:rsid w:val="00180135"/>
    <w:rsid w:val="001807AC"/>
    <w:rsid w:val="00180849"/>
    <w:rsid w:val="00180943"/>
    <w:rsid w:val="001818D8"/>
    <w:rsid w:val="0018285A"/>
    <w:rsid w:val="00183E56"/>
    <w:rsid w:val="00184955"/>
    <w:rsid w:val="00185BE6"/>
    <w:rsid w:val="00185E3C"/>
    <w:rsid w:val="001862F8"/>
    <w:rsid w:val="00186C73"/>
    <w:rsid w:val="00187CA1"/>
    <w:rsid w:val="001902C8"/>
    <w:rsid w:val="00190A51"/>
    <w:rsid w:val="00191BFD"/>
    <w:rsid w:val="00191C4B"/>
    <w:rsid w:val="001931D5"/>
    <w:rsid w:val="001942A1"/>
    <w:rsid w:val="00194E79"/>
    <w:rsid w:val="00195029"/>
    <w:rsid w:val="00195EE5"/>
    <w:rsid w:val="001961BA"/>
    <w:rsid w:val="001963C7"/>
    <w:rsid w:val="00196E8A"/>
    <w:rsid w:val="001A3799"/>
    <w:rsid w:val="001A385B"/>
    <w:rsid w:val="001A45C5"/>
    <w:rsid w:val="001A5907"/>
    <w:rsid w:val="001A78E7"/>
    <w:rsid w:val="001B024B"/>
    <w:rsid w:val="001B1462"/>
    <w:rsid w:val="001B1FFE"/>
    <w:rsid w:val="001B31E0"/>
    <w:rsid w:val="001B333B"/>
    <w:rsid w:val="001B3FD9"/>
    <w:rsid w:val="001B4755"/>
    <w:rsid w:val="001B4756"/>
    <w:rsid w:val="001B598A"/>
    <w:rsid w:val="001B6161"/>
    <w:rsid w:val="001C01C4"/>
    <w:rsid w:val="001C084B"/>
    <w:rsid w:val="001C1EF5"/>
    <w:rsid w:val="001C25E7"/>
    <w:rsid w:val="001C2AE0"/>
    <w:rsid w:val="001C2C06"/>
    <w:rsid w:val="001C2E1A"/>
    <w:rsid w:val="001C2F33"/>
    <w:rsid w:val="001C3D07"/>
    <w:rsid w:val="001C585A"/>
    <w:rsid w:val="001C5F4C"/>
    <w:rsid w:val="001C6AA7"/>
    <w:rsid w:val="001C73FE"/>
    <w:rsid w:val="001C7CEB"/>
    <w:rsid w:val="001D15FA"/>
    <w:rsid w:val="001D3D2D"/>
    <w:rsid w:val="001D544B"/>
    <w:rsid w:val="001D60F8"/>
    <w:rsid w:val="001D6432"/>
    <w:rsid w:val="001D6C3A"/>
    <w:rsid w:val="001D7E86"/>
    <w:rsid w:val="001E0DAD"/>
    <w:rsid w:val="001E0EB3"/>
    <w:rsid w:val="001E14EA"/>
    <w:rsid w:val="001E1800"/>
    <w:rsid w:val="001E2F45"/>
    <w:rsid w:val="001E31F8"/>
    <w:rsid w:val="001E3F99"/>
    <w:rsid w:val="001E3FCE"/>
    <w:rsid w:val="001E69F0"/>
    <w:rsid w:val="001E7E5E"/>
    <w:rsid w:val="001F02A5"/>
    <w:rsid w:val="001F2692"/>
    <w:rsid w:val="001F32E4"/>
    <w:rsid w:val="001F5A4E"/>
    <w:rsid w:val="001F6A15"/>
    <w:rsid w:val="001F6F1B"/>
    <w:rsid w:val="001F7336"/>
    <w:rsid w:val="001F7997"/>
    <w:rsid w:val="002001BC"/>
    <w:rsid w:val="002004C0"/>
    <w:rsid w:val="00200E8E"/>
    <w:rsid w:val="002012BC"/>
    <w:rsid w:val="002033CF"/>
    <w:rsid w:val="00203AEA"/>
    <w:rsid w:val="00203D55"/>
    <w:rsid w:val="00204712"/>
    <w:rsid w:val="00205048"/>
    <w:rsid w:val="00205E7B"/>
    <w:rsid w:val="00206B06"/>
    <w:rsid w:val="00210F56"/>
    <w:rsid w:val="00211484"/>
    <w:rsid w:val="002116AA"/>
    <w:rsid w:val="00211B35"/>
    <w:rsid w:val="00211F5E"/>
    <w:rsid w:val="00212194"/>
    <w:rsid w:val="002124CB"/>
    <w:rsid w:val="00214014"/>
    <w:rsid w:val="0021426B"/>
    <w:rsid w:val="00214F3B"/>
    <w:rsid w:val="00215023"/>
    <w:rsid w:val="00215167"/>
    <w:rsid w:val="00215261"/>
    <w:rsid w:val="0021582A"/>
    <w:rsid w:val="00216784"/>
    <w:rsid w:val="00216A4B"/>
    <w:rsid w:val="00216AF8"/>
    <w:rsid w:val="002172A3"/>
    <w:rsid w:val="00220675"/>
    <w:rsid w:val="00221007"/>
    <w:rsid w:val="002214C3"/>
    <w:rsid w:val="00221609"/>
    <w:rsid w:val="00221DE0"/>
    <w:rsid w:val="002224BD"/>
    <w:rsid w:val="002237F5"/>
    <w:rsid w:val="00225B70"/>
    <w:rsid w:val="0022638E"/>
    <w:rsid w:val="002266AF"/>
    <w:rsid w:val="0022764B"/>
    <w:rsid w:val="002310E4"/>
    <w:rsid w:val="00231165"/>
    <w:rsid w:val="002321B2"/>
    <w:rsid w:val="00232EC1"/>
    <w:rsid w:val="002331D8"/>
    <w:rsid w:val="0023367C"/>
    <w:rsid w:val="0023556C"/>
    <w:rsid w:val="0023594C"/>
    <w:rsid w:val="00235E52"/>
    <w:rsid w:val="0023705C"/>
    <w:rsid w:val="0023766E"/>
    <w:rsid w:val="002376CA"/>
    <w:rsid w:val="002402E9"/>
    <w:rsid w:val="00240907"/>
    <w:rsid w:val="002437FB"/>
    <w:rsid w:val="00245739"/>
    <w:rsid w:val="002460E2"/>
    <w:rsid w:val="0024712C"/>
    <w:rsid w:val="00250561"/>
    <w:rsid w:val="00251501"/>
    <w:rsid w:val="00251DDD"/>
    <w:rsid w:val="00254D47"/>
    <w:rsid w:val="00255D0F"/>
    <w:rsid w:val="00257251"/>
    <w:rsid w:val="00260DF2"/>
    <w:rsid w:val="00261255"/>
    <w:rsid w:val="00261E62"/>
    <w:rsid w:val="0026292E"/>
    <w:rsid w:val="00263176"/>
    <w:rsid w:val="0026386E"/>
    <w:rsid w:val="00265959"/>
    <w:rsid w:val="00266055"/>
    <w:rsid w:val="00266D9C"/>
    <w:rsid w:val="0026746C"/>
    <w:rsid w:val="002705BE"/>
    <w:rsid w:val="00270CF7"/>
    <w:rsid w:val="00270F20"/>
    <w:rsid w:val="00271A16"/>
    <w:rsid w:val="00272EC3"/>
    <w:rsid w:val="00273015"/>
    <w:rsid w:val="0027337F"/>
    <w:rsid w:val="00274258"/>
    <w:rsid w:val="00274F22"/>
    <w:rsid w:val="002752CD"/>
    <w:rsid w:val="002754FB"/>
    <w:rsid w:val="00276170"/>
    <w:rsid w:val="00276513"/>
    <w:rsid w:val="00277087"/>
    <w:rsid w:val="002800F9"/>
    <w:rsid w:val="00281184"/>
    <w:rsid w:val="00281E16"/>
    <w:rsid w:val="0028553D"/>
    <w:rsid w:val="0028590F"/>
    <w:rsid w:val="00285C6B"/>
    <w:rsid w:val="0028632D"/>
    <w:rsid w:val="002864B8"/>
    <w:rsid w:val="0029034A"/>
    <w:rsid w:val="00290975"/>
    <w:rsid w:val="00291CAD"/>
    <w:rsid w:val="00292D2B"/>
    <w:rsid w:val="00292EB5"/>
    <w:rsid w:val="00293A0B"/>
    <w:rsid w:val="0029485F"/>
    <w:rsid w:val="00294B73"/>
    <w:rsid w:val="002969BB"/>
    <w:rsid w:val="002975DF"/>
    <w:rsid w:val="002A071D"/>
    <w:rsid w:val="002A0BA9"/>
    <w:rsid w:val="002A0E86"/>
    <w:rsid w:val="002A43F8"/>
    <w:rsid w:val="002A49EB"/>
    <w:rsid w:val="002A50EB"/>
    <w:rsid w:val="002A521B"/>
    <w:rsid w:val="002A5FDC"/>
    <w:rsid w:val="002A607A"/>
    <w:rsid w:val="002A62CD"/>
    <w:rsid w:val="002A6348"/>
    <w:rsid w:val="002A673A"/>
    <w:rsid w:val="002B0D8A"/>
    <w:rsid w:val="002B1FD9"/>
    <w:rsid w:val="002B42DB"/>
    <w:rsid w:val="002B463C"/>
    <w:rsid w:val="002B5094"/>
    <w:rsid w:val="002B5C0A"/>
    <w:rsid w:val="002B7121"/>
    <w:rsid w:val="002B73C5"/>
    <w:rsid w:val="002B7CC9"/>
    <w:rsid w:val="002C1C27"/>
    <w:rsid w:val="002C201B"/>
    <w:rsid w:val="002C2BFF"/>
    <w:rsid w:val="002C2C79"/>
    <w:rsid w:val="002C2D68"/>
    <w:rsid w:val="002C3195"/>
    <w:rsid w:val="002C3490"/>
    <w:rsid w:val="002C4048"/>
    <w:rsid w:val="002C4195"/>
    <w:rsid w:val="002C4CA1"/>
    <w:rsid w:val="002C5362"/>
    <w:rsid w:val="002C5920"/>
    <w:rsid w:val="002C6433"/>
    <w:rsid w:val="002C7739"/>
    <w:rsid w:val="002D0334"/>
    <w:rsid w:val="002D1096"/>
    <w:rsid w:val="002D30D0"/>
    <w:rsid w:val="002D3A29"/>
    <w:rsid w:val="002D3DE7"/>
    <w:rsid w:val="002D3F86"/>
    <w:rsid w:val="002D40B4"/>
    <w:rsid w:val="002D4599"/>
    <w:rsid w:val="002D4C6E"/>
    <w:rsid w:val="002D62B8"/>
    <w:rsid w:val="002D6913"/>
    <w:rsid w:val="002D6ED5"/>
    <w:rsid w:val="002D7E08"/>
    <w:rsid w:val="002E3DB0"/>
    <w:rsid w:val="002E4582"/>
    <w:rsid w:val="002E49D7"/>
    <w:rsid w:val="002E608E"/>
    <w:rsid w:val="002E6D2B"/>
    <w:rsid w:val="002E77A8"/>
    <w:rsid w:val="002E7AFC"/>
    <w:rsid w:val="002E7E1D"/>
    <w:rsid w:val="002F0A31"/>
    <w:rsid w:val="002F0B10"/>
    <w:rsid w:val="002F0B85"/>
    <w:rsid w:val="002F0E92"/>
    <w:rsid w:val="002F1E35"/>
    <w:rsid w:val="002F22D6"/>
    <w:rsid w:val="002F46AD"/>
    <w:rsid w:val="002F6D21"/>
    <w:rsid w:val="003023D9"/>
    <w:rsid w:val="00302A82"/>
    <w:rsid w:val="003034C4"/>
    <w:rsid w:val="00303B30"/>
    <w:rsid w:val="00306065"/>
    <w:rsid w:val="003070E6"/>
    <w:rsid w:val="00307F23"/>
    <w:rsid w:val="00310E42"/>
    <w:rsid w:val="00311907"/>
    <w:rsid w:val="00311A5D"/>
    <w:rsid w:val="00312FB3"/>
    <w:rsid w:val="003146C2"/>
    <w:rsid w:val="00314A13"/>
    <w:rsid w:val="00314F8A"/>
    <w:rsid w:val="003158C1"/>
    <w:rsid w:val="00315A4D"/>
    <w:rsid w:val="003163D4"/>
    <w:rsid w:val="00316CBA"/>
    <w:rsid w:val="00320024"/>
    <w:rsid w:val="0032517A"/>
    <w:rsid w:val="00326214"/>
    <w:rsid w:val="0032659B"/>
    <w:rsid w:val="00326C39"/>
    <w:rsid w:val="00326F34"/>
    <w:rsid w:val="00327B44"/>
    <w:rsid w:val="00330637"/>
    <w:rsid w:val="00331439"/>
    <w:rsid w:val="00331A53"/>
    <w:rsid w:val="0033382F"/>
    <w:rsid w:val="003344FD"/>
    <w:rsid w:val="0033557B"/>
    <w:rsid w:val="00335C7B"/>
    <w:rsid w:val="00336995"/>
    <w:rsid w:val="0033750D"/>
    <w:rsid w:val="003375B0"/>
    <w:rsid w:val="00340753"/>
    <w:rsid w:val="00340EF0"/>
    <w:rsid w:val="00341BA6"/>
    <w:rsid w:val="00341BAB"/>
    <w:rsid w:val="0034299D"/>
    <w:rsid w:val="003446A7"/>
    <w:rsid w:val="00344D19"/>
    <w:rsid w:val="0034565D"/>
    <w:rsid w:val="003462B2"/>
    <w:rsid w:val="003471ED"/>
    <w:rsid w:val="003476F2"/>
    <w:rsid w:val="003506C4"/>
    <w:rsid w:val="00350FAA"/>
    <w:rsid w:val="00351FA7"/>
    <w:rsid w:val="0035270E"/>
    <w:rsid w:val="00353D48"/>
    <w:rsid w:val="00353D4B"/>
    <w:rsid w:val="003540DF"/>
    <w:rsid w:val="00354333"/>
    <w:rsid w:val="00357213"/>
    <w:rsid w:val="00360259"/>
    <w:rsid w:val="00360275"/>
    <w:rsid w:val="00361B16"/>
    <w:rsid w:val="00361F22"/>
    <w:rsid w:val="00362B9B"/>
    <w:rsid w:val="00364868"/>
    <w:rsid w:val="00364900"/>
    <w:rsid w:val="00365F18"/>
    <w:rsid w:val="00367043"/>
    <w:rsid w:val="00367145"/>
    <w:rsid w:val="00367868"/>
    <w:rsid w:val="00367B84"/>
    <w:rsid w:val="003705EE"/>
    <w:rsid w:val="003726C9"/>
    <w:rsid w:val="00374661"/>
    <w:rsid w:val="00374AFA"/>
    <w:rsid w:val="0037688E"/>
    <w:rsid w:val="00376CC4"/>
    <w:rsid w:val="00377F2B"/>
    <w:rsid w:val="003809B7"/>
    <w:rsid w:val="00381803"/>
    <w:rsid w:val="00381AD9"/>
    <w:rsid w:val="00382685"/>
    <w:rsid w:val="00382D2E"/>
    <w:rsid w:val="003831B5"/>
    <w:rsid w:val="003833E2"/>
    <w:rsid w:val="00383CBF"/>
    <w:rsid w:val="00384211"/>
    <w:rsid w:val="003857B1"/>
    <w:rsid w:val="003859CB"/>
    <w:rsid w:val="0038631D"/>
    <w:rsid w:val="00387CD9"/>
    <w:rsid w:val="00387D98"/>
    <w:rsid w:val="00391146"/>
    <w:rsid w:val="0039180D"/>
    <w:rsid w:val="00391E5A"/>
    <w:rsid w:val="00393A7B"/>
    <w:rsid w:val="00393B51"/>
    <w:rsid w:val="003940A9"/>
    <w:rsid w:val="003945FE"/>
    <w:rsid w:val="00394AE3"/>
    <w:rsid w:val="00394C27"/>
    <w:rsid w:val="00395629"/>
    <w:rsid w:val="00397632"/>
    <w:rsid w:val="00397A22"/>
    <w:rsid w:val="003A057F"/>
    <w:rsid w:val="003A35DE"/>
    <w:rsid w:val="003A368B"/>
    <w:rsid w:val="003A3D0C"/>
    <w:rsid w:val="003A55E2"/>
    <w:rsid w:val="003A65FE"/>
    <w:rsid w:val="003A7D8E"/>
    <w:rsid w:val="003B0C2A"/>
    <w:rsid w:val="003B130E"/>
    <w:rsid w:val="003B1D8D"/>
    <w:rsid w:val="003B296C"/>
    <w:rsid w:val="003B679F"/>
    <w:rsid w:val="003C2E82"/>
    <w:rsid w:val="003C38D2"/>
    <w:rsid w:val="003C3D88"/>
    <w:rsid w:val="003C4C6A"/>
    <w:rsid w:val="003C542B"/>
    <w:rsid w:val="003C6088"/>
    <w:rsid w:val="003C6925"/>
    <w:rsid w:val="003C6F5B"/>
    <w:rsid w:val="003C704B"/>
    <w:rsid w:val="003C7C88"/>
    <w:rsid w:val="003C7DC6"/>
    <w:rsid w:val="003D093B"/>
    <w:rsid w:val="003D1D29"/>
    <w:rsid w:val="003D1E74"/>
    <w:rsid w:val="003D28FF"/>
    <w:rsid w:val="003D38BD"/>
    <w:rsid w:val="003D3F8F"/>
    <w:rsid w:val="003D44ED"/>
    <w:rsid w:val="003D45D9"/>
    <w:rsid w:val="003D4CBC"/>
    <w:rsid w:val="003D5D5C"/>
    <w:rsid w:val="003D7B96"/>
    <w:rsid w:val="003E25C9"/>
    <w:rsid w:val="003E3291"/>
    <w:rsid w:val="003E4A05"/>
    <w:rsid w:val="003E5218"/>
    <w:rsid w:val="003E62A6"/>
    <w:rsid w:val="003E6B63"/>
    <w:rsid w:val="003E6BD1"/>
    <w:rsid w:val="003F00F1"/>
    <w:rsid w:val="003F0752"/>
    <w:rsid w:val="003F08DD"/>
    <w:rsid w:val="003F095C"/>
    <w:rsid w:val="003F32EA"/>
    <w:rsid w:val="003F3578"/>
    <w:rsid w:val="003F361B"/>
    <w:rsid w:val="003F47CC"/>
    <w:rsid w:val="003F4E9D"/>
    <w:rsid w:val="003F6C99"/>
    <w:rsid w:val="003F7B60"/>
    <w:rsid w:val="00401095"/>
    <w:rsid w:val="00401627"/>
    <w:rsid w:val="00401A1A"/>
    <w:rsid w:val="00403750"/>
    <w:rsid w:val="00404445"/>
    <w:rsid w:val="00404C20"/>
    <w:rsid w:val="00405C98"/>
    <w:rsid w:val="004072B7"/>
    <w:rsid w:val="004101FC"/>
    <w:rsid w:val="0041060C"/>
    <w:rsid w:val="00410F2A"/>
    <w:rsid w:val="00410FAF"/>
    <w:rsid w:val="004114AA"/>
    <w:rsid w:val="00412095"/>
    <w:rsid w:val="0041237D"/>
    <w:rsid w:val="00412CD1"/>
    <w:rsid w:val="00412DD5"/>
    <w:rsid w:val="004132A9"/>
    <w:rsid w:val="00413F4C"/>
    <w:rsid w:val="00414BA7"/>
    <w:rsid w:val="00415698"/>
    <w:rsid w:val="004156B5"/>
    <w:rsid w:val="00417BE9"/>
    <w:rsid w:val="00420F8D"/>
    <w:rsid w:val="004214B5"/>
    <w:rsid w:val="004222FB"/>
    <w:rsid w:val="004225B5"/>
    <w:rsid w:val="00423ECD"/>
    <w:rsid w:val="004250BA"/>
    <w:rsid w:val="00425389"/>
    <w:rsid w:val="004256E8"/>
    <w:rsid w:val="004267A0"/>
    <w:rsid w:val="00430674"/>
    <w:rsid w:val="00430924"/>
    <w:rsid w:val="004313B2"/>
    <w:rsid w:val="004317DD"/>
    <w:rsid w:val="00431CF0"/>
    <w:rsid w:val="0043214E"/>
    <w:rsid w:val="00437762"/>
    <w:rsid w:val="00437DEC"/>
    <w:rsid w:val="004400E1"/>
    <w:rsid w:val="00440709"/>
    <w:rsid w:val="004409B0"/>
    <w:rsid w:val="004410F2"/>
    <w:rsid w:val="0044176C"/>
    <w:rsid w:val="004426D3"/>
    <w:rsid w:val="004432C4"/>
    <w:rsid w:val="00443E49"/>
    <w:rsid w:val="00444E81"/>
    <w:rsid w:val="004453B9"/>
    <w:rsid w:val="004461E1"/>
    <w:rsid w:val="0044646A"/>
    <w:rsid w:val="004466ED"/>
    <w:rsid w:val="00446898"/>
    <w:rsid w:val="00451372"/>
    <w:rsid w:val="004513E9"/>
    <w:rsid w:val="00451D14"/>
    <w:rsid w:val="00451DDB"/>
    <w:rsid w:val="004527FC"/>
    <w:rsid w:val="00453177"/>
    <w:rsid w:val="0045398A"/>
    <w:rsid w:val="00454225"/>
    <w:rsid w:val="004548E3"/>
    <w:rsid w:val="00455FB6"/>
    <w:rsid w:val="00456855"/>
    <w:rsid w:val="00456AB9"/>
    <w:rsid w:val="00456ABD"/>
    <w:rsid w:val="00457046"/>
    <w:rsid w:val="00457252"/>
    <w:rsid w:val="00457A35"/>
    <w:rsid w:val="004600A5"/>
    <w:rsid w:val="00461435"/>
    <w:rsid w:val="0046481C"/>
    <w:rsid w:val="004658A1"/>
    <w:rsid w:val="00465943"/>
    <w:rsid w:val="0046601C"/>
    <w:rsid w:val="0047000B"/>
    <w:rsid w:val="00470411"/>
    <w:rsid w:val="00470989"/>
    <w:rsid w:val="00472A6B"/>
    <w:rsid w:val="004730CD"/>
    <w:rsid w:val="00474734"/>
    <w:rsid w:val="00474BD6"/>
    <w:rsid w:val="004753EA"/>
    <w:rsid w:val="00477067"/>
    <w:rsid w:val="0047764D"/>
    <w:rsid w:val="00477B0A"/>
    <w:rsid w:val="00482362"/>
    <w:rsid w:val="00483AF6"/>
    <w:rsid w:val="004845BA"/>
    <w:rsid w:val="004851B1"/>
    <w:rsid w:val="00487C38"/>
    <w:rsid w:val="00487EA8"/>
    <w:rsid w:val="00491467"/>
    <w:rsid w:val="00491686"/>
    <w:rsid w:val="00492C3D"/>
    <w:rsid w:val="004935F5"/>
    <w:rsid w:val="00493D52"/>
    <w:rsid w:val="004945C0"/>
    <w:rsid w:val="00495508"/>
    <w:rsid w:val="00496347"/>
    <w:rsid w:val="00497042"/>
    <w:rsid w:val="0049757D"/>
    <w:rsid w:val="004A193D"/>
    <w:rsid w:val="004A25C7"/>
    <w:rsid w:val="004A29C6"/>
    <w:rsid w:val="004A2E72"/>
    <w:rsid w:val="004A339A"/>
    <w:rsid w:val="004A33C5"/>
    <w:rsid w:val="004A3408"/>
    <w:rsid w:val="004A3427"/>
    <w:rsid w:val="004A35EC"/>
    <w:rsid w:val="004A55CE"/>
    <w:rsid w:val="004A63AD"/>
    <w:rsid w:val="004A6CD4"/>
    <w:rsid w:val="004A763F"/>
    <w:rsid w:val="004B0C17"/>
    <w:rsid w:val="004B1146"/>
    <w:rsid w:val="004B5BDD"/>
    <w:rsid w:val="004B5C56"/>
    <w:rsid w:val="004B662A"/>
    <w:rsid w:val="004B79C2"/>
    <w:rsid w:val="004C024F"/>
    <w:rsid w:val="004C19B1"/>
    <w:rsid w:val="004C1A50"/>
    <w:rsid w:val="004C1B3D"/>
    <w:rsid w:val="004C3C1F"/>
    <w:rsid w:val="004C4220"/>
    <w:rsid w:val="004C423E"/>
    <w:rsid w:val="004C69DC"/>
    <w:rsid w:val="004D07AC"/>
    <w:rsid w:val="004D3047"/>
    <w:rsid w:val="004D3105"/>
    <w:rsid w:val="004D35D7"/>
    <w:rsid w:val="004D44E6"/>
    <w:rsid w:val="004D468C"/>
    <w:rsid w:val="004D4F09"/>
    <w:rsid w:val="004D5556"/>
    <w:rsid w:val="004D688A"/>
    <w:rsid w:val="004D7812"/>
    <w:rsid w:val="004D7DBC"/>
    <w:rsid w:val="004D7E27"/>
    <w:rsid w:val="004E15CA"/>
    <w:rsid w:val="004E180E"/>
    <w:rsid w:val="004E35EC"/>
    <w:rsid w:val="004E3AAC"/>
    <w:rsid w:val="004E3F53"/>
    <w:rsid w:val="004E443A"/>
    <w:rsid w:val="004E44BE"/>
    <w:rsid w:val="004E49CF"/>
    <w:rsid w:val="004E7026"/>
    <w:rsid w:val="004E7946"/>
    <w:rsid w:val="004F054E"/>
    <w:rsid w:val="004F16A1"/>
    <w:rsid w:val="004F4D33"/>
    <w:rsid w:val="004F5EEB"/>
    <w:rsid w:val="004F666F"/>
    <w:rsid w:val="004F69A4"/>
    <w:rsid w:val="004F6AAA"/>
    <w:rsid w:val="004F75A8"/>
    <w:rsid w:val="004F77AC"/>
    <w:rsid w:val="004F7EA8"/>
    <w:rsid w:val="0050140C"/>
    <w:rsid w:val="00501FF8"/>
    <w:rsid w:val="00502215"/>
    <w:rsid w:val="00502E02"/>
    <w:rsid w:val="00503002"/>
    <w:rsid w:val="00504332"/>
    <w:rsid w:val="00504E3A"/>
    <w:rsid w:val="00505328"/>
    <w:rsid w:val="005067D2"/>
    <w:rsid w:val="00507566"/>
    <w:rsid w:val="005101D0"/>
    <w:rsid w:val="005101F0"/>
    <w:rsid w:val="0051205B"/>
    <w:rsid w:val="00512076"/>
    <w:rsid w:val="00512C76"/>
    <w:rsid w:val="00512DE6"/>
    <w:rsid w:val="005135C9"/>
    <w:rsid w:val="00513791"/>
    <w:rsid w:val="00513EE1"/>
    <w:rsid w:val="00514286"/>
    <w:rsid w:val="0051455D"/>
    <w:rsid w:val="005145C1"/>
    <w:rsid w:val="005167B7"/>
    <w:rsid w:val="00520BD0"/>
    <w:rsid w:val="00520C44"/>
    <w:rsid w:val="00521558"/>
    <w:rsid w:val="00521C1B"/>
    <w:rsid w:val="00521FA8"/>
    <w:rsid w:val="00521FF6"/>
    <w:rsid w:val="00523056"/>
    <w:rsid w:val="005232C5"/>
    <w:rsid w:val="0052346E"/>
    <w:rsid w:val="005235A4"/>
    <w:rsid w:val="0052607A"/>
    <w:rsid w:val="0052684A"/>
    <w:rsid w:val="00526FB9"/>
    <w:rsid w:val="005277AA"/>
    <w:rsid w:val="005309B4"/>
    <w:rsid w:val="005312BB"/>
    <w:rsid w:val="00531DB4"/>
    <w:rsid w:val="00532778"/>
    <w:rsid w:val="00532B2C"/>
    <w:rsid w:val="0053361C"/>
    <w:rsid w:val="00533812"/>
    <w:rsid w:val="005340B2"/>
    <w:rsid w:val="00534B78"/>
    <w:rsid w:val="0053506B"/>
    <w:rsid w:val="00535AFE"/>
    <w:rsid w:val="00536684"/>
    <w:rsid w:val="00536B9E"/>
    <w:rsid w:val="00536FC0"/>
    <w:rsid w:val="00537646"/>
    <w:rsid w:val="00541677"/>
    <w:rsid w:val="00541D30"/>
    <w:rsid w:val="00542EB6"/>
    <w:rsid w:val="005432E2"/>
    <w:rsid w:val="00543984"/>
    <w:rsid w:val="005450F7"/>
    <w:rsid w:val="00545D29"/>
    <w:rsid w:val="0054671E"/>
    <w:rsid w:val="0054707A"/>
    <w:rsid w:val="005471EA"/>
    <w:rsid w:val="005474F2"/>
    <w:rsid w:val="00551A9F"/>
    <w:rsid w:val="00551FAE"/>
    <w:rsid w:val="005520FF"/>
    <w:rsid w:val="00552BFE"/>
    <w:rsid w:val="00552CD3"/>
    <w:rsid w:val="0055338C"/>
    <w:rsid w:val="00553EF5"/>
    <w:rsid w:val="00554537"/>
    <w:rsid w:val="00555250"/>
    <w:rsid w:val="005567CC"/>
    <w:rsid w:val="005577EC"/>
    <w:rsid w:val="005579A1"/>
    <w:rsid w:val="00557DD1"/>
    <w:rsid w:val="00560272"/>
    <w:rsid w:val="00562FE2"/>
    <w:rsid w:val="00563D15"/>
    <w:rsid w:val="00564533"/>
    <w:rsid w:val="00566FF8"/>
    <w:rsid w:val="0056771B"/>
    <w:rsid w:val="00567FD0"/>
    <w:rsid w:val="00571414"/>
    <w:rsid w:val="005719F3"/>
    <w:rsid w:val="00571C2F"/>
    <w:rsid w:val="00572072"/>
    <w:rsid w:val="00572649"/>
    <w:rsid w:val="005727E0"/>
    <w:rsid w:val="00572C44"/>
    <w:rsid w:val="00573C6F"/>
    <w:rsid w:val="005767CF"/>
    <w:rsid w:val="00576E0E"/>
    <w:rsid w:val="00577099"/>
    <w:rsid w:val="005774DA"/>
    <w:rsid w:val="00583887"/>
    <w:rsid w:val="00583E2C"/>
    <w:rsid w:val="005844A7"/>
    <w:rsid w:val="00584C25"/>
    <w:rsid w:val="005853A4"/>
    <w:rsid w:val="00585418"/>
    <w:rsid w:val="0058575C"/>
    <w:rsid w:val="005857E0"/>
    <w:rsid w:val="00585FD8"/>
    <w:rsid w:val="00586C75"/>
    <w:rsid w:val="0058700F"/>
    <w:rsid w:val="00590646"/>
    <w:rsid w:val="005906D6"/>
    <w:rsid w:val="00591922"/>
    <w:rsid w:val="00593229"/>
    <w:rsid w:val="00594791"/>
    <w:rsid w:val="005955B8"/>
    <w:rsid w:val="00595B50"/>
    <w:rsid w:val="0059630A"/>
    <w:rsid w:val="00596623"/>
    <w:rsid w:val="00596EB2"/>
    <w:rsid w:val="00597102"/>
    <w:rsid w:val="00597843"/>
    <w:rsid w:val="005979E9"/>
    <w:rsid w:val="00597A7A"/>
    <w:rsid w:val="005A0314"/>
    <w:rsid w:val="005A102D"/>
    <w:rsid w:val="005A23B9"/>
    <w:rsid w:val="005A2A02"/>
    <w:rsid w:val="005A422B"/>
    <w:rsid w:val="005A4EA4"/>
    <w:rsid w:val="005A64F7"/>
    <w:rsid w:val="005A7386"/>
    <w:rsid w:val="005A76B0"/>
    <w:rsid w:val="005A7EAB"/>
    <w:rsid w:val="005B05FC"/>
    <w:rsid w:val="005B0DAB"/>
    <w:rsid w:val="005B1B67"/>
    <w:rsid w:val="005B26C5"/>
    <w:rsid w:val="005B3FF4"/>
    <w:rsid w:val="005B432B"/>
    <w:rsid w:val="005B4A70"/>
    <w:rsid w:val="005B530E"/>
    <w:rsid w:val="005B5A68"/>
    <w:rsid w:val="005B6616"/>
    <w:rsid w:val="005B67AE"/>
    <w:rsid w:val="005B7C00"/>
    <w:rsid w:val="005B7E52"/>
    <w:rsid w:val="005B7EB7"/>
    <w:rsid w:val="005B7F47"/>
    <w:rsid w:val="005C020F"/>
    <w:rsid w:val="005C0E52"/>
    <w:rsid w:val="005C1C87"/>
    <w:rsid w:val="005C25DD"/>
    <w:rsid w:val="005C34B9"/>
    <w:rsid w:val="005C3A36"/>
    <w:rsid w:val="005C4729"/>
    <w:rsid w:val="005C5523"/>
    <w:rsid w:val="005C5EF0"/>
    <w:rsid w:val="005C6DB7"/>
    <w:rsid w:val="005C75FA"/>
    <w:rsid w:val="005D02B3"/>
    <w:rsid w:val="005D0B4F"/>
    <w:rsid w:val="005D19DC"/>
    <w:rsid w:val="005D2A4D"/>
    <w:rsid w:val="005D3740"/>
    <w:rsid w:val="005D3A36"/>
    <w:rsid w:val="005D3D54"/>
    <w:rsid w:val="005D46E1"/>
    <w:rsid w:val="005D4DE6"/>
    <w:rsid w:val="005D5C3C"/>
    <w:rsid w:val="005D5F44"/>
    <w:rsid w:val="005D6099"/>
    <w:rsid w:val="005D6F33"/>
    <w:rsid w:val="005D799D"/>
    <w:rsid w:val="005E1036"/>
    <w:rsid w:val="005E250B"/>
    <w:rsid w:val="005E30E2"/>
    <w:rsid w:val="005E3B8F"/>
    <w:rsid w:val="005E3FAF"/>
    <w:rsid w:val="005E4590"/>
    <w:rsid w:val="005E5615"/>
    <w:rsid w:val="005E60BB"/>
    <w:rsid w:val="005E7161"/>
    <w:rsid w:val="005F05EE"/>
    <w:rsid w:val="005F20C7"/>
    <w:rsid w:val="005F22D0"/>
    <w:rsid w:val="005F27D0"/>
    <w:rsid w:val="005F2CAA"/>
    <w:rsid w:val="005F3F1A"/>
    <w:rsid w:val="005F51B4"/>
    <w:rsid w:val="005F5253"/>
    <w:rsid w:val="005F55D0"/>
    <w:rsid w:val="005F5AC8"/>
    <w:rsid w:val="005F6215"/>
    <w:rsid w:val="005F6C9E"/>
    <w:rsid w:val="005F6CC1"/>
    <w:rsid w:val="005F6F6C"/>
    <w:rsid w:val="005F75FA"/>
    <w:rsid w:val="005F7B25"/>
    <w:rsid w:val="006003BB"/>
    <w:rsid w:val="006003FA"/>
    <w:rsid w:val="00600451"/>
    <w:rsid w:val="006016E9"/>
    <w:rsid w:val="006018C4"/>
    <w:rsid w:val="00602918"/>
    <w:rsid w:val="0060344C"/>
    <w:rsid w:val="006034EC"/>
    <w:rsid w:val="0060465A"/>
    <w:rsid w:val="006061EE"/>
    <w:rsid w:val="00606717"/>
    <w:rsid w:val="0060733C"/>
    <w:rsid w:val="00610BBA"/>
    <w:rsid w:val="00610F42"/>
    <w:rsid w:val="00612183"/>
    <w:rsid w:val="006122BB"/>
    <w:rsid w:val="0061389F"/>
    <w:rsid w:val="00613CE4"/>
    <w:rsid w:val="00617BF8"/>
    <w:rsid w:val="00617CB5"/>
    <w:rsid w:val="00617E39"/>
    <w:rsid w:val="006212FF"/>
    <w:rsid w:val="006216C7"/>
    <w:rsid w:val="00622315"/>
    <w:rsid w:val="006223E8"/>
    <w:rsid w:val="00622DA0"/>
    <w:rsid w:val="006239D2"/>
    <w:rsid w:val="0062434B"/>
    <w:rsid w:val="0062447E"/>
    <w:rsid w:val="00625664"/>
    <w:rsid w:val="006257D2"/>
    <w:rsid w:val="00626086"/>
    <w:rsid w:val="006261B7"/>
    <w:rsid w:val="006264D7"/>
    <w:rsid w:val="00626FFC"/>
    <w:rsid w:val="00627091"/>
    <w:rsid w:val="00627BB3"/>
    <w:rsid w:val="006306BD"/>
    <w:rsid w:val="0063192E"/>
    <w:rsid w:val="00633C39"/>
    <w:rsid w:val="0063463C"/>
    <w:rsid w:val="00634C16"/>
    <w:rsid w:val="00634CF6"/>
    <w:rsid w:val="00635154"/>
    <w:rsid w:val="006361F8"/>
    <w:rsid w:val="006365E5"/>
    <w:rsid w:val="00636968"/>
    <w:rsid w:val="00636BB2"/>
    <w:rsid w:val="00637470"/>
    <w:rsid w:val="006374F5"/>
    <w:rsid w:val="00640D1D"/>
    <w:rsid w:val="00642E63"/>
    <w:rsid w:val="00643083"/>
    <w:rsid w:val="00643B12"/>
    <w:rsid w:val="0064538B"/>
    <w:rsid w:val="00645823"/>
    <w:rsid w:val="00645EF4"/>
    <w:rsid w:val="0064724D"/>
    <w:rsid w:val="00647897"/>
    <w:rsid w:val="0065028A"/>
    <w:rsid w:val="00650D71"/>
    <w:rsid w:val="00652459"/>
    <w:rsid w:val="0065246B"/>
    <w:rsid w:val="006526B4"/>
    <w:rsid w:val="0065314B"/>
    <w:rsid w:val="0065347C"/>
    <w:rsid w:val="00653D5E"/>
    <w:rsid w:val="00656181"/>
    <w:rsid w:val="0065790A"/>
    <w:rsid w:val="00660207"/>
    <w:rsid w:val="0066034E"/>
    <w:rsid w:val="00660A09"/>
    <w:rsid w:val="006613BF"/>
    <w:rsid w:val="00661A0B"/>
    <w:rsid w:val="00662379"/>
    <w:rsid w:val="006625F1"/>
    <w:rsid w:val="006626E8"/>
    <w:rsid w:val="00662D47"/>
    <w:rsid w:val="00663202"/>
    <w:rsid w:val="006638E5"/>
    <w:rsid w:val="0066420F"/>
    <w:rsid w:val="0066522B"/>
    <w:rsid w:val="006653E7"/>
    <w:rsid w:val="00665EA4"/>
    <w:rsid w:val="00666A09"/>
    <w:rsid w:val="00670985"/>
    <w:rsid w:val="00670FB1"/>
    <w:rsid w:val="00672FAE"/>
    <w:rsid w:val="0067304C"/>
    <w:rsid w:val="006731F3"/>
    <w:rsid w:val="0067332C"/>
    <w:rsid w:val="006733E5"/>
    <w:rsid w:val="00673758"/>
    <w:rsid w:val="00674C6E"/>
    <w:rsid w:val="00675241"/>
    <w:rsid w:val="006756B6"/>
    <w:rsid w:val="006761CE"/>
    <w:rsid w:val="00676B76"/>
    <w:rsid w:val="006771BD"/>
    <w:rsid w:val="00677579"/>
    <w:rsid w:val="00680805"/>
    <w:rsid w:val="00680D84"/>
    <w:rsid w:val="00681F1D"/>
    <w:rsid w:val="00685F3B"/>
    <w:rsid w:val="006867FE"/>
    <w:rsid w:val="00686DEF"/>
    <w:rsid w:val="00687D03"/>
    <w:rsid w:val="0069003B"/>
    <w:rsid w:val="006939FB"/>
    <w:rsid w:val="00694C0D"/>
    <w:rsid w:val="00695242"/>
    <w:rsid w:val="00696035"/>
    <w:rsid w:val="00696549"/>
    <w:rsid w:val="0069692F"/>
    <w:rsid w:val="00696D40"/>
    <w:rsid w:val="00696E22"/>
    <w:rsid w:val="0069719C"/>
    <w:rsid w:val="00697724"/>
    <w:rsid w:val="00697D3A"/>
    <w:rsid w:val="006A0193"/>
    <w:rsid w:val="006A0516"/>
    <w:rsid w:val="006A09E2"/>
    <w:rsid w:val="006A297A"/>
    <w:rsid w:val="006A4F65"/>
    <w:rsid w:val="006A5034"/>
    <w:rsid w:val="006A506E"/>
    <w:rsid w:val="006A6139"/>
    <w:rsid w:val="006B18DF"/>
    <w:rsid w:val="006B3051"/>
    <w:rsid w:val="006B429A"/>
    <w:rsid w:val="006B526A"/>
    <w:rsid w:val="006B721F"/>
    <w:rsid w:val="006B7A97"/>
    <w:rsid w:val="006C0ED1"/>
    <w:rsid w:val="006C119A"/>
    <w:rsid w:val="006C1BA2"/>
    <w:rsid w:val="006C2D6E"/>
    <w:rsid w:val="006C2E01"/>
    <w:rsid w:val="006C3040"/>
    <w:rsid w:val="006C4081"/>
    <w:rsid w:val="006C51AB"/>
    <w:rsid w:val="006C69B4"/>
    <w:rsid w:val="006C6DEC"/>
    <w:rsid w:val="006C7114"/>
    <w:rsid w:val="006C7366"/>
    <w:rsid w:val="006C769A"/>
    <w:rsid w:val="006C7F22"/>
    <w:rsid w:val="006D0625"/>
    <w:rsid w:val="006D0E7E"/>
    <w:rsid w:val="006D1AB5"/>
    <w:rsid w:val="006D1C10"/>
    <w:rsid w:val="006D3EC2"/>
    <w:rsid w:val="006D41C9"/>
    <w:rsid w:val="006D48EB"/>
    <w:rsid w:val="006D4D8B"/>
    <w:rsid w:val="006D6571"/>
    <w:rsid w:val="006D7AA7"/>
    <w:rsid w:val="006E0134"/>
    <w:rsid w:val="006E0DFA"/>
    <w:rsid w:val="006E1C93"/>
    <w:rsid w:val="006E1D94"/>
    <w:rsid w:val="006E20B4"/>
    <w:rsid w:val="006E23C2"/>
    <w:rsid w:val="006E2473"/>
    <w:rsid w:val="006E3669"/>
    <w:rsid w:val="006E3C08"/>
    <w:rsid w:val="006E46D1"/>
    <w:rsid w:val="006E4C23"/>
    <w:rsid w:val="006E4DA5"/>
    <w:rsid w:val="006E4E37"/>
    <w:rsid w:val="006E5545"/>
    <w:rsid w:val="006E562D"/>
    <w:rsid w:val="006F1882"/>
    <w:rsid w:val="006F4200"/>
    <w:rsid w:val="006F4BE4"/>
    <w:rsid w:val="006F5954"/>
    <w:rsid w:val="006F5957"/>
    <w:rsid w:val="006F6C91"/>
    <w:rsid w:val="00700127"/>
    <w:rsid w:val="007003DE"/>
    <w:rsid w:val="00702498"/>
    <w:rsid w:val="00702A38"/>
    <w:rsid w:val="007047D4"/>
    <w:rsid w:val="00704857"/>
    <w:rsid w:val="00704DB1"/>
    <w:rsid w:val="00704DED"/>
    <w:rsid w:val="0070665D"/>
    <w:rsid w:val="007075E5"/>
    <w:rsid w:val="00707AF4"/>
    <w:rsid w:val="00710338"/>
    <w:rsid w:val="007104E1"/>
    <w:rsid w:val="00711632"/>
    <w:rsid w:val="007122C6"/>
    <w:rsid w:val="007132F7"/>
    <w:rsid w:val="00714040"/>
    <w:rsid w:val="00714D00"/>
    <w:rsid w:val="0071596C"/>
    <w:rsid w:val="00720330"/>
    <w:rsid w:val="0072072D"/>
    <w:rsid w:val="00721233"/>
    <w:rsid w:val="0072126B"/>
    <w:rsid w:val="00721428"/>
    <w:rsid w:val="00721560"/>
    <w:rsid w:val="0072159D"/>
    <w:rsid w:val="007224ED"/>
    <w:rsid w:val="00723CCF"/>
    <w:rsid w:val="007255B1"/>
    <w:rsid w:val="007261F1"/>
    <w:rsid w:val="007267BA"/>
    <w:rsid w:val="00726FB9"/>
    <w:rsid w:val="007274AB"/>
    <w:rsid w:val="00727D8A"/>
    <w:rsid w:val="00731A35"/>
    <w:rsid w:val="007325C3"/>
    <w:rsid w:val="0073287D"/>
    <w:rsid w:val="00732A99"/>
    <w:rsid w:val="00732BBD"/>
    <w:rsid w:val="00733274"/>
    <w:rsid w:val="00734A72"/>
    <w:rsid w:val="00734C56"/>
    <w:rsid w:val="00734F91"/>
    <w:rsid w:val="007354DB"/>
    <w:rsid w:val="007355FD"/>
    <w:rsid w:val="007365F1"/>
    <w:rsid w:val="00737E26"/>
    <w:rsid w:val="00740E34"/>
    <w:rsid w:val="00740FDC"/>
    <w:rsid w:val="00741C98"/>
    <w:rsid w:val="00743F42"/>
    <w:rsid w:val="007444CB"/>
    <w:rsid w:val="0074472E"/>
    <w:rsid w:val="00744C5B"/>
    <w:rsid w:val="0074599C"/>
    <w:rsid w:val="00746702"/>
    <w:rsid w:val="00746D26"/>
    <w:rsid w:val="00747A6F"/>
    <w:rsid w:val="0075030B"/>
    <w:rsid w:val="0075085C"/>
    <w:rsid w:val="0075200D"/>
    <w:rsid w:val="00753417"/>
    <w:rsid w:val="00753B59"/>
    <w:rsid w:val="00754302"/>
    <w:rsid w:val="007555B4"/>
    <w:rsid w:val="007556A3"/>
    <w:rsid w:val="00755C10"/>
    <w:rsid w:val="00755EDC"/>
    <w:rsid w:val="0075681F"/>
    <w:rsid w:val="007602DE"/>
    <w:rsid w:val="0076057B"/>
    <w:rsid w:val="00760AE5"/>
    <w:rsid w:val="0076214C"/>
    <w:rsid w:val="00762450"/>
    <w:rsid w:val="0076277F"/>
    <w:rsid w:val="00762FD9"/>
    <w:rsid w:val="00764DD1"/>
    <w:rsid w:val="00765390"/>
    <w:rsid w:val="0076539C"/>
    <w:rsid w:val="0076602C"/>
    <w:rsid w:val="007674A5"/>
    <w:rsid w:val="00770364"/>
    <w:rsid w:val="00771333"/>
    <w:rsid w:val="0077177C"/>
    <w:rsid w:val="007723D5"/>
    <w:rsid w:val="00773806"/>
    <w:rsid w:val="007769B3"/>
    <w:rsid w:val="007776CA"/>
    <w:rsid w:val="00780177"/>
    <w:rsid w:val="0078038B"/>
    <w:rsid w:val="00780B79"/>
    <w:rsid w:val="00781AAB"/>
    <w:rsid w:val="00781C39"/>
    <w:rsid w:val="0078203B"/>
    <w:rsid w:val="007828CC"/>
    <w:rsid w:val="00782FEF"/>
    <w:rsid w:val="00783049"/>
    <w:rsid w:val="00783A8A"/>
    <w:rsid w:val="0078417B"/>
    <w:rsid w:val="007861CE"/>
    <w:rsid w:val="00786222"/>
    <w:rsid w:val="007862D9"/>
    <w:rsid w:val="00786753"/>
    <w:rsid w:val="00787045"/>
    <w:rsid w:val="0079078D"/>
    <w:rsid w:val="00790AFD"/>
    <w:rsid w:val="00790F1A"/>
    <w:rsid w:val="00791516"/>
    <w:rsid w:val="007918EB"/>
    <w:rsid w:val="00792C96"/>
    <w:rsid w:val="00792D5E"/>
    <w:rsid w:val="0079454D"/>
    <w:rsid w:val="00794ABF"/>
    <w:rsid w:val="00796572"/>
    <w:rsid w:val="007972D9"/>
    <w:rsid w:val="00797AFA"/>
    <w:rsid w:val="00797F4B"/>
    <w:rsid w:val="007A0048"/>
    <w:rsid w:val="007A1211"/>
    <w:rsid w:val="007A126B"/>
    <w:rsid w:val="007A166C"/>
    <w:rsid w:val="007A188C"/>
    <w:rsid w:val="007A1F35"/>
    <w:rsid w:val="007A29E6"/>
    <w:rsid w:val="007A2DF8"/>
    <w:rsid w:val="007A2FD5"/>
    <w:rsid w:val="007A48D7"/>
    <w:rsid w:val="007A68F9"/>
    <w:rsid w:val="007A7604"/>
    <w:rsid w:val="007A7CFB"/>
    <w:rsid w:val="007B125D"/>
    <w:rsid w:val="007B158D"/>
    <w:rsid w:val="007B2033"/>
    <w:rsid w:val="007B2975"/>
    <w:rsid w:val="007B31F7"/>
    <w:rsid w:val="007B3253"/>
    <w:rsid w:val="007B33D2"/>
    <w:rsid w:val="007B3A1C"/>
    <w:rsid w:val="007B4DC3"/>
    <w:rsid w:val="007B6AE9"/>
    <w:rsid w:val="007B6DE8"/>
    <w:rsid w:val="007C0C43"/>
    <w:rsid w:val="007C17C6"/>
    <w:rsid w:val="007C3D13"/>
    <w:rsid w:val="007C5EFC"/>
    <w:rsid w:val="007C776F"/>
    <w:rsid w:val="007C779D"/>
    <w:rsid w:val="007D04E8"/>
    <w:rsid w:val="007D0FC4"/>
    <w:rsid w:val="007D119B"/>
    <w:rsid w:val="007D128A"/>
    <w:rsid w:val="007D17C7"/>
    <w:rsid w:val="007D196E"/>
    <w:rsid w:val="007D2C20"/>
    <w:rsid w:val="007D2C40"/>
    <w:rsid w:val="007D41A5"/>
    <w:rsid w:val="007D51DD"/>
    <w:rsid w:val="007D62CF"/>
    <w:rsid w:val="007D6377"/>
    <w:rsid w:val="007D7120"/>
    <w:rsid w:val="007D72DD"/>
    <w:rsid w:val="007D799A"/>
    <w:rsid w:val="007E130A"/>
    <w:rsid w:val="007E218A"/>
    <w:rsid w:val="007E59D4"/>
    <w:rsid w:val="007E6EAB"/>
    <w:rsid w:val="007E7296"/>
    <w:rsid w:val="007F12CD"/>
    <w:rsid w:val="007F1C24"/>
    <w:rsid w:val="007F2282"/>
    <w:rsid w:val="007F3333"/>
    <w:rsid w:val="007F3706"/>
    <w:rsid w:val="007F3C74"/>
    <w:rsid w:val="007F49DD"/>
    <w:rsid w:val="007F4A8B"/>
    <w:rsid w:val="007F707D"/>
    <w:rsid w:val="007F757C"/>
    <w:rsid w:val="007F75BA"/>
    <w:rsid w:val="007F7D48"/>
    <w:rsid w:val="008009B7"/>
    <w:rsid w:val="00801661"/>
    <w:rsid w:val="0080173B"/>
    <w:rsid w:val="00803D5B"/>
    <w:rsid w:val="008042BC"/>
    <w:rsid w:val="00805DB5"/>
    <w:rsid w:val="008062BD"/>
    <w:rsid w:val="00807935"/>
    <w:rsid w:val="00807F93"/>
    <w:rsid w:val="008108E2"/>
    <w:rsid w:val="00810E0F"/>
    <w:rsid w:val="00811089"/>
    <w:rsid w:val="00812DA6"/>
    <w:rsid w:val="00814674"/>
    <w:rsid w:val="00814678"/>
    <w:rsid w:val="0081505A"/>
    <w:rsid w:val="008159B4"/>
    <w:rsid w:val="00815B82"/>
    <w:rsid w:val="00817841"/>
    <w:rsid w:val="008202DE"/>
    <w:rsid w:val="0082153C"/>
    <w:rsid w:val="00821CA7"/>
    <w:rsid w:val="00821D23"/>
    <w:rsid w:val="008233B0"/>
    <w:rsid w:val="00824D8F"/>
    <w:rsid w:val="00824F31"/>
    <w:rsid w:val="00826B63"/>
    <w:rsid w:val="00826E1D"/>
    <w:rsid w:val="00826EDE"/>
    <w:rsid w:val="00826F90"/>
    <w:rsid w:val="00827095"/>
    <w:rsid w:val="008275CA"/>
    <w:rsid w:val="008300BD"/>
    <w:rsid w:val="00831355"/>
    <w:rsid w:val="008326ED"/>
    <w:rsid w:val="00832A0B"/>
    <w:rsid w:val="00832E3A"/>
    <w:rsid w:val="0083477D"/>
    <w:rsid w:val="008400FE"/>
    <w:rsid w:val="008403BC"/>
    <w:rsid w:val="00841358"/>
    <w:rsid w:val="0084161D"/>
    <w:rsid w:val="00842C36"/>
    <w:rsid w:val="008435BC"/>
    <w:rsid w:val="00844133"/>
    <w:rsid w:val="00847462"/>
    <w:rsid w:val="008506A3"/>
    <w:rsid w:val="00850FCD"/>
    <w:rsid w:val="0085251A"/>
    <w:rsid w:val="00852726"/>
    <w:rsid w:val="008529C4"/>
    <w:rsid w:val="00852AD5"/>
    <w:rsid w:val="00852BEA"/>
    <w:rsid w:val="00852D3F"/>
    <w:rsid w:val="00853144"/>
    <w:rsid w:val="00854F0F"/>
    <w:rsid w:val="00855211"/>
    <w:rsid w:val="00860035"/>
    <w:rsid w:val="00860CBA"/>
    <w:rsid w:val="00861FE8"/>
    <w:rsid w:val="008626E3"/>
    <w:rsid w:val="008632BE"/>
    <w:rsid w:val="00863C21"/>
    <w:rsid w:val="00863EA8"/>
    <w:rsid w:val="00863FF2"/>
    <w:rsid w:val="00864017"/>
    <w:rsid w:val="00864368"/>
    <w:rsid w:val="00865BD0"/>
    <w:rsid w:val="008660BF"/>
    <w:rsid w:val="00866A0C"/>
    <w:rsid w:val="0086763B"/>
    <w:rsid w:val="00867695"/>
    <w:rsid w:val="00867DB1"/>
    <w:rsid w:val="0087228F"/>
    <w:rsid w:val="00874F52"/>
    <w:rsid w:val="00875860"/>
    <w:rsid w:val="0087768F"/>
    <w:rsid w:val="00877F51"/>
    <w:rsid w:val="0088024B"/>
    <w:rsid w:val="008802C1"/>
    <w:rsid w:val="008814BE"/>
    <w:rsid w:val="00882E0F"/>
    <w:rsid w:val="0088545C"/>
    <w:rsid w:val="008855F7"/>
    <w:rsid w:val="00885B7C"/>
    <w:rsid w:val="00885F21"/>
    <w:rsid w:val="00886208"/>
    <w:rsid w:val="00886678"/>
    <w:rsid w:val="008874B0"/>
    <w:rsid w:val="008879CF"/>
    <w:rsid w:val="0089028E"/>
    <w:rsid w:val="00890374"/>
    <w:rsid w:val="008908B3"/>
    <w:rsid w:val="00890A34"/>
    <w:rsid w:val="008911FC"/>
    <w:rsid w:val="008913CF"/>
    <w:rsid w:val="00891708"/>
    <w:rsid w:val="00891AA7"/>
    <w:rsid w:val="00892213"/>
    <w:rsid w:val="008934C7"/>
    <w:rsid w:val="008935EF"/>
    <w:rsid w:val="008951D6"/>
    <w:rsid w:val="0089600B"/>
    <w:rsid w:val="008963F5"/>
    <w:rsid w:val="008976B5"/>
    <w:rsid w:val="008A02B1"/>
    <w:rsid w:val="008A1501"/>
    <w:rsid w:val="008A36DD"/>
    <w:rsid w:val="008A3F5A"/>
    <w:rsid w:val="008A50C8"/>
    <w:rsid w:val="008A5874"/>
    <w:rsid w:val="008A7414"/>
    <w:rsid w:val="008B0984"/>
    <w:rsid w:val="008B1F00"/>
    <w:rsid w:val="008B21DE"/>
    <w:rsid w:val="008B2239"/>
    <w:rsid w:val="008B333D"/>
    <w:rsid w:val="008B47ED"/>
    <w:rsid w:val="008B6323"/>
    <w:rsid w:val="008B6399"/>
    <w:rsid w:val="008B6EDB"/>
    <w:rsid w:val="008C110B"/>
    <w:rsid w:val="008C1F09"/>
    <w:rsid w:val="008C22CA"/>
    <w:rsid w:val="008C2733"/>
    <w:rsid w:val="008C2E7B"/>
    <w:rsid w:val="008C2F0B"/>
    <w:rsid w:val="008C3389"/>
    <w:rsid w:val="008C35F5"/>
    <w:rsid w:val="008C462C"/>
    <w:rsid w:val="008C4831"/>
    <w:rsid w:val="008C6718"/>
    <w:rsid w:val="008D1519"/>
    <w:rsid w:val="008D3C76"/>
    <w:rsid w:val="008D40FE"/>
    <w:rsid w:val="008D429D"/>
    <w:rsid w:val="008D44A6"/>
    <w:rsid w:val="008D5502"/>
    <w:rsid w:val="008D5B86"/>
    <w:rsid w:val="008D6AE9"/>
    <w:rsid w:val="008D6C1D"/>
    <w:rsid w:val="008D6EC7"/>
    <w:rsid w:val="008D792D"/>
    <w:rsid w:val="008E0015"/>
    <w:rsid w:val="008E2CC5"/>
    <w:rsid w:val="008E2E66"/>
    <w:rsid w:val="008E31D4"/>
    <w:rsid w:val="008E3343"/>
    <w:rsid w:val="008E3C9E"/>
    <w:rsid w:val="008E41E4"/>
    <w:rsid w:val="008E440F"/>
    <w:rsid w:val="008E459D"/>
    <w:rsid w:val="008E7754"/>
    <w:rsid w:val="008E7E10"/>
    <w:rsid w:val="008F019A"/>
    <w:rsid w:val="008F2266"/>
    <w:rsid w:val="008F2B6F"/>
    <w:rsid w:val="008F2B87"/>
    <w:rsid w:val="008F2D70"/>
    <w:rsid w:val="008F3F27"/>
    <w:rsid w:val="008F6541"/>
    <w:rsid w:val="008F669A"/>
    <w:rsid w:val="008F66AD"/>
    <w:rsid w:val="008F6AFA"/>
    <w:rsid w:val="008F778B"/>
    <w:rsid w:val="008F7C92"/>
    <w:rsid w:val="008F7D1A"/>
    <w:rsid w:val="00902097"/>
    <w:rsid w:val="00902279"/>
    <w:rsid w:val="00903445"/>
    <w:rsid w:val="009035A2"/>
    <w:rsid w:val="00903CAD"/>
    <w:rsid w:val="00905489"/>
    <w:rsid w:val="009063E7"/>
    <w:rsid w:val="00906A2C"/>
    <w:rsid w:val="00907B36"/>
    <w:rsid w:val="00911D00"/>
    <w:rsid w:val="00911E6D"/>
    <w:rsid w:val="009148B5"/>
    <w:rsid w:val="00914DCE"/>
    <w:rsid w:val="00914E44"/>
    <w:rsid w:val="009169B7"/>
    <w:rsid w:val="009172A2"/>
    <w:rsid w:val="00917F98"/>
    <w:rsid w:val="009232BB"/>
    <w:rsid w:val="00923DFD"/>
    <w:rsid w:val="00924041"/>
    <w:rsid w:val="00924527"/>
    <w:rsid w:val="00924CD1"/>
    <w:rsid w:val="00924DC6"/>
    <w:rsid w:val="0092562D"/>
    <w:rsid w:val="00925D50"/>
    <w:rsid w:val="00925D6B"/>
    <w:rsid w:val="00926352"/>
    <w:rsid w:val="00926BC7"/>
    <w:rsid w:val="00927375"/>
    <w:rsid w:val="009301C6"/>
    <w:rsid w:val="00931291"/>
    <w:rsid w:val="00931961"/>
    <w:rsid w:val="00931AE8"/>
    <w:rsid w:val="00933119"/>
    <w:rsid w:val="009331D5"/>
    <w:rsid w:val="00933D0C"/>
    <w:rsid w:val="00934086"/>
    <w:rsid w:val="009356E6"/>
    <w:rsid w:val="00940860"/>
    <w:rsid w:val="0094096B"/>
    <w:rsid w:val="00942355"/>
    <w:rsid w:val="00942A32"/>
    <w:rsid w:val="00942E66"/>
    <w:rsid w:val="009436DD"/>
    <w:rsid w:val="00944743"/>
    <w:rsid w:val="00944E03"/>
    <w:rsid w:val="009455C7"/>
    <w:rsid w:val="00945A5A"/>
    <w:rsid w:val="00945D37"/>
    <w:rsid w:val="0094601A"/>
    <w:rsid w:val="009476E6"/>
    <w:rsid w:val="00947914"/>
    <w:rsid w:val="0095401B"/>
    <w:rsid w:val="009546FA"/>
    <w:rsid w:val="00954CC7"/>
    <w:rsid w:val="009550FB"/>
    <w:rsid w:val="009601CF"/>
    <w:rsid w:val="00960C5A"/>
    <w:rsid w:val="00960E78"/>
    <w:rsid w:val="00960EB6"/>
    <w:rsid w:val="00960F09"/>
    <w:rsid w:val="00961025"/>
    <w:rsid w:val="00961143"/>
    <w:rsid w:val="00961DC5"/>
    <w:rsid w:val="009621A3"/>
    <w:rsid w:val="00962CC9"/>
    <w:rsid w:val="00963606"/>
    <w:rsid w:val="00963E8A"/>
    <w:rsid w:val="0096523F"/>
    <w:rsid w:val="0096577B"/>
    <w:rsid w:val="009664EC"/>
    <w:rsid w:val="00967069"/>
    <w:rsid w:val="0096732F"/>
    <w:rsid w:val="0096772B"/>
    <w:rsid w:val="009707D3"/>
    <w:rsid w:val="00971956"/>
    <w:rsid w:val="00971AB6"/>
    <w:rsid w:val="00971C84"/>
    <w:rsid w:val="009722EC"/>
    <w:rsid w:val="009745AA"/>
    <w:rsid w:val="009746FD"/>
    <w:rsid w:val="0097581E"/>
    <w:rsid w:val="00977B42"/>
    <w:rsid w:val="009805B6"/>
    <w:rsid w:val="0098082A"/>
    <w:rsid w:val="009812FB"/>
    <w:rsid w:val="00982CA1"/>
    <w:rsid w:val="00983BD8"/>
    <w:rsid w:val="0098486E"/>
    <w:rsid w:val="009851CF"/>
    <w:rsid w:val="0098529B"/>
    <w:rsid w:val="00987241"/>
    <w:rsid w:val="00987B72"/>
    <w:rsid w:val="00987E56"/>
    <w:rsid w:val="00990492"/>
    <w:rsid w:val="00990ACE"/>
    <w:rsid w:val="00991C50"/>
    <w:rsid w:val="00994F6F"/>
    <w:rsid w:val="009953DA"/>
    <w:rsid w:val="00995425"/>
    <w:rsid w:val="009A01A1"/>
    <w:rsid w:val="009A05B4"/>
    <w:rsid w:val="009A1026"/>
    <w:rsid w:val="009A2194"/>
    <w:rsid w:val="009A26DA"/>
    <w:rsid w:val="009A3D54"/>
    <w:rsid w:val="009A5858"/>
    <w:rsid w:val="009A5B9F"/>
    <w:rsid w:val="009A7012"/>
    <w:rsid w:val="009A793D"/>
    <w:rsid w:val="009B07D5"/>
    <w:rsid w:val="009B0E57"/>
    <w:rsid w:val="009B1A3C"/>
    <w:rsid w:val="009B1D19"/>
    <w:rsid w:val="009B1DD2"/>
    <w:rsid w:val="009B2B19"/>
    <w:rsid w:val="009B53B5"/>
    <w:rsid w:val="009B5467"/>
    <w:rsid w:val="009B5A9A"/>
    <w:rsid w:val="009B5BAB"/>
    <w:rsid w:val="009B65FF"/>
    <w:rsid w:val="009B7D88"/>
    <w:rsid w:val="009C1A76"/>
    <w:rsid w:val="009C2218"/>
    <w:rsid w:val="009C2CA9"/>
    <w:rsid w:val="009C2F65"/>
    <w:rsid w:val="009C317F"/>
    <w:rsid w:val="009C45FE"/>
    <w:rsid w:val="009C4B30"/>
    <w:rsid w:val="009C706E"/>
    <w:rsid w:val="009C76CB"/>
    <w:rsid w:val="009D0F9C"/>
    <w:rsid w:val="009D15FF"/>
    <w:rsid w:val="009D2C63"/>
    <w:rsid w:val="009D3830"/>
    <w:rsid w:val="009D3AEF"/>
    <w:rsid w:val="009D3E2F"/>
    <w:rsid w:val="009D3E90"/>
    <w:rsid w:val="009D454F"/>
    <w:rsid w:val="009D46D9"/>
    <w:rsid w:val="009D47FF"/>
    <w:rsid w:val="009E0A7A"/>
    <w:rsid w:val="009E1D49"/>
    <w:rsid w:val="009E24CB"/>
    <w:rsid w:val="009E2F66"/>
    <w:rsid w:val="009E4BB5"/>
    <w:rsid w:val="009E4E14"/>
    <w:rsid w:val="009E5DBE"/>
    <w:rsid w:val="009E6421"/>
    <w:rsid w:val="009E6815"/>
    <w:rsid w:val="009E7148"/>
    <w:rsid w:val="009E7514"/>
    <w:rsid w:val="009F19C3"/>
    <w:rsid w:val="009F27A1"/>
    <w:rsid w:val="009F4180"/>
    <w:rsid w:val="009F5B28"/>
    <w:rsid w:val="009F6C11"/>
    <w:rsid w:val="009F6DBF"/>
    <w:rsid w:val="009F734C"/>
    <w:rsid w:val="009F757B"/>
    <w:rsid w:val="009F7948"/>
    <w:rsid w:val="00A022AC"/>
    <w:rsid w:val="00A022BD"/>
    <w:rsid w:val="00A027F6"/>
    <w:rsid w:val="00A0423C"/>
    <w:rsid w:val="00A05515"/>
    <w:rsid w:val="00A067B2"/>
    <w:rsid w:val="00A07070"/>
    <w:rsid w:val="00A0716B"/>
    <w:rsid w:val="00A0776D"/>
    <w:rsid w:val="00A07E6E"/>
    <w:rsid w:val="00A110CB"/>
    <w:rsid w:val="00A113E7"/>
    <w:rsid w:val="00A126F5"/>
    <w:rsid w:val="00A12D4C"/>
    <w:rsid w:val="00A1304B"/>
    <w:rsid w:val="00A135C1"/>
    <w:rsid w:val="00A139BE"/>
    <w:rsid w:val="00A140FC"/>
    <w:rsid w:val="00A14D57"/>
    <w:rsid w:val="00A150D6"/>
    <w:rsid w:val="00A17DAF"/>
    <w:rsid w:val="00A17E5F"/>
    <w:rsid w:val="00A20D42"/>
    <w:rsid w:val="00A21941"/>
    <w:rsid w:val="00A21A92"/>
    <w:rsid w:val="00A23CD6"/>
    <w:rsid w:val="00A23EFF"/>
    <w:rsid w:val="00A24765"/>
    <w:rsid w:val="00A27232"/>
    <w:rsid w:val="00A27898"/>
    <w:rsid w:val="00A27FE7"/>
    <w:rsid w:val="00A32389"/>
    <w:rsid w:val="00A33149"/>
    <w:rsid w:val="00A34B44"/>
    <w:rsid w:val="00A35282"/>
    <w:rsid w:val="00A37923"/>
    <w:rsid w:val="00A379AB"/>
    <w:rsid w:val="00A4137B"/>
    <w:rsid w:val="00A413FC"/>
    <w:rsid w:val="00A43093"/>
    <w:rsid w:val="00A43AA6"/>
    <w:rsid w:val="00A43DC1"/>
    <w:rsid w:val="00A4595F"/>
    <w:rsid w:val="00A45B82"/>
    <w:rsid w:val="00A47EFB"/>
    <w:rsid w:val="00A50701"/>
    <w:rsid w:val="00A50B67"/>
    <w:rsid w:val="00A50FD4"/>
    <w:rsid w:val="00A522E7"/>
    <w:rsid w:val="00A52889"/>
    <w:rsid w:val="00A53296"/>
    <w:rsid w:val="00A53356"/>
    <w:rsid w:val="00A540FA"/>
    <w:rsid w:val="00A54900"/>
    <w:rsid w:val="00A553B3"/>
    <w:rsid w:val="00A55CFE"/>
    <w:rsid w:val="00A560B4"/>
    <w:rsid w:val="00A562F7"/>
    <w:rsid w:val="00A5672A"/>
    <w:rsid w:val="00A60679"/>
    <w:rsid w:val="00A61072"/>
    <w:rsid w:val="00A62591"/>
    <w:rsid w:val="00A6391F"/>
    <w:rsid w:val="00A6428C"/>
    <w:rsid w:val="00A67B12"/>
    <w:rsid w:val="00A67BF2"/>
    <w:rsid w:val="00A67DE3"/>
    <w:rsid w:val="00A700DC"/>
    <w:rsid w:val="00A70891"/>
    <w:rsid w:val="00A72211"/>
    <w:rsid w:val="00A73EE2"/>
    <w:rsid w:val="00A746A3"/>
    <w:rsid w:val="00A74967"/>
    <w:rsid w:val="00A74B20"/>
    <w:rsid w:val="00A74D3D"/>
    <w:rsid w:val="00A74F9C"/>
    <w:rsid w:val="00A754D8"/>
    <w:rsid w:val="00A76081"/>
    <w:rsid w:val="00A76ED9"/>
    <w:rsid w:val="00A7749D"/>
    <w:rsid w:val="00A8099F"/>
    <w:rsid w:val="00A80F72"/>
    <w:rsid w:val="00A81798"/>
    <w:rsid w:val="00A83A12"/>
    <w:rsid w:val="00A83DE6"/>
    <w:rsid w:val="00A83F83"/>
    <w:rsid w:val="00A84669"/>
    <w:rsid w:val="00A84DA9"/>
    <w:rsid w:val="00A850BE"/>
    <w:rsid w:val="00A8532B"/>
    <w:rsid w:val="00A856C5"/>
    <w:rsid w:val="00A863DD"/>
    <w:rsid w:val="00A90B18"/>
    <w:rsid w:val="00A90C31"/>
    <w:rsid w:val="00A91452"/>
    <w:rsid w:val="00A921F2"/>
    <w:rsid w:val="00A92AC8"/>
    <w:rsid w:val="00A92C53"/>
    <w:rsid w:val="00A932B4"/>
    <w:rsid w:val="00A945C3"/>
    <w:rsid w:val="00A947D5"/>
    <w:rsid w:val="00A94866"/>
    <w:rsid w:val="00A94A8D"/>
    <w:rsid w:val="00A96260"/>
    <w:rsid w:val="00A96EE8"/>
    <w:rsid w:val="00A9720E"/>
    <w:rsid w:val="00A97676"/>
    <w:rsid w:val="00A97CA6"/>
    <w:rsid w:val="00AA0BED"/>
    <w:rsid w:val="00AA1A7B"/>
    <w:rsid w:val="00AA27E6"/>
    <w:rsid w:val="00AA31BC"/>
    <w:rsid w:val="00AA3573"/>
    <w:rsid w:val="00AA37B0"/>
    <w:rsid w:val="00AA3F9B"/>
    <w:rsid w:val="00AA43C0"/>
    <w:rsid w:val="00AA586A"/>
    <w:rsid w:val="00AA66B6"/>
    <w:rsid w:val="00AA7670"/>
    <w:rsid w:val="00AA7EEC"/>
    <w:rsid w:val="00AB0141"/>
    <w:rsid w:val="00AB46F3"/>
    <w:rsid w:val="00AB6555"/>
    <w:rsid w:val="00AC0D28"/>
    <w:rsid w:val="00AC1327"/>
    <w:rsid w:val="00AC1A60"/>
    <w:rsid w:val="00AC21F5"/>
    <w:rsid w:val="00AC424A"/>
    <w:rsid w:val="00AC4702"/>
    <w:rsid w:val="00AC4D7F"/>
    <w:rsid w:val="00AC5213"/>
    <w:rsid w:val="00AC5810"/>
    <w:rsid w:val="00AC5C00"/>
    <w:rsid w:val="00AD20F5"/>
    <w:rsid w:val="00AD210E"/>
    <w:rsid w:val="00AD2370"/>
    <w:rsid w:val="00AD2744"/>
    <w:rsid w:val="00AD4FDE"/>
    <w:rsid w:val="00AD694B"/>
    <w:rsid w:val="00AE2548"/>
    <w:rsid w:val="00AE37B5"/>
    <w:rsid w:val="00AE3B00"/>
    <w:rsid w:val="00AE3BC8"/>
    <w:rsid w:val="00AE42D3"/>
    <w:rsid w:val="00AE4FD7"/>
    <w:rsid w:val="00AE5870"/>
    <w:rsid w:val="00AE627B"/>
    <w:rsid w:val="00AE6B42"/>
    <w:rsid w:val="00AE782E"/>
    <w:rsid w:val="00AE786D"/>
    <w:rsid w:val="00AE7BC9"/>
    <w:rsid w:val="00AF0CED"/>
    <w:rsid w:val="00AF2432"/>
    <w:rsid w:val="00AF31BD"/>
    <w:rsid w:val="00AF3C70"/>
    <w:rsid w:val="00AF470C"/>
    <w:rsid w:val="00AF6438"/>
    <w:rsid w:val="00AF79AE"/>
    <w:rsid w:val="00B00E4A"/>
    <w:rsid w:val="00B0131C"/>
    <w:rsid w:val="00B01F1C"/>
    <w:rsid w:val="00B02BC1"/>
    <w:rsid w:val="00B02D24"/>
    <w:rsid w:val="00B02EA7"/>
    <w:rsid w:val="00B031CB"/>
    <w:rsid w:val="00B04F77"/>
    <w:rsid w:val="00B058B5"/>
    <w:rsid w:val="00B06D2F"/>
    <w:rsid w:val="00B07171"/>
    <w:rsid w:val="00B07173"/>
    <w:rsid w:val="00B07739"/>
    <w:rsid w:val="00B07C8A"/>
    <w:rsid w:val="00B10013"/>
    <w:rsid w:val="00B10E1E"/>
    <w:rsid w:val="00B11E3E"/>
    <w:rsid w:val="00B11F0D"/>
    <w:rsid w:val="00B1217E"/>
    <w:rsid w:val="00B12333"/>
    <w:rsid w:val="00B13A91"/>
    <w:rsid w:val="00B1419C"/>
    <w:rsid w:val="00B15548"/>
    <w:rsid w:val="00B1687F"/>
    <w:rsid w:val="00B20276"/>
    <w:rsid w:val="00B20284"/>
    <w:rsid w:val="00B20963"/>
    <w:rsid w:val="00B21419"/>
    <w:rsid w:val="00B21658"/>
    <w:rsid w:val="00B21A18"/>
    <w:rsid w:val="00B24110"/>
    <w:rsid w:val="00B2434A"/>
    <w:rsid w:val="00B24813"/>
    <w:rsid w:val="00B24C1A"/>
    <w:rsid w:val="00B2508D"/>
    <w:rsid w:val="00B258C4"/>
    <w:rsid w:val="00B30AD4"/>
    <w:rsid w:val="00B30FF4"/>
    <w:rsid w:val="00B31AC2"/>
    <w:rsid w:val="00B31AF4"/>
    <w:rsid w:val="00B31EC3"/>
    <w:rsid w:val="00B3233A"/>
    <w:rsid w:val="00B3265D"/>
    <w:rsid w:val="00B32AE3"/>
    <w:rsid w:val="00B34E84"/>
    <w:rsid w:val="00B354FD"/>
    <w:rsid w:val="00B3578A"/>
    <w:rsid w:val="00B37252"/>
    <w:rsid w:val="00B400C5"/>
    <w:rsid w:val="00B41CCB"/>
    <w:rsid w:val="00B46B89"/>
    <w:rsid w:val="00B4765C"/>
    <w:rsid w:val="00B50697"/>
    <w:rsid w:val="00B51BFB"/>
    <w:rsid w:val="00B531F8"/>
    <w:rsid w:val="00B5485C"/>
    <w:rsid w:val="00B54B48"/>
    <w:rsid w:val="00B56E20"/>
    <w:rsid w:val="00B57069"/>
    <w:rsid w:val="00B61D63"/>
    <w:rsid w:val="00B63CA4"/>
    <w:rsid w:val="00B64445"/>
    <w:rsid w:val="00B644CE"/>
    <w:rsid w:val="00B64766"/>
    <w:rsid w:val="00B6478F"/>
    <w:rsid w:val="00B64E75"/>
    <w:rsid w:val="00B66126"/>
    <w:rsid w:val="00B705B5"/>
    <w:rsid w:val="00B70C75"/>
    <w:rsid w:val="00B717DC"/>
    <w:rsid w:val="00B720E3"/>
    <w:rsid w:val="00B727EA"/>
    <w:rsid w:val="00B72F9D"/>
    <w:rsid w:val="00B739A7"/>
    <w:rsid w:val="00B73E0B"/>
    <w:rsid w:val="00B762ED"/>
    <w:rsid w:val="00B77287"/>
    <w:rsid w:val="00B8047C"/>
    <w:rsid w:val="00B80C64"/>
    <w:rsid w:val="00B826D9"/>
    <w:rsid w:val="00B833F4"/>
    <w:rsid w:val="00B85EA8"/>
    <w:rsid w:val="00B85EF8"/>
    <w:rsid w:val="00B8668D"/>
    <w:rsid w:val="00B86D63"/>
    <w:rsid w:val="00B877E8"/>
    <w:rsid w:val="00B902DB"/>
    <w:rsid w:val="00B90445"/>
    <w:rsid w:val="00B90CE7"/>
    <w:rsid w:val="00B91622"/>
    <w:rsid w:val="00B916D2"/>
    <w:rsid w:val="00B951D3"/>
    <w:rsid w:val="00B95A0E"/>
    <w:rsid w:val="00B95ED6"/>
    <w:rsid w:val="00B96215"/>
    <w:rsid w:val="00B96AD3"/>
    <w:rsid w:val="00B97106"/>
    <w:rsid w:val="00B97F02"/>
    <w:rsid w:val="00BA22BB"/>
    <w:rsid w:val="00BA252C"/>
    <w:rsid w:val="00BA2D3F"/>
    <w:rsid w:val="00BA36F9"/>
    <w:rsid w:val="00BA45F4"/>
    <w:rsid w:val="00BA4DE2"/>
    <w:rsid w:val="00BA5B6A"/>
    <w:rsid w:val="00BB04E5"/>
    <w:rsid w:val="00BB146C"/>
    <w:rsid w:val="00BB27C8"/>
    <w:rsid w:val="00BB3868"/>
    <w:rsid w:val="00BB449E"/>
    <w:rsid w:val="00BB5076"/>
    <w:rsid w:val="00BB5138"/>
    <w:rsid w:val="00BB5419"/>
    <w:rsid w:val="00BB578C"/>
    <w:rsid w:val="00BB6398"/>
    <w:rsid w:val="00BB72E5"/>
    <w:rsid w:val="00BB77C6"/>
    <w:rsid w:val="00BC073F"/>
    <w:rsid w:val="00BC206C"/>
    <w:rsid w:val="00BC2C8E"/>
    <w:rsid w:val="00BC4070"/>
    <w:rsid w:val="00BC4506"/>
    <w:rsid w:val="00BC4F53"/>
    <w:rsid w:val="00BC62E6"/>
    <w:rsid w:val="00BC6916"/>
    <w:rsid w:val="00BC6B41"/>
    <w:rsid w:val="00BC784D"/>
    <w:rsid w:val="00BD049D"/>
    <w:rsid w:val="00BD04F0"/>
    <w:rsid w:val="00BD11D3"/>
    <w:rsid w:val="00BD1AD3"/>
    <w:rsid w:val="00BD2170"/>
    <w:rsid w:val="00BD25B3"/>
    <w:rsid w:val="00BD295A"/>
    <w:rsid w:val="00BD3BC3"/>
    <w:rsid w:val="00BD4228"/>
    <w:rsid w:val="00BD46C0"/>
    <w:rsid w:val="00BD5779"/>
    <w:rsid w:val="00BD6483"/>
    <w:rsid w:val="00BD7BDE"/>
    <w:rsid w:val="00BD7C91"/>
    <w:rsid w:val="00BE0C76"/>
    <w:rsid w:val="00BE1033"/>
    <w:rsid w:val="00BE217C"/>
    <w:rsid w:val="00BE25E1"/>
    <w:rsid w:val="00BE405F"/>
    <w:rsid w:val="00BE4129"/>
    <w:rsid w:val="00BE44E8"/>
    <w:rsid w:val="00BE5F2B"/>
    <w:rsid w:val="00BE66CD"/>
    <w:rsid w:val="00BE76E2"/>
    <w:rsid w:val="00BE7E94"/>
    <w:rsid w:val="00BF2121"/>
    <w:rsid w:val="00BF2B61"/>
    <w:rsid w:val="00BF3222"/>
    <w:rsid w:val="00BF4B23"/>
    <w:rsid w:val="00BF60AE"/>
    <w:rsid w:val="00BF6DA5"/>
    <w:rsid w:val="00BF6E09"/>
    <w:rsid w:val="00C0037E"/>
    <w:rsid w:val="00C03817"/>
    <w:rsid w:val="00C03ED8"/>
    <w:rsid w:val="00C07842"/>
    <w:rsid w:val="00C1212A"/>
    <w:rsid w:val="00C12356"/>
    <w:rsid w:val="00C1264A"/>
    <w:rsid w:val="00C1583D"/>
    <w:rsid w:val="00C15EC4"/>
    <w:rsid w:val="00C17027"/>
    <w:rsid w:val="00C1740C"/>
    <w:rsid w:val="00C17609"/>
    <w:rsid w:val="00C17F41"/>
    <w:rsid w:val="00C210D3"/>
    <w:rsid w:val="00C214AB"/>
    <w:rsid w:val="00C24074"/>
    <w:rsid w:val="00C25ADA"/>
    <w:rsid w:val="00C264AB"/>
    <w:rsid w:val="00C26995"/>
    <w:rsid w:val="00C26C5A"/>
    <w:rsid w:val="00C270BC"/>
    <w:rsid w:val="00C27678"/>
    <w:rsid w:val="00C30029"/>
    <w:rsid w:val="00C30504"/>
    <w:rsid w:val="00C31177"/>
    <w:rsid w:val="00C31346"/>
    <w:rsid w:val="00C325B0"/>
    <w:rsid w:val="00C32DDA"/>
    <w:rsid w:val="00C33896"/>
    <w:rsid w:val="00C33F33"/>
    <w:rsid w:val="00C34216"/>
    <w:rsid w:val="00C3460D"/>
    <w:rsid w:val="00C36950"/>
    <w:rsid w:val="00C40703"/>
    <w:rsid w:val="00C41EFC"/>
    <w:rsid w:val="00C42A90"/>
    <w:rsid w:val="00C4452D"/>
    <w:rsid w:val="00C46D89"/>
    <w:rsid w:val="00C47DC3"/>
    <w:rsid w:val="00C51AB1"/>
    <w:rsid w:val="00C52765"/>
    <w:rsid w:val="00C5400C"/>
    <w:rsid w:val="00C54167"/>
    <w:rsid w:val="00C541FB"/>
    <w:rsid w:val="00C54B89"/>
    <w:rsid w:val="00C54EB8"/>
    <w:rsid w:val="00C55465"/>
    <w:rsid w:val="00C560B8"/>
    <w:rsid w:val="00C576C5"/>
    <w:rsid w:val="00C57E71"/>
    <w:rsid w:val="00C60816"/>
    <w:rsid w:val="00C6113C"/>
    <w:rsid w:val="00C61B31"/>
    <w:rsid w:val="00C61F0D"/>
    <w:rsid w:val="00C6260C"/>
    <w:rsid w:val="00C63424"/>
    <w:rsid w:val="00C65D18"/>
    <w:rsid w:val="00C67595"/>
    <w:rsid w:val="00C67DBB"/>
    <w:rsid w:val="00C70298"/>
    <w:rsid w:val="00C7079A"/>
    <w:rsid w:val="00C720E4"/>
    <w:rsid w:val="00C7354A"/>
    <w:rsid w:val="00C745AA"/>
    <w:rsid w:val="00C75F4F"/>
    <w:rsid w:val="00C76EDA"/>
    <w:rsid w:val="00C77265"/>
    <w:rsid w:val="00C7745B"/>
    <w:rsid w:val="00C77E32"/>
    <w:rsid w:val="00C803CE"/>
    <w:rsid w:val="00C8084B"/>
    <w:rsid w:val="00C819F9"/>
    <w:rsid w:val="00C82101"/>
    <w:rsid w:val="00C82BC8"/>
    <w:rsid w:val="00C84015"/>
    <w:rsid w:val="00C85E77"/>
    <w:rsid w:val="00C86B5C"/>
    <w:rsid w:val="00C86C1B"/>
    <w:rsid w:val="00C86E6D"/>
    <w:rsid w:val="00C874F2"/>
    <w:rsid w:val="00C876B1"/>
    <w:rsid w:val="00C8779E"/>
    <w:rsid w:val="00C911D4"/>
    <w:rsid w:val="00C91287"/>
    <w:rsid w:val="00C93521"/>
    <w:rsid w:val="00C93888"/>
    <w:rsid w:val="00C93BB4"/>
    <w:rsid w:val="00C94704"/>
    <w:rsid w:val="00C94D3F"/>
    <w:rsid w:val="00C957D5"/>
    <w:rsid w:val="00C96459"/>
    <w:rsid w:val="00C96E38"/>
    <w:rsid w:val="00C9731B"/>
    <w:rsid w:val="00C97C92"/>
    <w:rsid w:val="00CA0401"/>
    <w:rsid w:val="00CA0A89"/>
    <w:rsid w:val="00CA11F6"/>
    <w:rsid w:val="00CA1229"/>
    <w:rsid w:val="00CA1375"/>
    <w:rsid w:val="00CA179C"/>
    <w:rsid w:val="00CA1938"/>
    <w:rsid w:val="00CA1CB7"/>
    <w:rsid w:val="00CA1CD2"/>
    <w:rsid w:val="00CA37A8"/>
    <w:rsid w:val="00CA4EEB"/>
    <w:rsid w:val="00CA6A3F"/>
    <w:rsid w:val="00CA6B32"/>
    <w:rsid w:val="00CA7C4D"/>
    <w:rsid w:val="00CB0E63"/>
    <w:rsid w:val="00CB1417"/>
    <w:rsid w:val="00CB2777"/>
    <w:rsid w:val="00CB2E1F"/>
    <w:rsid w:val="00CB478B"/>
    <w:rsid w:val="00CB5158"/>
    <w:rsid w:val="00CB5944"/>
    <w:rsid w:val="00CB6D46"/>
    <w:rsid w:val="00CB7161"/>
    <w:rsid w:val="00CB728B"/>
    <w:rsid w:val="00CB735C"/>
    <w:rsid w:val="00CB7D80"/>
    <w:rsid w:val="00CC027E"/>
    <w:rsid w:val="00CC1235"/>
    <w:rsid w:val="00CC1CCD"/>
    <w:rsid w:val="00CC20F9"/>
    <w:rsid w:val="00CC26F5"/>
    <w:rsid w:val="00CC2BB2"/>
    <w:rsid w:val="00CC3911"/>
    <w:rsid w:val="00CC3D51"/>
    <w:rsid w:val="00CC481B"/>
    <w:rsid w:val="00CC66B9"/>
    <w:rsid w:val="00CC6847"/>
    <w:rsid w:val="00CD088F"/>
    <w:rsid w:val="00CD0AD4"/>
    <w:rsid w:val="00CD186C"/>
    <w:rsid w:val="00CD1FC9"/>
    <w:rsid w:val="00CD1FD8"/>
    <w:rsid w:val="00CD2E19"/>
    <w:rsid w:val="00CD3B17"/>
    <w:rsid w:val="00CD3BC9"/>
    <w:rsid w:val="00CD3C59"/>
    <w:rsid w:val="00CD5D78"/>
    <w:rsid w:val="00CD60D5"/>
    <w:rsid w:val="00CD7C9C"/>
    <w:rsid w:val="00CE02C1"/>
    <w:rsid w:val="00CE0432"/>
    <w:rsid w:val="00CE11A9"/>
    <w:rsid w:val="00CE1739"/>
    <w:rsid w:val="00CE1907"/>
    <w:rsid w:val="00CE1BB4"/>
    <w:rsid w:val="00CE2836"/>
    <w:rsid w:val="00CE3A57"/>
    <w:rsid w:val="00CE4FCA"/>
    <w:rsid w:val="00CE6A0A"/>
    <w:rsid w:val="00CE6ADD"/>
    <w:rsid w:val="00CE6F12"/>
    <w:rsid w:val="00CE7E61"/>
    <w:rsid w:val="00CE7ED6"/>
    <w:rsid w:val="00CF0EA2"/>
    <w:rsid w:val="00CF28C2"/>
    <w:rsid w:val="00CF29E3"/>
    <w:rsid w:val="00CF34B8"/>
    <w:rsid w:val="00CF3A2B"/>
    <w:rsid w:val="00CF4957"/>
    <w:rsid w:val="00CF5875"/>
    <w:rsid w:val="00CF648C"/>
    <w:rsid w:val="00CF6FB5"/>
    <w:rsid w:val="00CF6FCE"/>
    <w:rsid w:val="00CF77E7"/>
    <w:rsid w:val="00CF7FDA"/>
    <w:rsid w:val="00D00227"/>
    <w:rsid w:val="00D00B5D"/>
    <w:rsid w:val="00D01634"/>
    <w:rsid w:val="00D01CC0"/>
    <w:rsid w:val="00D022B9"/>
    <w:rsid w:val="00D02DFC"/>
    <w:rsid w:val="00D02FFE"/>
    <w:rsid w:val="00D032F2"/>
    <w:rsid w:val="00D0423D"/>
    <w:rsid w:val="00D04651"/>
    <w:rsid w:val="00D047E5"/>
    <w:rsid w:val="00D049C3"/>
    <w:rsid w:val="00D073F3"/>
    <w:rsid w:val="00D077B7"/>
    <w:rsid w:val="00D07887"/>
    <w:rsid w:val="00D07B61"/>
    <w:rsid w:val="00D07D80"/>
    <w:rsid w:val="00D10178"/>
    <w:rsid w:val="00D101D2"/>
    <w:rsid w:val="00D10A35"/>
    <w:rsid w:val="00D11AFD"/>
    <w:rsid w:val="00D1209F"/>
    <w:rsid w:val="00D12713"/>
    <w:rsid w:val="00D12EC1"/>
    <w:rsid w:val="00D1349A"/>
    <w:rsid w:val="00D138E6"/>
    <w:rsid w:val="00D1440B"/>
    <w:rsid w:val="00D15525"/>
    <w:rsid w:val="00D16CFB"/>
    <w:rsid w:val="00D16DE6"/>
    <w:rsid w:val="00D16F88"/>
    <w:rsid w:val="00D208A6"/>
    <w:rsid w:val="00D213E6"/>
    <w:rsid w:val="00D213F4"/>
    <w:rsid w:val="00D21DAE"/>
    <w:rsid w:val="00D22F77"/>
    <w:rsid w:val="00D2356D"/>
    <w:rsid w:val="00D243A2"/>
    <w:rsid w:val="00D24887"/>
    <w:rsid w:val="00D249E3"/>
    <w:rsid w:val="00D25DF2"/>
    <w:rsid w:val="00D26BAA"/>
    <w:rsid w:val="00D2720E"/>
    <w:rsid w:val="00D273D5"/>
    <w:rsid w:val="00D3008F"/>
    <w:rsid w:val="00D3309D"/>
    <w:rsid w:val="00D3442B"/>
    <w:rsid w:val="00D34D0B"/>
    <w:rsid w:val="00D34DF8"/>
    <w:rsid w:val="00D36006"/>
    <w:rsid w:val="00D36496"/>
    <w:rsid w:val="00D370DD"/>
    <w:rsid w:val="00D40186"/>
    <w:rsid w:val="00D4251F"/>
    <w:rsid w:val="00D4282D"/>
    <w:rsid w:val="00D43B64"/>
    <w:rsid w:val="00D45965"/>
    <w:rsid w:val="00D45A23"/>
    <w:rsid w:val="00D460AC"/>
    <w:rsid w:val="00D46D80"/>
    <w:rsid w:val="00D479A4"/>
    <w:rsid w:val="00D506E1"/>
    <w:rsid w:val="00D50A5E"/>
    <w:rsid w:val="00D50CFD"/>
    <w:rsid w:val="00D528B5"/>
    <w:rsid w:val="00D52E95"/>
    <w:rsid w:val="00D534E2"/>
    <w:rsid w:val="00D56E13"/>
    <w:rsid w:val="00D574D6"/>
    <w:rsid w:val="00D607C2"/>
    <w:rsid w:val="00D61199"/>
    <w:rsid w:val="00D61F40"/>
    <w:rsid w:val="00D622EC"/>
    <w:rsid w:val="00D623AF"/>
    <w:rsid w:val="00D64126"/>
    <w:rsid w:val="00D65953"/>
    <w:rsid w:val="00D65A78"/>
    <w:rsid w:val="00D70853"/>
    <w:rsid w:val="00D70C8E"/>
    <w:rsid w:val="00D726AD"/>
    <w:rsid w:val="00D73633"/>
    <w:rsid w:val="00D73FDF"/>
    <w:rsid w:val="00D75813"/>
    <w:rsid w:val="00D76018"/>
    <w:rsid w:val="00D76083"/>
    <w:rsid w:val="00D7779A"/>
    <w:rsid w:val="00D8040E"/>
    <w:rsid w:val="00D81C5F"/>
    <w:rsid w:val="00D828AC"/>
    <w:rsid w:val="00D83251"/>
    <w:rsid w:val="00D8482F"/>
    <w:rsid w:val="00D85744"/>
    <w:rsid w:val="00D8624B"/>
    <w:rsid w:val="00D863F8"/>
    <w:rsid w:val="00D90682"/>
    <w:rsid w:val="00D90C42"/>
    <w:rsid w:val="00D90FDA"/>
    <w:rsid w:val="00D91844"/>
    <w:rsid w:val="00D943A3"/>
    <w:rsid w:val="00D9614A"/>
    <w:rsid w:val="00D963A5"/>
    <w:rsid w:val="00D97408"/>
    <w:rsid w:val="00D9755B"/>
    <w:rsid w:val="00D9761B"/>
    <w:rsid w:val="00D9780E"/>
    <w:rsid w:val="00DA02B6"/>
    <w:rsid w:val="00DA049C"/>
    <w:rsid w:val="00DA1DE6"/>
    <w:rsid w:val="00DA2F03"/>
    <w:rsid w:val="00DA4E28"/>
    <w:rsid w:val="00DA59B9"/>
    <w:rsid w:val="00DA657E"/>
    <w:rsid w:val="00DA68F6"/>
    <w:rsid w:val="00DA6F72"/>
    <w:rsid w:val="00DB03D9"/>
    <w:rsid w:val="00DB0ED2"/>
    <w:rsid w:val="00DB139A"/>
    <w:rsid w:val="00DB3587"/>
    <w:rsid w:val="00DB4122"/>
    <w:rsid w:val="00DB52EA"/>
    <w:rsid w:val="00DB5BAA"/>
    <w:rsid w:val="00DB6C28"/>
    <w:rsid w:val="00DB7330"/>
    <w:rsid w:val="00DB7BD6"/>
    <w:rsid w:val="00DC01CF"/>
    <w:rsid w:val="00DC0304"/>
    <w:rsid w:val="00DC048F"/>
    <w:rsid w:val="00DC05AA"/>
    <w:rsid w:val="00DC05C9"/>
    <w:rsid w:val="00DC07E6"/>
    <w:rsid w:val="00DC1B77"/>
    <w:rsid w:val="00DC1D64"/>
    <w:rsid w:val="00DC2245"/>
    <w:rsid w:val="00DC23E2"/>
    <w:rsid w:val="00DC3758"/>
    <w:rsid w:val="00DC3B4F"/>
    <w:rsid w:val="00DC5EF3"/>
    <w:rsid w:val="00DD177A"/>
    <w:rsid w:val="00DD1CB4"/>
    <w:rsid w:val="00DD1D88"/>
    <w:rsid w:val="00DD1E12"/>
    <w:rsid w:val="00DD25AF"/>
    <w:rsid w:val="00DD2B5A"/>
    <w:rsid w:val="00DD405A"/>
    <w:rsid w:val="00DD4618"/>
    <w:rsid w:val="00DD63EA"/>
    <w:rsid w:val="00DD7942"/>
    <w:rsid w:val="00DD7C9A"/>
    <w:rsid w:val="00DE0F91"/>
    <w:rsid w:val="00DE1EB2"/>
    <w:rsid w:val="00DE24AA"/>
    <w:rsid w:val="00DE260A"/>
    <w:rsid w:val="00DE3126"/>
    <w:rsid w:val="00DE3142"/>
    <w:rsid w:val="00DE3877"/>
    <w:rsid w:val="00DE48CE"/>
    <w:rsid w:val="00DE4E50"/>
    <w:rsid w:val="00DE4F7E"/>
    <w:rsid w:val="00DE50B8"/>
    <w:rsid w:val="00DE51AF"/>
    <w:rsid w:val="00DE6415"/>
    <w:rsid w:val="00DE6453"/>
    <w:rsid w:val="00DE6A64"/>
    <w:rsid w:val="00DE72F6"/>
    <w:rsid w:val="00DE75CE"/>
    <w:rsid w:val="00DE7B75"/>
    <w:rsid w:val="00DE7D89"/>
    <w:rsid w:val="00DE7DFD"/>
    <w:rsid w:val="00DF0108"/>
    <w:rsid w:val="00DF02CF"/>
    <w:rsid w:val="00DF054C"/>
    <w:rsid w:val="00DF0696"/>
    <w:rsid w:val="00DF2554"/>
    <w:rsid w:val="00DF2587"/>
    <w:rsid w:val="00DF27D5"/>
    <w:rsid w:val="00DF31A7"/>
    <w:rsid w:val="00DF42F2"/>
    <w:rsid w:val="00DF51F1"/>
    <w:rsid w:val="00DF521F"/>
    <w:rsid w:val="00DF5223"/>
    <w:rsid w:val="00DF55D3"/>
    <w:rsid w:val="00DF7250"/>
    <w:rsid w:val="00DF72A5"/>
    <w:rsid w:val="00DF7B48"/>
    <w:rsid w:val="00E00BCE"/>
    <w:rsid w:val="00E02B75"/>
    <w:rsid w:val="00E04341"/>
    <w:rsid w:val="00E04E49"/>
    <w:rsid w:val="00E04F98"/>
    <w:rsid w:val="00E05BBE"/>
    <w:rsid w:val="00E060D6"/>
    <w:rsid w:val="00E06342"/>
    <w:rsid w:val="00E0677E"/>
    <w:rsid w:val="00E07ED7"/>
    <w:rsid w:val="00E10C8D"/>
    <w:rsid w:val="00E1153C"/>
    <w:rsid w:val="00E11A31"/>
    <w:rsid w:val="00E13035"/>
    <w:rsid w:val="00E134B3"/>
    <w:rsid w:val="00E1363E"/>
    <w:rsid w:val="00E13F01"/>
    <w:rsid w:val="00E143C7"/>
    <w:rsid w:val="00E14F4A"/>
    <w:rsid w:val="00E15FF2"/>
    <w:rsid w:val="00E1624F"/>
    <w:rsid w:val="00E20949"/>
    <w:rsid w:val="00E22095"/>
    <w:rsid w:val="00E22B41"/>
    <w:rsid w:val="00E24E70"/>
    <w:rsid w:val="00E25417"/>
    <w:rsid w:val="00E26493"/>
    <w:rsid w:val="00E26FF4"/>
    <w:rsid w:val="00E271C1"/>
    <w:rsid w:val="00E27A27"/>
    <w:rsid w:val="00E27C67"/>
    <w:rsid w:val="00E27CED"/>
    <w:rsid w:val="00E3064D"/>
    <w:rsid w:val="00E33259"/>
    <w:rsid w:val="00E33458"/>
    <w:rsid w:val="00E33C03"/>
    <w:rsid w:val="00E33F1B"/>
    <w:rsid w:val="00E346D4"/>
    <w:rsid w:val="00E34D99"/>
    <w:rsid w:val="00E352DF"/>
    <w:rsid w:val="00E35E4A"/>
    <w:rsid w:val="00E36CA0"/>
    <w:rsid w:val="00E37057"/>
    <w:rsid w:val="00E37C9D"/>
    <w:rsid w:val="00E40836"/>
    <w:rsid w:val="00E4115A"/>
    <w:rsid w:val="00E4185F"/>
    <w:rsid w:val="00E418A7"/>
    <w:rsid w:val="00E41E7D"/>
    <w:rsid w:val="00E425D3"/>
    <w:rsid w:val="00E42FDE"/>
    <w:rsid w:val="00E4395B"/>
    <w:rsid w:val="00E44EE7"/>
    <w:rsid w:val="00E451F1"/>
    <w:rsid w:val="00E45518"/>
    <w:rsid w:val="00E45D67"/>
    <w:rsid w:val="00E50CAC"/>
    <w:rsid w:val="00E52070"/>
    <w:rsid w:val="00E52BA5"/>
    <w:rsid w:val="00E53907"/>
    <w:rsid w:val="00E54872"/>
    <w:rsid w:val="00E54C00"/>
    <w:rsid w:val="00E56697"/>
    <w:rsid w:val="00E60023"/>
    <w:rsid w:val="00E600D6"/>
    <w:rsid w:val="00E605AE"/>
    <w:rsid w:val="00E61031"/>
    <w:rsid w:val="00E613A0"/>
    <w:rsid w:val="00E61705"/>
    <w:rsid w:val="00E61D84"/>
    <w:rsid w:val="00E6235E"/>
    <w:rsid w:val="00E6236E"/>
    <w:rsid w:val="00E64383"/>
    <w:rsid w:val="00E643EB"/>
    <w:rsid w:val="00E64524"/>
    <w:rsid w:val="00E66A14"/>
    <w:rsid w:val="00E674E5"/>
    <w:rsid w:val="00E675D0"/>
    <w:rsid w:val="00E677BE"/>
    <w:rsid w:val="00E702C4"/>
    <w:rsid w:val="00E71EFD"/>
    <w:rsid w:val="00E72CDA"/>
    <w:rsid w:val="00E74412"/>
    <w:rsid w:val="00E74EEC"/>
    <w:rsid w:val="00E74FFA"/>
    <w:rsid w:val="00E757CE"/>
    <w:rsid w:val="00E76FA7"/>
    <w:rsid w:val="00E7763F"/>
    <w:rsid w:val="00E80C4B"/>
    <w:rsid w:val="00E81AB3"/>
    <w:rsid w:val="00E8332B"/>
    <w:rsid w:val="00E8455F"/>
    <w:rsid w:val="00E8721F"/>
    <w:rsid w:val="00E874B4"/>
    <w:rsid w:val="00E90F8A"/>
    <w:rsid w:val="00E9259D"/>
    <w:rsid w:val="00E928D2"/>
    <w:rsid w:val="00E93101"/>
    <w:rsid w:val="00E9313E"/>
    <w:rsid w:val="00E948A5"/>
    <w:rsid w:val="00E95E76"/>
    <w:rsid w:val="00E962F2"/>
    <w:rsid w:val="00E9716E"/>
    <w:rsid w:val="00E977FB"/>
    <w:rsid w:val="00EA0ED1"/>
    <w:rsid w:val="00EA279A"/>
    <w:rsid w:val="00EA2F8B"/>
    <w:rsid w:val="00EA4A86"/>
    <w:rsid w:val="00EA57D0"/>
    <w:rsid w:val="00EA6445"/>
    <w:rsid w:val="00EA70CB"/>
    <w:rsid w:val="00EA71EB"/>
    <w:rsid w:val="00EA7D98"/>
    <w:rsid w:val="00EB21D4"/>
    <w:rsid w:val="00EB2483"/>
    <w:rsid w:val="00EB2758"/>
    <w:rsid w:val="00EB3769"/>
    <w:rsid w:val="00EB3ADA"/>
    <w:rsid w:val="00EB476A"/>
    <w:rsid w:val="00EB5B14"/>
    <w:rsid w:val="00EB683C"/>
    <w:rsid w:val="00EB734F"/>
    <w:rsid w:val="00EB75C2"/>
    <w:rsid w:val="00EC02A2"/>
    <w:rsid w:val="00EC070C"/>
    <w:rsid w:val="00EC0B9D"/>
    <w:rsid w:val="00EC0C9D"/>
    <w:rsid w:val="00EC0E05"/>
    <w:rsid w:val="00EC23BF"/>
    <w:rsid w:val="00EC2D8A"/>
    <w:rsid w:val="00EC3280"/>
    <w:rsid w:val="00EC3E45"/>
    <w:rsid w:val="00EC4359"/>
    <w:rsid w:val="00EC50EF"/>
    <w:rsid w:val="00EC5273"/>
    <w:rsid w:val="00EC65FD"/>
    <w:rsid w:val="00EC7FDD"/>
    <w:rsid w:val="00ED1312"/>
    <w:rsid w:val="00ED3121"/>
    <w:rsid w:val="00ED3E13"/>
    <w:rsid w:val="00ED64EE"/>
    <w:rsid w:val="00EE01D0"/>
    <w:rsid w:val="00EE08D1"/>
    <w:rsid w:val="00EE0E63"/>
    <w:rsid w:val="00EE47B1"/>
    <w:rsid w:val="00EE4B92"/>
    <w:rsid w:val="00EE5274"/>
    <w:rsid w:val="00EE55CB"/>
    <w:rsid w:val="00EE6081"/>
    <w:rsid w:val="00EE6375"/>
    <w:rsid w:val="00EE6C5B"/>
    <w:rsid w:val="00EF05FD"/>
    <w:rsid w:val="00EF1219"/>
    <w:rsid w:val="00EF1B3B"/>
    <w:rsid w:val="00EF231F"/>
    <w:rsid w:val="00EF3B2E"/>
    <w:rsid w:val="00EF4657"/>
    <w:rsid w:val="00EF4AAC"/>
    <w:rsid w:val="00EF4C37"/>
    <w:rsid w:val="00EF5378"/>
    <w:rsid w:val="00EF54AC"/>
    <w:rsid w:val="00EF59F0"/>
    <w:rsid w:val="00F00465"/>
    <w:rsid w:val="00F00719"/>
    <w:rsid w:val="00F00F70"/>
    <w:rsid w:val="00F02FDE"/>
    <w:rsid w:val="00F0440E"/>
    <w:rsid w:val="00F045F2"/>
    <w:rsid w:val="00F05C0C"/>
    <w:rsid w:val="00F05C68"/>
    <w:rsid w:val="00F075A8"/>
    <w:rsid w:val="00F10B41"/>
    <w:rsid w:val="00F113B5"/>
    <w:rsid w:val="00F1154F"/>
    <w:rsid w:val="00F12106"/>
    <w:rsid w:val="00F13231"/>
    <w:rsid w:val="00F149A4"/>
    <w:rsid w:val="00F15307"/>
    <w:rsid w:val="00F15AB4"/>
    <w:rsid w:val="00F15ED8"/>
    <w:rsid w:val="00F164E6"/>
    <w:rsid w:val="00F16DC2"/>
    <w:rsid w:val="00F17346"/>
    <w:rsid w:val="00F178C8"/>
    <w:rsid w:val="00F17B63"/>
    <w:rsid w:val="00F21756"/>
    <w:rsid w:val="00F2296F"/>
    <w:rsid w:val="00F252E5"/>
    <w:rsid w:val="00F26A87"/>
    <w:rsid w:val="00F27049"/>
    <w:rsid w:val="00F308D4"/>
    <w:rsid w:val="00F30CF8"/>
    <w:rsid w:val="00F34292"/>
    <w:rsid w:val="00F35ABF"/>
    <w:rsid w:val="00F362B5"/>
    <w:rsid w:val="00F36B80"/>
    <w:rsid w:val="00F405A9"/>
    <w:rsid w:val="00F41906"/>
    <w:rsid w:val="00F4190E"/>
    <w:rsid w:val="00F41A6F"/>
    <w:rsid w:val="00F41F1A"/>
    <w:rsid w:val="00F4375D"/>
    <w:rsid w:val="00F460F9"/>
    <w:rsid w:val="00F46D04"/>
    <w:rsid w:val="00F4723C"/>
    <w:rsid w:val="00F47F3F"/>
    <w:rsid w:val="00F520A9"/>
    <w:rsid w:val="00F52F66"/>
    <w:rsid w:val="00F534F3"/>
    <w:rsid w:val="00F53AA0"/>
    <w:rsid w:val="00F54B7A"/>
    <w:rsid w:val="00F54D98"/>
    <w:rsid w:val="00F5519F"/>
    <w:rsid w:val="00F55C18"/>
    <w:rsid w:val="00F57471"/>
    <w:rsid w:val="00F57672"/>
    <w:rsid w:val="00F608E2"/>
    <w:rsid w:val="00F61591"/>
    <w:rsid w:val="00F61E95"/>
    <w:rsid w:val="00F63934"/>
    <w:rsid w:val="00F647A2"/>
    <w:rsid w:val="00F64F8E"/>
    <w:rsid w:val="00F66ABB"/>
    <w:rsid w:val="00F7014A"/>
    <w:rsid w:val="00F7062F"/>
    <w:rsid w:val="00F715BA"/>
    <w:rsid w:val="00F72CAC"/>
    <w:rsid w:val="00F7304F"/>
    <w:rsid w:val="00F750A2"/>
    <w:rsid w:val="00F7574E"/>
    <w:rsid w:val="00F76B24"/>
    <w:rsid w:val="00F76B4C"/>
    <w:rsid w:val="00F7719C"/>
    <w:rsid w:val="00F773B6"/>
    <w:rsid w:val="00F7747B"/>
    <w:rsid w:val="00F777F3"/>
    <w:rsid w:val="00F77815"/>
    <w:rsid w:val="00F77B94"/>
    <w:rsid w:val="00F80155"/>
    <w:rsid w:val="00F80F5B"/>
    <w:rsid w:val="00F8118E"/>
    <w:rsid w:val="00F818FA"/>
    <w:rsid w:val="00F84618"/>
    <w:rsid w:val="00F84C34"/>
    <w:rsid w:val="00F8609A"/>
    <w:rsid w:val="00F86B1B"/>
    <w:rsid w:val="00F8764E"/>
    <w:rsid w:val="00F87871"/>
    <w:rsid w:val="00F878C2"/>
    <w:rsid w:val="00F90A8F"/>
    <w:rsid w:val="00F91AB6"/>
    <w:rsid w:val="00F923DE"/>
    <w:rsid w:val="00F938EE"/>
    <w:rsid w:val="00F9423F"/>
    <w:rsid w:val="00F95529"/>
    <w:rsid w:val="00F965F7"/>
    <w:rsid w:val="00F96B8E"/>
    <w:rsid w:val="00F96CC1"/>
    <w:rsid w:val="00F977F7"/>
    <w:rsid w:val="00F97934"/>
    <w:rsid w:val="00FA108E"/>
    <w:rsid w:val="00FA2F73"/>
    <w:rsid w:val="00FA352C"/>
    <w:rsid w:val="00FA3C01"/>
    <w:rsid w:val="00FA3EB0"/>
    <w:rsid w:val="00FA4155"/>
    <w:rsid w:val="00FA4A08"/>
    <w:rsid w:val="00FA4DB9"/>
    <w:rsid w:val="00FA60BF"/>
    <w:rsid w:val="00FA67E6"/>
    <w:rsid w:val="00FA707C"/>
    <w:rsid w:val="00FB13C0"/>
    <w:rsid w:val="00FB204D"/>
    <w:rsid w:val="00FB22A1"/>
    <w:rsid w:val="00FB2CE4"/>
    <w:rsid w:val="00FB3C74"/>
    <w:rsid w:val="00FB4486"/>
    <w:rsid w:val="00FB4BAB"/>
    <w:rsid w:val="00FB4C7F"/>
    <w:rsid w:val="00FB4DFC"/>
    <w:rsid w:val="00FB5308"/>
    <w:rsid w:val="00FB5E23"/>
    <w:rsid w:val="00FB6F40"/>
    <w:rsid w:val="00FB6FB1"/>
    <w:rsid w:val="00FB7CD5"/>
    <w:rsid w:val="00FC057E"/>
    <w:rsid w:val="00FC09B6"/>
    <w:rsid w:val="00FC0E82"/>
    <w:rsid w:val="00FC1C7C"/>
    <w:rsid w:val="00FC1ED9"/>
    <w:rsid w:val="00FC23EF"/>
    <w:rsid w:val="00FC3C5B"/>
    <w:rsid w:val="00FC3DC5"/>
    <w:rsid w:val="00FC692E"/>
    <w:rsid w:val="00FD0635"/>
    <w:rsid w:val="00FD08E7"/>
    <w:rsid w:val="00FD326B"/>
    <w:rsid w:val="00FD4590"/>
    <w:rsid w:val="00FD5416"/>
    <w:rsid w:val="00FD5EDE"/>
    <w:rsid w:val="00FD6FA6"/>
    <w:rsid w:val="00FD7CE2"/>
    <w:rsid w:val="00FE0490"/>
    <w:rsid w:val="00FE14CB"/>
    <w:rsid w:val="00FE224B"/>
    <w:rsid w:val="00FE25D0"/>
    <w:rsid w:val="00FE27E3"/>
    <w:rsid w:val="00FE3E11"/>
    <w:rsid w:val="00FE437E"/>
    <w:rsid w:val="00FE44B9"/>
    <w:rsid w:val="00FE469E"/>
    <w:rsid w:val="00FE5245"/>
    <w:rsid w:val="00FE585E"/>
    <w:rsid w:val="00FE5897"/>
    <w:rsid w:val="00FE5A74"/>
    <w:rsid w:val="00FE6905"/>
    <w:rsid w:val="00FE7D3B"/>
    <w:rsid w:val="00FE7EE4"/>
    <w:rsid w:val="00FF0CE4"/>
    <w:rsid w:val="00FF1496"/>
    <w:rsid w:val="00FF1CE6"/>
    <w:rsid w:val="00FF3293"/>
    <w:rsid w:val="00FF32A1"/>
    <w:rsid w:val="00FF37E9"/>
    <w:rsid w:val="00FF3AB6"/>
    <w:rsid w:val="00FF3FA1"/>
    <w:rsid w:val="00FF5A82"/>
    <w:rsid w:val="00FF5D23"/>
    <w:rsid w:val="00FF604A"/>
    <w:rsid w:val="00FF615D"/>
    <w:rsid w:val="00FF6511"/>
    <w:rsid w:val="00FF7475"/>
    <w:rsid w:val="00FF7D2B"/>
    <w:rsid w:val="011B609E"/>
    <w:rsid w:val="01203AB8"/>
    <w:rsid w:val="015010AA"/>
    <w:rsid w:val="016A347B"/>
    <w:rsid w:val="018D1D97"/>
    <w:rsid w:val="019C54BA"/>
    <w:rsid w:val="01B11D31"/>
    <w:rsid w:val="01B14C06"/>
    <w:rsid w:val="01BB2247"/>
    <w:rsid w:val="01C20C37"/>
    <w:rsid w:val="01E21679"/>
    <w:rsid w:val="02497DC5"/>
    <w:rsid w:val="02D72892"/>
    <w:rsid w:val="0313351D"/>
    <w:rsid w:val="03225EBC"/>
    <w:rsid w:val="0331568B"/>
    <w:rsid w:val="03331B52"/>
    <w:rsid w:val="034E123B"/>
    <w:rsid w:val="03AF009C"/>
    <w:rsid w:val="03B22EB7"/>
    <w:rsid w:val="03EE1974"/>
    <w:rsid w:val="03F946A1"/>
    <w:rsid w:val="0498022D"/>
    <w:rsid w:val="04C41D07"/>
    <w:rsid w:val="04D47AED"/>
    <w:rsid w:val="04D72BD5"/>
    <w:rsid w:val="04DD0BDE"/>
    <w:rsid w:val="04F211FD"/>
    <w:rsid w:val="04F5163C"/>
    <w:rsid w:val="054144F3"/>
    <w:rsid w:val="05610E93"/>
    <w:rsid w:val="05BF3C09"/>
    <w:rsid w:val="05C11CB3"/>
    <w:rsid w:val="06291F19"/>
    <w:rsid w:val="06311428"/>
    <w:rsid w:val="064B2EFA"/>
    <w:rsid w:val="06986394"/>
    <w:rsid w:val="06B2781F"/>
    <w:rsid w:val="06BC4119"/>
    <w:rsid w:val="06FC4FE2"/>
    <w:rsid w:val="071E1F77"/>
    <w:rsid w:val="07230354"/>
    <w:rsid w:val="078330CF"/>
    <w:rsid w:val="07CB7562"/>
    <w:rsid w:val="08210512"/>
    <w:rsid w:val="08246B9D"/>
    <w:rsid w:val="0841589E"/>
    <w:rsid w:val="08606D2F"/>
    <w:rsid w:val="08A5700D"/>
    <w:rsid w:val="08A950C0"/>
    <w:rsid w:val="09320D22"/>
    <w:rsid w:val="094A73A8"/>
    <w:rsid w:val="094F54E0"/>
    <w:rsid w:val="09B252A0"/>
    <w:rsid w:val="09B5355E"/>
    <w:rsid w:val="0A0E7CC3"/>
    <w:rsid w:val="0A9C3FF0"/>
    <w:rsid w:val="0A9D5F75"/>
    <w:rsid w:val="0AAE050B"/>
    <w:rsid w:val="0AFE3D21"/>
    <w:rsid w:val="0B3E34A4"/>
    <w:rsid w:val="0B7D3B65"/>
    <w:rsid w:val="0B861314"/>
    <w:rsid w:val="0BA76028"/>
    <w:rsid w:val="0BF927F0"/>
    <w:rsid w:val="0C1B1C59"/>
    <w:rsid w:val="0C347916"/>
    <w:rsid w:val="0C527C98"/>
    <w:rsid w:val="0C6A6D99"/>
    <w:rsid w:val="0C6D7423"/>
    <w:rsid w:val="0CCC02C9"/>
    <w:rsid w:val="0CDE0DBE"/>
    <w:rsid w:val="0D4268F6"/>
    <w:rsid w:val="0D6047E0"/>
    <w:rsid w:val="0D663D9A"/>
    <w:rsid w:val="0D6D7E7A"/>
    <w:rsid w:val="0D803DE0"/>
    <w:rsid w:val="0D9B25D5"/>
    <w:rsid w:val="0DFF4618"/>
    <w:rsid w:val="0E1606BA"/>
    <w:rsid w:val="0E186C04"/>
    <w:rsid w:val="0E466A71"/>
    <w:rsid w:val="0E817E24"/>
    <w:rsid w:val="0EA65706"/>
    <w:rsid w:val="0EA867EE"/>
    <w:rsid w:val="0EAB79FE"/>
    <w:rsid w:val="0EAE4631"/>
    <w:rsid w:val="0ED938A1"/>
    <w:rsid w:val="0F1F783B"/>
    <w:rsid w:val="0F2332B5"/>
    <w:rsid w:val="0F3672DB"/>
    <w:rsid w:val="0F3B1C50"/>
    <w:rsid w:val="0F4B5006"/>
    <w:rsid w:val="0F6C173D"/>
    <w:rsid w:val="0F723707"/>
    <w:rsid w:val="0F9E1512"/>
    <w:rsid w:val="0FC6545B"/>
    <w:rsid w:val="0FE515BF"/>
    <w:rsid w:val="0FF11AD6"/>
    <w:rsid w:val="10085717"/>
    <w:rsid w:val="1067666B"/>
    <w:rsid w:val="107E6B00"/>
    <w:rsid w:val="10AD2D8F"/>
    <w:rsid w:val="10EC36E3"/>
    <w:rsid w:val="11186A30"/>
    <w:rsid w:val="1120753A"/>
    <w:rsid w:val="11524517"/>
    <w:rsid w:val="116B2378"/>
    <w:rsid w:val="11A67D57"/>
    <w:rsid w:val="11F0422D"/>
    <w:rsid w:val="1202516B"/>
    <w:rsid w:val="12083555"/>
    <w:rsid w:val="1257497F"/>
    <w:rsid w:val="127C4890"/>
    <w:rsid w:val="129E0923"/>
    <w:rsid w:val="129E21C9"/>
    <w:rsid w:val="12C51243"/>
    <w:rsid w:val="12E4191E"/>
    <w:rsid w:val="12E62049"/>
    <w:rsid w:val="12FF1AC9"/>
    <w:rsid w:val="13655D82"/>
    <w:rsid w:val="137E513F"/>
    <w:rsid w:val="13A64828"/>
    <w:rsid w:val="13FF40DE"/>
    <w:rsid w:val="141170DE"/>
    <w:rsid w:val="14157701"/>
    <w:rsid w:val="14770F16"/>
    <w:rsid w:val="14935D07"/>
    <w:rsid w:val="14B44CE1"/>
    <w:rsid w:val="14B80346"/>
    <w:rsid w:val="14BE670D"/>
    <w:rsid w:val="14DF4D11"/>
    <w:rsid w:val="14E909DB"/>
    <w:rsid w:val="14F52FE5"/>
    <w:rsid w:val="1510360E"/>
    <w:rsid w:val="15205FE5"/>
    <w:rsid w:val="15AD23FE"/>
    <w:rsid w:val="15AE34DE"/>
    <w:rsid w:val="15F874DA"/>
    <w:rsid w:val="160B0882"/>
    <w:rsid w:val="160F6598"/>
    <w:rsid w:val="161D0F66"/>
    <w:rsid w:val="16337603"/>
    <w:rsid w:val="16A93BC6"/>
    <w:rsid w:val="16B33B4C"/>
    <w:rsid w:val="16EF2001"/>
    <w:rsid w:val="16FA6916"/>
    <w:rsid w:val="17077F2B"/>
    <w:rsid w:val="171447CD"/>
    <w:rsid w:val="175224D1"/>
    <w:rsid w:val="17861225"/>
    <w:rsid w:val="17A61150"/>
    <w:rsid w:val="17DB7F17"/>
    <w:rsid w:val="180065DE"/>
    <w:rsid w:val="18040BE2"/>
    <w:rsid w:val="18512847"/>
    <w:rsid w:val="18562E3A"/>
    <w:rsid w:val="18713064"/>
    <w:rsid w:val="189B6524"/>
    <w:rsid w:val="18B70996"/>
    <w:rsid w:val="18F56459"/>
    <w:rsid w:val="195C76F5"/>
    <w:rsid w:val="19772B02"/>
    <w:rsid w:val="19791E80"/>
    <w:rsid w:val="19C2772D"/>
    <w:rsid w:val="1A0A1A43"/>
    <w:rsid w:val="1A4E2C79"/>
    <w:rsid w:val="1A5B36E3"/>
    <w:rsid w:val="1A6B0DB0"/>
    <w:rsid w:val="1A6E76E0"/>
    <w:rsid w:val="1A8D09B9"/>
    <w:rsid w:val="1AC45552"/>
    <w:rsid w:val="1AE6442F"/>
    <w:rsid w:val="1AE72562"/>
    <w:rsid w:val="1AFD7DD2"/>
    <w:rsid w:val="1B1172A3"/>
    <w:rsid w:val="1B1A3DC2"/>
    <w:rsid w:val="1B3D238A"/>
    <w:rsid w:val="1B6E12C4"/>
    <w:rsid w:val="1B6E40B4"/>
    <w:rsid w:val="1BA77E3C"/>
    <w:rsid w:val="1BE514FB"/>
    <w:rsid w:val="1C0E4FD7"/>
    <w:rsid w:val="1C385A98"/>
    <w:rsid w:val="1C3D7F62"/>
    <w:rsid w:val="1C5B59DF"/>
    <w:rsid w:val="1C720395"/>
    <w:rsid w:val="1CAF2B6F"/>
    <w:rsid w:val="1CC70C64"/>
    <w:rsid w:val="1CCD47D1"/>
    <w:rsid w:val="1CE63000"/>
    <w:rsid w:val="1CF5372F"/>
    <w:rsid w:val="1D0330AF"/>
    <w:rsid w:val="1D4B5AB7"/>
    <w:rsid w:val="1D6F0EAA"/>
    <w:rsid w:val="1DBA2812"/>
    <w:rsid w:val="1DBA5E0C"/>
    <w:rsid w:val="1DE76E77"/>
    <w:rsid w:val="1DFA622C"/>
    <w:rsid w:val="1E2B7A27"/>
    <w:rsid w:val="1E413DFF"/>
    <w:rsid w:val="1ED26B6B"/>
    <w:rsid w:val="1EDB02C9"/>
    <w:rsid w:val="1EE1004B"/>
    <w:rsid w:val="1F403D00"/>
    <w:rsid w:val="1F754312"/>
    <w:rsid w:val="1FB73684"/>
    <w:rsid w:val="1FCB2C57"/>
    <w:rsid w:val="1FE1254C"/>
    <w:rsid w:val="1FF030A7"/>
    <w:rsid w:val="1FFF19CA"/>
    <w:rsid w:val="200118CD"/>
    <w:rsid w:val="204A5E21"/>
    <w:rsid w:val="204D5FEA"/>
    <w:rsid w:val="2092780F"/>
    <w:rsid w:val="20D34741"/>
    <w:rsid w:val="20FB17E4"/>
    <w:rsid w:val="21041B4F"/>
    <w:rsid w:val="212E107B"/>
    <w:rsid w:val="21661111"/>
    <w:rsid w:val="217A22CB"/>
    <w:rsid w:val="219405BB"/>
    <w:rsid w:val="219E55D3"/>
    <w:rsid w:val="21A97F88"/>
    <w:rsid w:val="21B5392E"/>
    <w:rsid w:val="22141A80"/>
    <w:rsid w:val="221A0B49"/>
    <w:rsid w:val="225D46D5"/>
    <w:rsid w:val="22BC414A"/>
    <w:rsid w:val="22EF73B1"/>
    <w:rsid w:val="231E25BB"/>
    <w:rsid w:val="23474BA1"/>
    <w:rsid w:val="23522A46"/>
    <w:rsid w:val="23956A32"/>
    <w:rsid w:val="23B50BAC"/>
    <w:rsid w:val="23FF13A9"/>
    <w:rsid w:val="24043D2A"/>
    <w:rsid w:val="24085B1D"/>
    <w:rsid w:val="241E5CD3"/>
    <w:rsid w:val="245E0F97"/>
    <w:rsid w:val="246663ED"/>
    <w:rsid w:val="24671674"/>
    <w:rsid w:val="246D27B7"/>
    <w:rsid w:val="24926765"/>
    <w:rsid w:val="24B659C5"/>
    <w:rsid w:val="24CA7C09"/>
    <w:rsid w:val="24EB5A5A"/>
    <w:rsid w:val="250D6B57"/>
    <w:rsid w:val="250E3F9A"/>
    <w:rsid w:val="25284887"/>
    <w:rsid w:val="25353F9A"/>
    <w:rsid w:val="258157FB"/>
    <w:rsid w:val="25BA0ADA"/>
    <w:rsid w:val="25D4692C"/>
    <w:rsid w:val="25D9195D"/>
    <w:rsid w:val="262518DA"/>
    <w:rsid w:val="267D2399"/>
    <w:rsid w:val="268C70C4"/>
    <w:rsid w:val="26C3475A"/>
    <w:rsid w:val="274243CE"/>
    <w:rsid w:val="27513464"/>
    <w:rsid w:val="27617FC1"/>
    <w:rsid w:val="27637980"/>
    <w:rsid w:val="27AA2ECC"/>
    <w:rsid w:val="27C10C81"/>
    <w:rsid w:val="27C6599E"/>
    <w:rsid w:val="287A53A0"/>
    <w:rsid w:val="289D60C5"/>
    <w:rsid w:val="28B5297E"/>
    <w:rsid w:val="290F02E0"/>
    <w:rsid w:val="2942746F"/>
    <w:rsid w:val="294A5EAA"/>
    <w:rsid w:val="296F408E"/>
    <w:rsid w:val="298C278E"/>
    <w:rsid w:val="29F24443"/>
    <w:rsid w:val="29FA4DB3"/>
    <w:rsid w:val="2A6334FF"/>
    <w:rsid w:val="2A814865"/>
    <w:rsid w:val="2AC02B05"/>
    <w:rsid w:val="2AD22063"/>
    <w:rsid w:val="2ADE4A5A"/>
    <w:rsid w:val="2AEB2F44"/>
    <w:rsid w:val="2B580267"/>
    <w:rsid w:val="2B904518"/>
    <w:rsid w:val="2BF56177"/>
    <w:rsid w:val="2C043729"/>
    <w:rsid w:val="2C446624"/>
    <w:rsid w:val="2C6A192D"/>
    <w:rsid w:val="2CE5167B"/>
    <w:rsid w:val="2CF67B43"/>
    <w:rsid w:val="2D062784"/>
    <w:rsid w:val="2D402581"/>
    <w:rsid w:val="2D564730"/>
    <w:rsid w:val="2D8B3AA8"/>
    <w:rsid w:val="2D8B5555"/>
    <w:rsid w:val="2DAC144D"/>
    <w:rsid w:val="2DCA4A9B"/>
    <w:rsid w:val="2DE33931"/>
    <w:rsid w:val="2E0266F3"/>
    <w:rsid w:val="2E6A207C"/>
    <w:rsid w:val="2E9277C7"/>
    <w:rsid w:val="2EB21CA2"/>
    <w:rsid w:val="2EBE3270"/>
    <w:rsid w:val="2EE97D1D"/>
    <w:rsid w:val="2F272951"/>
    <w:rsid w:val="2FED0C50"/>
    <w:rsid w:val="303E3EDB"/>
    <w:rsid w:val="30750BCA"/>
    <w:rsid w:val="308570DA"/>
    <w:rsid w:val="308F2696"/>
    <w:rsid w:val="30AF20B2"/>
    <w:rsid w:val="30C71A99"/>
    <w:rsid w:val="30D67AED"/>
    <w:rsid w:val="30E672E7"/>
    <w:rsid w:val="30F73308"/>
    <w:rsid w:val="30FC068C"/>
    <w:rsid w:val="30FF525B"/>
    <w:rsid w:val="3121636C"/>
    <w:rsid w:val="3128164D"/>
    <w:rsid w:val="31393D0B"/>
    <w:rsid w:val="31471305"/>
    <w:rsid w:val="31552F50"/>
    <w:rsid w:val="317F3A0E"/>
    <w:rsid w:val="318772B5"/>
    <w:rsid w:val="318B1795"/>
    <w:rsid w:val="318D5335"/>
    <w:rsid w:val="31CF708E"/>
    <w:rsid w:val="31D20CB8"/>
    <w:rsid w:val="31DC4B50"/>
    <w:rsid w:val="32025F32"/>
    <w:rsid w:val="32431F1A"/>
    <w:rsid w:val="324C7700"/>
    <w:rsid w:val="324E32ED"/>
    <w:rsid w:val="325A0134"/>
    <w:rsid w:val="32681759"/>
    <w:rsid w:val="32AF1CF9"/>
    <w:rsid w:val="32C55DBE"/>
    <w:rsid w:val="32EA1597"/>
    <w:rsid w:val="33351062"/>
    <w:rsid w:val="334A756F"/>
    <w:rsid w:val="334F51E5"/>
    <w:rsid w:val="33535654"/>
    <w:rsid w:val="335674D7"/>
    <w:rsid w:val="33631731"/>
    <w:rsid w:val="33647109"/>
    <w:rsid w:val="336809E1"/>
    <w:rsid w:val="33785864"/>
    <w:rsid w:val="33AC2E79"/>
    <w:rsid w:val="33C00E36"/>
    <w:rsid w:val="33F702EF"/>
    <w:rsid w:val="33FE4ED8"/>
    <w:rsid w:val="347E7293"/>
    <w:rsid w:val="349E27E5"/>
    <w:rsid w:val="35134CB4"/>
    <w:rsid w:val="358A706E"/>
    <w:rsid w:val="35EF1EC9"/>
    <w:rsid w:val="360266F6"/>
    <w:rsid w:val="36460F99"/>
    <w:rsid w:val="3681649D"/>
    <w:rsid w:val="36914A2B"/>
    <w:rsid w:val="36D9547C"/>
    <w:rsid w:val="36E641B0"/>
    <w:rsid w:val="37135E71"/>
    <w:rsid w:val="37201D86"/>
    <w:rsid w:val="372E2279"/>
    <w:rsid w:val="37340B1D"/>
    <w:rsid w:val="373F4B97"/>
    <w:rsid w:val="37522F6F"/>
    <w:rsid w:val="376F21F9"/>
    <w:rsid w:val="37BA0680"/>
    <w:rsid w:val="37F401F0"/>
    <w:rsid w:val="38050F1D"/>
    <w:rsid w:val="380B3E6A"/>
    <w:rsid w:val="382328E4"/>
    <w:rsid w:val="386A05F6"/>
    <w:rsid w:val="3877602E"/>
    <w:rsid w:val="38821652"/>
    <w:rsid w:val="38C77E4D"/>
    <w:rsid w:val="38CB3825"/>
    <w:rsid w:val="38D31EFB"/>
    <w:rsid w:val="38EF1480"/>
    <w:rsid w:val="390B61E4"/>
    <w:rsid w:val="3940251A"/>
    <w:rsid w:val="394967D1"/>
    <w:rsid w:val="395064D7"/>
    <w:rsid w:val="3961079B"/>
    <w:rsid w:val="39636DDD"/>
    <w:rsid w:val="399D7BBA"/>
    <w:rsid w:val="39A968A7"/>
    <w:rsid w:val="39AD0CCC"/>
    <w:rsid w:val="39AF7098"/>
    <w:rsid w:val="39DF4A9D"/>
    <w:rsid w:val="39E4143F"/>
    <w:rsid w:val="3A7F4B06"/>
    <w:rsid w:val="3A977B99"/>
    <w:rsid w:val="3A9C0161"/>
    <w:rsid w:val="3ABF55C9"/>
    <w:rsid w:val="3ACE2A74"/>
    <w:rsid w:val="3B07350D"/>
    <w:rsid w:val="3B146949"/>
    <w:rsid w:val="3B494567"/>
    <w:rsid w:val="3B786E57"/>
    <w:rsid w:val="3BF74D73"/>
    <w:rsid w:val="3C1956B5"/>
    <w:rsid w:val="3C470F01"/>
    <w:rsid w:val="3C7E4D09"/>
    <w:rsid w:val="3CB1039E"/>
    <w:rsid w:val="3CBC08FD"/>
    <w:rsid w:val="3CBE7ACF"/>
    <w:rsid w:val="3CCF1E09"/>
    <w:rsid w:val="3D2B5CCA"/>
    <w:rsid w:val="3D346109"/>
    <w:rsid w:val="3D3E7892"/>
    <w:rsid w:val="3D6A0C7C"/>
    <w:rsid w:val="3D6D7A89"/>
    <w:rsid w:val="3D7C1DDE"/>
    <w:rsid w:val="3D9E4EC8"/>
    <w:rsid w:val="3D9E6899"/>
    <w:rsid w:val="3DA84DBE"/>
    <w:rsid w:val="3DC56D68"/>
    <w:rsid w:val="3DF937E3"/>
    <w:rsid w:val="3E391C30"/>
    <w:rsid w:val="3E7734E0"/>
    <w:rsid w:val="3E951A15"/>
    <w:rsid w:val="3EAD2E3C"/>
    <w:rsid w:val="3EB968CD"/>
    <w:rsid w:val="3F778C7B"/>
    <w:rsid w:val="3FB67F14"/>
    <w:rsid w:val="3FBA9291"/>
    <w:rsid w:val="3FFC6528"/>
    <w:rsid w:val="405A4613"/>
    <w:rsid w:val="4060397D"/>
    <w:rsid w:val="406552EC"/>
    <w:rsid w:val="40B30B18"/>
    <w:rsid w:val="40CF23D7"/>
    <w:rsid w:val="40D55514"/>
    <w:rsid w:val="411063A8"/>
    <w:rsid w:val="41226AE7"/>
    <w:rsid w:val="413309DD"/>
    <w:rsid w:val="418D1537"/>
    <w:rsid w:val="41BE0FAC"/>
    <w:rsid w:val="41D32337"/>
    <w:rsid w:val="41FF0A67"/>
    <w:rsid w:val="420374D0"/>
    <w:rsid w:val="42064FC2"/>
    <w:rsid w:val="42141E62"/>
    <w:rsid w:val="422741EA"/>
    <w:rsid w:val="425A6597"/>
    <w:rsid w:val="426452A3"/>
    <w:rsid w:val="42DD0C8B"/>
    <w:rsid w:val="43146368"/>
    <w:rsid w:val="431F2EC4"/>
    <w:rsid w:val="435C38A7"/>
    <w:rsid w:val="43A067A0"/>
    <w:rsid w:val="43AE495E"/>
    <w:rsid w:val="44550E45"/>
    <w:rsid w:val="4489684F"/>
    <w:rsid w:val="44C04B5B"/>
    <w:rsid w:val="44CB58A8"/>
    <w:rsid w:val="44DF7562"/>
    <w:rsid w:val="45235D66"/>
    <w:rsid w:val="452D7DE1"/>
    <w:rsid w:val="454669E0"/>
    <w:rsid w:val="454D291D"/>
    <w:rsid w:val="4565162D"/>
    <w:rsid w:val="45735417"/>
    <w:rsid w:val="458768EA"/>
    <w:rsid w:val="45B9610A"/>
    <w:rsid w:val="45C5296F"/>
    <w:rsid w:val="45D93101"/>
    <w:rsid w:val="465F670E"/>
    <w:rsid w:val="46923296"/>
    <w:rsid w:val="469E06AA"/>
    <w:rsid w:val="46A35290"/>
    <w:rsid w:val="46B20870"/>
    <w:rsid w:val="46BA1434"/>
    <w:rsid w:val="46DE2AC4"/>
    <w:rsid w:val="47237081"/>
    <w:rsid w:val="47242D51"/>
    <w:rsid w:val="475C6F0F"/>
    <w:rsid w:val="478550DE"/>
    <w:rsid w:val="479D11C6"/>
    <w:rsid w:val="47E663A7"/>
    <w:rsid w:val="47E81371"/>
    <w:rsid w:val="482E0744"/>
    <w:rsid w:val="48832BE0"/>
    <w:rsid w:val="488F6C58"/>
    <w:rsid w:val="48A84BA3"/>
    <w:rsid w:val="48F514A5"/>
    <w:rsid w:val="493F0230"/>
    <w:rsid w:val="496D1BA9"/>
    <w:rsid w:val="49B22896"/>
    <w:rsid w:val="49D11EAC"/>
    <w:rsid w:val="49F61ACB"/>
    <w:rsid w:val="49FA28DF"/>
    <w:rsid w:val="4A2D17DA"/>
    <w:rsid w:val="4A4675C3"/>
    <w:rsid w:val="4A4C5208"/>
    <w:rsid w:val="4A8927A6"/>
    <w:rsid w:val="4AC036E8"/>
    <w:rsid w:val="4AC760EA"/>
    <w:rsid w:val="4AD8632C"/>
    <w:rsid w:val="4B1C6B9E"/>
    <w:rsid w:val="4B2C243B"/>
    <w:rsid w:val="4B3B30DB"/>
    <w:rsid w:val="4B3E79B5"/>
    <w:rsid w:val="4B421DA5"/>
    <w:rsid w:val="4B4A5785"/>
    <w:rsid w:val="4B790CA2"/>
    <w:rsid w:val="4B98430C"/>
    <w:rsid w:val="4BA74373"/>
    <w:rsid w:val="4BC64573"/>
    <w:rsid w:val="4C16799F"/>
    <w:rsid w:val="4C2D3A30"/>
    <w:rsid w:val="4CA1354D"/>
    <w:rsid w:val="4CB64798"/>
    <w:rsid w:val="4CF91CC3"/>
    <w:rsid w:val="4D105E11"/>
    <w:rsid w:val="4D3337E2"/>
    <w:rsid w:val="4D3B0F38"/>
    <w:rsid w:val="4D640BC1"/>
    <w:rsid w:val="4D810EB4"/>
    <w:rsid w:val="4DFA07BB"/>
    <w:rsid w:val="4E166581"/>
    <w:rsid w:val="4E427551"/>
    <w:rsid w:val="4E6E3A66"/>
    <w:rsid w:val="4E7061A0"/>
    <w:rsid w:val="4EB03827"/>
    <w:rsid w:val="4EED094E"/>
    <w:rsid w:val="4F041DE6"/>
    <w:rsid w:val="4F5502A8"/>
    <w:rsid w:val="4F9D5310"/>
    <w:rsid w:val="4F9E292E"/>
    <w:rsid w:val="4FA727D4"/>
    <w:rsid w:val="4FFD681F"/>
    <w:rsid w:val="500018BC"/>
    <w:rsid w:val="50011E81"/>
    <w:rsid w:val="50250266"/>
    <w:rsid w:val="504226CA"/>
    <w:rsid w:val="50C64E79"/>
    <w:rsid w:val="50DE6667"/>
    <w:rsid w:val="513C1731"/>
    <w:rsid w:val="515A0FD2"/>
    <w:rsid w:val="51660888"/>
    <w:rsid w:val="5181579E"/>
    <w:rsid w:val="51A83299"/>
    <w:rsid w:val="52036385"/>
    <w:rsid w:val="52065E75"/>
    <w:rsid w:val="521C656E"/>
    <w:rsid w:val="52224331"/>
    <w:rsid w:val="5227238D"/>
    <w:rsid w:val="523C2BCA"/>
    <w:rsid w:val="52A84307"/>
    <w:rsid w:val="52D198D2"/>
    <w:rsid w:val="52E635B0"/>
    <w:rsid w:val="52EB6EFA"/>
    <w:rsid w:val="536B290F"/>
    <w:rsid w:val="537930FC"/>
    <w:rsid w:val="53AC6653"/>
    <w:rsid w:val="53FA37B7"/>
    <w:rsid w:val="54073BAC"/>
    <w:rsid w:val="54097D48"/>
    <w:rsid w:val="540B7534"/>
    <w:rsid w:val="542B04BF"/>
    <w:rsid w:val="54764ED6"/>
    <w:rsid w:val="548A09C2"/>
    <w:rsid w:val="54F56B06"/>
    <w:rsid w:val="552D6CE0"/>
    <w:rsid w:val="55432854"/>
    <w:rsid w:val="554967A4"/>
    <w:rsid w:val="55ED5354"/>
    <w:rsid w:val="561C34A7"/>
    <w:rsid w:val="5621573C"/>
    <w:rsid w:val="56312D95"/>
    <w:rsid w:val="56723AD9"/>
    <w:rsid w:val="567D5FDA"/>
    <w:rsid w:val="571563F0"/>
    <w:rsid w:val="57323268"/>
    <w:rsid w:val="575213BF"/>
    <w:rsid w:val="577C77EE"/>
    <w:rsid w:val="57B27CEE"/>
    <w:rsid w:val="57E91B79"/>
    <w:rsid w:val="57FB21B7"/>
    <w:rsid w:val="57FB4603"/>
    <w:rsid w:val="58444534"/>
    <w:rsid w:val="58767185"/>
    <w:rsid w:val="58CE4885"/>
    <w:rsid w:val="58F06C5F"/>
    <w:rsid w:val="58F8777F"/>
    <w:rsid w:val="594B6385"/>
    <w:rsid w:val="59606E1A"/>
    <w:rsid w:val="59610F3C"/>
    <w:rsid w:val="59625723"/>
    <w:rsid w:val="596F3F43"/>
    <w:rsid w:val="597715CC"/>
    <w:rsid w:val="5A1C3AC5"/>
    <w:rsid w:val="5A1C5FBA"/>
    <w:rsid w:val="5A273430"/>
    <w:rsid w:val="5A8B6567"/>
    <w:rsid w:val="5A8D599C"/>
    <w:rsid w:val="5A9304C2"/>
    <w:rsid w:val="5A9958ED"/>
    <w:rsid w:val="5AD602D0"/>
    <w:rsid w:val="5AE96331"/>
    <w:rsid w:val="5AFB0056"/>
    <w:rsid w:val="5B264E92"/>
    <w:rsid w:val="5B6B1EF9"/>
    <w:rsid w:val="5B6F3EF7"/>
    <w:rsid w:val="5B7148DE"/>
    <w:rsid w:val="5B8B6C2C"/>
    <w:rsid w:val="5B9577A4"/>
    <w:rsid w:val="5BB82F9C"/>
    <w:rsid w:val="5BC0067F"/>
    <w:rsid w:val="5BDA7213"/>
    <w:rsid w:val="5BFF5C30"/>
    <w:rsid w:val="5C0D1781"/>
    <w:rsid w:val="5C0E6052"/>
    <w:rsid w:val="5C2E5C4B"/>
    <w:rsid w:val="5CE172C2"/>
    <w:rsid w:val="5CE600A7"/>
    <w:rsid w:val="5D0E6E6F"/>
    <w:rsid w:val="5D27015D"/>
    <w:rsid w:val="5D36061C"/>
    <w:rsid w:val="5D613219"/>
    <w:rsid w:val="5DD32BF7"/>
    <w:rsid w:val="5E3A7745"/>
    <w:rsid w:val="5E582E8C"/>
    <w:rsid w:val="5E7A5CD0"/>
    <w:rsid w:val="5EB80508"/>
    <w:rsid w:val="5ED60B1C"/>
    <w:rsid w:val="5EDE4267"/>
    <w:rsid w:val="5F5435B3"/>
    <w:rsid w:val="5F5E65E2"/>
    <w:rsid w:val="5F7B4C5E"/>
    <w:rsid w:val="5FBA1C7F"/>
    <w:rsid w:val="60006884"/>
    <w:rsid w:val="602A7314"/>
    <w:rsid w:val="607853FD"/>
    <w:rsid w:val="608B0080"/>
    <w:rsid w:val="608E2C7F"/>
    <w:rsid w:val="60ED2175"/>
    <w:rsid w:val="612F7066"/>
    <w:rsid w:val="61410811"/>
    <w:rsid w:val="615A2F22"/>
    <w:rsid w:val="619E7B58"/>
    <w:rsid w:val="61C2304A"/>
    <w:rsid w:val="61DA389B"/>
    <w:rsid w:val="61F53F91"/>
    <w:rsid w:val="62017CD5"/>
    <w:rsid w:val="62082F3C"/>
    <w:rsid w:val="622938A5"/>
    <w:rsid w:val="62557A45"/>
    <w:rsid w:val="6269266B"/>
    <w:rsid w:val="62985900"/>
    <w:rsid w:val="629F4D22"/>
    <w:rsid w:val="62A7798E"/>
    <w:rsid w:val="62D4771E"/>
    <w:rsid w:val="62D65FCB"/>
    <w:rsid w:val="62DE6B35"/>
    <w:rsid w:val="63836D2F"/>
    <w:rsid w:val="63C9592A"/>
    <w:rsid w:val="63CA7B50"/>
    <w:rsid w:val="63DF6B1A"/>
    <w:rsid w:val="63F9292C"/>
    <w:rsid w:val="64484D7D"/>
    <w:rsid w:val="644C495D"/>
    <w:rsid w:val="64530827"/>
    <w:rsid w:val="647158EB"/>
    <w:rsid w:val="64986E00"/>
    <w:rsid w:val="64B45608"/>
    <w:rsid w:val="65203492"/>
    <w:rsid w:val="6547121B"/>
    <w:rsid w:val="655D7FA1"/>
    <w:rsid w:val="658355A1"/>
    <w:rsid w:val="65BC21E0"/>
    <w:rsid w:val="65CB39C1"/>
    <w:rsid w:val="66032C5F"/>
    <w:rsid w:val="661D72F9"/>
    <w:rsid w:val="664647F4"/>
    <w:rsid w:val="66C82224"/>
    <w:rsid w:val="66DB5EC0"/>
    <w:rsid w:val="66EE6C6C"/>
    <w:rsid w:val="67120469"/>
    <w:rsid w:val="678069F0"/>
    <w:rsid w:val="678B64F1"/>
    <w:rsid w:val="67F307F2"/>
    <w:rsid w:val="685E422D"/>
    <w:rsid w:val="68AA1EC4"/>
    <w:rsid w:val="68C46AF0"/>
    <w:rsid w:val="68D87BAD"/>
    <w:rsid w:val="69403BFF"/>
    <w:rsid w:val="69404428"/>
    <w:rsid w:val="697D3697"/>
    <w:rsid w:val="6A185A1C"/>
    <w:rsid w:val="6A5316ED"/>
    <w:rsid w:val="6A8676FB"/>
    <w:rsid w:val="6AA87672"/>
    <w:rsid w:val="6B293D9A"/>
    <w:rsid w:val="6B4725E3"/>
    <w:rsid w:val="6B7A68DE"/>
    <w:rsid w:val="6BA914A8"/>
    <w:rsid w:val="6BA92274"/>
    <w:rsid w:val="6BDE1078"/>
    <w:rsid w:val="6C2C1B05"/>
    <w:rsid w:val="6C515AE7"/>
    <w:rsid w:val="6C97799E"/>
    <w:rsid w:val="6CA11693"/>
    <w:rsid w:val="6CA6202F"/>
    <w:rsid w:val="6CAC1493"/>
    <w:rsid w:val="6CAD5413"/>
    <w:rsid w:val="6CD7380D"/>
    <w:rsid w:val="6CE10C19"/>
    <w:rsid w:val="6D201119"/>
    <w:rsid w:val="6D4C7925"/>
    <w:rsid w:val="6D5A6403"/>
    <w:rsid w:val="6D5C06AE"/>
    <w:rsid w:val="6D67668E"/>
    <w:rsid w:val="6DED03D4"/>
    <w:rsid w:val="6DF337EC"/>
    <w:rsid w:val="6E0A5936"/>
    <w:rsid w:val="6E2600B5"/>
    <w:rsid w:val="6E473FCD"/>
    <w:rsid w:val="6EC752B0"/>
    <w:rsid w:val="6ECB6F9F"/>
    <w:rsid w:val="6ED9295C"/>
    <w:rsid w:val="6EF750C9"/>
    <w:rsid w:val="6F252AAD"/>
    <w:rsid w:val="6F255735"/>
    <w:rsid w:val="6F4A519B"/>
    <w:rsid w:val="6F64527E"/>
    <w:rsid w:val="6F7A3CC0"/>
    <w:rsid w:val="6FA47EE8"/>
    <w:rsid w:val="6FA973ED"/>
    <w:rsid w:val="6FBB387F"/>
    <w:rsid w:val="7020238E"/>
    <w:rsid w:val="705F3231"/>
    <w:rsid w:val="70607A2D"/>
    <w:rsid w:val="70650505"/>
    <w:rsid w:val="70651D96"/>
    <w:rsid w:val="707304F0"/>
    <w:rsid w:val="70B84AFB"/>
    <w:rsid w:val="70BE7F18"/>
    <w:rsid w:val="70DA6087"/>
    <w:rsid w:val="70FA04FB"/>
    <w:rsid w:val="718212CE"/>
    <w:rsid w:val="718F575C"/>
    <w:rsid w:val="719D5C47"/>
    <w:rsid w:val="71D14FAE"/>
    <w:rsid w:val="71D528FA"/>
    <w:rsid w:val="723A6993"/>
    <w:rsid w:val="725620A9"/>
    <w:rsid w:val="72A7693A"/>
    <w:rsid w:val="72B9172D"/>
    <w:rsid w:val="72D12DD4"/>
    <w:rsid w:val="733013C5"/>
    <w:rsid w:val="735E6A2E"/>
    <w:rsid w:val="738E3E5B"/>
    <w:rsid w:val="741B476E"/>
    <w:rsid w:val="74593A1A"/>
    <w:rsid w:val="74C268A7"/>
    <w:rsid w:val="74E035BA"/>
    <w:rsid w:val="74EA3DFA"/>
    <w:rsid w:val="7575450C"/>
    <w:rsid w:val="757A1BBB"/>
    <w:rsid w:val="75914E8A"/>
    <w:rsid w:val="75AF6610"/>
    <w:rsid w:val="75D5241C"/>
    <w:rsid w:val="76000750"/>
    <w:rsid w:val="76020C18"/>
    <w:rsid w:val="76262768"/>
    <w:rsid w:val="762A1EF8"/>
    <w:rsid w:val="769D790F"/>
    <w:rsid w:val="76B03266"/>
    <w:rsid w:val="76C95286"/>
    <w:rsid w:val="77232D4C"/>
    <w:rsid w:val="77352528"/>
    <w:rsid w:val="773A3F7D"/>
    <w:rsid w:val="774921A7"/>
    <w:rsid w:val="77493F8A"/>
    <w:rsid w:val="7783749C"/>
    <w:rsid w:val="77937168"/>
    <w:rsid w:val="77FD4F1F"/>
    <w:rsid w:val="78356E3D"/>
    <w:rsid w:val="783A38D3"/>
    <w:rsid w:val="783C76EC"/>
    <w:rsid w:val="78812137"/>
    <w:rsid w:val="78B1091B"/>
    <w:rsid w:val="78B61821"/>
    <w:rsid w:val="78B7156B"/>
    <w:rsid w:val="78CD5BE3"/>
    <w:rsid w:val="78F63C9E"/>
    <w:rsid w:val="793643CF"/>
    <w:rsid w:val="79571192"/>
    <w:rsid w:val="795B5254"/>
    <w:rsid w:val="795FE52D"/>
    <w:rsid w:val="79EB12BD"/>
    <w:rsid w:val="7A3C0679"/>
    <w:rsid w:val="7A6C4DA8"/>
    <w:rsid w:val="7AAC6D0A"/>
    <w:rsid w:val="7ACD41A8"/>
    <w:rsid w:val="7AD674D4"/>
    <w:rsid w:val="7AD735DD"/>
    <w:rsid w:val="7ADB2D19"/>
    <w:rsid w:val="7AEF0BC9"/>
    <w:rsid w:val="7B302FF9"/>
    <w:rsid w:val="7B6F0238"/>
    <w:rsid w:val="7B7A34C4"/>
    <w:rsid w:val="7BA23C69"/>
    <w:rsid w:val="7BB87930"/>
    <w:rsid w:val="7BBC208F"/>
    <w:rsid w:val="7BE90D12"/>
    <w:rsid w:val="7BFD268B"/>
    <w:rsid w:val="7C5D7A84"/>
    <w:rsid w:val="7C985069"/>
    <w:rsid w:val="7D010CB5"/>
    <w:rsid w:val="7D2A2F98"/>
    <w:rsid w:val="7D3E4628"/>
    <w:rsid w:val="7D5B7A91"/>
    <w:rsid w:val="7D684F7F"/>
    <w:rsid w:val="7DA92B63"/>
    <w:rsid w:val="7DAE4DB7"/>
    <w:rsid w:val="7DBA3708"/>
    <w:rsid w:val="7DCF4714"/>
    <w:rsid w:val="7DCFA615"/>
    <w:rsid w:val="7DD91E91"/>
    <w:rsid w:val="7DDE6F1F"/>
    <w:rsid w:val="7DEF2E3B"/>
    <w:rsid w:val="7DF05927"/>
    <w:rsid w:val="7DFFA33C"/>
    <w:rsid w:val="7E10659C"/>
    <w:rsid w:val="7E2801E5"/>
    <w:rsid w:val="7E3C152F"/>
    <w:rsid w:val="7E436780"/>
    <w:rsid w:val="7E935395"/>
    <w:rsid w:val="7EBFA113"/>
    <w:rsid w:val="7EF4992D"/>
    <w:rsid w:val="7F571DBD"/>
    <w:rsid w:val="7F6244B6"/>
    <w:rsid w:val="7F7830A3"/>
    <w:rsid w:val="7F7C6557"/>
    <w:rsid w:val="7FAD88CF"/>
    <w:rsid w:val="7FB1091F"/>
    <w:rsid w:val="7FE82B2E"/>
    <w:rsid w:val="7FF80366"/>
    <w:rsid w:val="7FFA444C"/>
    <w:rsid w:val="7FFB2A2C"/>
    <w:rsid w:val="7FFD20D5"/>
    <w:rsid w:val="9AF7605C"/>
    <w:rsid w:val="9FFEF9BC"/>
    <w:rsid w:val="9FFFCA1D"/>
    <w:rsid w:val="B9FF05DA"/>
    <w:rsid w:val="C27F5C58"/>
    <w:rsid w:val="C9A47853"/>
    <w:rsid w:val="D7AE142C"/>
    <w:rsid w:val="D7DF197A"/>
    <w:rsid w:val="DDBF7633"/>
    <w:rsid w:val="EB7FBD9B"/>
    <w:rsid w:val="EF7751D5"/>
    <w:rsid w:val="F3FBF677"/>
    <w:rsid w:val="F4048375"/>
    <w:rsid w:val="FBFFDDD2"/>
    <w:rsid w:val="FCFE354C"/>
    <w:rsid w:val="FD9E9807"/>
    <w:rsid w:val="FF7BCCCF"/>
    <w:rsid w:val="FF9EF8E4"/>
    <w:rsid w:val="FFDEFFE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iPriority="39" w:name="toc 6"/>
    <w:lsdException w:uiPriority="39" w:name="toc 7"/>
    <w:lsdException w:qFormat="1" w:unhideWhenUsed="0" w:uiPriority="0" w:name="toc 8"/>
    <w:lsdException w:uiPriority="39"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qFormat="1" w:uiPriority="0" w:semiHidden="0" w:name="table of figures"/>
    <w:lsdException w:uiPriority="0" w:name="envelope address"/>
    <w:lsdException w:qFormat="1" w:unhideWhenUsed="0" w:uiPriority="99" w:semiHidden="0" w:name="envelope return"/>
    <w:lsdException w:qFormat="1" w:uiPriority="99"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qFormat="1" w:unhideWhenUsed="0"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pPr>
    <w:rPr>
      <w:rFonts w:ascii="Times New Roman" w:hAnsi="Times New Roman" w:eastAsia="微软雅黑" w:cs="Times New Roman"/>
      <w:kern w:val="2"/>
      <w:sz w:val="21"/>
      <w:szCs w:val="24"/>
      <w:lang w:val="en-US" w:eastAsia="zh-CN" w:bidi="ar-SA"/>
    </w:rPr>
  </w:style>
  <w:style w:type="paragraph" w:styleId="5">
    <w:name w:val="heading 1"/>
    <w:basedOn w:val="1"/>
    <w:next w:val="1"/>
    <w:link w:val="70"/>
    <w:qFormat/>
    <w:uiPriority w:val="9"/>
    <w:pPr>
      <w:keepNext/>
      <w:keepLines/>
      <w:ind w:firstLine="0" w:firstLineChars="0"/>
      <w:jc w:val="center"/>
      <w:outlineLvl w:val="0"/>
    </w:pPr>
    <w:rPr>
      <w:b/>
      <w:bCs/>
      <w:kern w:val="44"/>
      <w:sz w:val="24"/>
      <w:szCs w:val="44"/>
    </w:rPr>
  </w:style>
  <w:style w:type="paragraph" w:styleId="6">
    <w:name w:val="heading 2"/>
    <w:basedOn w:val="1"/>
    <w:next w:val="1"/>
    <w:link w:val="155"/>
    <w:qFormat/>
    <w:uiPriority w:val="9"/>
    <w:pPr>
      <w:keepNext/>
      <w:adjustRightInd w:val="0"/>
      <w:snapToGrid w:val="0"/>
      <w:textAlignment w:val="baseline"/>
      <w:outlineLvl w:val="1"/>
    </w:pPr>
    <w:rPr>
      <w:rFonts w:ascii="仿宋_GB2312" w:hAnsi="仿宋_GB2312"/>
      <w:b/>
      <w:kern w:val="0"/>
      <w:szCs w:val="20"/>
    </w:rPr>
  </w:style>
  <w:style w:type="paragraph" w:styleId="7">
    <w:name w:val="heading 3"/>
    <w:basedOn w:val="1"/>
    <w:next w:val="8"/>
    <w:link w:val="71"/>
    <w:qFormat/>
    <w:uiPriority w:val="0"/>
    <w:pPr>
      <w:keepNext/>
      <w:keepLines/>
      <w:ind w:firstLine="602"/>
      <w:outlineLvl w:val="2"/>
    </w:pPr>
    <w:rPr>
      <w:rFonts w:ascii="仿宋_GB2312" w:hAnsi="仿宋_GB2312"/>
      <w:bCs/>
      <w:szCs w:val="20"/>
    </w:rPr>
  </w:style>
  <w:style w:type="paragraph" w:styleId="10">
    <w:name w:val="heading 4"/>
    <w:basedOn w:val="1"/>
    <w:next w:val="1"/>
    <w:link w:val="68"/>
    <w:qFormat/>
    <w:uiPriority w:val="0"/>
    <w:pPr>
      <w:keepNext/>
      <w:keepLines/>
      <w:outlineLvl w:val="3"/>
    </w:pPr>
    <w:rPr>
      <w:rFonts w:ascii="等线 Light" w:hAnsi="等线 Light"/>
      <w:b/>
      <w:bCs/>
      <w:szCs w:val="28"/>
    </w:rPr>
  </w:style>
  <w:style w:type="paragraph" w:styleId="11">
    <w:name w:val="heading 5"/>
    <w:basedOn w:val="1"/>
    <w:next w:val="1"/>
    <w:link w:val="150"/>
    <w:qFormat/>
    <w:uiPriority w:val="0"/>
    <w:pPr>
      <w:keepNext/>
      <w:keepLines/>
      <w:outlineLvl w:val="4"/>
    </w:pPr>
    <w:rPr>
      <w:b/>
      <w:bCs/>
      <w:szCs w:val="28"/>
    </w:rPr>
  </w:style>
  <w:style w:type="paragraph" w:styleId="12">
    <w:name w:val="heading 6"/>
    <w:basedOn w:val="1"/>
    <w:next w:val="1"/>
    <w:link w:val="151"/>
    <w:qFormat/>
    <w:uiPriority w:val="0"/>
    <w:pPr>
      <w:keepNext/>
      <w:keepLines/>
      <w:spacing w:before="240" w:after="64" w:line="320" w:lineRule="auto"/>
      <w:outlineLvl w:val="5"/>
    </w:pPr>
    <w:rPr>
      <w:rFonts w:ascii="Arial" w:hAnsi="Arial" w:eastAsia="黑体"/>
      <w:b/>
      <w:bCs/>
      <w:sz w:val="24"/>
      <w:szCs w:val="20"/>
    </w:rPr>
  </w:style>
  <w:style w:type="paragraph" w:styleId="13">
    <w:name w:val="heading 7"/>
    <w:basedOn w:val="1"/>
    <w:next w:val="1"/>
    <w:link w:val="152"/>
    <w:qFormat/>
    <w:uiPriority w:val="0"/>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14">
    <w:name w:val="heading 8"/>
    <w:basedOn w:val="1"/>
    <w:next w:val="1"/>
    <w:link w:val="15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5">
    <w:name w:val="heading 9"/>
    <w:basedOn w:val="1"/>
    <w:next w:val="1"/>
    <w:link w:val="154"/>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8">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72"/>
    <w:qFormat/>
    <w:uiPriority w:val="0"/>
    <w:pPr>
      <w:spacing w:after="120"/>
    </w:pPr>
  </w:style>
  <w:style w:type="paragraph" w:styleId="3">
    <w:name w:val="Body Text First Indent"/>
    <w:basedOn w:val="2"/>
    <w:next w:val="4"/>
    <w:link w:val="218"/>
    <w:qFormat/>
    <w:uiPriority w:val="0"/>
    <w:pPr>
      <w:ind w:firstLine="200"/>
    </w:pPr>
    <w:rPr>
      <w:rFonts w:asciiTheme="minorHAnsi" w:hAnsiTheme="minorHAnsi" w:eastAsiaTheme="minorEastAsia" w:cstheme="minorBidi"/>
      <w:bCs/>
      <w:sz w:val="24"/>
    </w:rPr>
  </w:style>
  <w:style w:type="paragraph" w:styleId="4">
    <w:name w:val="toc 6"/>
    <w:basedOn w:val="1"/>
    <w:next w:val="1"/>
    <w:semiHidden/>
    <w:unhideWhenUsed/>
    <w:qFormat/>
    <w:uiPriority w:val="39"/>
    <w:pPr>
      <w:ind w:left="2100" w:leftChars="1000"/>
    </w:pPr>
  </w:style>
  <w:style w:type="paragraph" w:styleId="8">
    <w:name w:val="Normal Indent"/>
    <w:basedOn w:val="1"/>
    <w:next w:val="9"/>
    <w:link w:val="73"/>
    <w:qFormat/>
    <w:uiPriority w:val="0"/>
    <w:pPr>
      <w:ind w:firstLine="420"/>
    </w:pPr>
    <w:rPr>
      <w:szCs w:val="20"/>
    </w:rPr>
  </w:style>
  <w:style w:type="paragraph" w:styleId="9">
    <w:name w:val="Body Text Indent"/>
    <w:basedOn w:val="1"/>
    <w:next w:val="8"/>
    <w:link w:val="77"/>
    <w:qFormat/>
    <w:uiPriority w:val="99"/>
    <w:pPr>
      <w:spacing w:line="200" w:lineRule="exact"/>
      <w:ind w:firstLine="301"/>
    </w:pPr>
    <w:rPr>
      <w:rFonts w:ascii="宋体" w:hAnsi="Courier New"/>
      <w:spacing w:val="-4"/>
      <w:sz w:val="18"/>
      <w:szCs w:val="20"/>
    </w:rPr>
  </w:style>
  <w:style w:type="paragraph" w:styleId="16">
    <w:name w:val="List Number"/>
    <w:basedOn w:val="1"/>
    <w:qFormat/>
    <w:uiPriority w:val="0"/>
    <w:pPr>
      <w:widowControl/>
      <w:numPr>
        <w:ilvl w:val="0"/>
        <w:numId w:val="1"/>
      </w:numPr>
      <w:tabs>
        <w:tab w:val="left" w:pos="454"/>
      </w:tabs>
      <w:spacing w:afterLines="50"/>
      <w:ind w:left="454" w:hanging="284"/>
    </w:pPr>
    <w:rPr>
      <w:kern w:val="0"/>
      <w:sz w:val="24"/>
      <w:szCs w:val="20"/>
    </w:rPr>
  </w:style>
  <w:style w:type="paragraph" w:styleId="17">
    <w:name w:val="caption"/>
    <w:basedOn w:val="1"/>
    <w:next w:val="1"/>
    <w:qFormat/>
    <w:uiPriority w:val="0"/>
    <w:pPr>
      <w:spacing w:before="152" w:after="160"/>
    </w:pPr>
    <w:rPr>
      <w:rFonts w:ascii="Arial" w:hAnsi="Arial" w:eastAsia="黑体" w:cs="Arial"/>
      <w:sz w:val="20"/>
      <w:szCs w:val="20"/>
    </w:rPr>
  </w:style>
  <w:style w:type="paragraph" w:styleId="18">
    <w:name w:val="List Bullet"/>
    <w:basedOn w:val="1"/>
    <w:qFormat/>
    <w:uiPriority w:val="0"/>
    <w:pPr>
      <w:widowControl/>
      <w:tabs>
        <w:tab w:val="left" w:pos="900"/>
      </w:tabs>
      <w:spacing w:before="100" w:beforeAutospacing="1" w:afterLines="50" w:afterAutospacing="1"/>
      <w:ind w:left="900" w:hanging="420"/>
    </w:pPr>
    <w:rPr>
      <w:kern w:val="0"/>
      <w:szCs w:val="20"/>
    </w:rPr>
  </w:style>
  <w:style w:type="paragraph" w:styleId="19">
    <w:name w:val="Document Map"/>
    <w:basedOn w:val="1"/>
    <w:link w:val="220"/>
    <w:semiHidden/>
    <w:qFormat/>
    <w:uiPriority w:val="0"/>
    <w:pPr>
      <w:shd w:val="clear" w:color="auto" w:fill="000080"/>
    </w:pPr>
  </w:style>
  <w:style w:type="paragraph" w:styleId="20">
    <w:name w:val="annotation text"/>
    <w:basedOn w:val="1"/>
    <w:link w:val="75"/>
    <w:qFormat/>
    <w:uiPriority w:val="0"/>
  </w:style>
  <w:style w:type="paragraph" w:styleId="21">
    <w:name w:val="Body Text 3"/>
    <w:basedOn w:val="1"/>
    <w:link w:val="76"/>
    <w:qFormat/>
    <w:uiPriority w:val="0"/>
    <w:pPr>
      <w:spacing w:after="120"/>
    </w:pPr>
    <w:rPr>
      <w:sz w:val="16"/>
      <w:szCs w:val="16"/>
    </w:rPr>
  </w:style>
  <w:style w:type="paragraph" w:styleId="22">
    <w:name w:val="List Number 3"/>
    <w:basedOn w:val="1"/>
    <w:qFormat/>
    <w:uiPriority w:val="0"/>
    <w:pPr>
      <w:numPr>
        <w:ilvl w:val="0"/>
        <w:numId w:val="2"/>
      </w:numPr>
    </w:pPr>
  </w:style>
  <w:style w:type="paragraph" w:styleId="23">
    <w:name w:val="List 2"/>
    <w:basedOn w:val="1"/>
    <w:qFormat/>
    <w:uiPriority w:val="0"/>
    <w:pPr>
      <w:ind w:left="566" w:hanging="283"/>
      <w:contextualSpacing/>
    </w:pPr>
  </w:style>
  <w:style w:type="paragraph" w:styleId="24">
    <w:name w:val="Block Text"/>
    <w:basedOn w:val="1"/>
    <w:qFormat/>
    <w:uiPriority w:val="0"/>
    <w:pPr>
      <w:spacing w:before="120"/>
      <w:ind w:left="824" w:right="202" w:firstLine="0" w:firstLineChars="0"/>
      <w:jc w:val="both"/>
    </w:pPr>
    <w:rPr>
      <w:rFonts w:ascii="宋体" w:eastAsia="宋体"/>
      <w:sz w:val="24"/>
      <w:szCs w:val="21"/>
    </w:rPr>
  </w:style>
  <w:style w:type="paragraph" w:styleId="25">
    <w:name w:val="List Bullet 2"/>
    <w:basedOn w:val="1"/>
    <w:qFormat/>
    <w:uiPriority w:val="0"/>
    <w:pPr>
      <w:tabs>
        <w:tab w:val="left" w:pos="360"/>
        <w:tab w:val="left" w:pos="1191"/>
      </w:tabs>
      <w:snapToGrid w:val="0"/>
      <w:ind w:left="482" w:hanging="482" w:hangingChars="200"/>
    </w:pPr>
    <w:rPr>
      <w:b/>
      <w:bCs/>
      <w:sz w:val="24"/>
      <w:szCs w:val="32"/>
    </w:rPr>
  </w:style>
  <w:style w:type="paragraph" w:styleId="26">
    <w:name w:val="index 4"/>
    <w:basedOn w:val="1"/>
    <w:next w:val="1"/>
    <w:qFormat/>
    <w:uiPriority w:val="0"/>
    <w:pPr>
      <w:ind w:left="600" w:leftChars="600"/>
    </w:pPr>
    <w:rPr>
      <w:rFonts w:ascii="Verdana" w:hAnsi="Verdana" w:eastAsia="宋体"/>
      <w:kern w:val="0"/>
      <w:sz w:val="20"/>
      <w:szCs w:val="20"/>
    </w:rPr>
  </w:style>
  <w:style w:type="paragraph" w:styleId="27">
    <w:name w:val="toc 5"/>
    <w:basedOn w:val="1"/>
    <w:next w:val="1"/>
    <w:semiHidden/>
    <w:qFormat/>
    <w:uiPriority w:val="0"/>
    <w:pPr>
      <w:spacing w:afterLines="50"/>
      <w:ind w:left="840"/>
    </w:pPr>
    <w:rPr>
      <w:snapToGrid w:val="0"/>
      <w:kern w:val="0"/>
      <w:sz w:val="18"/>
      <w:szCs w:val="18"/>
    </w:rPr>
  </w:style>
  <w:style w:type="paragraph" w:styleId="28">
    <w:name w:val="toc 3"/>
    <w:basedOn w:val="1"/>
    <w:next w:val="1"/>
    <w:qFormat/>
    <w:uiPriority w:val="39"/>
    <w:pPr>
      <w:tabs>
        <w:tab w:val="right" w:leader="dot" w:pos="8296"/>
      </w:tabs>
    </w:pPr>
    <w:rPr>
      <w:b/>
      <w:bCs/>
      <w:iCs/>
    </w:rPr>
  </w:style>
  <w:style w:type="paragraph" w:styleId="29">
    <w:name w:val="Plain Text"/>
    <w:basedOn w:val="1"/>
    <w:link w:val="80"/>
    <w:qFormat/>
    <w:uiPriority w:val="0"/>
    <w:rPr>
      <w:rFonts w:ascii="宋体" w:hAnsi="Courier New"/>
      <w:szCs w:val="20"/>
    </w:rPr>
  </w:style>
  <w:style w:type="paragraph" w:styleId="30">
    <w:name w:val="toc 8"/>
    <w:basedOn w:val="1"/>
    <w:next w:val="1"/>
    <w:semiHidden/>
    <w:qFormat/>
    <w:uiPriority w:val="0"/>
    <w:pPr>
      <w:spacing w:afterLines="50"/>
      <w:ind w:left="1470"/>
    </w:pPr>
    <w:rPr>
      <w:snapToGrid w:val="0"/>
      <w:kern w:val="0"/>
      <w:sz w:val="18"/>
      <w:szCs w:val="18"/>
    </w:rPr>
  </w:style>
  <w:style w:type="paragraph" w:styleId="31">
    <w:name w:val="Date"/>
    <w:basedOn w:val="1"/>
    <w:next w:val="1"/>
    <w:link w:val="82"/>
    <w:qFormat/>
    <w:uiPriority w:val="0"/>
    <w:pPr>
      <w:ind w:left="2500" w:leftChars="2500"/>
    </w:pPr>
    <w:rPr>
      <w:rFonts w:eastAsia="楷体_GB2312"/>
      <w:sz w:val="32"/>
      <w:szCs w:val="20"/>
    </w:rPr>
  </w:style>
  <w:style w:type="paragraph" w:styleId="32">
    <w:name w:val="Body Text Indent 2"/>
    <w:basedOn w:val="1"/>
    <w:link w:val="83"/>
    <w:qFormat/>
    <w:uiPriority w:val="0"/>
    <w:pPr>
      <w:snapToGrid w:val="0"/>
      <w:ind w:firstLine="542" w:firstLineChars="225"/>
    </w:pPr>
    <w:rPr>
      <w:rFonts w:ascii="仿宋_GB2312" w:hAnsi="宋体"/>
      <w:b/>
      <w:bCs/>
      <w:color w:val="000000"/>
      <w:sz w:val="24"/>
    </w:rPr>
  </w:style>
  <w:style w:type="paragraph" w:styleId="33">
    <w:name w:val="endnote text"/>
    <w:basedOn w:val="1"/>
    <w:link w:val="186"/>
    <w:semiHidden/>
    <w:qFormat/>
    <w:uiPriority w:val="0"/>
    <w:pPr>
      <w:snapToGrid w:val="0"/>
      <w:spacing w:afterLines="50"/>
    </w:pPr>
    <w:rPr>
      <w:rFonts w:ascii="宋体"/>
      <w:snapToGrid w:val="0"/>
      <w:kern w:val="0"/>
      <w:szCs w:val="20"/>
    </w:rPr>
  </w:style>
  <w:style w:type="paragraph" w:styleId="34">
    <w:name w:val="Balloon Text"/>
    <w:basedOn w:val="1"/>
    <w:link w:val="84"/>
    <w:qFormat/>
    <w:uiPriority w:val="0"/>
    <w:rPr>
      <w:sz w:val="18"/>
      <w:szCs w:val="18"/>
    </w:rPr>
  </w:style>
  <w:style w:type="paragraph" w:styleId="35">
    <w:name w:val="footer"/>
    <w:basedOn w:val="1"/>
    <w:link w:val="85"/>
    <w:qFormat/>
    <w:uiPriority w:val="0"/>
    <w:pPr>
      <w:tabs>
        <w:tab w:val="center" w:pos="4153"/>
        <w:tab w:val="right" w:pos="8306"/>
      </w:tabs>
      <w:snapToGrid w:val="0"/>
    </w:pPr>
    <w:rPr>
      <w:sz w:val="18"/>
      <w:szCs w:val="18"/>
    </w:rPr>
  </w:style>
  <w:style w:type="paragraph" w:styleId="36">
    <w:name w:val="envelope return"/>
    <w:basedOn w:val="1"/>
    <w:qFormat/>
    <w:uiPriority w:val="99"/>
    <w:pPr>
      <w:snapToGrid w:val="0"/>
    </w:pPr>
    <w:rPr>
      <w:rFonts w:ascii="Arial" w:hAnsi="Arial" w:cs="Arial"/>
    </w:rPr>
  </w:style>
  <w:style w:type="paragraph" w:styleId="37">
    <w:name w:val="header"/>
    <w:basedOn w:val="1"/>
    <w:link w:val="86"/>
    <w:qFormat/>
    <w:uiPriority w:val="99"/>
    <w:pPr>
      <w:pBdr>
        <w:bottom w:val="single" w:color="auto" w:sz="6" w:space="1"/>
      </w:pBdr>
      <w:tabs>
        <w:tab w:val="center" w:pos="4153"/>
        <w:tab w:val="right" w:pos="8306"/>
      </w:tabs>
      <w:snapToGrid w:val="0"/>
      <w:ind w:firstLine="360"/>
      <w:jc w:val="right"/>
    </w:pPr>
    <w:rPr>
      <w:sz w:val="18"/>
      <w:szCs w:val="18"/>
    </w:rPr>
  </w:style>
  <w:style w:type="paragraph" w:styleId="38">
    <w:name w:val="toc 1"/>
    <w:basedOn w:val="1"/>
    <w:next w:val="1"/>
    <w:qFormat/>
    <w:uiPriority w:val="39"/>
    <w:pPr>
      <w:tabs>
        <w:tab w:val="right" w:leader="dot" w:pos="9060"/>
      </w:tabs>
      <w:spacing w:before="120" w:after="120" w:line="720" w:lineRule="auto"/>
    </w:pPr>
    <w:rPr>
      <w:rFonts w:ascii="仿宋_GB2312" w:eastAsia="仿宋_GB2312"/>
      <w:bCs/>
      <w:caps/>
      <w:color w:val="FF6600"/>
      <w:sz w:val="36"/>
      <w:szCs w:val="36"/>
    </w:rPr>
  </w:style>
  <w:style w:type="paragraph" w:styleId="39">
    <w:name w:val="toc 4"/>
    <w:basedOn w:val="1"/>
    <w:next w:val="1"/>
    <w:semiHidden/>
    <w:qFormat/>
    <w:uiPriority w:val="0"/>
    <w:pPr>
      <w:ind w:left="629"/>
    </w:pPr>
    <w:rPr>
      <w:snapToGrid w:val="0"/>
      <w:kern w:val="0"/>
      <w:szCs w:val="18"/>
    </w:rPr>
  </w:style>
  <w:style w:type="paragraph" w:styleId="40">
    <w:name w:val="Subtitle"/>
    <w:basedOn w:val="1"/>
    <w:next w:val="1"/>
    <w:link w:val="89"/>
    <w:qFormat/>
    <w:uiPriority w:val="0"/>
    <w:pPr>
      <w:spacing w:before="240" w:after="60" w:line="312" w:lineRule="auto"/>
      <w:jc w:val="center"/>
      <w:outlineLvl w:val="1"/>
    </w:pPr>
    <w:rPr>
      <w:rFonts w:ascii="Cambria" w:hAnsi="Cambria"/>
      <w:b/>
      <w:bCs/>
      <w:kern w:val="28"/>
      <w:sz w:val="32"/>
      <w:szCs w:val="32"/>
    </w:rPr>
  </w:style>
  <w:style w:type="paragraph" w:styleId="41">
    <w:name w:val="List"/>
    <w:basedOn w:val="1"/>
    <w:qFormat/>
    <w:uiPriority w:val="0"/>
    <w:pPr>
      <w:ind w:left="283" w:hanging="283"/>
      <w:contextualSpacing/>
    </w:pPr>
  </w:style>
  <w:style w:type="paragraph" w:styleId="42">
    <w:name w:val="footnote text"/>
    <w:basedOn w:val="1"/>
    <w:link w:val="90"/>
    <w:unhideWhenUsed/>
    <w:qFormat/>
    <w:uiPriority w:val="99"/>
    <w:pPr>
      <w:snapToGrid w:val="0"/>
    </w:pPr>
    <w:rPr>
      <w:rFonts w:ascii="Calibri" w:hAnsi="Calibri"/>
      <w:sz w:val="18"/>
    </w:rPr>
  </w:style>
  <w:style w:type="paragraph" w:styleId="43">
    <w:name w:val="Body Text Indent 3"/>
    <w:basedOn w:val="1"/>
    <w:link w:val="92"/>
    <w:qFormat/>
    <w:uiPriority w:val="0"/>
    <w:pPr>
      <w:snapToGrid w:val="0"/>
    </w:pPr>
    <w:rPr>
      <w:rFonts w:ascii="仿宋_GB2312" w:hAnsi="宋体" w:eastAsia="仿宋_GB2312"/>
      <w:color w:val="000000"/>
      <w:sz w:val="24"/>
    </w:rPr>
  </w:style>
  <w:style w:type="paragraph" w:styleId="44">
    <w:name w:val="table of figures"/>
    <w:basedOn w:val="1"/>
    <w:next w:val="1"/>
    <w:unhideWhenUsed/>
    <w:qFormat/>
    <w:uiPriority w:val="0"/>
    <w:pPr>
      <w:ind w:left="200" w:leftChars="200" w:hanging="200" w:hangingChars="200"/>
    </w:pPr>
  </w:style>
  <w:style w:type="paragraph" w:styleId="45">
    <w:name w:val="toc 2"/>
    <w:basedOn w:val="1"/>
    <w:next w:val="1"/>
    <w:qFormat/>
    <w:uiPriority w:val="39"/>
    <w:pPr>
      <w:tabs>
        <w:tab w:val="right" w:leader="dot" w:pos="8296"/>
      </w:tabs>
      <w:ind w:left="210"/>
    </w:pPr>
    <w:rPr>
      <w:b/>
      <w:smallCaps/>
    </w:rPr>
  </w:style>
  <w:style w:type="paragraph" w:styleId="46">
    <w:name w:val="Body Text 2"/>
    <w:basedOn w:val="1"/>
    <w:link w:val="95"/>
    <w:qFormat/>
    <w:uiPriority w:val="0"/>
    <w:pPr>
      <w:widowControl/>
      <w:snapToGrid w:val="0"/>
      <w:spacing w:before="50" w:afterLines="50" w:line="400" w:lineRule="exact"/>
    </w:pPr>
    <w:rPr>
      <w:rFonts w:ascii="宋体" w:hAnsi="宋体"/>
      <w:color w:val="000000"/>
      <w:sz w:val="24"/>
    </w:rPr>
  </w:style>
  <w:style w:type="paragraph" w:styleId="47">
    <w:name w:val="HTML Preformatted"/>
    <w:basedOn w:val="1"/>
    <w:link w:val="21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48">
    <w:name w:val="Normal (Web)"/>
    <w:basedOn w:val="1"/>
    <w:link w:val="96"/>
    <w:qFormat/>
    <w:uiPriority w:val="99"/>
    <w:pPr>
      <w:widowControl/>
      <w:spacing w:before="100" w:beforeAutospacing="1" w:after="100" w:afterAutospacing="1"/>
    </w:pPr>
    <w:rPr>
      <w:rFonts w:ascii="宋体" w:hAnsi="宋体"/>
      <w:kern w:val="0"/>
      <w:sz w:val="24"/>
    </w:rPr>
  </w:style>
  <w:style w:type="paragraph" w:styleId="49">
    <w:name w:val="index 1"/>
    <w:basedOn w:val="1"/>
    <w:next w:val="1"/>
    <w:semiHidden/>
    <w:qFormat/>
    <w:uiPriority w:val="0"/>
    <w:rPr>
      <w:szCs w:val="20"/>
    </w:rPr>
  </w:style>
  <w:style w:type="paragraph" w:styleId="50">
    <w:name w:val="Title"/>
    <w:basedOn w:val="1"/>
    <w:next w:val="1"/>
    <w:link w:val="97"/>
    <w:qFormat/>
    <w:uiPriority w:val="0"/>
    <w:pPr>
      <w:spacing w:before="240" w:after="60"/>
      <w:jc w:val="center"/>
      <w:outlineLvl w:val="0"/>
    </w:pPr>
    <w:rPr>
      <w:rFonts w:ascii="Cambria" w:hAnsi="Cambria"/>
      <w:b/>
      <w:bCs/>
      <w:sz w:val="32"/>
      <w:szCs w:val="32"/>
    </w:rPr>
  </w:style>
  <w:style w:type="paragraph" w:styleId="51">
    <w:name w:val="annotation subject"/>
    <w:basedOn w:val="20"/>
    <w:next w:val="20"/>
    <w:link w:val="98"/>
    <w:qFormat/>
    <w:uiPriority w:val="0"/>
    <w:rPr>
      <w:b/>
      <w:bCs/>
    </w:rPr>
  </w:style>
  <w:style w:type="paragraph" w:styleId="52">
    <w:name w:val="Body Text First Indent 2"/>
    <w:basedOn w:val="9"/>
    <w:next w:val="53"/>
    <w:link w:val="290"/>
    <w:semiHidden/>
    <w:unhideWhenUsed/>
    <w:qFormat/>
    <w:uiPriority w:val="0"/>
    <w:pPr>
      <w:spacing w:after="120" w:line="360" w:lineRule="auto"/>
      <w:ind w:left="420" w:leftChars="200" w:firstLine="420"/>
    </w:pPr>
    <w:rPr>
      <w:rFonts w:ascii="Times New Roman" w:hAnsi="Times New Roman"/>
      <w:spacing w:val="0"/>
      <w:sz w:val="21"/>
      <w:szCs w:val="24"/>
    </w:rPr>
  </w:style>
  <w:style w:type="paragraph" w:customStyle="1" w:styleId="53">
    <w:name w:val="xl53"/>
    <w:basedOn w:val="1"/>
    <w:qFormat/>
    <w:uiPriority w:val="0"/>
    <w:pPr>
      <w:widowControl/>
      <w:pBdr>
        <w:top w:val="single" w:color="auto" w:sz="4" w:space="0"/>
        <w:left w:val="single" w:color="auto" w:sz="4" w:space="0"/>
        <w:bottom w:val="single" w:color="auto" w:sz="4" w:space="0"/>
        <w:right w:val="single" w:color="auto" w:sz="4" w:space="0"/>
      </w:pBdr>
      <w:shd w:val="clear" w:color="auto" w:fill="808080"/>
      <w:spacing w:before="100" w:beforeAutospacing="1" w:after="100" w:afterAutospacing="1"/>
      <w:jc w:val="right"/>
      <w:textAlignment w:val="center"/>
    </w:pPr>
    <w:rPr>
      <w:rFonts w:ascii="宋体" w:hAnsi="宋体" w:cs="宋体"/>
      <w:kern w:val="0"/>
      <w:sz w:val="18"/>
      <w:szCs w:val="18"/>
    </w:rPr>
  </w:style>
  <w:style w:type="table" w:styleId="55">
    <w:name w:val="Table Grid"/>
    <w:basedOn w:val="5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56">
    <w:name w:val="Table Grid 1"/>
    <w:basedOn w:val="5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7">
    <w:name w:val="Table Grid 8"/>
    <w:basedOn w:val="54"/>
    <w:qFormat/>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59">
    <w:name w:val="Strong"/>
    <w:qFormat/>
    <w:uiPriority w:val="22"/>
    <w:rPr>
      <w:b/>
      <w:bCs/>
    </w:rPr>
  </w:style>
  <w:style w:type="character" w:styleId="60">
    <w:name w:val="page number"/>
    <w:qFormat/>
    <w:uiPriority w:val="0"/>
  </w:style>
  <w:style w:type="character" w:styleId="61">
    <w:name w:val="FollowedHyperlink"/>
    <w:basedOn w:val="58"/>
    <w:semiHidden/>
    <w:unhideWhenUsed/>
    <w:qFormat/>
    <w:uiPriority w:val="99"/>
    <w:rPr>
      <w:color w:val="954F72" w:themeColor="followedHyperlink"/>
      <w:u w:val="single"/>
      <w14:textFill>
        <w14:solidFill>
          <w14:schemeClr w14:val="folHlink"/>
        </w14:solidFill>
      </w14:textFill>
    </w:rPr>
  </w:style>
  <w:style w:type="character" w:styleId="62">
    <w:name w:val="Hyperlink"/>
    <w:qFormat/>
    <w:uiPriority w:val="99"/>
    <w:rPr>
      <w:color w:val="0000FF"/>
      <w:u w:val="single"/>
    </w:rPr>
  </w:style>
  <w:style w:type="character" w:styleId="63">
    <w:name w:val="annotation reference"/>
    <w:qFormat/>
    <w:uiPriority w:val="99"/>
    <w:rPr>
      <w:sz w:val="21"/>
      <w:szCs w:val="21"/>
    </w:rPr>
  </w:style>
  <w:style w:type="character" w:styleId="64">
    <w:name w:val="footnote reference"/>
    <w:unhideWhenUsed/>
    <w:qFormat/>
    <w:uiPriority w:val="99"/>
    <w:rPr>
      <w:rFonts w:hint="default" w:ascii="Times New Roman"/>
      <w:sz w:val="24"/>
      <w:vertAlign w:val="superscript"/>
    </w:rPr>
  </w:style>
  <w:style w:type="paragraph" w:customStyle="1" w:styleId="65">
    <w:name w:val="表格文字"/>
    <w:basedOn w:val="66"/>
    <w:next w:val="2"/>
    <w:qFormat/>
    <w:uiPriority w:val="0"/>
  </w:style>
  <w:style w:type="paragraph" w:customStyle="1" w:styleId="66">
    <w:name w:val="表格文字（两侧对齐）"/>
    <w:basedOn w:val="1"/>
    <w:qFormat/>
    <w:uiPriority w:val="0"/>
    <w:pPr>
      <w:snapToGrid w:val="0"/>
    </w:pPr>
    <w:rPr>
      <w:rFonts w:eastAsia="宋体"/>
      <w:sz w:val="20"/>
    </w:rPr>
  </w:style>
  <w:style w:type="paragraph" w:customStyle="1" w:styleId="67">
    <w:name w:val="正文1"/>
    <w:basedOn w:val="1"/>
    <w:qFormat/>
    <w:uiPriority w:val="0"/>
    <w:pPr>
      <w:adjustRightInd w:val="0"/>
      <w:spacing w:line="318" w:lineRule="atLeast"/>
      <w:ind w:left="369" w:firstLine="369"/>
      <w:jc w:val="both"/>
      <w:textAlignment w:val="baseline"/>
    </w:pPr>
    <w:rPr>
      <w:rFonts w:ascii="宋体"/>
      <w:szCs w:val="20"/>
    </w:rPr>
  </w:style>
  <w:style w:type="character" w:customStyle="1" w:styleId="68">
    <w:name w:val="标题 4 字符"/>
    <w:link w:val="10"/>
    <w:qFormat/>
    <w:uiPriority w:val="0"/>
    <w:rPr>
      <w:rFonts w:ascii="等线 Light" w:hAnsi="等线 Light" w:eastAsia="微软雅黑" w:cs="Times New Roman"/>
      <w:b/>
      <w:bCs/>
      <w:kern w:val="2"/>
      <w:sz w:val="21"/>
      <w:szCs w:val="28"/>
    </w:rPr>
  </w:style>
  <w:style w:type="paragraph" w:customStyle="1" w:styleId="69">
    <w:name w:val="标准正文"/>
    <w:basedOn w:val="1"/>
    <w:qFormat/>
    <w:uiPriority w:val="0"/>
    <w:pPr>
      <w:ind w:firstLine="200"/>
    </w:pPr>
    <w:rPr>
      <w:sz w:val="24"/>
      <w:szCs w:val="20"/>
    </w:rPr>
  </w:style>
  <w:style w:type="character" w:customStyle="1" w:styleId="70">
    <w:name w:val="标题 1 字符"/>
    <w:basedOn w:val="58"/>
    <w:link w:val="5"/>
    <w:qFormat/>
    <w:uiPriority w:val="9"/>
    <w:rPr>
      <w:rFonts w:eastAsia="微软雅黑"/>
      <w:b/>
      <w:bCs/>
      <w:kern w:val="44"/>
      <w:sz w:val="24"/>
      <w:szCs w:val="44"/>
    </w:rPr>
  </w:style>
  <w:style w:type="character" w:customStyle="1" w:styleId="71">
    <w:name w:val="标题 3 字符"/>
    <w:basedOn w:val="58"/>
    <w:link w:val="7"/>
    <w:qFormat/>
    <w:uiPriority w:val="0"/>
    <w:rPr>
      <w:rFonts w:ascii="仿宋_GB2312" w:hAnsi="仿宋_GB2312" w:eastAsia="微软雅黑"/>
      <w:bCs/>
      <w:kern w:val="2"/>
      <w:sz w:val="21"/>
    </w:rPr>
  </w:style>
  <w:style w:type="character" w:customStyle="1" w:styleId="72">
    <w:name w:val="正文文本 字符"/>
    <w:link w:val="2"/>
    <w:qFormat/>
    <w:uiPriority w:val="0"/>
    <w:rPr>
      <w:kern w:val="2"/>
      <w:sz w:val="21"/>
      <w:szCs w:val="24"/>
    </w:rPr>
  </w:style>
  <w:style w:type="character" w:customStyle="1" w:styleId="73">
    <w:name w:val="正文缩进 字符1"/>
    <w:link w:val="8"/>
    <w:qFormat/>
    <w:uiPriority w:val="0"/>
    <w:rPr>
      <w:kern w:val="2"/>
      <w:sz w:val="21"/>
    </w:rPr>
  </w:style>
  <w:style w:type="paragraph" w:customStyle="1" w:styleId="74">
    <w:name w:val="目录 71"/>
    <w:basedOn w:val="1"/>
    <w:next w:val="1"/>
    <w:unhideWhenUsed/>
    <w:qFormat/>
    <w:uiPriority w:val="39"/>
    <w:pPr>
      <w:ind w:left="2520" w:leftChars="1200"/>
    </w:pPr>
    <w:rPr>
      <w:rFonts w:ascii="Calibri" w:hAnsi="Calibri"/>
      <w:szCs w:val="22"/>
    </w:rPr>
  </w:style>
  <w:style w:type="character" w:customStyle="1" w:styleId="75">
    <w:name w:val="批注文字 字符"/>
    <w:link w:val="20"/>
    <w:qFormat/>
    <w:uiPriority w:val="0"/>
    <w:rPr>
      <w:kern w:val="2"/>
      <w:sz w:val="21"/>
      <w:szCs w:val="24"/>
    </w:rPr>
  </w:style>
  <w:style w:type="character" w:customStyle="1" w:styleId="76">
    <w:name w:val="正文文本 3 字符"/>
    <w:link w:val="21"/>
    <w:qFormat/>
    <w:uiPriority w:val="0"/>
    <w:rPr>
      <w:kern w:val="2"/>
      <w:sz w:val="16"/>
      <w:szCs w:val="16"/>
    </w:rPr>
  </w:style>
  <w:style w:type="character" w:customStyle="1" w:styleId="77">
    <w:name w:val="正文文本缩进 字符"/>
    <w:link w:val="9"/>
    <w:qFormat/>
    <w:uiPriority w:val="99"/>
    <w:rPr>
      <w:rFonts w:ascii="宋体" w:hAnsi="Courier New"/>
      <w:spacing w:val="-4"/>
      <w:kern w:val="2"/>
      <w:sz w:val="18"/>
    </w:rPr>
  </w:style>
  <w:style w:type="paragraph" w:customStyle="1" w:styleId="78">
    <w:name w:val="目录 51"/>
    <w:basedOn w:val="1"/>
    <w:next w:val="1"/>
    <w:unhideWhenUsed/>
    <w:qFormat/>
    <w:uiPriority w:val="39"/>
    <w:pPr>
      <w:ind w:left="1680" w:leftChars="800"/>
    </w:pPr>
    <w:rPr>
      <w:rFonts w:ascii="Calibri" w:hAnsi="Calibri"/>
      <w:szCs w:val="22"/>
    </w:rPr>
  </w:style>
  <w:style w:type="paragraph" w:customStyle="1" w:styleId="79">
    <w:name w:val="目录 31"/>
    <w:basedOn w:val="1"/>
    <w:next w:val="1"/>
    <w:qFormat/>
    <w:uiPriority w:val="39"/>
    <w:pPr>
      <w:ind w:left="840" w:leftChars="400"/>
    </w:pPr>
  </w:style>
  <w:style w:type="character" w:customStyle="1" w:styleId="80">
    <w:name w:val="纯文本 字符"/>
    <w:link w:val="29"/>
    <w:qFormat/>
    <w:uiPriority w:val="0"/>
    <w:rPr>
      <w:rFonts w:ascii="宋体" w:hAnsi="Courier New"/>
      <w:kern w:val="2"/>
      <w:sz w:val="21"/>
    </w:rPr>
  </w:style>
  <w:style w:type="paragraph" w:customStyle="1" w:styleId="81">
    <w:name w:val="目录 81"/>
    <w:basedOn w:val="1"/>
    <w:next w:val="1"/>
    <w:unhideWhenUsed/>
    <w:qFormat/>
    <w:uiPriority w:val="39"/>
    <w:pPr>
      <w:ind w:left="2940" w:leftChars="1400"/>
    </w:pPr>
    <w:rPr>
      <w:rFonts w:ascii="Calibri" w:hAnsi="Calibri"/>
      <w:szCs w:val="22"/>
    </w:rPr>
  </w:style>
  <w:style w:type="character" w:customStyle="1" w:styleId="82">
    <w:name w:val="日期 字符"/>
    <w:link w:val="31"/>
    <w:qFormat/>
    <w:uiPriority w:val="0"/>
    <w:rPr>
      <w:rFonts w:eastAsia="楷体_GB2312"/>
      <w:kern w:val="2"/>
      <w:sz w:val="32"/>
    </w:rPr>
  </w:style>
  <w:style w:type="character" w:customStyle="1" w:styleId="83">
    <w:name w:val="正文文本缩进 2 字符"/>
    <w:link w:val="32"/>
    <w:qFormat/>
    <w:uiPriority w:val="0"/>
    <w:rPr>
      <w:rFonts w:ascii="仿宋_GB2312" w:hAnsi="宋体" w:cs="Arial"/>
      <w:b/>
      <w:bCs/>
      <w:color w:val="000000"/>
      <w:kern w:val="2"/>
      <w:sz w:val="24"/>
      <w:szCs w:val="24"/>
    </w:rPr>
  </w:style>
  <w:style w:type="character" w:customStyle="1" w:styleId="84">
    <w:name w:val="批注框文本 字符"/>
    <w:link w:val="34"/>
    <w:qFormat/>
    <w:uiPriority w:val="0"/>
    <w:rPr>
      <w:kern w:val="2"/>
      <w:sz w:val="18"/>
      <w:szCs w:val="18"/>
    </w:rPr>
  </w:style>
  <w:style w:type="character" w:customStyle="1" w:styleId="85">
    <w:name w:val="页脚 字符1"/>
    <w:link w:val="35"/>
    <w:qFormat/>
    <w:locked/>
    <w:uiPriority w:val="0"/>
    <w:rPr>
      <w:kern w:val="2"/>
      <w:sz w:val="18"/>
      <w:szCs w:val="18"/>
    </w:rPr>
  </w:style>
  <w:style w:type="character" w:customStyle="1" w:styleId="86">
    <w:name w:val="页眉 字符"/>
    <w:link w:val="37"/>
    <w:qFormat/>
    <w:uiPriority w:val="99"/>
    <w:rPr>
      <w:rFonts w:eastAsia="微软雅黑"/>
      <w:kern w:val="2"/>
      <w:sz w:val="18"/>
      <w:szCs w:val="18"/>
    </w:rPr>
  </w:style>
  <w:style w:type="paragraph" w:customStyle="1" w:styleId="87">
    <w:name w:val="目录 11"/>
    <w:basedOn w:val="1"/>
    <w:next w:val="1"/>
    <w:qFormat/>
    <w:uiPriority w:val="39"/>
  </w:style>
  <w:style w:type="paragraph" w:customStyle="1" w:styleId="88">
    <w:name w:val="目录 41"/>
    <w:basedOn w:val="1"/>
    <w:next w:val="1"/>
    <w:unhideWhenUsed/>
    <w:qFormat/>
    <w:uiPriority w:val="39"/>
    <w:pPr>
      <w:ind w:left="1260" w:leftChars="600"/>
    </w:pPr>
    <w:rPr>
      <w:rFonts w:ascii="Calibri" w:hAnsi="Calibri"/>
      <w:szCs w:val="22"/>
    </w:rPr>
  </w:style>
  <w:style w:type="character" w:customStyle="1" w:styleId="89">
    <w:name w:val="副标题 字符"/>
    <w:link w:val="40"/>
    <w:qFormat/>
    <w:uiPriority w:val="0"/>
    <w:rPr>
      <w:rFonts w:ascii="Cambria" w:hAnsi="Cambria"/>
      <w:b/>
      <w:bCs/>
      <w:kern w:val="28"/>
      <w:sz w:val="32"/>
      <w:szCs w:val="32"/>
    </w:rPr>
  </w:style>
  <w:style w:type="character" w:customStyle="1" w:styleId="90">
    <w:name w:val="脚注文本 字符"/>
    <w:link w:val="42"/>
    <w:qFormat/>
    <w:uiPriority w:val="99"/>
    <w:rPr>
      <w:rFonts w:ascii="Calibri" w:hAnsi="Calibri"/>
      <w:kern w:val="2"/>
      <w:sz w:val="18"/>
      <w:szCs w:val="24"/>
    </w:rPr>
  </w:style>
  <w:style w:type="paragraph" w:customStyle="1" w:styleId="91">
    <w:name w:val="目录 61"/>
    <w:basedOn w:val="1"/>
    <w:next w:val="1"/>
    <w:unhideWhenUsed/>
    <w:qFormat/>
    <w:uiPriority w:val="39"/>
    <w:pPr>
      <w:ind w:left="2100" w:leftChars="1000"/>
    </w:pPr>
    <w:rPr>
      <w:rFonts w:ascii="Calibri" w:hAnsi="Calibri"/>
      <w:szCs w:val="22"/>
    </w:rPr>
  </w:style>
  <w:style w:type="character" w:customStyle="1" w:styleId="92">
    <w:name w:val="正文文本缩进 3 字符"/>
    <w:link w:val="43"/>
    <w:qFormat/>
    <w:uiPriority w:val="0"/>
    <w:rPr>
      <w:rFonts w:ascii="仿宋_GB2312" w:hAnsi="宋体" w:eastAsia="仿宋_GB2312"/>
      <w:color w:val="000000"/>
      <w:kern w:val="2"/>
      <w:sz w:val="24"/>
      <w:szCs w:val="24"/>
    </w:rPr>
  </w:style>
  <w:style w:type="paragraph" w:customStyle="1" w:styleId="93">
    <w:name w:val="目录 21"/>
    <w:basedOn w:val="1"/>
    <w:next w:val="1"/>
    <w:qFormat/>
    <w:uiPriority w:val="39"/>
    <w:pPr>
      <w:ind w:left="420" w:leftChars="200"/>
    </w:pPr>
  </w:style>
  <w:style w:type="paragraph" w:customStyle="1" w:styleId="94">
    <w:name w:val="目录 91"/>
    <w:basedOn w:val="1"/>
    <w:next w:val="1"/>
    <w:unhideWhenUsed/>
    <w:qFormat/>
    <w:uiPriority w:val="39"/>
    <w:pPr>
      <w:ind w:left="3360" w:leftChars="1600"/>
    </w:pPr>
    <w:rPr>
      <w:rFonts w:ascii="Calibri" w:hAnsi="Calibri"/>
      <w:szCs w:val="22"/>
    </w:rPr>
  </w:style>
  <w:style w:type="character" w:customStyle="1" w:styleId="95">
    <w:name w:val="正文文本 2 字符"/>
    <w:link w:val="46"/>
    <w:qFormat/>
    <w:uiPriority w:val="0"/>
    <w:rPr>
      <w:rFonts w:ascii="宋体" w:hAnsi="宋体"/>
      <w:color w:val="000000"/>
      <w:kern w:val="2"/>
      <w:sz w:val="24"/>
      <w:szCs w:val="24"/>
    </w:rPr>
  </w:style>
  <w:style w:type="character" w:customStyle="1" w:styleId="96">
    <w:name w:val="普通(网站) 字符"/>
    <w:link w:val="48"/>
    <w:qFormat/>
    <w:locked/>
    <w:uiPriority w:val="99"/>
    <w:rPr>
      <w:rFonts w:ascii="宋体" w:hAnsi="宋体" w:cs="宋体"/>
      <w:sz w:val="24"/>
      <w:szCs w:val="24"/>
    </w:rPr>
  </w:style>
  <w:style w:type="character" w:customStyle="1" w:styleId="97">
    <w:name w:val="标题 字符"/>
    <w:link w:val="50"/>
    <w:qFormat/>
    <w:uiPriority w:val="0"/>
    <w:rPr>
      <w:rFonts w:ascii="Cambria" w:hAnsi="Cambria"/>
      <w:b/>
      <w:bCs/>
      <w:kern w:val="2"/>
      <w:sz w:val="32"/>
      <w:szCs w:val="32"/>
    </w:rPr>
  </w:style>
  <w:style w:type="character" w:customStyle="1" w:styleId="98">
    <w:name w:val="批注主题 字符"/>
    <w:link w:val="51"/>
    <w:qFormat/>
    <w:uiPriority w:val="0"/>
    <w:rPr>
      <w:b/>
      <w:bCs/>
      <w:kern w:val="2"/>
      <w:sz w:val="21"/>
      <w:szCs w:val="24"/>
    </w:rPr>
  </w:style>
  <w:style w:type="paragraph" w:customStyle="1" w:styleId="99">
    <w:name w:val="正文首行缩进1"/>
    <w:basedOn w:val="2"/>
    <w:link w:val="100"/>
    <w:qFormat/>
    <w:uiPriority w:val="0"/>
    <w:pPr>
      <w:ind w:firstLine="420" w:firstLineChars="100"/>
    </w:pPr>
  </w:style>
  <w:style w:type="character" w:customStyle="1" w:styleId="100">
    <w:name w:val="正文首行缩进 Char"/>
    <w:link w:val="99"/>
    <w:qFormat/>
    <w:uiPriority w:val="0"/>
  </w:style>
  <w:style w:type="character" w:customStyle="1" w:styleId="101">
    <w:name w:val="已访问的超链接1"/>
    <w:qFormat/>
    <w:uiPriority w:val="0"/>
    <w:rPr>
      <w:color w:val="800080"/>
      <w:u w:val="single"/>
    </w:rPr>
  </w:style>
  <w:style w:type="character" w:customStyle="1" w:styleId="102">
    <w:name w:val="正文缩进 字符"/>
    <w:qFormat/>
    <w:uiPriority w:val="0"/>
    <w:rPr>
      <w:snapToGrid/>
      <w:kern w:val="0"/>
      <w:sz w:val="24"/>
    </w:rPr>
  </w:style>
  <w:style w:type="character" w:customStyle="1" w:styleId="103">
    <w:name w:val="列表段落 字符1"/>
    <w:link w:val="104"/>
    <w:qFormat/>
    <w:uiPriority w:val="99"/>
    <w:rPr>
      <w:kern w:val="2"/>
      <w:sz w:val="21"/>
      <w:szCs w:val="22"/>
    </w:rPr>
  </w:style>
  <w:style w:type="paragraph" w:styleId="104">
    <w:name w:val="List Paragraph"/>
    <w:basedOn w:val="1"/>
    <w:link w:val="103"/>
    <w:qFormat/>
    <w:uiPriority w:val="99"/>
    <w:pPr>
      <w:ind w:firstLine="420"/>
    </w:pPr>
    <w:rPr>
      <w:szCs w:val="22"/>
    </w:rPr>
  </w:style>
  <w:style w:type="character" w:customStyle="1" w:styleId="105">
    <w:name w:val="列表段落 字符"/>
    <w:qFormat/>
    <w:uiPriority w:val="34"/>
    <w:rPr>
      <w:rFonts w:ascii="Times New Roman" w:hAnsi="Times New Roman" w:eastAsia="宋体" w:cs="Times New Roman"/>
      <w:szCs w:val="24"/>
    </w:rPr>
  </w:style>
  <w:style w:type="character" w:customStyle="1" w:styleId="106">
    <w:name w:val="页脚 字符"/>
    <w:qFormat/>
    <w:uiPriority w:val="99"/>
  </w:style>
  <w:style w:type="character" w:customStyle="1" w:styleId="107">
    <w:name w:val="页眉 Char1"/>
    <w:qFormat/>
    <w:uiPriority w:val="99"/>
    <w:rPr>
      <w:kern w:val="2"/>
      <w:sz w:val="18"/>
      <w:szCs w:val="18"/>
    </w:rPr>
  </w:style>
  <w:style w:type="character" w:customStyle="1" w:styleId="108">
    <w:name w:val="普通文字 Char Char2"/>
    <w:qFormat/>
    <w:uiPriority w:val="0"/>
    <w:rPr>
      <w:rFonts w:ascii="宋体" w:hAnsi="Courier New" w:eastAsia="宋体"/>
      <w:kern w:val="2"/>
      <w:sz w:val="24"/>
      <w:szCs w:val="24"/>
      <w:lang w:val="en-US" w:eastAsia="zh-CN" w:bidi="ar-SA"/>
    </w:rPr>
  </w:style>
  <w:style w:type="character" w:customStyle="1" w:styleId="109">
    <w:name w:val="批注文字 Char"/>
    <w:qFormat/>
    <w:uiPriority w:val="0"/>
    <w:rPr>
      <w:kern w:val="2"/>
      <w:sz w:val="21"/>
      <w:szCs w:val="24"/>
    </w:rPr>
  </w:style>
  <w:style w:type="character" w:customStyle="1" w:styleId="110">
    <w:name w:val="ca-92"/>
    <w:qFormat/>
    <w:uiPriority w:val="0"/>
  </w:style>
  <w:style w:type="character" w:customStyle="1" w:styleId="111">
    <w:name w:val="bookmark-item"/>
    <w:qFormat/>
    <w:uiPriority w:val="0"/>
  </w:style>
  <w:style w:type="character" w:customStyle="1" w:styleId="112">
    <w:name w:val="纯文本 Char3"/>
    <w:qFormat/>
    <w:uiPriority w:val="0"/>
    <w:rPr>
      <w:rFonts w:ascii="宋体" w:hAnsi="Courier New" w:eastAsia="宋体"/>
      <w:kern w:val="2"/>
      <w:sz w:val="24"/>
      <w:szCs w:val="24"/>
      <w:lang w:val="en-US" w:eastAsia="zh-CN" w:bidi="ar-SA"/>
    </w:rPr>
  </w:style>
  <w:style w:type="character" w:customStyle="1" w:styleId="113">
    <w:name w:val="sub"/>
    <w:qFormat/>
    <w:uiPriority w:val="0"/>
  </w:style>
  <w:style w:type="character" w:customStyle="1" w:styleId="114">
    <w:name w:val="纯文本 Char1"/>
    <w:qFormat/>
    <w:uiPriority w:val="0"/>
    <w:rPr>
      <w:rFonts w:ascii="宋体" w:hAnsi="Courier New" w:eastAsia="宋体" w:cs="Times New Roman"/>
      <w:sz w:val="24"/>
      <w:szCs w:val="24"/>
    </w:rPr>
  </w:style>
  <w:style w:type="paragraph" w:customStyle="1" w:styleId="115">
    <w:name w:val="_Style 2"/>
    <w:basedOn w:val="1"/>
    <w:qFormat/>
    <w:uiPriority w:val="0"/>
    <w:pPr>
      <w:adjustRightInd w:val="0"/>
      <w:snapToGrid w:val="0"/>
      <w:ind w:firstLine="420"/>
    </w:pPr>
    <w:rPr>
      <w:rFonts w:ascii="Calibri" w:hAnsi="Calibri"/>
      <w:sz w:val="24"/>
    </w:rPr>
  </w:style>
  <w:style w:type="paragraph" w:customStyle="1" w:styleId="116">
    <w:name w:val="Char Char9 Char Char"/>
    <w:basedOn w:val="1"/>
    <w:qFormat/>
    <w:uiPriority w:val="0"/>
    <w:pPr>
      <w:tabs>
        <w:tab w:val="left" w:pos="360"/>
      </w:tabs>
    </w:pPr>
  </w:style>
  <w:style w:type="paragraph" w:customStyle="1" w:styleId="117">
    <w:name w:val="样式 正文1 + 段前: 0.1 行"/>
    <w:basedOn w:val="1"/>
    <w:qFormat/>
    <w:uiPriority w:val="0"/>
    <w:pPr>
      <w:snapToGrid w:val="0"/>
      <w:spacing w:beforeLines="10" w:line="440" w:lineRule="atLeast"/>
      <w:ind w:firstLine="510"/>
    </w:pPr>
    <w:rPr>
      <w:sz w:val="24"/>
    </w:rPr>
  </w:style>
  <w:style w:type="paragraph" w:customStyle="1" w:styleId="118">
    <w:name w:val="列表段落1"/>
    <w:basedOn w:val="1"/>
    <w:qFormat/>
    <w:uiPriority w:val="0"/>
    <w:pPr>
      <w:ind w:firstLine="420"/>
    </w:pPr>
    <w:rPr>
      <w:szCs w:val="21"/>
    </w:rPr>
  </w:style>
  <w:style w:type="paragraph" w:customStyle="1" w:styleId="119">
    <w:name w:val="列出段落1"/>
    <w:basedOn w:val="1"/>
    <w:link w:val="286"/>
    <w:qFormat/>
    <w:uiPriority w:val="0"/>
    <w:pPr>
      <w:ind w:firstLine="420"/>
    </w:pPr>
    <w:rPr>
      <w:rFonts w:ascii="Calibri" w:hAnsi="Calibri"/>
      <w:szCs w:val="20"/>
    </w:rPr>
  </w:style>
  <w:style w:type="paragraph" w:customStyle="1" w:styleId="120">
    <w:name w:val="Default"/>
    <w:unhideWhenUsed/>
    <w:qFormat/>
    <w:uiPriority w:val="0"/>
    <w:pPr>
      <w:widowControl w:val="0"/>
      <w:autoSpaceDE w:val="0"/>
      <w:autoSpaceDN w:val="0"/>
      <w:adjustRightInd w:val="0"/>
    </w:pPr>
    <w:rPr>
      <w:rFonts w:hint="eastAsia" w:ascii="仿宋" w:hAnsi="Times New Roman" w:eastAsia="仿宋" w:cs="Times New Roman"/>
      <w:color w:val="000000"/>
      <w:sz w:val="24"/>
      <w:lang w:val="en-US" w:eastAsia="zh-CN" w:bidi="ar-SA"/>
    </w:rPr>
  </w:style>
  <w:style w:type="paragraph" w:customStyle="1" w:styleId="121">
    <w:name w:val="正文1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22">
    <w:name w:val="纯文本1"/>
    <w:basedOn w:val="1"/>
    <w:qFormat/>
    <w:uiPriority w:val="0"/>
    <w:pPr>
      <w:adjustRightInd w:val="0"/>
      <w:textAlignment w:val="baseline"/>
    </w:pPr>
    <w:rPr>
      <w:rFonts w:ascii="宋体" w:hAnsi="Courier New" w:eastAsia="楷体_GB2312"/>
      <w:sz w:val="26"/>
      <w:szCs w:val="20"/>
    </w:rPr>
  </w:style>
  <w:style w:type="paragraph" w:customStyle="1" w:styleId="123">
    <w:name w:val="默认段落字体 Para Char Char Char Char Char Char Char Char Char1 Char Char Char Char"/>
    <w:basedOn w:val="1"/>
    <w:qFormat/>
    <w:uiPriority w:val="0"/>
    <w:rPr>
      <w:rFonts w:ascii="Tahoma" w:hAnsi="Tahoma"/>
      <w:sz w:val="24"/>
      <w:szCs w:val="20"/>
    </w:rPr>
  </w:style>
  <w:style w:type="paragraph" w:customStyle="1" w:styleId="124">
    <w:name w:val="表内文字"/>
    <w:basedOn w:val="1"/>
    <w:qFormat/>
    <w:uiPriority w:val="0"/>
    <w:pPr>
      <w:jc w:val="center"/>
    </w:pPr>
    <w:rPr>
      <w:rFonts w:ascii="仿宋_GB2312" w:eastAsia="仿宋_GB2312"/>
      <w:sz w:val="24"/>
    </w:rPr>
  </w:style>
  <w:style w:type="paragraph" w:customStyle="1" w:styleId="125">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26">
    <w:name w:val="1 Char Char Char Char"/>
    <w:basedOn w:val="1"/>
    <w:qFormat/>
    <w:uiPriority w:val="0"/>
    <w:rPr>
      <w:rFonts w:ascii="Tahoma" w:hAnsi="Tahoma"/>
      <w:sz w:val="24"/>
      <w:szCs w:val="20"/>
    </w:rPr>
  </w:style>
  <w:style w:type="paragraph" w:customStyle="1" w:styleId="127">
    <w:name w:val="Char Char Char Char Char Char Char Char Char Char Char Char Char"/>
    <w:basedOn w:val="1"/>
    <w:qFormat/>
    <w:uiPriority w:val="0"/>
    <w:pPr>
      <w:tabs>
        <w:tab w:val="left" w:pos="432"/>
      </w:tabs>
      <w:ind w:left="432" w:hanging="432"/>
    </w:pPr>
    <w:rPr>
      <w:rFonts w:ascii="Tahoma" w:hAnsi="Tahoma"/>
      <w:sz w:val="24"/>
      <w:szCs w:val="20"/>
    </w:rPr>
  </w:style>
  <w:style w:type="paragraph" w:customStyle="1" w:styleId="128">
    <w:name w:val="Char Char Char Char Char Char Char"/>
    <w:basedOn w:val="1"/>
    <w:qFormat/>
    <w:uiPriority w:val="0"/>
    <w:rPr>
      <w:szCs w:val="21"/>
    </w:rPr>
  </w:style>
  <w:style w:type="paragraph" w:customStyle="1" w:styleId="129">
    <w:name w:val="TOC 标题1"/>
    <w:basedOn w:val="5"/>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30">
    <w:name w:val="正文段"/>
    <w:basedOn w:val="1"/>
    <w:qFormat/>
    <w:uiPriority w:val="0"/>
    <w:pPr>
      <w:widowControl/>
      <w:snapToGrid w:val="0"/>
      <w:spacing w:afterLines="50"/>
      <w:ind w:firstLine="200"/>
    </w:pPr>
    <w:rPr>
      <w:kern w:val="0"/>
      <w:sz w:val="24"/>
      <w:szCs w:val="20"/>
    </w:rPr>
  </w:style>
  <w:style w:type="paragraph" w:customStyle="1" w:styleId="131">
    <w:name w:val="纯文本2"/>
    <w:basedOn w:val="1"/>
    <w:qFormat/>
    <w:uiPriority w:val="0"/>
    <w:pPr>
      <w:adjustRightInd w:val="0"/>
      <w:textAlignment w:val="baseline"/>
    </w:pPr>
    <w:rPr>
      <w:rFonts w:ascii="宋体" w:hAnsi="Courier New" w:eastAsia="楷体_GB2312"/>
      <w:sz w:val="26"/>
      <w:szCs w:val="20"/>
    </w:rPr>
  </w:style>
  <w:style w:type="paragraph" w:customStyle="1" w:styleId="132">
    <w:name w:val="默认段落字体 Para Char Char Char Char"/>
    <w:basedOn w:val="1"/>
    <w:qFormat/>
    <w:uiPriority w:val="0"/>
    <w:rPr>
      <w:rFonts w:ascii="Arial" w:hAnsi="Arial" w:cs="Arial"/>
      <w:szCs w:val="21"/>
    </w:rPr>
  </w:style>
  <w:style w:type="paragraph" w:customStyle="1" w:styleId="133">
    <w:name w:val="_Style 54"/>
    <w:basedOn w:val="1"/>
    <w:qFormat/>
    <w:uiPriority w:val="0"/>
    <w:pPr>
      <w:adjustRightInd w:val="0"/>
      <w:snapToGrid w:val="0"/>
      <w:ind w:firstLine="420"/>
    </w:pPr>
    <w:rPr>
      <w:rFonts w:ascii="Calibri" w:hAnsi="Calibri"/>
      <w:sz w:val="24"/>
    </w:rPr>
  </w:style>
  <w:style w:type="paragraph" w:customStyle="1" w:styleId="134">
    <w:name w:val="CM11"/>
    <w:basedOn w:val="120"/>
    <w:next w:val="120"/>
    <w:unhideWhenUsed/>
    <w:qFormat/>
    <w:uiPriority w:val="99"/>
    <w:pPr>
      <w:spacing w:line="520" w:lineRule="atLeast"/>
    </w:pPr>
  </w:style>
  <w:style w:type="paragraph" w:customStyle="1" w:styleId="135">
    <w:name w:val="WPSOffice手动目录 1"/>
    <w:qFormat/>
    <w:uiPriority w:val="0"/>
    <w:rPr>
      <w:rFonts w:ascii="Times New Roman" w:hAnsi="Times New Roman" w:eastAsia="宋体" w:cs="Times New Roman"/>
      <w:lang w:val="en-US" w:eastAsia="zh-CN" w:bidi="ar-SA"/>
    </w:rPr>
  </w:style>
  <w:style w:type="paragraph" w:customStyle="1" w:styleId="136">
    <w:name w:val="p16"/>
    <w:basedOn w:val="1"/>
    <w:qFormat/>
    <w:uiPriority w:val="0"/>
    <w:pPr>
      <w:widowControl/>
    </w:pPr>
    <w:rPr>
      <w:rFonts w:ascii="宋体" w:hAnsi="宋体" w:cs="宋体"/>
      <w:kern w:val="0"/>
      <w:sz w:val="27"/>
      <w:szCs w:val="27"/>
    </w:rPr>
  </w:style>
  <w:style w:type="paragraph" w:customStyle="1" w:styleId="137">
    <w:name w:val="CM13"/>
    <w:basedOn w:val="120"/>
    <w:next w:val="120"/>
    <w:unhideWhenUsed/>
    <w:qFormat/>
    <w:uiPriority w:val="99"/>
    <w:pPr>
      <w:spacing w:line="520" w:lineRule="atLeast"/>
    </w:pPr>
  </w:style>
  <w:style w:type="paragraph" w:customStyle="1" w:styleId="138">
    <w:name w:val="CM19"/>
    <w:basedOn w:val="120"/>
    <w:next w:val="120"/>
    <w:unhideWhenUsed/>
    <w:qFormat/>
    <w:uiPriority w:val="99"/>
  </w:style>
  <w:style w:type="character" w:customStyle="1" w:styleId="139">
    <w:name w:val="font01"/>
    <w:qFormat/>
    <w:uiPriority w:val="0"/>
    <w:rPr>
      <w:rFonts w:hint="eastAsia" w:ascii="宋体" w:hAnsi="宋体" w:eastAsia="宋体" w:cs="宋体"/>
      <w:color w:val="000000"/>
      <w:sz w:val="21"/>
      <w:szCs w:val="21"/>
      <w:u w:val="none"/>
      <w:vertAlign w:val="superscript"/>
    </w:rPr>
  </w:style>
  <w:style w:type="character" w:customStyle="1" w:styleId="140">
    <w:name w:val="font11"/>
    <w:qFormat/>
    <w:uiPriority w:val="0"/>
    <w:rPr>
      <w:rFonts w:hint="eastAsia" w:ascii="宋体" w:hAnsi="宋体" w:eastAsia="宋体" w:cs="宋体"/>
      <w:color w:val="000000"/>
      <w:sz w:val="21"/>
      <w:szCs w:val="21"/>
      <w:u w:val="none"/>
    </w:rPr>
  </w:style>
  <w:style w:type="paragraph" w:customStyle="1" w:styleId="141">
    <w:name w:val="--规划正文"/>
    <w:basedOn w:val="1"/>
    <w:qFormat/>
    <w:uiPriority w:val="0"/>
    <w:pPr>
      <w:widowControl/>
      <w:suppressAutoHyphens/>
      <w:ind w:firstLine="200"/>
    </w:pPr>
    <w:rPr>
      <w:kern w:val="1"/>
      <w:szCs w:val="20"/>
      <w:lang w:eastAsia="ar-SA"/>
    </w:rPr>
  </w:style>
  <w:style w:type="character" w:customStyle="1" w:styleId="142">
    <w:name w:val="正文首行缩进 2 Char"/>
    <w:link w:val="143"/>
    <w:qFormat/>
    <w:uiPriority w:val="0"/>
    <w:rPr>
      <w:rFonts w:ascii="宋体" w:hAnsi="Courier New"/>
      <w:spacing w:val="-4"/>
      <w:kern w:val="2"/>
      <w:sz w:val="24"/>
    </w:rPr>
  </w:style>
  <w:style w:type="paragraph" w:customStyle="1" w:styleId="143">
    <w:name w:val="正文首行缩进 21"/>
    <w:basedOn w:val="9"/>
    <w:link w:val="142"/>
    <w:unhideWhenUsed/>
    <w:qFormat/>
    <w:uiPriority w:val="0"/>
    <w:pPr>
      <w:spacing w:after="120" w:line="360" w:lineRule="auto"/>
      <w:ind w:left="420" w:leftChars="200" w:firstLine="420"/>
    </w:pPr>
    <w:rPr>
      <w:sz w:val="24"/>
    </w:rPr>
  </w:style>
  <w:style w:type="character" w:customStyle="1" w:styleId="144">
    <w:name w:val="正文首行缩进 2 Char1"/>
    <w:qFormat/>
    <w:uiPriority w:val="0"/>
    <w:rPr>
      <w:rFonts w:ascii="宋体" w:hAnsi="Courier New"/>
      <w:spacing w:val="-4"/>
      <w:kern w:val="2"/>
      <w:sz w:val="21"/>
      <w:szCs w:val="24"/>
    </w:rPr>
  </w:style>
  <w:style w:type="paragraph" w:customStyle="1" w:styleId="145">
    <w:name w:val="正文sl"/>
    <w:basedOn w:val="1"/>
    <w:qFormat/>
    <w:uiPriority w:val="0"/>
    <w:pPr>
      <w:ind w:firstLine="600"/>
    </w:pPr>
    <w:rPr>
      <w:rFonts w:ascii="仿宋_GB2312" w:eastAsia="仿宋_GB2312" w:cs="宋体"/>
      <w:sz w:val="30"/>
      <w:szCs w:val="20"/>
    </w:rPr>
  </w:style>
  <w:style w:type="paragraph" w:customStyle="1" w:styleId="146">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7">
    <w:name w:val="fontstyle01"/>
    <w:qFormat/>
    <w:uiPriority w:val="0"/>
    <w:rPr>
      <w:rFonts w:hint="eastAsia" w:ascii="宋体" w:hAnsi="宋体" w:eastAsia="宋体" w:cs="宋体"/>
      <w:color w:val="000000"/>
      <w:sz w:val="24"/>
      <w:szCs w:val="24"/>
    </w:rPr>
  </w:style>
  <w:style w:type="character" w:customStyle="1" w:styleId="148">
    <w:name w:val="inline-comment-marker"/>
    <w:basedOn w:val="58"/>
    <w:qFormat/>
    <w:uiPriority w:val="0"/>
  </w:style>
  <w:style w:type="paragraph" w:customStyle="1" w:styleId="149">
    <w:name w:val="列表段落11"/>
    <w:basedOn w:val="1"/>
    <w:qFormat/>
    <w:uiPriority w:val="34"/>
    <w:pPr>
      <w:widowControl/>
      <w:ind w:firstLine="420"/>
    </w:pPr>
    <w:rPr>
      <w:rFonts w:ascii="宋体" w:hAnsi="宋体" w:cs="宋体"/>
      <w:kern w:val="0"/>
      <w:sz w:val="24"/>
    </w:rPr>
  </w:style>
  <w:style w:type="character" w:customStyle="1" w:styleId="150">
    <w:name w:val="标题 5 字符"/>
    <w:basedOn w:val="58"/>
    <w:link w:val="11"/>
    <w:qFormat/>
    <w:uiPriority w:val="0"/>
    <w:rPr>
      <w:rFonts w:eastAsia="微软雅黑"/>
      <w:b/>
      <w:bCs/>
      <w:kern w:val="2"/>
      <w:sz w:val="21"/>
      <w:szCs w:val="28"/>
    </w:rPr>
  </w:style>
  <w:style w:type="character" w:customStyle="1" w:styleId="151">
    <w:name w:val="标题 6 字符"/>
    <w:basedOn w:val="58"/>
    <w:link w:val="12"/>
    <w:qFormat/>
    <w:uiPriority w:val="0"/>
    <w:rPr>
      <w:rFonts w:ascii="Arial" w:hAnsi="Arial" w:eastAsia="黑体"/>
      <w:b/>
      <w:bCs/>
      <w:kern w:val="2"/>
      <w:sz w:val="24"/>
    </w:rPr>
  </w:style>
  <w:style w:type="character" w:customStyle="1" w:styleId="152">
    <w:name w:val="标题 7 字符"/>
    <w:basedOn w:val="58"/>
    <w:link w:val="13"/>
    <w:qFormat/>
    <w:uiPriority w:val="0"/>
    <w:rPr>
      <w:rFonts w:ascii="宋体" w:eastAsia="仿宋_GB2312"/>
      <w:b/>
      <w:sz w:val="24"/>
    </w:rPr>
  </w:style>
  <w:style w:type="character" w:customStyle="1" w:styleId="153">
    <w:name w:val="标题 8 字符"/>
    <w:basedOn w:val="58"/>
    <w:link w:val="14"/>
    <w:qFormat/>
    <w:uiPriority w:val="0"/>
    <w:rPr>
      <w:rFonts w:ascii="Arial" w:hAnsi="Arial" w:eastAsia="黑体"/>
      <w:sz w:val="24"/>
    </w:rPr>
  </w:style>
  <w:style w:type="character" w:customStyle="1" w:styleId="154">
    <w:name w:val="标题 9 字符"/>
    <w:basedOn w:val="58"/>
    <w:link w:val="15"/>
    <w:qFormat/>
    <w:uiPriority w:val="0"/>
    <w:rPr>
      <w:rFonts w:ascii="Arial" w:hAnsi="Arial" w:eastAsia="黑体"/>
      <w:sz w:val="28"/>
    </w:rPr>
  </w:style>
  <w:style w:type="character" w:customStyle="1" w:styleId="155">
    <w:name w:val="标题 2 字符"/>
    <w:basedOn w:val="58"/>
    <w:link w:val="6"/>
    <w:qFormat/>
    <w:uiPriority w:val="9"/>
    <w:rPr>
      <w:rFonts w:ascii="仿宋_GB2312" w:hAnsi="仿宋_GB2312" w:eastAsia="微软雅黑"/>
      <w:b/>
      <w:sz w:val="21"/>
    </w:rPr>
  </w:style>
  <w:style w:type="character" w:customStyle="1" w:styleId="156">
    <w:name w:val="unnamed11"/>
    <w:qFormat/>
    <w:uiPriority w:val="0"/>
    <w:rPr>
      <w:sz w:val="20"/>
      <w:szCs w:val="20"/>
    </w:rPr>
  </w:style>
  <w:style w:type="character" w:customStyle="1" w:styleId="157">
    <w:name w:val="标题 1 Char Char"/>
    <w:qFormat/>
    <w:uiPriority w:val="0"/>
    <w:rPr>
      <w:rFonts w:eastAsia="宋体"/>
      <w:b/>
      <w:spacing w:val="-2"/>
      <w:sz w:val="24"/>
      <w:lang w:val="en-US" w:eastAsia="zh-CN" w:bidi="ar-SA"/>
    </w:rPr>
  </w:style>
  <w:style w:type="character" w:customStyle="1" w:styleId="158">
    <w:name w:val="line1"/>
    <w:qFormat/>
    <w:uiPriority w:val="0"/>
    <w:rPr>
      <w:u w:val="none"/>
    </w:rPr>
  </w:style>
  <w:style w:type="character" w:customStyle="1" w:styleId="159">
    <w:name w:val="point_normal1"/>
    <w:qFormat/>
    <w:uiPriority w:val="0"/>
    <w:rPr>
      <w:rFonts w:hint="default" w:ascii="Arial" w:hAnsi="Arial" w:cs="Arial"/>
      <w:sz w:val="18"/>
      <w:szCs w:val="18"/>
    </w:rPr>
  </w:style>
  <w:style w:type="character" w:customStyle="1" w:styleId="160">
    <w:name w:val="样式 小四"/>
    <w:qFormat/>
    <w:uiPriority w:val="0"/>
    <w:rPr>
      <w:sz w:val="21"/>
    </w:rPr>
  </w:style>
  <w:style w:type="character" w:customStyle="1" w:styleId="161">
    <w:name w:val="para"/>
    <w:basedOn w:val="58"/>
    <w:qFormat/>
    <w:uiPriority w:val="0"/>
  </w:style>
  <w:style w:type="character" w:customStyle="1" w:styleId="162">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163">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164">
    <w:name w:val="A C"/>
    <w:qFormat/>
    <w:uiPriority w:val="0"/>
    <w:rPr>
      <w:rFonts w:ascii="仿宋_GB2312"/>
      <w:bCs/>
      <w:iCs/>
      <w:sz w:val="24"/>
    </w:rPr>
  </w:style>
  <w:style w:type="character" w:customStyle="1" w:styleId="165">
    <w:name w:val="huide001"/>
    <w:qFormat/>
    <w:uiPriority w:val="0"/>
    <w:rPr>
      <w:rFonts w:hint="default" w:ascii="Arial" w:hAnsi="Arial" w:cs="Arial"/>
      <w:color w:val="666666"/>
      <w:sz w:val="18"/>
      <w:szCs w:val="18"/>
    </w:rPr>
  </w:style>
  <w:style w:type="character" w:customStyle="1" w:styleId="166">
    <w:name w:val="tw4winMark"/>
    <w:qFormat/>
    <w:uiPriority w:val="0"/>
    <w:rPr>
      <w:rFonts w:ascii="Courier New" w:hAnsi="Courier New"/>
      <w:vanish/>
      <w:color w:val="800080"/>
      <w:vertAlign w:val="subscript"/>
    </w:rPr>
  </w:style>
  <w:style w:type="character" w:customStyle="1" w:styleId="167">
    <w:name w:val="tw4winError"/>
    <w:qFormat/>
    <w:uiPriority w:val="0"/>
    <w:rPr>
      <w:rFonts w:ascii="Courier New" w:hAnsi="Courier New"/>
      <w:color w:val="00FF00"/>
      <w:sz w:val="40"/>
    </w:rPr>
  </w:style>
  <w:style w:type="character" w:customStyle="1" w:styleId="168">
    <w:name w:val="tw4winTerm"/>
    <w:qFormat/>
    <w:uiPriority w:val="0"/>
    <w:rPr>
      <w:color w:val="0000FF"/>
    </w:rPr>
  </w:style>
  <w:style w:type="character" w:customStyle="1" w:styleId="169">
    <w:name w:val="tw4winPopup"/>
    <w:qFormat/>
    <w:uiPriority w:val="0"/>
    <w:rPr>
      <w:rFonts w:ascii="Courier New" w:hAnsi="Courier New"/>
      <w:color w:val="008000"/>
    </w:rPr>
  </w:style>
  <w:style w:type="character" w:customStyle="1" w:styleId="170">
    <w:name w:val="tw4winJump"/>
    <w:qFormat/>
    <w:uiPriority w:val="0"/>
    <w:rPr>
      <w:rFonts w:ascii="Courier New" w:hAnsi="Courier New"/>
      <w:color w:val="008080"/>
    </w:rPr>
  </w:style>
  <w:style w:type="character" w:customStyle="1" w:styleId="171">
    <w:name w:val="tw4winExternal"/>
    <w:qFormat/>
    <w:uiPriority w:val="0"/>
    <w:rPr>
      <w:rFonts w:ascii="Courier New" w:hAnsi="Courier New"/>
      <w:color w:val="808080"/>
    </w:rPr>
  </w:style>
  <w:style w:type="character" w:customStyle="1" w:styleId="172">
    <w:name w:val="tw4winInternal"/>
    <w:qFormat/>
    <w:uiPriority w:val="0"/>
    <w:rPr>
      <w:rFonts w:ascii="Courier New" w:hAnsi="Courier New"/>
      <w:color w:val="FF0000"/>
    </w:rPr>
  </w:style>
  <w:style w:type="paragraph" w:customStyle="1" w:styleId="173">
    <w:name w:val="样式 样式 标题 4 + 段后: 0.5 行1"/>
    <w:basedOn w:val="174"/>
    <w:next w:val="33"/>
    <w:qFormat/>
    <w:uiPriority w:val="0"/>
    <w:pPr>
      <w:spacing w:after="120"/>
    </w:pPr>
  </w:style>
  <w:style w:type="paragraph" w:customStyle="1" w:styleId="174">
    <w:name w:val="样式 标题 4 + 段后: 0.5 行"/>
    <w:basedOn w:val="10"/>
    <w:qFormat/>
    <w:uiPriority w:val="0"/>
    <w:pPr>
      <w:keepLines w:val="0"/>
      <w:spacing w:before="120" w:afterLines="50" w:line="240" w:lineRule="auto"/>
    </w:pPr>
    <w:rPr>
      <w:rFonts w:ascii="宋体" w:hAnsi="Times New Roman" w:eastAsia="宋体" w:cs="宋体"/>
      <w:snapToGrid w:val="0"/>
      <w:kern w:val="0"/>
      <w:szCs w:val="20"/>
    </w:rPr>
  </w:style>
  <w:style w:type="paragraph" w:customStyle="1" w:styleId="175">
    <w:name w:val="Bullet1"/>
    <w:basedOn w:val="1"/>
    <w:qFormat/>
    <w:uiPriority w:val="0"/>
    <w:pPr>
      <w:spacing w:afterLines="50"/>
      <w:ind w:left="720" w:hanging="432"/>
    </w:pPr>
    <w:rPr>
      <w:rFonts w:ascii="宋体"/>
      <w:snapToGrid w:val="0"/>
      <w:kern w:val="0"/>
      <w:szCs w:val="20"/>
    </w:rPr>
  </w:style>
  <w:style w:type="paragraph" w:customStyle="1" w:styleId="176">
    <w:name w:val="font5"/>
    <w:basedOn w:val="1"/>
    <w:qFormat/>
    <w:uiPriority w:val="0"/>
    <w:pPr>
      <w:widowControl/>
      <w:spacing w:before="100" w:beforeAutospacing="1" w:after="100" w:afterAutospacing="1"/>
    </w:pPr>
    <w:rPr>
      <w:rFonts w:hint="eastAsia" w:ascii="宋体" w:hAnsi="宋体"/>
      <w:kern w:val="0"/>
      <w:sz w:val="18"/>
      <w:szCs w:val="18"/>
    </w:rPr>
  </w:style>
  <w:style w:type="paragraph" w:customStyle="1" w:styleId="177">
    <w:name w:val="标准标题1"/>
    <w:basedOn w:val="5"/>
    <w:qFormat/>
    <w:uiPriority w:val="0"/>
    <w:pPr>
      <w:pageBreakBefore/>
      <w:tabs>
        <w:tab w:val="left" w:pos="360"/>
        <w:tab w:val="left" w:pos="1080"/>
      </w:tabs>
      <w:ind w:left="425" w:hanging="425"/>
    </w:pPr>
    <w:rPr>
      <w:rFonts w:eastAsia="仿宋_GB2312"/>
      <w:sz w:val="32"/>
    </w:rPr>
  </w:style>
  <w:style w:type="character" w:customStyle="1" w:styleId="178">
    <w:name w:val="脚注文本 Char1"/>
    <w:basedOn w:val="58"/>
    <w:semiHidden/>
    <w:qFormat/>
    <w:uiPriority w:val="99"/>
    <w:rPr>
      <w:rFonts w:ascii="Times New Roman" w:hAnsi="Times New Roman" w:eastAsia="宋体" w:cs="Times New Roman"/>
      <w:sz w:val="18"/>
      <w:szCs w:val="18"/>
    </w:rPr>
  </w:style>
  <w:style w:type="paragraph" w:customStyle="1" w:styleId="179">
    <w:name w:val="样式 标题 2Chapter X.X. Statementh22Header 2l2Level 2 Headhea..."/>
    <w:basedOn w:val="6"/>
    <w:qFormat/>
    <w:uiPriority w:val="0"/>
    <w:pPr>
      <w:tabs>
        <w:tab w:val="left" w:pos="720"/>
      </w:tabs>
      <w:adjustRightInd/>
      <w:snapToGrid/>
      <w:spacing w:afterLines="50" w:line="240" w:lineRule="auto"/>
      <w:textAlignment w:val="auto"/>
    </w:pPr>
    <w:rPr>
      <w:rFonts w:ascii="宋体" w:eastAsia="宋体" w:cs="宋体"/>
      <w:bCs/>
      <w:snapToGrid w:val="0"/>
      <w:sz w:val="24"/>
      <w:szCs w:val="24"/>
    </w:rPr>
  </w:style>
  <w:style w:type="paragraph" w:customStyle="1" w:styleId="180">
    <w:name w:val="此正文"/>
    <w:basedOn w:val="1"/>
    <w:qFormat/>
    <w:uiPriority w:val="0"/>
    <w:pPr>
      <w:ind w:firstLine="200"/>
    </w:pPr>
    <w:rPr>
      <w:sz w:val="24"/>
      <w:szCs w:val="20"/>
    </w:rPr>
  </w:style>
  <w:style w:type="paragraph" w:customStyle="1" w:styleId="181">
    <w:name w:val="样式 标题 3Chapter X.X.X"/>
    <w:basedOn w:val="182"/>
    <w:qFormat/>
    <w:uiPriority w:val="0"/>
    <w:pPr>
      <w:tabs>
        <w:tab w:val="left" w:pos="709"/>
      </w:tabs>
      <w:spacing w:after="120"/>
    </w:pPr>
  </w:style>
  <w:style w:type="paragraph" w:customStyle="1" w:styleId="182">
    <w:name w:val="标题 3Chapter X.X.X. + 段后: 0.5 行 + 段后: 0.5 行 + 段后: 0.5 行1"/>
    <w:basedOn w:val="183"/>
    <w:qFormat/>
    <w:uiPriority w:val="0"/>
    <w:pPr>
      <w:tabs>
        <w:tab w:val="left" w:pos="709"/>
      </w:tabs>
    </w:pPr>
  </w:style>
  <w:style w:type="paragraph" w:customStyle="1" w:styleId="183">
    <w:name w:val="样式 样式 标题 3Chapter X.X.X. + 段后: 0.5 行 + 段后: 0.5 行"/>
    <w:basedOn w:val="184"/>
    <w:qFormat/>
    <w:uiPriority w:val="0"/>
    <w:pPr>
      <w:tabs>
        <w:tab w:val="left" w:pos="709"/>
      </w:tabs>
    </w:pPr>
  </w:style>
  <w:style w:type="paragraph" w:customStyle="1" w:styleId="184">
    <w:name w:val="样式 标题 3Chapter X.X.X. + 段后: 0.5 行"/>
    <w:basedOn w:val="7"/>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character" w:customStyle="1" w:styleId="185">
    <w:name w:val="正文文本 Char1"/>
    <w:basedOn w:val="58"/>
    <w:semiHidden/>
    <w:qFormat/>
    <w:uiPriority w:val="99"/>
    <w:rPr>
      <w:rFonts w:ascii="Times New Roman" w:hAnsi="Times New Roman" w:eastAsia="宋体" w:cs="Times New Roman"/>
      <w:szCs w:val="20"/>
    </w:rPr>
  </w:style>
  <w:style w:type="character" w:customStyle="1" w:styleId="186">
    <w:name w:val="尾注文本 字符"/>
    <w:basedOn w:val="58"/>
    <w:link w:val="33"/>
    <w:semiHidden/>
    <w:qFormat/>
    <w:uiPriority w:val="0"/>
    <w:rPr>
      <w:rFonts w:ascii="宋体"/>
      <w:snapToGrid w:val="0"/>
      <w:sz w:val="21"/>
    </w:rPr>
  </w:style>
  <w:style w:type="paragraph" w:customStyle="1" w:styleId="187">
    <w:name w:val="样式 标题 2"/>
    <w:basedOn w:val="6"/>
    <w:next w:val="188"/>
    <w:qFormat/>
    <w:uiPriority w:val="0"/>
    <w:pPr>
      <w:tabs>
        <w:tab w:val="left" w:pos="720"/>
      </w:tabs>
      <w:adjustRightInd/>
      <w:snapToGrid/>
      <w:spacing w:afterLines="50" w:line="240" w:lineRule="auto"/>
      <w:ind w:left="380" w:hanging="380"/>
      <w:textAlignment w:val="auto"/>
    </w:pPr>
    <w:rPr>
      <w:rFonts w:ascii="宋体" w:eastAsia="宋体" w:cs="宋体"/>
      <w:bCs/>
      <w:snapToGrid w:val="0"/>
      <w:sz w:val="28"/>
    </w:rPr>
  </w:style>
  <w:style w:type="paragraph" w:customStyle="1" w:styleId="188">
    <w:name w:val="最新标题3"/>
    <w:basedOn w:val="189"/>
    <w:next w:val="190"/>
    <w:qFormat/>
    <w:uiPriority w:val="0"/>
    <w:pPr>
      <w:tabs>
        <w:tab w:val="left" w:pos="709"/>
      </w:tabs>
      <w:spacing w:after="120"/>
    </w:pPr>
  </w:style>
  <w:style w:type="paragraph" w:customStyle="1" w:styleId="189">
    <w:name w:val="样式 标题 3"/>
    <w:basedOn w:val="7"/>
    <w:next w:val="190"/>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90">
    <w:name w:val="最新标题4"/>
    <w:basedOn w:val="191"/>
    <w:next w:val="1"/>
    <w:qFormat/>
    <w:uiPriority w:val="0"/>
    <w:pPr>
      <w:tabs>
        <w:tab w:val="left" w:pos="2100"/>
      </w:tabs>
      <w:spacing w:after="120"/>
      <w:ind w:left="0" w:firstLine="0"/>
    </w:pPr>
  </w:style>
  <w:style w:type="paragraph" w:customStyle="1" w:styleId="191">
    <w:name w:val="样式 标题 4"/>
    <w:basedOn w:val="192"/>
    <w:next w:val="193"/>
    <w:qFormat/>
    <w:uiPriority w:val="0"/>
    <w:pPr>
      <w:tabs>
        <w:tab w:val="left" w:pos="2100"/>
      </w:tabs>
      <w:spacing w:after="50"/>
      <w:ind w:left="2100" w:hanging="420"/>
    </w:pPr>
  </w:style>
  <w:style w:type="paragraph" w:customStyle="1" w:styleId="192">
    <w:name w:val="样式 标题 4Chapter X.X.X.X. + 段后: 0.5 行1"/>
    <w:basedOn w:val="174"/>
    <w:qFormat/>
    <w:uiPriority w:val="0"/>
    <w:pPr>
      <w:spacing w:after="120"/>
    </w:pPr>
  </w:style>
  <w:style w:type="paragraph" w:customStyle="1" w:styleId="193">
    <w:name w:val="样式 正文"/>
    <w:basedOn w:val="1"/>
    <w:next w:val="1"/>
    <w:qFormat/>
    <w:uiPriority w:val="0"/>
    <w:pPr>
      <w:spacing w:afterLines="50"/>
    </w:pPr>
    <w:rPr>
      <w:rFonts w:ascii="宋体" w:cs="宋体"/>
      <w:snapToGrid w:val="0"/>
      <w:kern w:val="0"/>
      <w:szCs w:val="20"/>
    </w:rPr>
  </w:style>
  <w:style w:type="paragraph" w:customStyle="1" w:styleId="194">
    <w:name w:val="样式 标题 2Chapter X.X. Statementh22Header 2l2Level 2 Headhea...1"/>
    <w:basedOn w:val="7"/>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95">
    <w:name w:val="表格标题"/>
    <w:basedOn w:val="196"/>
    <w:qFormat/>
    <w:uiPriority w:val="0"/>
    <w:pPr>
      <w:jc w:val="center"/>
    </w:pPr>
    <w:rPr>
      <w:b/>
      <w:bCs/>
      <w:i/>
      <w:iCs/>
    </w:rPr>
  </w:style>
  <w:style w:type="paragraph" w:customStyle="1" w:styleId="196">
    <w:name w:val="表格内容"/>
    <w:basedOn w:val="2"/>
    <w:qFormat/>
    <w:uiPriority w:val="0"/>
    <w:pPr>
      <w:suppressLineNumbers/>
      <w:suppressAutoHyphens/>
    </w:pPr>
    <w:rPr>
      <w:rFonts w:asciiTheme="minorHAnsi" w:hAnsiTheme="minorHAnsi" w:eastAsiaTheme="minorEastAsia" w:cstheme="minorBidi"/>
      <w:kern w:val="1"/>
      <w:lang w:eastAsia="ar-SA"/>
    </w:rPr>
  </w:style>
  <w:style w:type="paragraph" w:customStyle="1" w:styleId="197">
    <w:name w:val="标准标题3"/>
    <w:basedOn w:val="7"/>
    <w:qFormat/>
    <w:uiPriority w:val="0"/>
    <w:pPr>
      <w:tabs>
        <w:tab w:val="left" w:pos="709"/>
        <w:tab w:val="left" w:pos="1050"/>
      </w:tabs>
      <w:spacing w:line="240" w:lineRule="auto"/>
      <w:ind w:left="-258" w:leftChars="-258" w:firstLine="0" w:firstLineChars="0"/>
    </w:pPr>
    <w:rPr>
      <w:rFonts w:ascii="Times New Roman"/>
      <w:sz w:val="28"/>
      <w:szCs w:val="32"/>
    </w:rPr>
  </w:style>
  <w:style w:type="paragraph" w:customStyle="1" w:styleId="198">
    <w:name w:val="paragraph1"/>
    <w:basedOn w:val="1"/>
    <w:qFormat/>
    <w:uiPriority w:val="0"/>
    <w:pPr>
      <w:spacing w:afterLines="30"/>
      <w:ind w:firstLine="420"/>
    </w:pPr>
    <w:rPr>
      <w:rFonts w:eastAsia="楷体_GB2312"/>
      <w:sz w:val="24"/>
      <w:szCs w:val="20"/>
    </w:rPr>
  </w:style>
  <w:style w:type="paragraph" w:customStyle="1" w:styleId="199">
    <w:name w:val="Char Char Char Char1 Char Char"/>
    <w:basedOn w:val="1"/>
    <w:qFormat/>
    <w:uiPriority w:val="0"/>
    <w:pPr>
      <w:widowControl/>
      <w:spacing w:after="160" w:line="240" w:lineRule="exact"/>
    </w:pPr>
    <w:rPr>
      <w:rFonts w:ascii="Verdana" w:hAnsi="Verdana"/>
      <w:kern w:val="0"/>
      <w:sz w:val="20"/>
      <w:szCs w:val="20"/>
      <w:lang w:eastAsia="en-US"/>
    </w:rPr>
  </w:style>
  <w:style w:type="paragraph" w:customStyle="1" w:styleId="200">
    <w:name w:val="最新标题2"/>
    <w:basedOn w:val="187"/>
    <w:next w:val="188"/>
    <w:qFormat/>
    <w:uiPriority w:val="0"/>
  </w:style>
  <w:style w:type="paragraph" w:customStyle="1" w:styleId="201">
    <w:name w:val="Paragraph2"/>
    <w:basedOn w:val="1"/>
    <w:qFormat/>
    <w:uiPriority w:val="0"/>
    <w:pPr>
      <w:spacing w:before="80" w:afterLines="50"/>
      <w:ind w:left="720"/>
    </w:pPr>
    <w:rPr>
      <w:rFonts w:ascii="宋体"/>
      <w:snapToGrid w:val="0"/>
      <w:color w:val="000000"/>
      <w:kern w:val="0"/>
      <w:szCs w:val="20"/>
      <w:lang w:val="en-AU"/>
    </w:rPr>
  </w:style>
  <w:style w:type="paragraph" w:customStyle="1" w:styleId="202">
    <w:name w:val="样式 样式 正文文本缩进 + 仿宋_GB2312 小四 首行缩进:  0 厘米 行距: 1.5 倍行距 + (中文) 仿宋_GB..."/>
    <w:basedOn w:val="203"/>
    <w:qFormat/>
    <w:uiPriority w:val="0"/>
    <w:pPr>
      <w:ind w:firstLine="480"/>
    </w:pPr>
  </w:style>
  <w:style w:type="paragraph" w:customStyle="1" w:styleId="203">
    <w:name w:val="样式 正文文本缩进 + 仿宋_GB2312 小四 首行缩进:  0 厘米 行距: 1.5 倍行距"/>
    <w:basedOn w:val="9"/>
    <w:qFormat/>
    <w:uiPriority w:val="0"/>
    <w:pPr>
      <w:spacing w:line="360" w:lineRule="auto"/>
      <w:ind w:firstLine="0"/>
    </w:pPr>
    <w:rPr>
      <w:rFonts w:ascii="仿宋_GB2312" w:hAnsi="Times New Roman" w:eastAsia="新宋体"/>
      <w:spacing w:val="0"/>
      <w:sz w:val="24"/>
    </w:rPr>
  </w:style>
  <w:style w:type="paragraph" w:customStyle="1" w:styleId="204">
    <w:name w:val="样式 标题 1 + 段后: 0.5 行"/>
    <w:basedOn w:val="5"/>
    <w:qFormat/>
    <w:uiPriority w:val="0"/>
    <w:pPr>
      <w:keepLines w:val="0"/>
      <w:tabs>
        <w:tab w:val="left" w:pos="360"/>
      </w:tabs>
      <w:spacing w:before="120" w:afterLines="50" w:line="240" w:lineRule="auto"/>
      <w:jc w:val="left"/>
    </w:pPr>
    <w:rPr>
      <w:rFonts w:ascii="宋体" w:cs="宋体"/>
      <w:snapToGrid w:val="0"/>
      <w:kern w:val="0"/>
      <w:sz w:val="28"/>
      <w:szCs w:val="20"/>
    </w:rPr>
  </w:style>
  <w:style w:type="paragraph" w:customStyle="1" w:styleId="205">
    <w:name w:val="Table - Text"/>
    <w:basedOn w:val="1"/>
    <w:qFormat/>
    <w:uiPriority w:val="0"/>
    <w:pPr>
      <w:widowControl/>
      <w:spacing w:before="60" w:afterLines="50"/>
    </w:pPr>
    <w:rPr>
      <w:kern w:val="0"/>
      <w:szCs w:val="20"/>
      <w:lang w:eastAsia="en-US"/>
    </w:rPr>
  </w:style>
  <w:style w:type="paragraph" w:customStyle="1" w:styleId="206">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207">
    <w:name w:val="沈标题四"/>
    <w:basedOn w:val="10"/>
    <w:next w:val="1"/>
    <w:qFormat/>
    <w:uiPriority w:val="0"/>
    <w:pPr>
      <w:keepNext w:val="0"/>
      <w:keepLines w:val="0"/>
      <w:spacing w:line="377" w:lineRule="auto"/>
    </w:pPr>
    <w:rPr>
      <w:rFonts w:ascii="Arial Narrow" w:hAnsi="Arial Narrow" w:eastAsia="方正姚体"/>
      <w:b w:val="0"/>
      <w:sz w:val="24"/>
      <w:szCs w:val="24"/>
    </w:rPr>
  </w:style>
  <w:style w:type="paragraph" w:customStyle="1" w:styleId="208">
    <w:name w:val="S4-L15"/>
    <w:basedOn w:val="1"/>
    <w:qFormat/>
    <w:uiPriority w:val="0"/>
    <w:pPr>
      <w:spacing w:after="120"/>
      <w:ind w:left="720" w:firstLine="392"/>
    </w:pPr>
    <w:rPr>
      <w:szCs w:val="21"/>
      <w:lang w:val="fr-FR"/>
    </w:rPr>
  </w:style>
  <w:style w:type="paragraph" w:customStyle="1" w:styleId="209">
    <w:name w:val="Figure Description"/>
    <w:next w:val="1"/>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210">
    <w:name w:val="样式 标题 4Chapter X.X.X. + 段后: 0.5 行1 + 段后: 0.5 行"/>
    <w:basedOn w:val="211"/>
    <w:qFormat/>
    <w:uiPriority w:val="0"/>
    <w:rPr>
      <w:szCs w:val="21"/>
    </w:rPr>
  </w:style>
  <w:style w:type="paragraph" w:customStyle="1" w:styleId="211">
    <w:name w:val="样式 标题 4Chapter X.X.X. + 段后: 0.5 行1"/>
    <w:basedOn w:val="10"/>
    <w:next w:val="10"/>
    <w:qFormat/>
    <w:uiPriority w:val="0"/>
    <w:pPr>
      <w:keepLines w:val="0"/>
      <w:spacing w:before="120" w:afterLines="50" w:line="240" w:lineRule="auto"/>
      <w:ind w:left="425" w:hanging="425"/>
    </w:pPr>
    <w:rPr>
      <w:rFonts w:ascii="宋体" w:hAnsi="Times New Roman" w:eastAsia="宋体" w:cs="宋体"/>
      <w:snapToGrid w:val="0"/>
      <w:kern w:val="0"/>
      <w:szCs w:val="20"/>
    </w:rPr>
  </w:style>
  <w:style w:type="paragraph" w:customStyle="1" w:styleId="212">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13">
    <w:name w:val="Table - Col. Head"/>
    <w:basedOn w:val="1"/>
    <w:qFormat/>
    <w:uiPriority w:val="0"/>
    <w:pPr>
      <w:keepNext/>
      <w:widowControl/>
      <w:spacing w:before="60" w:afterLines="50"/>
    </w:pPr>
    <w:rPr>
      <w:rFonts w:ascii="Arial" w:hAnsi="Arial"/>
      <w:b/>
      <w:kern w:val="0"/>
      <w:sz w:val="18"/>
      <w:szCs w:val="20"/>
      <w:lang w:eastAsia="en-US"/>
    </w:rPr>
  </w:style>
  <w:style w:type="paragraph" w:customStyle="1" w:styleId="214">
    <w:name w:val="Paragraph1"/>
    <w:basedOn w:val="1"/>
    <w:qFormat/>
    <w:uiPriority w:val="0"/>
    <w:pPr>
      <w:spacing w:before="80" w:afterLines="50"/>
    </w:pPr>
    <w:rPr>
      <w:rFonts w:ascii="宋体"/>
      <w:snapToGrid w:val="0"/>
      <w:kern w:val="0"/>
      <w:szCs w:val="20"/>
    </w:rPr>
  </w:style>
  <w:style w:type="character" w:customStyle="1" w:styleId="215">
    <w:name w:val="HTML 预设格式 字符"/>
    <w:basedOn w:val="58"/>
    <w:link w:val="47"/>
    <w:qFormat/>
    <w:uiPriority w:val="0"/>
    <w:rPr>
      <w:rFonts w:ascii="Arial" w:hAnsi="Arial" w:cs="Arial"/>
      <w:sz w:val="24"/>
      <w:szCs w:val="24"/>
    </w:rPr>
  </w:style>
  <w:style w:type="paragraph" w:customStyle="1" w:styleId="216">
    <w:name w:val="S4-L15-No"/>
    <w:basedOn w:val="208"/>
    <w:qFormat/>
    <w:uiPriority w:val="0"/>
    <w:pPr>
      <w:tabs>
        <w:tab w:val="left" w:pos="720"/>
      </w:tabs>
      <w:ind w:hanging="720"/>
    </w:pPr>
  </w:style>
  <w:style w:type="paragraph" w:customStyle="1" w:styleId="217">
    <w:name w:val="样式 样式 样式 标题 3Chapter X.X.X. + 段后: 0.5 行 + 段后: 0.5 行 + 段后: 0.5 行"/>
    <w:basedOn w:val="183"/>
    <w:qFormat/>
    <w:uiPriority w:val="0"/>
    <w:pPr>
      <w:spacing w:after="120"/>
    </w:pPr>
  </w:style>
  <w:style w:type="character" w:customStyle="1" w:styleId="218">
    <w:name w:val="正文文本首行缩进 字符"/>
    <w:basedOn w:val="72"/>
    <w:link w:val="3"/>
    <w:semiHidden/>
    <w:qFormat/>
    <w:uiPriority w:val="0"/>
    <w:rPr>
      <w:kern w:val="2"/>
      <w:sz w:val="21"/>
      <w:szCs w:val="24"/>
    </w:rPr>
  </w:style>
  <w:style w:type="paragraph" w:customStyle="1" w:styleId="219">
    <w:name w:val="Paragraph3"/>
    <w:basedOn w:val="1"/>
    <w:qFormat/>
    <w:uiPriority w:val="0"/>
    <w:pPr>
      <w:spacing w:before="80" w:afterLines="50"/>
      <w:ind w:left="1530"/>
    </w:pPr>
    <w:rPr>
      <w:rFonts w:ascii="宋体"/>
      <w:snapToGrid w:val="0"/>
      <w:kern w:val="0"/>
      <w:szCs w:val="20"/>
    </w:rPr>
  </w:style>
  <w:style w:type="character" w:customStyle="1" w:styleId="220">
    <w:name w:val="文档结构图 字符"/>
    <w:basedOn w:val="58"/>
    <w:link w:val="19"/>
    <w:semiHidden/>
    <w:qFormat/>
    <w:uiPriority w:val="0"/>
    <w:rPr>
      <w:kern w:val="2"/>
      <w:sz w:val="21"/>
      <w:szCs w:val="24"/>
      <w:shd w:val="clear" w:color="auto" w:fill="000080"/>
    </w:rPr>
  </w:style>
  <w:style w:type="paragraph" w:customStyle="1" w:styleId="22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2">
    <w:name w:val="样式 标题 3Chapter X.X.X. + 五号 段后: 0.5 行"/>
    <w:basedOn w:val="7"/>
    <w:qFormat/>
    <w:uiPriority w:val="0"/>
    <w:pPr>
      <w:keepLines w:val="0"/>
      <w:tabs>
        <w:tab w:val="left" w:pos="709"/>
      </w:tabs>
      <w:spacing w:before="120" w:afterLines="50" w:line="240" w:lineRule="auto"/>
      <w:ind w:firstLine="0" w:firstLineChars="0"/>
    </w:pPr>
    <w:rPr>
      <w:rFonts w:ascii="宋体" w:eastAsia="宋体" w:cs="宋体"/>
      <w:snapToGrid w:val="0"/>
      <w:kern w:val="0"/>
    </w:rPr>
  </w:style>
  <w:style w:type="paragraph" w:customStyle="1" w:styleId="223">
    <w:name w:val="huide00"/>
    <w:basedOn w:val="1"/>
    <w:qFormat/>
    <w:uiPriority w:val="0"/>
    <w:pPr>
      <w:widowControl/>
      <w:spacing w:before="100" w:beforeAutospacing="1" w:after="100" w:afterAutospacing="1"/>
    </w:pPr>
    <w:rPr>
      <w:rFonts w:ascii="Arial" w:hAnsi="Arial" w:eastAsia="Arial Unicode MS" w:cs="Arial"/>
      <w:color w:val="666666"/>
      <w:kern w:val="0"/>
      <w:sz w:val="18"/>
      <w:szCs w:val="18"/>
    </w:rPr>
  </w:style>
  <w:style w:type="paragraph" w:customStyle="1" w:styleId="224">
    <w:name w:val="Table Description"/>
    <w:next w:val="1"/>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225">
    <w:name w:val="S4-I-L15-U"/>
    <w:basedOn w:val="1"/>
    <w:qFormat/>
    <w:uiPriority w:val="0"/>
    <w:rPr>
      <w:b/>
      <w:i/>
      <w:sz w:val="24"/>
      <w:u w:val="single"/>
    </w:rPr>
  </w:style>
  <w:style w:type="paragraph" w:customStyle="1" w:styleId="226">
    <w:name w:val="InfoBlue"/>
    <w:basedOn w:val="1"/>
    <w:next w:val="2"/>
    <w:qFormat/>
    <w:uiPriority w:val="0"/>
    <w:pPr>
      <w:spacing w:afterLines="50"/>
      <w:ind w:left="720"/>
    </w:pPr>
    <w:rPr>
      <w:rFonts w:ascii="宋体"/>
      <w:i/>
      <w:snapToGrid w:val="0"/>
      <w:color w:val="0000FF"/>
      <w:kern w:val="0"/>
      <w:szCs w:val="20"/>
    </w:rPr>
  </w:style>
  <w:style w:type="paragraph" w:customStyle="1" w:styleId="227">
    <w:name w:val="标准标题2"/>
    <w:basedOn w:val="6"/>
    <w:qFormat/>
    <w:uiPriority w:val="0"/>
    <w:pPr>
      <w:keepLines/>
      <w:tabs>
        <w:tab w:val="left" w:pos="720"/>
      </w:tabs>
      <w:adjustRightInd/>
      <w:snapToGrid/>
      <w:spacing w:before="260" w:after="260"/>
      <w:jc w:val="both"/>
      <w:textAlignment w:val="auto"/>
    </w:pPr>
    <w:rPr>
      <w:rFonts w:ascii="Arial" w:hAnsi="Arial"/>
      <w:kern w:val="2"/>
      <w:sz w:val="28"/>
      <w:szCs w:val="32"/>
    </w:rPr>
  </w:style>
  <w:style w:type="paragraph" w:customStyle="1" w:styleId="228">
    <w:name w:val="样式 左侧:  1 厘米 段后: 0.5 行"/>
    <w:basedOn w:val="1"/>
    <w:qFormat/>
    <w:uiPriority w:val="0"/>
    <w:pPr>
      <w:spacing w:afterLines="50"/>
      <w:ind w:firstLine="425"/>
    </w:pPr>
    <w:rPr>
      <w:rFonts w:ascii="宋体" w:cs="宋体"/>
      <w:snapToGrid w:val="0"/>
      <w:kern w:val="0"/>
      <w:szCs w:val="20"/>
    </w:rPr>
  </w:style>
  <w:style w:type="paragraph" w:customStyle="1" w:styleId="229">
    <w:name w:val="Char Char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230">
    <w:name w:val="样式7"/>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31">
    <w:name w:val="样式 标题1"/>
    <w:basedOn w:val="204"/>
    <w:next w:val="200"/>
    <w:qFormat/>
    <w:uiPriority w:val="0"/>
    <w:pPr>
      <w:tabs>
        <w:tab w:val="left" w:pos="1140"/>
      </w:tabs>
      <w:spacing w:after="50"/>
      <w:ind w:left="1140" w:hanging="720"/>
    </w:pPr>
    <w:rPr>
      <w:bCs w:val="0"/>
      <w:sz w:val="32"/>
    </w:rPr>
  </w:style>
  <w:style w:type="paragraph" w:customStyle="1" w:styleId="232">
    <w:name w:val="Tabletext"/>
    <w:basedOn w:val="1"/>
    <w:qFormat/>
    <w:uiPriority w:val="0"/>
    <w:pPr>
      <w:keepLines/>
      <w:spacing w:afterLines="50"/>
    </w:pPr>
    <w:rPr>
      <w:rFonts w:ascii="宋体"/>
      <w:snapToGrid w:val="0"/>
      <w:kern w:val="0"/>
      <w:szCs w:val="20"/>
    </w:rPr>
  </w:style>
  <w:style w:type="paragraph" w:customStyle="1" w:styleId="233">
    <w:name w:val="文档正文"/>
    <w:basedOn w:val="1"/>
    <w:qFormat/>
    <w:uiPriority w:val="0"/>
    <w:pPr>
      <w:adjustRightInd w:val="0"/>
      <w:spacing w:line="440" w:lineRule="exact"/>
      <w:ind w:firstLine="567"/>
      <w:textAlignment w:val="baseline"/>
    </w:pPr>
    <w:rPr>
      <w:rFonts w:ascii="Arial Narrow" w:hAnsi="Arial Narrow"/>
      <w:kern w:val="0"/>
      <w:sz w:val="24"/>
    </w:rPr>
  </w:style>
  <w:style w:type="paragraph" w:customStyle="1" w:styleId="234">
    <w:name w:val="Bullet2"/>
    <w:basedOn w:val="1"/>
    <w:qFormat/>
    <w:uiPriority w:val="0"/>
    <w:pPr>
      <w:spacing w:afterLines="50"/>
      <w:ind w:left="1440" w:hanging="360"/>
    </w:pPr>
    <w:rPr>
      <w:rFonts w:ascii="宋体"/>
      <w:snapToGrid w:val="0"/>
      <w:color w:val="000080"/>
      <w:kern w:val="0"/>
      <w:szCs w:val="20"/>
    </w:rPr>
  </w:style>
  <w:style w:type="paragraph" w:customStyle="1" w:styleId="235">
    <w:name w:val="Item List"/>
    <w:qFormat/>
    <w:uiPriority w:val="0"/>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236">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237">
    <w:name w:val="Bullet"/>
    <w:basedOn w:val="1"/>
    <w:qFormat/>
    <w:uiPriority w:val="0"/>
    <w:pPr>
      <w:widowControl/>
      <w:tabs>
        <w:tab w:val="left" w:pos="720"/>
        <w:tab w:val="left" w:pos="964"/>
      </w:tabs>
      <w:spacing w:before="120" w:afterLines="50"/>
      <w:ind w:left="720" w:right="360" w:hanging="482"/>
    </w:pPr>
    <w:rPr>
      <w:rFonts w:ascii="宋体"/>
      <w:snapToGrid w:val="0"/>
      <w:kern w:val="0"/>
      <w:szCs w:val="20"/>
    </w:rPr>
  </w:style>
  <w:style w:type="paragraph" w:customStyle="1" w:styleId="238">
    <w:name w:val="S4-L15-C"/>
    <w:basedOn w:val="1"/>
    <w:qFormat/>
    <w:uiPriority w:val="0"/>
    <w:pPr>
      <w:spacing w:after="120"/>
      <w:jc w:val="center"/>
    </w:pPr>
    <w:rPr>
      <w:szCs w:val="21"/>
    </w:rPr>
  </w:style>
  <w:style w:type="paragraph" w:customStyle="1" w:styleId="239">
    <w:name w:val="二级项目符号"/>
    <w:basedOn w:val="1"/>
    <w:qFormat/>
    <w:uiPriority w:val="0"/>
    <w:pPr>
      <w:widowControl/>
      <w:tabs>
        <w:tab w:val="left" w:pos="964"/>
      </w:tabs>
      <w:ind w:left="964" w:hanging="482"/>
    </w:pPr>
    <w:rPr>
      <w:kern w:val="0"/>
      <w:sz w:val="24"/>
      <w:szCs w:val="20"/>
    </w:rPr>
  </w:style>
  <w:style w:type="paragraph" w:customStyle="1" w:styleId="24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character" w:customStyle="1" w:styleId="241">
    <w:name w:val="页脚 Char1"/>
    <w:basedOn w:val="58"/>
    <w:semiHidden/>
    <w:qFormat/>
    <w:uiPriority w:val="99"/>
    <w:rPr>
      <w:rFonts w:ascii="Times New Roman" w:hAnsi="Times New Roman" w:eastAsia="宋体" w:cs="Times New Roman"/>
      <w:sz w:val="18"/>
      <w:szCs w:val="18"/>
    </w:rPr>
  </w:style>
  <w:style w:type="paragraph" w:customStyle="1" w:styleId="242">
    <w:name w:val="样式 样式 标题 4 + 段后: 0.5 行 + 段后: 0.5 行"/>
    <w:basedOn w:val="174"/>
    <w:qFormat/>
    <w:uiPriority w:val="0"/>
  </w:style>
  <w:style w:type="paragraph" w:customStyle="1" w:styleId="243">
    <w:name w:val="Main Title"/>
    <w:basedOn w:val="1"/>
    <w:qFormat/>
    <w:uiPriority w:val="0"/>
    <w:pPr>
      <w:spacing w:before="480" w:afterLines="50"/>
      <w:jc w:val="center"/>
    </w:pPr>
    <w:rPr>
      <w:rFonts w:ascii="宋体"/>
      <w:b/>
      <w:snapToGrid w:val="0"/>
      <w:kern w:val="28"/>
      <w:sz w:val="32"/>
      <w:szCs w:val="20"/>
    </w:rPr>
  </w:style>
  <w:style w:type="paragraph" w:customStyle="1" w:styleId="244">
    <w:name w:val="样式 样式 正文文本缩进 + 仿宋_GB2312 小四 首行缩进:  0 厘米 行距: 1.5 倍行距 + (中文) 仿宋_GB... Char Char"/>
    <w:basedOn w:val="203"/>
    <w:qFormat/>
    <w:uiPriority w:val="0"/>
    <w:pPr>
      <w:ind w:firstLine="480"/>
    </w:pPr>
  </w:style>
  <w:style w:type="paragraph" w:customStyle="1" w:styleId="245">
    <w:name w:val="标题1"/>
    <w:basedOn w:val="29"/>
    <w:qFormat/>
    <w:uiPriority w:val="0"/>
    <w:rPr>
      <w:rFonts w:cstheme="minorBidi"/>
      <w:b/>
      <w:sz w:val="30"/>
      <w:szCs w:val="22"/>
    </w:rPr>
  </w:style>
  <w:style w:type="paragraph" w:customStyle="1" w:styleId="246">
    <w:name w:val="样式 三号 加粗 段后: 0.5 行"/>
    <w:basedOn w:val="1"/>
    <w:qFormat/>
    <w:uiPriority w:val="0"/>
    <w:pPr>
      <w:spacing w:afterLines="50"/>
    </w:pPr>
    <w:rPr>
      <w:rFonts w:ascii="宋体" w:cs="宋体"/>
      <w:b/>
      <w:bCs/>
      <w:snapToGrid w:val="0"/>
      <w:kern w:val="0"/>
      <w:sz w:val="32"/>
      <w:szCs w:val="20"/>
    </w:rPr>
  </w:style>
  <w:style w:type="paragraph" w:customStyle="1" w:styleId="247">
    <w:name w:val="标准有序列表（L1）"/>
    <w:basedOn w:val="8"/>
    <w:qFormat/>
    <w:uiPriority w:val="0"/>
    <w:pPr>
      <w:tabs>
        <w:tab w:val="left" w:pos="0"/>
      </w:tabs>
      <w:ind w:firstLine="0"/>
    </w:pPr>
    <w:rPr>
      <w:rFonts w:ascii="黑体" w:eastAsia="黑体" w:hAnsiTheme="minorHAnsi" w:cstheme="minorBidi"/>
      <w:color w:val="000000"/>
      <w:sz w:val="24"/>
      <w:szCs w:val="22"/>
    </w:rPr>
  </w:style>
  <w:style w:type="paragraph" w:customStyle="1" w:styleId="248">
    <w:name w:val="IBM 正文"/>
    <w:basedOn w:val="1"/>
    <w:qFormat/>
    <w:uiPriority w:val="0"/>
    <w:pPr>
      <w:spacing w:line="360" w:lineRule="atLeast"/>
    </w:pPr>
    <w:rPr>
      <w:sz w:val="24"/>
      <w:szCs w:val="20"/>
    </w:rPr>
  </w:style>
  <w:style w:type="paragraph" w:customStyle="1" w:styleId="249">
    <w:name w:val="text"/>
    <w:basedOn w:val="1"/>
    <w:qFormat/>
    <w:uiPriority w:val="0"/>
    <w:pPr>
      <w:adjustRightInd w:val="0"/>
      <w:spacing w:before="120"/>
      <w:ind w:firstLine="425"/>
      <w:textAlignment w:val="baseline"/>
    </w:pPr>
    <w:rPr>
      <w:rFonts w:ascii="宋体" w:hAnsi="Arial" w:cs="Arial"/>
      <w:bCs/>
      <w:kern w:val="0"/>
      <w:sz w:val="26"/>
      <w:szCs w:val="32"/>
    </w:rPr>
  </w:style>
  <w:style w:type="paragraph" w:customStyle="1" w:styleId="250">
    <w:name w:val="S4-I-U-L15-No-dot"/>
    <w:basedOn w:val="1"/>
    <w:qFormat/>
    <w:uiPriority w:val="0"/>
    <w:pPr>
      <w:tabs>
        <w:tab w:val="left" w:pos="1112"/>
      </w:tabs>
      <w:spacing w:after="120"/>
      <w:ind w:left="1112" w:hanging="420"/>
    </w:pPr>
    <w:rPr>
      <w:i/>
      <w:sz w:val="24"/>
      <w:u w:val="single"/>
    </w:rPr>
  </w:style>
  <w:style w:type="paragraph" w:customStyle="1" w:styleId="251">
    <w:name w:val="Paragraph4"/>
    <w:basedOn w:val="1"/>
    <w:qFormat/>
    <w:uiPriority w:val="0"/>
    <w:pPr>
      <w:spacing w:before="80" w:afterLines="50"/>
      <w:ind w:left="2250"/>
    </w:pPr>
    <w:rPr>
      <w:rFonts w:ascii="宋体"/>
      <w:snapToGrid w:val="0"/>
      <w:kern w:val="0"/>
      <w:szCs w:val="20"/>
    </w:rPr>
  </w:style>
  <w:style w:type="paragraph" w:customStyle="1" w:styleId="252">
    <w:name w:val="样式 标题 1 + 五号1 Char Char Char Char Char Char Char Char Char Char Char Char Char Char Char Char Char"/>
    <w:basedOn w:val="5"/>
    <w:qFormat/>
    <w:uiPriority w:val="0"/>
    <w:pPr>
      <w:tabs>
        <w:tab w:val="left" w:pos="360"/>
      </w:tabs>
      <w:spacing w:line="480" w:lineRule="auto"/>
    </w:pPr>
    <w:rPr>
      <w:sz w:val="21"/>
    </w:rPr>
  </w:style>
  <w:style w:type="paragraph" w:customStyle="1" w:styleId="253">
    <w:name w:val="样式 标题 3Chapter X.X.X. + 段后: 0.5 行1"/>
    <w:basedOn w:val="7"/>
    <w:next w:val="1"/>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254">
    <w:name w:val="Body"/>
    <w:basedOn w:val="1"/>
    <w:qFormat/>
    <w:uiPriority w:val="0"/>
    <w:pPr>
      <w:widowControl/>
      <w:spacing w:before="120" w:afterLines="50"/>
    </w:pPr>
    <w:rPr>
      <w:rFonts w:ascii="宋体"/>
      <w:snapToGrid w:val="0"/>
      <w:kern w:val="0"/>
      <w:szCs w:val="20"/>
    </w:rPr>
  </w:style>
  <w:style w:type="paragraph" w:customStyle="1" w:styleId="255">
    <w:name w:val="Proposals body"/>
    <w:basedOn w:val="1"/>
    <w:next w:val="1"/>
    <w:qFormat/>
    <w:uiPriority w:val="0"/>
    <w:pPr>
      <w:widowControl/>
    </w:pPr>
    <w:rPr>
      <w:rFonts w:ascii="宋体"/>
      <w:snapToGrid w:val="0"/>
      <w:color w:val="000000"/>
      <w:kern w:val="0"/>
      <w:sz w:val="24"/>
      <w:szCs w:val="20"/>
    </w:rPr>
  </w:style>
  <w:style w:type="paragraph" w:customStyle="1" w:styleId="256">
    <w:name w:val="章正文"/>
    <w:basedOn w:val="1"/>
    <w:qFormat/>
    <w:uiPriority w:val="0"/>
    <w:pPr>
      <w:spacing w:beforeLines="50" w:after="120" w:line="300" w:lineRule="auto"/>
    </w:pPr>
    <w:rPr>
      <w:rFonts w:ascii="Helvetica" w:hAnsi="Helvetica"/>
      <w:kern w:val="0"/>
      <w:sz w:val="24"/>
    </w:rPr>
  </w:style>
  <w:style w:type="paragraph" w:customStyle="1" w:styleId="257">
    <w:name w:val="样式 样式3 + 宋体 五号 Char Char Char"/>
    <w:basedOn w:val="1"/>
    <w:qFormat/>
    <w:uiPriority w:val="0"/>
    <w:pPr>
      <w:keepNext/>
      <w:keepLines/>
      <w:tabs>
        <w:tab w:val="left" w:pos="1050"/>
      </w:tabs>
      <w:ind w:left="1050" w:hanging="450"/>
      <w:outlineLvl w:val="7"/>
    </w:pPr>
    <w:rPr>
      <w:rFonts w:ascii="宋体" w:hAnsi="宋体"/>
      <w:b/>
      <w:bCs/>
    </w:rPr>
  </w:style>
  <w:style w:type="paragraph" w:customStyle="1" w:styleId="258">
    <w:name w:val="样式 标题 2 + 五号"/>
    <w:basedOn w:val="6"/>
    <w:qFormat/>
    <w:uiPriority w:val="0"/>
    <w:pPr>
      <w:keepLines/>
      <w:tabs>
        <w:tab w:val="left" w:pos="720"/>
      </w:tabs>
      <w:adjustRightInd/>
      <w:snapToGrid/>
      <w:spacing w:line="240" w:lineRule="auto"/>
      <w:jc w:val="both"/>
      <w:textAlignment w:val="auto"/>
    </w:pPr>
    <w:rPr>
      <w:rFonts w:ascii="宋体" w:hAnsi="宋体" w:eastAsia="宋体"/>
      <w:bCs/>
      <w:kern w:val="2"/>
      <w:szCs w:val="32"/>
    </w:rPr>
  </w:style>
  <w:style w:type="paragraph" w:customStyle="1" w:styleId="259">
    <w:name w:val="样式 标题 1 + 五号"/>
    <w:basedOn w:val="5"/>
    <w:qFormat/>
    <w:uiPriority w:val="0"/>
    <w:pPr>
      <w:tabs>
        <w:tab w:val="left" w:pos="360"/>
      </w:tabs>
      <w:spacing w:line="240" w:lineRule="auto"/>
    </w:pPr>
    <w:rPr>
      <w:sz w:val="32"/>
      <w:szCs w:val="32"/>
    </w:rPr>
  </w:style>
  <w:style w:type="paragraph" w:customStyle="1" w:styleId="260">
    <w:name w:val="文本框内文字"/>
    <w:basedOn w:val="1"/>
    <w:qFormat/>
    <w:uiPriority w:val="0"/>
    <w:pPr>
      <w:spacing w:line="0" w:lineRule="atLeast"/>
    </w:pPr>
    <w:rPr>
      <w:rFonts w:eastAsia="仿宋_GB2312"/>
      <w:sz w:val="22"/>
    </w:rPr>
  </w:style>
  <w:style w:type="paragraph" w:customStyle="1" w:styleId="261">
    <w:name w:val="P1"/>
    <w:basedOn w:val="1"/>
    <w:qFormat/>
    <w:uiPriority w:val="0"/>
    <w:pPr>
      <w:widowControl/>
      <w:spacing w:before="240" w:line="240" w:lineRule="atLeast"/>
    </w:pPr>
    <w:rPr>
      <w:b/>
      <w:kern w:val="0"/>
      <w:szCs w:val="21"/>
      <w:lang w:val="en-AU" w:eastAsia="en-US"/>
    </w:rPr>
  </w:style>
  <w:style w:type="paragraph" w:customStyle="1" w:styleId="262">
    <w:name w:val="最新标题1"/>
    <w:basedOn w:val="231"/>
    <w:next w:val="200"/>
    <w:qFormat/>
    <w:uiPriority w:val="0"/>
    <w:pPr>
      <w:spacing w:after="120"/>
    </w:pPr>
    <w:rPr>
      <w:bCs/>
    </w:rPr>
  </w:style>
  <w:style w:type="paragraph" w:customStyle="1" w:styleId="263">
    <w:name w:val="P2"/>
    <w:basedOn w:val="1"/>
    <w:qFormat/>
    <w:uiPriority w:val="0"/>
    <w:pPr>
      <w:widowControl/>
      <w:spacing w:before="240" w:line="240" w:lineRule="atLeast"/>
      <w:ind w:left="578"/>
    </w:pPr>
    <w:rPr>
      <w:b/>
      <w:kern w:val="0"/>
      <w:szCs w:val="21"/>
      <w:lang w:val="en-AU" w:eastAsia="en-US"/>
    </w:rPr>
  </w:style>
  <w:style w:type="paragraph" w:customStyle="1" w:styleId="264">
    <w:name w:val="Style-正文"/>
    <w:basedOn w:val="1"/>
    <w:qFormat/>
    <w:uiPriority w:val="0"/>
    <w:pPr>
      <w:ind w:firstLine="420"/>
    </w:pPr>
    <w:rPr>
      <w:rFonts w:ascii="宋体" w:hAnsi="宋体"/>
      <w:sz w:val="24"/>
    </w:rPr>
  </w:style>
  <w:style w:type="paragraph" w:customStyle="1" w:styleId="265">
    <w:name w:val="P3"/>
    <w:basedOn w:val="1"/>
    <w:qFormat/>
    <w:uiPriority w:val="0"/>
    <w:pPr>
      <w:widowControl/>
      <w:spacing w:before="240" w:line="240" w:lineRule="atLeast"/>
      <w:ind w:left="1152"/>
    </w:pPr>
    <w:rPr>
      <w:b/>
      <w:kern w:val="0"/>
      <w:szCs w:val="21"/>
      <w:lang w:val="en-AU" w:eastAsia="en-US"/>
    </w:rPr>
  </w:style>
  <w:style w:type="paragraph" w:customStyle="1" w:styleId="266">
    <w:name w:val="Plain Text1"/>
    <w:basedOn w:val="1"/>
    <w:qFormat/>
    <w:uiPriority w:val="0"/>
    <w:pPr>
      <w:autoSpaceDE w:val="0"/>
      <w:autoSpaceDN w:val="0"/>
      <w:adjustRightInd w:val="0"/>
    </w:pPr>
    <w:rPr>
      <w:rFonts w:hint="eastAsia" w:ascii="宋体" w:hAnsi="宋体"/>
      <w:sz w:val="24"/>
      <w:szCs w:val="20"/>
    </w:rPr>
  </w:style>
  <w:style w:type="paragraph" w:customStyle="1" w:styleId="267">
    <w:name w:val="样式　标题4"/>
    <w:basedOn w:val="211"/>
    <w:next w:val="1"/>
    <w:qFormat/>
    <w:uiPriority w:val="0"/>
  </w:style>
  <w:style w:type="paragraph" w:customStyle="1" w:styleId="268">
    <w:name w:val="Blockquote"/>
    <w:basedOn w:val="1"/>
    <w:qFormat/>
    <w:uiPriority w:val="0"/>
    <w:pPr>
      <w:widowControl/>
      <w:spacing w:before="100" w:afterLines="50"/>
      <w:ind w:left="360" w:right="360"/>
    </w:pPr>
    <w:rPr>
      <w:rFonts w:ascii="宋体"/>
      <w:snapToGrid w:val="0"/>
      <w:kern w:val="0"/>
      <w:sz w:val="24"/>
      <w:szCs w:val="20"/>
      <w:lang w:val="en-CA"/>
    </w:rPr>
  </w:style>
  <w:style w:type="paragraph" w:customStyle="1" w:styleId="269">
    <w:name w:val="样式 模板描述"/>
    <w:basedOn w:val="1"/>
    <w:next w:val="193"/>
    <w:qFormat/>
    <w:uiPriority w:val="0"/>
    <w:pPr>
      <w:spacing w:afterLines="50"/>
    </w:pPr>
    <w:rPr>
      <w:rFonts w:ascii="宋体" w:cs="宋体"/>
      <w:i/>
      <w:iCs/>
      <w:snapToGrid w:val="0"/>
      <w:color w:val="0000FF"/>
      <w:kern w:val="0"/>
      <w:szCs w:val="21"/>
    </w:rPr>
  </w:style>
  <w:style w:type="paragraph" w:customStyle="1" w:styleId="270">
    <w:name w:val="Char Char3 Char Char Char Char"/>
    <w:basedOn w:val="1"/>
    <w:qFormat/>
    <w:uiPriority w:val="0"/>
    <w:pPr>
      <w:widowControl/>
      <w:spacing w:after="160"/>
    </w:pPr>
    <w:rPr>
      <w:rFonts w:ascii="Verdana" w:hAnsi="Verdana"/>
      <w:kern w:val="0"/>
      <w:sz w:val="24"/>
      <w:szCs w:val="20"/>
      <w:lang w:eastAsia="en-US"/>
    </w:rPr>
  </w:style>
  <w:style w:type="paragraph" w:customStyle="1" w:styleId="271">
    <w:name w:val="样式2"/>
    <w:basedOn w:val="6"/>
    <w:qFormat/>
    <w:uiPriority w:val="0"/>
    <w:pPr>
      <w:keepLines/>
      <w:tabs>
        <w:tab w:val="left" w:pos="600"/>
        <w:tab w:val="left" w:pos="720"/>
      </w:tabs>
      <w:adjustRightInd/>
      <w:snapToGrid/>
      <w:spacing w:before="260" w:after="260" w:line="416" w:lineRule="auto"/>
      <w:ind w:left="600" w:hanging="600"/>
      <w:jc w:val="both"/>
      <w:textAlignment w:val="auto"/>
    </w:pPr>
    <w:rPr>
      <w:rFonts w:ascii="Arial" w:hAnsi="Arial" w:eastAsia="宋体"/>
      <w:bCs/>
      <w:kern w:val="2"/>
      <w:sz w:val="32"/>
      <w:szCs w:val="32"/>
    </w:rPr>
  </w:style>
  <w:style w:type="paragraph" w:customStyle="1" w:styleId="272">
    <w:name w:val="S4-B-L15"/>
    <w:basedOn w:val="1"/>
    <w:qFormat/>
    <w:uiPriority w:val="0"/>
    <w:rPr>
      <w:b/>
      <w:bCs/>
      <w:sz w:val="24"/>
    </w:rPr>
  </w:style>
  <w:style w:type="paragraph" w:customStyle="1" w:styleId="273">
    <w:name w:val="样式 标题 3(A-3)sect1.2.3h3H3level_3PIM 3Level 3 HeadHeading..."/>
    <w:basedOn w:val="7"/>
    <w:qFormat/>
    <w:uiPriority w:val="0"/>
    <w:pPr>
      <w:tabs>
        <w:tab w:val="left" w:pos="709"/>
      </w:tabs>
      <w:spacing w:line="416" w:lineRule="auto"/>
      <w:ind w:firstLine="0" w:firstLineChars="0"/>
    </w:pPr>
    <w:rPr>
      <w:rFonts w:ascii="Arial" w:hAnsi="Arial" w:eastAsia="宋体"/>
      <w:szCs w:val="32"/>
    </w:rPr>
  </w:style>
  <w:style w:type="paragraph" w:customStyle="1" w:styleId="274">
    <w:name w:val="Char Char2"/>
    <w:basedOn w:val="1"/>
    <w:qFormat/>
    <w:uiPriority w:val="0"/>
    <w:rPr>
      <w:rFonts w:ascii="仿宋_GB2312" w:eastAsia="仿宋_GB2312"/>
      <w:b/>
      <w:sz w:val="32"/>
      <w:szCs w:val="32"/>
    </w:rPr>
  </w:style>
  <w:style w:type="paragraph" w:customStyle="1" w:styleId="275">
    <w:name w:val="p0"/>
    <w:basedOn w:val="1"/>
    <w:qFormat/>
    <w:uiPriority w:val="0"/>
    <w:pPr>
      <w:widowControl/>
    </w:pPr>
    <w:rPr>
      <w:kern w:val="0"/>
      <w:szCs w:val="21"/>
    </w:rPr>
  </w:style>
  <w:style w:type="table" w:customStyle="1" w:styleId="276">
    <w:name w:val="网格表 4 - 着色 11"/>
    <w:basedOn w:val="54"/>
    <w:qFormat/>
    <w:uiPriority w:val="49"/>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character" w:customStyle="1" w:styleId="277">
    <w:name w:val="font21"/>
    <w:qFormat/>
    <w:uiPriority w:val="0"/>
    <w:rPr>
      <w:rFonts w:hint="eastAsia" w:ascii="宋体" w:hAnsi="宋体" w:eastAsia="宋体" w:cs="宋体"/>
      <w:color w:val="000000"/>
      <w:sz w:val="24"/>
      <w:szCs w:val="24"/>
      <w:u w:val="none"/>
    </w:rPr>
  </w:style>
  <w:style w:type="paragraph" w:customStyle="1" w:styleId="278">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79">
    <w:name w:val="List Paragraph1"/>
    <w:basedOn w:val="1"/>
    <w:qFormat/>
    <w:uiPriority w:val="99"/>
    <w:pPr>
      <w:spacing w:line="240" w:lineRule="auto"/>
      <w:ind w:firstLine="420"/>
      <w:jc w:val="both"/>
    </w:pPr>
    <w:rPr>
      <w:rFonts w:ascii="Calibri" w:hAnsi="Calibri" w:eastAsia="宋体" w:cs="宋体"/>
      <w:szCs w:val="21"/>
    </w:rPr>
  </w:style>
  <w:style w:type="character" w:customStyle="1" w:styleId="280">
    <w:name w:val="NormalCharacter"/>
    <w:qFormat/>
    <w:uiPriority w:val="0"/>
  </w:style>
  <w:style w:type="character" w:customStyle="1" w:styleId="281">
    <w:name w:val="标题 Char3"/>
    <w:qFormat/>
    <w:uiPriority w:val="0"/>
    <w:rPr>
      <w:rFonts w:ascii="Cambria" w:hAnsi="Cambria" w:eastAsia="宋体"/>
      <w:b/>
      <w:bCs/>
      <w:kern w:val="2"/>
      <w:sz w:val="32"/>
      <w:szCs w:val="32"/>
      <w:lang w:bidi="ar-SA"/>
    </w:rPr>
  </w:style>
  <w:style w:type="character" w:customStyle="1" w:styleId="282">
    <w:name w:val="正文缩进 Char2"/>
    <w:qFormat/>
    <w:uiPriority w:val="0"/>
  </w:style>
  <w:style w:type="paragraph" w:customStyle="1" w:styleId="283">
    <w:name w:val="样式 加粗 段前: 7.8 磅 段后: 7.8 磅 行距: 固定值 20 磅"/>
    <w:basedOn w:val="1"/>
    <w:qFormat/>
    <w:uiPriority w:val="0"/>
    <w:pPr>
      <w:spacing w:before="60" w:after="60" w:line="360" w:lineRule="exact"/>
      <w:ind w:firstLine="0" w:firstLineChars="0"/>
      <w:jc w:val="both"/>
    </w:pPr>
    <w:rPr>
      <w:rFonts w:eastAsia="宋体" w:cs="宋体"/>
      <w:b/>
      <w:bCs/>
      <w:spacing w:val="-2"/>
      <w:sz w:val="24"/>
      <w:szCs w:val="20"/>
    </w:rPr>
  </w:style>
  <w:style w:type="character" w:customStyle="1" w:styleId="284">
    <w:name w:val="未处理的提及1"/>
    <w:basedOn w:val="58"/>
    <w:semiHidden/>
    <w:unhideWhenUsed/>
    <w:qFormat/>
    <w:uiPriority w:val="99"/>
    <w:rPr>
      <w:color w:val="605E5C"/>
      <w:shd w:val="clear" w:color="auto" w:fill="E1DFDD"/>
    </w:rPr>
  </w:style>
  <w:style w:type="character" w:customStyle="1" w:styleId="285">
    <w:name w:val="纯文本 字符2"/>
    <w:qFormat/>
    <w:uiPriority w:val="0"/>
    <w:rPr>
      <w:rFonts w:ascii="宋体" w:hAnsi="Courier New" w:eastAsia="宋体" w:cs="Times New Roman"/>
      <w:kern w:val="2"/>
      <w:sz w:val="24"/>
      <w:szCs w:val="24"/>
      <w:lang w:val="en-US" w:eastAsia="zh-CN" w:bidi="ar-SA"/>
    </w:rPr>
  </w:style>
  <w:style w:type="character" w:customStyle="1" w:styleId="286">
    <w:name w:val="List Paragraph Char"/>
    <w:link w:val="119"/>
    <w:qFormat/>
    <w:uiPriority w:val="0"/>
    <w:rPr>
      <w:rFonts w:ascii="Calibri" w:hAnsi="Calibri" w:eastAsia="微软雅黑"/>
      <w:kern w:val="2"/>
      <w:sz w:val="21"/>
    </w:rPr>
  </w:style>
  <w:style w:type="character" w:customStyle="1" w:styleId="287">
    <w:name w:val="正文文本缩进 字符1"/>
    <w:qFormat/>
    <w:uiPriority w:val="0"/>
    <w:rPr>
      <w:rFonts w:ascii="宋体" w:hAnsi="Courier New"/>
      <w:spacing w:val="-4"/>
      <w:kern w:val="2"/>
      <w:sz w:val="18"/>
    </w:rPr>
  </w:style>
  <w:style w:type="paragraph" w:customStyle="1" w:styleId="288">
    <w:name w:val="清單段落"/>
    <w:basedOn w:val="1"/>
    <w:qFormat/>
    <w:uiPriority w:val="0"/>
    <w:pPr>
      <w:spacing w:line="240" w:lineRule="auto"/>
      <w:ind w:left="480" w:leftChars="200" w:firstLine="0" w:firstLineChars="0"/>
      <w:jc w:val="both"/>
    </w:pPr>
    <w:rPr>
      <w:rFonts w:eastAsia="宋体"/>
    </w:rPr>
  </w:style>
  <w:style w:type="character" w:customStyle="1" w:styleId="289">
    <w:name w:val="未处理的提及2"/>
    <w:basedOn w:val="58"/>
    <w:semiHidden/>
    <w:unhideWhenUsed/>
    <w:qFormat/>
    <w:uiPriority w:val="99"/>
    <w:rPr>
      <w:color w:val="605E5C"/>
      <w:shd w:val="clear" w:color="auto" w:fill="E1DFDD"/>
    </w:rPr>
  </w:style>
  <w:style w:type="character" w:customStyle="1" w:styleId="290">
    <w:name w:val="正文文本首行缩进 2 字符"/>
    <w:basedOn w:val="77"/>
    <w:link w:val="52"/>
    <w:semiHidden/>
    <w:qFormat/>
    <w:uiPriority w:val="0"/>
    <w:rPr>
      <w:rFonts w:ascii="宋体" w:hAnsi="Courier New" w:eastAsia="微软雅黑"/>
      <w:spacing w:val="-4"/>
      <w:kern w:val="2"/>
      <w:sz w:val="21"/>
      <w:szCs w:val="24"/>
    </w:rPr>
  </w:style>
  <w:style w:type="character" w:customStyle="1" w:styleId="291">
    <w:name w:val="标书正文 Char"/>
    <w:qFormat/>
    <w:uiPriority w:val="0"/>
    <w:rPr>
      <w:rFonts w:ascii="宋体" w:hAnsi="宋体" w:eastAsia="宋体" w:cs="Times New Roman"/>
      <w:kern w:val="0"/>
      <w:sz w:val="24"/>
      <w:szCs w:val="20"/>
    </w:rPr>
  </w:style>
  <w:style w:type="character" w:customStyle="1" w:styleId="292">
    <w:name w:val="未处理的提及3"/>
    <w:basedOn w:val="58"/>
    <w:semiHidden/>
    <w:unhideWhenUsed/>
    <w:qFormat/>
    <w:uiPriority w:val="99"/>
    <w:rPr>
      <w:color w:val="605E5C"/>
      <w:shd w:val="clear" w:color="auto" w:fill="E1DFDD"/>
    </w:rPr>
  </w:style>
  <w:style w:type="paragraph" w:customStyle="1" w:styleId="293">
    <w:name w:val="正文2"/>
    <w:basedOn w:val="1"/>
    <w:qFormat/>
    <w:uiPriority w:val="0"/>
    <w:pPr>
      <w:spacing w:before="156"/>
      <w:ind w:firstLine="510"/>
      <w:jc w:val="both"/>
    </w:pPr>
    <w:rPr>
      <w:rFonts w:eastAsia="宋体" w:cs="宋体"/>
      <w:sz w:val="24"/>
      <w:szCs w:val="20"/>
    </w:rPr>
  </w:style>
  <w:style w:type="paragraph" w:customStyle="1" w:styleId="294">
    <w:name w:val="纯文本3"/>
    <w:qFormat/>
    <w:uiPriority w:val="0"/>
    <w:pPr>
      <w:widowControl w:val="0"/>
      <w:adjustRightInd w:val="0"/>
      <w:jc w:val="both"/>
      <w:textAlignment w:val="baseline"/>
    </w:pPr>
    <w:rPr>
      <w:rFonts w:ascii="宋体" w:hAnsi="Courier New" w:eastAsia="楷体_GB2312" w:cs="Times New Roman"/>
      <w:kern w:val="2"/>
      <w:sz w:val="26"/>
      <w:lang w:val="en-US" w:eastAsia="zh-CN" w:bidi="ar-SA"/>
    </w:rPr>
  </w:style>
  <w:style w:type="paragraph" w:customStyle="1" w:styleId="295">
    <w:name w:val="部分1"/>
    <w:basedOn w:val="1"/>
    <w:qFormat/>
    <w:uiPriority w:val="0"/>
    <w:pPr>
      <w:keepNext/>
      <w:pageBreakBefore/>
      <w:tabs>
        <w:tab w:val="left" w:pos="720"/>
      </w:tabs>
      <w:ind w:firstLine="0" w:firstLineChars="0"/>
      <w:jc w:val="center"/>
      <w:outlineLvl w:val="0"/>
    </w:pPr>
    <w:rPr>
      <w:rFonts w:eastAsia="黑体" w:cs="宋体"/>
      <w:b/>
      <w:kern w:val="44"/>
      <w:sz w:val="36"/>
      <w:szCs w:val="20"/>
    </w:rPr>
  </w:style>
  <w:style w:type="paragraph" w:customStyle="1" w:styleId="296">
    <w:name w:val="TOC 标题2"/>
    <w:basedOn w:val="5"/>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7">
    <w:name w:val="修订1"/>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8">
    <w:name w:val="修订2"/>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9">
    <w:name w:val="6级标题"/>
    <w:basedOn w:val="1"/>
    <w:qFormat/>
    <w:uiPriority w:val="0"/>
    <w:pPr>
      <w:keepNext/>
      <w:ind w:left="1151" w:hanging="431"/>
      <w:jc w:val="center"/>
      <w:outlineLvl w:val="5"/>
    </w:pPr>
    <w:rPr>
      <w:rFonts w:ascii="黑体" w:hAnsi="宋体"/>
      <w:b/>
      <w:bCs/>
      <w:sz w:val="24"/>
      <w:szCs w:val="52"/>
    </w:rPr>
  </w:style>
  <w:style w:type="paragraph" w:customStyle="1" w:styleId="300">
    <w:name w:val="TOC 标题3"/>
    <w:basedOn w:val="5"/>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0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2">
    <w:name w:val="修订3"/>
    <w:hidden/>
    <w:unhideWhenUsed/>
    <w:qFormat/>
    <w:uiPriority w:val="99"/>
    <w:rPr>
      <w:rFonts w:ascii="Times New Roman" w:hAnsi="Times New Roman" w:eastAsia="微软雅黑" w:cs="Times New Roman"/>
      <w:kern w:val="2"/>
      <w:sz w:val="21"/>
      <w:szCs w:val="24"/>
      <w:lang w:val="en-US" w:eastAsia="zh-CN" w:bidi="ar-SA"/>
    </w:rPr>
  </w:style>
  <w:style w:type="table" w:customStyle="1" w:styleId="303">
    <w:name w:val="Table Normal"/>
    <w:unhideWhenUsed/>
    <w:qFormat/>
    <w:uiPriority w:val="0"/>
    <w:tblPr>
      <w:tblCellMar>
        <w:top w:w="0" w:type="dxa"/>
        <w:left w:w="0" w:type="dxa"/>
        <w:bottom w:w="0" w:type="dxa"/>
        <w:right w:w="0" w:type="dxa"/>
      </w:tblCellMar>
    </w:tblPr>
  </w:style>
  <w:style w:type="paragraph" w:customStyle="1" w:styleId="304">
    <w:name w:val="Heading #1|1"/>
    <w:basedOn w:val="1"/>
    <w:qFormat/>
    <w:uiPriority w:val="0"/>
    <w:pPr>
      <w:spacing w:after="450"/>
      <w:ind w:firstLine="0"/>
      <w:outlineLvl w:val="0"/>
    </w:pPr>
    <w:rPr>
      <w:rFonts w:ascii="宋体" w:hAnsi="宋体" w:eastAsia="宋体" w:cs="宋体"/>
      <w:color w:val="000000"/>
      <w:kern w:val="0"/>
      <w:sz w:val="38"/>
      <w:szCs w:val="38"/>
      <w:lang w:val="zh-TW" w:eastAsia="zh-TW" w:bidi="zh-TW"/>
    </w:rPr>
  </w:style>
  <w:style w:type="paragraph" w:customStyle="1" w:styleId="305">
    <w:name w:val="Body text|1"/>
    <w:basedOn w:val="1"/>
    <w:qFormat/>
    <w:uiPriority w:val="0"/>
    <w:pPr>
      <w:spacing w:after="80" w:line="341" w:lineRule="auto"/>
      <w:ind w:firstLine="400"/>
    </w:pPr>
    <w:rPr>
      <w:rFonts w:ascii="宋体" w:hAnsi="宋体" w:eastAsia="宋体" w:cs="宋体"/>
      <w:color w:val="000000"/>
      <w:kern w:val="0"/>
      <w:sz w:val="34"/>
      <w:szCs w:val="34"/>
      <w:lang w:val="zh-TW" w:eastAsia="zh-TW" w:bidi="zh-TW"/>
    </w:rPr>
  </w:style>
  <w:style w:type="character" w:customStyle="1" w:styleId="306">
    <w:name w:val="未处理的提及4"/>
    <w:basedOn w:val="58"/>
    <w:semiHidden/>
    <w:unhideWhenUsed/>
    <w:qFormat/>
    <w:uiPriority w:val="99"/>
    <w:rPr>
      <w:color w:val="605E5C"/>
      <w:shd w:val="clear" w:color="auto" w:fill="E1DFDD"/>
    </w:rPr>
  </w:style>
  <w:style w:type="paragraph" w:customStyle="1" w:styleId="307">
    <w:name w:val="_Style 56"/>
    <w:basedOn w:val="1"/>
    <w:qFormat/>
    <w:uiPriority w:val="0"/>
    <w:pPr>
      <w:autoSpaceDE w:val="0"/>
      <w:autoSpaceDN w:val="0"/>
      <w:spacing w:before="139" w:line="240" w:lineRule="auto"/>
      <w:ind w:left="252" w:firstLine="420" w:firstLineChars="0"/>
    </w:pPr>
    <w:rPr>
      <w:rFonts w:ascii="Calibri" w:hAnsi="Calibri" w:eastAsia="宋体"/>
      <w:kern w:val="0"/>
      <w:sz w:val="22"/>
      <w:szCs w:val="22"/>
    </w:rPr>
  </w:style>
  <w:style w:type="paragraph" w:customStyle="1" w:styleId="308">
    <w:name w:val="Table Paragraph"/>
    <w:basedOn w:val="1"/>
    <w:qFormat/>
    <w:uiPriority w:val="0"/>
    <w:pPr>
      <w:autoSpaceDE w:val="0"/>
      <w:autoSpaceDN w:val="0"/>
      <w:spacing w:line="240" w:lineRule="auto"/>
      <w:ind w:firstLine="0" w:firstLineChars="0"/>
    </w:pPr>
    <w:rPr>
      <w:rFonts w:ascii="Calibri" w:hAnsi="Calibri" w:eastAsia="宋体"/>
      <w:kern w:val="0"/>
      <w:sz w:val="22"/>
      <w:szCs w:val="22"/>
    </w:rPr>
  </w:style>
  <w:style w:type="paragraph" w:customStyle="1" w:styleId="309">
    <w:name w:val="Revision"/>
    <w:hidden/>
    <w:unhideWhenUsed/>
    <w:qFormat/>
    <w:uiPriority w:val="99"/>
    <w:rPr>
      <w:rFonts w:ascii="Times New Roman" w:hAnsi="Times New Roman" w:eastAsia="微软雅黑"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jpeg"/><Relationship Id="rId31" Type="http://schemas.openxmlformats.org/officeDocument/2006/relationships/theme" Target="theme/theme1.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footer" Target="footer6.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83"/>
    <customShpInfo spid="_x0000_s3075"/>
    <customShpInfo spid="_x0000_s3073"/>
    <customShpInfo spid="_x0000_s3084"/>
    <customShpInfo spid="_x0000_s3078"/>
    <customShpInfo spid="_x0000_s3076"/>
    <customShpInfo spid="_x0000_s1026" textRotate="1"/>
    <customShpInfo spid="_x0000_s3080"/>
    <customShpInfo spid="_x0000_s3086"/>
    <customShpInfo spid="_x0000_s308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MicroWin10.com</Company>
  <Pages>71</Pages>
  <Words>8913</Words>
  <Characters>9952</Characters>
  <Lines>303</Lines>
  <Paragraphs>85</Paragraphs>
  <TotalTime>31</TotalTime>
  <ScaleCrop>false</ScaleCrop>
  <LinksUpToDate>false</LinksUpToDate>
  <CharactersWithSpaces>10427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2023-06-09T01:36:00Z</dcterms:created>
  <dc:creator>微软用户</dc:creator>
  <cp:lastModifiedBy>章大莉</cp:lastModifiedBy>
  <cp:lastPrinted>2024-09-10T20:14:00Z</cp:lastPrinted>
  <dcterms:modified xsi:type="dcterms:W3CDTF">2025-01-13T03:48:14Z</dcterms:modified>
  <dc:title>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95723D16C88046B6859F5834C7FDF3DB_13</vt:lpwstr>
  </property>
  <property fmtid="{D5CDD505-2E9C-101B-9397-08002B2CF9AE}" pid="4" name="KSOTemplateDocerSaveRecord">
    <vt:lpwstr>eyJoZGlkIjoiMTJlMTYyNTAxYWM3MWI0NzliODIyODNmMjdmN2NhNGEiLCJ1c2VySWQiOiIxMjkzODA4MDU5In0=</vt:lpwstr>
  </property>
</Properties>
</file>